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27.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3.xml" ContentType="application/vnd.openxmlformats-officedocument.drawingml.chartshapes+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5.xml" ContentType="application/vnd.openxmlformats-officedocument.drawingml.chartshapes+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6.xml" ContentType="application/vnd.openxmlformats-officedocument.drawingml.chartshapes+xml"/>
  <Override PartName="/word/charts/chart31.xml" ContentType="application/vnd.openxmlformats-officedocument.drawingml.chart+xml"/>
  <Override PartName="/word/theme/themeOverride13.xml" ContentType="application/vnd.openxmlformats-officedocument.themeOverride+xml"/>
  <Override PartName="/word/charts/chart3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3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34.xml" ContentType="application/vnd.openxmlformats-officedocument.drawingml.chart+xml"/>
  <Override PartName="/word/theme/themeOverride16.xml" ContentType="application/vnd.openxmlformats-officedocument.themeOverride+xml"/>
  <Override PartName="/word/charts/chart35.xml" ContentType="application/vnd.openxmlformats-officedocument.drawingml.chart+xml"/>
  <Override PartName="/word/theme/themeOverride17.xml" ContentType="application/vnd.openxmlformats-officedocument.themeOverride+xml"/>
  <Override PartName="/word/charts/chart36.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D8B3A" w14:textId="77777777" w:rsidR="00877D86" w:rsidRPr="00100520" w:rsidRDefault="00877D86" w:rsidP="004176F4">
      <w:pPr>
        <w:jc w:val="center"/>
        <w:rPr>
          <w:rFonts w:cs="Arial Narrow"/>
          <w:color w:val="FFFFFF"/>
        </w:rPr>
      </w:pPr>
      <w:bookmarkStart w:id="0" w:name="_Toc251855762"/>
      <w:bookmarkStart w:id="1" w:name="_GoBack"/>
      <w:bookmarkEnd w:id="1"/>
    </w:p>
    <w:p w14:paraId="64C3301F" w14:textId="77777777" w:rsidR="00877D86" w:rsidRPr="00100520" w:rsidRDefault="00877D86" w:rsidP="004176F4">
      <w:pPr>
        <w:jc w:val="center"/>
        <w:rPr>
          <w:rFonts w:cs="Arial Narrow"/>
          <w:color w:val="FFFFFF"/>
        </w:rPr>
      </w:pPr>
    </w:p>
    <w:p w14:paraId="2F19FF5D" w14:textId="77777777" w:rsidR="00877D86" w:rsidRPr="00100520" w:rsidRDefault="00877D86" w:rsidP="004176F4">
      <w:pPr>
        <w:jc w:val="center"/>
        <w:rPr>
          <w:rFonts w:cs="Arial Narrow"/>
          <w:color w:val="FFFFFF"/>
        </w:rPr>
      </w:pPr>
    </w:p>
    <w:p w14:paraId="13664E0E" w14:textId="77777777" w:rsidR="00877D86" w:rsidRPr="00100520" w:rsidRDefault="00877D86" w:rsidP="004176F4">
      <w:pPr>
        <w:jc w:val="center"/>
        <w:rPr>
          <w:rFonts w:cs="Arial Narrow"/>
          <w:color w:val="FFFFFF"/>
        </w:rPr>
      </w:pPr>
    </w:p>
    <w:p w14:paraId="56CD3C90" w14:textId="77777777" w:rsidR="001247CF" w:rsidRPr="00100520" w:rsidRDefault="000F0786" w:rsidP="004176F4">
      <w:pPr>
        <w:jc w:val="center"/>
        <w:rPr>
          <w:rFonts w:cs="Arial Narrow"/>
          <w:color w:val="FFFFFF"/>
        </w:rPr>
      </w:pPr>
      <w:r w:rsidRPr="00100520">
        <w:rPr>
          <w:noProof/>
        </w:rPr>
        <w:drawing>
          <wp:anchor distT="0" distB="0" distL="114300" distR="114300" simplePos="0" relativeHeight="251656192" behindDoc="0" locked="0" layoutInCell="1" allowOverlap="1" wp14:anchorId="34B475D5" wp14:editId="0A193D88">
            <wp:simplePos x="0" y="0"/>
            <wp:positionH relativeFrom="column">
              <wp:align>center</wp:align>
            </wp:positionH>
            <wp:positionV relativeFrom="page">
              <wp:posOffset>1450340</wp:posOffset>
            </wp:positionV>
            <wp:extent cx="1360800" cy="1695600"/>
            <wp:effectExtent l="0" t="0" r="0" b="0"/>
            <wp:wrapNone/>
            <wp:docPr id="3" name="Obrázok 56" descr="Popis: štátny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descr="Popis: štátny 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0800" cy="16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7CF" w:rsidRPr="00100520">
        <w:rPr>
          <w:rFonts w:cs="Arial Narrow"/>
          <w:color w:val="FFFFFF"/>
        </w:rPr>
        <w:t xml:space="preserve">;     </w:t>
      </w:r>
    </w:p>
    <w:p w14:paraId="1A99331C" w14:textId="77777777" w:rsidR="001247CF" w:rsidRPr="00100520" w:rsidRDefault="001247CF" w:rsidP="004176F4">
      <w:pPr>
        <w:jc w:val="center"/>
        <w:rPr>
          <w:rFonts w:cs="Arial Narrow"/>
          <w:b/>
          <w:bCs/>
          <w:sz w:val="32"/>
          <w:szCs w:val="32"/>
        </w:rPr>
      </w:pPr>
    </w:p>
    <w:p w14:paraId="024A8800" w14:textId="77777777" w:rsidR="001247CF" w:rsidRPr="00100520" w:rsidRDefault="001247CF" w:rsidP="004176F4">
      <w:pPr>
        <w:rPr>
          <w:rFonts w:cs="Arial Narrow"/>
        </w:rPr>
      </w:pPr>
    </w:p>
    <w:p w14:paraId="00501EC7" w14:textId="77777777" w:rsidR="001247CF" w:rsidRPr="00100520" w:rsidRDefault="001247CF" w:rsidP="004176F4">
      <w:pPr>
        <w:rPr>
          <w:rFonts w:cs="Arial Narrow"/>
        </w:rPr>
      </w:pPr>
    </w:p>
    <w:p w14:paraId="1CB9634E" w14:textId="77777777" w:rsidR="001247CF" w:rsidRPr="00100520" w:rsidRDefault="001247CF" w:rsidP="004176F4">
      <w:pPr>
        <w:rPr>
          <w:rFonts w:cs="Arial Narrow"/>
        </w:rPr>
      </w:pPr>
    </w:p>
    <w:p w14:paraId="0F237BDA" w14:textId="77777777" w:rsidR="001247CF" w:rsidRPr="00100520" w:rsidRDefault="001247CF" w:rsidP="004176F4">
      <w:pPr>
        <w:rPr>
          <w:rFonts w:cs="Arial Narrow"/>
        </w:rPr>
      </w:pPr>
    </w:p>
    <w:p w14:paraId="5F531F94" w14:textId="77777777" w:rsidR="001247CF" w:rsidRPr="00100520" w:rsidRDefault="001247CF" w:rsidP="004176F4">
      <w:pPr>
        <w:rPr>
          <w:rFonts w:cs="Arial Narrow"/>
        </w:rPr>
      </w:pPr>
    </w:p>
    <w:p w14:paraId="12EF5240" w14:textId="77777777" w:rsidR="001247CF" w:rsidRPr="00100520" w:rsidRDefault="001247CF" w:rsidP="004176F4">
      <w:pPr>
        <w:rPr>
          <w:rFonts w:cs="Arial Narrow"/>
        </w:rPr>
      </w:pPr>
    </w:p>
    <w:p w14:paraId="023320CB" w14:textId="77777777" w:rsidR="0028256A" w:rsidRPr="00100520" w:rsidRDefault="0028256A" w:rsidP="004176F4">
      <w:pPr>
        <w:rPr>
          <w:rFonts w:cs="Arial Narrow"/>
        </w:rPr>
      </w:pPr>
    </w:p>
    <w:p w14:paraId="7E7DC06B" w14:textId="77777777" w:rsidR="001247CF" w:rsidRPr="00100520" w:rsidRDefault="001247CF" w:rsidP="004176F4">
      <w:pPr>
        <w:rPr>
          <w:rFonts w:cs="Arial Narrow"/>
        </w:rPr>
      </w:pPr>
    </w:p>
    <w:p w14:paraId="394BBD50" w14:textId="77777777" w:rsidR="001247CF" w:rsidRPr="00100520" w:rsidRDefault="001247CF" w:rsidP="004176F4">
      <w:pPr>
        <w:jc w:val="center"/>
        <w:rPr>
          <w:rFonts w:cs="Arial Narrow"/>
        </w:rPr>
      </w:pPr>
    </w:p>
    <w:p w14:paraId="29AA7AF5" w14:textId="77777777" w:rsidR="001247CF" w:rsidRPr="00100520" w:rsidRDefault="001247CF" w:rsidP="004176F4">
      <w:pPr>
        <w:jc w:val="center"/>
        <w:rPr>
          <w:rFonts w:cs="Arial Narrow"/>
        </w:rPr>
      </w:pPr>
    </w:p>
    <w:p w14:paraId="0C3BDB21" w14:textId="77777777" w:rsidR="001247CF" w:rsidRPr="00100520" w:rsidRDefault="001247CF" w:rsidP="004176F4">
      <w:pPr>
        <w:jc w:val="center"/>
        <w:rPr>
          <w:rFonts w:cs="Arial Narrow"/>
        </w:rPr>
      </w:pPr>
    </w:p>
    <w:p w14:paraId="6F523775" w14:textId="77777777" w:rsidR="009E54EC" w:rsidRPr="00100520" w:rsidRDefault="009E54EC" w:rsidP="00877D86">
      <w:pPr>
        <w:spacing w:line="300" w:lineRule="auto"/>
        <w:jc w:val="center"/>
        <w:rPr>
          <w:rFonts w:cs="Arial Narrow"/>
          <w:b/>
          <w:bCs/>
          <w:sz w:val="56"/>
          <w:szCs w:val="56"/>
        </w:rPr>
      </w:pPr>
    </w:p>
    <w:p w14:paraId="402685BB" w14:textId="77777777" w:rsidR="001247CF" w:rsidRPr="00100520" w:rsidRDefault="001247CF" w:rsidP="00877D86">
      <w:pPr>
        <w:spacing w:line="300" w:lineRule="auto"/>
        <w:jc w:val="center"/>
        <w:rPr>
          <w:rFonts w:cs="Arial Narrow"/>
          <w:b/>
          <w:bCs/>
          <w:sz w:val="56"/>
          <w:szCs w:val="56"/>
        </w:rPr>
      </w:pPr>
      <w:r w:rsidRPr="00100520">
        <w:rPr>
          <w:rFonts w:cs="Arial Narrow"/>
          <w:b/>
          <w:bCs/>
          <w:sz w:val="56"/>
          <w:szCs w:val="56"/>
        </w:rPr>
        <w:t>P</w:t>
      </w:r>
      <w:r w:rsidR="0028256A" w:rsidRPr="00100520">
        <w:rPr>
          <w:rFonts w:cs="Arial Narrow"/>
          <w:b/>
          <w:bCs/>
          <w:sz w:val="56"/>
          <w:szCs w:val="56"/>
        </w:rPr>
        <w:t xml:space="preserve">rogram stability </w:t>
      </w:r>
      <w:r w:rsidRPr="00100520">
        <w:rPr>
          <w:rFonts w:cs="Arial Narrow"/>
          <w:b/>
          <w:bCs/>
          <w:sz w:val="56"/>
          <w:szCs w:val="56"/>
        </w:rPr>
        <w:t>S</w:t>
      </w:r>
      <w:r w:rsidR="0028256A" w:rsidRPr="00100520">
        <w:rPr>
          <w:rFonts w:cs="Arial Narrow"/>
          <w:b/>
          <w:bCs/>
          <w:sz w:val="56"/>
          <w:szCs w:val="56"/>
        </w:rPr>
        <w:t>lovenskej republiky</w:t>
      </w:r>
      <w:r w:rsidRPr="00100520">
        <w:rPr>
          <w:rFonts w:cs="Arial Narrow"/>
          <w:b/>
          <w:bCs/>
          <w:sz w:val="56"/>
          <w:szCs w:val="56"/>
        </w:rPr>
        <w:t xml:space="preserve"> </w:t>
      </w:r>
    </w:p>
    <w:p w14:paraId="20E52516" w14:textId="46E6F3EE" w:rsidR="001247CF" w:rsidRPr="00100520" w:rsidRDefault="0028256A" w:rsidP="00877D86">
      <w:pPr>
        <w:spacing w:line="300" w:lineRule="auto"/>
        <w:jc w:val="center"/>
        <w:rPr>
          <w:rFonts w:cs="Arial Narrow"/>
          <w:b/>
          <w:bCs/>
          <w:sz w:val="56"/>
          <w:szCs w:val="56"/>
        </w:rPr>
      </w:pPr>
      <w:r w:rsidRPr="00100520">
        <w:rPr>
          <w:rFonts w:cs="Arial Narrow"/>
          <w:b/>
          <w:bCs/>
          <w:sz w:val="56"/>
          <w:szCs w:val="56"/>
        </w:rPr>
        <w:t>na roky</w:t>
      </w:r>
      <w:r w:rsidR="001247CF" w:rsidRPr="00100520">
        <w:rPr>
          <w:rFonts w:cs="Arial Narrow"/>
          <w:b/>
          <w:bCs/>
          <w:sz w:val="56"/>
          <w:szCs w:val="56"/>
        </w:rPr>
        <w:t xml:space="preserve"> </w:t>
      </w:r>
      <w:r w:rsidR="00D72DE6" w:rsidRPr="00100520">
        <w:rPr>
          <w:rFonts w:cs="Arial Narrow"/>
          <w:b/>
          <w:bCs/>
          <w:sz w:val="56"/>
          <w:szCs w:val="56"/>
        </w:rPr>
        <w:t>201</w:t>
      </w:r>
      <w:r w:rsidR="001A095A">
        <w:rPr>
          <w:rFonts w:cs="Arial Narrow"/>
          <w:b/>
          <w:bCs/>
          <w:sz w:val="56"/>
          <w:szCs w:val="56"/>
        </w:rPr>
        <w:t>9</w:t>
      </w:r>
      <w:r w:rsidR="001247CF" w:rsidRPr="00100520">
        <w:rPr>
          <w:rFonts w:cs="Arial Narrow"/>
          <w:b/>
          <w:bCs/>
          <w:sz w:val="56"/>
          <w:szCs w:val="56"/>
        </w:rPr>
        <w:t xml:space="preserve"> </w:t>
      </w:r>
      <w:r w:rsidRPr="00100520">
        <w:rPr>
          <w:rFonts w:cs="Arial Narrow"/>
          <w:b/>
          <w:bCs/>
          <w:sz w:val="56"/>
          <w:szCs w:val="56"/>
        </w:rPr>
        <w:t>až</w:t>
      </w:r>
      <w:r w:rsidR="001247CF" w:rsidRPr="00100520">
        <w:rPr>
          <w:rFonts w:cs="Arial Narrow"/>
          <w:b/>
          <w:bCs/>
          <w:sz w:val="56"/>
          <w:szCs w:val="56"/>
        </w:rPr>
        <w:t xml:space="preserve"> </w:t>
      </w:r>
      <w:r w:rsidR="001A095A">
        <w:rPr>
          <w:rFonts w:cs="Arial Narrow"/>
          <w:b/>
          <w:bCs/>
          <w:sz w:val="56"/>
          <w:szCs w:val="56"/>
        </w:rPr>
        <w:t>2022</w:t>
      </w:r>
    </w:p>
    <w:p w14:paraId="11CC81C8" w14:textId="77777777" w:rsidR="001247CF" w:rsidRPr="00100520" w:rsidRDefault="001247CF" w:rsidP="004176F4">
      <w:pPr>
        <w:jc w:val="center"/>
        <w:rPr>
          <w:rFonts w:cs="Arial Narrow"/>
          <w:b/>
          <w:bCs/>
          <w:sz w:val="52"/>
          <w:szCs w:val="52"/>
        </w:rPr>
      </w:pPr>
    </w:p>
    <w:p w14:paraId="6D9B7F64" w14:textId="77777777" w:rsidR="00877D86" w:rsidRPr="00100520" w:rsidRDefault="00D72DE6" w:rsidP="00D72DE6">
      <w:pPr>
        <w:tabs>
          <w:tab w:val="left" w:pos="6675"/>
        </w:tabs>
        <w:rPr>
          <w:rFonts w:cs="Arial Narrow"/>
          <w:b/>
          <w:bCs/>
          <w:sz w:val="52"/>
          <w:szCs w:val="52"/>
        </w:rPr>
      </w:pPr>
      <w:r w:rsidRPr="00100520">
        <w:rPr>
          <w:rFonts w:cs="Arial Narrow"/>
          <w:b/>
          <w:bCs/>
          <w:sz w:val="52"/>
          <w:szCs w:val="52"/>
        </w:rPr>
        <w:tab/>
      </w:r>
    </w:p>
    <w:p w14:paraId="0172FFD7" w14:textId="77777777" w:rsidR="001247CF" w:rsidRPr="00100520" w:rsidRDefault="001247CF" w:rsidP="000F0786">
      <w:pPr>
        <w:jc w:val="center"/>
        <w:rPr>
          <w:rFonts w:cs="Arial Narrow"/>
          <w:b/>
          <w:bCs/>
          <w:sz w:val="52"/>
          <w:szCs w:val="52"/>
        </w:rPr>
      </w:pPr>
    </w:p>
    <w:p w14:paraId="33CD8CC9" w14:textId="77777777" w:rsidR="001247CF" w:rsidRPr="00100520" w:rsidRDefault="001247CF" w:rsidP="000F0786">
      <w:pPr>
        <w:jc w:val="center"/>
        <w:rPr>
          <w:rFonts w:cs="Arial Narrow"/>
          <w:b/>
          <w:bCs/>
          <w:sz w:val="52"/>
          <w:szCs w:val="52"/>
        </w:rPr>
      </w:pPr>
    </w:p>
    <w:p w14:paraId="6F9EBEE7" w14:textId="77777777" w:rsidR="001247CF" w:rsidRPr="00100520" w:rsidRDefault="001247CF" w:rsidP="000F0786">
      <w:pPr>
        <w:jc w:val="center"/>
        <w:rPr>
          <w:rFonts w:cs="Arial Narrow"/>
          <w:b/>
          <w:bCs/>
          <w:sz w:val="52"/>
          <w:szCs w:val="52"/>
        </w:rPr>
      </w:pPr>
    </w:p>
    <w:p w14:paraId="380E9EFD" w14:textId="77777777" w:rsidR="001247CF" w:rsidRPr="00100520" w:rsidRDefault="001247CF" w:rsidP="000F0786">
      <w:pPr>
        <w:jc w:val="center"/>
        <w:rPr>
          <w:rFonts w:cs="Arial Narrow"/>
          <w:b/>
          <w:bCs/>
          <w:sz w:val="52"/>
          <w:szCs w:val="52"/>
        </w:rPr>
      </w:pPr>
    </w:p>
    <w:p w14:paraId="23F623E8" w14:textId="77777777" w:rsidR="001247CF" w:rsidRPr="00100520" w:rsidRDefault="001247CF" w:rsidP="000F0786">
      <w:pPr>
        <w:jc w:val="center"/>
        <w:rPr>
          <w:rFonts w:cs="Arial Narrow"/>
          <w:b/>
          <w:bCs/>
          <w:sz w:val="52"/>
          <w:szCs w:val="52"/>
        </w:rPr>
      </w:pPr>
    </w:p>
    <w:p w14:paraId="34CC4683" w14:textId="77777777" w:rsidR="000F0786" w:rsidRPr="00100520" w:rsidRDefault="000F0786" w:rsidP="000F0786">
      <w:pPr>
        <w:jc w:val="center"/>
        <w:rPr>
          <w:rFonts w:cs="Arial Narrow"/>
          <w:b/>
          <w:bCs/>
          <w:sz w:val="52"/>
          <w:szCs w:val="52"/>
        </w:rPr>
      </w:pPr>
    </w:p>
    <w:p w14:paraId="1BB9D128" w14:textId="77777777" w:rsidR="000F0786" w:rsidRPr="00100520" w:rsidRDefault="000F0786" w:rsidP="000F0786">
      <w:pPr>
        <w:tabs>
          <w:tab w:val="left" w:pos="3665"/>
        </w:tabs>
        <w:jc w:val="center"/>
        <w:rPr>
          <w:rFonts w:cs="Arial Narrow"/>
          <w:b/>
          <w:bCs/>
          <w:sz w:val="52"/>
          <w:szCs w:val="52"/>
        </w:rPr>
      </w:pPr>
    </w:p>
    <w:p w14:paraId="42999C89" w14:textId="77777777" w:rsidR="000F0786" w:rsidRPr="00100520" w:rsidRDefault="000F0786" w:rsidP="004176F4">
      <w:pPr>
        <w:jc w:val="center"/>
        <w:rPr>
          <w:rFonts w:cs="Arial Narrow"/>
          <w:b/>
          <w:bCs/>
          <w:sz w:val="52"/>
          <w:szCs w:val="52"/>
        </w:rPr>
      </w:pPr>
    </w:p>
    <w:p w14:paraId="1A1705AB" w14:textId="77777777" w:rsidR="001247CF" w:rsidRPr="00100520" w:rsidRDefault="001247CF" w:rsidP="004176F4">
      <w:pPr>
        <w:jc w:val="center"/>
        <w:rPr>
          <w:rFonts w:cs="Arial Narrow"/>
          <w:b/>
          <w:bCs/>
          <w:sz w:val="52"/>
          <w:szCs w:val="52"/>
        </w:rPr>
      </w:pPr>
    </w:p>
    <w:p w14:paraId="0041390E" w14:textId="77777777" w:rsidR="000F0786" w:rsidRPr="00100520" w:rsidRDefault="000F0786">
      <w:bookmarkStart w:id="2" w:name="_Toc290035084"/>
      <w:bookmarkStart w:id="3" w:name="_Toc291580546"/>
      <w:bookmarkStart w:id="4" w:name="_Toc321211634"/>
      <w:bookmarkStart w:id="5" w:name="_Toc322707605"/>
      <w:bookmarkStart w:id="6" w:name="_Toc322708229"/>
      <w:bookmarkStart w:id="7" w:name="_Toc323117539"/>
      <w:bookmarkStart w:id="8" w:name="_Toc353804669"/>
      <w:bookmarkStart w:id="9" w:name="_Toc354477124"/>
      <w:bookmarkStart w:id="10" w:name="_Toc385764143"/>
      <w:bookmarkStart w:id="11" w:name="_Toc385951396"/>
      <w:bookmarkStart w:id="12" w:name="_Toc181078186"/>
      <w:bookmarkStart w:id="13" w:name="_Toc251855752"/>
    </w:p>
    <w:p w14:paraId="61368FF2" w14:textId="77777777" w:rsidR="000F0786" w:rsidRPr="00100520" w:rsidRDefault="000F0786">
      <w:pPr>
        <w:rPr>
          <w:b/>
          <w:bCs/>
          <w:sz w:val="28"/>
        </w:rPr>
      </w:pPr>
      <w:r w:rsidRPr="00100520">
        <w:rPr>
          <w:b/>
          <w:noProof/>
        </w:rPr>
        <mc:AlternateContent>
          <mc:Choice Requires="wps">
            <w:drawing>
              <wp:anchor distT="0" distB="0" distL="114300" distR="114300" simplePos="0" relativeHeight="251660288" behindDoc="1" locked="0" layoutInCell="0" allowOverlap="1" wp14:anchorId="055A3305" wp14:editId="70640B86">
                <wp:simplePos x="0" y="0"/>
                <wp:positionH relativeFrom="page">
                  <wp:posOffset>3239069</wp:posOffset>
                </wp:positionH>
                <wp:positionV relativeFrom="page">
                  <wp:posOffset>9372311</wp:posOffset>
                </wp:positionV>
                <wp:extent cx="59055" cy="294640"/>
                <wp:effectExtent l="0" t="0" r="0" b="0"/>
                <wp:wrapNone/>
                <wp:docPr id="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294640"/>
                        </a:xfrm>
                        <a:prstGeom prst="rect">
                          <a:avLst/>
                        </a:prstGeom>
                        <a:solidFill>
                          <a:srgbClr val="37A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1BB0B57" id="Rectangle 2" o:spid="_x0000_s1026" style="position:absolute;margin-left:255.05pt;margin-top:738pt;width:4.65pt;height:2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" o:allowincell="f" fillcolor="#37abe1" stroked="f">
                <v:path arrowok="t"/>
                <w10:wrap anchorx="page" anchory="page"/>
              </v:rect>
            </w:pict>
          </mc:Fallback>
        </mc:AlternateContent>
      </w:r>
      <w:r w:rsidRPr="00100520">
        <w:rPr>
          <w:b/>
          <w:noProof/>
          <w:sz w:val="20"/>
          <w:szCs w:val="20"/>
        </w:rPr>
        <mc:AlternateContent>
          <mc:Choice Requires="wps">
            <w:drawing>
              <wp:anchor distT="0" distB="0" distL="114300" distR="114300" simplePos="0" relativeHeight="251662336" behindDoc="0" locked="1" layoutInCell="1" allowOverlap="1" wp14:anchorId="491B032C" wp14:editId="2C55939D">
                <wp:simplePos x="0" y="0"/>
                <wp:positionH relativeFrom="column">
                  <wp:posOffset>2433955</wp:posOffset>
                </wp:positionH>
                <wp:positionV relativeFrom="page">
                  <wp:posOffset>9371965</wp:posOffset>
                </wp:positionV>
                <wp:extent cx="1268730" cy="483870"/>
                <wp:effectExtent l="0" t="0" r="762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83870"/>
                        </a:xfrm>
                        <a:prstGeom prst="rect">
                          <a:avLst/>
                        </a:prstGeom>
                        <a:solidFill>
                          <a:srgbClr val="FFFFFF"/>
                        </a:solidFill>
                        <a:ln w="9525">
                          <a:noFill/>
                          <a:miter lim="800000"/>
                          <a:headEnd/>
                          <a:tailEnd/>
                        </a:ln>
                      </wps:spPr>
                      <wps:txbx>
                        <w:txbxContent>
                          <w:p w14:paraId="341B2F4F" w14:textId="2AB58782" w:rsidR="00D52A81" w:rsidRPr="001E0231" w:rsidRDefault="00D52A81" w:rsidP="000F0786">
                            <w:pPr>
                              <w:rPr>
                                <w:rFonts w:cstheme="minorHAnsi"/>
                                <w:sz w:val="32"/>
                              </w:rPr>
                            </w:pPr>
                            <w:r w:rsidRPr="001E0231">
                              <w:rPr>
                                <w:rFonts w:cstheme="minorHAnsi"/>
                                <w:sz w:val="32"/>
                              </w:rPr>
                              <w:t xml:space="preserve">apríl </w:t>
                            </w:r>
                            <w:r>
                              <w:rPr>
                                <w:rFonts w:cstheme="minorHAnsi"/>
                                <w:sz w:val="3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B032C" id="_x0000_t202" coordsize="21600,21600" o:spt="202" path="m,l,21600r21600,l21600,xe">
                <v:stroke joinstyle="miter"/>
                <v:path gradientshapeok="t" o:connecttype="rect"/>
              </v:shapetype>
              <v:shape id="Text Box 2" o:spid="_x0000_s1026" type="#_x0000_t202" style="position:absolute;margin-left:191.65pt;margin-top:737.95pt;width:99.9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" stroked="f">
                <v:textbox>
                  <w:txbxContent>
                    <w:p w14:paraId="341B2F4F" w14:textId="2AB58782" w:rsidR="00D52A81" w:rsidRPr="001E0231" w:rsidRDefault="00D52A81" w:rsidP="000F0786">
                      <w:pPr>
                        <w:rPr>
                          <w:rFonts w:cstheme="minorHAnsi"/>
                          <w:sz w:val="32"/>
                        </w:rPr>
                      </w:pPr>
                      <w:r w:rsidRPr="001E0231">
                        <w:rPr>
                          <w:rFonts w:cstheme="minorHAnsi"/>
                          <w:sz w:val="32"/>
                        </w:rPr>
                        <w:t xml:space="preserve">apríl </w:t>
                      </w:r>
                      <w:r>
                        <w:rPr>
                          <w:rFonts w:cstheme="minorHAnsi"/>
                          <w:sz w:val="32"/>
                        </w:rPr>
                        <w:t>2019</w:t>
                      </w:r>
                    </w:p>
                  </w:txbxContent>
                </v:textbox>
                <w10:wrap anchory="page"/>
                <w10:anchorlock/>
              </v:shape>
            </w:pict>
          </mc:Fallback>
        </mc:AlternateContent>
      </w:r>
      <w:r w:rsidRPr="00100520">
        <w:br w:type="page"/>
      </w:r>
    </w:p>
    <w:p w14:paraId="053D2A29" w14:textId="77777777" w:rsidR="00EF1FF6" w:rsidRPr="00100520" w:rsidRDefault="00EF1FF6" w:rsidP="006B7DEE">
      <w:pPr>
        <w:pStyle w:val="Nadpis1"/>
        <w:rPr>
          <w:color w:val="2C9ADC"/>
        </w:rPr>
      </w:pPr>
      <w:bookmarkStart w:id="14" w:name="_Toc416943996"/>
    </w:p>
    <w:p w14:paraId="16871055" w14:textId="4FE16571" w:rsidR="001A095A" w:rsidRDefault="001247CF" w:rsidP="006B7DEE">
      <w:pPr>
        <w:pStyle w:val="Nadpis1"/>
        <w:rPr>
          <w:color w:val="2C9ADC"/>
        </w:rPr>
      </w:pPr>
      <w:bookmarkStart w:id="15" w:name="_Toc417646979"/>
      <w:bookmarkStart w:id="16" w:name="_Toc417907415"/>
      <w:bookmarkStart w:id="17" w:name="_Toc449429089"/>
      <w:bookmarkStart w:id="18" w:name="_Toc449430088"/>
      <w:bookmarkStart w:id="19" w:name="_Toc480443979"/>
      <w:bookmarkStart w:id="20" w:name="_Toc480444316"/>
      <w:bookmarkStart w:id="21" w:name="_Toc480444484"/>
      <w:bookmarkStart w:id="22" w:name="_Toc5869373"/>
      <w:r w:rsidRPr="00BE1BAB">
        <w:rPr>
          <w:color w:val="2C9ADC"/>
        </w:rPr>
        <w:t>O</w:t>
      </w:r>
      <w:r w:rsidR="007935B8" w:rsidRPr="00BE1BAB">
        <w:rPr>
          <w:color w:val="2C9ADC"/>
        </w:rPr>
        <w:t>BSAH</w:t>
      </w:r>
      <w:bookmarkEnd w:id="2"/>
      <w:bookmarkEnd w:id="3"/>
      <w:bookmarkEnd w:id="4"/>
      <w:bookmarkEnd w:id="5"/>
      <w:bookmarkEnd w:id="6"/>
      <w:bookmarkEnd w:id="7"/>
      <w:bookmarkEnd w:id="8"/>
      <w:bookmarkEnd w:id="9"/>
      <w:bookmarkEnd w:id="10"/>
      <w:bookmarkEnd w:id="11"/>
      <w:bookmarkEnd w:id="14"/>
      <w:bookmarkEnd w:id="15"/>
      <w:bookmarkEnd w:id="16"/>
      <w:bookmarkEnd w:id="17"/>
      <w:bookmarkEnd w:id="18"/>
      <w:bookmarkEnd w:id="19"/>
      <w:bookmarkEnd w:id="20"/>
      <w:bookmarkEnd w:id="21"/>
      <w:bookmarkEnd w:id="22"/>
    </w:p>
    <w:p w14:paraId="35EC8485" w14:textId="6BCC183B" w:rsidR="00E669EA" w:rsidRPr="00591AEA" w:rsidRDefault="00D04761">
      <w:pPr>
        <w:pStyle w:val="Obsah1"/>
        <w:rPr>
          <w:rFonts w:asciiTheme="minorHAnsi" w:eastAsiaTheme="minorEastAsia" w:hAnsiTheme="minorHAnsi" w:cstheme="minorBidi"/>
          <w:b w:val="0"/>
        </w:rPr>
      </w:pPr>
      <w:r w:rsidRPr="00252CAA">
        <w:fldChar w:fldCharType="begin"/>
      </w:r>
      <w:r w:rsidRPr="00252CAA">
        <w:instrText xml:space="preserve"> TOC \o "1-2" \h \z \u </w:instrText>
      </w:r>
      <w:r w:rsidRPr="00252CAA">
        <w:fldChar w:fldCharType="separate"/>
      </w:r>
      <w:hyperlink w:anchor="_Toc5869373" w:history="1">
        <w:r w:rsidR="00E669EA" w:rsidRPr="00591AEA">
          <w:rPr>
            <w:rStyle w:val="Hypertextovprepojenie"/>
            <w:b w:val="0"/>
          </w:rPr>
          <w:t>OBSAH</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_Toc5869373 \h </w:instrText>
        </w:r>
        <w:r w:rsidR="00E669EA" w:rsidRPr="00591AEA">
          <w:rPr>
            <w:b w:val="0"/>
            <w:webHidden/>
          </w:rPr>
        </w:r>
        <w:r w:rsidR="00E669EA" w:rsidRPr="00591AEA">
          <w:rPr>
            <w:b w:val="0"/>
            <w:webHidden/>
          </w:rPr>
          <w:fldChar w:fldCharType="separate"/>
        </w:r>
        <w:r w:rsidR="00D5739E">
          <w:rPr>
            <w:b w:val="0"/>
            <w:webHidden/>
          </w:rPr>
          <w:t>2</w:t>
        </w:r>
        <w:r w:rsidR="00E669EA" w:rsidRPr="00591AEA">
          <w:rPr>
            <w:b w:val="0"/>
            <w:webHidden/>
          </w:rPr>
          <w:fldChar w:fldCharType="end"/>
        </w:r>
      </w:hyperlink>
    </w:p>
    <w:p w14:paraId="4DA4A3A7" w14:textId="3D5806FC" w:rsidR="00E669EA" w:rsidRPr="00591AEA" w:rsidRDefault="00CF7F90">
      <w:pPr>
        <w:pStyle w:val="Obsah1"/>
        <w:rPr>
          <w:rFonts w:asciiTheme="minorHAnsi" w:eastAsiaTheme="minorEastAsia" w:hAnsiTheme="minorHAnsi" w:cstheme="minorBidi"/>
          <w:b w:val="0"/>
        </w:rPr>
      </w:pPr>
      <w:hyperlink w:anchor="_Toc5869374" w:history="1">
        <w:r w:rsidR="00E669EA" w:rsidRPr="00591AEA">
          <w:rPr>
            <w:rStyle w:val="Hypertextovprepojenie"/>
            <w:b w:val="0"/>
          </w:rPr>
          <w:t>ZHRNUTIE</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_Toc5869374 \h </w:instrText>
        </w:r>
        <w:r w:rsidR="00E669EA" w:rsidRPr="00591AEA">
          <w:rPr>
            <w:b w:val="0"/>
            <w:webHidden/>
          </w:rPr>
        </w:r>
        <w:r w:rsidR="00E669EA" w:rsidRPr="00591AEA">
          <w:rPr>
            <w:b w:val="0"/>
            <w:webHidden/>
          </w:rPr>
          <w:fldChar w:fldCharType="separate"/>
        </w:r>
        <w:r w:rsidR="00D5739E">
          <w:rPr>
            <w:b w:val="0"/>
            <w:webHidden/>
          </w:rPr>
          <w:t>5</w:t>
        </w:r>
        <w:r w:rsidR="00E669EA" w:rsidRPr="00591AEA">
          <w:rPr>
            <w:b w:val="0"/>
            <w:webHidden/>
          </w:rPr>
          <w:fldChar w:fldCharType="end"/>
        </w:r>
      </w:hyperlink>
    </w:p>
    <w:p w14:paraId="4027267E" w14:textId="616DE9E3" w:rsidR="00E669EA" w:rsidRPr="00591AEA" w:rsidRDefault="00CF7F90">
      <w:pPr>
        <w:pStyle w:val="Obsah1"/>
        <w:rPr>
          <w:rFonts w:asciiTheme="minorHAnsi" w:eastAsiaTheme="minorEastAsia" w:hAnsiTheme="minorHAnsi" w:cstheme="minorBidi"/>
          <w:b w:val="0"/>
        </w:rPr>
      </w:pPr>
      <w:hyperlink w:anchor="_Toc5869375" w:history="1">
        <w:r w:rsidR="00E669EA" w:rsidRPr="00591AEA">
          <w:rPr>
            <w:rStyle w:val="Hypertextovprepojenie"/>
            <w:b w:val="0"/>
          </w:rPr>
          <w:t>1.</w:t>
        </w:r>
        <w:r w:rsidR="00E669EA" w:rsidRPr="00591AEA">
          <w:rPr>
            <w:rFonts w:asciiTheme="minorHAnsi" w:eastAsiaTheme="minorEastAsia" w:hAnsiTheme="minorHAnsi" w:cstheme="minorBidi"/>
            <w:b w:val="0"/>
          </w:rPr>
          <w:tab/>
        </w:r>
        <w:r w:rsidR="00E669EA" w:rsidRPr="00591AEA">
          <w:rPr>
            <w:rStyle w:val="Hypertextovprepojenie"/>
            <w:b w:val="0"/>
          </w:rPr>
          <w:t>EKONOMICKÝ VÝHĽAD A PREDPOKLADY</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_Toc5869375 \h </w:instrText>
        </w:r>
        <w:r w:rsidR="00E669EA" w:rsidRPr="00591AEA">
          <w:rPr>
            <w:b w:val="0"/>
            <w:webHidden/>
          </w:rPr>
        </w:r>
        <w:r w:rsidR="00E669EA" w:rsidRPr="00591AEA">
          <w:rPr>
            <w:b w:val="0"/>
            <w:webHidden/>
          </w:rPr>
          <w:fldChar w:fldCharType="separate"/>
        </w:r>
        <w:r w:rsidR="00D5739E">
          <w:rPr>
            <w:b w:val="0"/>
            <w:webHidden/>
          </w:rPr>
          <w:t>7</w:t>
        </w:r>
        <w:r w:rsidR="00E669EA" w:rsidRPr="00591AEA">
          <w:rPr>
            <w:b w:val="0"/>
            <w:webHidden/>
          </w:rPr>
          <w:fldChar w:fldCharType="end"/>
        </w:r>
      </w:hyperlink>
    </w:p>
    <w:p w14:paraId="38FC8E09" w14:textId="50B294C3" w:rsidR="00E669EA" w:rsidRPr="00591AEA" w:rsidRDefault="00CF7F90">
      <w:pPr>
        <w:pStyle w:val="Obsah2"/>
        <w:rPr>
          <w:rFonts w:asciiTheme="minorHAnsi" w:eastAsiaTheme="minorEastAsia" w:hAnsiTheme="minorHAnsi" w:cstheme="minorBidi"/>
        </w:rPr>
      </w:pPr>
      <w:hyperlink w:anchor="_Toc5869376" w:history="1">
        <w:r w:rsidR="00E669EA" w:rsidRPr="00591AEA">
          <w:rPr>
            <w:rStyle w:val="Hypertextovprepojenie"/>
          </w:rPr>
          <w:t>1.1</w:t>
        </w:r>
        <w:r w:rsidR="00E669EA" w:rsidRPr="00591AEA">
          <w:rPr>
            <w:rFonts w:asciiTheme="minorHAnsi" w:eastAsiaTheme="minorEastAsia" w:hAnsiTheme="minorHAnsi" w:cstheme="minorBidi"/>
          </w:rPr>
          <w:tab/>
        </w:r>
        <w:r w:rsidR="00E669EA" w:rsidRPr="00591AEA">
          <w:rPr>
            <w:rStyle w:val="Hypertextovprepojenie"/>
          </w:rPr>
          <w:t>Ekonomický vývoj na Slovensku v roku 2018</w:t>
        </w:r>
        <w:r w:rsidR="00E669EA" w:rsidRPr="00591AEA">
          <w:rPr>
            <w:webHidden/>
          </w:rPr>
          <w:tab/>
        </w:r>
        <w:r w:rsidR="00E669EA" w:rsidRPr="00591AEA">
          <w:rPr>
            <w:webHidden/>
          </w:rPr>
          <w:fldChar w:fldCharType="begin"/>
        </w:r>
        <w:r w:rsidR="00E669EA" w:rsidRPr="00591AEA">
          <w:rPr>
            <w:webHidden/>
          </w:rPr>
          <w:instrText xml:space="preserve"> PAGEREF _Toc5869376 \h </w:instrText>
        </w:r>
        <w:r w:rsidR="00E669EA" w:rsidRPr="00591AEA">
          <w:rPr>
            <w:webHidden/>
          </w:rPr>
        </w:r>
        <w:r w:rsidR="00E669EA" w:rsidRPr="00591AEA">
          <w:rPr>
            <w:webHidden/>
          </w:rPr>
          <w:fldChar w:fldCharType="separate"/>
        </w:r>
        <w:r w:rsidR="00D5739E">
          <w:rPr>
            <w:webHidden/>
          </w:rPr>
          <w:t>7</w:t>
        </w:r>
        <w:r w:rsidR="00E669EA" w:rsidRPr="00591AEA">
          <w:rPr>
            <w:webHidden/>
          </w:rPr>
          <w:fldChar w:fldCharType="end"/>
        </w:r>
      </w:hyperlink>
    </w:p>
    <w:p w14:paraId="4BE1B614" w14:textId="6E01DADF" w:rsidR="00E669EA" w:rsidRPr="00591AEA" w:rsidRDefault="00CF7F90">
      <w:pPr>
        <w:pStyle w:val="Obsah2"/>
        <w:rPr>
          <w:rFonts w:asciiTheme="minorHAnsi" w:eastAsiaTheme="minorEastAsia" w:hAnsiTheme="minorHAnsi" w:cstheme="minorBidi"/>
        </w:rPr>
      </w:pPr>
      <w:hyperlink w:anchor="_Toc5869377" w:history="1">
        <w:r w:rsidR="00E669EA" w:rsidRPr="00591AEA">
          <w:rPr>
            <w:rStyle w:val="Hypertextovprepojenie"/>
          </w:rPr>
          <w:t>1.2</w:t>
        </w:r>
        <w:r w:rsidR="00E669EA" w:rsidRPr="00591AEA">
          <w:rPr>
            <w:rFonts w:asciiTheme="minorHAnsi" w:eastAsiaTheme="minorEastAsia" w:hAnsiTheme="minorHAnsi" w:cstheme="minorBidi"/>
          </w:rPr>
          <w:tab/>
        </w:r>
        <w:r w:rsidR="00E669EA" w:rsidRPr="00591AEA">
          <w:rPr>
            <w:rStyle w:val="Hypertextovprepojenie"/>
          </w:rPr>
          <w:t>Strednodobá prognóza vývoja ekonomiky na roky 2019 až 2022</w:t>
        </w:r>
        <w:r w:rsidR="00E669EA" w:rsidRPr="00591AEA">
          <w:rPr>
            <w:webHidden/>
          </w:rPr>
          <w:tab/>
        </w:r>
        <w:r w:rsidR="00E669EA" w:rsidRPr="00591AEA">
          <w:rPr>
            <w:webHidden/>
          </w:rPr>
          <w:fldChar w:fldCharType="begin"/>
        </w:r>
        <w:r w:rsidR="00E669EA" w:rsidRPr="00591AEA">
          <w:rPr>
            <w:webHidden/>
          </w:rPr>
          <w:instrText xml:space="preserve"> PAGEREF _Toc5869377 \h </w:instrText>
        </w:r>
        <w:r w:rsidR="00E669EA" w:rsidRPr="00591AEA">
          <w:rPr>
            <w:webHidden/>
          </w:rPr>
        </w:r>
        <w:r w:rsidR="00E669EA" w:rsidRPr="00591AEA">
          <w:rPr>
            <w:webHidden/>
          </w:rPr>
          <w:fldChar w:fldCharType="separate"/>
        </w:r>
        <w:r w:rsidR="00D5739E">
          <w:rPr>
            <w:webHidden/>
          </w:rPr>
          <w:t>7</w:t>
        </w:r>
        <w:r w:rsidR="00E669EA" w:rsidRPr="00591AEA">
          <w:rPr>
            <w:webHidden/>
          </w:rPr>
          <w:fldChar w:fldCharType="end"/>
        </w:r>
      </w:hyperlink>
    </w:p>
    <w:p w14:paraId="2D12E9B2" w14:textId="58369BA4" w:rsidR="00E669EA" w:rsidRPr="00591AEA" w:rsidRDefault="00CF7F90">
      <w:pPr>
        <w:pStyle w:val="Obsah2"/>
        <w:rPr>
          <w:rFonts w:asciiTheme="minorHAnsi" w:eastAsiaTheme="minorEastAsia" w:hAnsiTheme="minorHAnsi" w:cstheme="minorBidi"/>
        </w:rPr>
      </w:pPr>
      <w:hyperlink w:anchor="_Toc5869378" w:history="1">
        <w:r w:rsidR="00E669EA" w:rsidRPr="00591AEA">
          <w:rPr>
            <w:rStyle w:val="Hypertextovprepojenie"/>
          </w:rPr>
          <w:t>1.3</w:t>
        </w:r>
        <w:r w:rsidR="00E669EA" w:rsidRPr="00591AEA">
          <w:rPr>
            <w:rFonts w:asciiTheme="minorHAnsi" w:eastAsiaTheme="minorEastAsia" w:hAnsiTheme="minorHAnsi" w:cstheme="minorBidi"/>
          </w:rPr>
          <w:tab/>
        </w:r>
        <w:r w:rsidR="00E669EA" w:rsidRPr="00591AEA">
          <w:rPr>
            <w:rStyle w:val="Hypertextovprepojenie"/>
          </w:rPr>
          <w:t>Cyklický vývoj ekonomiky</w:t>
        </w:r>
        <w:r w:rsidR="00E669EA" w:rsidRPr="00591AEA">
          <w:rPr>
            <w:webHidden/>
          </w:rPr>
          <w:tab/>
        </w:r>
        <w:r w:rsidR="00E669EA" w:rsidRPr="00591AEA">
          <w:rPr>
            <w:webHidden/>
          </w:rPr>
          <w:fldChar w:fldCharType="begin"/>
        </w:r>
        <w:r w:rsidR="00E669EA" w:rsidRPr="00591AEA">
          <w:rPr>
            <w:webHidden/>
          </w:rPr>
          <w:instrText xml:space="preserve"> PAGEREF _Toc5869378 \h </w:instrText>
        </w:r>
        <w:r w:rsidR="00E669EA" w:rsidRPr="00591AEA">
          <w:rPr>
            <w:webHidden/>
          </w:rPr>
        </w:r>
        <w:r w:rsidR="00E669EA" w:rsidRPr="00591AEA">
          <w:rPr>
            <w:webHidden/>
          </w:rPr>
          <w:fldChar w:fldCharType="separate"/>
        </w:r>
        <w:r w:rsidR="00D5739E">
          <w:rPr>
            <w:webHidden/>
          </w:rPr>
          <w:t>10</w:t>
        </w:r>
        <w:r w:rsidR="00E669EA" w:rsidRPr="00591AEA">
          <w:rPr>
            <w:webHidden/>
          </w:rPr>
          <w:fldChar w:fldCharType="end"/>
        </w:r>
      </w:hyperlink>
    </w:p>
    <w:p w14:paraId="499C0FA1" w14:textId="41FDBB85" w:rsidR="00E669EA" w:rsidRPr="00591AEA" w:rsidRDefault="00CF7F90">
      <w:pPr>
        <w:pStyle w:val="Obsah2"/>
        <w:rPr>
          <w:rFonts w:asciiTheme="minorHAnsi" w:eastAsiaTheme="minorEastAsia" w:hAnsiTheme="minorHAnsi" w:cstheme="minorBidi"/>
        </w:rPr>
      </w:pPr>
      <w:hyperlink w:anchor="_Toc5869379" w:history="1">
        <w:r w:rsidR="00E669EA" w:rsidRPr="00591AEA">
          <w:rPr>
            <w:rStyle w:val="Hypertextovprepojenie"/>
          </w:rPr>
          <w:t>1.4</w:t>
        </w:r>
        <w:r w:rsidR="00E669EA" w:rsidRPr="00591AEA">
          <w:rPr>
            <w:rFonts w:asciiTheme="minorHAnsi" w:eastAsiaTheme="minorEastAsia" w:hAnsiTheme="minorHAnsi" w:cstheme="minorBidi"/>
          </w:rPr>
          <w:tab/>
        </w:r>
        <w:r w:rsidR="00E669EA" w:rsidRPr="00591AEA">
          <w:rPr>
            <w:rStyle w:val="Hypertextovprepojenie"/>
          </w:rPr>
          <w:t>Porovnanie prognóz slovenskej ekonomiky MF SR s prognózami ostatných inštitúcií</w:t>
        </w:r>
        <w:r w:rsidR="00E669EA" w:rsidRPr="00591AEA">
          <w:rPr>
            <w:webHidden/>
          </w:rPr>
          <w:tab/>
        </w:r>
        <w:r w:rsidR="00E669EA" w:rsidRPr="00591AEA">
          <w:rPr>
            <w:webHidden/>
          </w:rPr>
          <w:fldChar w:fldCharType="begin"/>
        </w:r>
        <w:r w:rsidR="00E669EA" w:rsidRPr="00591AEA">
          <w:rPr>
            <w:webHidden/>
          </w:rPr>
          <w:instrText xml:space="preserve"> PAGEREF _Toc5869379 \h </w:instrText>
        </w:r>
        <w:r w:rsidR="00E669EA" w:rsidRPr="00591AEA">
          <w:rPr>
            <w:webHidden/>
          </w:rPr>
        </w:r>
        <w:r w:rsidR="00E669EA" w:rsidRPr="00591AEA">
          <w:rPr>
            <w:webHidden/>
          </w:rPr>
          <w:fldChar w:fldCharType="separate"/>
        </w:r>
        <w:r w:rsidR="00D5739E">
          <w:rPr>
            <w:webHidden/>
          </w:rPr>
          <w:t>12</w:t>
        </w:r>
        <w:r w:rsidR="00E669EA" w:rsidRPr="00591AEA">
          <w:rPr>
            <w:webHidden/>
          </w:rPr>
          <w:fldChar w:fldCharType="end"/>
        </w:r>
      </w:hyperlink>
    </w:p>
    <w:p w14:paraId="031075A6" w14:textId="3E0FA818" w:rsidR="00E669EA" w:rsidRPr="00591AEA" w:rsidRDefault="00CF7F90">
      <w:pPr>
        <w:pStyle w:val="Obsah1"/>
        <w:rPr>
          <w:rFonts w:asciiTheme="minorHAnsi" w:eastAsiaTheme="minorEastAsia" w:hAnsiTheme="minorHAnsi" w:cstheme="minorBidi"/>
          <w:b w:val="0"/>
        </w:rPr>
      </w:pPr>
      <w:hyperlink w:anchor="_Toc5869380" w:history="1">
        <w:r w:rsidR="00E669EA" w:rsidRPr="00591AEA">
          <w:rPr>
            <w:rStyle w:val="Hypertextovprepojenie"/>
            <w:b w:val="0"/>
          </w:rPr>
          <w:t>2</w:t>
        </w:r>
        <w:r w:rsidR="00E669EA" w:rsidRPr="00591AEA">
          <w:rPr>
            <w:rFonts w:asciiTheme="minorHAnsi" w:eastAsiaTheme="minorEastAsia" w:hAnsiTheme="minorHAnsi" w:cstheme="minorBidi"/>
            <w:b w:val="0"/>
          </w:rPr>
          <w:tab/>
        </w:r>
        <w:r w:rsidR="00E669EA" w:rsidRPr="00591AEA">
          <w:rPr>
            <w:rStyle w:val="Hypertextovprepojenie"/>
            <w:b w:val="0"/>
          </w:rPr>
          <w:t>POZÍCIA VEREJNÝCH FINANCIÍ</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_Toc5869380 \h </w:instrText>
        </w:r>
        <w:r w:rsidR="00E669EA" w:rsidRPr="00591AEA">
          <w:rPr>
            <w:b w:val="0"/>
            <w:webHidden/>
          </w:rPr>
        </w:r>
        <w:r w:rsidR="00E669EA" w:rsidRPr="00591AEA">
          <w:rPr>
            <w:b w:val="0"/>
            <w:webHidden/>
          </w:rPr>
          <w:fldChar w:fldCharType="separate"/>
        </w:r>
        <w:r w:rsidR="00D5739E">
          <w:rPr>
            <w:b w:val="0"/>
            <w:webHidden/>
          </w:rPr>
          <w:t>13</w:t>
        </w:r>
        <w:r w:rsidR="00E669EA" w:rsidRPr="00591AEA">
          <w:rPr>
            <w:b w:val="0"/>
            <w:webHidden/>
          </w:rPr>
          <w:fldChar w:fldCharType="end"/>
        </w:r>
      </w:hyperlink>
    </w:p>
    <w:p w14:paraId="297E12D6" w14:textId="79B08532" w:rsidR="00E669EA" w:rsidRPr="00591AEA" w:rsidRDefault="00CF7F90">
      <w:pPr>
        <w:pStyle w:val="Obsah2"/>
        <w:rPr>
          <w:rFonts w:asciiTheme="minorHAnsi" w:eastAsiaTheme="minorEastAsia" w:hAnsiTheme="minorHAnsi" w:cstheme="minorBidi"/>
        </w:rPr>
      </w:pPr>
      <w:hyperlink w:anchor="_Toc5869381" w:history="1">
        <w:r w:rsidR="00E669EA" w:rsidRPr="00591AEA">
          <w:rPr>
            <w:rStyle w:val="Hypertextovprepojenie"/>
          </w:rPr>
          <w:t>2.1</w:t>
        </w:r>
        <w:r w:rsidR="00E669EA" w:rsidRPr="00591AEA">
          <w:rPr>
            <w:rFonts w:asciiTheme="minorHAnsi" w:eastAsiaTheme="minorEastAsia" w:hAnsiTheme="minorHAnsi" w:cstheme="minorBidi"/>
          </w:rPr>
          <w:tab/>
        </w:r>
        <w:r w:rsidR="00E669EA" w:rsidRPr="00591AEA">
          <w:rPr>
            <w:rStyle w:val="Hypertextovprepojenie"/>
          </w:rPr>
          <w:t>Saldo verejnej správy v roku 2018</w:t>
        </w:r>
        <w:r w:rsidR="00E669EA" w:rsidRPr="00591AEA">
          <w:rPr>
            <w:webHidden/>
          </w:rPr>
          <w:tab/>
        </w:r>
        <w:r w:rsidR="00E669EA" w:rsidRPr="00591AEA">
          <w:rPr>
            <w:webHidden/>
          </w:rPr>
          <w:fldChar w:fldCharType="begin"/>
        </w:r>
        <w:r w:rsidR="00E669EA" w:rsidRPr="00591AEA">
          <w:rPr>
            <w:webHidden/>
          </w:rPr>
          <w:instrText xml:space="preserve"> PAGEREF _Toc5869381 \h </w:instrText>
        </w:r>
        <w:r w:rsidR="00E669EA" w:rsidRPr="00591AEA">
          <w:rPr>
            <w:webHidden/>
          </w:rPr>
        </w:r>
        <w:r w:rsidR="00E669EA" w:rsidRPr="00591AEA">
          <w:rPr>
            <w:webHidden/>
          </w:rPr>
          <w:fldChar w:fldCharType="separate"/>
        </w:r>
        <w:r w:rsidR="00D5739E">
          <w:rPr>
            <w:webHidden/>
          </w:rPr>
          <w:t>14</w:t>
        </w:r>
        <w:r w:rsidR="00E669EA" w:rsidRPr="00591AEA">
          <w:rPr>
            <w:webHidden/>
          </w:rPr>
          <w:fldChar w:fldCharType="end"/>
        </w:r>
      </w:hyperlink>
    </w:p>
    <w:p w14:paraId="64A551B1" w14:textId="03F2BF43" w:rsidR="00E669EA" w:rsidRPr="00591AEA" w:rsidRDefault="00CF7F90">
      <w:pPr>
        <w:pStyle w:val="Obsah2"/>
        <w:rPr>
          <w:rFonts w:asciiTheme="minorHAnsi" w:eastAsiaTheme="minorEastAsia" w:hAnsiTheme="minorHAnsi" w:cstheme="minorBidi"/>
        </w:rPr>
      </w:pPr>
      <w:hyperlink w:anchor="_Toc5869382" w:history="1">
        <w:r w:rsidR="00E669EA" w:rsidRPr="00591AEA">
          <w:rPr>
            <w:rStyle w:val="Hypertextovprepojenie"/>
          </w:rPr>
          <w:t>2.2</w:t>
        </w:r>
        <w:r w:rsidR="00E669EA" w:rsidRPr="00591AEA">
          <w:rPr>
            <w:rFonts w:asciiTheme="minorHAnsi" w:eastAsiaTheme="minorEastAsia" w:hAnsiTheme="minorHAnsi" w:cstheme="minorBidi"/>
          </w:rPr>
          <w:tab/>
        </w:r>
        <w:r w:rsidR="00E669EA" w:rsidRPr="00591AEA">
          <w:rPr>
            <w:rStyle w:val="Hypertextovprepojenie"/>
          </w:rPr>
          <w:t>Aktuálny vývoj v roku 2019</w:t>
        </w:r>
        <w:r w:rsidR="00E669EA" w:rsidRPr="00591AEA">
          <w:rPr>
            <w:webHidden/>
          </w:rPr>
          <w:tab/>
        </w:r>
        <w:r w:rsidR="00E669EA" w:rsidRPr="00591AEA">
          <w:rPr>
            <w:webHidden/>
          </w:rPr>
          <w:fldChar w:fldCharType="begin"/>
        </w:r>
        <w:r w:rsidR="00E669EA" w:rsidRPr="00591AEA">
          <w:rPr>
            <w:webHidden/>
          </w:rPr>
          <w:instrText xml:space="preserve"> PAGEREF _Toc5869382 \h </w:instrText>
        </w:r>
        <w:r w:rsidR="00E669EA" w:rsidRPr="00591AEA">
          <w:rPr>
            <w:webHidden/>
          </w:rPr>
        </w:r>
        <w:r w:rsidR="00E669EA" w:rsidRPr="00591AEA">
          <w:rPr>
            <w:webHidden/>
          </w:rPr>
          <w:fldChar w:fldCharType="separate"/>
        </w:r>
        <w:r w:rsidR="00D5739E">
          <w:rPr>
            <w:webHidden/>
          </w:rPr>
          <w:t>16</w:t>
        </w:r>
        <w:r w:rsidR="00E669EA" w:rsidRPr="00591AEA">
          <w:rPr>
            <w:webHidden/>
          </w:rPr>
          <w:fldChar w:fldCharType="end"/>
        </w:r>
      </w:hyperlink>
    </w:p>
    <w:p w14:paraId="353BDBC0" w14:textId="12A016A1" w:rsidR="00E669EA" w:rsidRPr="00591AEA" w:rsidRDefault="00CF7F90">
      <w:pPr>
        <w:pStyle w:val="Obsah2"/>
        <w:rPr>
          <w:rFonts w:asciiTheme="minorHAnsi" w:eastAsiaTheme="minorEastAsia" w:hAnsiTheme="minorHAnsi" w:cstheme="minorBidi"/>
        </w:rPr>
      </w:pPr>
      <w:hyperlink w:anchor="_Toc5869383" w:history="1">
        <w:r w:rsidR="00E669EA" w:rsidRPr="00591AEA">
          <w:rPr>
            <w:rStyle w:val="Hypertextovprepojenie"/>
          </w:rPr>
          <w:t>2.3</w:t>
        </w:r>
        <w:r w:rsidR="00E669EA" w:rsidRPr="00591AEA">
          <w:rPr>
            <w:rFonts w:asciiTheme="minorHAnsi" w:eastAsiaTheme="minorEastAsia" w:hAnsiTheme="minorHAnsi" w:cstheme="minorBidi"/>
          </w:rPr>
          <w:tab/>
        </w:r>
        <w:r w:rsidR="00E669EA" w:rsidRPr="00591AEA">
          <w:rPr>
            <w:rStyle w:val="Hypertextovprepojenie"/>
          </w:rPr>
          <w:t>Strednodobý rozpočtový výhľad na roky 2020 až 2022</w:t>
        </w:r>
        <w:r w:rsidR="00E669EA" w:rsidRPr="00591AEA">
          <w:rPr>
            <w:webHidden/>
          </w:rPr>
          <w:tab/>
        </w:r>
        <w:r w:rsidR="00E669EA" w:rsidRPr="00591AEA">
          <w:rPr>
            <w:webHidden/>
          </w:rPr>
          <w:fldChar w:fldCharType="begin"/>
        </w:r>
        <w:r w:rsidR="00E669EA" w:rsidRPr="00591AEA">
          <w:rPr>
            <w:webHidden/>
          </w:rPr>
          <w:instrText xml:space="preserve"> PAGEREF _Toc5869383 \h </w:instrText>
        </w:r>
        <w:r w:rsidR="00E669EA" w:rsidRPr="00591AEA">
          <w:rPr>
            <w:webHidden/>
          </w:rPr>
        </w:r>
        <w:r w:rsidR="00E669EA" w:rsidRPr="00591AEA">
          <w:rPr>
            <w:webHidden/>
          </w:rPr>
          <w:fldChar w:fldCharType="separate"/>
        </w:r>
        <w:r w:rsidR="00D5739E">
          <w:rPr>
            <w:webHidden/>
          </w:rPr>
          <w:t>18</w:t>
        </w:r>
        <w:r w:rsidR="00E669EA" w:rsidRPr="00591AEA">
          <w:rPr>
            <w:webHidden/>
          </w:rPr>
          <w:fldChar w:fldCharType="end"/>
        </w:r>
      </w:hyperlink>
    </w:p>
    <w:p w14:paraId="546A3688" w14:textId="2290D530" w:rsidR="00E669EA" w:rsidRPr="00591AEA" w:rsidRDefault="00CF7F90">
      <w:pPr>
        <w:pStyle w:val="Obsah2"/>
        <w:rPr>
          <w:rFonts w:asciiTheme="minorHAnsi" w:eastAsiaTheme="minorEastAsia" w:hAnsiTheme="minorHAnsi" w:cstheme="minorBidi"/>
        </w:rPr>
      </w:pPr>
      <w:hyperlink w:anchor="_Toc5869384" w:history="1">
        <w:r w:rsidR="00E669EA" w:rsidRPr="00591AEA">
          <w:rPr>
            <w:rStyle w:val="Hypertextovprepojenie"/>
          </w:rPr>
          <w:t>2.4</w:t>
        </w:r>
        <w:r w:rsidR="00E669EA" w:rsidRPr="00591AEA">
          <w:rPr>
            <w:rFonts w:asciiTheme="minorHAnsi" w:eastAsiaTheme="minorEastAsia" w:hAnsiTheme="minorHAnsi" w:cstheme="minorBidi"/>
          </w:rPr>
          <w:tab/>
        </w:r>
        <w:r w:rsidR="00E669EA" w:rsidRPr="00591AEA">
          <w:rPr>
            <w:rStyle w:val="Hypertextovprepojenie"/>
          </w:rPr>
          <w:t>Štrukturálne saldo</w:t>
        </w:r>
        <w:r w:rsidR="00E669EA" w:rsidRPr="00591AEA">
          <w:rPr>
            <w:webHidden/>
          </w:rPr>
          <w:tab/>
        </w:r>
        <w:r w:rsidR="00E669EA" w:rsidRPr="00591AEA">
          <w:rPr>
            <w:webHidden/>
          </w:rPr>
          <w:fldChar w:fldCharType="begin"/>
        </w:r>
        <w:r w:rsidR="00E669EA" w:rsidRPr="00591AEA">
          <w:rPr>
            <w:webHidden/>
          </w:rPr>
          <w:instrText xml:space="preserve"> PAGEREF _Toc5869384 \h </w:instrText>
        </w:r>
        <w:r w:rsidR="00E669EA" w:rsidRPr="00591AEA">
          <w:rPr>
            <w:webHidden/>
          </w:rPr>
        </w:r>
        <w:r w:rsidR="00E669EA" w:rsidRPr="00591AEA">
          <w:rPr>
            <w:webHidden/>
          </w:rPr>
          <w:fldChar w:fldCharType="separate"/>
        </w:r>
        <w:r w:rsidR="00D5739E">
          <w:rPr>
            <w:webHidden/>
          </w:rPr>
          <w:t>18</w:t>
        </w:r>
        <w:r w:rsidR="00E669EA" w:rsidRPr="00591AEA">
          <w:rPr>
            <w:webHidden/>
          </w:rPr>
          <w:fldChar w:fldCharType="end"/>
        </w:r>
      </w:hyperlink>
    </w:p>
    <w:p w14:paraId="09BADAD3" w14:textId="294F5CD8" w:rsidR="00E669EA" w:rsidRPr="00591AEA" w:rsidRDefault="00CF7F90">
      <w:pPr>
        <w:pStyle w:val="Obsah2"/>
        <w:rPr>
          <w:rFonts w:asciiTheme="minorHAnsi" w:eastAsiaTheme="minorEastAsia" w:hAnsiTheme="minorHAnsi" w:cstheme="minorBidi"/>
        </w:rPr>
      </w:pPr>
      <w:hyperlink w:anchor="_Toc5869385" w:history="1">
        <w:r w:rsidR="00E669EA" w:rsidRPr="00591AEA">
          <w:rPr>
            <w:rStyle w:val="Hypertextovprepojenie"/>
          </w:rPr>
          <w:t>2.5</w:t>
        </w:r>
        <w:r w:rsidR="00E669EA" w:rsidRPr="00591AEA">
          <w:rPr>
            <w:rFonts w:asciiTheme="minorHAnsi" w:eastAsiaTheme="minorEastAsia" w:hAnsiTheme="minorHAnsi" w:cstheme="minorBidi"/>
          </w:rPr>
          <w:tab/>
        </w:r>
        <w:r w:rsidR="00E669EA" w:rsidRPr="00591AEA">
          <w:rPr>
            <w:rStyle w:val="Hypertextovprepojenie"/>
          </w:rPr>
          <w:t>Výdavkové pravidlo</w:t>
        </w:r>
        <w:r w:rsidR="00E669EA" w:rsidRPr="00591AEA">
          <w:rPr>
            <w:webHidden/>
          </w:rPr>
          <w:tab/>
        </w:r>
        <w:r w:rsidR="00E669EA" w:rsidRPr="00591AEA">
          <w:rPr>
            <w:webHidden/>
          </w:rPr>
          <w:fldChar w:fldCharType="begin"/>
        </w:r>
        <w:r w:rsidR="00E669EA" w:rsidRPr="00591AEA">
          <w:rPr>
            <w:webHidden/>
          </w:rPr>
          <w:instrText xml:space="preserve"> PAGEREF _Toc5869385 \h </w:instrText>
        </w:r>
        <w:r w:rsidR="00E669EA" w:rsidRPr="00591AEA">
          <w:rPr>
            <w:webHidden/>
          </w:rPr>
        </w:r>
        <w:r w:rsidR="00E669EA" w:rsidRPr="00591AEA">
          <w:rPr>
            <w:webHidden/>
          </w:rPr>
          <w:fldChar w:fldCharType="separate"/>
        </w:r>
        <w:r w:rsidR="00D5739E">
          <w:rPr>
            <w:webHidden/>
          </w:rPr>
          <w:t>20</w:t>
        </w:r>
        <w:r w:rsidR="00E669EA" w:rsidRPr="00591AEA">
          <w:rPr>
            <w:webHidden/>
          </w:rPr>
          <w:fldChar w:fldCharType="end"/>
        </w:r>
      </w:hyperlink>
    </w:p>
    <w:p w14:paraId="606974D7" w14:textId="64A98C1B" w:rsidR="00E669EA" w:rsidRPr="00591AEA" w:rsidRDefault="00CF7F90">
      <w:pPr>
        <w:pStyle w:val="Obsah2"/>
        <w:rPr>
          <w:rFonts w:asciiTheme="minorHAnsi" w:eastAsiaTheme="minorEastAsia" w:hAnsiTheme="minorHAnsi" w:cstheme="minorBidi"/>
        </w:rPr>
      </w:pPr>
      <w:hyperlink w:anchor="_Toc5869386" w:history="1">
        <w:r w:rsidR="00E669EA" w:rsidRPr="00591AEA">
          <w:rPr>
            <w:rStyle w:val="Hypertextovprepojenie"/>
          </w:rPr>
          <w:t>2.6</w:t>
        </w:r>
        <w:r w:rsidR="00E669EA" w:rsidRPr="00591AEA">
          <w:rPr>
            <w:rFonts w:asciiTheme="minorHAnsi" w:eastAsiaTheme="minorEastAsia" w:hAnsiTheme="minorHAnsi" w:cstheme="minorBidi"/>
          </w:rPr>
          <w:tab/>
        </w:r>
        <w:r w:rsidR="00E669EA" w:rsidRPr="00591AEA">
          <w:rPr>
            <w:rStyle w:val="Hypertextovprepojenie"/>
          </w:rPr>
          <w:t>Scenár nezmenených politík</w:t>
        </w:r>
        <w:r w:rsidR="00E669EA" w:rsidRPr="00591AEA">
          <w:rPr>
            <w:webHidden/>
          </w:rPr>
          <w:tab/>
        </w:r>
        <w:r w:rsidR="00E669EA" w:rsidRPr="00591AEA">
          <w:rPr>
            <w:webHidden/>
          </w:rPr>
          <w:fldChar w:fldCharType="begin"/>
        </w:r>
        <w:r w:rsidR="00E669EA" w:rsidRPr="00591AEA">
          <w:rPr>
            <w:webHidden/>
          </w:rPr>
          <w:instrText xml:space="preserve"> PAGEREF _Toc5869386 \h </w:instrText>
        </w:r>
        <w:r w:rsidR="00E669EA" w:rsidRPr="00591AEA">
          <w:rPr>
            <w:webHidden/>
          </w:rPr>
        </w:r>
        <w:r w:rsidR="00E669EA" w:rsidRPr="00591AEA">
          <w:rPr>
            <w:webHidden/>
          </w:rPr>
          <w:fldChar w:fldCharType="separate"/>
        </w:r>
        <w:r w:rsidR="00D5739E">
          <w:rPr>
            <w:webHidden/>
          </w:rPr>
          <w:t>21</w:t>
        </w:r>
        <w:r w:rsidR="00E669EA" w:rsidRPr="00591AEA">
          <w:rPr>
            <w:webHidden/>
          </w:rPr>
          <w:fldChar w:fldCharType="end"/>
        </w:r>
      </w:hyperlink>
    </w:p>
    <w:p w14:paraId="48B4520B" w14:textId="5770C624" w:rsidR="00E669EA" w:rsidRPr="00591AEA" w:rsidRDefault="00CF7F90">
      <w:pPr>
        <w:pStyle w:val="Obsah2"/>
        <w:rPr>
          <w:rFonts w:asciiTheme="minorHAnsi" w:eastAsiaTheme="minorEastAsia" w:hAnsiTheme="minorHAnsi" w:cstheme="minorBidi"/>
        </w:rPr>
      </w:pPr>
      <w:hyperlink w:anchor="_Toc5869387" w:history="1">
        <w:r w:rsidR="00E669EA" w:rsidRPr="00591AEA">
          <w:rPr>
            <w:rStyle w:val="Hypertextovprepojenie"/>
          </w:rPr>
          <w:t>2.7</w:t>
        </w:r>
        <w:r w:rsidR="00E669EA" w:rsidRPr="00591AEA">
          <w:rPr>
            <w:rFonts w:asciiTheme="minorHAnsi" w:eastAsiaTheme="minorEastAsia" w:hAnsiTheme="minorHAnsi" w:cstheme="minorBidi"/>
          </w:rPr>
          <w:tab/>
        </w:r>
        <w:r w:rsidR="00E669EA" w:rsidRPr="00591AEA">
          <w:rPr>
            <w:rStyle w:val="Hypertextovprepojenie"/>
          </w:rPr>
          <w:t>Verejný dlh</w:t>
        </w:r>
        <w:r w:rsidR="00E669EA" w:rsidRPr="00591AEA">
          <w:rPr>
            <w:webHidden/>
          </w:rPr>
          <w:tab/>
        </w:r>
        <w:r w:rsidR="00E669EA" w:rsidRPr="00591AEA">
          <w:rPr>
            <w:webHidden/>
          </w:rPr>
          <w:fldChar w:fldCharType="begin"/>
        </w:r>
        <w:r w:rsidR="00E669EA" w:rsidRPr="00591AEA">
          <w:rPr>
            <w:webHidden/>
          </w:rPr>
          <w:instrText xml:space="preserve"> PAGEREF _Toc5869387 \h </w:instrText>
        </w:r>
        <w:r w:rsidR="00E669EA" w:rsidRPr="00591AEA">
          <w:rPr>
            <w:webHidden/>
          </w:rPr>
        </w:r>
        <w:r w:rsidR="00E669EA" w:rsidRPr="00591AEA">
          <w:rPr>
            <w:webHidden/>
          </w:rPr>
          <w:fldChar w:fldCharType="separate"/>
        </w:r>
        <w:r w:rsidR="00D5739E">
          <w:rPr>
            <w:webHidden/>
          </w:rPr>
          <w:t>24</w:t>
        </w:r>
        <w:r w:rsidR="00E669EA" w:rsidRPr="00591AEA">
          <w:rPr>
            <w:webHidden/>
          </w:rPr>
          <w:fldChar w:fldCharType="end"/>
        </w:r>
      </w:hyperlink>
    </w:p>
    <w:p w14:paraId="48BC4617" w14:textId="1C6E4738" w:rsidR="00E669EA" w:rsidRPr="00591AEA" w:rsidRDefault="00CF7F90">
      <w:pPr>
        <w:pStyle w:val="Obsah1"/>
        <w:rPr>
          <w:rFonts w:asciiTheme="minorHAnsi" w:eastAsiaTheme="minorEastAsia" w:hAnsiTheme="minorHAnsi" w:cstheme="minorBidi"/>
          <w:b w:val="0"/>
        </w:rPr>
      </w:pPr>
      <w:hyperlink w:anchor="_Toc5869388" w:history="1">
        <w:r w:rsidR="00E669EA" w:rsidRPr="00591AEA">
          <w:rPr>
            <w:rStyle w:val="Hypertextovprepojenie"/>
            <w:b w:val="0"/>
          </w:rPr>
          <w:t>3</w:t>
        </w:r>
        <w:r w:rsidR="00E669EA" w:rsidRPr="00591AEA">
          <w:rPr>
            <w:rFonts w:asciiTheme="minorHAnsi" w:eastAsiaTheme="minorEastAsia" w:hAnsiTheme="minorHAnsi" w:cstheme="minorBidi"/>
            <w:b w:val="0"/>
          </w:rPr>
          <w:tab/>
        </w:r>
        <w:r w:rsidR="00E669EA" w:rsidRPr="00591AEA">
          <w:rPr>
            <w:rStyle w:val="Hypertextovprepojenie"/>
            <w:b w:val="0"/>
          </w:rPr>
          <w:t>ANALÝZY SENZITIVITY A POROVNANIE S PREDCHÁDZAJÚCOU AKTUALIZÁCIOU</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_Toc5869388 \h </w:instrText>
        </w:r>
        <w:r w:rsidR="00E669EA" w:rsidRPr="00591AEA">
          <w:rPr>
            <w:b w:val="0"/>
            <w:webHidden/>
          </w:rPr>
        </w:r>
        <w:r w:rsidR="00E669EA" w:rsidRPr="00591AEA">
          <w:rPr>
            <w:b w:val="0"/>
            <w:webHidden/>
          </w:rPr>
          <w:fldChar w:fldCharType="separate"/>
        </w:r>
        <w:r w:rsidR="00D5739E">
          <w:rPr>
            <w:b w:val="0"/>
            <w:webHidden/>
          </w:rPr>
          <w:t>27</w:t>
        </w:r>
        <w:r w:rsidR="00E669EA" w:rsidRPr="00591AEA">
          <w:rPr>
            <w:b w:val="0"/>
            <w:webHidden/>
          </w:rPr>
          <w:fldChar w:fldCharType="end"/>
        </w:r>
      </w:hyperlink>
    </w:p>
    <w:p w14:paraId="79D9AEE1" w14:textId="4DAEF7A6" w:rsidR="00E669EA" w:rsidRPr="00591AEA" w:rsidRDefault="00CF7F90">
      <w:pPr>
        <w:pStyle w:val="Obsah2"/>
        <w:rPr>
          <w:rFonts w:asciiTheme="minorHAnsi" w:eastAsiaTheme="minorEastAsia" w:hAnsiTheme="minorHAnsi" w:cstheme="minorBidi"/>
        </w:rPr>
      </w:pPr>
      <w:hyperlink w:anchor="_Toc5869389" w:history="1">
        <w:r w:rsidR="00E669EA" w:rsidRPr="00591AEA">
          <w:rPr>
            <w:rStyle w:val="Hypertextovprepojenie"/>
          </w:rPr>
          <w:t>3.1</w:t>
        </w:r>
        <w:r w:rsidR="00E669EA" w:rsidRPr="00591AEA">
          <w:rPr>
            <w:rFonts w:asciiTheme="minorHAnsi" w:eastAsiaTheme="minorEastAsia" w:hAnsiTheme="minorHAnsi" w:cstheme="minorBidi"/>
          </w:rPr>
          <w:tab/>
        </w:r>
        <w:r w:rsidR="00E669EA" w:rsidRPr="00591AEA">
          <w:rPr>
            <w:rStyle w:val="Hypertextovprepojenie"/>
          </w:rPr>
          <w:t>Rizikové scenáre vývoja</w:t>
        </w:r>
        <w:r w:rsidR="00E669EA" w:rsidRPr="00591AEA">
          <w:rPr>
            <w:webHidden/>
          </w:rPr>
          <w:tab/>
        </w:r>
        <w:r w:rsidR="00E669EA" w:rsidRPr="00591AEA">
          <w:rPr>
            <w:webHidden/>
          </w:rPr>
          <w:fldChar w:fldCharType="begin"/>
        </w:r>
        <w:r w:rsidR="00E669EA" w:rsidRPr="00591AEA">
          <w:rPr>
            <w:webHidden/>
          </w:rPr>
          <w:instrText xml:space="preserve"> PAGEREF _Toc5869389 \h </w:instrText>
        </w:r>
        <w:r w:rsidR="00E669EA" w:rsidRPr="00591AEA">
          <w:rPr>
            <w:webHidden/>
          </w:rPr>
        </w:r>
        <w:r w:rsidR="00E669EA" w:rsidRPr="00591AEA">
          <w:rPr>
            <w:webHidden/>
          </w:rPr>
          <w:fldChar w:fldCharType="separate"/>
        </w:r>
        <w:r w:rsidR="00D5739E">
          <w:rPr>
            <w:webHidden/>
          </w:rPr>
          <w:t>27</w:t>
        </w:r>
        <w:r w:rsidR="00E669EA" w:rsidRPr="00591AEA">
          <w:rPr>
            <w:webHidden/>
          </w:rPr>
          <w:fldChar w:fldCharType="end"/>
        </w:r>
      </w:hyperlink>
    </w:p>
    <w:p w14:paraId="2F16D55E" w14:textId="4C5F8002" w:rsidR="00E669EA" w:rsidRPr="00591AEA" w:rsidRDefault="00CF7F90">
      <w:pPr>
        <w:pStyle w:val="Obsah2"/>
        <w:rPr>
          <w:rFonts w:asciiTheme="minorHAnsi" w:eastAsiaTheme="minorEastAsia" w:hAnsiTheme="minorHAnsi" w:cstheme="minorBidi"/>
        </w:rPr>
      </w:pPr>
      <w:hyperlink w:anchor="_Toc5869390" w:history="1">
        <w:r w:rsidR="00E669EA" w:rsidRPr="00591AEA">
          <w:rPr>
            <w:rStyle w:val="Hypertextovprepojenie"/>
          </w:rPr>
          <w:t>3.2</w:t>
        </w:r>
        <w:r w:rsidR="00E669EA" w:rsidRPr="00591AEA">
          <w:rPr>
            <w:rFonts w:asciiTheme="minorHAnsi" w:eastAsiaTheme="minorEastAsia" w:hAnsiTheme="minorHAnsi" w:cstheme="minorBidi"/>
          </w:rPr>
          <w:tab/>
        </w:r>
        <w:r w:rsidR="00E669EA" w:rsidRPr="00591AEA">
          <w:rPr>
            <w:rStyle w:val="Hypertextovprepojenie"/>
          </w:rPr>
          <w:t>Porovnanie s predchádzajúcou aktualizáciou</w:t>
        </w:r>
        <w:r w:rsidR="00E669EA" w:rsidRPr="00591AEA">
          <w:rPr>
            <w:webHidden/>
          </w:rPr>
          <w:tab/>
        </w:r>
        <w:r w:rsidR="00E669EA" w:rsidRPr="00591AEA">
          <w:rPr>
            <w:webHidden/>
          </w:rPr>
          <w:fldChar w:fldCharType="begin"/>
        </w:r>
        <w:r w:rsidR="00E669EA" w:rsidRPr="00591AEA">
          <w:rPr>
            <w:webHidden/>
          </w:rPr>
          <w:instrText xml:space="preserve"> PAGEREF _Toc5869390 \h </w:instrText>
        </w:r>
        <w:r w:rsidR="00E669EA" w:rsidRPr="00591AEA">
          <w:rPr>
            <w:webHidden/>
          </w:rPr>
        </w:r>
        <w:r w:rsidR="00E669EA" w:rsidRPr="00591AEA">
          <w:rPr>
            <w:webHidden/>
          </w:rPr>
          <w:fldChar w:fldCharType="separate"/>
        </w:r>
        <w:r w:rsidR="00D5739E">
          <w:rPr>
            <w:webHidden/>
          </w:rPr>
          <w:t>29</w:t>
        </w:r>
        <w:r w:rsidR="00E669EA" w:rsidRPr="00591AEA">
          <w:rPr>
            <w:webHidden/>
          </w:rPr>
          <w:fldChar w:fldCharType="end"/>
        </w:r>
      </w:hyperlink>
    </w:p>
    <w:p w14:paraId="1A0432B8" w14:textId="06BEAB5D" w:rsidR="00E669EA" w:rsidRPr="00591AEA" w:rsidRDefault="00CF7F90">
      <w:pPr>
        <w:pStyle w:val="Obsah1"/>
        <w:rPr>
          <w:rFonts w:asciiTheme="minorHAnsi" w:eastAsiaTheme="minorEastAsia" w:hAnsiTheme="minorHAnsi" w:cstheme="minorBidi"/>
          <w:b w:val="0"/>
        </w:rPr>
      </w:pPr>
      <w:hyperlink w:anchor="_Toc5869391" w:history="1">
        <w:r w:rsidR="00E669EA" w:rsidRPr="00591AEA">
          <w:rPr>
            <w:rStyle w:val="Hypertextovprepojenie"/>
            <w:rFonts w:cs="Arial Narrow"/>
            <w:b w:val="0"/>
          </w:rPr>
          <w:t>4</w:t>
        </w:r>
        <w:r w:rsidR="00E669EA" w:rsidRPr="00591AEA">
          <w:rPr>
            <w:rFonts w:asciiTheme="minorHAnsi" w:eastAsiaTheme="minorEastAsia" w:hAnsiTheme="minorHAnsi" w:cstheme="minorBidi"/>
            <w:b w:val="0"/>
          </w:rPr>
          <w:tab/>
        </w:r>
        <w:r w:rsidR="00E669EA" w:rsidRPr="00591AEA">
          <w:rPr>
            <w:rStyle w:val="Hypertextovprepojenie"/>
            <w:b w:val="0"/>
          </w:rPr>
          <w:t>UDRŽATEĽNOSŤ VEREJNÝCH FINANCIÍ</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_Toc5869391 \h </w:instrText>
        </w:r>
        <w:r w:rsidR="00E669EA" w:rsidRPr="00591AEA">
          <w:rPr>
            <w:b w:val="0"/>
            <w:webHidden/>
          </w:rPr>
        </w:r>
        <w:r w:rsidR="00E669EA" w:rsidRPr="00591AEA">
          <w:rPr>
            <w:b w:val="0"/>
            <w:webHidden/>
          </w:rPr>
          <w:fldChar w:fldCharType="separate"/>
        </w:r>
        <w:r w:rsidR="00D5739E">
          <w:rPr>
            <w:b w:val="0"/>
            <w:webHidden/>
          </w:rPr>
          <w:t>30</w:t>
        </w:r>
        <w:r w:rsidR="00E669EA" w:rsidRPr="00591AEA">
          <w:rPr>
            <w:b w:val="0"/>
            <w:webHidden/>
          </w:rPr>
          <w:fldChar w:fldCharType="end"/>
        </w:r>
      </w:hyperlink>
    </w:p>
    <w:p w14:paraId="2E1A7FD5" w14:textId="5BC0D212" w:rsidR="00E669EA" w:rsidRPr="00591AEA" w:rsidRDefault="00CF7F90">
      <w:pPr>
        <w:pStyle w:val="Obsah2"/>
        <w:rPr>
          <w:rFonts w:asciiTheme="minorHAnsi" w:eastAsiaTheme="minorEastAsia" w:hAnsiTheme="minorHAnsi" w:cstheme="minorBidi"/>
        </w:rPr>
      </w:pPr>
      <w:hyperlink w:anchor="_Toc5869392" w:history="1">
        <w:r w:rsidR="00E669EA" w:rsidRPr="00591AEA">
          <w:rPr>
            <w:rStyle w:val="Hypertextovprepojenie"/>
          </w:rPr>
          <w:t>4.1</w:t>
        </w:r>
        <w:r w:rsidR="00E669EA" w:rsidRPr="00591AEA">
          <w:rPr>
            <w:rFonts w:asciiTheme="minorHAnsi" w:eastAsiaTheme="minorEastAsia" w:hAnsiTheme="minorHAnsi" w:cstheme="minorBidi"/>
          </w:rPr>
          <w:tab/>
        </w:r>
        <w:r w:rsidR="00E669EA" w:rsidRPr="00591AEA">
          <w:rPr>
            <w:rStyle w:val="Hypertextovprepojenie"/>
          </w:rPr>
          <w:t>Hodnotenie celkovej udržateľnosti verejných financií</w:t>
        </w:r>
        <w:r w:rsidR="00E669EA" w:rsidRPr="00591AEA">
          <w:rPr>
            <w:webHidden/>
          </w:rPr>
          <w:tab/>
        </w:r>
        <w:r w:rsidR="00E669EA" w:rsidRPr="00591AEA">
          <w:rPr>
            <w:webHidden/>
          </w:rPr>
          <w:fldChar w:fldCharType="begin"/>
        </w:r>
        <w:r w:rsidR="00E669EA" w:rsidRPr="00591AEA">
          <w:rPr>
            <w:webHidden/>
          </w:rPr>
          <w:instrText xml:space="preserve"> PAGEREF _Toc5869392 \h </w:instrText>
        </w:r>
        <w:r w:rsidR="00E669EA" w:rsidRPr="00591AEA">
          <w:rPr>
            <w:webHidden/>
          </w:rPr>
        </w:r>
        <w:r w:rsidR="00E669EA" w:rsidRPr="00591AEA">
          <w:rPr>
            <w:webHidden/>
          </w:rPr>
          <w:fldChar w:fldCharType="separate"/>
        </w:r>
        <w:r w:rsidR="00D5739E">
          <w:rPr>
            <w:webHidden/>
          </w:rPr>
          <w:t>30</w:t>
        </w:r>
        <w:r w:rsidR="00E669EA" w:rsidRPr="00591AEA">
          <w:rPr>
            <w:webHidden/>
          </w:rPr>
          <w:fldChar w:fldCharType="end"/>
        </w:r>
      </w:hyperlink>
    </w:p>
    <w:p w14:paraId="49A6D0B1" w14:textId="0F47DABA" w:rsidR="00E669EA" w:rsidRPr="00591AEA" w:rsidRDefault="00CF7F90">
      <w:pPr>
        <w:pStyle w:val="Obsah2"/>
        <w:rPr>
          <w:rFonts w:asciiTheme="minorHAnsi" w:eastAsiaTheme="minorEastAsia" w:hAnsiTheme="minorHAnsi" w:cstheme="minorBidi"/>
        </w:rPr>
      </w:pPr>
      <w:hyperlink w:anchor="_Toc5869393" w:history="1">
        <w:r w:rsidR="00E669EA" w:rsidRPr="00591AEA">
          <w:rPr>
            <w:rStyle w:val="Hypertextovprepojenie"/>
          </w:rPr>
          <w:t>4.2</w:t>
        </w:r>
        <w:r w:rsidR="00E669EA" w:rsidRPr="00591AEA">
          <w:rPr>
            <w:rFonts w:asciiTheme="minorHAnsi" w:eastAsiaTheme="minorEastAsia" w:hAnsiTheme="minorHAnsi" w:cstheme="minorBidi"/>
          </w:rPr>
          <w:tab/>
        </w:r>
        <w:r w:rsidR="00E669EA" w:rsidRPr="00591AEA">
          <w:rPr>
            <w:rStyle w:val="Hypertextovprepojenie"/>
          </w:rPr>
          <w:t>Aktuálne zmeny v politikách citlivých na starnutie populácie</w:t>
        </w:r>
        <w:r w:rsidR="00E669EA" w:rsidRPr="00591AEA">
          <w:rPr>
            <w:webHidden/>
          </w:rPr>
          <w:tab/>
        </w:r>
        <w:r w:rsidR="00E669EA" w:rsidRPr="00591AEA">
          <w:rPr>
            <w:webHidden/>
          </w:rPr>
          <w:fldChar w:fldCharType="begin"/>
        </w:r>
        <w:r w:rsidR="00E669EA" w:rsidRPr="00591AEA">
          <w:rPr>
            <w:webHidden/>
          </w:rPr>
          <w:instrText xml:space="preserve"> PAGEREF _Toc5869393 \h </w:instrText>
        </w:r>
        <w:r w:rsidR="00E669EA" w:rsidRPr="00591AEA">
          <w:rPr>
            <w:webHidden/>
          </w:rPr>
        </w:r>
        <w:r w:rsidR="00E669EA" w:rsidRPr="00591AEA">
          <w:rPr>
            <w:webHidden/>
          </w:rPr>
          <w:fldChar w:fldCharType="separate"/>
        </w:r>
        <w:r w:rsidR="00D5739E">
          <w:rPr>
            <w:webHidden/>
          </w:rPr>
          <w:t>32</w:t>
        </w:r>
        <w:r w:rsidR="00E669EA" w:rsidRPr="00591AEA">
          <w:rPr>
            <w:webHidden/>
          </w:rPr>
          <w:fldChar w:fldCharType="end"/>
        </w:r>
      </w:hyperlink>
    </w:p>
    <w:p w14:paraId="1FA0E6A0" w14:textId="529ED169" w:rsidR="00E669EA" w:rsidRPr="00591AEA" w:rsidRDefault="00CF7F90">
      <w:pPr>
        <w:pStyle w:val="Obsah1"/>
        <w:rPr>
          <w:rFonts w:asciiTheme="minorHAnsi" w:eastAsiaTheme="minorEastAsia" w:hAnsiTheme="minorHAnsi" w:cstheme="minorBidi"/>
          <w:b w:val="0"/>
        </w:rPr>
      </w:pPr>
      <w:hyperlink w:anchor="_Toc5869394" w:history="1">
        <w:r w:rsidR="00E669EA" w:rsidRPr="00591AEA">
          <w:rPr>
            <w:rStyle w:val="Hypertextovprepojenie"/>
            <w:rFonts w:cs="Arial Narrow"/>
            <w:b w:val="0"/>
          </w:rPr>
          <w:t>5</w:t>
        </w:r>
        <w:r w:rsidR="00E669EA" w:rsidRPr="00591AEA">
          <w:rPr>
            <w:rFonts w:asciiTheme="minorHAnsi" w:eastAsiaTheme="minorEastAsia" w:hAnsiTheme="minorHAnsi" w:cstheme="minorBidi"/>
            <w:b w:val="0"/>
          </w:rPr>
          <w:tab/>
        </w:r>
        <w:r w:rsidR="00E669EA" w:rsidRPr="00591AEA">
          <w:rPr>
            <w:rStyle w:val="Hypertextovprepojenie"/>
            <w:rFonts w:cs="Arial Narrow"/>
            <w:b w:val="0"/>
          </w:rPr>
          <w:t>KVALITA VEREJNÝCH FINANCIÍ</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_Toc5869394 \h </w:instrText>
        </w:r>
        <w:r w:rsidR="00E669EA" w:rsidRPr="00591AEA">
          <w:rPr>
            <w:b w:val="0"/>
            <w:webHidden/>
          </w:rPr>
        </w:r>
        <w:r w:rsidR="00E669EA" w:rsidRPr="00591AEA">
          <w:rPr>
            <w:b w:val="0"/>
            <w:webHidden/>
          </w:rPr>
          <w:fldChar w:fldCharType="separate"/>
        </w:r>
        <w:r w:rsidR="00D5739E">
          <w:rPr>
            <w:b w:val="0"/>
            <w:webHidden/>
          </w:rPr>
          <w:t>34</w:t>
        </w:r>
        <w:r w:rsidR="00E669EA" w:rsidRPr="00591AEA">
          <w:rPr>
            <w:b w:val="0"/>
            <w:webHidden/>
          </w:rPr>
          <w:fldChar w:fldCharType="end"/>
        </w:r>
      </w:hyperlink>
    </w:p>
    <w:p w14:paraId="7ABC572C" w14:textId="31D479B2" w:rsidR="00E669EA" w:rsidRPr="00591AEA" w:rsidRDefault="00CF7F90">
      <w:pPr>
        <w:pStyle w:val="Obsah2"/>
        <w:rPr>
          <w:rFonts w:asciiTheme="minorHAnsi" w:eastAsiaTheme="minorEastAsia" w:hAnsiTheme="minorHAnsi" w:cstheme="minorBidi"/>
        </w:rPr>
      </w:pPr>
      <w:hyperlink w:anchor="_Toc5869395" w:history="1">
        <w:r w:rsidR="00E669EA" w:rsidRPr="00591AEA">
          <w:rPr>
            <w:rStyle w:val="Hypertextovprepojenie"/>
            <w:rFonts w:cs="Arial"/>
            <w:bCs/>
            <w:iCs/>
          </w:rPr>
          <w:t>5.1</w:t>
        </w:r>
        <w:r w:rsidR="00E669EA" w:rsidRPr="00591AEA">
          <w:rPr>
            <w:rFonts w:asciiTheme="minorHAnsi" w:eastAsiaTheme="minorEastAsia" w:hAnsiTheme="minorHAnsi" w:cstheme="minorBidi"/>
          </w:rPr>
          <w:tab/>
        </w:r>
        <w:r w:rsidR="00E669EA" w:rsidRPr="00591AEA">
          <w:rPr>
            <w:rStyle w:val="Hypertextovprepojenie"/>
            <w:rFonts w:cs="Arial"/>
            <w:bCs/>
            <w:iCs/>
          </w:rPr>
          <w:t>Príjmové ciele rozpočtu verejnej správy</w:t>
        </w:r>
        <w:r w:rsidR="00E669EA" w:rsidRPr="00591AEA">
          <w:rPr>
            <w:webHidden/>
          </w:rPr>
          <w:tab/>
        </w:r>
        <w:r w:rsidR="00E669EA" w:rsidRPr="00591AEA">
          <w:rPr>
            <w:webHidden/>
          </w:rPr>
          <w:fldChar w:fldCharType="begin"/>
        </w:r>
        <w:r w:rsidR="00E669EA" w:rsidRPr="00591AEA">
          <w:rPr>
            <w:webHidden/>
          </w:rPr>
          <w:instrText xml:space="preserve"> PAGEREF _Toc5869395 \h </w:instrText>
        </w:r>
        <w:r w:rsidR="00E669EA" w:rsidRPr="00591AEA">
          <w:rPr>
            <w:webHidden/>
          </w:rPr>
        </w:r>
        <w:r w:rsidR="00E669EA" w:rsidRPr="00591AEA">
          <w:rPr>
            <w:webHidden/>
          </w:rPr>
          <w:fldChar w:fldCharType="separate"/>
        </w:r>
        <w:r w:rsidR="00D5739E">
          <w:rPr>
            <w:webHidden/>
          </w:rPr>
          <w:t>34</w:t>
        </w:r>
        <w:r w:rsidR="00E669EA" w:rsidRPr="00591AEA">
          <w:rPr>
            <w:webHidden/>
          </w:rPr>
          <w:fldChar w:fldCharType="end"/>
        </w:r>
      </w:hyperlink>
    </w:p>
    <w:p w14:paraId="26692507" w14:textId="3F4D5F41" w:rsidR="00E669EA" w:rsidRPr="00591AEA" w:rsidRDefault="00CF7F90">
      <w:pPr>
        <w:pStyle w:val="Obsah2"/>
        <w:rPr>
          <w:rFonts w:asciiTheme="minorHAnsi" w:eastAsiaTheme="minorEastAsia" w:hAnsiTheme="minorHAnsi" w:cstheme="minorBidi"/>
        </w:rPr>
      </w:pPr>
      <w:hyperlink w:anchor="_Toc5869396" w:history="1">
        <w:r w:rsidR="00E669EA" w:rsidRPr="00591AEA">
          <w:rPr>
            <w:rStyle w:val="Hypertextovprepojenie"/>
            <w:rFonts w:cs="Arial"/>
            <w:bCs/>
            <w:iCs/>
          </w:rPr>
          <w:t>Boj proti daňovým únikom</w:t>
        </w:r>
        <w:r w:rsidR="00E669EA" w:rsidRPr="00591AEA">
          <w:rPr>
            <w:webHidden/>
          </w:rPr>
          <w:tab/>
        </w:r>
        <w:r w:rsidR="00E669EA" w:rsidRPr="00591AEA">
          <w:rPr>
            <w:webHidden/>
          </w:rPr>
          <w:fldChar w:fldCharType="begin"/>
        </w:r>
        <w:r w:rsidR="00E669EA" w:rsidRPr="00591AEA">
          <w:rPr>
            <w:webHidden/>
          </w:rPr>
          <w:instrText xml:space="preserve"> PAGEREF _Toc5869396 \h </w:instrText>
        </w:r>
        <w:r w:rsidR="00E669EA" w:rsidRPr="00591AEA">
          <w:rPr>
            <w:webHidden/>
          </w:rPr>
        </w:r>
        <w:r w:rsidR="00E669EA" w:rsidRPr="00591AEA">
          <w:rPr>
            <w:webHidden/>
          </w:rPr>
          <w:fldChar w:fldCharType="separate"/>
        </w:r>
        <w:r w:rsidR="00D5739E">
          <w:rPr>
            <w:webHidden/>
          </w:rPr>
          <w:t>35</w:t>
        </w:r>
        <w:r w:rsidR="00E669EA" w:rsidRPr="00591AEA">
          <w:rPr>
            <w:webHidden/>
          </w:rPr>
          <w:fldChar w:fldCharType="end"/>
        </w:r>
      </w:hyperlink>
    </w:p>
    <w:p w14:paraId="2ABE42B4" w14:textId="164C264B" w:rsidR="00E669EA" w:rsidRPr="00591AEA" w:rsidRDefault="00CF7F90">
      <w:pPr>
        <w:pStyle w:val="Obsah2"/>
        <w:rPr>
          <w:rFonts w:asciiTheme="minorHAnsi" w:eastAsiaTheme="minorEastAsia" w:hAnsiTheme="minorHAnsi" w:cstheme="minorBidi"/>
        </w:rPr>
      </w:pPr>
      <w:hyperlink w:anchor="_Toc5869397" w:history="1">
        <w:r w:rsidR="00E669EA" w:rsidRPr="00591AEA">
          <w:rPr>
            <w:rStyle w:val="Hypertextovprepojenie"/>
            <w:rFonts w:cs="Arial"/>
            <w:bCs/>
            <w:iCs/>
          </w:rPr>
          <w:t>5.2</w:t>
        </w:r>
        <w:r w:rsidR="00E669EA" w:rsidRPr="00591AEA">
          <w:rPr>
            <w:rFonts w:asciiTheme="minorHAnsi" w:eastAsiaTheme="minorEastAsia" w:hAnsiTheme="minorHAnsi" w:cstheme="minorBidi"/>
          </w:rPr>
          <w:tab/>
        </w:r>
        <w:r w:rsidR="00E669EA" w:rsidRPr="00591AEA">
          <w:rPr>
            <w:rStyle w:val="Hypertextovprepojenie"/>
            <w:rFonts w:cs="Arial"/>
            <w:bCs/>
            <w:iCs/>
          </w:rPr>
          <w:t>Výdavkové ciele rozpočtu verejnej správy</w:t>
        </w:r>
        <w:r w:rsidR="00E669EA" w:rsidRPr="00591AEA">
          <w:rPr>
            <w:webHidden/>
          </w:rPr>
          <w:tab/>
        </w:r>
        <w:r w:rsidR="00E669EA" w:rsidRPr="00591AEA">
          <w:rPr>
            <w:webHidden/>
          </w:rPr>
          <w:fldChar w:fldCharType="begin"/>
        </w:r>
        <w:r w:rsidR="00E669EA" w:rsidRPr="00591AEA">
          <w:rPr>
            <w:webHidden/>
          </w:rPr>
          <w:instrText xml:space="preserve"> PAGEREF _Toc5869397 \h </w:instrText>
        </w:r>
        <w:r w:rsidR="00E669EA" w:rsidRPr="00591AEA">
          <w:rPr>
            <w:webHidden/>
          </w:rPr>
        </w:r>
        <w:r w:rsidR="00E669EA" w:rsidRPr="00591AEA">
          <w:rPr>
            <w:webHidden/>
          </w:rPr>
          <w:fldChar w:fldCharType="separate"/>
        </w:r>
        <w:r w:rsidR="00D5739E">
          <w:rPr>
            <w:webHidden/>
          </w:rPr>
          <w:t>36</w:t>
        </w:r>
        <w:r w:rsidR="00E669EA" w:rsidRPr="00591AEA">
          <w:rPr>
            <w:webHidden/>
          </w:rPr>
          <w:fldChar w:fldCharType="end"/>
        </w:r>
      </w:hyperlink>
    </w:p>
    <w:p w14:paraId="6011BFF7" w14:textId="0265D162" w:rsidR="00E669EA" w:rsidRPr="00591AEA" w:rsidRDefault="00CF7F90">
      <w:pPr>
        <w:pStyle w:val="Obsah2"/>
        <w:rPr>
          <w:rFonts w:asciiTheme="minorHAnsi" w:eastAsiaTheme="minorEastAsia" w:hAnsiTheme="minorHAnsi" w:cstheme="minorBidi"/>
        </w:rPr>
      </w:pPr>
      <w:hyperlink w:anchor="_Toc5869398" w:history="1">
        <w:r w:rsidR="00E669EA" w:rsidRPr="00591AEA">
          <w:rPr>
            <w:rStyle w:val="Hypertextovprepojenie"/>
            <w:rFonts w:cs="Arial"/>
            <w:bCs/>
            <w:iCs/>
          </w:rPr>
          <w:t>Revízia výdavkov</w:t>
        </w:r>
        <w:r w:rsidR="00E669EA" w:rsidRPr="00591AEA">
          <w:rPr>
            <w:webHidden/>
          </w:rPr>
          <w:tab/>
        </w:r>
        <w:r w:rsidR="00E669EA" w:rsidRPr="00591AEA">
          <w:rPr>
            <w:webHidden/>
          </w:rPr>
          <w:fldChar w:fldCharType="begin"/>
        </w:r>
        <w:r w:rsidR="00E669EA" w:rsidRPr="00591AEA">
          <w:rPr>
            <w:webHidden/>
          </w:rPr>
          <w:instrText xml:space="preserve"> PAGEREF _Toc5869398 \h </w:instrText>
        </w:r>
        <w:r w:rsidR="00E669EA" w:rsidRPr="00591AEA">
          <w:rPr>
            <w:webHidden/>
          </w:rPr>
        </w:r>
        <w:r w:rsidR="00E669EA" w:rsidRPr="00591AEA">
          <w:rPr>
            <w:webHidden/>
          </w:rPr>
          <w:fldChar w:fldCharType="separate"/>
        </w:r>
        <w:r w:rsidR="00D5739E">
          <w:rPr>
            <w:webHidden/>
          </w:rPr>
          <w:t>37</w:t>
        </w:r>
        <w:r w:rsidR="00E669EA" w:rsidRPr="00591AEA">
          <w:rPr>
            <w:webHidden/>
          </w:rPr>
          <w:fldChar w:fldCharType="end"/>
        </w:r>
      </w:hyperlink>
    </w:p>
    <w:p w14:paraId="23FE5900" w14:textId="171E50AE" w:rsidR="00E669EA" w:rsidRPr="00591AEA" w:rsidRDefault="00CF7F90">
      <w:pPr>
        <w:pStyle w:val="Obsah1"/>
        <w:rPr>
          <w:rFonts w:asciiTheme="minorHAnsi" w:eastAsiaTheme="minorEastAsia" w:hAnsiTheme="minorHAnsi" w:cstheme="minorBidi"/>
          <w:b w:val="0"/>
        </w:rPr>
      </w:pPr>
      <w:hyperlink w:anchor="_Toc5869399" w:history="1">
        <w:r w:rsidR="00E669EA" w:rsidRPr="00591AEA">
          <w:rPr>
            <w:rStyle w:val="Hypertextovprepojenie"/>
            <w:rFonts w:cs="Arial Narrow"/>
            <w:b w:val="0"/>
          </w:rPr>
          <w:t>6</w:t>
        </w:r>
        <w:r w:rsidR="00E669EA" w:rsidRPr="00591AEA">
          <w:rPr>
            <w:rFonts w:asciiTheme="minorHAnsi" w:eastAsiaTheme="minorEastAsia" w:hAnsiTheme="minorHAnsi" w:cstheme="minorBidi"/>
            <w:b w:val="0"/>
          </w:rPr>
          <w:tab/>
        </w:r>
        <w:r w:rsidR="00E669EA" w:rsidRPr="00591AEA">
          <w:rPr>
            <w:rStyle w:val="Hypertextovprepojenie"/>
            <w:rFonts w:cs="Arial Narrow"/>
            <w:b w:val="0"/>
          </w:rPr>
          <w:t>INŠTITUCIONÁLNE ASPEKTY VEREJNÝCH FINANCIÍ</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_Toc5869399 \h </w:instrText>
        </w:r>
        <w:r w:rsidR="00E669EA" w:rsidRPr="00591AEA">
          <w:rPr>
            <w:b w:val="0"/>
            <w:webHidden/>
          </w:rPr>
        </w:r>
        <w:r w:rsidR="00E669EA" w:rsidRPr="00591AEA">
          <w:rPr>
            <w:b w:val="0"/>
            <w:webHidden/>
          </w:rPr>
          <w:fldChar w:fldCharType="separate"/>
        </w:r>
        <w:r w:rsidR="00D5739E">
          <w:rPr>
            <w:b w:val="0"/>
            <w:webHidden/>
          </w:rPr>
          <w:t>39</w:t>
        </w:r>
        <w:r w:rsidR="00E669EA" w:rsidRPr="00591AEA">
          <w:rPr>
            <w:b w:val="0"/>
            <w:webHidden/>
          </w:rPr>
          <w:fldChar w:fldCharType="end"/>
        </w:r>
      </w:hyperlink>
    </w:p>
    <w:p w14:paraId="6FA9088C" w14:textId="0109DFE9" w:rsidR="00E669EA" w:rsidRPr="00591AEA" w:rsidRDefault="00CF7F90">
      <w:pPr>
        <w:pStyle w:val="Obsah1"/>
        <w:rPr>
          <w:rFonts w:asciiTheme="minorHAnsi" w:eastAsiaTheme="minorEastAsia" w:hAnsiTheme="minorHAnsi" w:cstheme="minorBidi"/>
          <w:b w:val="0"/>
        </w:rPr>
      </w:pPr>
      <w:hyperlink w:anchor="_Toc5869400" w:history="1">
        <w:r w:rsidR="00E669EA" w:rsidRPr="00591AEA">
          <w:rPr>
            <w:rStyle w:val="Hypertextovprepojenie"/>
            <w:rFonts w:cs="Arial Narrow"/>
            <w:b w:val="0"/>
          </w:rPr>
          <w:t>7</w:t>
        </w:r>
        <w:r w:rsidR="00E669EA" w:rsidRPr="00591AEA">
          <w:rPr>
            <w:rFonts w:asciiTheme="minorHAnsi" w:eastAsiaTheme="minorEastAsia" w:hAnsiTheme="minorHAnsi" w:cstheme="minorBidi"/>
            <w:b w:val="0"/>
          </w:rPr>
          <w:tab/>
        </w:r>
        <w:r w:rsidR="00E669EA" w:rsidRPr="00591AEA">
          <w:rPr>
            <w:rStyle w:val="Hypertextovprepojenie"/>
            <w:rFonts w:cs="Arial Narrow"/>
            <w:b w:val="0"/>
          </w:rPr>
          <w:t>ŠTRUKTURÁLNE POLITIKY</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_Toc5869400 \h </w:instrText>
        </w:r>
        <w:r w:rsidR="00E669EA" w:rsidRPr="00591AEA">
          <w:rPr>
            <w:b w:val="0"/>
            <w:webHidden/>
          </w:rPr>
        </w:r>
        <w:r w:rsidR="00E669EA" w:rsidRPr="00591AEA">
          <w:rPr>
            <w:b w:val="0"/>
            <w:webHidden/>
          </w:rPr>
          <w:fldChar w:fldCharType="separate"/>
        </w:r>
        <w:r w:rsidR="00D5739E">
          <w:rPr>
            <w:b w:val="0"/>
            <w:webHidden/>
          </w:rPr>
          <w:t>41</w:t>
        </w:r>
        <w:r w:rsidR="00E669EA" w:rsidRPr="00591AEA">
          <w:rPr>
            <w:b w:val="0"/>
            <w:webHidden/>
          </w:rPr>
          <w:fldChar w:fldCharType="end"/>
        </w:r>
      </w:hyperlink>
    </w:p>
    <w:p w14:paraId="42B9E1DD" w14:textId="72DF96B4" w:rsidR="00E669EA" w:rsidRPr="00591AEA" w:rsidRDefault="00CF7F90">
      <w:pPr>
        <w:pStyle w:val="Obsah1"/>
        <w:rPr>
          <w:rFonts w:asciiTheme="minorHAnsi" w:eastAsiaTheme="minorEastAsia" w:hAnsiTheme="minorHAnsi" w:cstheme="minorBidi"/>
          <w:b w:val="0"/>
        </w:rPr>
      </w:pPr>
      <w:hyperlink w:anchor="_Toc5869401" w:history="1">
        <w:r w:rsidR="00E669EA" w:rsidRPr="00591AEA">
          <w:rPr>
            <w:rStyle w:val="Hypertextovprepojenie"/>
            <w:b w:val="0"/>
          </w:rPr>
          <w:t>PRÍLOHY</w:t>
        </w:r>
        <w:r w:rsidR="00E669EA" w:rsidRPr="00591AEA">
          <w:rPr>
            <w:b w:val="0"/>
            <w:webHidden/>
          </w:rPr>
          <w:tab/>
        </w:r>
        <w:r w:rsidR="00E669EA" w:rsidRPr="00591AEA">
          <w:rPr>
            <w:b w:val="0"/>
            <w:webHidden/>
          </w:rPr>
          <w:fldChar w:fldCharType="begin"/>
        </w:r>
        <w:r w:rsidR="00E669EA" w:rsidRPr="00591AEA">
          <w:rPr>
            <w:b w:val="0"/>
            <w:webHidden/>
          </w:rPr>
          <w:instrText xml:space="preserve"> PAGEREF _Toc5869401 \h </w:instrText>
        </w:r>
        <w:r w:rsidR="00E669EA" w:rsidRPr="00591AEA">
          <w:rPr>
            <w:b w:val="0"/>
            <w:webHidden/>
          </w:rPr>
        </w:r>
        <w:r w:rsidR="00E669EA" w:rsidRPr="00591AEA">
          <w:rPr>
            <w:b w:val="0"/>
            <w:webHidden/>
          </w:rPr>
          <w:fldChar w:fldCharType="separate"/>
        </w:r>
        <w:r w:rsidR="00D5739E">
          <w:rPr>
            <w:b w:val="0"/>
            <w:webHidden/>
          </w:rPr>
          <w:t>43</w:t>
        </w:r>
        <w:r w:rsidR="00E669EA" w:rsidRPr="00591AEA">
          <w:rPr>
            <w:b w:val="0"/>
            <w:webHidden/>
          </w:rPr>
          <w:fldChar w:fldCharType="end"/>
        </w:r>
      </w:hyperlink>
    </w:p>
    <w:p w14:paraId="0FCF5142" w14:textId="77777777" w:rsidR="00D04761" w:rsidRPr="0080233D" w:rsidRDefault="00D04761" w:rsidP="00D04761">
      <w:pPr>
        <w:rPr>
          <w:highlight w:val="yellow"/>
        </w:rPr>
      </w:pPr>
      <w:r w:rsidRPr="00252CAA">
        <w:fldChar w:fldCharType="end"/>
      </w:r>
      <w:r w:rsidRPr="0080233D">
        <w:rPr>
          <w:highlight w:val="yellow"/>
        </w:rPr>
        <w:br w:type="page"/>
      </w:r>
    </w:p>
    <w:p w14:paraId="1F6D18B0" w14:textId="77777777" w:rsidR="00D04761" w:rsidRPr="00744D1F" w:rsidRDefault="00D04761" w:rsidP="00D04761">
      <w:pPr>
        <w:spacing w:after="240"/>
        <w:rPr>
          <w:rFonts w:cs="Arial Narrow"/>
          <w:b/>
          <w:color w:val="2C9ADC"/>
        </w:rPr>
      </w:pPr>
      <w:r w:rsidRPr="00744D1F">
        <w:rPr>
          <w:rFonts w:cs="Arial Narrow"/>
          <w:b/>
          <w:color w:val="2C9ADC"/>
        </w:rPr>
        <w:lastRenderedPageBreak/>
        <w:t>ZOZNAM BOXOV, TABULIEK A GRAFOV</w:t>
      </w:r>
    </w:p>
    <w:p w14:paraId="03F0A9D1" w14:textId="77777777" w:rsidR="00F961A8" w:rsidRPr="00F961A8" w:rsidRDefault="00D04761">
      <w:pPr>
        <w:pStyle w:val="Zoznamobrzkov"/>
        <w:tabs>
          <w:tab w:val="right" w:leader="dot" w:pos="9060"/>
        </w:tabs>
        <w:rPr>
          <w:rFonts w:asciiTheme="minorHAnsi" w:eastAsiaTheme="minorEastAsia" w:hAnsiTheme="minorHAnsi" w:cstheme="minorBidi"/>
          <w:noProof/>
        </w:rPr>
      </w:pPr>
      <w:r w:rsidRPr="00744D1F">
        <w:rPr>
          <w:rStyle w:val="Hypertextovprepojenie"/>
          <w:rFonts w:eastAsiaTheme="minorHAnsi"/>
          <w:noProof/>
          <w:lang w:eastAsia="en-US"/>
        </w:rPr>
        <w:fldChar w:fldCharType="begin"/>
      </w:r>
      <w:r w:rsidRPr="00744D1F">
        <w:rPr>
          <w:rStyle w:val="Hypertextovprepojenie"/>
          <w:rFonts w:eastAsiaTheme="minorHAnsi"/>
          <w:noProof/>
          <w:lang w:eastAsia="en-US"/>
        </w:rPr>
        <w:instrText xml:space="preserve"> TOC \h \z \c "BOX" </w:instrText>
      </w:r>
      <w:r w:rsidRPr="00744D1F">
        <w:rPr>
          <w:rStyle w:val="Hypertextovprepojenie"/>
          <w:rFonts w:eastAsiaTheme="minorHAnsi"/>
          <w:noProof/>
          <w:lang w:eastAsia="en-US"/>
        </w:rPr>
        <w:fldChar w:fldCharType="separate"/>
      </w:r>
      <w:hyperlink w:anchor="_Toc6314055" w:history="1">
        <w:r w:rsidR="00F961A8" w:rsidRPr="00F961A8">
          <w:rPr>
            <w:rStyle w:val="Hypertextovprepojenie"/>
            <w:noProof/>
          </w:rPr>
          <w:t xml:space="preserve">BOX 1 </w:t>
        </w:r>
        <w:r w:rsidR="00F961A8" w:rsidRPr="00F961A8">
          <w:rPr>
            <w:rStyle w:val="Hypertextovprepojenie"/>
            <w:rFonts w:eastAsia="NeueHaasGroteskText W02" w:cs="Arial"/>
            <w:bCs/>
            <w:noProof/>
            <w:u w:color="2C9ADC"/>
          </w:rPr>
          <w:t>- Predpoklady externého prostredia</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_Toc6314055 \h </w:instrText>
        </w:r>
        <w:r w:rsidR="00F961A8" w:rsidRPr="00F961A8">
          <w:rPr>
            <w:noProof/>
            <w:webHidden/>
          </w:rPr>
        </w:r>
        <w:r w:rsidR="00F961A8" w:rsidRPr="00F961A8">
          <w:rPr>
            <w:noProof/>
            <w:webHidden/>
          </w:rPr>
          <w:fldChar w:fldCharType="separate"/>
        </w:r>
        <w:r w:rsidR="00D5739E">
          <w:rPr>
            <w:noProof/>
            <w:webHidden/>
          </w:rPr>
          <w:t>10</w:t>
        </w:r>
        <w:r w:rsidR="00F961A8" w:rsidRPr="00F961A8">
          <w:rPr>
            <w:noProof/>
            <w:webHidden/>
          </w:rPr>
          <w:fldChar w:fldCharType="end"/>
        </w:r>
      </w:hyperlink>
    </w:p>
    <w:p w14:paraId="42AF5ABE"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056" w:history="1">
        <w:r w:rsidR="00F961A8" w:rsidRPr="00C31187">
          <w:rPr>
            <w:rStyle w:val="Hypertextovprepojenie"/>
            <w:noProof/>
          </w:rPr>
          <w:t>BOX 2</w:t>
        </w:r>
        <w:r w:rsidR="00F961A8" w:rsidRPr="00C31187">
          <w:rPr>
            <w:rStyle w:val="Hypertextovprepojenie"/>
            <w:rFonts w:cs="Arial"/>
            <w:noProof/>
          </w:rPr>
          <w:t xml:space="preserve"> - Metodické rozdiely pri výpočte potenciálneho produktu zo strany MF SR a EK</w:t>
        </w:r>
        <w:r w:rsidR="00F961A8">
          <w:rPr>
            <w:noProof/>
            <w:webHidden/>
          </w:rPr>
          <w:tab/>
        </w:r>
        <w:r w:rsidR="00F961A8">
          <w:rPr>
            <w:noProof/>
            <w:webHidden/>
          </w:rPr>
          <w:fldChar w:fldCharType="begin"/>
        </w:r>
        <w:r w:rsidR="00F961A8">
          <w:rPr>
            <w:noProof/>
            <w:webHidden/>
          </w:rPr>
          <w:instrText xml:space="preserve"> PAGEREF _Toc6314056 \h </w:instrText>
        </w:r>
        <w:r w:rsidR="00F961A8">
          <w:rPr>
            <w:noProof/>
            <w:webHidden/>
          </w:rPr>
        </w:r>
        <w:r w:rsidR="00F961A8">
          <w:rPr>
            <w:noProof/>
            <w:webHidden/>
          </w:rPr>
          <w:fldChar w:fldCharType="separate"/>
        </w:r>
        <w:r w:rsidR="00D5739E">
          <w:rPr>
            <w:noProof/>
            <w:webHidden/>
          </w:rPr>
          <w:t>11</w:t>
        </w:r>
        <w:r w:rsidR="00F961A8">
          <w:rPr>
            <w:noProof/>
            <w:webHidden/>
          </w:rPr>
          <w:fldChar w:fldCharType="end"/>
        </w:r>
      </w:hyperlink>
    </w:p>
    <w:p w14:paraId="5C38FE1E"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057" w:history="1">
        <w:r w:rsidR="00F961A8" w:rsidRPr="00C31187">
          <w:rPr>
            <w:rStyle w:val="Hypertextovprepojenie"/>
            <w:noProof/>
          </w:rPr>
          <w:t>BOX 3 - Vyhodnotenie daňových príjmov za rok 2018, ktoré prognózuje Výbor pre daňové prognózy</w:t>
        </w:r>
        <w:r w:rsidR="00F961A8">
          <w:rPr>
            <w:noProof/>
            <w:webHidden/>
          </w:rPr>
          <w:tab/>
        </w:r>
        <w:r w:rsidR="00F961A8">
          <w:rPr>
            <w:noProof/>
            <w:webHidden/>
          </w:rPr>
          <w:fldChar w:fldCharType="begin"/>
        </w:r>
        <w:r w:rsidR="00F961A8">
          <w:rPr>
            <w:noProof/>
            <w:webHidden/>
          </w:rPr>
          <w:instrText xml:space="preserve"> PAGEREF _Toc6314057 \h </w:instrText>
        </w:r>
        <w:r w:rsidR="00F961A8">
          <w:rPr>
            <w:noProof/>
            <w:webHidden/>
          </w:rPr>
        </w:r>
        <w:r w:rsidR="00F961A8">
          <w:rPr>
            <w:noProof/>
            <w:webHidden/>
          </w:rPr>
          <w:fldChar w:fldCharType="separate"/>
        </w:r>
        <w:r w:rsidR="00D5739E">
          <w:rPr>
            <w:noProof/>
            <w:webHidden/>
          </w:rPr>
          <w:t>15</w:t>
        </w:r>
        <w:r w:rsidR="00F961A8">
          <w:rPr>
            <w:noProof/>
            <w:webHidden/>
          </w:rPr>
          <w:fldChar w:fldCharType="end"/>
        </w:r>
      </w:hyperlink>
    </w:p>
    <w:p w14:paraId="1179AF99"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058" w:history="1">
        <w:r w:rsidR="00F961A8" w:rsidRPr="00C31187">
          <w:rPr>
            <w:rStyle w:val="Hypertextovprepojenie"/>
            <w:noProof/>
          </w:rPr>
          <w:t>BOX 4 - Zosúladenie dlhu a deficitu (tzv. stock - flow adjustment)</w:t>
        </w:r>
        <w:r w:rsidR="00F961A8">
          <w:rPr>
            <w:noProof/>
            <w:webHidden/>
          </w:rPr>
          <w:tab/>
        </w:r>
        <w:r w:rsidR="00F961A8">
          <w:rPr>
            <w:noProof/>
            <w:webHidden/>
          </w:rPr>
          <w:fldChar w:fldCharType="begin"/>
        </w:r>
        <w:r w:rsidR="00F961A8">
          <w:rPr>
            <w:noProof/>
            <w:webHidden/>
          </w:rPr>
          <w:instrText xml:space="preserve"> PAGEREF _Toc6314058 \h </w:instrText>
        </w:r>
        <w:r w:rsidR="00F961A8">
          <w:rPr>
            <w:noProof/>
            <w:webHidden/>
          </w:rPr>
        </w:r>
        <w:r w:rsidR="00F961A8">
          <w:rPr>
            <w:noProof/>
            <w:webHidden/>
          </w:rPr>
          <w:fldChar w:fldCharType="separate"/>
        </w:r>
        <w:r w:rsidR="00D5739E">
          <w:rPr>
            <w:noProof/>
            <w:webHidden/>
          </w:rPr>
          <w:t>26</w:t>
        </w:r>
        <w:r w:rsidR="00F961A8">
          <w:rPr>
            <w:noProof/>
            <w:webHidden/>
          </w:rPr>
          <w:fldChar w:fldCharType="end"/>
        </w:r>
      </w:hyperlink>
    </w:p>
    <w:p w14:paraId="04524D3D"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059" w:history="1">
        <w:r w:rsidR="00F961A8" w:rsidRPr="00C31187">
          <w:rPr>
            <w:rStyle w:val="Hypertextovprepojenie"/>
            <w:noProof/>
          </w:rPr>
          <w:t>BOX 5 -</w:t>
        </w:r>
        <w:r w:rsidR="00F961A8" w:rsidRPr="00C31187">
          <w:rPr>
            <w:rStyle w:val="Hypertextovprepojenie"/>
            <w:rFonts w:eastAsiaTheme="minorHAnsi"/>
            <w:noProof/>
            <w:lang w:eastAsia="en-US"/>
          </w:rPr>
          <w:t xml:space="preserve"> Hodnotenie udržateľnosti verejných financií podľa Európskej komisie</w:t>
        </w:r>
        <w:r w:rsidR="00F961A8">
          <w:rPr>
            <w:noProof/>
            <w:webHidden/>
          </w:rPr>
          <w:tab/>
        </w:r>
        <w:r w:rsidR="00F961A8">
          <w:rPr>
            <w:noProof/>
            <w:webHidden/>
          </w:rPr>
          <w:fldChar w:fldCharType="begin"/>
        </w:r>
        <w:r w:rsidR="00F961A8">
          <w:rPr>
            <w:noProof/>
            <w:webHidden/>
          </w:rPr>
          <w:instrText xml:space="preserve"> PAGEREF _Toc6314059 \h </w:instrText>
        </w:r>
        <w:r w:rsidR="00F961A8">
          <w:rPr>
            <w:noProof/>
            <w:webHidden/>
          </w:rPr>
        </w:r>
        <w:r w:rsidR="00F961A8">
          <w:rPr>
            <w:noProof/>
            <w:webHidden/>
          </w:rPr>
          <w:fldChar w:fldCharType="separate"/>
        </w:r>
        <w:r w:rsidR="00D5739E">
          <w:rPr>
            <w:noProof/>
            <w:webHidden/>
          </w:rPr>
          <w:t>31</w:t>
        </w:r>
        <w:r w:rsidR="00F961A8">
          <w:rPr>
            <w:noProof/>
            <w:webHidden/>
          </w:rPr>
          <w:fldChar w:fldCharType="end"/>
        </w:r>
      </w:hyperlink>
    </w:p>
    <w:p w14:paraId="7A2030E8" w14:textId="77777777" w:rsidR="00D04761" w:rsidRPr="004E1827" w:rsidRDefault="00D04761" w:rsidP="00D04761">
      <w:pPr>
        <w:pStyle w:val="Zoznamobrzkov"/>
        <w:tabs>
          <w:tab w:val="right" w:leader="dot" w:pos="9060"/>
        </w:tabs>
        <w:spacing w:line="360" w:lineRule="auto"/>
        <w:rPr>
          <w:rStyle w:val="Hypertextovprepojenie"/>
          <w:rFonts w:eastAsiaTheme="minorHAnsi"/>
          <w:noProof/>
          <w:lang w:eastAsia="en-US"/>
        </w:rPr>
      </w:pPr>
      <w:r w:rsidRPr="00744D1F">
        <w:rPr>
          <w:rStyle w:val="Hypertextovprepojenie"/>
          <w:rFonts w:eastAsiaTheme="minorHAnsi"/>
          <w:noProof/>
          <w:lang w:eastAsia="en-US"/>
        </w:rPr>
        <w:fldChar w:fldCharType="end"/>
      </w:r>
    </w:p>
    <w:p w14:paraId="25479F04" w14:textId="77777777" w:rsidR="00F961A8" w:rsidRPr="00F961A8" w:rsidRDefault="00D04761">
      <w:pPr>
        <w:pStyle w:val="Zoznamobrzkov"/>
        <w:tabs>
          <w:tab w:val="right" w:leader="dot" w:pos="9060"/>
        </w:tabs>
        <w:rPr>
          <w:rFonts w:asciiTheme="minorHAnsi" w:eastAsiaTheme="minorEastAsia" w:hAnsiTheme="minorHAnsi" w:cstheme="minorBidi"/>
          <w:noProof/>
        </w:rPr>
      </w:pPr>
      <w:r w:rsidRPr="00F961A8">
        <w:rPr>
          <w:rStyle w:val="Hypertextovprepojenie"/>
          <w:rFonts w:eastAsiaTheme="minorHAnsi"/>
          <w:noProof/>
          <w:lang w:eastAsia="en-US"/>
        </w:rPr>
        <w:fldChar w:fldCharType="begin"/>
      </w:r>
      <w:r w:rsidRPr="00F961A8">
        <w:rPr>
          <w:rStyle w:val="Hypertextovprepojenie"/>
          <w:rFonts w:eastAsiaTheme="minorHAnsi"/>
          <w:noProof/>
          <w:lang w:eastAsia="en-US"/>
        </w:rPr>
        <w:instrText xml:space="preserve"> TOC \h \z \c "TABUĽKA" </w:instrText>
      </w:r>
      <w:r w:rsidRPr="00F961A8">
        <w:rPr>
          <w:rStyle w:val="Hypertextovprepojenie"/>
          <w:rFonts w:eastAsiaTheme="minorHAnsi"/>
          <w:noProof/>
          <w:lang w:eastAsia="en-US"/>
        </w:rPr>
        <w:fldChar w:fldCharType="separate"/>
      </w:r>
      <w:hyperlink w:anchor="_Toc6314200" w:history="1">
        <w:r w:rsidR="00F961A8" w:rsidRPr="00F961A8">
          <w:rPr>
            <w:rStyle w:val="Hypertextovprepojenie"/>
            <w:rFonts w:eastAsiaTheme="minorHAnsi"/>
            <w:noProof/>
            <w:lang w:eastAsia="en-US"/>
          </w:rPr>
          <w:t>TABUĽKA 1 - Prognóza vybraných indikátorov vývoja ekonomiky SR pre roky 2019 až 2022</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_Toc6314200 \h </w:instrText>
        </w:r>
        <w:r w:rsidR="00F961A8" w:rsidRPr="00F961A8">
          <w:rPr>
            <w:noProof/>
            <w:webHidden/>
          </w:rPr>
        </w:r>
        <w:r w:rsidR="00F961A8" w:rsidRPr="00F961A8">
          <w:rPr>
            <w:noProof/>
            <w:webHidden/>
          </w:rPr>
          <w:fldChar w:fldCharType="separate"/>
        </w:r>
        <w:r w:rsidR="00D5739E">
          <w:rPr>
            <w:noProof/>
            <w:webHidden/>
          </w:rPr>
          <w:t>8</w:t>
        </w:r>
        <w:r w:rsidR="00F961A8" w:rsidRPr="00F961A8">
          <w:rPr>
            <w:noProof/>
            <w:webHidden/>
          </w:rPr>
          <w:fldChar w:fldCharType="end"/>
        </w:r>
      </w:hyperlink>
    </w:p>
    <w:p w14:paraId="47AC2E46"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1" w:history="1">
        <w:r w:rsidR="00F961A8" w:rsidRPr="00F961A8">
          <w:rPr>
            <w:rStyle w:val="Hypertextovprepojenie"/>
            <w:rFonts w:eastAsiaTheme="minorHAnsi"/>
            <w:noProof/>
            <w:lang w:eastAsia="en-US"/>
          </w:rPr>
          <w:t>TABUĽKA 2 - Príspevky výrobných faktorov k rastu potenciálneho produktu - prístup MF SR</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_Toc6314201 \h </w:instrText>
        </w:r>
        <w:r w:rsidR="00F961A8" w:rsidRPr="00F961A8">
          <w:rPr>
            <w:noProof/>
            <w:webHidden/>
          </w:rPr>
        </w:r>
        <w:r w:rsidR="00F961A8" w:rsidRPr="00F961A8">
          <w:rPr>
            <w:noProof/>
            <w:webHidden/>
          </w:rPr>
          <w:fldChar w:fldCharType="separate"/>
        </w:r>
        <w:r w:rsidR="00D5739E">
          <w:rPr>
            <w:noProof/>
            <w:webHidden/>
          </w:rPr>
          <w:t>11</w:t>
        </w:r>
        <w:r w:rsidR="00F961A8" w:rsidRPr="00F961A8">
          <w:rPr>
            <w:noProof/>
            <w:webHidden/>
          </w:rPr>
          <w:fldChar w:fldCharType="end"/>
        </w:r>
      </w:hyperlink>
    </w:p>
    <w:p w14:paraId="33781AC2"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2" w:history="1">
        <w:r w:rsidR="00F961A8" w:rsidRPr="00F961A8">
          <w:rPr>
            <w:rStyle w:val="Hypertextovprepojenie"/>
            <w:rFonts w:eastAsiaTheme="minorHAnsi"/>
            <w:noProof/>
            <w:lang w:eastAsia="en-US"/>
          </w:rPr>
          <w:t>TABUĽKA 3 - Vývoj produkčnej medzery* - prístup MF SR</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_Toc6314202 \h </w:instrText>
        </w:r>
        <w:r w:rsidR="00F961A8" w:rsidRPr="00F961A8">
          <w:rPr>
            <w:noProof/>
            <w:webHidden/>
          </w:rPr>
        </w:r>
        <w:r w:rsidR="00F961A8" w:rsidRPr="00F961A8">
          <w:rPr>
            <w:noProof/>
            <w:webHidden/>
          </w:rPr>
          <w:fldChar w:fldCharType="separate"/>
        </w:r>
        <w:r w:rsidR="00D5739E">
          <w:rPr>
            <w:noProof/>
            <w:webHidden/>
          </w:rPr>
          <w:t>11</w:t>
        </w:r>
        <w:r w:rsidR="00F961A8" w:rsidRPr="00F961A8">
          <w:rPr>
            <w:noProof/>
            <w:webHidden/>
          </w:rPr>
          <w:fldChar w:fldCharType="end"/>
        </w:r>
      </w:hyperlink>
    </w:p>
    <w:p w14:paraId="21A74A76"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3" w:history="1">
        <w:r w:rsidR="00F961A8" w:rsidRPr="00F961A8">
          <w:rPr>
            <w:rStyle w:val="Hypertextovprepojenie"/>
            <w:rFonts w:eastAsiaTheme="minorHAnsi" w:cs="Arial"/>
            <w:noProof/>
            <w:lang w:eastAsia="en-US"/>
          </w:rPr>
          <w:t>TABUĽKA 4</w:t>
        </w:r>
        <w:r w:rsidR="00F961A8" w:rsidRPr="00F961A8">
          <w:rPr>
            <w:rStyle w:val="Hypertextovprepojenie"/>
            <w:noProof/>
          </w:rPr>
          <w:t xml:space="preserve"> - Produkčná medzera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_Toc6314203 \h </w:instrText>
        </w:r>
        <w:r w:rsidR="00F961A8" w:rsidRPr="00F961A8">
          <w:rPr>
            <w:noProof/>
            <w:webHidden/>
          </w:rPr>
        </w:r>
        <w:r w:rsidR="00F961A8" w:rsidRPr="00F961A8">
          <w:rPr>
            <w:noProof/>
            <w:webHidden/>
          </w:rPr>
          <w:fldChar w:fldCharType="separate"/>
        </w:r>
        <w:r w:rsidR="00D5739E">
          <w:rPr>
            <w:noProof/>
            <w:webHidden/>
          </w:rPr>
          <w:t>11</w:t>
        </w:r>
        <w:r w:rsidR="00F961A8" w:rsidRPr="00F961A8">
          <w:rPr>
            <w:noProof/>
            <w:webHidden/>
          </w:rPr>
          <w:fldChar w:fldCharType="end"/>
        </w:r>
      </w:hyperlink>
    </w:p>
    <w:p w14:paraId="29E05D5F"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4" w:history="1">
        <w:r w:rsidR="00F961A8" w:rsidRPr="00F961A8">
          <w:rPr>
            <w:rStyle w:val="Hypertextovprepojenie"/>
            <w:rFonts w:eastAsiaTheme="minorHAnsi"/>
            <w:noProof/>
            <w:lang w:eastAsia="en-US"/>
          </w:rPr>
          <w:t>TABUĽKA 5 - Porovnanie prognóz slovenskej ekonomiky MF SR a ostatných inštitúcií</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_Toc6314204 \h </w:instrText>
        </w:r>
        <w:r w:rsidR="00F961A8" w:rsidRPr="00F961A8">
          <w:rPr>
            <w:noProof/>
            <w:webHidden/>
          </w:rPr>
        </w:r>
        <w:r w:rsidR="00F961A8" w:rsidRPr="00F961A8">
          <w:rPr>
            <w:noProof/>
            <w:webHidden/>
          </w:rPr>
          <w:fldChar w:fldCharType="separate"/>
        </w:r>
        <w:r w:rsidR="00D5739E">
          <w:rPr>
            <w:noProof/>
            <w:webHidden/>
          </w:rPr>
          <w:t>12</w:t>
        </w:r>
        <w:r w:rsidR="00F961A8" w:rsidRPr="00F961A8">
          <w:rPr>
            <w:noProof/>
            <w:webHidden/>
          </w:rPr>
          <w:fldChar w:fldCharType="end"/>
        </w:r>
      </w:hyperlink>
    </w:p>
    <w:p w14:paraId="1F6ACA73"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5" w:history="1">
        <w:r w:rsidR="00F961A8" w:rsidRPr="00F961A8">
          <w:rPr>
            <w:rStyle w:val="Hypertextovprepojenie"/>
            <w:rFonts w:eastAsiaTheme="minorHAnsi" w:cs="Arial"/>
            <w:noProof/>
            <w:lang w:eastAsia="en-US"/>
          </w:rPr>
          <w:t>TABUĽKA 6 - Zmena fiškálnych cieľov verejnej správy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_Toc6314205 \h </w:instrText>
        </w:r>
        <w:r w:rsidR="00F961A8" w:rsidRPr="00F961A8">
          <w:rPr>
            <w:noProof/>
            <w:webHidden/>
          </w:rPr>
        </w:r>
        <w:r w:rsidR="00F961A8" w:rsidRPr="00F961A8">
          <w:rPr>
            <w:noProof/>
            <w:webHidden/>
          </w:rPr>
          <w:fldChar w:fldCharType="separate"/>
        </w:r>
        <w:r w:rsidR="00D5739E">
          <w:rPr>
            <w:noProof/>
            <w:webHidden/>
          </w:rPr>
          <w:t>18</w:t>
        </w:r>
        <w:r w:rsidR="00F961A8" w:rsidRPr="00F961A8">
          <w:rPr>
            <w:noProof/>
            <w:webHidden/>
          </w:rPr>
          <w:fldChar w:fldCharType="end"/>
        </w:r>
      </w:hyperlink>
    </w:p>
    <w:p w14:paraId="5EE55573"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6" w:history="1">
        <w:r w:rsidR="00F961A8" w:rsidRPr="00F961A8">
          <w:rPr>
            <w:rStyle w:val="Hypertextovprepojenie"/>
            <w:rFonts w:eastAsiaTheme="minorHAnsi" w:cs="Arial"/>
            <w:noProof/>
            <w:lang w:eastAsia="en-US"/>
          </w:rPr>
          <w:t>TABUĽKA 7 - Konsolidačné úsilie (ESA 2010,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_Toc6314206 \h </w:instrText>
        </w:r>
        <w:r w:rsidR="00F961A8" w:rsidRPr="00F961A8">
          <w:rPr>
            <w:noProof/>
            <w:webHidden/>
          </w:rPr>
        </w:r>
        <w:r w:rsidR="00F961A8" w:rsidRPr="00F961A8">
          <w:rPr>
            <w:noProof/>
            <w:webHidden/>
          </w:rPr>
          <w:fldChar w:fldCharType="separate"/>
        </w:r>
        <w:r w:rsidR="00D5739E">
          <w:rPr>
            <w:noProof/>
            <w:webHidden/>
          </w:rPr>
          <w:t>19</w:t>
        </w:r>
        <w:r w:rsidR="00F961A8" w:rsidRPr="00F961A8">
          <w:rPr>
            <w:noProof/>
            <w:webHidden/>
          </w:rPr>
          <w:fldChar w:fldCharType="end"/>
        </w:r>
      </w:hyperlink>
    </w:p>
    <w:p w14:paraId="1F0BF50C"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7" w:history="1">
        <w:r w:rsidR="00F961A8" w:rsidRPr="00F961A8">
          <w:rPr>
            <w:rStyle w:val="Hypertextovprepojenie"/>
            <w:rFonts w:eastAsiaTheme="minorHAnsi" w:cs="Arial"/>
            <w:noProof/>
            <w:lang w:eastAsia="en-US"/>
          </w:rPr>
          <w:t>TABUĽKA 8 - Výpočet plnenia výdavkového pravidla (ESA 2010)</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_Toc6314207 \h </w:instrText>
        </w:r>
        <w:r w:rsidR="00F961A8" w:rsidRPr="00F961A8">
          <w:rPr>
            <w:noProof/>
            <w:webHidden/>
          </w:rPr>
        </w:r>
        <w:r w:rsidR="00F961A8" w:rsidRPr="00F961A8">
          <w:rPr>
            <w:noProof/>
            <w:webHidden/>
          </w:rPr>
          <w:fldChar w:fldCharType="separate"/>
        </w:r>
        <w:r w:rsidR="00D5739E">
          <w:rPr>
            <w:noProof/>
            <w:webHidden/>
          </w:rPr>
          <w:t>21</w:t>
        </w:r>
        <w:r w:rsidR="00F961A8" w:rsidRPr="00F961A8">
          <w:rPr>
            <w:noProof/>
            <w:webHidden/>
          </w:rPr>
          <w:fldChar w:fldCharType="end"/>
        </w:r>
      </w:hyperlink>
    </w:p>
    <w:p w14:paraId="28C47FCA"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8" w:history="1">
        <w:r w:rsidR="00F961A8" w:rsidRPr="00F961A8">
          <w:rPr>
            <w:rStyle w:val="Hypertextovprepojenie"/>
            <w:rFonts w:eastAsiaTheme="minorHAnsi" w:cs="Arial"/>
            <w:noProof/>
            <w:lang w:eastAsia="en-US"/>
          </w:rPr>
          <w:t xml:space="preserve">TABUĽKA 9 - </w:t>
        </w:r>
        <w:r w:rsidR="00F961A8" w:rsidRPr="00F961A8">
          <w:rPr>
            <w:rStyle w:val="Hypertextovprepojenie"/>
            <w:bCs/>
            <w:noProof/>
          </w:rPr>
          <w:t xml:space="preserve">Scenár nezmenených politík a bilancia verejnej správy </w:t>
        </w:r>
        <w:r w:rsidR="00F961A8" w:rsidRPr="00F961A8">
          <w:rPr>
            <w:rStyle w:val="Hypertextovprepojenie"/>
            <w:noProof/>
          </w:rPr>
          <w:t>(ESA 2010,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_Toc6314208 \h </w:instrText>
        </w:r>
        <w:r w:rsidR="00F961A8" w:rsidRPr="00F961A8">
          <w:rPr>
            <w:noProof/>
            <w:webHidden/>
          </w:rPr>
        </w:r>
        <w:r w:rsidR="00F961A8" w:rsidRPr="00F961A8">
          <w:rPr>
            <w:noProof/>
            <w:webHidden/>
          </w:rPr>
          <w:fldChar w:fldCharType="separate"/>
        </w:r>
        <w:r w:rsidR="00D5739E">
          <w:rPr>
            <w:noProof/>
            <w:webHidden/>
          </w:rPr>
          <w:t>21</w:t>
        </w:r>
        <w:r w:rsidR="00F961A8" w:rsidRPr="00F961A8">
          <w:rPr>
            <w:noProof/>
            <w:webHidden/>
          </w:rPr>
          <w:fldChar w:fldCharType="end"/>
        </w:r>
      </w:hyperlink>
    </w:p>
    <w:p w14:paraId="1567253A"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09" w:history="1">
        <w:r w:rsidR="00F961A8" w:rsidRPr="00F961A8">
          <w:rPr>
            <w:rStyle w:val="Hypertextovprepojenie"/>
            <w:rFonts w:eastAsiaTheme="minorHAnsi" w:cs="Arial"/>
            <w:noProof/>
            <w:lang w:eastAsia="en-US"/>
          </w:rPr>
          <w:t xml:space="preserve">TABUĽKA 10 - </w:t>
        </w:r>
        <w:r w:rsidR="00F961A8" w:rsidRPr="00F961A8">
          <w:rPr>
            <w:rStyle w:val="Hypertextovprepojenie"/>
            <w:bCs/>
            <w:noProof/>
          </w:rPr>
          <w:t>Zoznam nových opatrení vo fiškálnom rámci na roky 2020 až 2022 (ESA 2010, vplyv na saldo)</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_Toc6314209 \h </w:instrText>
        </w:r>
        <w:r w:rsidR="00F961A8" w:rsidRPr="00F961A8">
          <w:rPr>
            <w:noProof/>
            <w:webHidden/>
          </w:rPr>
        </w:r>
        <w:r w:rsidR="00F961A8" w:rsidRPr="00F961A8">
          <w:rPr>
            <w:noProof/>
            <w:webHidden/>
          </w:rPr>
          <w:fldChar w:fldCharType="separate"/>
        </w:r>
        <w:r w:rsidR="00D5739E">
          <w:rPr>
            <w:noProof/>
            <w:webHidden/>
          </w:rPr>
          <w:t>23</w:t>
        </w:r>
        <w:r w:rsidR="00F961A8" w:rsidRPr="00F961A8">
          <w:rPr>
            <w:noProof/>
            <w:webHidden/>
          </w:rPr>
          <w:fldChar w:fldCharType="end"/>
        </w:r>
      </w:hyperlink>
    </w:p>
    <w:p w14:paraId="310BE86E"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0" w:history="1">
        <w:r w:rsidR="00F961A8" w:rsidRPr="00F961A8">
          <w:rPr>
            <w:rStyle w:val="Hypertextovprepojenie"/>
            <w:rFonts w:eastAsiaTheme="minorHAnsi" w:cs="Arial"/>
            <w:noProof/>
            <w:lang w:eastAsia="en-US"/>
          </w:rPr>
          <w:t xml:space="preserve">TABUĽKA 11 - </w:t>
        </w:r>
        <w:r w:rsidR="00F961A8" w:rsidRPr="00F961A8">
          <w:rPr>
            <w:rStyle w:val="Hypertextovprepojenie"/>
            <w:noProof/>
          </w:rPr>
          <w:t>Zosúladenie dlhu a deficitu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_Toc6314210 \h </w:instrText>
        </w:r>
        <w:r w:rsidR="00F961A8" w:rsidRPr="00F961A8">
          <w:rPr>
            <w:noProof/>
            <w:webHidden/>
          </w:rPr>
        </w:r>
        <w:r w:rsidR="00F961A8" w:rsidRPr="00F961A8">
          <w:rPr>
            <w:noProof/>
            <w:webHidden/>
          </w:rPr>
          <w:fldChar w:fldCharType="separate"/>
        </w:r>
        <w:r w:rsidR="00D5739E">
          <w:rPr>
            <w:noProof/>
            <w:webHidden/>
          </w:rPr>
          <w:t>26</w:t>
        </w:r>
        <w:r w:rsidR="00F961A8" w:rsidRPr="00F961A8">
          <w:rPr>
            <w:noProof/>
            <w:webHidden/>
          </w:rPr>
          <w:fldChar w:fldCharType="end"/>
        </w:r>
      </w:hyperlink>
    </w:p>
    <w:p w14:paraId="30E08CF1"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1" w:history="1">
        <w:r w:rsidR="00F961A8" w:rsidRPr="00F961A8">
          <w:rPr>
            <w:rStyle w:val="Hypertextovprepojenie"/>
            <w:rFonts w:eastAsiaTheme="minorHAnsi"/>
            <w:noProof/>
            <w:lang w:eastAsia="en-US"/>
          </w:rPr>
          <w:t>TABUĽKA 12 - Scenár 1: Tvrdý Brexit</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_Toc6314211 \h </w:instrText>
        </w:r>
        <w:r w:rsidR="00F961A8" w:rsidRPr="00F961A8">
          <w:rPr>
            <w:noProof/>
            <w:webHidden/>
          </w:rPr>
        </w:r>
        <w:r w:rsidR="00F961A8" w:rsidRPr="00F961A8">
          <w:rPr>
            <w:noProof/>
            <w:webHidden/>
          </w:rPr>
          <w:fldChar w:fldCharType="separate"/>
        </w:r>
        <w:r w:rsidR="00D5739E">
          <w:rPr>
            <w:noProof/>
            <w:webHidden/>
          </w:rPr>
          <w:t>28</w:t>
        </w:r>
        <w:r w:rsidR="00F961A8" w:rsidRPr="00F961A8">
          <w:rPr>
            <w:noProof/>
            <w:webHidden/>
          </w:rPr>
          <w:fldChar w:fldCharType="end"/>
        </w:r>
      </w:hyperlink>
    </w:p>
    <w:p w14:paraId="318BD03E"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2" w:history="1">
        <w:r w:rsidR="00F961A8" w:rsidRPr="00F961A8">
          <w:rPr>
            <w:rStyle w:val="Hypertextovprepojenie"/>
            <w:rFonts w:eastAsiaTheme="minorHAnsi"/>
            <w:noProof/>
            <w:lang w:eastAsia="en-US"/>
          </w:rPr>
          <w:t>TABUĽKA 13 - Scenár 2: Stagnácia eurozóny v prvom polroku 2019</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_Toc6314212 \h </w:instrText>
        </w:r>
        <w:r w:rsidR="00F961A8" w:rsidRPr="00F961A8">
          <w:rPr>
            <w:noProof/>
            <w:webHidden/>
          </w:rPr>
        </w:r>
        <w:r w:rsidR="00F961A8" w:rsidRPr="00F961A8">
          <w:rPr>
            <w:noProof/>
            <w:webHidden/>
          </w:rPr>
          <w:fldChar w:fldCharType="separate"/>
        </w:r>
        <w:r w:rsidR="00D5739E">
          <w:rPr>
            <w:noProof/>
            <w:webHidden/>
          </w:rPr>
          <w:t>28</w:t>
        </w:r>
        <w:r w:rsidR="00F961A8" w:rsidRPr="00F961A8">
          <w:rPr>
            <w:noProof/>
            <w:webHidden/>
          </w:rPr>
          <w:fldChar w:fldCharType="end"/>
        </w:r>
      </w:hyperlink>
    </w:p>
    <w:p w14:paraId="5BC0BA6E"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3" w:history="1">
        <w:r w:rsidR="00F961A8" w:rsidRPr="00F961A8">
          <w:rPr>
            <w:rStyle w:val="Hypertextovprepojenie"/>
            <w:rFonts w:eastAsiaTheme="minorHAnsi"/>
            <w:noProof/>
            <w:lang w:eastAsia="en-US"/>
          </w:rPr>
          <w:t>TABUĽKA 14 - Scenár 3: Zvýšenie amerických ciel na európske automobily na 25 %</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_Toc6314213 \h </w:instrText>
        </w:r>
        <w:r w:rsidR="00F961A8" w:rsidRPr="00F961A8">
          <w:rPr>
            <w:noProof/>
            <w:webHidden/>
          </w:rPr>
        </w:r>
        <w:r w:rsidR="00F961A8" w:rsidRPr="00F961A8">
          <w:rPr>
            <w:noProof/>
            <w:webHidden/>
          </w:rPr>
          <w:fldChar w:fldCharType="separate"/>
        </w:r>
        <w:r w:rsidR="00D5739E">
          <w:rPr>
            <w:noProof/>
            <w:webHidden/>
          </w:rPr>
          <w:t>29</w:t>
        </w:r>
        <w:r w:rsidR="00F961A8" w:rsidRPr="00F961A8">
          <w:rPr>
            <w:noProof/>
            <w:webHidden/>
          </w:rPr>
          <w:fldChar w:fldCharType="end"/>
        </w:r>
      </w:hyperlink>
    </w:p>
    <w:p w14:paraId="0BBCFAFC"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4" w:history="1">
        <w:r w:rsidR="00F961A8" w:rsidRPr="00F961A8">
          <w:rPr>
            <w:rStyle w:val="Hypertextovprepojenie"/>
            <w:rFonts w:eastAsiaTheme="minorHAnsi"/>
            <w:noProof/>
            <w:lang w:eastAsia="en-US"/>
          </w:rPr>
          <w:t>TABUĽKA 15 - Porovnanie predchádzajúcej a aktualizovanej prognózy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_Toc6314214 \h </w:instrText>
        </w:r>
        <w:r w:rsidR="00F961A8" w:rsidRPr="00F961A8">
          <w:rPr>
            <w:noProof/>
            <w:webHidden/>
          </w:rPr>
        </w:r>
        <w:r w:rsidR="00F961A8" w:rsidRPr="00F961A8">
          <w:rPr>
            <w:noProof/>
            <w:webHidden/>
          </w:rPr>
          <w:fldChar w:fldCharType="separate"/>
        </w:r>
        <w:r w:rsidR="00D5739E">
          <w:rPr>
            <w:noProof/>
            <w:webHidden/>
          </w:rPr>
          <w:t>29</w:t>
        </w:r>
        <w:r w:rsidR="00F961A8" w:rsidRPr="00F961A8">
          <w:rPr>
            <w:noProof/>
            <w:webHidden/>
          </w:rPr>
          <w:fldChar w:fldCharType="end"/>
        </w:r>
      </w:hyperlink>
    </w:p>
    <w:p w14:paraId="6BF55409"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5" w:history="1">
        <w:r w:rsidR="00F961A8" w:rsidRPr="00F961A8">
          <w:rPr>
            <w:rStyle w:val="Hypertextovprepojenie"/>
            <w:rFonts w:eastAsiaTheme="minorHAnsi"/>
            <w:noProof/>
            <w:lang w:eastAsia="en-US"/>
          </w:rPr>
          <w:t>TABUĽKA 16 - Rozpočtové vplyvy zo zavedenia nových opatrení v penzijnom systéme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_Toc6314215 \h </w:instrText>
        </w:r>
        <w:r w:rsidR="00F961A8" w:rsidRPr="00F961A8">
          <w:rPr>
            <w:noProof/>
            <w:webHidden/>
          </w:rPr>
        </w:r>
        <w:r w:rsidR="00F961A8" w:rsidRPr="00F961A8">
          <w:rPr>
            <w:noProof/>
            <w:webHidden/>
          </w:rPr>
          <w:fldChar w:fldCharType="separate"/>
        </w:r>
        <w:r w:rsidR="00D5739E">
          <w:rPr>
            <w:noProof/>
            <w:webHidden/>
          </w:rPr>
          <w:t>33</w:t>
        </w:r>
        <w:r w:rsidR="00F961A8" w:rsidRPr="00F961A8">
          <w:rPr>
            <w:noProof/>
            <w:webHidden/>
          </w:rPr>
          <w:fldChar w:fldCharType="end"/>
        </w:r>
      </w:hyperlink>
    </w:p>
    <w:p w14:paraId="3DA5C9D7"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6" w:history="1">
        <w:r w:rsidR="00F961A8" w:rsidRPr="00F961A8">
          <w:rPr>
            <w:rStyle w:val="Hypertextovprepojenie"/>
            <w:rFonts w:eastAsiaTheme="minorHAnsi"/>
            <w:noProof/>
            <w:lang w:eastAsia="en-US"/>
          </w:rPr>
          <w:t>TABUĽKA 17</w:t>
        </w:r>
        <w:r w:rsidR="00F961A8" w:rsidRPr="00F961A8">
          <w:rPr>
            <w:rStyle w:val="Hypertextovprepojenie"/>
            <w:rFonts w:cs="Arial"/>
            <w:noProof/>
          </w:rPr>
          <w:t xml:space="preserve"> - </w:t>
        </w:r>
        <w:r w:rsidR="00F961A8" w:rsidRPr="00F961A8">
          <w:rPr>
            <w:rStyle w:val="Hypertextovprepojenie"/>
            <w:noProof/>
          </w:rPr>
          <w:t>Výdavky verejnej správy podľa klasifikácie COFOG</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_Toc6314216 \h </w:instrText>
        </w:r>
        <w:r w:rsidR="00F961A8" w:rsidRPr="00F961A8">
          <w:rPr>
            <w:noProof/>
            <w:webHidden/>
          </w:rPr>
        </w:r>
        <w:r w:rsidR="00F961A8" w:rsidRPr="00F961A8">
          <w:rPr>
            <w:noProof/>
            <w:webHidden/>
          </w:rPr>
          <w:fldChar w:fldCharType="separate"/>
        </w:r>
        <w:r w:rsidR="00D5739E">
          <w:rPr>
            <w:noProof/>
            <w:webHidden/>
          </w:rPr>
          <w:t>37</w:t>
        </w:r>
        <w:r w:rsidR="00F961A8" w:rsidRPr="00F961A8">
          <w:rPr>
            <w:noProof/>
            <w:webHidden/>
          </w:rPr>
          <w:fldChar w:fldCharType="end"/>
        </w:r>
      </w:hyperlink>
    </w:p>
    <w:p w14:paraId="1C3D1E97"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7" w:history="1">
        <w:r w:rsidR="00F961A8" w:rsidRPr="00F961A8">
          <w:rPr>
            <w:rStyle w:val="Hypertextovprepojenie"/>
            <w:rFonts w:eastAsiaTheme="minorHAnsi"/>
            <w:noProof/>
            <w:lang w:eastAsia="en-US"/>
          </w:rPr>
          <w:t>TABUĽKA 18</w:t>
        </w:r>
        <w:r w:rsidR="00F961A8" w:rsidRPr="00F961A8">
          <w:rPr>
            <w:rStyle w:val="Hypertextovprepojenie"/>
            <w:noProof/>
          </w:rPr>
          <w:t xml:space="preserve"> (</w:t>
        </w:r>
        <w:r w:rsidR="00F961A8" w:rsidRPr="00F961A8">
          <w:rPr>
            <w:rStyle w:val="Hypertextovprepojenie"/>
            <w:bCs/>
            <w:noProof/>
          </w:rPr>
          <w:t>Tabuľka 1a) - Makroekonomický prehľad (ESA 2010, mld. eur)</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_Toc6314217 \h </w:instrText>
        </w:r>
        <w:r w:rsidR="00F961A8" w:rsidRPr="00F961A8">
          <w:rPr>
            <w:noProof/>
            <w:webHidden/>
          </w:rPr>
        </w:r>
        <w:r w:rsidR="00F961A8" w:rsidRPr="00F961A8">
          <w:rPr>
            <w:noProof/>
            <w:webHidden/>
          </w:rPr>
          <w:fldChar w:fldCharType="separate"/>
        </w:r>
        <w:r w:rsidR="00D5739E">
          <w:rPr>
            <w:noProof/>
            <w:webHidden/>
          </w:rPr>
          <w:t>43</w:t>
        </w:r>
        <w:r w:rsidR="00F961A8" w:rsidRPr="00F961A8">
          <w:rPr>
            <w:noProof/>
            <w:webHidden/>
          </w:rPr>
          <w:fldChar w:fldCharType="end"/>
        </w:r>
      </w:hyperlink>
    </w:p>
    <w:p w14:paraId="6FCB4664"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8" w:history="1">
        <w:r w:rsidR="00F961A8" w:rsidRPr="00F961A8">
          <w:rPr>
            <w:rStyle w:val="Hypertextovprepojenie"/>
            <w:rFonts w:eastAsiaTheme="minorHAnsi"/>
            <w:noProof/>
            <w:lang w:eastAsia="en-US"/>
          </w:rPr>
          <w:t>TABUĽKA 19 (Tabuľka 1b) - Cenový vývoj (ESA 2010)</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_Toc6314218 \h </w:instrText>
        </w:r>
        <w:r w:rsidR="00F961A8" w:rsidRPr="00F961A8">
          <w:rPr>
            <w:noProof/>
            <w:webHidden/>
          </w:rPr>
        </w:r>
        <w:r w:rsidR="00F961A8" w:rsidRPr="00F961A8">
          <w:rPr>
            <w:noProof/>
            <w:webHidden/>
          </w:rPr>
          <w:fldChar w:fldCharType="separate"/>
        </w:r>
        <w:r w:rsidR="00D5739E">
          <w:rPr>
            <w:noProof/>
            <w:webHidden/>
          </w:rPr>
          <w:t>43</w:t>
        </w:r>
        <w:r w:rsidR="00F961A8" w:rsidRPr="00F961A8">
          <w:rPr>
            <w:noProof/>
            <w:webHidden/>
          </w:rPr>
          <w:fldChar w:fldCharType="end"/>
        </w:r>
      </w:hyperlink>
    </w:p>
    <w:p w14:paraId="64586BBA"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19" w:history="1">
        <w:r w:rsidR="00F961A8" w:rsidRPr="00F961A8">
          <w:rPr>
            <w:rStyle w:val="Hypertextovprepojenie"/>
            <w:rFonts w:eastAsiaTheme="minorHAnsi"/>
            <w:noProof/>
            <w:lang w:eastAsia="en-US"/>
          </w:rPr>
          <w:t>TABUĽKA 20 (Tabuľka 1c) - Ukazovatele trhu práce (ESA 2010)</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_Toc6314219 \h </w:instrText>
        </w:r>
        <w:r w:rsidR="00F961A8" w:rsidRPr="00F961A8">
          <w:rPr>
            <w:noProof/>
            <w:webHidden/>
          </w:rPr>
        </w:r>
        <w:r w:rsidR="00F961A8" w:rsidRPr="00F961A8">
          <w:rPr>
            <w:noProof/>
            <w:webHidden/>
          </w:rPr>
          <w:fldChar w:fldCharType="separate"/>
        </w:r>
        <w:r w:rsidR="00D5739E">
          <w:rPr>
            <w:noProof/>
            <w:webHidden/>
          </w:rPr>
          <w:t>43</w:t>
        </w:r>
        <w:r w:rsidR="00F961A8" w:rsidRPr="00F961A8">
          <w:rPr>
            <w:noProof/>
            <w:webHidden/>
          </w:rPr>
          <w:fldChar w:fldCharType="end"/>
        </w:r>
      </w:hyperlink>
    </w:p>
    <w:p w14:paraId="2F29B316"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0" w:history="1">
        <w:r w:rsidR="00F961A8" w:rsidRPr="00F961A8">
          <w:rPr>
            <w:rStyle w:val="Hypertextovprepojenie"/>
            <w:rFonts w:eastAsiaTheme="minorHAnsi"/>
            <w:noProof/>
            <w:lang w:eastAsia="en-US"/>
          </w:rPr>
          <w:t>TABUĽKA 21 (Tabuľka 1d) - Sektorová bilancia (ESA 2010,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_Toc6314220 \h </w:instrText>
        </w:r>
        <w:r w:rsidR="00F961A8" w:rsidRPr="00F961A8">
          <w:rPr>
            <w:noProof/>
            <w:webHidden/>
          </w:rPr>
        </w:r>
        <w:r w:rsidR="00F961A8" w:rsidRPr="00F961A8">
          <w:rPr>
            <w:noProof/>
            <w:webHidden/>
          </w:rPr>
          <w:fldChar w:fldCharType="separate"/>
        </w:r>
        <w:r w:rsidR="00D5739E">
          <w:rPr>
            <w:noProof/>
            <w:webHidden/>
          </w:rPr>
          <w:t>44</w:t>
        </w:r>
        <w:r w:rsidR="00F961A8" w:rsidRPr="00F961A8">
          <w:rPr>
            <w:noProof/>
            <w:webHidden/>
          </w:rPr>
          <w:fldChar w:fldCharType="end"/>
        </w:r>
      </w:hyperlink>
    </w:p>
    <w:p w14:paraId="6DC817C6"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1" w:history="1">
        <w:r w:rsidR="00F961A8" w:rsidRPr="00F961A8">
          <w:rPr>
            <w:rStyle w:val="Hypertextovprepojenie"/>
            <w:rFonts w:eastAsiaTheme="minorHAnsi"/>
            <w:noProof/>
            <w:lang w:eastAsia="en-US"/>
          </w:rPr>
          <w:t>TABUĽKA 22 (Tabuľka 2a) - Vývoj rozpočtov verejnej správy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_Toc6314221 \h </w:instrText>
        </w:r>
        <w:r w:rsidR="00F961A8" w:rsidRPr="00F961A8">
          <w:rPr>
            <w:noProof/>
            <w:webHidden/>
          </w:rPr>
        </w:r>
        <w:r w:rsidR="00F961A8" w:rsidRPr="00F961A8">
          <w:rPr>
            <w:noProof/>
            <w:webHidden/>
          </w:rPr>
          <w:fldChar w:fldCharType="separate"/>
        </w:r>
        <w:r w:rsidR="00D5739E">
          <w:rPr>
            <w:noProof/>
            <w:webHidden/>
          </w:rPr>
          <w:t>44</w:t>
        </w:r>
        <w:r w:rsidR="00F961A8" w:rsidRPr="00F961A8">
          <w:rPr>
            <w:noProof/>
            <w:webHidden/>
          </w:rPr>
          <w:fldChar w:fldCharType="end"/>
        </w:r>
      </w:hyperlink>
    </w:p>
    <w:p w14:paraId="3044FD65"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2" w:history="1">
        <w:r w:rsidR="00F961A8" w:rsidRPr="00F961A8">
          <w:rPr>
            <w:rStyle w:val="Hypertextovprepojenie"/>
            <w:rFonts w:eastAsiaTheme="minorHAnsi"/>
            <w:noProof/>
            <w:lang w:eastAsia="en-US"/>
          </w:rPr>
          <w:t>TABUĽKA 23 (Tabuľka 2b) - Scenár nezmenených politík</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_Toc6314222 \h </w:instrText>
        </w:r>
        <w:r w:rsidR="00F961A8" w:rsidRPr="00F961A8">
          <w:rPr>
            <w:noProof/>
            <w:webHidden/>
          </w:rPr>
        </w:r>
        <w:r w:rsidR="00F961A8" w:rsidRPr="00F961A8">
          <w:rPr>
            <w:noProof/>
            <w:webHidden/>
          </w:rPr>
          <w:fldChar w:fldCharType="separate"/>
        </w:r>
        <w:r w:rsidR="00D5739E">
          <w:rPr>
            <w:noProof/>
            <w:webHidden/>
          </w:rPr>
          <w:t>45</w:t>
        </w:r>
        <w:r w:rsidR="00F961A8" w:rsidRPr="00F961A8">
          <w:rPr>
            <w:noProof/>
            <w:webHidden/>
          </w:rPr>
          <w:fldChar w:fldCharType="end"/>
        </w:r>
      </w:hyperlink>
    </w:p>
    <w:p w14:paraId="61B9C5E9"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3" w:history="1">
        <w:r w:rsidR="00F961A8" w:rsidRPr="00F961A8">
          <w:rPr>
            <w:rStyle w:val="Hypertextovprepojenie"/>
            <w:rFonts w:eastAsiaTheme="minorHAnsi"/>
            <w:noProof/>
            <w:lang w:eastAsia="en-US"/>
          </w:rPr>
          <w:t>TABUĽKA 24 (Tabuľka 2c) - Výdavky vylúčené z výdavkového agregátu</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_Toc6314223 \h </w:instrText>
        </w:r>
        <w:r w:rsidR="00F961A8" w:rsidRPr="00F961A8">
          <w:rPr>
            <w:noProof/>
            <w:webHidden/>
          </w:rPr>
        </w:r>
        <w:r w:rsidR="00F961A8" w:rsidRPr="00F961A8">
          <w:rPr>
            <w:noProof/>
            <w:webHidden/>
          </w:rPr>
          <w:fldChar w:fldCharType="separate"/>
        </w:r>
        <w:r w:rsidR="00D5739E">
          <w:rPr>
            <w:noProof/>
            <w:webHidden/>
          </w:rPr>
          <w:t>45</w:t>
        </w:r>
        <w:r w:rsidR="00F961A8" w:rsidRPr="00F961A8">
          <w:rPr>
            <w:noProof/>
            <w:webHidden/>
          </w:rPr>
          <w:fldChar w:fldCharType="end"/>
        </w:r>
      </w:hyperlink>
    </w:p>
    <w:p w14:paraId="2EEA5AA8"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4" w:history="1">
        <w:r w:rsidR="00F961A8" w:rsidRPr="00F961A8">
          <w:rPr>
            <w:rStyle w:val="Hypertextovprepojenie"/>
            <w:rFonts w:eastAsiaTheme="minorHAnsi"/>
            <w:noProof/>
            <w:lang w:eastAsia="en-US"/>
          </w:rPr>
          <w:t>TABUĽKA 25 (Tabuľka 3) - Výdavky verejnej správy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_Toc6314224 \h </w:instrText>
        </w:r>
        <w:r w:rsidR="00F961A8" w:rsidRPr="00F961A8">
          <w:rPr>
            <w:noProof/>
            <w:webHidden/>
          </w:rPr>
        </w:r>
        <w:r w:rsidR="00F961A8" w:rsidRPr="00F961A8">
          <w:rPr>
            <w:noProof/>
            <w:webHidden/>
          </w:rPr>
          <w:fldChar w:fldCharType="separate"/>
        </w:r>
        <w:r w:rsidR="00D5739E">
          <w:rPr>
            <w:noProof/>
            <w:webHidden/>
          </w:rPr>
          <w:t>45</w:t>
        </w:r>
        <w:r w:rsidR="00F961A8" w:rsidRPr="00F961A8">
          <w:rPr>
            <w:noProof/>
            <w:webHidden/>
          </w:rPr>
          <w:fldChar w:fldCharType="end"/>
        </w:r>
      </w:hyperlink>
    </w:p>
    <w:p w14:paraId="6FA49ECB"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5" w:history="1">
        <w:r w:rsidR="00F961A8" w:rsidRPr="00F961A8">
          <w:rPr>
            <w:rStyle w:val="Hypertextovprepojenie"/>
            <w:rFonts w:eastAsiaTheme="minorHAnsi"/>
            <w:noProof/>
            <w:lang w:eastAsia="en-US"/>
          </w:rPr>
          <w:t>TABUĽKA 26 (Tabuľka 4) - Vývoj dlhu verejnej správy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_Toc6314225 \h </w:instrText>
        </w:r>
        <w:r w:rsidR="00F961A8" w:rsidRPr="00F961A8">
          <w:rPr>
            <w:noProof/>
            <w:webHidden/>
          </w:rPr>
        </w:r>
        <w:r w:rsidR="00F961A8" w:rsidRPr="00F961A8">
          <w:rPr>
            <w:noProof/>
            <w:webHidden/>
          </w:rPr>
          <w:fldChar w:fldCharType="separate"/>
        </w:r>
        <w:r w:rsidR="00D5739E">
          <w:rPr>
            <w:noProof/>
            <w:webHidden/>
          </w:rPr>
          <w:t>46</w:t>
        </w:r>
        <w:r w:rsidR="00F961A8" w:rsidRPr="00F961A8">
          <w:rPr>
            <w:noProof/>
            <w:webHidden/>
          </w:rPr>
          <w:fldChar w:fldCharType="end"/>
        </w:r>
      </w:hyperlink>
    </w:p>
    <w:p w14:paraId="196CC1B1"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6" w:history="1">
        <w:r w:rsidR="00F961A8" w:rsidRPr="00F961A8">
          <w:rPr>
            <w:rStyle w:val="Hypertextovprepojenie"/>
            <w:rFonts w:eastAsiaTheme="minorHAnsi"/>
            <w:noProof/>
            <w:lang w:eastAsia="en-US"/>
          </w:rPr>
          <w:t>TABUĽKA 27 (Tabuľka 5) - Cyklický vývoj</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_Toc6314226 \h </w:instrText>
        </w:r>
        <w:r w:rsidR="00F961A8" w:rsidRPr="00F961A8">
          <w:rPr>
            <w:noProof/>
            <w:webHidden/>
          </w:rPr>
        </w:r>
        <w:r w:rsidR="00F961A8" w:rsidRPr="00F961A8">
          <w:rPr>
            <w:noProof/>
            <w:webHidden/>
          </w:rPr>
          <w:fldChar w:fldCharType="separate"/>
        </w:r>
        <w:r w:rsidR="00D5739E">
          <w:rPr>
            <w:noProof/>
            <w:webHidden/>
          </w:rPr>
          <w:t>46</w:t>
        </w:r>
        <w:r w:rsidR="00F961A8" w:rsidRPr="00F961A8">
          <w:rPr>
            <w:noProof/>
            <w:webHidden/>
          </w:rPr>
          <w:fldChar w:fldCharType="end"/>
        </w:r>
      </w:hyperlink>
    </w:p>
    <w:p w14:paraId="7C4F6529"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7" w:history="1">
        <w:r w:rsidR="00F961A8" w:rsidRPr="00F961A8">
          <w:rPr>
            <w:rStyle w:val="Hypertextovprepojenie"/>
            <w:rFonts w:eastAsiaTheme="minorHAnsi"/>
            <w:noProof/>
            <w:lang w:eastAsia="en-US"/>
          </w:rPr>
          <w:t>TABUĽKA 28 (Tabuľka 6) - Porovnanie predchádzajúcej a aktualizovanej prognózy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_Toc6314227 \h </w:instrText>
        </w:r>
        <w:r w:rsidR="00F961A8" w:rsidRPr="00F961A8">
          <w:rPr>
            <w:noProof/>
            <w:webHidden/>
          </w:rPr>
        </w:r>
        <w:r w:rsidR="00F961A8" w:rsidRPr="00F961A8">
          <w:rPr>
            <w:noProof/>
            <w:webHidden/>
          </w:rPr>
          <w:fldChar w:fldCharType="separate"/>
        </w:r>
        <w:r w:rsidR="00D5739E">
          <w:rPr>
            <w:noProof/>
            <w:webHidden/>
          </w:rPr>
          <w:t>47</w:t>
        </w:r>
        <w:r w:rsidR="00F961A8" w:rsidRPr="00F961A8">
          <w:rPr>
            <w:noProof/>
            <w:webHidden/>
          </w:rPr>
          <w:fldChar w:fldCharType="end"/>
        </w:r>
      </w:hyperlink>
    </w:p>
    <w:p w14:paraId="0CE8C923"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8" w:history="1">
        <w:r w:rsidR="00F961A8" w:rsidRPr="00F961A8">
          <w:rPr>
            <w:rStyle w:val="Hypertextovprepojenie"/>
            <w:rFonts w:eastAsiaTheme="minorHAnsi"/>
            <w:noProof/>
            <w:lang w:eastAsia="en-US"/>
          </w:rPr>
          <w:t>TABUĽKA 29 (Tabuľka 7) - Dlhodobá udržateľnosť verejných financií (% HDP)*</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_Toc6314228 \h </w:instrText>
        </w:r>
        <w:r w:rsidR="00F961A8" w:rsidRPr="00F961A8">
          <w:rPr>
            <w:noProof/>
            <w:webHidden/>
          </w:rPr>
        </w:r>
        <w:r w:rsidR="00F961A8" w:rsidRPr="00F961A8">
          <w:rPr>
            <w:noProof/>
            <w:webHidden/>
          </w:rPr>
          <w:fldChar w:fldCharType="separate"/>
        </w:r>
        <w:r w:rsidR="00D5739E">
          <w:rPr>
            <w:noProof/>
            <w:webHidden/>
          </w:rPr>
          <w:t>47</w:t>
        </w:r>
        <w:r w:rsidR="00F961A8" w:rsidRPr="00F961A8">
          <w:rPr>
            <w:noProof/>
            <w:webHidden/>
          </w:rPr>
          <w:fldChar w:fldCharType="end"/>
        </w:r>
      </w:hyperlink>
    </w:p>
    <w:p w14:paraId="59790547"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29" w:history="1">
        <w:r w:rsidR="00F961A8" w:rsidRPr="00F961A8">
          <w:rPr>
            <w:rStyle w:val="Hypertextovprepojenie"/>
            <w:rFonts w:eastAsiaTheme="minorHAnsi"/>
            <w:noProof/>
            <w:lang w:eastAsia="en-US"/>
          </w:rPr>
          <w:t>TABUĽKA 30 (Tabuľka 7a) - Podmienené záväzky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_Toc6314229 \h </w:instrText>
        </w:r>
        <w:r w:rsidR="00F961A8" w:rsidRPr="00F961A8">
          <w:rPr>
            <w:noProof/>
            <w:webHidden/>
          </w:rPr>
        </w:r>
        <w:r w:rsidR="00F961A8" w:rsidRPr="00F961A8">
          <w:rPr>
            <w:noProof/>
            <w:webHidden/>
          </w:rPr>
          <w:fldChar w:fldCharType="separate"/>
        </w:r>
        <w:r w:rsidR="00D5739E">
          <w:rPr>
            <w:noProof/>
            <w:webHidden/>
          </w:rPr>
          <w:t>48</w:t>
        </w:r>
        <w:r w:rsidR="00F961A8" w:rsidRPr="00F961A8">
          <w:rPr>
            <w:noProof/>
            <w:webHidden/>
          </w:rPr>
          <w:fldChar w:fldCharType="end"/>
        </w:r>
      </w:hyperlink>
    </w:p>
    <w:p w14:paraId="12CC4C2A"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0" w:history="1">
        <w:r w:rsidR="00F961A8" w:rsidRPr="00F961A8">
          <w:rPr>
            <w:rStyle w:val="Hypertextovprepojenie"/>
            <w:rFonts w:eastAsiaTheme="minorHAnsi"/>
            <w:noProof/>
            <w:lang w:eastAsia="en-US"/>
          </w:rPr>
          <w:t>TABUĽKA 31 (Tabuľka 8) - Základné predpoklady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_Toc6314230 \h </w:instrText>
        </w:r>
        <w:r w:rsidR="00F961A8" w:rsidRPr="00F961A8">
          <w:rPr>
            <w:noProof/>
            <w:webHidden/>
          </w:rPr>
        </w:r>
        <w:r w:rsidR="00F961A8" w:rsidRPr="00F961A8">
          <w:rPr>
            <w:noProof/>
            <w:webHidden/>
          </w:rPr>
          <w:fldChar w:fldCharType="separate"/>
        </w:r>
        <w:r w:rsidR="00D5739E">
          <w:rPr>
            <w:noProof/>
            <w:webHidden/>
          </w:rPr>
          <w:t>48</w:t>
        </w:r>
        <w:r w:rsidR="00F961A8" w:rsidRPr="00F961A8">
          <w:rPr>
            <w:noProof/>
            <w:webHidden/>
          </w:rPr>
          <w:fldChar w:fldCharType="end"/>
        </w:r>
      </w:hyperlink>
    </w:p>
    <w:p w14:paraId="429292CB"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1" w:history="1">
        <w:r w:rsidR="00F961A8" w:rsidRPr="00F961A8">
          <w:rPr>
            <w:rStyle w:val="Hypertextovprepojenie"/>
            <w:rFonts w:eastAsiaTheme="minorHAnsi"/>
            <w:noProof/>
            <w:lang w:eastAsia="en-US"/>
          </w:rPr>
          <w:t>TABUĽKA 32</w:t>
        </w:r>
        <w:r w:rsidR="00F961A8" w:rsidRPr="00F961A8">
          <w:rPr>
            <w:rStyle w:val="Hypertextovprepojenie"/>
            <w:noProof/>
          </w:rPr>
          <w:t xml:space="preserve"> - Výdavkové pravidlo</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_Toc6314231 \h </w:instrText>
        </w:r>
        <w:r w:rsidR="00F961A8" w:rsidRPr="00F961A8">
          <w:rPr>
            <w:noProof/>
            <w:webHidden/>
          </w:rPr>
        </w:r>
        <w:r w:rsidR="00F961A8" w:rsidRPr="00F961A8">
          <w:rPr>
            <w:noProof/>
            <w:webHidden/>
          </w:rPr>
          <w:fldChar w:fldCharType="separate"/>
        </w:r>
        <w:r w:rsidR="00D5739E">
          <w:rPr>
            <w:noProof/>
            <w:webHidden/>
          </w:rPr>
          <w:t>50</w:t>
        </w:r>
        <w:r w:rsidR="00F961A8" w:rsidRPr="00F961A8">
          <w:rPr>
            <w:noProof/>
            <w:webHidden/>
          </w:rPr>
          <w:fldChar w:fldCharType="end"/>
        </w:r>
      </w:hyperlink>
    </w:p>
    <w:p w14:paraId="0C163DAE"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2" w:history="1">
        <w:r w:rsidR="00F961A8" w:rsidRPr="00F961A8">
          <w:rPr>
            <w:rStyle w:val="Hypertextovprepojenie"/>
            <w:rFonts w:eastAsiaTheme="minorHAnsi"/>
            <w:noProof/>
            <w:lang w:eastAsia="en-US"/>
          </w:rPr>
          <w:t>TABUĽKA 33</w:t>
        </w:r>
        <w:r w:rsidR="00F961A8" w:rsidRPr="00F961A8">
          <w:rPr>
            <w:rStyle w:val="Hypertextovprepojenie"/>
            <w:noProof/>
          </w:rPr>
          <w:t xml:space="preserve"> - Diskrečné príjmové opatrenia – medziročné vplyvy opatrení (mil. eur, ESA2010)</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_Toc6314232 \h </w:instrText>
        </w:r>
        <w:r w:rsidR="00F961A8" w:rsidRPr="00F961A8">
          <w:rPr>
            <w:noProof/>
            <w:webHidden/>
          </w:rPr>
        </w:r>
        <w:r w:rsidR="00F961A8" w:rsidRPr="00F961A8">
          <w:rPr>
            <w:noProof/>
            <w:webHidden/>
          </w:rPr>
          <w:fldChar w:fldCharType="separate"/>
        </w:r>
        <w:r w:rsidR="00D5739E">
          <w:rPr>
            <w:noProof/>
            <w:webHidden/>
          </w:rPr>
          <w:t>51</w:t>
        </w:r>
        <w:r w:rsidR="00F961A8" w:rsidRPr="00F961A8">
          <w:rPr>
            <w:noProof/>
            <w:webHidden/>
          </w:rPr>
          <w:fldChar w:fldCharType="end"/>
        </w:r>
      </w:hyperlink>
    </w:p>
    <w:p w14:paraId="4C48FE13"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3" w:history="1">
        <w:r w:rsidR="00F961A8" w:rsidRPr="00F961A8">
          <w:rPr>
            <w:rStyle w:val="Hypertextovprepojenie"/>
            <w:rFonts w:eastAsiaTheme="minorHAnsi"/>
            <w:noProof/>
            <w:lang w:eastAsia="en-US"/>
          </w:rPr>
          <w:t>TABUĽKA 34</w:t>
        </w:r>
        <w:r w:rsidR="00F961A8" w:rsidRPr="00F961A8">
          <w:rPr>
            <w:rStyle w:val="Hypertextovprepojenie"/>
            <w:noProof/>
          </w:rPr>
          <w:t xml:space="preserve"> - Hotovostné vplyvy na zmenu nominálneho hrubého dlhu verejnej správy (v mil. eur)</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_Toc6314233 \h </w:instrText>
        </w:r>
        <w:r w:rsidR="00F961A8" w:rsidRPr="00F961A8">
          <w:rPr>
            <w:noProof/>
            <w:webHidden/>
          </w:rPr>
        </w:r>
        <w:r w:rsidR="00F961A8" w:rsidRPr="00F961A8">
          <w:rPr>
            <w:noProof/>
            <w:webHidden/>
          </w:rPr>
          <w:fldChar w:fldCharType="separate"/>
        </w:r>
        <w:r w:rsidR="00D5739E">
          <w:rPr>
            <w:noProof/>
            <w:webHidden/>
          </w:rPr>
          <w:t>52</w:t>
        </w:r>
        <w:r w:rsidR="00F961A8" w:rsidRPr="00F961A8">
          <w:rPr>
            <w:noProof/>
            <w:webHidden/>
          </w:rPr>
          <w:fldChar w:fldCharType="end"/>
        </w:r>
      </w:hyperlink>
    </w:p>
    <w:p w14:paraId="2747EBC8"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4" w:history="1">
        <w:r w:rsidR="00F961A8" w:rsidRPr="00F961A8">
          <w:rPr>
            <w:rStyle w:val="Hypertextovprepojenie"/>
            <w:rFonts w:eastAsiaTheme="minorHAnsi"/>
            <w:noProof/>
            <w:lang w:eastAsia="en-US"/>
          </w:rPr>
          <w:t>TABUĽKA 35</w:t>
        </w:r>
        <w:r w:rsidR="00F961A8" w:rsidRPr="00F961A8">
          <w:rPr>
            <w:rStyle w:val="Hypertextovprepojenie"/>
            <w:noProof/>
          </w:rPr>
          <w:t xml:space="preserve"> - Predpoklady MF SR pre výpočet indikátora udržateľnosti S1</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_Toc6314234 \h </w:instrText>
        </w:r>
        <w:r w:rsidR="00F961A8" w:rsidRPr="00F961A8">
          <w:rPr>
            <w:noProof/>
            <w:webHidden/>
          </w:rPr>
        </w:r>
        <w:r w:rsidR="00F961A8" w:rsidRPr="00F961A8">
          <w:rPr>
            <w:noProof/>
            <w:webHidden/>
          </w:rPr>
          <w:fldChar w:fldCharType="separate"/>
        </w:r>
        <w:r w:rsidR="00D5739E">
          <w:rPr>
            <w:noProof/>
            <w:webHidden/>
          </w:rPr>
          <w:t>53</w:t>
        </w:r>
        <w:r w:rsidR="00F961A8" w:rsidRPr="00F961A8">
          <w:rPr>
            <w:noProof/>
            <w:webHidden/>
          </w:rPr>
          <w:fldChar w:fldCharType="end"/>
        </w:r>
      </w:hyperlink>
    </w:p>
    <w:p w14:paraId="0D2D1912"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5" w:history="1">
        <w:r w:rsidR="00F961A8" w:rsidRPr="00F961A8">
          <w:rPr>
            <w:rStyle w:val="Hypertextovprepojenie"/>
            <w:rFonts w:eastAsiaTheme="minorHAnsi"/>
            <w:noProof/>
            <w:lang w:eastAsia="en-US"/>
          </w:rPr>
          <w:t>TABUĽKA 36</w:t>
        </w:r>
        <w:r w:rsidR="00F961A8" w:rsidRPr="00F961A8">
          <w:rPr>
            <w:rStyle w:val="Hypertextovprepojenie"/>
            <w:noProof/>
          </w:rPr>
          <w:t xml:space="preserve"> - Rozbor indikátora udržateľnosti S1</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_Toc6314235 \h </w:instrText>
        </w:r>
        <w:r w:rsidR="00F961A8" w:rsidRPr="00F961A8">
          <w:rPr>
            <w:noProof/>
            <w:webHidden/>
          </w:rPr>
        </w:r>
        <w:r w:rsidR="00F961A8" w:rsidRPr="00F961A8">
          <w:rPr>
            <w:noProof/>
            <w:webHidden/>
          </w:rPr>
          <w:fldChar w:fldCharType="separate"/>
        </w:r>
        <w:r w:rsidR="00D5739E">
          <w:rPr>
            <w:noProof/>
            <w:webHidden/>
          </w:rPr>
          <w:t>53</w:t>
        </w:r>
        <w:r w:rsidR="00F961A8" w:rsidRPr="00F961A8">
          <w:rPr>
            <w:noProof/>
            <w:webHidden/>
          </w:rPr>
          <w:fldChar w:fldCharType="end"/>
        </w:r>
      </w:hyperlink>
    </w:p>
    <w:p w14:paraId="162790F9"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6" w:history="1">
        <w:r w:rsidR="00F961A8" w:rsidRPr="00F961A8">
          <w:rPr>
            <w:rStyle w:val="Hypertextovprepojenie"/>
            <w:rFonts w:eastAsiaTheme="minorHAnsi"/>
            <w:noProof/>
            <w:lang w:eastAsia="en-US"/>
          </w:rPr>
          <w:t>TABUĽKA 37</w:t>
        </w:r>
        <w:r w:rsidR="00F961A8" w:rsidRPr="00F961A8">
          <w:rPr>
            <w:rStyle w:val="Hypertextovprepojenie"/>
            <w:noProof/>
          </w:rPr>
          <w:t xml:space="preserve"> - Predpoklady MF SR pre výpočet indikátora udržateľnosti S2</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_Toc6314236 \h </w:instrText>
        </w:r>
        <w:r w:rsidR="00F961A8" w:rsidRPr="00F961A8">
          <w:rPr>
            <w:noProof/>
            <w:webHidden/>
          </w:rPr>
        </w:r>
        <w:r w:rsidR="00F961A8" w:rsidRPr="00F961A8">
          <w:rPr>
            <w:noProof/>
            <w:webHidden/>
          </w:rPr>
          <w:fldChar w:fldCharType="separate"/>
        </w:r>
        <w:r w:rsidR="00D5739E">
          <w:rPr>
            <w:noProof/>
            <w:webHidden/>
          </w:rPr>
          <w:t>53</w:t>
        </w:r>
        <w:r w:rsidR="00F961A8" w:rsidRPr="00F961A8">
          <w:rPr>
            <w:noProof/>
            <w:webHidden/>
          </w:rPr>
          <w:fldChar w:fldCharType="end"/>
        </w:r>
      </w:hyperlink>
    </w:p>
    <w:p w14:paraId="06F1543C"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7" w:history="1">
        <w:r w:rsidR="00F961A8" w:rsidRPr="00F961A8">
          <w:rPr>
            <w:rStyle w:val="Hypertextovprepojenie"/>
            <w:rFonts w:eastAsiaTheme="minorHAnsi"/>
            <w:noProof/>
            <w:lang w:eastAsia="en-US"/>
          </w:rPr>
          <w:t>TABUĽKA 38</w:t>
        </w:r>
        <w:r w:rsidR="00F961A8" w:rsidRPr="00F961A8">
          <w:rPr>
            <w:rStyle w:val="Hypertextovprepojenie"/>
            <w:noProof/>
          </w:rPr>
          <w:t xml:space="preserve"> - Rozbor indikátora udržateľnosti S2</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_Toc6314237 \h </w:instrText>
        </w:r>
        <w:r w:rsidR="00F961A8" w:rsidRPr="00F961A8">
          <w:rPr>
            <w:noProof/>
            <w:webHidden/>
          </w:rPr>
        </w:r>
        <w:r w:rsidR="00F961A8" w:rsidRPr="00F961A8">
          <w:rPr>
            <w:noProof/>
            <w:webHidden/>
          </w:rPr>
          <w:fldChar w:fldCharType="separate"/>
        </w:r>
        <w:r w:rsidR="00D5739E">
          <w:rPr>
            <w:noProof/>
            <w:webHidden/>
          </w:rPr>
          <w:t>53</w:t>
        </w:r>
        <w:r w:rsidR="00F961A8" w:rsidRPr="00F961A8">
          <w:rPr>
            <w:noProof/>
            <w:webHidden/>
          </w:rPr>
          <w:fldChar w:fldCharType="end"/>
        </w:r>
      </w:hyperlink>
    </w:p>
    <w:p w14:paraId="733948FA"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8" w:history="1">
        <w:r w:rsidR="00F961A8" w:rsidRPr="00F961A8">
          <w:rPr>
            <w:rStyle w:val="Hypertextovprepojenie"/>
            <w:rFonts w:eastAsiaTheme="minorHAnsi"/>
            <w:noProof/>
            <w:lang w:eastAsia="en-US"/>
          </w:rPr>
          <w:t>TABUĽKA 39</w:t>
        </w:r>
        <w:r w:rsidR="00F961A8" w:rsidRPr="00F961A8">
          <w:rPr>
            <w:rStyle w:val="Hypertextovprepojenie"/>
            <w:rFonts w:cs="Arial"/>
            <w:noProof/>
          </w:rPr>
          <w:t xml:space="preserve"> - </w:t>
        </w:r>
        <w:r w:rsidR="00F961A8" w:rsidRPr="00F961A8">
          <w:rPr>
            <w:rStyle w:val="Hypertextovprepojenie"/>
            <w:bCs/>
            <w:noProof/>
          </w:rPr>
          <w:t>Hodnotenie februárovej prognózy MF SR vo Výbore pre makroekonomické prognózy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_Toc6314238 \h </w:instrText>
        </w:r>
        <w:r w:rsidR="00F961A8" w:rsidRPr="00F961A8">
          <w:rPr>
            <w:noProof/>
            <w:webHidden/>
          </w:rPr>
        </w:r>
        <w:r w:rsidR="00F961A8" w:rsidRPr="00F961A8">
          <w:rPr>
            <w:noProof/>
            <w:webHidden/>
          </w:rPr>
          <w:fldChar w:fldCharType="separate"/>
        </w:r>
        <w:r w:rsidR="00D5739E">
          <w:rPr>
            <w:noProof/>
            <w:webHidden/>
          </w:rPr>
          <w:t>54</w:t>
        </w:r>
        <w:r w:rsidR="00F961A8" w:rsidRPr="00F961A8">
          <w:rPr>
            <w:noProof/>
            <w:webHidden/>
          </w:rPr>
          <w:fldChar w:fldCharType="end"/>
        </w:r>
      </w:hyperlink>
    </w:p>
    <w:p w14:paraId="77B18E16"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39" w:history="1">
        <w:r w:rsidR="00F961A8" w:rsidRPr="00F961A8">
          <w:rPr>
            <w:rStyle w:val="Hypertextovprepojenie"/>
            <w:rFonts w:eastAsiaTheme="minorHAnsi"/>
            <w:noProof/>
            <w:lang w:eastAsia="en-US"/>
          </w:rPr>
          <w:t>TABUĽKA 40</w:t>
        </w:r>
        <w:r w:rsidR="00F961A8" w:rsidRPr="00F961A8">
          <w:rPr>
            <w:rStyle w:val="Hypertextovprepojenie"/>
            <w:rFonts w:cs="Arial"/>
            <w:noProof/>
          </w:rPr>
          <w:t xml:space="preserve"> - </w:t>
        </w:r>
        <w:r w:rsidR="00F961A8" w:rsidRPr="00F961A8">
          <w:rPr>
            <w:rStyle w:val="Hypertextovprepojenie"/>
            <w:bCs/>
            <w:noProof/>
          </w:rPr>
          <w:t>Priemerná prognóza vybraných indikátorov vývoja ekonomiky SR členov Výboru pre makroekonomické prognózovanie (okrem MF SR) a prognóza MF SR</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_Toc6314239 \h </w:instrText>
        </w:r>
        <w:r w:rsidR="00F961A8" w:rsidRPr="00F961A8">
          <w:rPr>
            <w:noProof/>
            <w:webHidden/>
          </w:rPr>
        </w:r>
        <w:r w:rsidR="00F961A8" w:rsidRPr="00F961A8">
          <w:rPr>
            <w:noProof/>
            <w:webHidden/>
          </w:rPr>
          <w:fldChar w:fldCharType="separate"/>
        </w:r>
        <w:r w:rsidR="00D5739E">
          <w:rPr>
            <w:noProof/>
            <w:webHidden/>
          </w:rPr>
          <w:t>54</w:t>
        </w:r>
        <w:r w:rsidR="00F961A8" w:rsidRPr="00F961A8">
          <w:rPr>
            <w:noProof/>
            <w:webHidden/>
          </w:rPr>
          <w:fldChar w:fldCharType="end"/>
        </w:r>
      </w:hyperlink>
    </w:p>
    <w:p w14:paraId="71A4D827"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40" w:history="1">
        <w:r w:rsidR="00F961A8" w:rsidRPr="00F961A8">
          <w:rPr>
            <w:rStyle w:val="Hypertextovprepojenie"/>
            <w:rFonts w:cs="Arial"/>
            <w:noProof/>
          </w:rPr>
          <w:t xml:space="preserve">TABUĽKA 41 - </w:t>
        </w:r>
        <w:r w:rsidR="00F961A8" w:rsidRPr="00F961A8">
          <w:rPr>
            <w:rStyle w:val="Hypertextovprepojenie"/>
            <w:bCs/>
            <w:noProof/>
          </w:rPr>
          <w:t>Hodnotenie prognózy MF SR vo Výbore pre daňové prognózy</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_Toc6314240 \h </w:instrText>
        </w:r>
        <w:r w:rsidR="00F961A8" w:rsidRPr="00F961A8">
          <w:rPr>
            <w:noProof/>
            <w:webHidden/>
          </w:rPr>
        </w:r>
        <w:r w:rsidR="00F961A8" w:rsidRPr="00F961A8">
          <w:rPr>
            <w:noProof/>
            <w:webHidden/>
          </w:rPr>
          <w:fldChar w:fldCharType="separate"/>
        </w:r>
        <w:r w:rsidR="00D5739E">
          <w:rPr>
            <w:noProof/>
            <w:webHidden/>
          </w:rPr>
          <w:t>54</w:t>
        </w:r>
        <w:r w:rsidR="00F961A8" w:rsidRPr="00F961A8">
          <w:rPr>
            <w:noProof/>
            <w:webHidden/>
          </w:rPr>
          <w:fldChar w:fldCharType="end"/>
        </w:r>
      </w:hyperlink>
    </w:p>
    <w:p w14:paraId="5C053B3D"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41" w:history="1">
        <w:r w:rsidR="00F961A8" w:rsidRPr="00F961A8">
          <w:rPr>
            <w:rStyle w:val="Hypertextovprepojenie"/>
            <w:rFonts w:eastAsiaTheme="minorHAnsi"/>
            <w:noProof/>
            <w:lang w:eastAsia="en-US"/>
          </w:rPr>
          <w:t>TABUĽKA 42</w:t>
        </w:r>
        <w:r w:rsidR="00F961A8" w:rsidRPr="00F961A8">
          <w:rPr>
            <w:rStyle w:val="Hypertextovprepojenie"/>
            <w:noProof/>
          </w:rPr>
          <w:t xml:space="preserve"> - Zoznam opatrení (vplyv v porovnaní s bázou 2018), mil. eur</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_Toc6314241 \h </w:instrText>
        </w:r>
        <w:r w:rsidR="00F961A8" w:rsidRPr="00F961A8">
          <w:rPr>
            <w:noProof/>
            <w:webHidden/>
          </w:rPr>
        </w:r>
        <w:r w:rsidR="00F961A8" w:rsidRPr="00F961A8">
          <w:rPr>
            <w:noProof/>
            <w:webHidden/>
          </w:rPr>
          <w:fldChar w:fldCharType="separate"/>
        </w:r>
        <w:r w:rsidR="00D5739E">
          <w:rPr>
            <w:noProof/>
            <w:webHidden/>
          </w:rPr>
          <w:t>55</w:t>
        </w:r>
        <w:r w:rsidR="00F961A8" w:rsidRPr="00F961A8">
          <w:rPr>
            <w:noProof/>
            <w:webHidden/>
          </w:rPr>
          <w:fldChar w:fldCharType="end"/>
        </w:r>
      </w:hyperlink>
    </w:p>
    <w:p w14:paraId="4FBE82BA"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42" w:history="1">
        <w:r w:rsidR="00F961A8" w:rsidRPr="00F961A8">
          <w:rPr>
            <w:rStyle w:val="Hypertextovprepojenie"/>
            <w:rFonts w:eastAsiaTheme="minorHAnsi"/>
            <w:noProof/>
            <w:lang w:eastAsia="en-US"/>
          </w:rPr>
          <w:t>TABUĽKA 43 -</w:t>
        </w:r>
        <w:r w:rsidR="00F961A8" w:rsidRPr="00F961A8">
          <w:rPr>
            <w:rStyle w:val="Hypertextovprepojenie"/>
            <w:noProof/>
          </w:rPr>
          <w:t xml:space="preserve"> Výdavky na obranu</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_Toc6314242 \h </w:instrText>
        </w:r>
        <w:r w:rsidR="00F961A8" w:rsidRPr="00F961A8">
          <w:rPr>
            <w:noProof/>
            <w:webHidden/>
          </w:rPr>
        </w:r>
        <w:r w:rsidR="00F961A8" w:rsidRPr="00F961A8">
          <w:rPr>
            <w:noProof/>
            <w:webHidden/>
          </w:rPr>
          <w:fldChar w:fldCharType="separate"/>
        </w:r>
        <w:r w:rsidR="00D5739E">
          <w:rPr>
            <w:noProof/>
            <w:webHidden/>
          </w:rPr>
          <w:t>56</w:t>
        </w:r>
        <w:r w:rsidR="00F961A8" w:rsidRPr="00F961A8">
          <w:rPr>
            <w:noProof/>
            <w:webHidden/>
          </w:rPr>
          <w:fldChar w:fldCharType="end"/>
        </w:r>
      </w:hyperlink>
    </w:p>
    <w:p w14:paraId="5AAA052B" w14:textId="77777777" w:rsidR="00F961A8" w:rsidRPr="00F961A8" w:rsidRDefault="00CF7F90">
      <w:pPr>
        <w:pStyle w:val="Zoznamobrzkov"/>
        <w:tabs>
          <w:tab w:val="right" w:leader="dot" w:pos="9060"/>
        </w:tabs>
        <w:rPr>
          <w:rFonts w:asciiTheme="minorHAnsi" w:eastAsiaTheme="minorEastAsia" w:hAnsiTheme="minorHAnsi" w:cstheme="minorBidi"/>
          <w:noProof/>
        </w:rPr>
      </w:pPr>
      <w:hyperlink w:anchor="_Toc6314243" w:history="1">
        <w:r w:rsidR="00F961A8" w:rsidRPr="00F961A8">
          <w:rPr>
            <w:rStyle w:val="Hypertextovprepojenie"/>
            <w:rFonts w:eastAsiaTheme="minorHAnsi"/>
            <w:noProof/>
            <w:lang w:eastAsia="en-US"/>
          </w:rPr>
          <w:t xml:space="preserve">TABUĽKA 44 - </w:t>
        </w:r>
        <w:r w:rsidR="00F961A8" w:rsidRPr="00F961A8">
          <w:rPr>
            <w:rStyle w:val="Hypertextovprepojenie"/>
            <w:noProof/>
          </w:rPr>
          <w:t>Rozpočet MV SR okrem transferov na vzdelávanie</w:t>
        </w:r>
        <w:r w:rsidR="00F961A8" w:rsidRPr="00F961A8">
          <w:rPr>
            <w:noProof/>
            <w:webHidden/>
          </w:rPr>
          <w:tab/>
        </w:r>
        <w:r w:rsidR="00F961A8" w:rsidRPr="00F961A8">
          <w:rPr>
            <w:noProof/>
            <w:webHidden/>
          </w:rPr>
          <w:fldChar w:fldCharType="begin"/>
        </w:r>
        <w:r w:rsidR="00F961A8" w:rsidRPr="00F961A8">
          <w:rPr>
            <w:noProof/>
            <w:webHidden/>
          </w:rPr>
          <w:instrText xml:space="preserve"> PAGEREF _Toc6314243 \h </w:instrText>
        </w:r>
        <w:r w:rsidR="00F961A8" w:rsidRPr="00F961A8">
          <w:rPr>
            <w:noProof/>
            <w:webHidden/>
          </w:rPr>
        </w:r>
        <w:r w:rsidR="00F961A8" w:rsidRPr="00F961A8">
          <w:rPr>
            <w:noProof/>
            <w:webHidden/>
          </w:rPr>
          <w:fldChar w:fldCharType="separate"/>
        </w:r>
        <w:r w:rsidR="00D5739E">
          <w:rPr>
            <w:noProof/>
            <w:webHidden/>
          </w:rPr>
          <w:t>58</w:t>
        </w:r>
        <w:r w:rsidR="00F961A8" w:rsidRPr="00F961A8">
          <w:rPr>
            <w:noProof/>
            <w:webHidden/>
          </w:rPr>
          <w:fldChar w:fldCharType="end"/>
        </w:r>
      </w:hyperlink>
    </w:p>
    <w:p w14:paraId="46D5CA6B" w14:textId="77777777" w:rsidR="00D04761" w:rsidRPr="00744D1F" w:rsidRDefault="00D04761" w:rsidP="00D04761">
      <w:pPr>
        <w:pStyle w:val="Zoznamobrzkov"/>
        <w:tabs>
          <w:tab w:val="right" w:leader="dot" w:pos="9060"/>
        </w:tabs>
        <w:spacing w:line="360" w:lineRule="auto"/>
        <w:rPr>
          <w:rStyle w:val="Hypertextovprepojenie"/>
          <w:rFonts w:eastAsiaTheme="minorHAnsi"/>
          <w:noProof/>
          <w:lang w:eastAsia="en-US"/>
        </w:rPr>
      </w:pPr>
      <w:r w:rsidRPr="00F961A8">
        <w:rPr>
          <w:rStyle w:val="Hypertextovprepojenie"/>
          <w:rFonts w:eastAsiaTheme="minorHAnsi"/>
          <w:noProof/>
          <w:lang w:eastAsia="en-US"/>
        </w:rPr>
        <w:fldChar w:fldCharType="end"/>
      </w:r>
    </w:p>
    <w:p w14:paraId="3891F4A6" w14:textId="77777777" w:rsidR="00F961A8" w:rsidRDefault="00F961A8">
      <w:pPr>
        <w:pStyle w:val="Zoznamobrzkov"/>
        <w:tabs>
          <w:tab w:val="right" w:leader="dot" w:pos="9060"/>
        </w:tabs>
        <w:rPr>
          <w:rStyle w:val="Hypertextovprepojenie"/>
          <w:rFonts w:eastAsiaTheme="minorHAnsi"/>
          <w:noProof/>
          <w:lang w:eastAsia="en-US"/>
        </w:rPr>
      </w:pPr>
    </w:p>
    <w:p w14:paraId="5353B040" w14:textId="77777777" w:rsidR="00F961A8" w:rsidRDefault="00D04761">
      <w:pPr>
        <w:pStyle w:val="Zoznamobrzkov"/>
        <w:tabs>
          <w:tab w:val="right" w:leader="dot" w:pos="9060"/>
        </w:tabs>
        <w:rPr>
          <w:rFonts w:asciiTheme="minorHAnsi" w:eastAsiaTheme="minorEastAsia" w:hAnsiTheme="minorHAnsi" w:cstheme="minorBidi"/>
          <w:noProof/>
        </w:rPr>
      </w:pPr>
      <w:r w:rsidRPr="00AB2D32">
        <w:rPr>
          <w:rStyle w:val="Hypertextovprepojenie"/>
          <w:rFonts w:eastAsiaTheme="minorHAnsi"/>
          <w:noProof/>
          <w:lang w:eastAsia="en-US"/>
        </w:rPr>
        <w:lastRenderedPageBreak/>
        <w:fldChar w:fldCharType="begin"/>
      </w:r>
      <w:r w:rsidRPr="00AB2D32">
        <w:rPr>
          <w:rStyle w:val="Hypertextovprepojenie"/>
          <w:rFonts w:eastAsiaTheme="minorHAnsi"/>
          <w:noProof/>
          <w:lang w:eastAsia="en-US"/>
        </w:rPr>
        <w:instrText xml:space="preserve"> TOC \h \z \c "GRAF" </w:instrText>
      </w:r>
      <w:r w:rsidRPr="00AB2D32">
        <w:rPr>
          <w:rStyle w:val="Hypertextovprepojenie"/>
          <w:rFonts w:eastAsiaTheme="minorHAnsi"/>
          <w:noProof/>
          <w:lang w:eastAsia="en-US"/>
        </w:rPr>
        <w:fldChar w:fldCharType="separate"/>
      </w:r>
      <w:hyperlink w:anchor="_Toc6314244" w:history="1">
        <w:r w:rsidR="00F961A8" w:rsidRPr="00D9228A">
          <w:rPr>
            <w:rStyle w:val="Hypertextovprepojenie"/>
            <w:rFonts w:eastAsiaTheme="minorHAnsi"/>
            <w:noProof/>
            <w:lang w:eastAsia="en-US"/>
          </w:rPr>
          <w:t>GRAF 1 - Príspevky k rastu HDP (p. b.)</w:t>
        </w:r>
        <w:r w:rsidR="00F961A8">
          <w:rPr>
            <w:noProof/>
            <w:webHidden/>
          </w:rPr>
          <w:tab/>
        </w:r>
        <w:r w:rsidR="00F961A8">
          <w:rPr>
            <w:noProof/>
            <w:webHidden/>
          </w:rPr>
          <w:fldChar w:fldCharType="begin"/>
        </w:r>
        <w:r w:rsidR="00F961A8">
          <w:rPr>
            <w:noProof/>
            <w:webHidden/>
          </w:rPr>
          <w:instrText xml:space="preserve"> PAGEREF _Toc6314244 \h </w:instrText>
        </w:r>
        <w:r w:rsidR="00F961A8">
          <w:rPr>
            <w:noProof/>
            <w:webHidden/>
          </w:rPr>
        </w:r>
        <w:r w:rsidR="00F961A8">
          <w:rPr>
            <w:noProof/>
            <w:webHidden/>
          </w:rPr>
          <w:fldChar w:fldCharType="separate"/>
        </w:r>
        <w:r w:rsidR="00D5739E">
          <w:rPr>
            <w:noProof/>
            <w:webHidden/>
          </w:rPr>
          <w:t>8</w:t>
        </w:r>
        <w:r w:rsidR="00F961A8">
          <w:rPr>
            <w:noProof/>
            <w:webHidden/>
          </w:rPr>
          <w:fldChar w:fldCharType="end"/>
        </w:r>
      </w:hyperlink>
    </w:p>
    <w:p w14:paraId="4C9D7698"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45" w:history="1">
        <w:r w:rsidR="00F961A8" w:rsidRPr="00D9228A">
          <w:rPr>
            <w:rStyle w:val="Hypertextovprepojenie"/>
            <w:rFonts w:eastAsiaTheme="minorHAnsi"/>
            <w:noProof/>
            <w:lang w:eastAsia="en-US"/>
          </w:rPr>
          <w:t>GRAF 2 - Príspevky k rastu zamestnanosti (p. b.)</w:t>
        </w:r>
        <w:r w:rsidR="00F961A8">
          <w:rPr>
            <w:noProof/>
            <w:webHidden/>
          </w:rPr>
          <w:tab/>
        </w:r>
        <w:r w:rsidR="00F961A8">
          <w:rPr>
            <w:noProof/>
            <w:webHidden/>
          </w:rPr>
          <w:fldChar w:fldCharType="begin"/>
        </w:r>
        <w:r w:rsidR="00F961A8">
          <w:rPr>
            <w:noProof/>
            <w:webHidden/>
          </w:rPr>
          <w:instrText xml:space="preserve"> PAGEREF _Toc6314245 \h </w:instrText>
        </w:r>
        <w:r w:rsidR="00F961A8">
          <w:rPr>
            <w:noProof/>
            <w:webHidden/>
          </w:rPr>
        </w:r>
        <w:r w:rsidR="00F961A8">
          <w:rPr>
            <w:noProof/>
            <w:webHidden/>
          </w:rPr>
          <w:fldChar w:fldCharType="separate"/>
        </w:r>
        <w:r w:rsidR="00D5739E">
          <w:rPr>
            <w:noProof/>
            <w:webHidden/>
          </w:rPr>
          <w:t>8</w:t>
        </w:r>
        <w:r w:rsidR="00F961A8">
          <w:rPr>
            <w:noProof/>
            <w:webHidden/>
          </w:rPr>
          <w:fldChar w:fldCharType="end"/>
        </w:r>
      </w:hyperlink>
    </w:p>
    <w:p w14:paraId="4FDB7BE9"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46" w:history="1">
        <w:r w:rsidR="00F961A8" w:rsidRPr="00D9228A">
          <w:rPr>
            <w:rStyle w:val="Hypertextovprepojenie"/>
            <w:rFonts w:eastAsiaTheme="minorHAnsi"/>
            <w:noProof/>
            <w:lang w:eastAsia="en-US"/>
          </w:rPr>
          <w:t>GRAF 3 - Externé nerovnováhy - zložky salda bežného účtu platobnej bilancie (% HDP)</w:t>
        </w:r>
        <w:r w:rsidR="00F961A8">
          <w:rPr>
            <w:noProof/>
            <w:webHidden/>
          </w:rPr>
          <w:tab/>
        </w:r>
        <w:r w:rsidR="00F961A8">
          <w:rPr>
            <w:noProof/>
            <w:webHidden/>
          </w:rPr>
          <w:fldChar w:fldCharType="begin"/>
        </w:r>
        <w:r w:rsidR="00F961A8">
          <w:rPr>
            <w:noProof/>
            <w:webHidden/>
          </w:rPr>
          <w:instrText xml:space="preserve"> PAGEREF _Toc6314246 \h </w:instrText>
        </w:r>
        <w:r w:rsidR="00F961A8">
          <w:rPr>
            <w:noProof/>
            <w:webHidden/>
          </w:rPr>
        </w:r>
        <w:r w:rsidR="00F961A8">
          <w:rPr>
            <w:noProof/>
            <w:webHidden/>
          </w:rPr>
          <w:fldChar w:fldCharType="separate"/>
        </w:r>
        <w:r w:rsidR="00D5739E">
          <w:rPr>
            <w:noProof/>
            <w:webHidden/>
          </w:rPr>
          <w:t>9</w:t>
        </w:r>
        <w:r w:rsidR="00F961A8">
          <w:rPr>
            <w:noProof/>
            <w:webHidden/>
          </w:rPr>
          <w:fldChar w:fldCharType="end"/>
        </w:r>
      </w:hyperlink>
    </w:p>
    <w:p w14:paraId="322D798E"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47" w:history="1">
        <w:r w:rsidR="00F961A8" w:rsidRPr="00D9228A">
          <w:rPr>
            <w:rStyle w:val="Hypertextovprepojenie"/>
            <w:rFonts w:eastAsiaTheme="minorHAnsi"/>
            <w:noProof/>
            <w:lang w:eastAsia="en-US"/>
          </w:rPr>
          <w:t>GRAF 4 - Štruktúra spotrebiteľskej inflácie –medziročné príspevky zložiek k CPI (v p. b.)</w:t>
        </w:r>
        <w:r w:rsidR="00F961A8">
          <w:rPr>
            <w:noProof/>
            <w:webHidden/>
          </w:rPr>
          <w:tab/>
        </w:r>
        <w:r w:rsidR="00F961A8">
          <w:rPr>
            <w:noProof/>
            <w:webHidden/>
          </w:rPr>
          <w:fldChar w:fldCharType="begin"/>
        </w:r>
        <w:r w:rsidR="00F961A8">
          <w:rPr>
            <w:noProof/>
            <w:webHidden/>
          </w:rPr>
          <w:instrText xml:space="preserve"> PAGEREF _Toc6314247 \h </w:instrText>
        </w:r>
        <w:r w:rsidR="00F961A8">
          <w:rPr>
            <w:noProof/>
            <w:webHidden/>
          </w:rPr>
        </w:r>
        <w:r w:rsidR="00F961A8">
          <w:rPr>
            <w:noProof/>
            <w:webHidden/>
          </w:rPr>
          <w:fldChar w:fldCharType="separate"/>
        </w:r>
        <w:r w:rsidR="00D5739E">
          <w:rPr>
            <w:noProof/>
            <w:webHidden/>
          </w:rPr>
          <w:t>9</w:t>
        </w:r>
        <w:r w:rsidR="00F961A8">
          <w:rPr>
            <w:noProof/>
            <w:webHidden/>
          </w:rPr>
          <w:fldChar w:fldCharType="end"/>
        </w:r>
      </w:hyperlink>
    </w:p>
    <w:p w14:paraId="159D033F"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48" w:history="1">
        <w:r w:rsidR="00F961A8" w:rsidRPr="00D9228A">
          <w:rPr>
            <w:rStyle w:val="Hypertextovprepojenie"/>
            <w:rFonts w:eastAsiaTheme="minorHAnsi"/>
            <w:noProof/>
            <w:lang w:eastAsia="en-US"/>
          </w:rPr>
          <w:t>GRAF 5 - Predstihové indikátory v eurozóne naznačujú ekonomické spomalenie</w:t>
        </w:r>
        <w:r w:rsidR="00F961A8">
          <w:rPr>
            <w:noProof/>
            <w:webHidden/>
          </w:rPr>
          <w:tab/>
        </w:r>
        <w:r w:rsidR="00F961A8">
          <w:rPr>
            <w:noProof/>
            <w:webHidden/>
          </w:rPr>
          <w:fldChar w:fldCharType="begin"/>
        </w:r>
        <w:r w:rsidR="00F961A8">
          <w:rPr>
            <w:noProof/>
            <w:webHidden/>
          </w:rPr>
          <w:instrText xml:space="preserve"> PAGEREF _Toc6314248 \h </w:instrText>
        </w:r>
        <w:r w:rsidR="00F961A8">
          <w:rPr>
            <w:noProof/>
            <w:webHidden/>
          </w:rPr>
        </w:r>
        <w:r w:rsidR="00F961A8">
          <w:rPr>
            <w:noProof/>
            <w:webHidden/>
          </w:rPr>
          <w:fldChar w:fldCharType="separate"/>
        </w:r>
        <w:r w:rsidR="00D5739E">
          <w:rPr>
            <w:noProof/>
            <w:webHidden/>
          </w:rPr>
          <w:t>10</w:t>
        </w:r>
        <w:r w:rsidR="00F961A8">
          <w:rPr>
            <w:noProof/>
            <w:webHidden/>
          </w:rPr>
          <w:fldChar w:fldCharType="end"/>
        </w:r>
      </w:hyperlink>
    </w:p>
    <w:p w14:paraId="43924661" w14:textId="16317094" w:rsidR="00F961A8" w:rsidRDefault="00CF7F90">
      <w:pPr>
        <w:pStyle w:val="Zoznamobrzkov"/>
        <w:tabs>
          <w:tab w:val="right" w:leader="dot" w:pos="9060"/>
        </w:tabs>
        <w:rPr>
          <w:rFonts w:asciiTheme="minorHAnsi" w:eastAsiaTheme="minorEastAsia" w:hAnsiTheme="minorHAnsi" w:cstheme="minorBidi"/>
          <w:noProof/>
        </w:rPr>
      </w:pPr>
      <w:hyperlink w:anchor="_Toc6314249" w:history="1">
        <w:r w:rsidR="00193396">
          <w:rPr>
            <w:rStyle w:val="Hypertextovprepojenie"/>
            <w:rFonts w:eastAsiaTheme="minorHAnsi"/>
            <w:noProof/>
            <w:lang w:eastAsia="en-US"/>
          </w:rPr>
          <w:t xml:space="preserve">GRAF 6 - </w:t>
        </w:r>
        <w:r w:rsidR="00F961A8" w:rsidRPr="00D9228A">
          <w:rPr>
            <w:rStyle w:val="Hypertextovprepojenie"/>
            <w:rFonts w:eastAsiaTheme="minorHAnsi"/>
            <w:noProof/>
            <w:lang w:eastAsia="en-US"/>
          </w:rPr>
          <w:t>Krajiny V3 zatiaľ odolávajú nepriaznivému vývoju v Európe</w:t>
        </w:r>
        <w:r w:rsidR="00F961A8">
          <w:rPr>
            <w:noProof/>
            <w:webHidden/>
          </w:rPr>
          <w:tab/>
        </w:r>
        <w:r w:rsidR="00F961A8">
          <w:rPr>
            <w:noProof/>
            <w:webHidden/>
          </w:rPr>
          <w:fldChar w:fldCharType="begin"/>
        </w:r>
        <w:r w:rsidR="00F961A8">
          <w:rPr>
            <w:noProof/>
            <w:webHidden/>
          </w:rPr>
          <w:instrText xml:space="preserve"> PAGEREF _Toc6314249 \h </w:instrText>
        </w:r>
        <w:r w:rsidR="00F961A8">
          <w:rPr>
            <w:noProof/>
            <w:webHidden/>
          </w:rPr>
        </w:r>
        <w:r w:rsidR="00F961A8">
          <w:rPr>
            <w:noProof/>
            <w:webHidden/>
          </w:rPr>
          <w:fldChar w:fldCharType="separate"/>
        </w:r>
        <w:r w:rsidR="00D5739E">
          <w:rPr>
            <w:noProof/>
            <w:webHidden/>
          </w:rPr>
          <w:t>10</w:t>
        </w:r>
        <w:r w:rsidR="00F961A8">
          <w:rPr>
            <w:noProof/>
            <w:webHidden/>
          </w:rPr>
          <w:fldChar w:fldCharType="end"/>
        </w:r>
      </w:hyperlink>
    </w:p>
    <w:p w14:paraId="5DA2BD72"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0" w:history="1">
        <w:r w:rsidR="00F961A8" w:rsidRPr="00D9228A">
          <w:rPr>
            <w:rStyle w:val="Hypertextovprepojenie"/>
            <w:rFonts w:eastAsiaTheme="minorHAnsi"/>
            <w:noProof/>
            <w:lang w:eastAsia="en-US"/>
          </w:rPr>
          <w:t>GRAF 7 - Príspevky výrobných faktorov k rastu potenciálneho produktu (p. b.) - prístup MF SR</w:t>
        </w:r>
        <w:r w:rsidR="00F961A8">
          <w:rPr>
            <w:noProof/>
            <w:webHidden/>
          </w:rPr>
          <w:tab/>
        </w:r>
        <w:r w:rsidR="00F961A8">
          <w:rPr>
            <w:noProof/>
            <w:webHidden/>
          </w:rPr>
          <w:fldChar w:fldCharType="begin"/>
        </w:r>
        <w:r w:rsidR="00F961A8">
          <w:rPr>
            <w:noProof/>
            <w:webHidden/>
          </w:rPr>
          <w:instrText xml:space="preserve"> PAGEREF _Toc6314250 \h </w:instrText>
        </w:r>
        <w:r w:rsidR="00F961A8">
          <w:rPr>
            <w:noProof/>
            <w:webHidden/>
          </w:rPr>
        </w:r>
        <w:r w:rsidR="00F961A8">
          <w:rPr>
            <w:noProof/>
            <w:webHidden/>
          </w:rPr>
          <w:fldChar w:fldCharType="separate"/>
        </w:r>
        <w:r w:rsidR="00D5739E">
          <w:rPr>
            <w:noProof/>
            <w:webHidden/>
          </w:rPr>
          <w:t>11</w:t>
        </w:r>
        <w:r w:rsidR="00F961A8">
          <w:rPr>
            <w:noProof/>
            <w:webHidden/>
          </w:rPr>
          <w:fldChar w:fldCharType="end"/>
        </w:r>
      </w:hyperlink>
    </w:p>
    <w:p w14:paraId="474A9FD2"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1" w:history="1">
        <w:r w:rsidR="00F961A8" w:rsidRPr="00D9228A">
          <w:rPr>
            <w:rStyle w:val="Hypertextovprepojenie"/>
            <w:rFonts w:eastAsiaTheme="minorHAnsi"/>
            <w:noProof/>
            <w:lang w:eastAsia="en-US"/>
          </w:rPr>
          <w:t>GRAF 8 - Produkčná medzera* (% pot. HDP) - prístup MF SR</w:t>
        </w:r>
        <w:r w:rsidR="00F961A8">
          <w:rPr>
            <w:noProof/>
            <w:webHidden/>
          </w:rPr>
          <w:tab/>
        </w:r>
        <w:r w:rsidR="00F961A8">
          <w:rPr>
            <w:noProof/>
            <w:webHidden/>
          </w:rPr>
          <w:fldChar w:fldCharType="begin"/>
        </w:r>
        <w:r w:rsidR="00F961A8">
          <w:rPr>
            <w:noProof/>
            <w:webHidden/>
          </w:rPr>
          <w:instrText xml:space="preserve"> PAGEREF _Toc6314251 \h </w:instrText>
        </w:r>
        <w:r w:rsidR="00F961A8">
          <w:rPr>
            <w:noProof/>
            <w:webHidden/>
          </w:rPr>
        </w:r>
        <w:r w:rsidR="00F961A8">
          <w:rPr>
            <w:noProof/>
            <w:webHidden/>
          </w:rPr>
          <w:fldChar w:fldCharType="separate"/>
        </w:r>
        <w:r w:rsidR="00D5739E">
          <w:rPr>
            <w:noProof/>
            <w:webHidden/>
          </w:rPr>
          <w:t>11</w:t>
        </w:r>
        <w:r w:rsidR="00F961A8">
          <w:rPr>
            <w:noProof/>
            <w:webHidden/>
          </w:rPr>
          <w:fldChar w:fldCharType="end"/>
        </w:r>
      </w:hyperlink>
    </w:p>
    <w:p w14:paraId="14E21A3A"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2" w:history="1">
        <w:r w:rsidR="00F961A8" w:rsidRPr="00D9228A">
          <w:rPr>
            <w:rStyle w:val="Hypertextovprepojenie"/>
            <w:rFonts w:eastAsiaTheme="minorHAnsi"/>
            <w:noProof/>
            <w:lang w:eastAsia="en-US"/>
          </w:rPr>
          <w:t>GRAF 9 - Konsolidačné úsilie verejnej správy (% HDP)</w:t>
        </w:r>
        <w:r w:rsidR="00F961A8">
          <w:rPr>
            <w:noProof/>
            <w:webHidden/>
          </w:rPr>
          <w:tab/>
        </w:r>
        <w:r w:rsidR="00F961A8">
          <w:rPr>
            <w:noProof/>
            <w:webHidden/>
          </w:rPr>
          <w:fldChar w:fldCharType="begin"/>
        </w:r>
        <w:r w:rsidR="00F961A8">
          <w:rPr>
            <w:noProof/>
            <w:webHidden/>
          </w:rPr>
          <w:instrText xml:space="preserve"> PAGEREF _Toc6314252 \h </w:instrText>
        </w:r>
        <w:r w:rsidR="00F961A8">
          <w:rPr>
            <w:noProof/>
            <w:webHidden/>
          </w:rPr>
        </w:r>
        <w:r w:rsidR="00F961A8">
          <w:rPr>
            <w:noProof/>
            <w:webHidden/>
          </w:rPr>
          <w:fldChar w:fldCharType="separate"/>
        </w:r>
        <w:r w:rsidR="00D5739E">
          <w:rPr>
            <w:noProof/>
            <w:webHidden/>
          </w:rPr>
          <w:t>14</w:t>
        </w:r>
        <w:r w:rsidR="00F961A8">
          <w:rPr>
            <w:noProof/>
            <w:webHidden/>
          </w:rPr>
          <w:fldChar w:fldCharType="end"/>
        </w:r>
      </w:hyperlink>
    </w:p>
    <w:p w14:paraId="4114DBDE"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3" w:history="1">
        <w:r w:rsidR="00F961A8" w:rsidRPr="00D9228A">
          <w:rPr>
            <w:rStyle w:val="Hypertextovprepojenie"/>
            <w:rFonts w:eastAsiaTheme="minorHAnsi"/>
            <w:noProof/>
            <w:lang w:eastAsia="en-US"/>
          </w:rPr>
          <w:t>GRAF 10 - Hrubý dlh verejnej správy (% HDP)</w:t>
        </w:r>
        <w:r w:rsidR="00F961A8">
          <w:rPr>
            <w:noProof/>
            <w:webHidden/>
          </w:rPr>
          <w:tab/>
        </w:r>
        <w:r w:rsidR="00F961A8">
          <w:rPr>
            <w:noProof/>
            <w:webHidden/>
          </w:rPr>
          <w:fldChar w:fldCharType="begin"/>
        </w:r>
        <w:r w:rsidR="00F961A8">
          <w:rPr>
            <w:noProof/>
            <w:webHidden/>
          </w:rPr>
          <w:instrText xml:space="preserve"> PAGEREF _Toc6314253 \h </w:instrText>
        </w:r>
        <w:r w:rsidR="00F961A8">
          <w:rPr>
            <w:noProof/>
            <w:webHidden/>
          </w:rPr>
        </w:r>
        <w:r w:rsidR="00F961A8">
          <w:rPr>
            <w:noProof/>
            <w:webHidden/>
          </w:rPr>
          <w:fldChar w:fldCharType="separate"/>
        </w:r>
        <w:r w:rsidR="00D5739E">
          <w:rPr>
            <w:noProof/>
            <w:webHidden/>
          </w:rPr>
          <w:t>14</w:t>
        </w:r>
        <w:r w:rsidR="00F961A8">
          <w:rPr>
            <w:noProof/>
            <w:webHidden/>
          </w:rPr>
          <w:fldChar w:fldCharType="end"/>
        </w:r>
      </w:hyperlink>
    </w:p>
    <w:p w14:paraId="5843A159"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4" w:history="1">
        <w:r w:rsidR="00F961A8" w:rsidRPr="00D9228A">
          <w:rPr>
            <w:rStyle w:val="Hypertextovprepojenie"/>
            <w:rFonts w:eastAsiaTheme="minorHAnsi"/>
            <w:noProof/>
            <w:lang w:eastAsia="en-US"/>
          </w:rPr>
          <w:t>GRAF 11 - Plnenie schváleného rozpočtu 2018 - rozdiely na hlavných položkách (ESA 2010)</w:t>
        </w:r>
        <w:r w:rsidR="00F961A8">
          <w:rPr>
            <w:noProof/>
            <w:webHidden/>
          </w:rPr>
          <w:tab/>
        </w:r>
        <w:r w:rsidR="00F961A8">
          <w:rPr>
            <w:noProof/>
            <w:webHidden/>
          </w:rPr>
          <w:fldChar w:fldCharType="begin"/>
        </w:r>
        <w:r w:rsidR="00F961A8">
          <w:rPr>
            <w:noProof/>
            <w:webHidden/>
          </w:rPr>
          <w:instrText xml:space="preserve"> PAGEREF _Toc6314254 \h </w:instrText>
        </w:r>
        <w:r w:rsidR="00F961A8">
          <w:rPr>
            <w:noProof/>
            <w:webHidden/>
          </w:rPr>
        </w:r>
        <w:r w:rsidR="00F961A8">
          <w:rPr>
            <w:noProof/>
            <w:webHidden/>
          </w:rPr>
          <w:fldChar w:fldCharType="separate"/>
        </w:r>
        <w:r w:rsidR="00D5739E">
          <w:rPr>
            <w:noProof/>
            <w:webHidden/>
          </w:rPr>
          <w:t>14</w:t>
        </w:r>
        <w:r w:rsidR="00F961A8">
          <w:rPr>
            <w:noProof/>
            <w:webHidden/>
          </w:rPr>
          <w:fldChar w:fldCharType="end"/>
        </w:r>
      </w:hyperlink>
    </w:p>
    <w:p w14:paraId="3591BB09"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5" w:history="1">
        <w:r w:rsidR="00F961A8" w:rsidRPr="00D9228A">
          <w:rPr>
            <w:rStyle w:val="Hypertextovprepojenie"/>
            <w:rFonts w:eastAsiaTheme="minorHAnsi"/>
            <w:noProof/>
          </w:rPr>
          <w:t>GRAF 12 - Príspevky k zmene odhadu daňových príjmov 2018 oproti rozpočtu (mil. eur)</w:t>
        </w:r>
        <w:r w:rsidR="00F961A8">
          <w:rPr>
            <w:noProof/>
            <w:webHidden/>
          </w:rPr>
          <w:tab/>
        </w:r>
        <w:r w:rsidR="00F961A8">
          <w:rPr>
            <w:noProof/>
            <w:webHidden/>
          </w:rPr>
          <w:fldChar w:fldCharType="begin"/>
        </w:r>
        <w:r w:rsidR="00F961A8">
          <w:rPr>
            <w:noProof/>
            <w:webHidden/>
          </w:rPr>
          <w:instrText xml:space="preserve"> PAGEREF _Toc6314255 \h </w:instrText>
        </w:r>
        <w:r w:rsidR="00F961A8">
          <w:rPr>
            <w:noProof/>
            <w:webHidden/>
          </w:rPr>
        </w:r>
        <w:r w:rsidR="00F961A8">
          <w:rPr>
            <w:noProof/>
            <w:webHidden/>
          </w:rPr>
          <w:fldChar w:fldCharType="separate"/>
        </w:r>
        <w:r w:rsidR="00D5739E">
          <w:rPr>
            <w:noProof/>
            <w:webHidden/>
          </w:rPr>
          <w:t>15</w:t>
        </w:r>
        <w:r w:rsidR="00F961A8">
          <w:rPr>
            <w:noProof/>
            <w:webHidden/>
          </w:rPr>
          <w:fldChar w:fldCharType="end"/>
        </w:r>
      </w:hyperlink>
    </w:p>
    <w:p w14:paraId="32C10ABB"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6" w:history="1">
        <w:r w:rsidR="00F961A8" w:rsidRPr="00D9228A">
          <w:rPr>
            <w:rStyle w:val="Hypertextovprepojenie"/>
            <w:rFonts w:eastAsiaTheme="minorHAnsi"/>
            <w:noProof/>
          </w:rPr>
          <w:t>GRAF 13 - Príspevky k zmene odhadu daňovo-odvodových príjmov 2018 oproti rozpočtu (mil. eur)</w:t>
        </w:r>
        <w:r w:rsidR="00F961A8">
          <w:rPr>
            <w:noProof/>
            <w:webHidden/>
          </w:rPr>
          <w:tab/>
        </w:r>
        <w:r w:rsidR="00F961A8">
          <w:rPr>
            <w:noProof/>
            <w:webHidden/>
          </w:rPr>
          <w:fldChar w:fldCharType="begin"/>
        </w:r>
        <w:r w:rsidR="00F961A8">
          <w:rPr>
            <w:noProof/>
            <w:webHidden/>
          </w:rPr>
          <w:instrText xml:space="preserve"> PAGEREF _Toc6314256 \h </w:instrText>
        </w:r>
        <w:r w:rsidR="00F961A8">
          <w:rPr>
            <w:noProof/>
            <w:webHidden/>
          </w:rPr>
        </w:r>
        <w:r w:rsidR="00F961A8">
          <w:rPr>
            <w:noProof/>
            <w:webHidden/>
          </w:rPr>
          <w:fldChar w:fldCharType="separate"/>
        </w:r>
        <w:r w:rsidR="00D5739E">
          <w:rPr>
            <w:noProof/>
            <w:webHidden/>
          </w:rPr>
          <w:t>15</w:t>
        </w:r>
        <w:r w:rsidR="00F961A8">
          <w:rPr>
            <w:noProof/>
            <w:webHidden/>
          </w:rPr>
          <w:fldChar w:fldCharType="end"/>
        </w:r>
      </w:hyperlink>
    </w:p>
    <w:p w14:paraId="32C58632"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7" w:history="1">
        <w:r w:rsidR="00F961A8" w:rsidRPr="00D9228A">
          <w:rPr>
            <w:rStyle w:val="Hypertextovprepojenie"/>
            <w:rFonts w:eastAsiaTheme="minorHAnsi"/>
            <w:noProof/>
            <w:lang w:eastAsia="en-US"/>
          </w:rPr>
          <w:t>GRAF 14 - Plnenie schváleného rozpočtu - rozdiely na hlavných položkách (ESA 2010), príspevky v mil. eur</w:t>
        </w:r>
        <w:r w:rsidR="00F961A8">
          <w:rPr>
            <w:noProof/>
            <w:webHidden/>
          </w:rPr>
          <w:tab/>
        </w:r>
        <w:r w:rsidR="00F961A8">
          <w:rPr>
            <w:noProof/>
            <w:webHidden/>
          </w:rPr>
          <w:fldChar w:fldCharType="begin"/>
        </w:r>
        <w:r w:rsidR="00F961A8">
          <w:rPr>
            <w:noProof/>
            <w:webHidden/>
          </w:rPr>
          <w:instrText xml:space="preserve"> PAGEREF _Toc6314257 \h </w:instrText>
        </w:r>
        <w:r w:rsidR="00F961A8">
          <w:rPr>
            <w:noProof/>
            <w:webHidden/>
          </w:rPr>
        </w:r>
        <w:r w:rsidR="00F961A8">
          <w:rPr>
            <w:noProof/>
            <w:webHidden/>
          </w:rPr>
          <w:fldChar w:fldCharType="separate"/>
        </w:r>
        <w:r w:rsidR="00D5739E">
          <w:rPr>
            <w:noProof/>
            <w:webHidden/>
          </w:rPr>
          <w:t>16</w:t>
        </w:r>
        <w:r w:rsidR="00F961A8">
          <w:rPr>
            <w:noProof/>
            <w:webHidden/>
          </w:rPr>
          <w:fldChar w:fldCharType="end"/>
        </w:r>
      </w:hyperlink>
    </w:p>
    <w:p w14:paraId="5EB9F2F8"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8" w:history="1">
        <w:r w:rsidR="00F961A8" w:rsidRPr="00D9228A">
          <w:rPr>
            <w:rStyle w:val="Hypertextovprepojenie"/>
            <w:rFonts w:eastAsiaTheme="minorHAnsi"/>
            <w:noProof/>
            <w:lang w:eastAsia="en-US"/>
          </w:rPr>
          <w:t>GRAF 15 - Zmena primárneho štrukturálneho salda oproti úrovni produkčnej medzery (% HDP)</w:t>
        </w:r>
        <w:r w:rsidR="00F961A8">
          <w:rPr>
            <w:noProof/>
            <w:webHidden/>
          </w:rPr>
          <w:tab/>
        </w:r>
        <w:r w:rsidR="00F961A8">
          <w:rPr>
            <w:noProof/>
            <w:webHidden/>
          </w:rPr>
          <w:fldChar w:fldCharType="begin"/>
        </w:r>
        <w:r w:rsidR="00F961A8">
          <w:rPr>
            <w:noProof/>
            <w:webHidden/>
          </w:rPr>
          <w:instrText xml:space="preserve"> PAGEREF _Toc6314258 \h </w:instrText>
        </w:r>
        <w:r w:rsidR="00F961A8">
          <w:rPr>
            <w:noProof/>
            <w:webHidden/>
          </w:rPr>
        </w:r>
        <w:r w:rsidR="00F961A8">
          <w:rPr>
            <w:noProof/>
            <w:webHidden/>
          </w:rPr>
          <w:fldChar w:fldCharType="separate"/>
        </w:r>
        <w:r w:rsidR="00D5739E">
          <w:rPr>
            <w:noProof/>
            <w:webHidden/>
          </w:rPr>
          <w:t>19</w:t>
        </w:r>
        <w:r w:rsidR="00F961A8">
          <w:rPr>
            <w:noProof/>
            <w:webHidden/>
          </w:rPr>
          <w:fldChar w:fldCharType="end"/>
        </w:r>
      </w:hyperlink>
    </w:p>
    <w:p w14:paraId="1EAB06E3"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59" w:history="1">
        <w:r w:rsidR="00F961A8" w:rsidRPr="00D9228A">
          <w:rPr>
            <w:rStyle w:val="Hypertextovprepojenie"/>
            <w:rFonts w:eastAsiaTheme="minorHAnsi"/>
            <w:noProof/>
            <w:lang w:eastAsia="en-US"/>
          </w:rPr>
          <w:t>GRAF 16 - Vývoj výdavkového agregátu oproti výdavkovému pravidlu (% medziročný nárast)</w:t>
        </w:r>
        <w:r w:rsidR="00F961A8">
          <w:rPr>
            <w:noProof/>
            <w:webHidden/>
          </w:rPr>
          <w:tab/>
        </w:r>
        <w:r w:rsidR="00F961A8">
          <w:rPr>
            <w:noProof/>
            <w:webHidden/>
          </w:rPr>
          <w:fldChar w:fldCharType="begin"/>
        </w:r>
        <w:r w:rsidR="00F961A8">
          <w:rPr>
            <w:noProof/>
            <w:webHidden/>
          </w:rPr>
          <w:instrText xml:space="preserve"> PAGEREF _Toc6314259 \h </w:instrText>
        </w:r>
        <w:r w:rsidR="00F961A8">
          <w:rPr>
            <w:noProof/>
            <w:webHidden/>
          </w:rPr>
        </w:r>
        <w:r w:rsidR="00F961A8">
          <w:rPr>
            <w:noProof/>
            <w:webHidden/>
          </w:rPr>
          <w:fldChar w:fldCharType="separate"/>
        </w:r>
        <w:r w:rsidR="00D5739E">
          <w:rPr>
            <w:noProof/>
            <w:webHidden/>
          </w:rPr>
          <w:t>20</w:t>
        </w:r>
        <w:r w:rsidR="00F961A8">
          <w:rPr>
            <w:noProof/>
            <w:webHidden/>
          </w:rPr>
          <w:fldChar w:fldCharType="end"/>
        </w:r>
      </w:hyperlink>
    </w:p>
    <w:p w14:paraId="2233F06F"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0" w:history="1">
        <w:r w:rsidR="00F961A8" w:rsidRPr="00D9228A">
          <w:rPr>
            <w:rStyle w:val="Hypertextovprepojenie"/>
            <w:rFonts w:eastAsiaTheme="minorHAnsi"/>
            <w:noProof/>
            <w:lang w:eastAsia="en-US"/>
          </w:rPr>
          <w:t>GRAF 17 - Vývoj daňovo-odvodových príjmov oproti potenciálnemu rastu HDP (% medziročný nárast)</w:t>
        </w:r>
        <w:r w:rsidR="00F961A8">
          <w:rPr>
            <w:noProof/>
            <w:webHidden/>
          </w:rPr>
          <w:tab/>
        </w:r>
        <w:r w:rsidR="00F961A8">
          <w:rPr>
            <w:noProof/>
            <w:webHidden/>
          </w:rPr>
          <w:fldChar w:fldCharType="begin"/>
        </w:r>
        <w:r w:rsidR="00F961A8">
          <w:rPr>
            <w:noProof/>
            <w:webHidden/>
          </w:rPr>
          <w:instrText xml:space="preserve"> PAGEREF _Toc6314260 \h </w:instrText>
        </w:r>
        <w:r w:rsidR="00F961A8">
          <w:rPr>
            <w:noProof/>
            <w:webHidden/>
          </w:rPr>
        </w:r>
        <w:r w:rsidR="00F961A8">
          <w:rPr>
            <w:noProof/>
            <w:webHidden/>
          </w:rPr>
          <w:fldChar w:fldCharType="separate"/>
        </w:r>
        <w:r w:rsidR="00D5739E">
          <w:rPr>
            <w:noProof/>
            <w:webHidden/>
          </w:rPr>
          <w:t>20</w:t>
        </w:r>
        <w:r w:rsidR="00F961A8">
          <w:rPr>
            <w:noProof/>
            <w:webHidden/>
          </w:rPr>
          <w:fldChar w:fldCharType="end"/>
        </w:r>
      </w:hyperlink>
    </w:p>
    <w:p w14:paraId="3D9B8E1E"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1" w:history="1">
        <w:r w:rsidR="00F961A8" w:rsidRPr="00D9228A">
          <w:rPr>
            <w:rStyle w:val="Hypertextovprepojenie"/>
            <w:rFonts w:eastAsiaTheme="minorHAnsi"/>
            <w:noProof/>
            <w:lang w:eastAsia="en-US"/>
          </w:rPr>
          <w:t>GRAF 18 - Hrubý dlh verejnej správy (% HDP)</w:t>
        </w:r>
        <w:r w:rsidR="00F961A8">
          <w:rPr>
            <w:noProof/>
            <w:webHidden/>
          </w:rPr>
          <w:tab/>
        </w:r>
        <w:r w:rsidR="00F961A8">
          <w:rPr>
            <w:noProof/>
            <w:webHidden/>
          </w:rPr>
          <w:fldChar w:fldCharType="begin"/>
        </w:r>
        <w:r w:rsidR="00F961A8">
          <w:rPr>
            <w:noProof/>
            <w:webHidden/>
          </w:rPr>
          <w:instrText xml:space="preserve"> PAGEREF _Toc6314261 \h </w:instrText>
        </w:r>
        <w:r w:rsidR="00F961A8">
          <w:rPr>
            <w:noProof/>
            <w:webHidden/>
          </w:rPr>
        </w:r>
        <w:r w:rsidR="00F961A8">
          <w:rPr>
            <w:noProof/>
            <w:webHidden/>
          </w:rPr>
          <w:fldChar w:fldCharType="separate"/>
        </w:r>
        <w:r w:rsidR="00D5739E">
          <w:rPr>
            <w:noProof/>
            <w:webHidden/>
          </w:rPr>
          <w:t>24</w:t>
        </w:r>
        <w:r w:rsidR="00F961A8">
          <w:rPr>
            <w:noProof/>
            <w:webHidden/>
          </w:rPr>
          <w:fldChar w:fldCharType="end"/>
        </w:r>
      </w:hyperlink>
    </w:p>
    <w:p w14:paraId="13A7ECCB"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2" w:history="1">
        <w:r w:rsidR="00F961A8" w:rsidRPr="00D9228A">
          <w:rPr>
            <w:rStyle w:val="Hypertextovprepojenie"/>
            <w:rFonts w:eastAsiaTheme="minorHAnsi"/>
            <w:noProof/>
            <w:lang w:eastAsia="en-US"/>
          </w:rPr>
          <w:t>GRAF 19 - Príspevky faktorov k medziročnej zmene hrubého dlhu (% HDP)</w:t>
        </w:r>
        <w:r w:rsidR="00F961A8">
          <w:rPr>
            <w:noProof/>
            <w:webHidden/>
          </w:rPr>
          <w:tab/>
        </w:r>
        <w:r w:rsidR="00F961A8">
          <w:rPr>
            <w:noProof/>
            <w:webHidden/>
          </w:rPr>
          <w:fldChar w:fldCharType="begin"/>
        </w:r>
        <w:r w:rsidR="00F961A8">
          <w:rPr>
            <w:noProof/>
            <w:webHidden/>
          </w:rPr>
          <w:instrText xml:space="preserve"> PAGEREF _Toc6314262 \h </w:instrText>
        </w:r>
        <w:r w:rsidR="00F961A8">
          <w:rPr>
            <w:noProof/>
            <w:webHidden/>
          </w:rPr>
        </w:r>
        <w:r w:rsidR="00F961A8">
          <w:rPr>
            <w:noProof/>
            <w:webHidden/>
          </w:rPr>
          <w:fldChar w:fldCharType="separate"/>
        </w:r>
        <w:r w:rsidR="00D5739E">
          <w:rPr>
            <w:noProof/>
            <w:webHidden/>
          </w:rPr>
          <w:t>25</w:t>
        </w:r>
        <w:r w:rsidR="00F961A8">
          <w:rPr>
            <w:noProof/>
            <w:webHidden/>
          </w:rPr>
          <w:fldChar w:fldCharType="end"/>
        </w:r>
      </w:hyperlink>
    </w:p>
    <w:p w14:paraId="2C33DDB2"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3" w:history="1">
        <w:r w:rsidR="00F961A8" w:rsidRPr="00D9228A">
          <w:rPr>
            <w:rStyle w:val="Hypertextovprepojenie"/>
            <w:rFonts w:eastAsiaTheme="minorHAnsi"/>
            <w:noProof/>
            <w:lang w:eastAsia="en-US"/>
          </w:rPr>
          <w:t>GRAF 20 - Rozdiel medzi nominálnym rastom HDP a úrokovými sadzbami (% medziročné rasty)</w:t>
        </w:r>
        <w:r w:rsidR="00F961A8">
          <w:rPr>
            <w:noProof/>
            <w:webHidden/>
          </w:rPr>
          <w:tab/>
        </w:r>
        <w:r w:rsidR="00F961A8">
          <w:rPr>
            <w:noProof/>
            <w:webHidden/>
          </w:rPr>
          <w:fldChar w:fldCharType="begin"/>
        </w:r>
        <w:r w:rsidR="00F961A8">
          <w:rPr>
            <w:noProof/>
            <w:webHidden/>
          </w:rPr>
          <w:instrText xml:space="preserve"> PAGEREF _Toc6314263 \h </w:instrText>
        </w:r>
        <w:r w:rsidR="00F961A8">
          <w:rPr>
            <w:noProof/>
            <w:webHidden/>
          </w:rPr>
        </w:r>
        <w:r w:rsidR="00F961A8">
          <w:rPr>
            <w:noProof/>
            <w:webHidden/>
          </w:rPr>
          <w:fldChar w:fldCharType="separate"/>
        </w:r>
        <w:r w:rsidR="00D5739E">
          <w:rPr>
            <w:noProof/>
            <w:webHidden/>
          </w:rPr>
          <w:t>25</w:t>
        </w:r>
        <w:r w:rsidR="00F961A8">
          <w:rPr>
            <w:noProof/>
            <w:webHidden/>
          </w:rPr>
          <w:fldChar w:fldCharType="end"/>
        </w:r>
      </w:hyperlink>
    </w:p>
    <w:p w14:paraId="5CCCC71C"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4" w:history="1">
        <w:r w:rsidR="00F961A8" w:rsidRPr="00D9228A">
          <w:rPr>
            <w:rStyle w:val="Hypertextovprepojenie"/>
            <w:rFonts w:eastAsiaTheme="minorHAnsi"/>
            <w:noProof/>
            <w:lang w:eastAsia="en-US"/>
          </w:rPr>
          <w:t>GRAF 21 - Čistý dlh (% HDP)</w:t>
        </w:r>
        <w:r w:rsidR="00F961A8">
          <w:rPr>
            <w:noProof/>
            <w:webHidden/>
          </w:rPr>
          <w:tab/>
        </w:r>
        <w:r w:rsidR="00F961A8">
          <w:rPr>
            <w:noProof/>
            <w:webHidden/>
          </w:rPr>
          <w:fldChar w:fldCharType="begin"/>
        </w:r>
        <w:r w:rsidR="00F961A8">
          <w:rPr>
            <w:noProof/>
            <w:webHidden/>
          </w:rPr>
          <w:instrText xml:space="preserve"> PAGEREF _Toc6314264 \h </w:instrText>
        </w:r>
        <w:r w:rsidR="00F961A8">
          <w:rPr>
            <w:noProof/>
            <w:webHidden/>
          </w:rPr>
        </w:r>
        <w:r w:rsidR="00F961A8">
          <w:rPr>
            <w:noProof/>
            <w:webHidden/>
          </w:rPr>
          <w:fldChar w:fldCharType="separate"/>
        </w:r>
        <w:r w:rsidR="00D5739E">
          <w:rPr>
            <w:noProof/>
            <w:webHidden/>
          </w:rPr>
          <w:t>26</w:t>
        </w:r>
        <w:r w:rsidR="00F961A8">
          <w:rPr>
            <w:noProof/>
            <w:webHidden/>
          </w:rPr>
          <w:fldChar w:fldCharType="end"/>
        </w:r>
      </w:hyperlink>
    </w:p>
    <w:p w14:paraId="36FF6805"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5" w:history="1">
        <w:r w:rsidR="00F961A8" w:rsidRPr="00D9228A">
          <w:rPr>
            <w:rStyle w:val="Hypertextovprepojenie"/>
            <w:rFonts w:eastAsiaTheme="minorHAnsi"/>
            <w:noProof/>
            <w:lang w:eastAsia="en-US"/>
          </w:rPr>
          <w:t>GRAF 22 - Predpoklady emisného plánu (% HDP)</w:t>
        </w:r>
        <w:r w:rsidR="00F961A8">
          <w:rPr>
            <w:noProof/>
            <w:webHidden/>
          </w:rPr>
          <w:tab/>
        </w:r>
        <w:r w:rsidR="00F961A8">
          <w:rPr>
            <w:noProof/>
            <w:webHidden/>
          </w:rPr>
          <w:fldChar w:fldCharType="begin"/>
        </w:r>
        <w:r w:rsidR="00F961A8">
          <w:rPr>
            <w:noProof/>
            <w:webHidden/>
          </w:rPr>
          <w:instrText xml:space="preserve"> PAGEREF _Toc6314265 \h </w:instrText>
        </w:r>
        <w:r w:rsidR="00F961A8">
          <w:rPr>
            <w:noProof/>
            <w:webHidden/>
          </w:rPr>
        </w:r>
        <w:r w:rsidR="00F961A8">
          <w:rPr>
            <w:noProof/>
            <w:webHidden/>
          </w:rPr>
          <w:fldChar w:fldCharType="separate"/>
        </w:r>
        <w:r w:rsidR="00D5739E">
          <w:rPr>
            <w:noProof/>
            <w:webHidden/>
          </w:rPr>
          <w:t>26</w:t>
        </w:r>
        <w:r w:rsidR="00F961A8">
          <w:rPr>
            <w:noProof/>
            <w:webHidden/>
          </w:rPr>
          <w:fldChar w:fldCharType="end"/>
        </w:r>
      </w:hyperlink>
    </w:p>
    <w:p w14:paraId="7F466267"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6" w:history="1">
        <w:r w:rsidR="00F961A8" w:rsidRPr="00D9228A">
          <w:rPr>
            <w:rStyle w:val="Hypertextovprepojenie"/>
            <w:rFonts w:eastAsiaTheme="minorHAnsi"/>
            <w:noProof/>
            <w:lang w:eastAsia="en-US"/>
          </w:rPr>
          <w:t>GRAF 23 - Saldo VS v základnom a rizikových scenároch (% HDP)</w:t>
        </w:r>
        <w:r w:rsidR="00F961A8">
          <w:rPr>
            <w:noProof/>
            <w:webHidden/>
          </w:rPr>
          <w:tab/>
        </w:r>
        <w:r w:rsidR="00F961A8">
          <w:rPr>
            <w:noProof/>
            <w:webHidden/>
          </w:rPr>
          <w:fldChar w:fldCharType="begin"/>
        </w:r>
        <w:r w:rsidR="00F961A8">
          <w:rPr>
            <w:noProof/>
            <w:webHidden/>
          </w:rPr>
          <w:instrText xml:space="preserve"> PAGEREF _Toc6314266 \h </w:instrText>
        </w:r>
        <w:r w:rsidR="00F961A8">
          <w:rPr>
            <w:noProof/>
            <w:webHidden/>
          </w:rPr>
        </w:r>
        <w:r w:rsidR="00F961A8">
          <w:rPr>
            <w:noProof/>
            <w:webHidden/>
          </w:rPr>
          <w:fldChar w:fldCharType="separate"/>
        </w:r>
        <w:r w:rsidR="00D5739E">
          <w:rPr>
            <w:noProof/>
            <w:webHidden/>
          </w:rPr>
          <w:t>27</w:t>
        </w:r>
        <w:r w:rsidR="00F961A8">
          <w:rPr>
            <w:noProof/>
            <w:webHidden/>
          </w:rPr>
          <w:fldChar w:fldCharType="end"/>
        </w:r>
      </w:hyperlink>
    </w:p>
    <w:p w14:paraId="4A39FA69"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7" w:history="1">
        <w:r w:rsidR="00F961A8" w:rsidRPr="00D9228A">
          <w:rPr>
            <w:rStyle w:val="Hypertextovprepojenie"/>
            <w:rFonts w:eastAsiaTheme="minorHAnsi"/>
            <w:noProof/>
            <w:lang w:eastAsia="en-US"/>
          </w:rPr>
          <w:t>GRAF 24 - Hrubý dlh VS v základnom a rizikových scenároch (% HDP)</w:t>
        </w:r>
        <w:r w:rsidR="00F961A8">
          <w:rPr>
            <w:noProof/>
            <w:webHidden/>
          </w:rPr>
          <w:tab/>
        </w:r>
        <w:r w:rsidR="00F961A8">
          <w:rPr>
            <w:noProof/>
            <w:webHidden/>
          </w:rPr>
          <w:fldChar w:fldCharType="begin"/>
        </w:r>
        <w:r w:rsidR="00F961A8">
          <w:rPr>
            <w:noProof/>
            <w:webHidden/>
          </w:rPr>
          <w:instrText xml:space="preserve"> PAGEREF _Toc6314267 \h </w:instrText>
        </w:r>
        <w:r w:rsidR="00F961A8">
          <w:rPr>
            <w:noProof/>
            <w:webHidden/>
          </w:rPr>
        </w:r>
        <w:r w:rsidR="00F961A8">
          <w:rPr>
            <w:noProof/>
            <w:webHidden/>
          </w:rPr>
          <w:fldChar w:fldCharType="separate"/>
        </w:r>
        <w:r w:rsidR="00D5739E">
          <w:rPr>
            <w:noProof/>
            <w:webHidden/>
          </w:rPr>
          <w:t>27</w:t>
        </w:r>
        <w:r w:rsidR="00F961A8">
          <w:rPr>
            <w:noProof/>
            <w:webHidden/>
          </w:rPr>
          <w:fldChar w:fldCharType="end"/>
        </w:r>
      </w:hyperlink>
    </w:p>
    <w:p w14:paraId="2D4864B0"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8" w:history="1">
        <w:r w:rsidR="00F961A8" w:rsidRPr="00D9228A">
          <w:rPr>
            <w:rStyle w:val="Hypertextovprepojenie"/>
            <w:rFonts w:eastAsiaTheme="minorHAnsi"/>
            <w:noProof/>
            <w:lang w:eastAsia="en-US"/>
          </w:rPr>
          <w:t>GRAF 25 - Strednodobá udržateľnosť S1 (EK, MF SR % HDP)*</w:t>
        </w:r>
        <w:r w:rsidR="00F961A8">
          <w:rPr>
            <w:noProof/>
            <w:webHidden/>
          </w:rPr>
          <w:tab/>
        </w:r>
        <w:r w:rsidR="00F961A8">
          <w:rPr>
            <w:noProof/>
            <w:webHidden/>
          </w:rPr>
          <w:fldChar w:fldCharType="begin"/>
        </w:r>
        <w:r w:rsidR="00F961A8">
          <w:rPr>
            <w:noProof/>
            <w:webHidden/>
          </w:rPr>
          <w:instrText xml:space="preserve"> PAGEREF _Toc6314268 \h </w:instrText>
        </w:r>
        <w:r w:rsidR="00F961A8">
          <w:rPr>
            <w:noProof/>
            <w:webHidden/>
          </w:rPr>
        </w:r>
        <w:r w:rsidR="00F961A8">
          <w:rPr>
            <w:noProof/>
            <w:webHidden/>
          </w:rPr>
          <w:fldChar w:fldCharType="separate"/>
        </w:r>
        <w:r w:rsidR="00D5739E">
          <w:rPr>
            <w:noProof/>
            <w:webHidden/>
          </w:rPr>
          <w:t>32</w:t>
        </w:r>
        <w:r w:rsidR="00F961A8">
          <w:rPr>
            <w:noProof/>
            <w:webHidden/>
          </w:rPr>
          <w:fldChar w:fldCharType="end"/>
        </w:r>
      </w:hyperlink>
    </w:p>
    <w:p w14:paraId="4D4B85E9"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69" w:history="1">
        <w:r w:rsidR="00F961A8" w:rsidRPr="00D9228A">
          <w:rPr>
            <w:rStyle w:val="Hypertextovprepojenie"/>
            <w:rFonts w:eastAsiaTheme="minorHAnsi"/>
            <w:noProof/>
            <w:lang w:eastAsia="en-US"/>
          </w:rPr>
          <w:t>GRAF 26 - Dlhodobá udržateľnosť S2 (EK, MF SR % HDP)*</w:t>
        </w:r>
        <w:r w:rsidR="00F961A8">
          <w:rPr>
            <w:noProof/>
            <w:webHidden/>
          </w:rPr>
          <w:tab/>
        </w:r>
        <w:r w:rsidR="00F961A8">
          <w:rPr>
            <w:noProof/>
            <w:webHidden/>
          </w:rPr>
          <w:fldChar w:fldCharType="begin"/>
        </w:r>
        <w:r w:rsidR="00F961A8">
          <w:rPr>
            <w:noProof/>
            <w:webHidden/>
          </w:rPr>
          <w:instrText xml:space="preserve"> PAGEREF _Toc6314269 \h </w:instrText>
        </w:r>
        <w:r w:rsidR="00F961A8">
          <w:rPr>
            <w:noProof/>
            <w:webHidden/>
          </w:rPr>
        </w:r>
        <w:r w:rsidR="00F961A8">
          <w:rPr>
            <w:noProof/>
            <w:webHidden/>
          </w:rPr>
          <w:fldChar w:fldCharType="separate"/>
        </w:r>
        <w:r w:rsidR="00D5739E">
          <w:rPr>
            <w:noProof/>
            <w:webHidden/>
          </w:rPr>
          <w:t>32</w:t>
        </w:r>
        <w:r w:rsidR="00F961A8">
          <w:rPr>
            <w:noProof/>
            <w:webHidden/>
          </w:rPr>
          <w:fldChar w:fldCharType="end"/>
        </w:r>
      </w:hyperlink>
    </w:p>
    <w:p w14:paraId="655D0A8B"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0" w:history="1">
        <w:r w:rsidR="00F961A8" w:rsidRPr="00D9228A">
          <w:rPr>
            <w:rStyle w:val="Hypertextovprepojenie"/>
            <w:rFonts w:eastAsiaTheme="minorHAnsi"/>
            <w:noProof/>
            <w:lang w:eastAsia="en-US"/>
          </w:rPr>
          <w:t>GRAF 27 - Porovnanie vývoja celkových príjmov VS</w:t>
        </w:r>
        <w:r w:rsidR="00F961A8">
          <w:rPr>
            <w:noProof/>
            <w:webHidden/>
          </w:rPr>
          <w:tab/>
        </w:r>
        <w:r w:rsidR="00F961A8">
          <w:rPr>
            <w:noProof/>
            <w:webHidden/>
          </w:rPr>
          <w:fldChar w:fldCharType="begin"/>
        </w:r>
        <w:r w:rsidR="00F961A8">
          <w:rPr>
            <w:noProof/>
            <w:webHidden/>
          </w:rPr>
          <w:instrText xml:space="preserve"> PAGEREF _Toc6314270 \h </w:instrText>
        </w:r>
        <w:r w:rsidR="00F961A8">
          <w:rPr>
            <w:noProof/>
            <w:webHidden/>
          </w:rPr>
        </w:r>
        <w:r w:rsidR="00F961A8">
          <w:rPr>
            <w:noProof/>
            <w:webHidden/>
          </w:rPr>
          <w:fldChar w:fldCharType="separate"/>
        </w:r>
        <w:r w:rsidR="00D5739E">
          <w:rPr>
            <w:noProof/>
            <w:webHidden/>
          </w:rPr>
          <w:t>34</w:t>
        </w:r>
        <w:r w:rsidR="00F961A8">
          <w:rPr>
            <w:noProof/>
            <w:webHidden/>
          </w:rPr>
          <w:fldChar w:fldCharType="end"/>
        </w:r>
      </w:hyperlink>
    </w:p>
    <w:p w14:paraId="3D6A5A9A"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1" w:history="1">
        <w:r w:rsidR="00F961A8" w:rsidRPr="00D9228A">
          <w:rPr>
            <w:rStyle w:val="Hypertextovprepojenie"/>
            <w:rFonts w:eastAsiaTheme="minorHAnsi"/>
            <w:noProof/>
            <w:lang w:eastAsia="en-US"/>
          </w:rPr>
          <w:t>GRAF 28 - Porovnanie vývoja daní a odvodov VS (% HDP)</w:t>
        </w:r>
        <w:r w:rsidR="00F961A8">
          <w:rPr>
            <w:noProof/>
            <w:webHidden/>
          </w:rPr>
          <w:tab/>
        </w:r>
        <w:r w:rsidR="00F961A8">
          <w:rPr>
            <w:noProof/>
            <w:webHidden/>
          </w:rPr>
          <w:fldChar w:fldCharType="begin"/>
        </w:r>
        <w:r w:rsidR="00F961A8">
          <w:rPr>
            <w:noProof/>
            <w:webHidden/>
          </w:rPr>
          <w:instrText xml:space="preserve"> PAGEREF _Toc6314271 \h </w:instrText>
        </w:r>
        <w:r w:rsidR="00F961A8">
          <w:rPr>
            <w:noProof/>
            <w:webHidden/>
          </w:rPr>
        </w:r>
        <w:r w:rsidR="00F961A8">
          <w:rPr>
            <w:noProof/>
            <w:webHidden/>
          </w:rPr>
          <w:fldChar w:fldCharType="separate"/>
        </w:r>
        <w:r w:rsidR="00D5739E">
          <w:rPr>
            <w:noProof/>
            <w:webHidden/>
          </w:rPr>
          <w:t>34</w:t>
        </w:r>
        <w:r w:rsidR="00F961A8">
          <w:rPr>
            <w:noProof/>
            <w:webHidden/>
          </w:rPr>
          <w:fldChar w:fldCharType="end"/>
        </w:r>
      </w:hyperlink>
    </w:p>
    <w:p w14:paraId="34229333"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2" w:history="1">
        <w:r w:rsidR="00F961A8" w:rsidRPr="00D9228A">
          <w:rPr>
            <w:rStyle w:val="Hypertextovprepojenie"/>
            <w:rFonts w:eastAsiaTheme="minorHAnsi"/>
            <w:noProof/>
            <w:lang w:eastAsia="en-US"/>
          </w:rPr>
          <w:t>GRAF 29 - Podiel daní a odvodov na HDP (% HDP)</w:t>
        </w:r>
        <w:r w:rsidR="00F961A8">
          <w:rPr>
            <w:noProof/>
            <w:webHidden/>
          </w:rPr>
          <w:tab/>
        </w:r>
        <w:r w:rsidR="00F961A8">
          <w:rPr>
            <w:noProof/>
            <w:webHidden/>
          </w:rPr>
          <w:fldChar w:fldCharType="begin"/>
        </w:r>
        <w:r w:rsidR="00F961A8">
          <w:rPr>
            <w:noProof/>
            <w:webHidden/>
          </w:rPr>
          <w:instrText xml:space="preserve"> PAGEREF _Toc6314272 \h </w:instrText>
        </w:r>
        <w:r w:rsidR="00F961A8">
          <w:rPr>
            <w:noProof/>
            <w:webHidden/>
          </w:rPr>
        </w:r>
        <w:r w:rsidR="00F961A8">
          <w:rPr>
            <w:noProof/>
            <w:webHidden/>
          </w:rPr>
          <w:fldChar w:fldCharType="separate"/>
        </w:r>
        <w:r w:rsidR="00D5739E">
          <w:rPr>
            <w:noProof/>
            <w:webHidden/>
          </w:rPr>
          <w:t>35</w:t>
        </w:r>
        <w:r w:rsidR="00F961A8">
          <w:rPr>
            <w:noProof/>
            <w:webHidden/>
          </w:rPr>
          <w:fldChar w:fldCharType="end"/>
        </w:r>
      </w:hyperlink>
    </w:p>
    <w:p w14:paraId="2D75C96B"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3" w:history="1">
        <w:r w:rsidR="00F961A8" w:rsidRPr="00D9228A">
          <w:rPr>
            <w:rStyle w:val="Hypertextovprepojenie"/>
            <w:rFonts w:eastAsiaTheme="minorHAnsi"/>
            <w:noProof/>
            <w:lang w:eastAsia="en-US"/>
          </w:rPr>
          <w:t>GRAF 30 - Daňová medzera na DPH (% potenciálneho výnosu), národná aj EK metodika</w:t>
        </w:r>
        <w:r w:rsidR="00F961A8">
          <w:rPr>
            <w:noProof/>
            <w:webHidden/>
          </w:rPr>
          <w:tab/>
        </w:r>
        <w:r w:rsidR="00F961A8">
          <w:rPr>
            <w:noProof/>
            <w:webHidden/>
          </w:rPr>
          <w:fldChar w:fldCharType="begin"/>
        </w:r>
        <w:r w:rsidR="00F961A8">
          <w:rPr>
            <w:noProof/>
            <w:webHidden/>
          </w:rPr>
          <w:instrText xml:space="preserve"> PAGEREF _Toc6314273 \h </w:instrText>
        </w:r>
        <w:r w:rsidR="00F961A8">
          <w:rPr>
            <w:noProof/>
            <w:webHidden/>
          </w:rPr>
        </w:r>
        <w:r w:rsidR="00F961A8">
          <w:rPr>
            <w:noProof/>
            <w:webHidden/>
          </w:rPr>
          <w:fldChar w:fldCharType="separate"/>
        </w:r>
        <w:r w:rsidR="00D5739E">
          <w:rPr>
            <w:noProof/>
            <w:webHidden/>
          </w:rPr>
          <w:t>35</w:t>
        </w:r>
        <w:r w:rsidR="00F961A8">
          <w:rPr>
            <w:noProof/>
            <w:webHidden/>
          </w:rPr>
          <w:fldChar w:fldCharType="end"/>
        </w:r>
      </w:hyperlink>
    </w:p>
    <w:p w14:paraId="1ABCE910"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4" w:history="1">
        <w:r w:rsidR="00F961A8" w:rsidRPr="00D9228A">
          <w:rPr>
            <w:rStyle w:val="Hypertextovprepojenie"/>
            <w:rFonts w:eastAsiaTheme="minorHAnsi"/>
            <w:noProof/>
            <w:lang w:eastAsia="en-US"/>
          </w:rPr>
          <w:t>GRAF 31 - Zmena daňovej medzery na DPH v EÚ (2016)</w:t>
        </w:r>
        <w:r w:rsidR="00F961A8">
          <w:rPr>
            <w:noProof/>
            <w:webHidden/>
          </w:rPr>
          <w:tab/>
        </w:r>
        <w:r w:rsidR="00F961A8">
          <w:rPr>
            <w:noProof/>
            <w:webHidden/>
          </w:rPr>
          <w:fldChar w:fldCharType="begin"/>
        </w:r>
        <w:r w:rsidR="00F961A8">
          <w:rPr>
            <w:noProof/>
            <w:webHidden/>
          </w:rPr>
          <w:instrText xml:space="preserve"> PAGEREF _Toc6314274 \h </w:instrText>
        </w:r>
        <w:r w:rsidR="00F961A8">
          <w:rPr>
            <w:noProof/>
            <w:webHidden/>
          </w:rPr>
        </w:r>
        <w:r w:rsidR="00F961A8">
          <w:rPr>
            <w:noProof/>
            <w:webHidden/>
          </w:rPr>
          <w:fldChar w:fldCharType="separate"/>
        </w:r>
        <w:r w:rsidR="00D5739E">
          <w:rPr>
            <w:noProof/>
            <w:webHidden/>
          </w:rPr>
          <w:t>35</w:t>
        </w:r>
        <w:r w:rsidR="00F961A8">
          <w:rPr>
            <w:noProof/>
            <w:webHidden/>
          </w:rPr>
          <w:fldChar w:fldCharType="end"/>
        </w:r>
      </w:hyperlink>
    </w:p>
    <w:p w14:paraId="5C45C076"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5" w:history="1">
        <w:r w:rsidR="00F961A8" w:rsidRPr="00D9228A">
          <w:rPr>
            <w:rStyle w:val="Hypertextovprepojenie"/>
            <w:rFonts w:eastAsiaTheme="minorHAnsi"/>
            <w:noProof/>
            <w:lang w:eastAsia="en-US"/>
          </w:rPr>
          <w:t>GRAF 32 - Vývoj výdavkov VS (% HDP)</w:t>
        </w:r>
        <w:r w:rsidR="00F961A8">
          <w:rPr>
            <w:noProof/>
            <w:webHidden/>
          </w:rPr>
          <w:tab/>
        </w:r>
        <w:r w:rsidR="00F961A8">
          <w:rPr>
            <w:noProof/>
            <w:webHidden/>
          </w:rPr>
          <w:fldChar w:fldCharType="begin"/>
        </w:r>
        <w:r w:rsidR="00F961A8">
          <w:rPr>
            <w:noProof/>
            <w:webHidden/>
          </w:rPr>
          <w:instrText xml:space="preserve"> PAGEREF _Toc6314275 \h </w:instrText>
        </w:r>
        <w:r w:rsidR="00F961A8">
          <w:rPr>
            <w:noProof/>
            <w:webHidden/>
          </w:rPr>
        </w:r>
        <w:r w:rsidR="00F961A8">
          <w:rPr>
            <w:noProof/>
            <w:webHidden/>
          </w:rPr>
          <w:fldChar w:fldCharType="separate"/>
        </w:r>
        <w:r w:rsidR="00D5739E">
          <w:rPr>
            <w:noProof/>
            <w:webHidden/>
          </w:rPr>
          <w:t>36</w:t>
        </w:r>
        <w:r w:rsidR="00F961A8">
          <w:rPr>
            <w:noProof/>
            <w:webHidden/>
          </w:rPr>
          <w:fldChar w:fldCharType="end"/>
        </w:r>
      </w:hyperlink>
    </w:p>
    <w:p w14:paraId="7AF54ACD"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6" w:history="1">
        <w:r w:rsidR="00F961A8" w:rsidRPr="00D9228A">
          <w:rPr>
            <w:rStyle w:val="Hypertextovprepojenie"/>
            <w:rFonts w:eastAsiaTheme="minorHAnsi"/>
            <w:noProof/>
            <w:lang w:eastAsia="en-US"/>
          </w:rPr>
          <w:t>GRAF 33 - Vývoj kapitálových výdavkov VS (% HDP)</w:t>
        </w:r>
        <w:r w:rsidR="00F961A8">
          <w:rPr>
            <w:noProof/>
            <w:webHidden/>
          </w:rPr>
          <w:tab/>
        </w:r>
        <w:r w:rsidR="00F961A8">
          <w:rPr>
            <w:noProof/>
            <w:webHidden/>
          </w:rPr>
          <w:fldChar w:fldCharType="begin"/>
        </w:r>
        <w:r w:rsidR="00F961A8">
          <w:rPr>
            <w:noProof/>
            <w:webHidden/>
          </w:rPr>
          <w:instrText xml:space="preserve"> PAGEREF _Toc6314276 \h </w:instrText>
        </w:r>
        <w:r w:rsidR="00F961A8">
          <w:rPr>
            <w:noProof/>
            <w:webHidden/>
          </w:rPr>
        </w:r>
        <w:r w:rsidR="00F961A8">
          <w:rPr>
            <w:noProof/>
            <w:webHidden/>
          </w:rPr>
          <w:fldChar w:fldCharType="separate"/>
        </w:r>
        <w:r w:rsidR="00D5739E">
          <w:rPr>
            <w:noProof/>
            <w:webHidden/>
          </w:rPr>
          <w:t>36</w:t>
        </w:r>
        <w:r w:rsidR="00F961A8">
          <w:rPr>
            <w:noProof/>
            <w:webHidden/>
          </w:rPr>
          <w:fldChar w:fldCharType="end"/>
        </w:r>
      </w:hyperlink>
    </w:p>
    <w:p w14:paraId="2F4395CE" w14:textId="77777777" w:rsidR="00F961A8" w:rsidRDefault="00CF7F90">
      <w:pPr>
        <w:pStyle w:val="Zoznamobrzkov"/>
        <w:tabs>
          <w:tab w:val="right" w:leader="dot" w:pos="9060"/>
        </w:tabs>
        <w:rPr>
          <w:rFonts w:asciiTheme="minorHAnsi" w:eastAsiaTheme="minorEastAsia" w:hAnsiTheme="minorHAnsi" w:cstheme="minorBidi"/>
          <w:noProof/>
        </w:rPr>
      </w:pPr>
      <w:hyperlink w:anchor="_Toc6314277" w:history="1">
        <w:r w:rsidR="00F961A8" w:rsidRPr="00D9228A">
          <w:rPr>
            <w:rStyle w:val="Hypertextovprepojenie"/>
            <w:rFonts w:eastAsiaTheme="minorHAnsi"/>
            <w:noProof/>
            <w:lang w:eastAsia="en-US"/>
          </w:rPr>
          <w:t>GRAF 34</w:t>
        </w:r>
        <w:r w:rsidR="00F961A8" w:rsidRPr="00D9228A">
          <w:rPr>
            <w:rStyle w:val="Hypertextovprepojenie"/>
            <w:noProof/>
          </w:rPr>
          <w:t xml:space="preserve"> - Výdavky verejnej správy posúdené revíziou výdavkov (v % HDP)</w:t>
        </w:r>
        <w:r w:rsidR="00F961A8">
          <w:rPr>
            <w:noProof/>
            <w:webHidden/>
          </w:rPr>
          <w:tab/>
        </w:r>
        <w:r w:rsidR="00F961A8">
          <w:rPr>
            <w:noProof/>
            <w:webHidden/>
          </w:rPr>
          <w:fldChar w:fldCharType="begin"/>
        </w:r>
        <w:r w:rsidR="00F961A8">
          <w:rPr>
            <w:noProof/>
            <w:webHidden/>
          </w:rPr>
          <w:instrText xml:space="preserve"> PAGEREF _Toc6314277 \h </w:instrText>
        </w:r>
        <w:r w:rsidR="00F961A8">
          <w:rPr>
            <w:noProof/>
            <w:webHidden/>
          </w:rPr>
        </w:r>
        <w:r w:rsidR="00F961A8">
          <w:rPr>
            <w:noProof/>
            <w:webHidden/>
          </w:rPr>
          <w:fldChar w:fldCharType="separate"/>
        </w:r>
        <w:r w:rsidR="00D5739E">
          <w:rPr>
            <w:noProof/>
            <w:webHidden/>
          </w:rPr>
          <w:t>37</w:t>
        </w:r>
        <w:r w:rsidR="00F961A8">
          <w:rPr>
            <w:noProof/>
            <w:webHidden/>
          </w:rPr>
          <w:fldChar w:fldCharType="end"/>
        </w:r>
      </w:hyperlink>
    </w:p>
    <w:p w14:paraId="4CE83E7B" w14:textId="2352948E" w:rsidR="00D73008" w:rsidRPr="00F961A8" w:rsidRDefault="00D04761" w:rsidP="00F961A8">
      <w:pPr>
        <w:pStyle w:val="Zoznamobrzkov"/>
        <w:tabs>
          <w:tab w:val="right" w:leader="dot" w:pos="9060"/>
        </w:tabs>
        <w:spacing w:line="360" w:lineRule="auto"/>
        <w:rPr>
          <w:b/>
          <w:color w:val="2C9ADC" w:themeColor="accent1"/>
          <w:sz w:val="28"/>
          <w:szCs w:val="28"/>
        </w:rPr>
      </w:pPr>
      <w:r w:rsidRPr="00AB2D32">
        <w:rPr>
          <w:rStyle w:val="Hypertextovprepojenie"/>
          <w:rFonts w:eastAsiaTheme="minorHAnsi"/>
          <w:noProof/>
          <w:lang w:eastAsia="en-US"/>
        </w:rPr>
        <w:fldChar w:fldCharType="end"/>
      </w:r>
      <w:r w:rsidR="001A095A" w:rsidRPr="00D04761">
        <w:br w:type="page"/>
      </w:r>
      <w:bookmarkStart w:id="23" w:name="_Toc385764144"/>
      <w:bookmarkStart w:id="24" w:name="_Toc449429090"/>
      <w:bookmarkStart w:id="25" w:name="_Toc480443980"/>
      <w:bookmarkStart w:id="26" w:name="_Toc480444317"/>
      <w:bookmarkStart w:id="27" w:name="_Toc480444485"/>
      <w:bookmarkStart w:id="28" w:name="_Toc5869374"/>
      <w:bookmarkStart w:id="29" w:name="_Toc449429093"/>
      <w:bookmarkStart w:id="30" w:name="_Toc480443981"/>
      <w:bookmarkStart w:id="31" w:name="_Toc480444318"/>
      <w:bookmarkStart w:id="32" w:name="_Toc480444486"/>
      <w:r w:rsidR="00D73008" w:rsidRPr="00F961A8">
        <w:rPr>
          <w:b/>
          <w:color w:val="2C9ADC" w:themeColor="accent1"/>
          <w:sz w:val="28"/>
          <w:szCs w:val="28"/>
        </w:rPr>
        <w:lastRenderedPageBreak/>
        <w:t>ZHRNUTIE</w:t>
      </w:r>
      <w:bookmarkEnd w:id="23"/>
      <w:bookmarkEnd w:id="24"/>
      <w:bookmarkEnd w:id="25"/>
      <w:bookmarkEnd w:id="26"/>
      <w:bookmarkEnd w:id="27"/>
      <w:bookmarkEnd w:id="28"/>
    </w:p>
    <w:p w14:paraId="35638D26" w14:textId="607645C6" w:rsidR="00D73008" w:rsidRPr="006149BD" w:rsidRDefault="00D73008" w:rsidP="00D73008">
      <w:pPr>
        <w:spacing w:after="240"/>
        <w:jc w:val="both"/>
        <w:rPr>
          <w:highlight w:val="yellow"/>
        </w:rPr>
      </w:pPr>
      <w:r w:rsidRPr="009E30AD">
        <w:rPr>
          <w:b/>
        </w:rPr>
        <w:t>Strednodobý rozpočtový rámec SR sa opiera o silný ekonomický r</w:t>
      </w:r>
      <w:r>
        <w:rPr>
          <w:b/>
        </w:rPr>
        <w:t>ast, ktorý bude ku koncu obdobia</w:t>
      </w:r>
      <w:r w:rsidRPr="009E30AD">
        <w:rPr>
          <w:b/>
        </w:rPr>
        <w:t xml:space="preserve"> mierne zvoľňovať.</w:t>
      </w:r>
      <w:r w:rsidRPr="009E30AD">
        <w:t xml:space="preserve"> Slovenská ekonomika dosiahla v roku 2018 svoj cyklický vrchol na úrovni 4,1%. V roku 2019 vzrastie o 4 %. Zvoľnenie prichádza so slabnúcim dopytom v zahraničí, no nová automobilová výroba a trh práce by mali ekonomiku podporiť. V nasledujúcich rokoch 2020 a 2021 si ekonomika udrží dynamiku nad 3 % </w:t>
      </w:r>
      <w:r w:rsidR="00591AEA">
        <w:t xml:space="preserve">a </w:t>
      </w:r>
      <w:r w:rsidRPr="009E30AD">
        <w:t xml:space="preserve">bude naďalej mierne </w:t>
      </w:r>
      <w:r>
        <w:t>nad svojou potenciálnou úrovňou</w:t>
      </w:r>
      <w:r w:rsidRPr="009E30AD">
        <w:t xml:space="preserve">. </w:t>
      </w:r>
    </w:p>
    <w:p w14:paraId="472AB4C2" w14:textId="72CA4B65" w:rsidR="00D73008" w:rsidRPr="007C5BCF" w:rsidRDefault="00D73008" w:rsidP="00D73008">
      <w:pPr>
        <w:spacing w:after="240"/>
        <w:jc w:val="both"/>
        <w:rPr>
          <w:rFonts w:cs="Arial Narrow"/>
          <w:b/>
          <w:color w:val="000000" w:themeColor="text1"/>
        </w:rPr>
      </w:pPr>
      <w:r w:rsidRPr="009E30AD">
        <w:rPr>
          <w:b/>
        </w:rPr>
        <w:t xml:space="preserve">Hospodárenie verejnej správy v roku 2018 </w:t>
      </w:r>
      <w:r>
        <w:rPr>
          <w:b/>
        </w:rPr>
        <w:t xml:space="preserve">dosiahlo </w:t>
      </w:r>
      <w:r w:rsidR="00B71C32">
        <w:rPr>
          <w:b/>
        </w:rPr>
        <w:t xml:space="preserve">deficit </w:t>
      </w:r>
      <w:r w:rsidRPr="009E30AD">
        <w:rPr>
          <w:b/>
        </w:rPr>
        <w:t>0,7 % HDP</w:t>
      </w:r>
      <w:r>
        <w:rPr>
          <w:b/>
        </w:rPr>
        <w:t xml:space="preserve"> a opätovne tak prekonalo </w:t>
      </w:r>
      <w:r w:rsidRPr="009E30AD">
        <w:rPr>
          <w:b/>
        </w:rPr>
        <w:t>ciele rozpočtu</w:t>
      </w:r>
      <w:r>
        <w:rPr>
          <w:b/>
        </w:rPr>
        <w:t xml:space="preserve">. </w:t>
      </w:r>
      <w:r w:rsidRPr="005A27D5">
        <w:t xml:space="preserve">Okrem toho, že ide o historicky najnižší schodok verejnej správy, tento výsledok znamená aj dosiahnutie </w:t>
      </w:r>
      <w:r>
        <w:t xml:space="preserve">druhého </w:t>
      </w:r>
      <w:r w:rsidRPr="005A27D5">
        <w:t>primárneho prebytku (nominálne saldo očistené o úrokové náklady).</w:t>
      </w:r>
      <w:r>
        <w:t xml:space="preserve"> </w:t>
      </w:r>
      <w:r>
        <w:rPr>
          <w:rFonts w:cs="Arial Narrow"/>
          <w:color w:val="000000" w:themeColor="text1"/>
        </w:rPr>
        <w:t>K lepšiemu výsledku prispeli najmä vyššie daňovo-odvodové príjmy, ktoré boli čiastočne kompenzované na strane výdavkov, najmä vyššími investičnými výdavkami zo silnejšieho čerpania EÚ fondov.</w:t>
      </w:r>
      <w:r>
        <w:rPr>
          <w:rFonts w:cs="Arial Narrow"/>
          <w:b/>
          <w:color w:val="000000" w:themeColor="text1"/>
        </w:rPr>
        <w:t xml:space="preserve"> </w:t>
      </w:r>
      <w:r w:rsidRPr="007F701F">
        <w:rPr>
          <w:rFonts w:cs="Arial Narrow"/>
        </w:rPr>
        <w:t xml:space="preserve">Po očistení </w:t>
      </w:r>
      <w:r>
        <w:rPr>
          <w:rFonts w:cs="Arial Narrow"/>
        </w:rPr>
        <w:t xml:space="preserve">plnenia rozpočtu </w:t>
      </w:r>
      <w:r w:rsidRPr="007F701F">
        <w:rPr>
          <w:rFonts w:cs="Arial Narrow"/>
        </w:rPr>
        <w:t>o</w:t>
      </w:r>
      <w:r>
        <w:rPr>
          <w:rFonts w:cs="Arial Narrow"/>
        </w:rPr>
        <w:t> vplyvy čerpania európskych fondov</w:t>
      </w:r>
      <w:r w:rsidRPr="007F701F">
        <w:rPr>
          <w:rFonts w:cs="Arial Narrow"/>
        </w:rPr>
        <w:t xml:space="preserve"> došlo na výdavkovej strane k výraznejšiemu než rozpočtovanému </w:t>
      </w:r>
      <w:r w:rsidRPr="00CE2CAE">
        <w:rPr>
          <w:rFonts w:cs="Arial Narrow"/>
        </w:rPr>
        <w:t>rastu kapitálových výdavkov</w:t>
      </w:r>
      <w:r w:rsidR="00FC594A">
        <w:rPr>
          <w:rFonts w:cs="Arial Narrow"/>
        </w:rPr>
        <w:t xml:space="preserve"> a </w:t>
      </w:r>
      <w:r w:rsidR="00FC594A" w:rsidRPr="00CE2CAE">
        <w:rPr>
          <w:rFonts w:cs="Arial Narrow"/>
        </w:rPr>
        <w:t>kompenzácii zamestnanco</w:t>
      </w:r>
      <w:r w:rsidR="00FC594A">
        <w:rPr>
          <w:rFonts w:cs="Arial Narrow"/>
        </w:rPr>
        <w:t>v</w:t>
      </w:r>
      <w:r w:rsidRPr="00CE2CAE">
        <w:rPr>
          <w:rFonts w:cs="Arial Narrow"/>
        </w:rPr>
        <w:t>.</w:t>
      </w:r>
    </w:p>
    <w:p w14:paraId="006F0DC9" w14:textId="458F30F7" w:rsidR="007E38CE" w:rsidRPr="003F2B19" w:rsidRDefault="00D73008" w:rsidP="00D73008">
      <w:pPr>
        <w:spacing w:after="240"/>
        <w:jc w:val="both"/>
      </w:pPr>
      <w:r>
        <w:rPr>
          <w:rFonts w:cs="Times New Roman"/>
          <w:b/>
        </w:rPr>
        <w:t xml:space="preserve">Úroveň hrubého dlhu verejnej správy klesol piaty rok po sebe a už sa nenachádza v žiadnom sankčnom pásme definovanom zákonom o rozpočtovej zodpovednosti. </w:t>
      </w:r>
      <w:r>
        <w:rPr>
          <w:rFonts w:cs="Times New Roman"/>
        </w:rPr>
        <w:t xml:space="preserve">Predbežne </w:t>
      </w:r>
      <w:r w:rsidRPr="00880941">
        <w:rPr>
          <w:rFonts w:cs="Times New Roman"/>
        </w:rPr>
        <w:t xml:space="preserve">dosiahol </w:t>
      </w:r>
      <w:r w:rsidR="00591AEA">
        <w:rPr>
          <w:rFonts w:cs="Times New Roman"/>
        </w:rPr>
        <w:t xml:space="preserve">hrubý dlh </w:t>
      </w:r>
      <w:r w:rsidRPr="00880941">
        <w:rPr>
          <w:rFonts w:cs="Times New Roman"/>
        </w:rPr>
        <w:t>v roku 201</w:t>
      </w:r>
      <w:r>
        <w:rPr>
          <w:rFonts w:cs="Times New Roman"/>
        </w:rPr>
        <w:t>8</w:t>
      </w:r>
      <w:r w:rsidRPr="00880941">
        <w:rPr>
          <w:rFonts w:cs="Times New Roman"/>
        </w:rPr>
        <w:t xml:space="preserve"> úroveň </w:t>
      </w:r>
      <w:r>
        <w:rPr>
          <w:rFonts w:cs="Times New Roman"/>
        </w:rPr>
        <w:t>48</w:t>
      </w:r>
      <w:r w:rsidR="00FC594A">
        <w:rPr>
          <w:rFonts w:cs="Times New Roman"/>
        </w:rPr>
        <w:t>,9 % HDP</w:t>
      </w:r>
      <w:r w:rsidRPr="00FA4BD4">
        <w:rPr>
          <w:rFonts w:cs="Times New Roman"/>
        </w:rPr>
        <w:t xml:space="preserve">. </w:t>
      </w:r>
      <w:r w:rsidRPr="00BA09F7">
        <w:t>K poklesu dlhu v pomere k HDP prispel najmä nominálny rast ekonomiky a dosiahnutie vyššieho než rozpočtovaného primárneho prebytku verejných financií</w:t>
      </w:r>
      <w:r w:rsidRPr="00FA4BD4">
        <w:t xml:space="preserve">. </w:t>
      </w:r>
      <w:r w:rsidRPr="00BA09F7">
        <w:t>Čistý dlh</w:t>
      </w:r>
      <w:r w:rsidRPr="00FA4BD4">
        <w:t xml:space="preserve"> klesol medziročne výraznejšie a dosiahol úroveň 43 % HDP</w:t>
      </w:r>
      <w:r>
        <w:t>.</w:t>
      </w:r>
    </w:p>
    <w:p w14:paraId="6762129A" w14:textId="673FE370" w:rsidR="00D73008" w:rsidRDefault="00D73008" w:rsidP="00D73008">
      <w:pPr>
        <w:spacing w:after="240"/>
        <w:jc w:val="both"/>
        <w:rPr>
          <w:rFonts w:cs="Arial"/>
          <w:color w:val="000000" w:themeColor="text1"/>
        </w:rPr>
      </w:pPr>
      <w:r w:rsidRPr="00256127">
        <w:rPr>
          <w:b/>
        </w:rPr>
        <w:t>Rozpočtový cieľ pre rok 201</w:t>
      </w:r>
      <w:r>
        <w:rPr>
          <w:b/>
        </w:rPr>
        <w:t>9</w:t>
      </w:r>
      <w:r w:rsidRPr="00256127">
        <w:rPr>
          <w:b/>
        </w:rPr>
        <w:t xml:space="preserve"> na úrovni </w:t>
      </w:r>
      <w:r>
        <w:rPr>
          <w:b/>
        </w:rPr>
        <w:t xml:space="preserve">vyrovnaného rozpočtu </w:t>
      </w:r>
      <w:r w:rsidRPr="00256127">
        <w:rPr>
          <w:b/>
        </w:rPr>
        <w:t>sa plní.</w:t>
      </w:r>
      <w:r>
        <w:t xml:space="preserve"> K zmenám dochádza predovšetkým pri kapitálových výdavkoch z titulu rýchlejšieho čerpania EÚ zdrojov. Príjmová stránka rozpočtu plne zohľadňuje legislatívne opatrenia schválené parlamentom v</w:t>
      </w:r>
      <w:r w:rsidR="006F5F4E">
        <w:t> </w:t>
      </w:r>
      <w:r>
        <w:t>decembri</w:t>
      </w:r>
      <w:r w:rsidR="006F5F4E">
        <w:t xml:space="preserve"> 2019</w:t>
      </w:r>
      <w:r>
        <w:t xml:space="preserve">. </w:t>
      </w:r>
      <w:r w:rsidR="00B9799D">
        <w:t xml:space="preserve">Dosiahnutím vyrovnaného rozpočtu bude hospodárenie </w:t>
      </w:r>
      <w:r>
        <w:t xml:space="preserve">verejných financií </w:t>
      </w:r>
      <w:r w:rsidRPr="00AC14E3">
        <w:rPr>
          <w:rFonts w:cs="Arial"/>
          <w:color w:val="000000" w:themeColor="text1"/>
        </w:rPr>
        <w:t>vytv</w:t>
      </w:r>
      <w:r>
        <w:rPr>
          <w:rFonts w:cs="Arial"/>
          <w:color w:val="000000" w:themeColor="text1"/>
        </w:rPr>
        <w:t xml:space="preserve">árať </w:t>
      </w:r>
      <w:r w:rsidRPr="00AC14E3">
        <w:rPr>
          <w:rFonts w:cs="Arial"/>
          <w:color w:val="000000" w:themeColor="text1"/>
        </w:rPr>
        <w:t xml:space="preserve">priestor pre </w:t>
      </w:r>
      <w:r>
        <w:rPr>
          <w:rFonts w:cs="Arial"/>
          <w:color w:val="000000" w:themeColor="text1"/>
        </w:rPr>
        <w:t>proti-cyklickú fiškálnu politiku</w:t>
      </w:r>
      <w:r w:rsidRPr="00AC14E3">
        <w:rPr>
          <w:rFonts w:cs="Arial"/>
          <w:color w:val="000000" w:themeColor="text1"/>
        </w:rPr>
        <w:t xml:space="preserve"> a zároveň </w:t>
      </w:r>
      <w:r>
        <w:rPr>
          <w:rFonts w:cs="Arial"/>
          <w:color w:val="000000" w:themeColor="text1"/>
        </w:rPr>
        <w:t xml:space="preserve">bude </w:t>
      </w:r>
      <w:r w:rsidRPr="00AC14E3">
        <w:rPr>
          <w:rFonts w:cs="Arial"/>
          <w:color w:val="000000" w:themeColor="text1"/>
        </w:rPr>
        <w:t xml:space="preserve">pozitívne </w:t>
      </w:r>
      <w:r>
        <w:rPr>
          <w:rFonts w:cs="Arial"/>
          <w:color w:val="000000" w:themeColor="text1"/>
        </w:rPr>
        <w:t xml:space="preserve">vplývať na </w:t>
      </w:r>
      <w:r w:rsidRPr="00AC14E3">
        <w:rPr>
          <w:rFonts w:cs="Arial"/>
          <w:color w:val="000000" w:themeColor="text1"/>
        </w:rPr>
        <w:t xml:space="preserve">dlhodobú udržateľnosť </w:t>
      </w:r>
      <w:r w:rsidRPr="00AA0A40">
        <w:rPr>
          <w:rFonts w:cs="Arial"/>
          <w:color w:val="000000" w:themeColor="text1"/>
        </w:rPr>
        <w:t>verejných financií.</w:t>
      </w:r>
      <w:r w:rsidRPr="00AA0A40">
        <w:t xml:space="preserve"> Od </w:t>
      </w:r>
      <w:r w:rsidR="000B5236">
        <w:t>roku 2010</w:t>
      </w:r>
      <w:r w:rsidRPr="00AA0A40">
        <w:t xml:space="preserve"> dôjde k štrukturálnemu ozdraveniu verejných financií o viac ako 6 p. b.</w:t>
      </w:r>
      <w:r w:rsidR="005A7F5C">
        <w:t xml:space="preserve"> HDP</w:t>
      </w:r>
      <w:r w:rsidRPr="00AA0A40">
        <w:t>.</w:t>
      </w:r>
      <w:r>
        <w:rPr>
          <w:b/>
        </w:rPr>
        <w:t xml:space="preserve"> </w:t>
      </w:r>
    </w:p>
    <w:p w14:paraId="38708FD6" w14:textId="406B309A" w:rsidR="00D73008" w:rsidRPr="00B54E92" w:rsidRDefault="00D73008" w:rsidP="006F5F4E">
      <w:pPr>
        <w:spacing w:after="240"/>
        <w:jc w:val="both"/>
      </w:pPr>
      <w:r w:rsidRPr="007F701F">
        <w:rPr>
          <w:rFonts w:cs="Arial Narrow"/>
          <w:b/>
        </w:rPr>
        <w:t xml:space="preserve">V súlade s programovým vyhlásením vlády </w:t>
      </w:r>
      <w:r w:rsidRPr="00415590">
        <w:rPr>
          <w:rFonts w:cs="Arial Narrow"/>
          <w:b/>
        </w:rPr>
        <w:t xml:space="preserve">predpokladá </w:t>
      </w:r>
      <w:r w:rsidR="00A574CF" w:rsidRPr="00415590">
        <w:rPr>
          <w:rFonts w:cs="Arial Narrow"/>
          <w:b/>
        </w:rPr>
        <w:t xml:space="preserve">Program stability </w:t>
      </w:r>
      <w:r w:rsidRPr="00415590">
        <w:rPr>
          <w:rFonts w:cs="Arial Narrow"/>
          <w:b/>
        </w:rPr>
        <w:t xml:space="preserve">udržanie vyrovnaného rozpočtu a strednodobého rozpočtového cieľa v celom horizonte. </w:t>
      </w:r>
      <w:r w:rsidRPr="00415590">
        <w:rPr>
          <w:rFonts w:cs="Arial Narrow"/>
        </w:rPr>
        <w:t xml:space="preserve">Vzhľadom na uzatváranie ekonomického cyklu </w:t>
      </w:r>
      <w:r w:rsidR="00691425">
        <w:rPr>
          <w:rFonts w:cs="Arial Narrow"/>
        </w:rPr>
        <w:t>znamená plánované vyrovnané hospodárenie</w:t>
      </w:r>
      <w:r w:rsidR="00691425" w:rsidRPr="00415590">
        <w:rPr>
          <w:rFonts w:cs="Arial Narrow"/>
        </w:rPr>
        <w:t xml:space="preserve"> </w:t>
      </w:r>
      <w:r w:rsidR="005A7F5C">
        <w:rPr>
          <w:rFonts w:cs="Arial Narrow"/>
        </w:rPr>
        <w:t>v rokoch 2020 až 2022</w:t>
      </w:r>
      <w:r w:rsidRPr="00415590">
        <w:rPr>
          <w:rFonts w:cs="Arial Narrow"/>
        </w:rPr>
        <w:t xml:space="preserve"> </w:t>
      </w:r>
      <w:r w:rsidR="00691425">
        <w:rPr>
          <w:rFonts w:cs="Arial Narrow"/>
        </w:rPr>
        <w:t xml:space="preserve">štrukturálnu </w:t>
      </w:r>
      <w:r w:rsidRPr="00415590">
        <w:rPr>
          <w:rFonts w:cs="Arial Narrow"/>
        </w:rPr>
        <w:t>konsolidáci</w:t>
      </w:r>
      <w:r w:rsidR="00691425">
        <w:rPr>
          <w:rFonts w:cs="Arial Narrow"/>
        </w:rPr>
        <w:t>u</w:t>
      </w:r>
      <w:r w:rsidRPr="00415590">
        <w:rPr>
          <w:rFonts w:cs="Arial Narrow"/>
        </w:rPr>
        <w:t xml:space="preserve"> </w:t>
      </w:r>
      <w:r w:rsidR="003F6502">
        <w:rPr>
          <w:rFonts w:cs="Arial Narrow"/>
        </w:rPr>
        <w:t xml:space="preserve">kumulatívne </w:t>
      </w:r>
      <w:r w:rsidRPr="00415590">
        <w:rPr>
          <w:rFonts w:cs="Arial Narrow"/>
        </w:rPr>
        <w:t>vo výške 0,2 % HDP</w:t>
      </w:r>
      <w:r w:rsidRPr="0072792F">
        <w:t>.</w:t>
      </w:r>
      <w:r w:rsidR="0072792F" w:rsidRPr="0072792F">
        <w:t xml:space="preserve"> Strednodobý rámec obsahuje od roku 2020 aj rezervy na rýchlejšiu realizáciu investičných projektov a rezervu na prípadné spomalenie ekonomického rastu.</w:t>
      </w:r>
      <w:r w:rsidR="0072792F" w:rsidRPr="009E30AD">
        <w:t xml:space="preserve"> </w:t>
      </w:r>
      <w:r w:rsidR="006F5F4E">
        <w:t xml:space="preserve">Ako </w:t>
      </w:r>
      <w:r w:rsidR="006F5F4E" w:rsidRPr="002C3513">
        <w:t>strednodob</w:t>
      </w:r>
      <w:r w:rsidR="006F5F4E">
        <w:t>ý rozpočtový cieľ (MTO)</w:t>
      </w:r>
      <w:r w:rsidR="0072792F">
        <w:t xml:space="preserve"> stanovuje</w:t>
      </w:r>
      <w:r w:rsidR="006F5F4E" w:rsidRPr="002C3513">
        <w:t xml:space="preserve"> </w:t>
      </w:r>
      <w:r w:rsidR="0072792F" w:rsidRPr="002C3513">
        <w:t xml:space="preserve">Program stability </w:t>
      </w:r>
      <w:r w:rsidR="006F5F4E" w:rsidRPr="002C3513">
        <w:t>štrukturáln</w:t>
      </w:r>
      <w:r w:rsidR="006F5F4E">
        <w:t>y</w:t>
      </w:r>
      <w:r w:rsidR="006F5F4E" w:rsidRPr="002C3513">
        <w:t xml:space="preserve"> deficit </w:t>
      </w:r>
      <w:r w:rsidR="00243BEF">
        <w:t xml:space="preserve">na úrovni </w:t>
      </w:r>
      <w:r w:rsidR="006F5F4E" w:rsidRPr="002C3513">
        <w:t>1</w:t>
      </w:r>
      <w:r w:rsidR="006F5F4E">
        <w:t> </w:t>
      </w:r>
      <w:r w:rsidR="006F5F4E" w:rsidRPr="002C3513">
        <w:t>% HDP.</w:t>
      </w:r>
    </w:p>
    <w:p w14:paraId="514AE22D" w14:textId="6B346A12" w:rsidR="00D73008" w:rsidRDefault="00D73008" w:rsidP="00D73008">
      <w:pPr>
        <w:spacing w:after="240"/>
        <w:jc w:val="both"/>
        <w:rPr>
          <w:lang w:val="en-US"/>
        </w:rPr>
      </w:pPr>
      <w:r w:rsidRPr="00850F70">
        <w:rPr>
          <w:b/>
        </w:rPr>
        <w:t xml:space="preserve">Hrubý dlh klesne výraznejšie pod najnižšie sankčné pásmo, ktoré sa </w:t>
      </w:r>
      <w:r>
        <w:rPr>
          <w:b/>
        </w:rPr>
        <w:t xml:space="preserve">až do roku </w:t>
      </w:r>
      <w:r w:rsidRPr="00850F70">
        <w:rPr>
          <w:b/>
        </w:rPr>
        <w:t xml:space="preserve">2027 každoročne </w:t>
      </w:r>
      <w:r w:rsidR="00A574CF">
        <w:rPr>
          <w:b/>
        </w:rPr>
        <w:t>sprísňuje</w:t>
      </w:r>
      <w:r w:rsidRPr="009E30AD">
        <w:rPr>
          <w:b/>
        </w:rPr>
        <w:t xml:space="preserve"> o 1 percentuálny bod HDP</w:t>
      </w:r>
      <w:r w:rsidRPr="009E30AD">
        <w:t xml:space="preserve">. </w:t>
      </w:r>
      <w:r w:rsidRPr="00081C9C">
        <w:rPr>
          <w:rFonts w:cs="Arial Narrow"/>
        </w:rPr>
        <w:t xml:space="preserve">Hrubé zadlženie </w:t>
      </w:r>
      <w:r>
        <w:rPr>
          <w:rFonts w:cs="Arial Narrow"/>
        </w:rPr>
        <w:t xml:space="preserve">bude klesať </w:t>
      </w:r>
      <w:r w:rsidRPr="00081C9C">
        <w:rPr>
          <w:rFonts w:cs="Arial Narrow"/>
        </w:rPr>
        <w:t xml:space="preserve">počas horizontu celej prognózy. Pokles dlhu </w:t>
      </w:r>
      <w:r>
        <w:rPr>
          <w:rFonts w:cs="Arial Narrow"/>
        </w:rPr>
        <w:t xml:space="preserve">bude </w:t>
      </w:r>
      <w:r w:rsidRPr="00081C9C">
        <w:rPr>
          <w:rFonts w:cs="Arial Narrow"/>
        </w:rPr>
        <w:t>výraznejš</w:t>
      </w:r>
      <w:r>
        <w:rPr>
          <w:rFonts w:cs="Arial Narrow"/>
        </w:rPr>
        <w:t xml:space="preserve">í najmä v </w:t>
      </w:r>
      <w:r w:rsidRPr="00081C9C">
        <w:rPr>
          <w:rFonts w:cs="Arial Narrow"/>
        </w:rPr>
        <w:t xml:space="preserve">roku </w:t>
      </w:r>
      <w:r w:rsidRPr="00F760AE">
        <w:rPr>
          <w:rFonts w:cs="Arial Narrow"/>
        </w:rPr>
        <w:t>2020 (o 1,6 p.</w:t>
      </w:r>
      <w:r w:rsidR="00AF5A08">
        <w:rPr>
          <w:rFonts w:cs="Arial Narrow"/>
        </w:rPr>
        <w:t xml:space="preserve"> </w:t>
      </w:r>
      <w:r w:rsidRPr="00F760AE">
        <w:rPr>
          <w:rFonts w:cs="Arial Narrow"/>
        </w:rPr>
        <w:t xml:space="preserve">b. HDP). </w:t>
      </w:r>
      <w:r w:rsidRPr="00F760AE">
        <w:t>Ku</w:t>
      </w:r>
      <w:r w:rsidRPr="009E30AD">
        <w:t xml:space="preserve"> koncu 2022 dosiahne hrubý dlh 44,4 % HDP, </w:t>
      </w:r>
      <w:r>
        <w:t xml:space="preserve">čo bude </w:t>
      </w:r>
      <w:r w:rsidRPr="009E30AD">
        <w:t>0,6 p.</w:t>
      </w:r>
      <w:r w:rsidR="00AF5A08">
        <w:t xml:space="preserve"> </w:t>
      </w:r>
      <w:r w:rsidRPr="009E30AD">
        <w:t xml:space="preserve">b. pod najnižším sankčným pásmom. </w:t>
      </w:r>
      <w:r>
        <w:rPr>
          <w:rFonts w:cs="Arial Narrow"/>
        </w:rPr>
        <w:t>Č</w:t>
      </w:r>
      <w:r w:rsidRPr="009E30AD">
        <w:t xml:space="preserve">istý dlh </w:t>
      </w:r>
      <w:r w:rsidR="00A574CF">
        <w:t>klesne</w:t>
      </w:r>
      <w:r w:rsidR="00CD5280">
        <w:t xml:space="preserve"> do roku 2022</w:t>
      </w:r>
      <w:r>
        <w:t xml:space="preserve"> výraznejšie p</w:t>
      </w:r>
      <w:r w:rsidRPr="009E30AD">
        <w:t xml:space="preserve">od </w:t>
      </w:r>
      <w:r w:rsidR="00FC594A">
        <w:t>úroveň 40</w:t>
      </w:r>
      <w:r>
        <w:rPr>
          <w:lang w:val="en-US"/>
        </w:rPr>
        <w:t xml:space="preserve">% HDP. </w:t>
      </w:r>
      <w:r>
        <w:rPr>
          <w:rFonts w:cs="Arial Narrow"/>
        </w:rPr>
        <w:t>Ku konsolidácii dlhu prispejú najmä primárne prebytky hospodárenia verejnej správy a naďalej solídny hospodársky rast, ktorý sa bude pohybovať nad úrokovými sadzbami.</w:t>
      </w:r>
    </w:p>
    <w:tbl>
      <w:tblPr>
        <w:tblW w:w="8875" w:type="dxa"/>
        <w:tblCellMar>
          <w:left w:w="70" w:type="dxa"/>
          <w:right w:w="70" w:type="dxa"/>
        </w:tblCellMar>
        <w:tblLook w:val="0000" w:firstRow="0" w:lastRow="0" w:firstColumn="0" w:lastColumn="0" w:noHBand="0" w:noVBand="0"/>
      </w:tblPr>
      <w:tblGrid>
        <w:gridCol w:w="4419"/>
        <w:gridCol w:w="146"/>
        <w:gridCol w:w="4505"/>
      </w:tblGrid>
      <w:tr w:rsidR="009D2860" w:rsidRPr="00B946D7" w14:paraId="714A5B0D" w14:textId="77777777" w:rsidTr="009D2860">
        <w:trPr>
          <w:trHeight w:val="25"/>
        </w:trPr>
        <w:tc>
          <w:tcPr>
            <w:tcW w:w="4281" w:type="dxa"/>
            <w:tcBorders>
              <w:top w:val="nil"/>
              <w:left w:val="nil"/>
              <w:bottom w:val="single" w:sz="8" w:space="0" w:color="auto"/>
              <w:right w:val="nil"/>
            </w:tcBorders>
            <w:shd w:val="clear" w:color="auto" w:fill="auto"/>
            <w:noWrap/>
            <w:vAlign w:val="center"/>
          </w:tcPr>
          <w:p w14:paraId="40D3C598" w14:textId="77777777" w:rsidR="00D73008" w:rsidRPr="00B946D7" w:rsidRDefault="00D73008" w:rsidP="00387AE5">
            <w:pPr>
              <w:keepNext/>
              <w:outlineLvl w:val="2"/>
              <w:rPr>
                <w:rFonts w:eastAsia="Calibri" w:cs="Arial"/>
                <w:b/>
                <w:bCs/>
                <w:color w:val="2C9ADC"/>
                <w:sz w:val="20"/>
                <w:szCs w:val="26"/>
                <w:lang w:eastAsia="en-US"/>
              </w:rPr>
            </w:pPr>
            <w:r w:rsidRPr="00B946D7">
              <w:rPr>
                <w:rFonts w:eastAsia="Calibri" w:cs="Arial"/>
                <w:b/>
                <w:bCs/>
                <w:color w:val="2C9ADC"/>
                <w:sz w:val="20"/>
                <w:szCs w:val="26"/>
                <w:lang w:eastAsia="en-US"/>
              </w:rPr>
              <w:t>Konsolidačné úsilie verejnej správy (% HDP)</w:t>
            </w:r>
          </w:p>
        </w:tc>
        <w:tc>
          <w:tcPr>
            <w:tcW w:w="151" w:type="dxa"/>
            <w:tcBorders>
              <w:top w:val="nil"/>
              <w:left w:val="nil"/>
              <w:bottom w:val="nil"/>
              <w:right w:val="nil"/>
            </w:tcBorders>
          </w:tcPr>
          <w:p w14:paraId="17502B9E" w14:textId="77777777" w:rsidR="00D73008" w:rsidRPr="00B946D7" w:rsidRDefault="00D73008" w:rsidP="00387AE5">
            <w:pPr>
              <w:rPr>
                <w:rFonts w:eastAsia="Calibri" w:cs="Arial"/>
                <w:b/>
                <w:bCs/>
                <w:color w:val="2C9ADC"/>
                <w:sz w:val="20"/>
                <w:szCs w:val="26"/>
                <w:lang w:eastAsia="en-US"/>
              </w:rPr>
            </w:pPr>
          </w:p>
        </w:tc>
        <w:tc>
          <w:tcPr>
            <w:tcW w:w="4443" w:type="dxa"/>
            <w:tcBorders>
              <w:top w:val="nil"/>
              <w:left w:val="nil"/>
              <w:bottom w:val="single" w:sz="8" w:space="0" w:color="auto"/>
              <w:right w:val="nil"/>
            </w:tcBorders>
            <w:shd w:val="clear" w:color="auto" w:fill="auto"/>
            <w:noWrap/>
            <w:vAlign w:val="center"/>
          </w:tcPr>
          <w:p w14:paraId="79A6063D" w14:textId="77777777" w:rsidR="00D73008" w:rsidRPr="00B946D7" w:rsidRDefault="00D73008" w:rsidP="00387AE5">
            <w:pPr>
              <w:keepNext/>
              <w:outlineLvl w:val="2"/>
              <w:rPr>
                <w:rFonts w:eastAsia="Calibri" w:cs="Arial"/>
                <w:b/>
                <w:bCs/>
                <w:color w:val="2C9ADC"/>
                <w:sz w:val="20"/>
                <w:szCs w:val="26"/>
                <w:lang w:eastAsia="en-US"/>
              </w:rPr>
            </w:pPr>
            <w:r w:rsidRPr="00B946D7">
              <w:rPr>
                <w:rFonts w:eastAsia="Calibri" w:cs="Arial"/>
                <w:b/>
                <w:bCs/>
                <w:color w:val="2C9ADC"/>
                <w:sz w:val="20"/>
                <w:szCs w:val="26"/>
                <w:lang w:eastAsia="en-US"/>
              </w:rPr>
              <w:t>Hrubý dlh verejnej správy (% HDP)</w:t>
            </w:r>
          </w:p>
        </w:tc>
      </w:tr>
      <w:tr w:rsidR="009D2860" w:rsidRPr="00B946D7" w14:paraId="29B94886" w14:textId="77777777" w:rsidTr="009D2860">
        <w:trPr>
          <w:trHeight w:val="1229"/>
        </w:trPr>
        <w:tc>
          <w:tcPr>
            <w:tcW w:w="4281" w:type="dxa"/>
            <w:tcBorders>
              <w:top w:val="single" w:sz="8" w:space="0" w:color="auto"/>
              <w:left w:val="nil"/>
              <w:bottom w:val="nil"/>
              <w:right w:val="nil"/>
            </w:tcBorders>
            <w:shd w:val="clear" w:color="auto" w:fill="auto"/>
            <w:noWrap/>
            <w:vAlign w:val="center"/>
          </w:tcPr>
          <w:p w14:paraId="4C93FC88" w14:textId="77777777" w:rsidR="00D73008" w:rsidRPr="00B946D7" w:rsidRDefault="00D73008" w:rsidP="00387AE5">
            <w:pPr>
              <w:rPr>
                <w:rFonts w:cs="Arial"/>
                <w:sz w:val="20"/>
                <w:szCs w:val="20"/>
              </w:rPr>
            </w:pPr>
            <w:r>
              <w:rPr>
                <w:noProof/>
              </w:rPr>
              <w:drawing>
                <wp:inline distT="0" distB="0" distL="0" distR="0" wp14:anchorId="1A2EA472" wp14:editId="7E98B119">
                  <wp:extent cx="2766695" cy="1743342"/>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51" w:type="dxa"/>
            <w:tcBorders>
              <w:top w:val="nil"/>
              <w:left w:val="nil"/>
              <w:bottom w:val="nil"/>
              <w:right w:val="nil"/>
            </w:tcBorders>
            <w:shd w:val="clear" w:color="auto" w:fill="auto"/>
          </w:tcPr>
          <w:p w14:paraId="644BBC27" w14:textId="77777777" w:rsidR="00D73008" w:rsidRPr="00B946D7" w:rsidRDefault="00D73008" w:rsidP="00387AE5">
            <w:pPr>
              <w:rPr>
                <w:rFonts w:cs="Arial"/>
                <w:sz w:val="20"/>
                <w:szCs w:val="20"/>
              </w:rPr>
            </w:pPr>
          </w:p>
        </w:tc>
        <w:tc>
          <w:tcPr>
            <w:tcW w:w="4443" w:type="dxa"/>
            <w:tcBorders>
              <w:top w:val="single" w:sz="8" w:space="0" w:color="auto"/>
              <w:left w:val="nil"/>
              <w:bottom w:val="nil"/>
              <w:right w:val="nil"/>
            </w:tcBorders>
            <w:shd w:val="clear" w:color="auto" w:fill="auto"/>
            <w:noWrap/>
            <w:vAlign w:val="center"/>
          </w:tcPr>
          <w:p w14:paraId="487E20B3" w14:textId="6B8EA4B6" w:rsidR="00D73008" w:rsidRPr="00B946D7" w:rsidRDefault="009D2860" w:rsidP="00387AE5">
            <w:pPr>
              <w:jc w:val="center"/>
              <w:rPr>
                <w:rFonts w:cs="Arial"/>
                <w:sz w:val="20"/>
                <w:szCs w:val="20"/>
              </w:rPr>
            </w:pPr>
            <w:r>
              <w:rPr>
                <w:noProof/>
              </w:rPr>
              <w:drawing>
                <wp:inline distT="0" distB="0" distL="0" distR="0" wp14:anchorId="5A51CAA9" wp14:editId="5FB69722">
                  <wp:extent cx="2822575" cy="1701165"/>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D2860" w:rsidRPr="00B946D7" w14:paraId="18D8968A" w14:textId="77777777" w:rsidTr="009D2860">
        <w:trPr>
          <w:trHeight w:val="89"/>
        </w:trPr>
        <w:tc>
          <w:tcPr>
            <w:tcW w:w="4281" w:type="dxa"/>
            <w:tcBorders>
              <w:top w:val="single" w:sz="4" w:space="0" w:color="auto"/>
              <w:left w:val="nil"/>
              <w:right w:val="nil"/>
            </w:tcBorders>
            <w:shd w:val="clear" w:color="auto" w:fill="auto"/>
            <w:noWrap/>
            <w:vAlign w:val="center"/>
          </w:tcPr>
          <w:p w14:paraId="441FF9D2" w14:textId="77777777" w:rsidR="00D73008" w:rsidRPr="00B946D7" w:rsidRDefault="00D73008" w:rsidP="00387AE5">
            <w:pPr>
              <w:jc w:val="right"/>
              <w:rPr>
                <w:rFonts w:cs="Arial Narrow"/>
                <w:i/>
                <w:iCs/>
                <w:sz w:val="16"/>
                <w:szCs w:val="16"/>
              </w:rPr>
            </w:pPr>
            <w:r w:rsidRPr="00B946D7">
              <w:rPr>
                <w:rFonts w:cs="Arial Narrow"/>
                <w:i/>
                <w:iCs/>
                <w:sz w:val="16"/>
                <w:szCs w:val="16"/>
              </w:rPr>
              <w:t>Zdroj: MF SR</w:t>
            </w:r>
          </w:p>
        </w:tc>
        <w:tc>
          <w:tcPr>
            <w:tcW w:w="151" w:type="dxa"/>
            <w:tcBorders>
              <w:top w:val="nil"/>
              <w:left w:val="nil"/>
              <w:right w:val="nil"/>
            </w:tcBorders>
            <w:shd w:val="clear" w:color="auto" w:fill="auto"/>
          </w:tcPr>
          <w:p w14:paraId="19BFCF86" w14:textId="77777777" w:rsidR="00D73008" w:rsidRPr="00B946D7" w:rsidRDefault="00D73008" w:rsidP="00387AE5">
            <w:pPr>
              <w:jc w:val="right"/>
              <w:rPr>
                <w:rFonts w:cs="Arial Narrow"/>
                <w:sz w:val="20"/>
                <w:szCs w:val="20"/>
              </w:rPr>
            </w:pPr>
          </w:p>
        </w:tc>
        <w:tc>
          <w:tcPr>
            <w:tcW w:w="4443" w:type="dxa"/>
            <w:tcBorders>
              <w:top w:val="single" w:sz="4" w:space="0" w:color="auto"/>
              <w:left w:val="nil"/>
              <w:right w:val="nil"/>
            </w:tcBorders>
            <w:shd w:val="clear" w:color="auto" w:fill="auto"/>
            <w:noWrap/>
            <w:vAlign w:val="center"/>
          </w:tcPr>
          <w:p w14:paraId="6E89002C" w14:textId="77777777" w:rsidR="00D73008" w:rsidRPr="00B946D7" w:rsidRDefault="00D73008" w:rsidP="00387AE5">
            <w:pPr>
              <w:spacing w:before="40"/>
              <w:jc w:val="right"/>
              <w:rPr>
                <w:rFonts w:cs="Arial Narrow"/>
                <w:i/>
                <w:iCs/>
                <w:sz w:val="16"/>
                <w:szCs w:val="16"/>
              </w:rPr>
            </w:pPr>
            <w:r w:rsidRPr="00B946D7">
              <w:rPr>
                <w:rFonts w:cs="Arial Narrow"/>
                <w:i/>
                <w:iCs/>
                <w:sz w:val="16"/>
                <w:szCs w:val="16"/>
              </w:rPr>
              <w:t>Zdroj: MF SR</w:t>
            </w:r>
          </w:p>
        </w:tc>
      </w:tr>
    </w:tbl>
    <w:p w14:paraId="4813FE07" w14:textId="77777777" w:rsidR="00D73008" w:rsidRDefault="00D73008" w:rsidP="00D73008">
      <w:pPr>
        <w:spacing w:after="240"/>
        <w:jc w:val="both"/>
      </w:pPr>
    </w:p>
    <w:p w14:paraId="1E6256BC" w14:textId="36F251BF" w:rsidR="006F5F4E" w:rsidRDefault="006F5F4E" w:rsidP="006F5F4E">
      <w:pPr>
        <w:jc w:val="both"/>
        <w:rPr>
          <w:b/>
          <w:color w:val="000000" w:themeColor="text1"/>
        </w:rPr>
      </w:pPr>
      <w:r w:rsidRPr="006F5F4E">
        <w:rPr>
          <w:b/>
        </w:rPr>
        <w:t>Aktuálne hodnotenie udržateľnosti verejných financií zo strany Európskej komisie potvrdzuje nízke riziko v strednodobom horizonte a stredné riziko dlhodobej udržateľnosti</w:t>
      </w:r>
      <w:r w:rsidRPr="006F5F4E">
        <w:t xml:space="preserve">. Naplnenie aktuálnych rozpočtových cieľov do roku 2022 bude mať pozitívny vplyv na hodnotenie udržateľnosti. </w:t>
      </w:r>
      <w:r w:rsidR="00525C0C">
        <w:t xml:space="preserve">Zároveň </w:t>
      </w:r>
      <w:r w:rsidRPr="006F5F4E">
        <w:t>dochádza k</w:t>
      </w:r>
      <w:r>
        <w:t> </w:t>
      </w:r>
      <w:r w:rsidRPr="006F5F4E">
        <w:t>zmenám v</w:t>
      </w:r>
      <w:r w:rsidR="00525C0C">
        <w:t xml:space="preserve"> oblasti </w:t>
      </w:r>
      <w:r w:rsidRPr="006F5F4E">
        <w:t>starobných dôchodkov</w:t>
      </w:r>
      <w:r w:rsidR="00525C0C">
        <w:t xml:space="preserve"> s vplyvom za horizont rozpočtového výhľadu, najmä v prípade</w:t>
      </w:r>
      <w:r w:rsidRPr="006F5F4E">
        <w:t xml:space="preserve"> zavedeni</w:t>
      </w:r>
      <w:r w:rsidR="00525C0C">
        <w:t>a</w:t>
      </w:r>
      <w:r w:rsidRPr="006F5F4E">
        <w:t xml:space="preserve"> stropu na vek odchodu do dôchodku</w:t>
      </w:r>
      <w:r>
        <w:t xml:space="preserve"> na úrovni 64 rokov</w:t>
      </w:r>
      <w:r w:rsidRPr="006F5F4E">
        <w:t>.</w:t>
      </w:r>
      <w:r>
        <w:t xml:space="preserve"> N</w:t>
      </w:r>
      <w:r w:rsidRPr="006F5F4E">
        <w:t xml:space="preserve">a dlhodobú udržateľnosť </w:t>
      </w:r>
      <w:r>
        <w:t>budú mať prijaté opatrenia negatívny vplyv. Slovensko by však malo byť aj naďalej hodnotené so stredným rizikom dlhodobej udržateľnosti.</w:t>
      </w:r>
    </w:p>
    <w:p w14:paraId="54B61E0E" w14:textId="77777777" w:rsidR="006F5F4E" w:rsidRDefault="006F5F4E" w:rsidP="00D73008">
      <w:pPr>
        <w:jc w:val="both"/>
        <w:rPr>
          <w:b/>
          <w:color w:val="000000" w:themeColor="text1"/>
        </w:rPr>
      </w:pPr>
    </w:p>
    <w:p w14:paraId="420540D6" w14:textId="5A06DF6C" w:rsidR="00D73008" w:rsidRDefault="00D73008" w:rsidP="00D73008">
      <w:pPr>
        <w:jc w:val="both"/>
        <w:rPr>
          <w:rFonts w:cs="Arial Narrow"/>
        </w:rPr>
      </w:pPr>
      <w:r w:rsidRPr="000C0873">
        <w:rPr>
          <w:b/>
          <w:color w:val="000000" w:themeColor="text1"/>
        </w:rPr>
        <w:t xml:space="preserve">Pokračuje boj proti daňovým únikom. </w:t>
      </w:r>
      <w:r w:rsidRPr="000C0873">
        <w:rPr>
          <w:color w:val="000000" w:themeColor="text1"/>
        </w:rPr>
        <w:t>Podľa odhadov EK znížilo Slovensko daňovú medzeru na DPH na úroveň 25,7 %, čo predstavuje piate najrýchlejšie uzatváranie daňovej medzery v</w:t>
      </w:r>
      <w:r w:rsidR="009674E0" w:rsidRPr="000C0873">
        <w:rPr>
          <w:color w:val="000000" w:themeColor="text1"/>
        </w:rPr>
        <w:t> </w:t>
      </w:r>
      <w:r w:rsidRPr="000C0873">
        <w:rPr>
          <w:color w:val="000000" w:themeColor="text1"/>
        </w:rPr>
        <w:t>roku</w:t>
      </w:r>
      <w:r w:rsidR="009674E0" w:rsidRPr="000C0873">
        <w:rPr>
          <w:color w:val="000000" w:themeColor="text1"/>
        </w:rPr>
        <w:t xml:space="preserve"> 2016</w:t>
      </w:r>
      <w:r w:rsidRPr="000C0873">
        <w:rPr>
          <w:color w:val="000000" w:themeColor="text1"/>
        </w:rPr>
        <w:t xml:space="preserve"> v rámci EÚ. </w:t>
      </w:r>
      <w:r w:rsidRPr="000C0873">
        <w:rPr>
          <w:rFonts w:cs="Arial Narrow"/>
        </w:rPr>
        <w:t>V rámci boja proti</w:t>
      </w:r>
      <w:r w:rsidRPr="00FA4BD4">
        <w:rPr>
          <w:rFonts w:cs="Arial Narrow"/>
        </w:rPr>
        <w:t xml:space="preserve"> daňovým únikom boli s účinnosťou od roku 2019 prijaté ďalšie opatrenia.</w:t>
      </w:r>
      <w:r>
        <w:rPr>
          <w:rFonts w:cs="Arial Narrow"/>
        </w:rPr>
        <w:t xml:space="preserve"> </w:t>
      </w:r>
      <w:r>
        <w:rPr>
          <w:color w:val="000000" w:themeColor="text1"/>
        </w:rPr>
        <w:t>Od j</w:t>
      </w:r>
      <w:r w:rsidRPr="007578D4">
        <w:rPr>
          <w:color w:val="000000" w:themeColor="text1"/>
        </w:rPr>
        <w:t xml:space="preserve">úla bude zavedená </w:t>
      </w:r>
      <w:r w:rsidRPr="007578D4">
        <w:rPr>
          <w:bCs/>
          <w:color w:val="000000" w:themeColor="text1"/>
        </w:rPr>
        <w:t>povinnosť evidovať tržby prostredníctvom elektronických registračných pokladní s online prepojením na Finančnú správu</w:t>
      </w:r>
      <w:r w:rsidRPr="007578D4">
        <w:rPr>
          <w:color w:val="000000" w:themeColor="text1"/>
        </w:rPr>
        <w:t>, tzv. eKasa.</w:t>
      </w:r>
    </w:p>
    <w:p w14:paraId="5E9539F7" w14:textId="77777777" w:rsidR="00D73008" w:rsidRDefault="00D73008" w:rsidP="00D73008">
      <w:pPr>
        <w:jc w:val="both"/>
        <w:rPr>
          <w:rFonts w:cs="Arial Narrow"/>
        </w:rPr>
      </w:pPr>
    </w:p>
    <w:p w14:paraId="1DDDABF9" w14:textId="5725A6DB" w:rsidR="00D73008" w:rsidRDefault="00D73008" w:rsidP="00D73008">
      <w:pPr>
        <w:spacing w:after="240"/>
        <w:jc w:val="both"/>
      </w:pPr>
      <w:r>
        <w:rPr>
          <w:b/>
        </w:rPr>
        <w:t>P</w:t>
      </w:r>
      <w:r w:rsidRPr="009E30AD">
        <w:rPr>
          <w:b/>
        </w:rPr>
        <w:t>osil</w:t>
      </w:r>
      <w:r>
        <w:rPr>
          <w:b/>
        </w:rPr>
        <w:t>ní sa aj</w:t>
      </w:r>
      <w:r w:rsidRPr="009E30AD">
        <w:rPr>
          <w:b/>
        </w:rPr>
        <w:t xml:space="preserve"> inštitucionáln</w:t>
      </w:r>
      <w:r>
        <w:rPr>
          <w:b/>
        </w:rPr>
        <w:t xml:space="preserve">y </w:t>
      </w:r>
      <w:r w:rsidRPr="009E30AD">
        <w:rPr>
          <w:b/>
        </w:rPr>
        <w:t>rám</w:t>
      </w:r>
      <w:r>
        <w:rPr>
          <w:b/>
        </w:rPr>
        <w:t>e</w:t>
      </w:r>
      <w:r w:rsidRPr="009E30AD">
        <w:rPr>
          <w:b/>
        </w:rPr>
        <w:t>c riadenia rozpočtu</w:t>
      </w:r>
      <w:r w:rsidRPr="009E30AD">
        <w:t>. Do konca volebného obdobia sa pripravia viaceré varianty stanovenia výdavkových stropov</w:t>
      </w:r>
      <w:r w:rsidR="008F3BDD">
        <w:t>, ktoré by mohli</w:t>
      </w:r>
      <w:r w:rsidR="009C4CA6">
        <w:t xml:space="preserve"> byť do budúcna operatívnym rozpočtovým pravidlom</w:t>
      </w:r>
      <w:r w:rsidRPr="009E30AD">
        <w:t xml:space="preserve">. </w:t>
      </w:r>
      <w:r w:rsidRPr="00947350">
        <w:t>Projekt Hodnoty za peniaze sa stáva súčasťou rozpočtových pravidiel</w:t>
      </w:r>
      <w:r w:rsidR="00C02822">
        <w:t>.</w:t>
      </w:r>
      <w:r w:rsidRPr="00947350">
        <w:t xml:space="preserve"> </w:t>
      </w:r>
      <w:r w:rsidR="00C02822">
        <w:t>O</w:t>
      </w:r>
      <w:r w:rsidRPr="00947350">
        <w:t>d roku 2020 bude najmenej polovica verejných výdavkov prechádzať raz za 4 roky pravidelným hodnotením</w:t>
      </w:r>
      <w:r w:rsidR="00806A3C">
        <w:t>. Z</w:t>
      </w:r>
      <w:r w:rsidRPr="009E30AD">
        <w:t xml:space="preserve">avádza </w:t>
      </w:r>
      <w:r w:rsidR="00806A3C">
        <w:t xml:space="preserve">sa tiež </w:t>
      </w:r>
      <w:r w:rsidRPr="009E30AD">
        <w:t xml:space="preserve">systém financovania zdravotníctva na základe reálnych potrieb rezortu. </w:t>
      </w:r>
    </w:p>
    <w:p w14:paraId="5C1B30DE" w14:textId="77777777" w:rsidR="00D73008" w:rsidRPr="009E30AD" w:rsidRDefault="00D73008" w:rsidP="00D73008">
      <w:pPr>
        <w:spacing w:after="240"/>
        <w:jc w:val="both"/>
      </w:pPr>
    </w:p>
    <w:p w14:paraId="4C58FA9F" w14:textId="77777777" w:rsidR="00D73008" w:rsidRDefault="00D73008">
      <w:pPr>
        <w:rPr>
          <w:b/>
          <w:bCs/>
          <w:color w:val="2C9ADC"/>
          <w:sz w:val="28"/>
        </w:rPr>
      </w:pPr>
      <w:r>
        <w:rPr>
          <w:color w:val="2C9ADC"/>
        </w:rPr>
        <w:br w:type="page"/>
      </w:r>
    </w:p>
    <w:p w14:paraId="3A6638BB" w14:textId="22E87EE6" w:rsidR="001A095A" w:rsidRPr="00C16598" w:rsidRDefault="001A095A" w:rsidP="004F1515">
      <w:pPr>
        <w:pStyle w:val="Nadpis1"/>
        <w:numPr>
          <w:ilvl w:val="0"/>
          <w:numId w:val="3"/>
        </w:numPr>
        <w:spacing w:before="240" w:after="240"/>
        <w:ind w:left="357" w:hanging="357"/>
        <w:rPr>
          <w:color w:val="2C9ADC"/>
        </w:rPr>
      </w:pPr>
      <w:bookmarkStart w:id="33" w:name="_Toc5869375"/>
      <w:r w:rsidRPr="00C16598">
        <w:rPr>
          <w:color w:val="2C9ADC"/>
        </w:rPr>
        <w:lastRenderedPageBreak/>
        <w:t>EKONOMICKÝ VÝHĽAD A PREDPOKLADY</w:t>
      </w:r>
      <w:bookmarkEnd w:id="29"/>
      <w:bookmarkEnd w:id="30"/>
      <w:bookmarkEnd w:id="31"/>
      <w:bookmarkEnd w:id="32"/>
      <w:bookmarkEnd w:id="33"/>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1A095A" w:rsidRPr="00E76875" w14:paraId="21F14D0A" w14:textId="77777777" w:rsidTr="00387AE5">
        <w:tc>
          <w:tcPr>
            <w:tcW w:w="9072" w:type="dxa"/>
          </w:tcPr>
          <w:p w14:paraId="7E9B2BEE" w14:textId="67206DFF" w:rsidR="001A095A" w:rsidRPr="00E76875" w:rsidRDefault="001A095A" w:rsidP="00284902">
            <w:pPr>
              <w:pStyle w:val="odsekzatabukou"/>
              <w:spacing w:before="120" w:after="120"/>
              <w:rPr>
                <w:i/>
                <w:highlight w:val="yellow"/>
              </w:rPr>
            </w:pPr>
            <w:r w:rsidRPr="00C16598">
              <w:rPr>
                <w:i/>
              </w:rPr>
              <w:t>Slovenská ekonomika dosiahla v</w:t>
            </w:r>
            <w:r>
              <w:rPr>
                <w:i/>
              </w:rPr>
              <w:t> roku 2018</w:t>
            </w:r>
            <w:r w:rsidRPr="00C16598">
              <w:rPr>
                <w:i/>
              </w:rPr>
              <w:t xml:space="preserve"> sv</w:t>
            </w:r>
            <w:r>
              <w:rPr>
                <w:i/>
              </w:rPr>
              <w:t>oj cyklický vrchol na úrovni 4,1 %. V roku 2019</w:t>
            </w:r>
            <w:r w:rsidRPr="00C16598">
              <w:rPr>
                <w:i/>
              </w:rPr>
              <w:t xml:space="preserve"> </w:t>
            </w:r>
            <w:r>
              <w:rPr>
                <w:i/>
              </w:rPr>
              <w:t>vzrastie</w:t>
            </w:r>
            <w:r w:rsidRPr="00C16598">
              <w:rPr>
                <w:i/>
              </w:rPr>
              <w:t xml:space="preserve"> o 4 %. Zvoľnenie prichádza so slabnúcim dopytom v zahraničí, no nová automobilová výroba a trh práce by mali ekonomiku podporiť. Zvýšenie platových taríf vo verejnej správe sa spolu s rýchlym rastom miezd v súkromnom sektore pretaví do vyššej spotreby domácností. </w:t>
            </w:r>
            <w:r>
              <w:rPr>
                <w:i/>
              </w:rPr>
              <w:t xml:space="preserve">V rokoch 2020 a 2021 si ekonomika udrží dynamiku nad 3 % a bude sa naďalej mierne prehrievať. </w:t>
            </w:r>
            <w:r w:rsidRPr="00C16598">
              <w:rPr>
                <w:i/>
              </w:rPr>
              <w:t xml:space="preserve">Inflácia </w:t>
            </w:r>
            <w:r>
              <w:rPr>
                <w:i/>
              </w:rPr>
              <w:t>bude ukotvená blízko</w:t>
            </w:r>
            <w:r w:rsidRPr="00C16598">
              <w:rPr>
                <w:i/>
              </w:rPr>
              <w:t xml:space="preserve"> úrovne 2,5 %</w:t>
            </w:r>
            <w:r>
              <w:rPr>
                <w:i/>
              </w:rPr>
              <w:t xml:space="preserve"> na celom prognózovanom horizonte</w:t>
            </w:r>
            <w:r w:rsidRPr="00C16598">
              <w:rPr>
                <w:i/>
              </w:rPr>
              <w:t>.</w:t>
            </w:r>
            <w:r>
              <w:rPr>
                <w:i/>
              </w:rPr>
              <w:t xml:space="preserve"> </w:t>
            </w:r>
            <w:r w:rsidRPr="0073650B">
              <w:rPr>
                <w:i/>
              </w:rPr>
              <w:t xml:space="preserve">V rokoch 2019 a 2020 bude </w:t>
            </w:r>
            <w:r>
              <w:rPr>
                <w:i/>
              </w:rPr>
              <w:t>prehrievanie</w:t>
            </w:r>
            <w:r w:rsidRPr="0073650B">
              <w:rPr>
                <w:i/>
              </w:rPr>
              <w:t xml:space="preserve"> kulminovať na úrovni 1,1 % potenciálneho HDP aj napriek ponukovému impulzu novej automobilovej produkcie</w:t>
            </w:r>
            <w:r>
              <w:rPr>
                <w:i/>
              </w:rPr>
              <w:t>.</w:t>
            </w:r>
            <w:r w:rsidRPr="0073650B">
              <w:rPr>
                <w:i/>
              </w:rPr>
              <w:t xml:space="preserve"> </w:t>
            </w:r>
            <w:r w:rsidR="00284902">
              <w:rPr>
                <w:i/>
              </w:rPr>
              <w:t>R</w:t>
            </w:r>
            <w:r w:rsidRPr="00C16598">
              <w:rPr>
                <w:i/>
              </w:rPr>
              <w:t>iziká makroekonomickej prognózy sú vychýlené smerom nadol.</w:t>
            </w:r>
          </w:p>
        </w:tc>
      </w:tr>
    </w:tbl>
    <w:p w14:paraId="49E0826E" w14:textId="77777777" w:rsidR="001A095A" w:rsidRPr="00B2520D" w:rsidRDefault="001A095A" w:rsidP="004F1515">
      <w:pPr>
        <w:pStyle w:val="Nadpis2"/>
        <w:keepLines/>
        <w:numPr>
          <w:ilvl w:val="1"/>
          <w:numId w:val="2"/>
        </w:numPr>
        <w:spacing w:before="240" w:after="120"/>
        <w:rPr>
          <w:b/>
          <w:color w:val="2C9ADC"/>
          <w:szCs w:val="28"/>
        </w:rPr>
      </w:pPr>
      <w:bookmarkStart w:id="34" w:name="_Toc449429100"/>
      <w:bookmarkStart w:id="35" w:name="_Toc480443988"/>
      <w:bookmarkStart w:id="36" w:name="_Toc480444320"/>
      <w:bookmarkStart w:id="37" w:name="_Toc480444493"/>
      <w:bookmarkStart w:id="38" w:name="_Toc5869376"/>
      <w:r w:rsidRPr="00B2520D">
        <w:rPr>
          <w:b/>
          <w:color w:val="2C9ADC"/>
          <w:szCs w:val="28"/>
        </w:rPr>
        <w:t>Ekonomický vývoj na Slovensku v roku 201</w:t>
      </w:r>
      <w:bookmarkEnd w:id="34"/>
      <w:bookmarkEnd w:id="35"/>
      <w:bookmarkEnd w:id="36"/>
      <w:bookmarkEnd w:id="37"/>
      <w:r w:rsidRPr="00B2520D">
        <w:rPr>
          <w:b/>
          <w:color w:val="2C9ADC"/>
          <w:szCs w:val="28"/>
        </w:rPr>
        <w:t>8</w:t>
      </w:r>
      <w:bookmarkEnd w:id="38"/>
      <w:r w:rsidRPr="00B2520D">
        <w:rPr>
          <w:b/>
          <w:color w:val="2C9ADC"/>
          <w:szCs w:val="28"/>
        </w:rPr>
        <w:t xml:space="preserve"> </w:t>
      </w:r>
    </w:p>
    <w:p w14:paraId="44F8950C" w14:textId="77777777" w:rsidR="001A095A" w:rsidRPr="00C507DD" w:rsidRDefault="001A095A" w:rsidP="001A095A">
      <w:pPr>
        <w:jc w:val="both"/>
        <w:rPr>
          <w:color w:val="000000"/>
        </w:rPr>
      </w:pPr>
      <w:r w:rsidRPr="00E12ABD">
        <w:rPr>
          <w:rFonts w:eastAsia="NeueHaasGroteskText W02" w:cs="Arial"/>
          <w:b/>
          <w:szCs w:val="20"/>
        </w:rPr>
        <w:t xml:space="preserve">Slovenská ekonomika dosiahla cyklický vrchol v roku 2018 s rastom 4,1 %. </w:t>
      </w:r>
      <w:r w:rsidRPr="00E12ABD">
        <w:rPr>
          <w:rFonts w:eastAsia="NeueHaasGroteskText W02" w:cs="Arial"/>
          <w:szCs w:val="20"/>
        </w:rPr>
        <w:t>Najväčší príspevok k rastu zaznamenali investície a spotreba domácností. Investície výrazne podporili najmä Jaguar Land Rover (JLR) a samosprávy. Spotreba domácností sa oprela o zvyšujúcu sa mzdovú bázu. Export stúpal najmä vďaka novej produkcii vo Volkswagene (VW)</w:t>
      </w:r>
      <w:r>
        <w:rPr>
          <w:rFonts w:eastAsia="NeueHaasGroteskText W02" w:cs="Arial"/>
          <w:szCs w:val="20"/>
        </w:rPr>
        <w:t>, v</w:t>
      </w:r>
      <w:r w:rsidRPr="00E12ABD">
        <w:rPr>
          <w:rFonts w:eastAsia="NeueHaasGroteskText W02" w:cs="Arial"/>
          <w:szCs w:val="20"/>
        </w:rPr>
        <w:t xml:space="preserve">ýroba v JLR začala nabiehať iba postupne. </w:t>
      </w:r>
      <w:r w:rsidRPr="00974CC4">
        <w:t xml:space="preserve">Zamestnanosť </w:t>
      </w:r>
      <w:r>
        <w:t>sa medziročne zvýšila o</w:t>
      </w:r>
      <w:r w:rsidRPr="00974CC4">
        <w:t xml:space="preserve"> takmer 50 tisíc osôb a presiahla úroveň 2,4 milióna </w:t>
      </w:r>
      <w:r>
        <w:t>ľudí</w:t>
      </w:r>
      <w:r w:rsidRPr="00974CC4">
        <w:t>.</w:t>
      </w:r>
      <w:r w:rsidRPr="00DD13AF">
        <w:rPr>
          <w:b/>
          <w:bCs/>
        </w:rPr>
        <w:t xml:space="preserve"> </w:t>
      </w:r>
      <w:r w:rsidRPr="009F54F7">
        <w:rPr>
          <w:bCs/>
        </w:rPr>
        <w:t>Silný rast zamestnanosti podporil pokles miery nezamestnanosti na nové minimum</w:t>
      </w:r>
      <w:r w:rsidRPr="002C3DDC">
        <w:t xml:space="preserve"> </w:t>
      </w:r>
      <w:r>
        <w:t xml:space="preserve">a to </w:t>
      </w:r>
      <w:r w:rsidRPr="002C3DDC">
        <w:t>6,6 %</w:t>
      </w:r>
      <w:r w:rsidRPr="002C3DDC">
        <w:rPr>
          <w:b/>
          <w:bCs/>
        </w:rPr>
        <w:t xml:space="preserve"> </w:t>
      </w:r>
      <w:r w:rsidRPr="002C3DDC">
        <w:t>ekonomicky aktívnych ľudí.</w:t>
      </w:r>
      <w:r>
        <w:t xml:space="preserve"> Výrazne stúpol aj počet pracujúcich cudzincov, ktorí</w:t>
      </w:r>
      <w:r w:rsidRPr="009B43BF">
        <w:t xml:space="preserve"> </w:t>
      </w:r>
      <w:r>
        <w:t xml:space="preserve">obsadili tretinu novovzniknutých pracovných miest. </w:t>
      </w:r>
      <w:r w:rsidRPr="009F54F7">
        <w:rPr>
          <w:bCs/>
        </w:rPr>
        <w:t xml:space="preserve">Nominálna mzda presiahla hranicu 1 000 </w:t>
      </w:r>
      <w:r>
        <w:rPr>
          <w:bCs/>
        </w:rPr>
        <w:t>eur</w:t>
      </w:r>
      <w:r w:rsidRPr="009F54F7">
        <w:rPr>
          <w:bCs/>
        </w:rPr>
        <w:t xml:space="preserve">. </w:t>
      </w:r>
      <w:r w:rsidRPr="00DD13AF">
        <w:rPr>
          <w:bCs/>
        </w:rPr>
        <w:t xml:space="preserve">Rast miezd akceleroval nad 6 %, čo je najviac od krízy. </w:t>
      </w:r>
      <w:r w:rsidRPr="009F54F7">
        <w:rPr>
          <w:color w:val="000000"/>
        </w:rPr>
        <w:t>Inflácia zrýchlila, keď ceny merané indexom CPI stúpli o 2,5 %.</w:t>
      </w:r>
      <w:r w:rsidRPr="00C507DD">
        <w:rPr>
          <w:color w:val="000000"/>
        </w:rPr>
        <w:t xml:space="preserve"> K vyššej inflácii tlačil predovšetkým </w:t>
      </w:r>
      <w:r>
        <w:rPr>
          <w:color w:val="000000"/>
        </w:rPr>
        <w:t>rast cien služieb reagujúci na vyššie mzdy. Výrazne však stúpli aj ceny</w:t>
      </w:r>
      <w:r w:rsidRPr="00C507DD">
        <w:rPr>
          <w:color w:val="000000"/>
        </w:rPr>
        <w:t xml:space="preserve"> potravín</w:t>
      </w:r>
      <w:r>
        <w:rPr>
          <w:color w:val="000000"/>
        </w:rPr>
        <w:t xml:space="preserve"> a pohonných hmôt. </w:t>
      </w:r>
    </w:p>
    <w:p w14:paraId="0F7AB418" w14:textId="77777777" w:rsidR="001A095A" w:rsidRPr="007F348A" w:rsidRDefault="001A095A" w:rsidP="00BD53AF">
      <w:pPr>
        <w:pStyle w:val="Nadpis2"/>
        <w:keepLines/>
        <w:numPr>
          <w:ilvl w:val="1"/>
          <w:numId w:val="2"/>
        </w:numPr>
        <w:spacing w:before="240" w:after="120" w:line="276" w:lineRule="auto"/>
        <w:rPr>
          <w:b/>
          <w:color w:val="2C9ADC"/>
          <w:szCs w:val="28"/>
        </w:rPr>
      </w:pPr>
      <w:bookmarkStart w:id="39" w:name="_Toc449429112"/>
      <w:bookmarkStart w:id="40" w:name="_Toc480443991"/>
      <w:bookmarkStart w:id="41" w:name="_Toc480444321"/>
      <w:bookmarkStart w:id="42" w:name="_Toc480444496"/>
      <w:bookmarkStart w:id="43" w:name="_Toc5869377"/>
      <w:r w:rsidRPr="007F348A">
        <w:rPr>
          <w:b/>
          <w:color w:val="2C9ADC"/>
          <w:szCs w:val="28"/>
        </w:rPr>
        <w:t>Strednodobá prognóza vývoja ekonomiky</w:t>
      </w:r>
      <w:bookmarkEnd w:id="39"/>
      <w:bookmarkEnd w:id="40"/>
      <w:bookmarkEnd w:id="41"/>
      <w:bookmarkEnd w:id="42"/>
      <w:r w:rsidRPr="007F348A">
        <w:rPr>
          <w:b/>
          <w:color w:val="2C9ADC"/>
          <w:szCs w:val="28"/>
        </w:rPr>
        <w:t xml:space="preserve"> </w:t>
      </w:r>
      <w:r>
        <w:rPr>
          <w:b/>
          <w:color w:val="2C9ADC"/>
          <w:szCs w:val="28"/>
        </w:rPr>
        <w:t>na roky 2019 až 2022</w:t>
      </w:r>
      <w:bookmarkEnd w:id="43"/>
    </w:p>
    <w:p w14:paraId="715BC22D" w14:textId="77777777" w:rsidR="001A095A" w:rsidRDefault="001A095A" w:rsidP="001A095A">
      <w:pPr>
        <w:pStyle w:val="Odsek"/>
      </w:pPr>
      <w:r w:rsidRPr="007F348A">
        <w:rPr>
          <w:b/>
        </w:rPr>
        <w:t>Aktuálna prognóza</w:t>
      </w:r>
      <w:r>
        <w:rPr>
          <w:rStyle w:val="Odkaznapoznmkupodiarou"/>
          <w:b/>
        </w:rPr>
        <w:footnoteReference w:id="2"/>
      </w:r>
      <w:r w:rsidRPr="007F348A">
        <w:rPr>
          <w:b/>
        </w:rPr>
        <w:t xml:space="preserve"> očakáva mierne spomalenie dynamiky slovenskej ekonomiky na úroveň 4 %</w:t>
      </w:r>
      <w:r>
        <w:rPr>
          <w:b/>
        </w:rPr>
        <w:t xml:space="preserve"> v roku 2019</w:t>
      </w:r>
      <w:r w:rsidRPr="007F348A">
        <w:rPr>
          <w:b/>
        </w:rPr>
        <w:t>.</w:t>
      </w:r>
      <w:r w:rsidRPr="007F348A">
        <w:t xml:space="preserve"> Nepriaznivý vývoj zahraničného dopytu sa odzrkadlí aj na exportnej výkonnosti slovenskej ekonomiky, ktorú však čiastočne podporí pokračujúci nábeh výroby vo VW a JLR. </w:t>
      </w:r>
      <w:r>
        <w:t xml:space="preserve">Nová produkcia v automobilkách prispeje k rastu exportov spolu vo výške 2 p. b., HDP sa vďaka nim zvýši o 0,5 p. b.. </w:t>
      </w:r>
      <w:r w:rsidRPr="007F348A">
        <w:t>Aktuálny vývoj tak pripomína obdobie rokov 2012 a 2013, keď nová produkcia vo VW podržala export aj napriek spomaleniu v EÚ. Tohtoročný rast podporí najmä spotreba domácností, ktorá si vďaka zvyšovaniu miezd a sociálnym opatreniam udrží dynamiku porovnateľnú s predchádzajúcimi rokmi. Nepriaznivý vývoj zahraničného prostredia, kumulujúce sa riziká a aj bázický efekt spôsobia spomalenie tvorby investícií.</w:t>
      </w:r>
      <w:r>
        <w:t xml:space="preserve"> Produkčná medzera sa bude ďalej otvárať, hoci miernejším tempom ako v predchádzajúcom roku. Tlaky na mzdy a spotrebiteľské ceny tak budú naďalej pretrvávať. </w:t>
      </w:r>
    </w:p>
    <w:p w14:paraId="683520CC" w14:textId="77777777" w:rsidR="001A095A" w:rsidRDefault="001A095A" w:rsidP="001A095A">
      <w:pPr>
        <w:jc w:val="both"/>
      </w:pPr>
      <w:r w:rsidRPr="007F348A">
        <w:rPr>
          <w:b/>
        </w:rPr>
        <w:t xml:space="preserve">V roku 2020 stúpne slovenská ekonomika o 3,7 % a rovnako aj jej potenciál. </w:t>
      </w:r>
      <w:r w:rsidRPr="007F348A">
        <w:t>Produkčná medzera sa tak zastabilizuje tesne nad úrovňou 1 % potenciálneho HDP a nebude sa ďalej otvárať. Výkon ekonomiky sa bude opierať o domácu spotrebu a export, čo je klasický obraz slovenskej ekonomiky v posledných rokoch. Export bude ešte stále benefitovať z novej výroby v JLR, kde sa očakáva štart produkcie druhého modelu. Zvyšovanie miezd, najmä vo verejnom sektore, podporí spotrebu domácností a investície sa čiastočne zotavia po predchádzajúcom prepade.</w:t>
      </w:r>
    </w:p>
    <w:p w14:paraId="5938140A" w14:textId="77777777" w:rsidR="001A095A" w:rsidRDefault="001A095A" w:rsidP="001A095A">
      <w:pPr>
        <w:jc w:val="both"/>
        <w:rPr>
          <w:b/>
        </w:rPr>
      </w:pPr>
    </w:p>
    <w:p w14:paraId="5765ACFB" w14:textId="77777777" w:rsidR="001A095A" w:rsidRPr="007478FA" w:rsidRDefault="001A095A" w:rsidP="001A095A">
      <w:pPr>
        <w:widowControl w:val="0"/>
        <w:spacing w:after="120"/>
        <w:jc w:val="both"/>
        <w:rPr>
          <w:rFonts w:eastAsia="NeueHaasGroteskText W02" w:cs="Arial"/>
          <w:szCs w:val="20"/>
        </w:rPr>
      </w:pPr>
      <w:r w:rsidRPr="007478FA">
        <w:rPr>
          <w:rFonts w:eastAsia="NeueHaasGroteskText W02" w:cs="Arial"/>
          <w:b/>
          <w:szCs w:val="20"/>
        </w:rPr>
        <w:t>Počnúc rokom 2021 sa ekonomika začne približovať svojmu dlhodobému potenciálu a zvoľní.</w:t>
      </w:r>
      <w:r w:rsidRPr="007478FA">
        <w:rPr>
          <w:rFonts w:eastAsia="NeueHaasGroteskText W02" w:cs="Arial"/>
          <w:szCs w:val="20"/>
        </w:rPr>
        <w:t xml:space="preserve"> Export bude opäť najdôležitejším ťahúňom, keď by mal JLR dosiahnuť plnú produkciu. Kvôli nižšej dynamike miezd sa očakáva aj spomalenie spotreby domácností. Investície môžu mierne zrýchľovať s blížiacim sa záverom tretieho programov</w:t>
      </w:r>
      <w:r>
        <w:rPr>
          <w:rFonts w:eastAsia="NeueHaasGroteskText W02" w:cs="Arial"/>
          <w:szCs w:val="20"/>
        </w:rPr>
        <w:t>ého</w:t>
      </w:r>
      <w:r w:rsidRPr="007478FA">
        <w:rPr>
          <w:rFonts w:eastAsia="NeueHaasGroteskText W02" w:cs="Arial"/>
          <w:szCs w:val="20"/>
        </w:rPr>
        <w:t xml:space="preserve"> obdobia. Výraznejšia tvorba verejných investícií financovaných z fondov EÚ sa však očakáva až v nasledujúcom roku.</w:t>
      </w:r>
    </w:p>
    <w:p w14:paraId="72AA01DB" w14:textId="77777777" w:rsidR="001A095A" w:rsidRPr="007478FA" w:rsidRDefault="001A095A" w:rsidP="001A095A">
      <w:pPr>
        <w:jc w:val="both"/>
        <w:rPr>
          <w:rFonts w:eastAsia="NeueHaasGroteskText W02" w:cs="Arial"/>
          <w:szCs w:val="20"/>
        </w:rPr>
      </w:pPr>
      <w:r w:rsidRPr="007478FA">
        <w:rPr>
          <w:rFonts w:eastAsia="NeueHaasGroteskText W02" w:cs="Arial"/>
          <w:b/>
          <w:szCs w:val="20"/>
        </w:rPr>
        <w:t xml:space="preserve">Na konci </w:t>
      </w:r>
      <w:r>
        <w:rPr>
          <w:rFonts w:eastAsia="NeueHaasGroteskText W02" w:cs="Arial"/>
          <w:b/>
          <w:szCs w:val="20"/>
        </w:rPr>
        <w:t xml:space="preserve">sledovaného </w:t>
      </w:r>
      <w:r w:rsidRPr="007478FA">
        <w:rPr>
          <w:rFonts w:eastAsia="NeueHaasGroteskText W02" w:cs="Arial"/>
          <w:b/>
          <w:szCs w:val="20"/>
        </w:rPr>
        <w:t xml:space="preserve">horizontu očakávame spomalenie ekonomiky pod tri percentá, </w:t>
      </w:r>
      <w:r>
        <w:rPr>
          <w:rFonts w:eastAsia="NeueHaasGroteskText W02" w:cs="Arial"/>
          <w:b/>
          <w:szCs w:val="20"/>
        </w:rPr>
        <w:t>s postupným</w:t>
      </w:r>
      <w:r w:rsidRPr="007478FA">
        <w:rPr>
          <w:rFonts w:eastAsia="NeueHaasGroteskText W02" w:cs="Arial"/>
          <w:b/>
          <w:szCs w:val="20"/>
        </w:rPr>
        <w:t xml:space="preserve"> uzatvár</w:t>
      </w:r>
      <w:r>
        <w:rPr>
          <w:rFonts w:eastAsia="NeueHaasGroteskText W02" w:cs="Arial"/>
          <w:b/>
          <w:szCs w:val="20"/>
        </w:rPr>
        <w:t>aním</w:t>
      </w:r>
      <w:r w:rsidRPr="007478FA">
        <w:rPr>
          <w:rFonts w:eastAsia="NeueHaasGroteskText W02" w:cs="Arial"/>
          <w:b/>
          <w:szCs w:val="20"/>
        </w:rPr>
        <w:t xml:space="preserve"> produkčn</w:t>
      </w:r>
      <w:r>
        <w:rPr>
          <w:rFonts w:eastAsia="NeueHaasGroteskText W02" w:cs="Arial"/>
          <w:b/>
          <w:szCs w:val="20"/>
        </w:rPr>
        <w:t>ej</w:t>
      </w:r>
      <w:r w:rsidRPr="007478FA">
        <w:rPr>
          <w:rFonts w:eastAsia="NeueHaasGroteskText W02" w:cs="Arial"/>
          <w:b/>
          <w:szCs w:val="20"/>
        </w:rPr>
        <w:t xml:space="preserve"> medzer</w:t>
      </w:r>
      <w:r>
        <w:rPr>
          <w:rFonts w:eastAsia="NeueHaasGroteskText W02" w:cs="Arial"/>
          <w:b/>
          <w:szCs w:val="20"/>
        </w:rPr>
        <w:t>y</w:t>
      </w:r>
      <w:r w:rsidRPr="007478FA">
        <w:rPr>
          <w:rFonts w:eastAsia="NeueHaasGroteskText W02" w:cs="Arial"/>
          <w:b/>
          <w:szCs w:val="20"/>
        </w:rPr>
        <w:t>.</w:t>
      </w:r>
      <w:r w:rsidRPr="007478FA">
        <w:rPr>
          <w:rFonts w:eastAsia="NeueHaasGroteskText W02" w:cs="Arial"/>
          <w:szCs w:val="20"/>
        </w:rPr>
        <w:t xml:space="preserve"> Ekonomika bude stáť na troch pilieroch. Ku exportu a súkromnej spotrebe sa pridajú investície posilnené o blížiaci sa záver programov</w:t>
      </w:r>
      <w:r>
        <w:rPr>
          <w:rFonts w:eastAsia="NeueHaasGroteskText W02" w:cs="Arial"/>
          <w:szCs w:val="20"/>
        </w:rPr>
        <w:t>é</w:t>
      </w:r>
      <w:r w:rsidRPr="007478FA">
        <w:rPr>
          <w:rFonts w:eastAsia="NeueHaasGroteskText W02" w:cs="Arial"/>
          <w:szCs w:val="20"/>
        </w:rPr>
        <w:t>ho obdobia a volebný cyklus v samosprávach.</w:t>
      </w:r>
    </w:p>
    <w:tbl>
      <w:tblPr>
        <w:tblW w:w="9161" w:type="dxa"/>
        <w:jc w:val="center"/>
        <w:tblCellMar>
          <w:left w:w="70" w:type="dxa"/>
          <w:right w:w="70" w:type="dxa"/>
        </w:tblCellMar>
        <w:tblLook w:val="04A0" w:firstRow="1" w:lastRow="0" w:firstColumn="1" w:lastColumn="0" w:noHBand="0" w:noVBand="1"/>
      </w:tblPr>
      <w:tblGrid>
        <w:gridCol w:w="478"/>
        <w:gridCol w:w="4533"/>
        <w:gridCol w:w="878"/>
        <w:gridCol w:w="548"/>
        <w:gridCol w:w="548"/>
        <w:gridCol w:w="523"/>
        <w:gridCol w:w="551"/>
        <w:gridCol w:w="551"/>
        <w:gridCol w:w="551"/>
      </w:tblGrid>
      <w:tr w:rsidR="001A095A" w:rsidRPr="001564C8" w14:paraId="0F9FB0F0" w14:textId="77777777" w:rsidTr="00387AE5">
        <w:trPr>
          <w:trHeight w:val="283"/>
          <w:jc w:val="center"/>
        </w:trPr>
        <w:tc>
          <w:tcPr>
            <w:tcW w:w="9161" w:type="dxa"/>
            <w:gridSpan w:val="9"/>
            <w:tcBorders>
              <w:top w:val="nil"/>
              <w:left w:val="nil"/>
              <w:bottom w:val="single" w:sz="8" w:space="0" w:color="auto"/>
              <w:right w:val="nil"/>
            </w:tcBorders>
            <w:shd w:val="clear" w:color="auto" w:fill="auto"/>
            <w:noWrap/>
            <w:vAlign w:val="center"/>
            <w:hideMark/>
          </w:tcPr>
          <w:p w14:paraId="7F16253E" w14:textId="65F6641D" w:rsidR="001A095A" w:rsidRPr="001564C8" w:rsidRDefault="001A095A" w:rsidP="00387AE5">
            <w:pPr>
              <w:pStyle w:val="Nadpis3"/>
              <w:spacing w:before="120"/>
              <w:rPr>
                <w:rFonts w:eastAsiaTheme="minorHAnsi"/>
                <w:color w:val="2C9ADC"/>
                <w:lang w:eastAsia="en-US"/>
              </w:rPr>
            </w:pPr>
            <w:bookmarkStart w:id="44" w:name="RANGE!B2"/>
            <w:bookmarkStart w:id="45" w:name="_Toc416944013"/>
            <w:bookmarkStart w:id="46" w:name="_Toc417646996"/>
            <w:bookmarkStart w:id="47" w:name="_Toc417907432"/>
            <w:bookmarkStart w:id="48" w:name="_Toc449429113"/>
            <w:bookmarkStart w:id="49" w:name="_Toc449430112"/>
            <w:bookmarkStart w:id="50" w:name="_Toc480443992"/>
            <w:bookmarkStart w:id="51" w:name="_Toc480444497"/>
            <w:bookmarkStart w:id="52" w:name="_Toc6314200"/>
            <w:r w:rsidRPr="00BE4732">
              <w:rPr>
                <w:rFonts w:eastAsiaTheme="minorHAnsi"/>
                <w:color w:val="2C9ADC" w:themeColor="accent1"/>
                <w:lang w:eastAsia="en-US"/>
              </w:rPr>
              <w:lastRenderedPageBreak/>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1</w:t>
            </w:r>
            <w:r w:rsidRPr="00BE4732">
              <w:rPr>
                <w:rFonts w:eastAsiaTheme="minorHAnsi"/>
                <w:color w:val="2C9ADC" w:themeColor="accent1"/>
                <w:lang w:eastAsia="en-US"/>
              </w:rPr>
              <w:fldChar w:fldCharType="end"/>
            </w:r>
            <w:r w:rsidRPr="00BE4732">
              <w:rPr>
                <w:rFonts w:eastAsiaTheme="minorHAnsi"/>
                <w:color w:val="2C9ADC" w:themeColor="accent1"/>
                <w:lang w:eastAsia="en-US"/>
              </w:rPr>
              <w:t xml:space="preserve"> - Prognóza </w:t>
            </w:r>
            <w:r w:rsidRPr="001564C8">
              <w:rPr>
                <w:rFonts w:eastAsiaTheme="minorHAnsi"/>
                <w:color w:val="2C9ADC"/>
                <w:lang w:eastAsia="en-US"/>
              </w:rPr>
              <w:t>vybraných indikátorov vývoja ekonomiky SR pre roky 201</w:t>
            </w:r>
            <w:r>
              <w:rPr>
                <w:rFonts w:eastAsiaTheme="minorHAnsi"/>
                <w:color w:val="2C9ADC"/>
                <w:lang w:eastAsia="en-US"/>
              </w:rPr>
              <w:t>9</w:t>
            </w:r>
            <w:r w:rsidRPr="001564C8">
              <w:rPr>
                <w:rFonts w:eastAsiaTheme="minorHAnsi"/>
                <w:color w:val="2C9ADC"/>
                <w:lang w:eastAsia="en-US"/>
              </w:rPr>
              <w:t xml:space="preserve"> až 202</w:t>
            </w:r>
            <w:r>
              <w:rPr>
                <w:rFonts w:eastAsiaTheme="minorHAnsi"/>
                <w:color w:val="2C9ADC"/>
                <w:lang w:eastAsia="en-US"/>
              </w:rPr>
              <w:t>2</w:t>
            </w:r>
            <w:r w:rsidRPr="001564C8">
              <w:rPr>
                <w:rStyle w:val="Odkaznapoznmkupodiarou"/>
                <w:rFonts w:eastAsiaTheme="minorHAnsi"/>
                <w:color w:val="2C9ADC"/>
                <w:lang w:val="sk-SK"/>
              </w:rPr>
              <w:footnoteReference w:id="3"/>
            </w:r>
            <w:bookmarkEnd w:id="44"/>
            <w:bookmarkEnd w:id="45"/>
            <w:bookmarkEnd w:id="46"/>
            <w:bookmarkEnd w:id="47"/>
            <w:bookmarkEnd w:id="48"/>
            <w:bookmarkEnd w:id="49"/>
            <w:bookmarkEnd w:id="50"/>
            <w:bookmarkEnd w:id="51"/>
            <w:bookmarkEnd w:id="52"/>
          </w:p>
        </w:tc>
      </w:tr>
      <w:tr w:rsidR="001A095A" w:rsidRPr="001564C8" w14:paraId="4DEE0A38" w14:textId="77777777" w:rsidTr="00387AE5">
        <w:trPr>
          <w:trHeight w:val="283"/>
          <w:jc w:val="center"/>
        </w:trPr>
        <w:tc>
          <w:tcPr>
            <w:tcW w:w="478" w:type="dxa"/>
            <w:tcBorders>
              <w:top w:val="single" w:sz="8" w:space="0" w:color="auto"/>
              <w:left w:val="nil"/>
              <w:bottom w:val="single" w:sz="6" w:space="0" w:color="auto"/>
              <w:right w:val="nil"/>
            </w:tcBorders>
            <w:shd w:val="clear" w:color="auto" w:fill="auto"/>
            <w:noWrap/>
            <w:vAlign w:val="center"/>
            <w:hideMark/>
          </w:tcPr>
          <w:p w14:paraId="7C53B2F0" w14:textId="77777777" w:rsidR="001A095A" w:rsidRPr="001564C8" w:rsidRDefault="001A095A" w:rsidP="00387AE5">
            <w:pPr>
              <w:jc w:val="center"/>
              <w:rPr>
                <w:rFonts w:cs="Times New Roman"/>
                <w:b/>
                <w:bCs/>
                <w:color w:val="000000"/>
                <w:sz w:val="20"/>
                <w:szCs w:val="20"/>
              </w:rPr>
            </w:pPr>
            <w:r w:rsidRPr="001564C8">
              <w:rPr>
                <w:rFonts w:cs="Arial"/>
                <w:b/>
                <w:bCs/>
                <w:color w:val="000000"/>
                <w:sz w:val="20"/>
                <w:szCs w:val="20"/>
              </w:rPr>
              <w:t>P. č.</w:t>
            </w:r>
          </w:p>
        </w:tc>
        <w:tc>
          <w:tcPr>
            <w:tcW w:w="4533" w:type="dxa"/>
            <w:tcBorders>
              <w:top w:val="single" w:sz="8" w:space="0" w:color="auto"/>
              <w:left w:val="nil"/>
              <w:bottom w:val="single" w:sz="6" w:space="0" w:color="auto"/>
              <w:right w:val="nil"/>
            </w:tcBorders>
            <w:shd w:val="clear" w:color="auto" w:fill="auto"/>
            <w:noWrap/>
            <w:vAlign w:val="center"/>
            <w:hideMark/>
          </w:tcPr>
          <w:p w14:paraId="32049387" w14:textId="77777777" w:rsidR="001A095A" w:rsidRPr="001564C8" w:rsidRDefault="001A095A" w:rsidP="00387AE5">
            <w:pPr>
              <w:jc w:val="center"/>
              <w:rPr>
                <w:rFonts w:cs="Times New Roman"/>
                <w:b/>
                <w:bCs/>
                <w:color w:val="000000"/>
                <w:sz w:val="20"/>
                <w:szCs w:val="20"/>
              </w:rPr>
            </w:pPr>
            <w:r w:rsidRPr="001564C8">
              <w:rPr>
                <w:rFonts w:cs="Arial"/>
                <w:b/>
                <w:bCs/>
                <w:color w:val="000000"/>
                <w:sz w:val="20"/>
                <w:szCs w:val="20"/>
              </w:rPr>
              <w:t>Ukazovateľ</w:t>
            </w:r>
          </w:p>
        </w:tc>
        <w:tc>
          <w:tcPr>
            <w:tcW w:w="878" w:type="dxa"/>
            <w:tcBorders>
              <w:top w:val="single" w:sz="8" w:space="0" w:color="auto"/>
              <w:left w:val="nil"/>
              <w:bottom w:val="single" w:sz="6" w:space="0" w:color="auto"/>
              <w:right w:val="nil"/>
            </w:tcBorders>
            <w:shd w:val="clear" w:color="auto" w:fill="auto"/>
            <w:noWrap/>
            <w:vAlign w:val="center"/>
            <w:hideMark/>
          </w:tcPr>
          <w:p w14:paraId="749C8312" w14:textId="77777777" w:rsidR="001A095A" w:rsidRPr="001564C8" w:rsidRDefault="001A095A" w:rsidP="00387AE5">
            <w:pPr>
              <w:jc w:val="center"/>
              <w:rPr>
                <w:rFonts w:cs="Times New Roman"/>
                <w:b/>
                <w:bCs/>
                <w:color w:val="000000"/>
                <w:sz w:val="20"/>
                <w:szCs w:val="20"/>
              </w:rPr>
            </w:pPr>
            <w:r w:rsidRPr="001564C8">
              <w:rPr>
                <w:rFonts w:cs="Arial"/>
                <w:b/>
                <w:bCs/>
                <w:color w:val="000000"/>
                <w:sz w:val="20"/>
                <w:szCs w:val="20"/>
              </w:rPr>
              <w:t> </w:t>
            </w:r>
          </w:p>
        </w:tc>
        <w:tc>
          <w:tcPr>
            <w:tcW w:w="1096" w:type="dxa"/>
            <w:gridSpan w:val="2"/>
            <w:tcBorders>
              <w:top w:val="single" w:sz="8" w:space="0" w:color="auto"/>
              <w:left w:val="nil"/>
              <w:bottom w:val="single" w:sz="6" w:space="0" w:color="auto"/>
              <w:right w:val="nil"/>
            </w:tcBorders>
            <w:shd w:val="clear" w:color="auto" w:fill="auto"/>
            <w:noWrap/>
            <w:vAlign w:val="center"/>
            <w:hideMark/>
          </w:tcPr>
          <w:p w14:paraId="335D525C" w14:textId="77777777" w:rsidR="001A095A" w:rsidRPr="001564C8" w:rsidRDefault="001A095A" w:rsidP="00387AE5">
            <w:pPr>
              <w:jc w:val="center"/>
              <w:rPr>
                <w:rFonts w:cs="Times New Roman"/>
                <w:b/>
                <w:bCs/>
                <w:color w:val="000000"/>
                <w:sz w:val="20"/>
                <w:szCs w:val="20"/>
              </w:rPr>
            </w:pPr>
            <w:r w:rsidRPr="001564C8">
              <w:rPr>
                <w:rFonts w:cs="Arial"/>
                <w:b/>
                <w:bCs/>
                <w:color w:val="000000"/>
                <w:sz w:val="20"/>
                <w:szCs w:val="20"/>
              </w:rPr>
              <w:t>Skutočnosť</w:t>
            </w:r>
          </w:p>
        </w:tc>
        <w:tc>
          <w:tcPr>
            <w:tcW w:w="2176" w:type="dxa"/>
            <w:gridSpan w:val="4"/>
            <w:tcBorders>
              <w:top w:val="single" w:sz="8" w:space="0" w:color="auto"/>
              <w:left w:val="nil"/>
              <w:bottom w:val="single" w:sz="6" w:space="0" w:color="auto"/>
              <w:right w:val="nil"/>
            </w:tcBorders>
            <w:shd w:val="clear" w:color="auto" w:fill="auto"/>
            <w:noWrap/>
            <w:vAlign w:val="center"/>
            <w:hideMark/>
          </w:tcPr>
          <w:p w14:paraId="1E2D60FA" w14:textId="77777777" w:rsidR="001A095A" w:rsidRPr="001564C8" w:rsidRDefault="001A095A" w:rsidP="00387AE5">
            <w:pPr>
              <w:jc w:val="center"/>
              <w:rPr>
                <w:rFonts w:cs="Times New Roman"/>
                <w:b/>
                <w:bCs/>
                <w:color w:val="000000"/>
                <w:sz w:val="20"/>
                <w:szCs w:val="20"/>
              </w:rPr>
            </w:pPr>
            <w:r w:rsidRPr="001564C8">
              <w:rPr>
                <w:rFonts w:cs="Arial"/>
                <w:b/>
                <w:bCs/>
                <w:color w:val="000000"/>
                <w:sz w:val="20"/>
                <w:szCs w:val="20"/>
              </w:rPr>
              <w:t>Prognóza</w:t>
            </w:r>
          </w:p>
        </w:tc>
      </w:tr>
      <w:tr w:rsidR="001A095A" w:rsidRPr="001564C8" w14:paraId="0C0D0F29" w14:textId="77777777" w:rsidTr="00387AE5">
        <w:trPr>
          <w:trHeight w:val="283"/>
          <w:jc w:val="center"/>
        </w:trPr>
        <w:tc>
          <w:tcPr>
            <w:tcW w:w="478" w:type="dxa"/>
            <w:tcBorders>
              <w:top w:val="single" w:sz="6" w:space="0" w:color="auto"/>
              <w:left w:val="nil"/>
              <w:bottom w:val="single" w:sz="6" w:space="0" w:color="auto"/>
              <w:right w:val="nil"/>
            </w:tcBorders>
            <w:shd w:val="clear" w:color="auto" w:fill="auto"/>
            <w:noWrap/>
            <w:vAlign w:val="center"/>
            <w:hideMark/>
          </w:tcPr>
          <w:p w14:paraId="400AF769" w14:textId="77777777" w:rsidR="001A095A" w:rsidRPr="001564C8" w:rsidRDefault="001A095A" w:rsidP="00387AE5">
            <w:pPr>
              <w:jc w:val="center"/>
              <w:rPr>
                <w:rFonts w:cs="Times New Roman"/>
                <w:b/>
                <w:bCs/>
                <w:color w:val="000000"/>
                <w:sz w:val="20"/>
                <w:szCs w:val="20"/>
              </w:rPr>
            </w:pPr>
            <w:r w:rsidRPr="001564C8">
              <w:rPr>
                <w:rFonts w:cs="Times New Roman"/>
                <w:b/>
                <w:bCs/>
                <w:color w:val="000000"/>
                <w:sz w:val="20"/>
                <w:szCs w:val="20"/>
              </w:rPr>
              <w:t> </w:t>
            </w:r>
          </w:p>
        </w:tc>
        <w:tc>
          <w:tcPr>
            <w:tcW w:w="4533" w:type="dxa"/>
            <w:tcBorders>
              <w:top w:val="single" w:sz="6" w:space="0" w:color="auto"/>
              <w:left w:val="nil"/>
              <w:bottom w:val="single" w:sz="6" w:space="0" w:color="auto"/>
              <w:right w:val="nil"/>
            </w:tcBorders>
            <w:shd w:val="clear" w:color="auto" w:fill="auto"/>
            <w:noWrap/>
            <w:vAlign w:val="center"/>
            <w:hideMark/>
          </w:tcPr>
          <w:p w14:paraId="7FC254A7" w14:textId="77777777" w:rsidR="001A095A" w:rsidRPr="001564C8" w:rsidRDefault="001A095A" w:rsidP="00387AE5">
            <w:pPr>
              <w:jc w:val="center"/>
              <w:rPr>
                <w:rFonts w:cs="Times New Roman"/>
                <w:b/>
                <w:bCs/>
                <w:color w:val="000000"/>
                <w:sz w:val="20"/>
                <w:szCs w:val="20"/>
              </w:rPr>
            </w:pPr>
            <w:r w:rsidRPr="001564C8">
              <w:rPr>
                <w:rFonts w:cs="Times New Roman"/>
                <w:b/>
                <w:bCs/>
                <w:color w:val="000000"/>
                <w:sz w:val="20"/>
                <w:szCs w:val="20"/>
              </w:rPr>
              <w:t> </w:t>
            </w:r>
          </w:p>
        </w:tc>
        <w:tc>
          <w:tcPr>
            <w:tcW w:w="878" w:type="dxa"/>
            <w:tcBorders>
              <w:top w:val="single" w:sz="6" w:space="0" w:color="auto"/>
              <w:left w:val="nil"/>
              <w:bottom w:val="single" w:sz="6" w:space="0" w:color="auto"/>
              <w:right w:val="nil"/>
            </w:tcBorders>
            <w:shd w:val="clear" w:color="auto" w:fill="auto"/>
            <w:noWrap/>
            <w:vAlign w:val="center"/>
            <w:hideMark/>
          </w:tcPr>
          <w:p w14:paraId="5D367EE1" w14:textId="77777777" w:rsidR="001A095A" w:rsidRPr="001564C8" w:rsidRDefault="001A095A" w:rsidP="00387AE5">
            <w:pPr>
              <w:jc w:val="center"/>
              <w:rPr>
                <w:rFonts w:cs="Times New Roman"/>
                <w:b/>
                <w:bCs/>
                <w:color w:val="000000"/>
                <w:sz w:val="20"/>
                <w:szCs w:val="20"/>
              </w:rPr>
            </w:pPr>
            <w:r w:rsidRPr="001564C8">
              <w:rPr>
                <w:rFonts w:cs="Arial"/>
                <w:b/>
                <w:bCs/>
                <w:color w:val="000000"/>
                <w:sz w:val="20"/>
                <w:szCs w:val="20"/>
              </w:rPr>
              <w:t>m. j.</w:t>
            </w:r>
          </w:p>
        </w:tc>
        <w:tc>
          <w:tcPr>
            <w:tcW w:w="548" w:type="dxa"/>
            <w:tcBorders>
              <w:top w:val="single" w:sz="6" w:space="0" w:color="auto"/>
              <w:left w:val="nil"/>
              <w:bottom w:val="single" w:sz="6" w:space="0" w:color="auto"/>
              <w:right w:val="nil"/>
            </w:tcBorders>
            <w:shd w:val="clear" w:color="auto" w:fill="auto"/>
            <w:noWrap/>
            <w:vAlign w:val="center"/>
            <w:hideMark/>
          </w:tcPr>
          <w:p w14:paraId="0EAE7374" w14:textId="77777777" w:rsidR="001A095A" w:rsidRPr="001564C8" w:rsidRDefault="001A095A" w:rsidP="00387AE5">
            <w:pPr>
              <w:jc w:val="center"/>
              <w:rPr>
                <w:b/>
                <w:bCs/>
                <w:color w:val="000000"/>
                <w:sz w:val="20"/>
                <w:szCs w:val="18"/>
              </w:rPr>
            </w:pPr>
            <w:r w:rsidRPr="001564C8">
              <w:rPr>
                <w:b/>
                <w:bCs/>
                <w:color w:val="000000"/>
                <w:sz w:val="20"/>
                <w:szCs w:val="18"/>
              </w:rPr>
              <w:t>2017</w:t>
            </w:r>
          </w:p>
        </w:tc>
        <w:tc>
          <w:tcPr>
            <w:tcW w:w="548" w:type="dxa"/>
            <w:tcBorders>
              <w:top w:val="single" w:sz="6" w:space="0" w:color="auto"/>
              <w:left w:val="nil"/>
              <w:bottom w:val="single" w:sz="6" w:space="0" w:color="auto"/>
              <w:right w:val="nil"/>
            </w:tcBorders>
            <w:shd w:val="clear" w:color="auto" w:fill="auto"/>
            <w:noWrap/>
            <w:vAlign w:val="center"/>
            <w:hideMark/>
          </w:tcPr>
          <w:p w14:paraId="558FEA54" w14:textId="77777777" w:rsidR="001A095A" w:rsidRPr="001564C8" w:rsidRDefault="001A095A" w:rsidP="00387AE5">
            <w:pPr>
              <w:jc w:val="center"/>
              <w:rPr>
                <w:b/>
                <w:bCs/>
                <w:color w:val="000000"/>
                <w:sz w:val="20"/>
                <w:szCs w:val="18"/>
              </w:rPr>
            </w:pPr>
            <w:r w:rsidRPr="001564C8">
              <w:rPr>
                <w:b/>
                <w:bCs/>
                <w:color w:val="000000"/>
                <w:sz w:val="20"/>
                <w:szCs w:val="18"/>
              </w:rPr>
              <w:t>2018</w:t>
            </w:r>
          </w:p>
        </w:tc>
        <w:tc>
          <w:tcPr>
            <w:tcW w:w="523" w:type="dxa"/>
            <w:tcBorders>
              <w:top w:val="single" w:sz="6" w:space="0" w:color="auto"/>
              <w:left w:val="nil"/>
              <w:bottom w:val="single" w:sz="6" w:space="0" w:color="auto"/>
              <w:right w:val="nil"/>
            </w:tcBorders>
            <w:shd w:val="clear" w:color="auto" w:fill="auto"/>
            <w:noWrap/>
            <w:vAlign w:val="center"/>
            <w:hideMark/>
          </w:tcPr>
          <w:p w14:paraId="0D1D7368" w14:textId="77777777" w:rsidR="001A095A" w:rsidRPr="001564C8" w:rsidRDefault="001A095A" w:rsidP="00387AE5">
            <w:pPr>
              <w:jc w:val="center"/>
              <w:rPr>
                <w:b/>
                <w:bCs/>
                <w:color w:val="000000"/>
                <w:sz w:val="20"/>
                <w:szCs w:val="18"/>
              </w:rPr>
            </w:pPr>
            <w:r w:rsidRPr="001564C8">
              <w:rPr>
                <w:b/>
                <w:bCs/>
                <w:color w:val="000000"/>
                <w:sz w:val="20"/>
                <w:szCs w:val="18"/>
              </w:rPr>
              <w:t>2019</w:t>
            </w:r>
          </w:p>
        </w:tc>
        <w:tc>
          <w:tcPr>
            <w:tcW w:w="551" w:type="dxa"/>
            <w:tcBorders>
              <w:top w:val="single" w:sz="6" w:space="0" w:color="auto"/>
              <w:left w:val="nil"/>
              <w:bottom w:val="single" w:sz="6" w:space="0" w:color="auto"/>
              <w:right w:val="nil"/>
            </w:tcBorders>
            <w:shd w:val="clear" w:color="auto" w:fill="auto"/>
            <w:noWrap/>
            <w:vAlign w:val="center"/>
            <w:hideMark/>
          </w:tcPr>
          <w:p w14:paraId="3DE11CEC" w14:textId="77777777" w:rsidR="001A095A" w:rsidRPr="001564C8" w:rsidRDefault="001A095A" w:rsidP="00387AE5">
            <w:pPr>
              <w:jc w:val="center"/>
              <w:rPr>
                <w:b/>
                <w:bCs/>
                <w:color w:val="000000"/>
                <w:sz w:val="20"/>
                <w:szCs w:val="18"/>
              </w:rPr>
            </w:pPr>
            <w:r w:rsidRPr="001564C8">
              <w:rPr>
                <w:b/>
                <w:bCs/>
                <w:color w:val="000000"/>
                <w:sz w:val="20"/>
                <w:szCs w:val="18"/>
              </w:rPr>
              <w:t>2020</w:t>
            </w:r>
          </w:p>
        </w:tc>
        <w:tc>
          <w:tcPr>
            <w:tcW w:w="551" w:type="dxa"/>
            <w:tcBorders>
              <w:top w:val="single" w:sz="6" w:space="0" w:color="auto"/>
              <w:left w:val="nil"/>
              <w:bottom w:val="single" w:sz="6" w:space="0" w:color="auto"/>
              <w:right w:val="nil"/>
            </w:tcBorders>
            <w:shd w:val="clear" w:color="auto" w:fill="auto"/>
            <w:noWrap/>
            <w:vAlign w:val="center"/>
            <w:hideMark/>
          </w:tcPr>
          <w:p w14:paraId="001F4FCC" w14:textId="77777777" w:rsidR="001A095A" w:rsidRPr="001564C8" w:rsidRDefault="001A095A" w:rsidP="00387AE5">
            <w:pPr>
              <w:jc w:val="center"/>
              <w:rPr>
                <w:b/>
                <w:bCs/>
                <w:color w:val="000000"/>
                <w:sz w:val="20"/>
                <w:szCs w:val="18"/>
              </w:rPr>
            </w:pPr>
            <w:r w:rsidRPr="001564C8">
              <w:rPr>
                <w:b/>
                <w:bCs/>
                <w:color w:val="000000"/>
                <w:sz w:val="20"/>
                <w:szCs w:val="18"/>
              </w:rPr>
              <w:t>2021</w:t>
            </w:r>
          </w:p>
        </w:tc>
        <w:tc>
          <w:tcPr>
            <w:tcW w:w="551" w:type="dxa"/>
            <w:tcBorders>
              <w:top w:val="single" w:sz="6" w:space="0" w:color="auto"/>
              <w:left w:val="nil"/>
              <w:bottom w:val="single" w:sz="6" w:space="0" w:color="auto"/>
              <w:right w:val="nil"/>
            </w:tcBorders>
            <w:shd w:val="clear" w:color="auto" w:fill="auto"/>
            <w:noWrap/>
            <w:vAlign w:val="center"/>
            <w:hideMark/>
          </w:tcPr>
          <w:p w14:paraId="4C44F237" w14:textId="77777777" w:rsidR="001A095A" w:rsidRPr="001564C8" w:rsidRDefault="001A095A" w:rsidP="00387AE5">
            <w:pPr>
              <w:jc w:val="center"/>
              <w:rPr>
                <w:b/>
                <w:bCs/>
                <w:color w:val="000000"/>
                <w:sz w:val="20"/>
                <w:szCs w:val="18"/>
              </w:rPr>
            </w:pPr>
            <w:r w:rsidRPr="001564C8">
              <w:rPr>
                <w:b/>
                <w:bCs/>
                <w:color w:val="000000"/>
                <w:sz w:val="20"/>
                <w:szCs w:val="18"/>
              </w:rPr>
              <w:t>2022</w:t>
            </w:r>
          </w:p>
        </w:tc>
      </w:tr>
      <w:tr w:rsidR="001A095A" w:rsidRPr="001564C8" w14:paraId="4B060B01" w14:textId="77777777" w:rsidTr="00387AE5">
        <w:trPr>
          <w:trHeight w:val="272"/>
          <w:jc w:val="center"/>
        </w:trPr>
        <w:tc>
          <w:tcPr>
            <w:tcW w:w="478" w:type="dxa"/>
            <w:tcBorders>
              <w:top w:val="single" w:sz="6" w:space="0" w:color="auto"/>
              <w:left w:val="nil"/>
              <w:bottom w:val="nil"/>
              <w:right w:val="nil"/>
            </w:tcBorders>
            <w:shd w:val="clear" w:color="auto" w:fill="auto"/>
            <w:noWrap/>
            <w:vAlign w:val="center"/>
            <w:hideMark/>
          </w:tcPr>
          <w:p w14:paraId="6C0B5E53"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w:t>
            </w:r>
          </w:p>
        </w:tc>
        <w:tc>
          <w:tcPr>
            <w:tcW w:w="4533" w:type="dxa"/>
            <w:tcBorders>
              <w:top w:val="single" w:sz="6" w:space="0" w:color="auto"/>
              <w:left w:val="nil"/>
              <w:bottom w:val="nil"/>
              <w:right w:val="nil"/>
            </w:tcBorders>
            <w:shd w:val="clear" w:color="auto" w:fill="auto"/>
            <w:noWrap/>
            <w:vAlign w:val="center"/>
            <w:hideMark/>
          </w:tcPr>
          <w:p w14:paraId="0B2E8C78" w14:textId="77777777" w:rsidR="001A095A" w:rsidRPr="001564C8" w:rsidRDefault="001A095A" w:rsidP="00387AE5">
            <w:pPr>
              <w:rPr>
                <w:rFonts w:cs="Times New Roman"/>
                <w:color w:val="000000"/>
                <w:sz w:val="20"/>
                <w:szCs w:val="20"/>
              </w:rPr>
            </w:pPr>
            <w:r w:rsidRPr="001564C8">
              <w:rPr>
                <w:rFonts w:cs="Arial"/>
                <w:color w:val="000000"/>
                <w:sz w:val="20"/>
                <w:szCs w:val="20"/>
              </w:rPr>
              <w:t>HDP, bežné ceny*</w:t>
            </w:r>
          </w:p>
        </w:tc>
        <w:tc>
          <w:tcPr>
            <w:tcW w:w="878" w:type="dxa"/>
            <w:tcBorders>
              <w:top w:val="single" w:sz="6" w:space="0" w:color="auto"/>
              <w:left w:val="nil"/>
              <w:bottom w:val="nil"/>
              <w:right w:val="nil"/>
            </w:tcBorders>
            <w:shd w:val="clear" w:color="auto" w:fill="auto"/>
            <w:noWrap/>
            <w:vAlign w:val="center"/>
            <w:hideMark/>
          </w:tcPr>
          <w:p w14:paraId="13CF83E1"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mld. eur</w:t>
            </w:r>
          </w:p>
        </w:tc>
        <w:tc>
          <w:tcPr>
            <w:tcW w:w="548" w:type="dxa"/>
            <w:tcBorders>
              <w:top w:val="single" w:sz="6" w:space="0" w:color="auto"/>
              <w:left w:val="nil"/>
              <w:bottom w:val="nil"/>
              <w:right w:val="nil"/>
            </w:tcBorders>
            <w:shd w:val="clear" w:color="auto" w:fill="auto"/>
            <w:noWrap/>
            <w:vAlign w:val="center"/>
            <w:hideMark/>
          </w:tcPr>
          <w:p w14:paraId="1B030FA1" w14:textId="77777777" w:rsidR="001A095A" w:rsidRPr="001564C8" w:rsidRDefault="001A095A" w:rsidP="00387AE5">
            <w:pPr>
              <w:jc w:val="center"/>
              <w:rPr>
                <w:bCs/>
                <w:color w:val="000000"/>
                <w:sz w:val="20"/>
                <w:szCs w:val="18"/>
              </w:rPr>
            </w:pPr>
            <w:r w:rsidRPr="00D40EAF">
              <w:rPr>
                <w:bCs/>
                <w:color w:val="000000"/>
                <w:sz w:val="20"/>
                <w:szCs w:val="18"/>
              </w:rPr>
              <w:t>84</w:t>
            </w:r>
            <w:r>
              <w:rPr>
                <w:bCs/>
                <w:color w:val="000000"/>
                <w:sz w:val="20"/>
                <w:szCs w:val="18"/>
              </w:rPr>
              <w:t>,</w:t>
            </w:r>
            <w:r w:rsidRPr="00D40EAF">
              <w:rPr>
                <w:bCs/>
                <w:color w:val="000000"/>
                <w:sz w:val="20"/>
                <w:szCs w:val="18"/>
              </w:rPr>
              <w:t>9</w:t>
            </w:r>
          </w:p>
        </w:tc>
        <w:tc>
          <w:tcPr>
            <w:tcW w:w="548" w:type="dxa"/>
            <w:tcBorders>
              <w:top w:val="single" w:sz="6" w:space="0" w:color="auto"/>
              <w:left w:val="nil"/>
              <w:bottom w:val="nil"/>
              <w:right w:val="nil"/>
            </w:tcBorders>
            <w:shd w:val="clear" w:color="auto" w:fill="auto"/>
            <w:noWrap/>
            <w:vAlign w:val="center"/>
            <w:hideMark/>
          </w:tcPr>
          <w:p w14:paraId="5F7B5280" w14:textId="77777777" w:rsidR="001A095A" w:rsidRPr="00D40EAF" w:rsidRDefault="001A095A" w:rsidP="00387AE5">
            <w:pPr>
              <w:jc w:val="center"/>
              <w:rPr>
                <w:bCs/>
                <w:color w:val="000000"/>
                <w:sz w:val="20"/>
                <w:szCs w:val="18"/>
              </w:rPr>
            </w:pPr>
            <w:r>
              <w:rPr>
                <w:bCs/>
                <w:color w:val="000000"/>
                <w:sz w:val="20"/>
                <w:szCs w:val="18"/>
              </w:rPr>
              <w:t>90,</w:t>
            </w:r>
            <w:r w:rsidRPr="00D40EAF">
              <w:rPr>
                <w:bCs/>
                <w:color w:val="000000"/>
                <w:sz w:val="20"/>
                <w:szCs w:val="18"/>
              </w:rPr>
              <w:t>2</w:t>
            </w:r>
          </w:p>
        </w:tc>
        <w:tc>
          <w:tcPr>
            <w:tcW w:w="523" w:type="dxa"/>
            <w:tcBorders>
              <w:top w:val="single" w:sz="6" w:space="0" w:color="auto"/>
              <w:left w:val="nil"/>
              <w:bottom w:val="nil"/>
              <w:right w:val="nil"/>
            </w:tcBorders>
            <w:shd w:val="clear" w:color="auto" w:fill="auto"/>
            <w:noWrap/>
            <w:vAlign w:val="center"/>
            <w:hideMark/>
          </w:tcPr>
          <w:p w14:paraId="1918EF7D" w14:textId="77777777" w:rsidR="001A095A" w:rsidRPr="000F3CB8" w:rsidRDefault="001A095A" w:rsidP="00387AE5">
            <w:pPr>
              <w:jc w:val="center"/>
              <w:rPr>
                <w:bCs/>
                <w:color w:val="000000"/>
                <w:sz w:val="20"/>
                <w:szCs w:val="18"/>
              </w:rPr>
            </w:pPr>
            <w:r w:rsidRPr="000F3CB8">
              <w:rPr>
                <w:bCs/>
                <w:color w:val="000000"/>
                <w:sz w:val="20"/>
                <w:szCs w:val="18"/>
              </w:rPr>
              <w:t>96,3</w:t>
            </w:r>
          </w:p>
        </w:tc>
        <w:tc>
          <w:tcPr>
            <w:tcW w:w="551" w:type="dxa"/>
            <w:tcBorders>
              <w:top w:val="single" w:sz="6" w:space="0" w:color="auto"/>
              <w:left w:val="nil"/>
              <w:bottom w:val="nil"/>
              <w:right w:val="nil"/>
            </w:tcBorders>
            <w:shd w:val="clear" w:color="auto" w:fill="auto"/>
            <w:noWrap/>
            <w:vAlign w:val="center"/>
            <w:hideMark/>
          </w:tcPr>
          <w:p w14:paraId="6CA852F8" w14:textId="77777777" w:rsidR="001A095A" w:rsidRPr="000F3CB8" w:rsidRDefault="001A095A" w:rsidP="00387AE5">
            <w:pPr>
              <w:jc w:val="center"/>
              <w:rPr>
                <w:bCs/>
                <w:color w:val="000000"/>
                <w:sz w:val="20"/>
                <w:szCs w:val="18"/>
              </w:rPr>
            </w:pPr>
            <w:r w:rsidRPr="000F3CB8">
              <w:rPr>
                <w:bCs/>
                <w:color w:val="000000"/>
                <w:sz w:val="20"/>
                <w:szCs w:val="18"/>
              </w:rPr>
              <w:t>102,2</w:t>
            </w:r>
          </w:p>
        </w:tc>
        <w:tc>
          <w:tcPr>
            <w:tcW w:w="551" w:type="dxa"/>
            <w:tcBorders>
              <w:top w:val="single" w:sz="6" w:space="0" w:color="auto"/>
              <w:left w:val="nil"/>
              <w:bottom w:val="nil"/>
              <w:right w:val="nil"/>
            </w:tcBorders>
            <w:shd w:val="clear" w:color="auto" w:fill="auto"/>
            <w:noWrap/>
            <w:vAlign w:val="center"/>
            <w:hideMark/>
          </w:tcPr>
          <w:p w14:paraId="1083D5A7" w14:textId="77777777" w:rsidR="001A095A" w:rsidRPr="000F3CB8" w:rsidRDefault="001A095A" w:rsidP="00387AE5">
            <w:pPr>
              <w:jc w:val="center"/>
              <w:rPr>
                <w:bCs/>
                <w:color w:val="000000"/>
                <w:sz w:val="20"/>
                <w:szCs w:val="18"/>
              </w:rPr>
            </w:pPr>
            <w:r w:rsidRPr="000F3CB8">
              <w:rPr>
                <w:bCs/>
                <w:color w:val="000000"/>
                <w:sz w:val="20"/>
                <w:szCs w:val="18"/>
              </w:rPr>
              <w:t>108,0</w:t>
            </w:r>
          </w:p>
        </w:tc>
        <w:tc>
          <w:tcPr>
            <w:tcW w:w="551" w:type="dxa"/>
            <w:tcBorders>
              <w:top w:val="single" w:sz="6" w:space="0" w:color="auto"/>
              <w:left w:val="nil"/>
              <w:bottom w:val="nil"/>
              <w:right w:val="nil"/>
            </w:tcBorders>
            <w:shd w:val="clear" w:color="auto" w:fill="auto"/>
            <w:noWrap/>
            <w:vAlign w:val="center"/>
            <w:hideMark/>
          </w:tcPr>
          <w:p w14:paraId="2CA82E54" w14:textId="77777777" w:rsidR="001A095A" w:rsidRPr="000F3CB8" w:rsidRDefault="001A095A" w:rsidP="00387AE5">
            <w:pPr>
              <w:jc w:val="center"/>
              <w:rPr>
                <w:bCs/>
                <w:color w:val="000000"/>
                <w:sz w:val="20"/>
                <w:szCs w:val="18"/>
              </w:rPr>
            </w:pPr>
            <w:r w:rsidRPr="000F3CB8">
              <w:rPr>
                <w:bCs/>
                <w:color w:val="000000"/>
                <w:sz w:val="20"/>
                <w:szCs w:val="18"/>
              </w:rPr>
              <w:t>113,4</w:t>
            </w:r>
          </w:p>
        </w:tc>
      </w:tr>
      <w:tr w:rsidR="001A095A" w:rsidRPr="001564C8" w14:paraId="62784039"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41E111EF"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2</w:t>
            </w:r>
          </w:p>
        </w:tc>
        <w:tc>
          <w:tcPr>
            <w:tcW w:w="4533" w:type="dxa"/>
            <w:tcBorders>
              <w:top w:val="nil"/>
              <w:left w:val="nil"/>
              <w:bottom w:val="nil"/>
              <w:right w:val="nil"/>
            </w:tcBorders>
            <w:shd w:val="clear" w:color="auto" w:fill="auto"/>
            <w:noWrap/>
            <w:vAlign w:val="center"/>
            <w:hideMark/>
          </w:tcPr>
          <w:p w14:paraId="7279DF3A" w14:textId="77777777" w:rsidR="001A095A" w:rsidRPr="001564C8" w:rsidRDefault="001A095A" w:rsidP="00387AE5">
            <w:pPr>
              <w:rPr>
                <w:rFonts w:cs="Times New Roman"/>
                <w:color w:val="000000"/>
                <w:sz w:val="20"/>
                <w:szCs w:val="20"/>
              </w:rPr>
            </w:pPr>
            <w:r w:rsidRPr="001564C8">
              <w:rPr>
                <w:rFonts w:cs="Arial"/>
                <w:color w:val="000000"/>
                <w:sz w:val="20"/>
                <w:szCs w:val="20"/>
              </w:rPr>
              <w:t>HDP, stále ceny</w:t>
            </w:r>
          </w:p>
        </w:tc>
        <w:tc>
          <w:tcPr>
            <w:tcW w:w="878" w:type="dxa"/>
            <w:tcBorders>
              <w:top w:val="nil"/>
              <w:left w:val="nil"/>
              <w:bottom w:val="nil"/>
              <w:right w:val="nil"/>
            </w:tcBorders>
            <w:shd w:val="clear" w:color="auto" w:fill="auto"/>
            <w:noWrap/>
            <w:vAlign w:val="center"/>
            <w:hideMark/>
          </w:tcPr>
          <w:p w14:paraId="4875B95E"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67552A61" w14:textId="77777777" w:rsidR="001A095A" w:rsidRPr="001564C8" w:rsidRDefault="001A095A" w:rsidP="00387AE5">
            <w:pPr>
              <w:jc w:val="center"/>
              <w:rPr>
                <w:bCs/>
                <w:color w:val="000000"/>
                <w:sz w:val="20"/>
                <w:szCs w:val="18"/>
              </w:rPr>
            </w:pPr>
            <w:r w:rsidRPr="00D40EAF">
              <w:rPr>
                <w:bCs/>
                <w:color w:val="000000"/>
                <w:sz w:val="20"/>
                <w:szCs w:val="18"/>
              </w:rPr>
              <w:t>3</w:t>
            </w:r>
            <w:r>
              <w:rPr>
                <w:bCs/>
                <w:color w:val="000000"/>
                <w:sz w:val="20"/>
                <w:szCs w:val="18"/>
              </w:rPr>
              <w:t>,</w:t>
            </w:r>
            <w:r w:rsidRPr="00D40EAF">
              <w:rPr>
                <w:bCs/>
                <w:color w:val="000000"/>
                <w:sz w:val="20"/>
                <w:szCs w:val="18"/>
              </w:rPr>
              <w:t>2</w:t>
            </w:r>
          </w:p>
        </w:tc>
        <w:tc>
          <w:tcPr>
            <w:tcW w:w="548" w:type="dxa"/>
            <w:tcBorders>
              <w:top w:val="nil"/>
              <w:left w:val="nil"/>
              <w:bottom w:val="nil"/>
              <w:right w:val="nil"/>
            </w:tcBorders>
            <w:shd w:val="clear" w:color="auto" w:fill="auto"/>
            <w:noWrap/>
            <w:vAlign w:val="center"/>
            <w:hideMark/>
          </w:tcPr>
          <w:p w14:paraId="4947C645" w14:textId="77777777" w:rsidR="001A095A" w:rsidRPr="00D40EAF" w:rsidRDefault="001A095A" w:rsidP="00387AE5">
            <w:pPr>
              <w:jc w:val="center"/>
              <w:rPr>
                <w:bCs/>
                <w:color w:val="000000"/>
                <w:sz w:val="20"/>
                <w:szCs w:val="18"/>
              </w:rPr>
            </w:pPr>
            <w:r>
              <w:rPr>
                <w:bCs/>
                <w:color w:val="000000"/>
                <w:sz w:val="20"/>
                <w:szCs w:val="18"/>
              </w:rPr>
              <w:t>4,</w:t>
            </w:r>
            <w:r w:rsidRPr="00D40EAF">
              <w:rPr>
                <w:bCs/>
                <w:color w:val="000000"/>
                <w:sz w:val="20"/>
                <w:szCs w:val="18"/>
              </w:rPr>
              <w:t>1</w:t>
            </w:r>
          </w:p>
        </w:tc>
        <w:tc>
          <w:tcPr>
            <w:tcW w:w="523" w:type="dxa"/>
            <w:tcBorders>
              <w:top w:val="nil"/>
              <w:left w:val="nil"/>
              <w:bottom w:val="nil"/>
              <w:right w:val="nil"/>
            </w:tcBorders>
            <w:shd w:val="clear" w:color="auto" w:fill="auto"/>
            <w:noWrap/>
            <w:vAlign w:val="center"/>
            <w:hideMark/>
          </w:tcPr>
          <w:p w14:paraId="618E28A5" w14:textId="77777777" w:rsidR="001A095A" w:rsidRPr="001564C8" w:rsidRDefault="001A095A" w:rsidP="00387AE5">
            <w:pPr>
              <w:jc w:val="center"/>
              <w:rPr>
                <w:bCs/>
                <w:color w:val="000000"/>
                <w:sz w:val="20"/>
                <w:szCs w:val="18"/>
              </w:rPr>
            </w:pPr>
            <w:r w:rsidRPr="001564C8">
              <w:rPr>
                <w:bCs/>
                <w:color w:val="000000"/>
                <w:sz w:val="20"/>
                <w:szCs w:val="18"/>
              </w:rPr>
              <w:t>4,0</w:t>
            </w:r>
          </w:p>
        </w:tc>
        <w:tc>
          <w:tcPr>
            <w:tcW w:w="551" w:type="dxa"/>
            <w:tcBorders>
              <w:top w:val="nil"/>
              <w:left w:val="nil"/>
              <w:bottom w:val="nil"/>
              <w:right w:val="nil"/>
            </w:tcBorders>
            <w:shd w:val="clear" w:color="auto" w:fill="auto"/>
            <w:noWrap/>
            <w:vAlign w:val="center"/>
            <w:hideMark/>
          </w:tcPr>
          <w:p w14:paraId="25BA2B25" w14:textId="77777777" w:rsidR="001A095A" w:rsidRPr="001564C8" w:rsidRDefault="001A095A" w:rsidP="00387AE5">
            <w:pPr>
              <w:jc w:val="center"/>
              <w:rPr>
                <w:bCs/>
                <w:color w:val="000000"/>
                <w:sz w:val="20"/>
                <w:szCs w:val="18"/>
              </w:rPr>
            </w:pPr>
            <w:r w:rsidRPr="001564C8">
              <w:rPr>
                <w:bCs/>
                <w:color w:val="000000"/>
                <w:sz w:val="20"/>
                <w:szCs w:val="18"/>
              </w:rPr>
              <w:t>3,7</w:t>
            </w:r>
          </w:p>
        </w:tc>
        <w:tc>
          <w:tcPr>
            <w:tcW w:w="551" w:type="dxa"/>
            <w:tcBorders>
              <w:top w:val="nil"/>
              <w:left w:val="nil"/>
              <w:bottom w:val="nil"/>
              <w:right w:val="nil"/>
            </w:tcBorders>
            <w:shd w:val="clear" w:color="auto" w:fill="auto"/>
            <w:noWrap/>
            <w:vAlign w:val="center"/>
            <w:hideMark/>
          </w:tcPr>
          <w:p w14:paraId="7215DED0" w14:textId="77777777" w:rsidR="001A095A" w:rsidRPr="001564C8" w:rsidRDefault="001A095A" w:rsidP="00387AE5">
            <w:pPr>
              <w:jc w:val="center"/>
              <w:rPr>
                <w:bCs/>
                <w:color w:val="000000"/>
                <w:sz w:val="20"/>
                <w:szCs w:val="18"/>
              </w:rPr>
            </w:pPr>
            <w:r w:rsidRPr="001564C8">
              <w:rPr>
                <w:bCs/>
                <w:color w:val="000000"/>
                <w:sz w:val="20"/>
                <w:szCs w:val="18"/>
              </w:rPr>
              <w:t>3,2</w:t>
            </w:r>
          </w:p>
        </w:tc>
        <w:tc>
          <w:tcPr>
            <w:tcW w:w="551" w:type="dxa"/>
            <w:tcBorders>
              <w:top w:val="nil"/>
              <w:left w:val="nil"/>
              <w:bottom w:val="nil"/>
              <w:right w:val="nil"/>
            </w:tcBorders>
            <w:shd w:val="clear" w:color="auto" w:fill="auto"/>
            <w:noWrap/>
            <w:vAlign w:val="center"/>
            <w:hideMark/>
          </w:tcPr>
          <w:p w14:paraId="4C11D07E" w14:textId="77777777" w:rsidR="001A095A" w:rsidRPr="001564C8" w:rsidRDefault="001A095A" w:rsidP="00387AE5">
            <w:pPr>
              <w:jc w:val="center"/>
              <w:rPr>
                <w:bCs/>
                <w:color w:val="000000"/>
                <w:sz w:val="20"/>
                <w:szCs w:val="18"/>
              </w:rPr>
            </w:pPr>
            <w:r w:rsidRPr="001564C8">
              <w:rPr>
                <w:bCs/>
                <w:color w:val="000000"/>
                <w:sz w:val="20"/>
                <w:szCs w:val="18"/>
              </w:rPr>
              <w:t>2,5</w:t>
            </w:r>
          </w:p>
        </w:tc>
      </w:tr>
      <w:tr w:rsidR="001A095A" w:rsidRPr="001564C8" w14:paraId="18829693"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3A44AB5D"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3</w:t>
            </w:r>
          </w:p>
        </w:tc>
        <w:tc>
          <w:tcPr>
            <w:tcW w:w="4533" w:type="dxa"/>
            <w:tcBorders>
              <w:top w:val="nil"/>
              <w:left w:val="nil"/>
              <w:bottom w:val="nil"/>
              <w:right w:val="nil"/>
            </w:tcBorders>
            <w:shd w:val="clear" w:color="auto" w:fill="auto"/>
            <w:vAlign w:val="center"/>
            <w:hideMark/>
          </w:tcPr>
          <w:p w14:paraId="776EF4C2" w14:textId="77777777" w:rsidR="001A095A" w:rsidRPr="001564C8" w:rsidRDefault="001A095A" w:rsidP="00387AE5">
            <w:pPr>
              <w:rPr>
                <w:rFonts w:cs="Times New Roman"/>
                <w:color w:val="0000FF"/>
                <w:sz w:val="20"/>
                <w:szCs w:val="20"/>
                <w:u w:val="single"/>
              </w:rPr>
            </w:pPr>
            <w:r w:rsidRPr="001564C8">
              <w:rPr>
                <w:rFonts w:cs="Arial"/>
                <w:color w:val="000000"/>
                <w:sz w:val="20"/>
                <w:szCs w:val="20"/>
              </w:rPr>
              <w:t xml:space="preserve">     Konečná spotreba domácností a NISD</w:t>
            </w:r>
            <w:r w:rsidRPr="001564C8">
              <w:rPr>
                <w:rStyle w:val="Odkaznapoznmkupodiarou"/>
                <w:color w:val="000000"/>
                <w:sz w:val="18"/>
                <w:szCs w:val="18"/>
                <w:lang w:val="sk-SK"/>
              </w:rPr>
              <w:footnoteReference w:id="4"/>
            </w:r>
          </w:p>
        </w:tc>
        <w:tc>
          <w:tcPr>
            <w:tcW w:w="878" w:type="dxa"/>
            <w:tcBorders>
              <w:top w:val="nil"/>
              <w:left w:val="nil"/>
              <w:bottom w:val="nil"/>
              <w:right w:val="nil"/>
            </w:tcBorders>
            <w:shd w:val="clear" w:color="auto" w:fill="auto"/>
            <w:noWrap/>
            <w:vAlign w:val="center"/>
            <w:hideMark/>
          </w:tcPr>
          <w:p w14:paraId="76B0BED8"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759654C9" w14:textId="77777777" w:rsidR="001A095A" w:rsidRPr="001564C8" w:rsidRDefault="001A095A" w:rsidP="00387AE5">
            <w:pPr>
              <w:jc w:val="center"/>
              <w:rPr>
                <w:bCs/>
                <w:color w:val="000000"/>
                <w:sz w:val="20"/>
                <w:szCs w:val="18"/>
              </w:rPr>
            </w:pPr>
            <w:r>
              <w:rPr>
                <w:bCs/>
                <w:color w:val="000000"/>
                <w:sz w:val="20"/>
                <w:szCs w:val="18"/>
              </w:rPr>
              <w:t>3,</w:t>
            </w:r>
            <w:r w:rsidRPr="00D40EAF">
              <w:rPr>
                <w:bCs/>
                <w:color w:val="000000"/>
                <w:sz w:val="20"/>
                <w:szCs w:val="18"/>
              </w:rPr>
              <w:t>5</w:t>
            </w:r>
          </w:p>
        </w:tc>
        <w:tc>
          <w:tcPr>
            <w:tcW w:w="548" w:type="dxa"/>
            <w:tcBorders>
              <w:top w:val="nil"/>
              <w:left w:val="nil"/>
              <w:bottom w:val="nil"/>
              <w:right w:val="nil"/>
            </w:tcBorders>
            <w:shd w:val="clear" w:color="auto" w:fill="auto"/>
            <w:noWrap/>
            <w:vAlign w:val="center"/>
            <w:hideMark/>
          </w:tcPr>
          <w:p w14:paraId="233F87A6" w14:textId="77777777" w:rsidR="001A095A" w:rsidRPr="00D40EAF" w:rsidRDefault="001A095A" w:rsidP="00387AE5">
            <w:pPr>
              <w:jc w:val="center"/>
              <w:rPr>
                <w:bCs/>
                <w:color w:val="000000"/>
                <w:sz w:val="20"/>
                <w:szCs w:val="18"/>
              </w:rPr>
            </w:pPr>
            <w:r>
              <w:rPr>
                <w:bCs/>
                <w:color w:val="000000"/>
                <w:sz w:val="20"/>
                <w:szCs w:val="18"/>
              </w:rPr>
              <w:t>3,</w:t>
            </w:r>
            <w:r w:rsidRPr="00D40EAF">
              <w:rPr>
                <w:bCs/>
                <w:color w:val="000000"/>
                <w:sz w:val="20"/>
                <w:szCs w:val="18"/>
              </w:rPr>
              <w:t>0</w:t>
            </w:r>
          </w:p>
        </w:tc>
        <w:tc>
          <w:tcPr>
            <w:tcW w:w="523" w:type="dxa"/>
            <w:tcBorders>
              <w:top w:val="nil"/>
              <w:left w:val="nil"/>
              <w:bottom w:val="nil"/>
              <w:right w:val="nil"/>
            </w:tcBorders>
            <w:shd w:val="clear" w:color="auto" w:fill="auto"/>
            <w:noWrap/>
            <w:vAlign w:val="center"/>
            <w:hideMark/>
          </w:tcPr>
          <w:p w14:paraId="5743C30B" w14:textId="77777777" w:rsidR="001A095A" w:rsidRPr="001564C8" w:rsidRDefault="001A095A" w:rsidP="00387AE5">
            <w:pPr>
              <w:jc w:val="center"/>
              <w:rPr>
                <w:bCs/>
                <w:color w:val="000000"/>
                <w:sz w:val="20"/>
                <w:szCs w:val="18"/>
              </w:rPr>
            </w:pPr>
            <w:r w:rsidRPr="001564C8">
              <w:rPr>
                <w:bCs/>
                <w:color w:val="000000"/>
                <w:sz w:val="20"/>
                <w:szCs w:val="18"/>
              </w:rPr>
              <w:t>3,5</w:t>
            </w:r>
          </w:p>
        </w:tc>
        <w:tc>
          <w:tcPr>
            <w:tcW w:w="551" w:type="dxa"/>
            <w:tcBorders>
              <w:top w:val="nil"/>
              <w:left w:val="nil"/>
              <w:bottom w:val="nil"/>
              <w:right w:val="nil"/>
            </w:tcBorders>
            <w:shd w:val="clear" w:color="auto" w:fill="auto"/>
            <w:noWrap/>
            <w:vAlign w:val="center"/>
            <w:hideMark/>
          </w:tcPr>
          <w:p w14:paraId="5D9E71BC" w14:textId="77777777" w:rsidR="001A095A" w:rsidRPr="001564C8" w:rsidRDefault="001A095A" w:rsidP="00387AE5">
            <w:pPr>
              <w:jc w:val="center"/>
              <w:rPr>
                <w:bCs/>
                <w:color w:val="000000"/>
                <w:sz w:val="20"/>
                <w:szCs w:val="18"/>
              </w:rPr>
            </w:pPr>
            <w:r w:rsidRPr="001564C8">
              <w:rPr>
                <w:bCs/>
                <w:color w:val="000000"/>
                <w:sz w:val="20"/>
                <w:szCs w:val="18"/>
              </w:rPr>
              <w:t>3,2</w:t>
            </w:r>
          </w:p>
        </w:tc>
        <w:tc>
          <w:tcPr>
            <w:tcW w:w="551" w:type="dxa"/>
            <w:tcBorders>
              <w:top w:val="nil"/>
              <w:left w:val="nil"/>
              <w:bottom w:val="nil"/>
              <w:right w:val="nil"/>
            </w:tcBorders>
            <w:shd w:val="clear" w:color="auto" w:fill="auto"/>
            <w:noWrap/>
            <w:vAlign w:val="center"/>
            <w:hideMark/>
          </w:tcPr>
          <w:p w14:paraId="227E12FD" w14:textId="77777777" w:rsidR="001A095A" w:rsidRPr="001564C8" w:rsidRDefault="001A095A" w:rsidP="00387AE5">
            <w:pPr>
              <w:jc w:val="center"/>
              <w:rPr>
                <w:bCs/>
                <w:color w:val="000000"/>
                <w:sz w:val="20"/>
                <w:szCs w:val="18"/>
              </w:rPr>
            </w:pPr>
            <w:r w:rsidRPr="001564C8">
              <w:rPr>
                <w:bCs/>
                <w:color w:val="000000"/>
                <w:sz w:val="20"/>
                <w:szCs w:val="18"/>
              </w:rPr>
              <w:t>2,8</w:t>
            </w:r>
          </w:p>
        </w:tc>
        <w:tc>
          <w:tcPr>
            <w:tcW w:w="551" w:type="dxa"/>
            <w:tcBorders>
              <w:top w:val="nil"/>
              <w:left w:val="nil"/>
              <w:bottom w:val="nil"/>
              <w:right w:val="nil"/>
            </w:tcBorders>
            <w:shd w:val="clear" w:color="auto" w:fill="auto"/>
            <w:noWrap/>
            <w:vAlign w:val="center"/>
            <w:hideMark/>
          </w:tcPr>
          <w:p w14:paraId="59AB37A5" w14:textId="77777777" w:rsidR="001A095A" w:rsidRPr="001564C8" w:rsidRDefault="001A095A" w:rsidP="00387AE5">
            <w:pPr>
              <w:jc w:val="center"/>
              <w:rPr>
                <w:bCs/>
                <w:color w:val="000000"/>
                <w:sz w:val="20"/>
                <w:szCs w:val="18"/>
              </w:rPr>
            </w:pPr>
            <w:r w:rsidRPr="001564C8">
              <w:rPr>
                <w:bCs/>
                <w:color w:val="000000"/>
                <w:sz w:val="20"/>
                <w:szCs w:val="18"/>
              </w:rPr>
              <w:t>2,5</w:t>
            </w:r>
          </w:p>
        </w:tc>
      </w:tr>
      <w:tr w:rsidR="001A095A" w:rsidRPr="001564C8" w14:paraId="0353DB83"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64D752E0"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4</w:t>
            </w:r>
          </w:p>
        </w:tc>
        <w:tc>
          <w:tcPr>
            <w:tcW w:w="4533" w:type="dxa"/>
            <w:tcBorders>
              <w:top w:val="nil"/>
              <w:left w:val="nil"/>
              <w:bottom w:val="nil"/>
              <w:right w:val="nil"/>
            </w:tcBorders>
            <w:shd w:val="clear" w:color="auto" w:fill="auto"/>
            <w:vAlign w:val="center"/>
            <w:hideMark/>
          </w:tcPr>
          <w:p w14:paraId="33935489" w14:textId="77777777" w:rsidR="001A095A" w:rsidRPr="001564C8" w:rsidRDefault="001A095A" w:rsidP="00387AE5">
            <w:pPr>
              <w:rPr>
                <w:rFonts w:cs="Times New Roman"/>
                <w:color w:val="000000"/>
                <w:sz w:val="20"/>
                <w:szCs w:val="20"/>
              </w:rPr>
            </w:pPr>
            <w:r w:rsidRPr="001564C8">
              <w:rPr>
                <w:rFonts w:cs="Arial"/>
                <w:color w:val="000000"/>
                <w:sz w:val="20"/>
                <w:szCs w:val="20"/>
              </w:rPr>
              <w:t xml:space="preserve">     Konečná spotreba verejnej správy </w:t>
            </w:r>
          </w:p>
        </w:tc>
        <w:tc>
          <w:tcPr>
            <w:tcW w:w="878" w:type="dxa"/>
            <w:tcBorders>
              <w:top w:val="nil"/>
              <w:left w:val="nil"/>
              <w:bottom w:val="nil"/>
              <w:right w:val="nil"/>
            </w:tcBorders>
            <w:shd w:val="clear" w:color="auto" w:fill="auto"/>
            <w:noWrap/>
            <w:vAlign w:val="center"/>
            <w:hideMark/>
          </w:tcPr>
          <w:p w14:paraId="361EDA98"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58B4D65A" w14:textId="77777777" w:rsidR="001A095A" w:rsidRPr="001564C8" w:rsidRDefault="001A095A" w:rsidP="00387AE5">
            <w:pPr>
              <w:jc w:val="center"/>
              <w:rPr>
                <w:bCs/>
                <w:color w:val="000000"/>
                <w:sz w:val="20"/>
                <w:szCs w:val="18"/>
              </w:rPr>
            </w:pPr>
            <w:r>
              <w:rPr>
                <w:bCs/>
                <w:color w:val="000000"/>
                <w:sz w:val="20"/>
                <w:szCs w:val="18"/>
              </w:rPr>
              <w:t>1,</w:t>
            </w:r>
            <w:r w:rsidRPr="00D40EAF">
              <w:rPr>
                <w:bCs/>
                <w:color w:val="000000"/>
                <w:sz w:val="20"/>
                <w:szCs w:val="18"/>
              </w:rPr>
              <w:t>7</w:t>
            </w:r>
          </w:p>
        </w:tc>
        <w:tc>
          <w:tcPr>
            <w:tcW w:w="548" w:type="dxa"/>
            <w:tcBorders>
              <w:top w:val="nil"/>
              <w:left w:val="nil"/>
              <w:bottom w:val="nil"/>
              <w:right w:val="nil"/>
            </w:tcBorders>
            <w:shd w:val="clear" w:color="auto" w:fill="auto"/>
            <w:noWrap/>
            <w:vAlign w:val="center"/>
            <w:hideMark/>
          </w:tcPr>
          <w:p w14:paraId="2C90326F" w14:textId="77777777" w:rsidR="001A095A" w:rsidRPr="00D40EAF" w:rsidRDefault="001A095A" w:rsidP="00387AE5">
            <w:pPr>
              <w:jc w:val="center"/>
              <w:rPr>
                <w:bCs/>
                <w:color w:val="000000"/>
                <w:sz w:val="20"/>
                <w:szCs w:val="18"/>
              </w:rPr>
            </w:pPr>
            <w:r>
              <w:rPr>
                <w:bCs/>
                <w:color w:val="000000"/>
                <w:sz w:val="20"/>
                <w:szCs w:val="18"/>
              </w:rPr>
              <w:t>1,</w:t>
            </w:r>
            <w:r w:rsidRPr="00D40EAF">
              <w:rPr>
                <w:bCs/>
                <w:color w:val="000000"/>
                <w:sz w:val="20"/>
                <w:szCs w:val="18"/>
              </w:rPr>
              <w:t>9</w:t>
            </w:r>
          </w:p>
        </w:tc>
        <w:tc>
          <w:tcPr>
            <w:tcW w:w="523" w:type="dxa"/>
            <w:tcBorders>
              <w:top w:val="nil"/>
              <w:left w:val="nil"/>
              <w:bottom w:val="nil"/>
              <w:right w:val="nil"/>
            </w:tcBorders>
            <w:shd w:val="clear" w:color="auto" w:fill="auto"/>
            <w:noWrap/>
            <w:vAlign w:val="center"/>
            <w:hideMark/>
          </w:tcPr>
          <w:p w14:paraId="32EB89D7" w14:textId="77777777" w:rsidR="001A095A" w:rsidRPr="001564C8" w:rsidRDefault="001A095A" w:rsidP="00387AE5">
            <w:pPr>
              <w:jc w:val="center"/>
              <w:rPr>
                <w:bCs/>
                <w:color w:val="000000"/>
                <w:sz w:val="20"/>
                <w:szCs w:val="18"/>
              </w:rPr>
            </w:pPr>
            <w:r w:rsidRPr="001564C8">
              <w:rPr>
                <w:bCs/>
                <w:color w:val="000000"/>
                <w:sz w:val="20"/>
                <w:szCs w:val="18"/>
              </w:rPr>
              <w:t>1,8</w:t>
            </w:r>
          </w:p>
        </w:tc>
        <w:tc>
          <w:tcPr>
            <w:tcW w:w="551" w:type="dxa"/>
            <w:tcBorders>
              <w:top w:val="nil"/>
              <w:left w:val="nil"/>
              <w:bottom w:val="nil"/>
              <w:right w:val="nil"/>
            </w:tcBorders>
            <w:shd w:val="clear" w:color="auto" w:fill="auto"/>
            <w:noWrap/>
            <w:vAlign w:val="center"/>
            <w:hideMark/>
          </w:tcPr>
          <w:p w14:paraId="1113DBD1" w14:textId="77777777" w:rsidR="001A095A" w:rsidRPr="001564C8" w:rsidRDefault="001A095A" w:rsidP="00387AE5">
            <w:pPr>
              <w:jc w:val="center"/>
              <w:rPr>
                <w:bCs/>
                <w:color w:val="000000"/>
                <w:sz w:val="20"/>
                <w:szCs w:val="18"/>
              </w:rPr>
            </w:pPr>
            <w:r w:rsidRPr="001564C8">
              <w:rPr>
                <w:bCs/>
                <w:color w:val="000000"/>
                <w:sz w:val="20"/>
                <w:szCs w:val="18"/>
              </w:rPr>
              <w:t>1,7</w:t>
            </w:r>
          </w:p>
        </w:tc>
        <w:tc>
          <w:tcPr>
            <w:tcW w:w="551" w:type="dxa"/>
            <w:tcBorders>
              <w:top w:val="nil"/>
              <w:left w:val="nil"/>
              <w:bottom w:val="nil"/>
              <w:right w:val="nil"/>
            </w:tcBorders>
            <w:shd w:val="clear" w:color="auto" w:fill="auto"/>
            <w:noWrap/>
            <w:vAlign w:val="center"/>
            <w:hideMark/>
          </w:tcPr>
          <w:p w14:paraId="41E4AB2E" w14:textId="77777777" w:rsidR="001A095A" w:rsidRPr="001564C8" w:rsidRDefault="001A095A" w:rsidP="00387AE5">
            <w:pPr>
              <w:jc w:val="center"/>
              <w:rPr>
                <w:bCs/>
                <w:color w:val="000000"/>
                <w:sz w:val="20"/>
                <w:szCs w:val="18"/>
              </w:rPr>
            </w:pPr>
            <w:r w:rsidRPr="001564C8">
              <w:rPr>
                <w:bCs/>
                <w:color w:val="000000"/>
                <w:sz w:val="20"/>
                <w:szCs w:val="18"/>
              </w:rPr>
              <w:t>1,0</w:t>
            </w:r>
          </w:p>
        </w:tc>
        <w:tc>
          <w:tcPr>
            <w:tcW w:w="551" w:type="dxa"/>
            <w:tcBorders>
              <w:top w:val="nil"/>
              <w:left w:val="nil"/>
              <w:bottom w:val="nil"/>
              <w:right w:val="nil"/>
            </w:tcBorders>
            <w:shd w:val="clear" w:color="auto" w:fill="auto"/>
            <w:noWrap/>
            <w:vAlign w:val="center"/>
            <w:hideMark/>
          </w:tcPr>
          <w:p w14:paraId="7C87DDC5" w14:textId="77777777" w:rsidR="001A095A" w:rsidRPr="001564C8" w:rsidRDefault="001A095A" w:rsidP="00387AE5">
            <w:pPr>
              <w:jc w:val="center"/>
              <w:rPr>
                <w:bCs/>
                <w:color w:val="000000"/>
                <w:sz w:val="20"/>
                <w:szCs w:val="18"/>
              </w:rPr>
            </w:pPr>
            <w:r w:rsidRPr="001564C8">
              <w:rPr>
                <w:bCs/>
                <w:color w:val="000000"/>
                <w:sz w:val="20"/>
                <w:szCs w:val="18"/>
              </w:rPr>
              <w:t>1,2</w:t>
            </w:r>
          </w:p>
        </w:tc>
      </w:tr>
      <w:tr w:rsidR="001A095A" w:rsidRPr="001564C8" w14:paraId="6B8E3354"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4318D754"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5</w:t>
            </w:r>
          </w:p>
        </w:tc>
        <w:tc>
          <w:tcPr>
            <w:tcW w:w="4533" w:type="dxa"/>
            <w:tcBorders>
              <w:top w:val="nil"/>
              <w:left w:val="nil"/>
              <w:bottom w:val="nil"/>
              <w:right w:val="nil"/>
            </w:tcBorders>
            <w:shd w:val="clear" w:color="auto" w:fill="auto"/>
            <w:vAlign w:val="center"/>
            <w:hideMark/>
          </w:tcPr>
          <w:p w14:paraId="2B0987D6" w14:textId="77777777" w:rsidR="001A095A" w:rsidRPr="001564C8" w:rsidRDefault="001A095A" w:rsidP="00387AE5">
            <w:pPr>
              <w:rPr>
                <w:rFonts w:cs="Times New Roman"/>
                <w:color w:val="000000"/>
                <w:sz w:val="20"/>
                <w:szCs w:val="20"/>
              </w:rPr>
            </w:pPr>
            <w:r w:rsidRPr="001564C8">
              <w:rPr>
                <w:rFonts w:cs="Arial"/>
                <w:color w:val="000000"/>
                <w:sz w:val="20"/>
                <w:szCs w:val="20"/>
              </w:rPr>
              <w:t xml:space="preserve">     Tvorba hrubého fixného kapitálu </w:t>
            </w:r>
          </w:p>
        </w:tc>
        <w:tc>
          <w:tcPr>
            <w:tcW w:w="878" w:type="dxa"/>
            <w:tcBorders>
              <w:top w:val="nil"/>
              <w:left w:val="nil"/>
              <w:bottom w:val="nil"/>
              <w:right w:val="nil"/>
            </w:tcBorders>
            <w:shd w:val="clear" w:color="auto" w:fill="auto"/>
            <w:noWrap/>
            <w:vAlign w:val="center"/>
            <w:hideMark/>
          </w:tcPr>
          <w:p w14:paraId="27ACF0D0"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09F2DC3" w14:textId="77777777" w:rsidR="001A095A" w:rsidRPr="001564C8" w:rsidRDefault="001A095A" w:rsidP="00387AE5">
            <w:pPr>
              <w:jc w:val="center"/>
              <w:rPr>
                <w:bCs/>
                <w:color w:val="000000"/>
                <w:sz w:val="20"/>
                <w:szCs w:val="18"/>
              </w:rPr>
            </w:pPr>
            <w:r>
              <w:rPr>
                <w:bCs/>
                <w:color w:val="000000"/>
                <w:sz w:val="20"/>
                <w:szCs w:val="18"/>
              </w:rPr>
              <w:t>3,</w:t>
            </w:r>
            <w:r w:rsidRPr="00D40EAF">
              <w:rPr>
                <w:bCs/>
                <w:color w:val="000000"/>
                <w:sz w:val="20"/>
                <w:szCs w:val="18"/>
              </w:rPr>
              <w:t>4</w:t>
            </w:r>
          </w:p>
        </w:tc>
        <w:tc>
          <w:tcPr>
            <w:tcW w:w="548" w:type="dxa"/>
            <w:tcBorders>
              <w:top w:val="nil"/>
              <w:left w:val="nil"/>
              <w:bottom w:val="nil"/>
              <w:right w:val="nil"/>
            </w:tcBorders>
            <w:shd w:val="clear" w:color="auto" w:fill="auto"/>
            <w:noWrap/>
            <w:vAlign w:val="center"/>
            <w:hideMark/>
          </w:tcPr>
          <w:p w14:paraId="65AB4F47" w14:textId="77777777" w:rsidR="001A095A" w:rsidRPr="00D40EAF" w:rsidRDefault="001A095A" w:rsidP="00387AE5">
            <w:pPr>
              <w:jc w:val="center"/>
              <w:rPr>
                <w:bCs/>
                <w:color w:val="000000"/>
                <w:sz w:val="20"/>
                <w:szCs w:val="18"/>
              </w:rPr>
            </w:pPr>
            <w:r>
              <w:rPr>
                <w:bCs/>
                <w:color w:val="000000"/>
                <w:sz w:val="20"/>
                <w:szCs w:val="18"/>
              </w:rPr>
              <w:t>6,</w:t>
            </w:r>
            <w:r w:rsidRPr="00D40EAF">
              <w:rPr>
                <w:bCs/>
                <w:color w:val="000000"/>
                <w:sz w:val="20"/>
                <w:szCs w:val="18"/>
              </w:rPr>
              <w:t>8</w:t>
            </w:r>
          </w:p>
        </w:tc>
        <w:tc>
          <w:tcPr>
            <w:tcW w:w="523" w:type="dxa"/>
            <w:tcBorders>
              <w:top w:val="nil"/>
              <w:left w:val="nil"/>
              <w:bottom w:val="nil"/>
              <w:right w:val="nil"/>
            </w:tcBorders>
            <w:shd w:val="clear" w:color="auto" w:fill="auto"/>
            <w:noWrap/>
            <w:vAlign w:val="center"/>
            <w:hideMark/>
          </w:tcPr>
          <w:p w14:paraId="780D54E5" w14:textId="77777777" w:rsidR="001A095A" w:rsidRPr="001564C8" w:rsidRDefault="001A095A" w:rsidP="00387AE5">
            <w:pPr>
              <w:jc w:val="center"/>
              <w:rPr>
                <w:bCs/>
                <w:color w:val="000000"/>
                <w:sz w:val="20"/>
                <w:szCs w:val="18"/>
              </w:rPr>
            </w:pPr>
            <w:r w:rsidRPr="001564C8">
              <w:rPr>
                <w:bCs/>
                <w:color w:val="000000"/>
                <w:sz w:val="20"/>
                <w:szCs w:val="18"/>
              </w:rPr>
              <w:t>1,9</w:t>
            </w:r>
          </w:p>
        </w:tc>
        <w:tc>
          <w:tcPr>
            <w:tcW w:w="551" w:type="dxa"/>
            <w:tcBorders>
              <w:top w:val="nil"/>
              <w:left w:val="nil"/>
              <w:bottom w:val="nil"/>
              <w:right w:val="nil"/>
            </w:tcBorders>
            <w:shd w:val="clear" w:color="auto" w:fill="auto"/>
            <w:noWrap/>
            <w:vAlign w:val="center"/>
            <w:hideMark/>
          </w:tcPr>
          <w:p w14:paraId="327EC9EE" w14:textId="77777777" w:rsidR="001A095A" w:rsidRPr="001564C8" w:rsidRDefault="001A095A" w:rsidP="00387AE5">
            <w:pPr>
              <w:jc w:val="center"/>
              <w:rPr>
                <w:bCs/>
                <w:color w:val="000000"/>
                <w:sz w:val="20"/>
                <w:szCs w:val="18"/>
              </w:rPr>
            </w:pPr>
            <w:r w:rsidRPr="001564C8">
              <w:rPr>
                <w:bCs/>
                <w:color w:val="000000"/>
                <w:sz w:val="20"/>
                <w:szCs w:val="18"/>
              </w:rPr>
              <w:t>2,9</w:t>
            </w:r>
          </w:p>
        </w:tc>
        <w:tc>
          <w:tcPr>
            <w:tcW w:w="551" w:type="dxa"/>
            <w:tcBorders>
              <w:top w:val="nil"/>
              <w:left w:val="nil"/>
              <w:bottom w:val="nil"/>
              <w:right w:val="nil"/>
            </w:tcBorders>
            <w:shd w:val="clear" w:color="auto" w:fill="auto"/>
            <w:noWrap/>
            <w:vAlign w:val="center"/>
            <w:hideMark/>
          </w:tcPr>
          <w:p w14:paraId="4515894D" w14:textId="77777777" w:rsidR="001A095A" w:rsidRPr="001564C8" w:rsidRDefault="001A095A" w:rsidP="00387AE5">
            <w:pPr>
              <w:jc w:val="center"/>
              <w:rPr>
                <w:bCs/>
                <w:color w:val="000000"/>
                <w:sz w:val="20"/>
                <w:szCs w:val="18"/>
              </w:rPr>
            </w:pPr>
            <w:r w:rsidRPr="001564C8">
              <w:rPr>
                <w:bCs/>
                <w:color w:val="000000"/>
                <w:sz w:val="20"/>
                <w:szCs w:val="18"/>
              </w:rPr>
              <w:t>3,1</w:t>
            </w:r>
          </w:p>
        </w:tc>
        <w:tc>
          <w:tcPr>
            <w:tcW w:w="551" w:type="dxa"/>
            <w:tcBorders>
              <w:top w:val="nil"/>
              <w:left w:val="nil"/>
              <w:bottom w:val="nil"/>
              <w:right w:val="nil"/>
            </w:tcBorders>
            <w:shd w:val="clear" w:color="auto" w:fill="auto"/>
            <w:noWrap/>
            <w:vAlign w:val="center"/>
            <w:hideMark/>
          </w:tcPr>
          <w:p w14:paraId="664120A4" w14:textId="77777777" w:rsidR="001A095A" w:rsidRPr="001564C8" w:rsidRDefault="001A095A" w:rsidP="00387AE5">
            <w:pPr>
              <w:jc w:val="center"/>
              <w:rPr>
                <w:bCs/>
                <w:color w:val="000000"/>
                <w:sz w:val="20"/>
                <w:szCs w:val="18"/>
              </w:rPr>
            </w:pPr>
            <w:r w:rsidRPr="001564C8">
              <w:rPr>
                <w:bCs/>
                <w:color w:val="000000"/>
                <w:sz w:val="20"/>
                <w:szCs w:val="18"/>
              </w:rPr>
              <w:t>3,6</w:t>
            </w:r>
          </w:p>
        </w:tc>
      </w:tr>
      <w:tr w:rsidR="001A095A" w:rsidRPr="001564C8" w14:paraId="338B9030"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4954121B"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6</w:t>
            </w:r>
          </w:p>
        </w:tc>
        <w:tc>
          <w:tcPr>
            <w:tcW w:w="4533" w:type="dxa"/>
            <w:tcBorders>
              <w:top w:val="nil"/>
              <w:left w:val="nil"/>
              <w:bottom w:val="nil"/>
              <w:right w:val="nil"/>
            </w:tcBorders>
            <w:shd w:val="clear" w:color="auto" w:fill="auto"/>
            <w:vAlign w:val="center"/>
            <w:hideMark/>
          </w:tcPr>
          <w:p w14:paraId="39476190" w14:textId="77777777" w:rsidR="001A095A" w:rsidRPr="001564C8" w:rsidRDefault="001A095A" w:rsidP="00387AE5">
            <w:pPr>
              <w:rPr>
                <w:rFonts w:cs="Times New Roman"/>
                <w:color w:val="000000"/>
                <w:sz w:val="20"/>
                <w:szCs w:val="20"/>
              </w:rPr>
            </w:pPr>
            <w:r w:rsidRPr="001564C8">
              <w:rPr>
                <w:rFonts w:cs="Arial"/>
                <w:color w:val="000000"/>
                <w:sz w:val="20"/>
                <w:szCs w:val="20"/>
              </w:rPr>
              <w:t xml:space="preserve">     Export tovarov a služieb </w:t>
            </w:r>
          </w:p>
        </w:tc>
        <w:tc>
          <w:tcPr>
            <w:tcW w:w="878" w:type="dxa"/>
            <w:tcBorders>
              <w:top w:val="nil"/>
              <w:left w:val="nil"/>
              <w:bottom w:val="nil"/>
              <w:right w:val="nil"/>
            </w:tcBorders>
            <w:shd w:val="clear" w:color="auto" w:fill="auto"/>
            <w:noWrap/>
            <w:vAlign w:val="center"/>
            <w:hideMark/>
          </w:tcPr>
          <w:p w14:paraId="02769D4B"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1B7D00C5" w14:textId="77777777" w:rsidR="001A095A" w:rsidRPr="001564C8" w:rsidRDefault="001A095A" w:rsidP="00387AE5">
            <w:pPr>
              <w:jc w:val="center"/>
              <w:rPr>
                <w:bCs/>
                <w:color w:val="000000"/>
                <w:sz w:val="20"/>
                <w:szCs w:val="18"/>
              </w:rPr>
            </w:pPr>
            <w:r>
              <w:rPr>
                <w:bCs/>
                <w:color w:val="000000"/>
                <w:sz w:val="20"/>
                <w:szCs w:val="18"/>
              </w:rPr>
              <w:t>5,</w:t>
            </w:r>
            <w:r w:rsidRPr="00D40EAF">
              <w:rPr>
                <w:bCs/>
                <w:color w:val="000000"/>
                <w:sz w:val="20"/>
                <w:szCs w:val="18"/>
              </w:rPr>
              <w:t>9</w:t>
            </w:r>
          </w:p>
        </w:tc>
        <w:tc>
          <w:tcPr>
            <w:tcW w:w="548" w:type="dxa"/>
            <w:tcBorders>
              <w:top w:val="nil"/>
              <w:left w:val="nil"/>
              <w:bottom w:val="nil"/>
              <w:right w:val="nil"/>
            </w:tcBorders>
            <w:shd w:val="clear" w:color="auto" w:fill="auto"/>
            <w:noWrap/>
            <w:vAlign w:val="center"/>
            <w:hideMark/>
          </w:tcPr>
          <w:p w14:paraId="259333BA" w14:textId="77777777" w:rsidR="001A095A" w:rsidRPr="00D40EAF" w:rsidRDefault="001A095A" w:rsidP="00387AE5">
            <w:pPr>
              <w:jc w:val="center"/>
              <w:rPr>
                <w:bCs/>
                <w:color w:val="000000"/>
                <w:sz w:val="20"/>
                <w:szCs w:val="18"/>
              </w:rPr>
            </w:pPr>
            <w:r>
              <w:rPr>
                <w:bCs/>
                <w:color w:val="000000"/>
                <w:sz w:val="20"/>
                <w:szCs w:val="18"/>
              </w:rPr>
              <w:t>4,</w:t>
            </w:r>
            <w:r w:rsidRPr="00D40EAF">
              <w:rPr>
                <w:bCs/>
                <w:color w:val="000000"/>
                <w:sz w:val="20"/>
                <w:szCs w:val="18"/>
              </w:rPr>
              <w:t>8</w:t>
            </w:r>
          </w:p>
        </w:tc>
        <w:tc>
          <w:tcPr>
            <w:tcW w:w="523" w:type="dxa"/>
            <w:tcBorders>
              <w:top w:val="nil"/>
              <w:left w:val="nil"/>
              <w:bottom w:val="nil"/>
              <w:right w:val="nil"/>
            </w:tcBorders>
            <w:shd w:val="clear" w:color="auto" w:fill="auto"/>
            <w:noWrap/>
            <w:vAlign w:val="center"/>
            <w:hideMark/>
          </w:tcPr>
          <w:p w14:paraId="1B342CDB" w14:textId="77777777" w:rsidR="001A095A" w:rsidRPr="001564C8" w:rsidRDefault="001A095A" w:rsidP="00387AE5">
            <w:pPr>
              <w:jc w:val="center"/>
              <w:rPr>
                <w:bCs/>
                <w:color w:val="000000"/>
                <w:sz w:val="20"/>
                <w:szCs w:val="18"/>
              </w:rPr>
            </w:pPr>
            <w:r w:rsidRPr="001564C8">
              <w:rPr>
                <w:bCs/>
                <w:color w:val="000000"/>
                <w:sz w:val="20"/>
                <w:szCs w:val="18"/>
              </w:rPr>
              <w:t>6,9</w:t>
            </w:r>
          </w:p>
        </w:tc>
        <w:tc>
          <w:tcPr>
            <w:tcW w:w="551" w:type="dxa"/>
            <w:tcBorders>
              <w:top w:val="nil"/>
              <w:left w:val="nil"/>
              <w:bottom w:val="nil"/>
              <w:right w:val="nil"/>
            </w:tcBorders>
            <w:shd w:val="clear" w:color="auto" w:fill="auto"/>
            <w:noWrap/>
            <w:vAlign w:val="center"/>
            <w:hideMark/>
          </w:tcPr>
          <w:p w14:paraId="3BA98F92" w14:textId="77777777" w:rsidR="001A095A" w:rsidRPr="001564C8" w:rsidRDefault="001A095A" w:rsidP="00387AE5">
            <w:pPr>
              <w:jc w:val="center"/>
              <w:rPr>
                <w:bCs/>
                <w:color w:val="000000"/>
                <w:sz w:val="20"/>
                <w:szCs w:val="18"/>
              </w:rPr>
            </w:pPr>
            <w:r w:rsidRPr="001564C8">
              <w:rPr>
                <w:bCs/>
                <w:color w:val="000000"/>
                <w:sz w:val="20"/>
                <w:szCs w:val="18"/>
              </w:rPr>
              <w:t>6,1</w:t>
            </w:r>
          </w:p>
        </w:tc>
        <w:tc>
          <w:tcPr>
            <w:tcW w:w="551" w:type="dxa"/>
            <w:tcBorders>
              <w:top w:val="nil"/>
              <w:left w:val="nil"/>
              <w:bottom w:val="nil"/>
              <w:right w:val="nil"/>
            </w:tcBorders>
            <w:shd w:val="clear" w:color="auto" w:fill="auto"/>
            <w:noWrap/>
            <w:vAlign w:val="center"/>
            <w:hideMark/>
          </w:tcPr>
          <w:p w14:paraId="72F5AED9" w14:textId="77777777" w:rsidR="001A095A" w:rsidRPr="001564C8" w:rsidRDefault="001A095A" w:rsidP="00387AE5">
            <w:pPr>
              <w:jc w:val="center"/>
              <w:rPr>
                <w:bCs/>
                <w:color w:val="000000"/>
                <w:sz w:val="20"/>
                <w:szCs w:val="18"/>
              </w:rPr>
            </w:pPr>
            <w:r w:rsidRPr="001564C8">
              <w:rPr>
                <w:bCs/>
                <w:color w:val="000000"/>
                <w:sz w:val="20"/>
                <w:szCs w:val="18"/>
              </w:rPr>
              <w:t>5,2</w:t>
            </w:r>
          </w:p>
        </w:tc>
        <w:tc>
          <w:tcPr>
            <w:tcW w:w="551" w:type="dxa"/>
            <w:tcBorders>
              <w:top w:val="nil"/>
              <w:left w:val="nil"/>
              <w:bottom w:val="nil"/>
              <w:right w:val="nil"/>
            </w:tcBorders>
            <w:shd w:val="clear" w:color="auto" w:fill="auto"/>
            <w:noWrap/>
            <w:vAlign w:val="center"/>
            <w:hideMark/>
          </w:tcPr>
          <w:p w14:paraId="5641C0BA" w14:textId="77777777" w:rsidR="001A095A" w:rsidRPr="001564C8" w:rsidRDefault="001A095A" w:rsidP="00387AE5">
            <w:pPr>
              <w:jc w:val="center"/>
              <w:rPr>
                <w:bCs/>
                <w:color w:val="000000"/>
                <w:sz w:val="20"/>
                <w:szCs w:val="18"/>
              </w:rPr>
            </w:pPr>
            <w:r w:rsidRPr="001564C8">
              <w:rPr>
                <w:bCs/>
                <w:color w:val="000000"/>
                <w:sz w:val="20"/>
                <w:szCs w:val="18"/>
              </w:rPr>
              <w:t>4,1</w:t>
            </w:r>
          </w:p>
        </w:tc>
      </w:tr>
      <w:tr w:rsidR="001A095A" w:rsidRPr="001564C8" w14:paraId="0136F64B"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0C275B81"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7</w:t>
            </w:r>
          </w:p>
        </w:tc>
        <w:tc>
          <w:tcPr>
            <w:tcW w:w="4533" w:type="dxa"/>
            <w:tcBorders>
              <w:top w:val="nil"/>
              <w:left w:val="nil"/>
              <w:bottom w:val="nil"/>
              <w:right w:val="nil"/>
            </w:tcBorders>
            <w:shd w:val="clear" w:color="auto" w:fill="auto"/>
            <w:vAlign w:val="center"/>
            <w:hideMark/>
          </w:tcPr>
          <w:p w14:paraId="5CEE2413" w14:textId="77777777" w:rsidR="001A095A" w:rsidRPr="001564C8" w:rsidRDefault="001A095A" w:rsidP="00387AE5">
            <w:pPr>
              <w:rPr>
                <w:rFonts w:cs="Times New Roman"/>
                <w:color w:val="000000"/>
                <w:sz w:val="20"/>
                <w:szCs w:val="20"/>
              </w:rPr>
            </w:pPr>
            <w:r w:rsidRPr="001564C8">
              <w:rPr>
                <w:rFonts w:cs="Arial"/>
                <w:color w:val="000000"/>
                <w:sz w:val="20"/>
                <w:szCs w:val="20"/>
              </w:rPr>
              <w:t xml:space="preserve">     Import tovarov a služieb </w:t>
            </w:r>
          </w:p>
        </w:tc>
        <w:tc>
          <w:tcPr>
            <w:tcW w:w="878" w:type="dxa"/>
            <w:tcBorders>
              <w:top w:val="nil"/>
              <w:left w:val="nil"/>
              <w:bottom w:val="nil"/>
              <w:right w:val="nil"/>
            </w:tcBorders>
            <w:shd w:val="clear" w:color="auto" w:fill="auto"/>
            <w:noWrap/>
            <w:vAlign w:val="center"/>
            <w:hideMark/>
          </w:tcPr>
          <w:p w14:paraId="36EAE04B"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6BAB6C98" w14:textId="77777777" w:rsidR="001A095A" w:rsidRPr="001564C8" w:rsidRDefault="001A095A" w:rsidP="00387AE5">
            <w:pPr>
              <w:jc w:val="center"/>
              <w:rPr>
                <w:bCs/>
                <w:color w:val="000000"/>
                <w:sz w:val="20"/>
                <w:szCs w:val="18"/>
              </w:rPr>
            </w:pPr>
            <w:r>
              <w:rPr>
                <w:bCs/>
                <w:color w:val="000000"/>
                <w:sz w:val="20"/>
                <w:szCs w:val="18"/>
              </w:rPr>
              <w:t>5,</w:t>
            </w:r>
            <w:r w:rsidRPr="00D40EAF">
              <w:rPr>
                <w:bCs/>
                <w:color w:val="000000"/>
                <w:sz w:val="20"/>
                <w:szCs w:val="18"/>
              </w:rPr>
              <w:t>3</w:t>
            </w:r>
          </w:p>
        </w:tc>
        <w:tc>
          <w:tcPr>
            <w:tcW w:w="548" w:type="dxa"/>
            <w:tcBorders>
              <w:top w:val="nil"/>
              <w:left w:val="nil"/>
              <w:bottom w:val="nil"/>
              <w:right w:val="nil"/>
            </w:tcBorders>
            <w:shd w:val="clear" w:color="auto" w:fill="auto"/>
            <w:noWrap/>
            <w:vAlign w:val="center"/>
            <w:hideMark/>
          </w:tcPr>
          <w:p w14:paraId="2A71EAC5" w14:textId="77777777" w:rsidR="001A095A" w:rsidRPr="00D40EAF" w:rsidRDefault="001A095A" w:rsidP="00387AE5">
            <w:pPr>
              <w:jc w:val="center"/>
              <w:rPr>
                <w:bCs/>
                <w:color w:val="000000"/>
                <w:sz w:val="20"/>
                <w:szCs w:val="18"/>
              </w:rPr>
            </w:pPr>
            <w:r>
              <w:rPr>
                <w:bCs/>
                <w:color w:val="000000"/>
                <w:sz w:val="20"/>
                <w:szCs w:val="18"/>
              </w:rPr>
              <w:t>5,</w:t>
            </w:r>
            <w:r w:rsidRPr="00D40EAF">
              <w:rPr>
                <w:bCs/>
                <w:color w:val="000000"/>
                <w:sz w:val="20"/>
                <w:szCs w:val="18"/>
              </w:rPr>
              <w:t>3</w:t>
            </w:r>
          </w:p>
        </w:tc>
        <w:tc>
          <w:tcPr>
            <w:tcW w:w="523" w:type="dxa"/>
            <w:tcBorders>
              <w:top w:val="nil"/>
              <w:left w:val="nil"/>
              <w:bottom w:val="nil"/>
              <w:right w:val="nil"/>
            </w:tcBorders>
            <w:shd w:val="clear" w:color="auto" w:fill="auto"/>
            <w:noWrap/>
            <w:vAlign w:val="center"/>
            <w:hideMark/>
          </w:tcPr>
          <w:p w14:paraId="6F48629A" w14:textId="77777777" w:rsidR="001A095A" w:rsidRPr="001564C8" w:rsidRDefault="001A095A" w:rsidP="00387AE5">
            <w:pPr>
              <w:jc w:val="center"/>
              <w:rPr>
                <w:bCs/>
                <w:color w:val="000000"/>
                <w:sz w:val="20"/>
                <w:szCs w:val="18"/>
              </w:rPr>
            </w:pPr>
            <w:r w:rsidRPr="001564C8">
              <w:rPr>
                <w:bCs/>
                <w:color w:val="000000"/>
                <w:sz w:val="20"/>
                <w:szCs w:val="18"/>
              </w:rPr>
              <w:t>5,9</w:t>
            </w:r>
          </w:p>
        </w:tc>
        <w:tc>
          <w:tcPr>
            <w:tcW w:w="551" w:type="dxa"/>
            <w:tcBorders>
              <w:top w:val="nil"/>
              <w:left w:val="nil"/>
              <w:bottom w:val="nil"/>
              <w:right w:val="nil"/>
            </w:tcBorders>
            <w:shd w:val="clear" w:color="auto" w:fill="auto"/>
            <w:noWrap/>
            <w:vAlign w:val="center"/>
            <w:hideMark/>
          </w:tcPr>
          <w:p w14:paraId="46FBA262" w14:textId="77777777" w:rsidR="001A095A" w:rsidRPr="001564C8" w:rsidRDefault="001A095A" w:rsidP="00387AE5">
            <w:pPr>
              <w:jc w:val="center"/>
              <w:rPr>
                <w:bCs/>
                <w:color w:val="000000"/>
                <w:sz w:val="20"/>
                <w:szCs w:val="18"/>
              </w:rPr>
            </w:pPr>
            <w:r w:rsidRPr="001564C8">
              <w:rPr>
                <w:bCs/>
                <w:color w:val="000000"/>
                <w:sz w:val="20"/>
                <w:szCs w:val="18"/>
              </w:rPr>
              <w:t>5,3</w:t>
            </w:r>
          </w:p>
        </w:tc>
        <w:tc>
          <w:tcPr>
            <w:tcW w:w="551" w:type="dxa"/>
            <w:tcBorders>
              <w:top w:val="nil"/>
              <w:left w:val="nil"/>
              <w:bottom w:val="nil"/>
              <w:right w:val="nil"/>
            </w:tcBorders>
            <w:shd w:val="clear" w:color="auto" w:fill="auto"/>
            <w:noWrap/>
            <w:vAlign w:val="center"/>
            <w:hideMark/>
          </w:tcPr>
          <w:p w14:paraId="3E916DEE" w14:textId="77777777" w:rsidR="001A095A" w:rsidRPr="001564C8" w:rsidRDefault="001A095A" w:rsidP="00387AE5">
            <w:pPr>
              <w:jc w:val="center"/>
              <w:rPr>
                <w:bCs/>
                <w:color w:val="000000"/>
                <w:sz w:val="20"/>
                <w:szCs w:val="18"/>
              </w:rPr>
            </w:pPr>
            <w:r w:rsidRPr="001564C8">
              <w:rPr>
                <w:bCs/>
                <w:color w:val="000000"/>
                <w:sz w:val="20"/>
                <w:szCs w:val="18"/>
              </w:rPr>
              <w:t>4,5</w:t>
            </w:r>
          </w:p>
        </w:tc>
        <w:tc>
          <w:tcPr>
            <w:tcW w:w="551" w:type="dxa"/>
            <w:tcBorders>
              <w:top w:val="nil"/>
              <w:left w:val="nil"/>
              <w:bottom w:val="nil"/>
              <w:right w:val="nil"/>
            </w:tcBorders>
            <w:shd w:val="clear" w:color="auto" w:fill="auto"/>
            <w:noWrap/>
            <w:vAlign w:val="center"/>
            <w:hideMark/>
          </w:tcPr>
          <w:p w14:paraId="6C33259D" w14:textId="77777777" w:rsidR="001A095A" w:rsidRPr="001564C8" w:rsidRDefault="001A095A" w:rsidP="00387AE5">
            <w:pPr>
              <w:jc w:val="center"/>
              <w:rPr>
                <w:bCs/>
                <w:color w:val="000000"/>
                <w:sz w:val="20"/>
                <w:szCs w:val="18"/>
              </w:rPr>
            </w:pPr>
            <w:r w:rsidRPr="001564C8">
              <w:rPr>
                <w:bCs/>
                <w:color w:val="000000"/>
                <w:sz w:val="20"/>
                <w:szCs w:val="18"/>
              </w:rPr>
              <w:t>3,8</w:t>
            </w:r>
          </w:p>
        </w:tc>
      </w:tr>
      <w:tr w:rsidR="001A095A" w:rsidRPr="001564C8" w14:paraId="5CA56206"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34935145"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8</w:t>
            </w:r>
          </w:p>
        </w:tc>
        <w:tc>
          <w:tcPr>
            <w:tcW w:w="4533" w:type="dxa"/>
            <w:tcBorders>
              <w:top w:val="nil"/>
              <w:left w:val="nil"/>
              <w:bottom w:val="nil"/>
              <w:right w:val="nil"/>
            </w:tcBorders>
            <w:shd w:val="clear" w:color="auto" w:fill="auto"/>
            <w:noWrap/>
            <w:vAlign w:val="center"/>
            <w:hideMark/>
          </w:tcPr>
          <w:p w14:paraId="12A19C7C" w14:textId="77777777" w:rsidR="001A095A" w:rsidRPr="001564C8" w:rsidRDefault="001A095A" w:rsidP="00387AE5">
            <w:pPr>
              <w:rPr>
                <w:rFonts w:cs="Times New Roman"/>
                <w:color w:val="000000"/>
                <w:sz w:val="20"/>
                <w:szCs w:val="20"/>
              </w:rPr>
            </w:pPr>
            <w:r w:rsidRPr="001564C8">
              <w:rPr>
                <w:rFonts w:cs="Arial"/>
                <w:color w:val="000000"/>
                <w:sz w:val="20"/>
                <w:szCs w:val="20"/>
              </w:rPr>
              <w:t>Produkčná medzera (podiel na potenciálnom produkte)</w:t>
            </w:r>
          </w:p>
        </w:tc>
        <w:tc>
          <w:tcPr>
            <w:tcW w:w="878" w:type="dxa"/>
            <w:tcBorders>
              <w:top w:val="nil"/>
              <w:left w:val="nil"/>
              <w:bottom w:val="nil"/>
              <w:right w:val="nil"/>
            </w:tcBorders>
            <w:shd w:val="clear" w:color="auto" w:fill="auto"/>
            <w:noWrap/>
            <w:vAlign w:val="center"/>
            <w:hideMark/>
          </w:tcPr>
          <w:p w14:paraId="5CFD0CE9"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72E53041" w14:textId="77777777" w:rsidR="001A095A" w:rsidRPr="001564C8" w:rsidRDefault="001A095A" w:rsidP="00387AE5">
            <w:pPr>
              <w:jc w:val="center"/>
              <w:rPr>
                <w:bCs/>
                <w:color w:val="000000"/>
                <w:sz w:val="20"/>
                <w:szCs w:val="18"/>
              </w:rPr>
            </w:pPr>
            <w:r w:rsidRPr="001564C8">
              <w:rPr>
                <w:bCs/>
                <w:color w:val="000000"/>
                <w:sz w:val="20"/>
                <w:szCs w:val="18"/>
              </w:rPr>
              <w:t>0,1</w:t>
            </w:r>
          </w:p>
        </w:tc>
        <w:tc>
          <w:tcPr>
            <w:tcW w:w="548" w:type="dxa"/>
            <w:tcBorders>
              <w:top w:val="nil"/>
              <w:left w:val="nil"/>
              <w:bottom w:val="nil"/>
              <w:right w:val="nil"/>
            </w:tcBorders>
            <w:shd w:val="clear" w:color="auto" w:fill="auto"/>
            <w:noWrap/>
            <w:vAlign w:val="center"/>
            <w:hideMark/>
          </w:tcPr>
          <w:p w14:paraId="5D791B75" w14:textId="77777777" w:rsidR="001A095A" w:rsidRPr="001564C8" w:rsidRDefault="001A095A" w:rsidP="00387AE5">
            <w:pPr>
              <w:jc w:val="center"/>
              <w:rPr>
                <w:bCs/>
                <w:color w:val="000000"/>
                <w:sz w:val="20"/>
                <w:szCs w:val="18"/>
              </w:rPr>
            </w:pPr>
            <w:r w:rsidRPr="001564C8">
              <w:rPr>
                <w:bCs/>
                <w:color w:val="000000"/>
                <w:sz w:val="20"/>
                <w:szCs w:val="18"/>
              </w:rPr>
              <w:t>0,9</w:t>
            </w:r>
          </w:p>
        </w:tc>
        <w:tc>
          <w:tcPr>
            <w:tcW w:w="523" w:type="dxa"/>
            <w:tcBorders>
              <w:top w:val="nil"/>
              <w:left w:val="nil"/>
              <w:bottom w:val="nil"/>
              <w:right w:val="nil"/>
            </w:tcBorders>
            <w:shd w:val="clear" w:color="auto" w:fill="auto"/>
            <w:noWrap/>
            <w:vAlign w:val="center"/>
            <w:hideMark/>
          </w:tcPr>
          <w:p w14:paraId="0A1F3C70" w14:textId="77777777" w:rsidR="001A095A" w:rsidRPr="001564C8" w:rsidRDefault="001A095A" w:rsidP="00387AE5">
            <w:pPr>
              <w:jc w:val="center"/>
              <w:rPr>
                <w:bCs/>
                <w:color w:val="000000"/>
                <w:sz w:val="20"/>
                <w:szCs w:val="18"/>
              </w:rPr>
            </w:pPr>
            <w:r w:rsidRPr="001564C8">
              <w:rPr>
                <w:bCs/>
                <w:color w:val="000000"/>
                <w:sz w:val="20"/>
                <w:szCs w:val="18"/>
              </w:rPr>
              <w:t>1,1</w:t>
            </w:r>
          </w:p>
        </w:tc>
        <w:tc>
          <w:tcPr>
            <w:tcW w:w="551" w:type="dxa"/>
            <w:tcBorders>
              <w:top w:val="nil"/>
              <w:left w:val="nil"/>
              <w:bottom w:val="nil"/>
              <w:right w:val="nil"/>
            </w:tcBorders>
            <w:shd w:val="clear" w:color="auto" w:fill="auto"/>
            <w:noWrap/>
            <w:vAlign w:val="center"/>
            <w:hideMark/>
          </w:tcPr>
          <w:p w14:paraId="6B5E3B7F" w14:textId="77777777" w:rsidR="001A095A" w:rsidRPr="001564C8" w:rsidRDefault="001A095A" w:rsidP="00387AE5">
            <w:pPr>
              <w:jc w:val="center"/>
              <w:rPr>
                <w:bCs/>
                <w:color w:val="000000"/>
                <w:sz w:val="20"/>
                <w:szCs w:val="18"/>
              </w:rPr>
            </w:pPr>
            <w:r w:rsidRPr="001564C8">
              <w:rPr>
                <w:bCs/>
                <w:color w:val="000000"/>
                <w:sz w:val="20"/>
                <w:szCs w:val="18"/>
              </w:rPr>
              <w:t>1,1</w:t>
            </w:r>
          </w:p>
        </w:tc>
        <w:tc>
          <w:tcPr>
            <w:tcW w:w="551" w:type="dxa"/>
            <w:tcBorders>
              <w:top w:val="nil"/>
              <w:left w:val="nil"/>
              <w:bottom w:val="nil"/>
              <w:right w:val="nil"/>
            </w:tcBorders>
            <w:shd w:val="clear" w:color="auto" w:fill="auto"/>
            <w:noWrap/>
            <w:vAlign w:val="center"/>
            <w:hideMark/>
          </w:tcPr>
          <w:p w14:paraId="191D7ACA" w14:textId="77777777" w:rsidR="001A095A" w:rsidRPr="001564C8" w:rsidRDefault="001A095A" w:rsidP="00387AE5">
            <w:pPr>
              <w:jc w:val="center"/>
              <w:rPr>
                <w:bCs/>
                <w:color w:val="000000"/>
                <w:sz w:val="20"/>
                <w:szCs w:val="18"/>
              </w:rPr>
            </w:pPr>
            <w:r w:rsidRPr="001564C8">
              <w:rPr>
                <w:bCs/>
                <w:color w:val="000000"/>
                <w:sz w:val="20"/>
                <w:szCs w:val="18"/>
              </w:rPr>
              <w:t>0,9</w:t>
            </w:r>
          </w:p>
        </w:tc>
        <w:tc>
          <w:tcPr>
            <w:tcW w:w="551" w:type="dxa"/>
            <w:tcBorders>
              <w:top w:val="nil"/>
              <w:left w:val="nil"/>
              <w:bottom w:val="nil"/>
              <w:right w:val="nil"/>
            </w:tcBorders>
            <w:shd w:val="clear" w:color="auto" w:fill="auto"/>
            <w:noWrap/>
            <w:vAlign w:val="center"/>
            <w:hideMark/>
          </w:tcPr>
          <w:p w14:paraId="1AFC5068" w14:textId="77777777" w:rsidR="001A095A" w:rsidRPr="001564C8" w:rsidRDefault="001A095A" w:rsidP="00387AE5">
            <w:pPr>
              <w:jc w:val="center"/>
              <w:rPr>
                <w:bCs/>
                <w:color w:val="000000"/>
                <w:sz w:val="20"/>
                <w:szCs w:val="18"/>
              </w:rPr>
            </w:pPr>
            <w:r w:rsidRPr="001564C8">
              <w:rPr>
                <w:bCs/>
                <w:color w:val="000000"/>
                <w:sz w:val="20"/>
                <w:szCs w:val="18"/>
              </w:rPr>
              <w:t>0,6</w:t>
            </w:r>
          </w:p>
        </w:tc>
      </w:tr>
      <w:tr w:rsidR="001A095A" w:rsidRPr="001564C8" w14:paraId="2B56FD6E"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4FAE5B84"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9</w:t>
            </w:r>
          </w:p>
        </w:tc>
        <w:tc>
          <w:tcPr>
            <w:tcW w:w="4533" w:type="dxa"/>
            <w:tcBorders>
              <w:top w:val="nil"/>
              <w:left w:val="nil"/>
              <w:bottom w:val="nil"/>
              <w:right w:val="nil"/>
            </w:tcBorders>
            <w:shd w:val="clear" w:color="auto" w:fill="auto"/>
            <w:noWrap/>
            <w:vAlign w:val="center"/>
            <w:hideMark/>
          </w:tcPr>
          <w:p w14:paraId="6EF9C0E6" w14:textId="77777777" w:rsidR="001A095A" w:rsidRPr="001564C8" w:rsidRDefault="001A095A" w:rsidP="00387AE5">
            <w:pPr>
              <w:rPr>
                <w:rFonts w:cs="Times New Roman"/>
                <w:color w:val="000000"/>
                <w:sz w:val="20"/>
                <w:szCs w:val="20"/>
              </w:rPr>
            </w:pPr>
            <w:r w:rsidRPr="001564C8">
              <w:rPr>
                <w:rFonts w:cs="Arial"/>
                <w:color w:val="000000"/>
                <w:sz w:val="20"/>
                <w:szCs w:val="20"/>
              </w:rPr>
              <w:t>Priem. mesačná mzda za hospodárstvo (nominálny rast)</w:t>
            </w:r>
          </w:p>
        </w:tc>
        <w:tc>
          <w:tcPr>
            <w:tcW w:w="878" w:type="dxa"/>
            <w:tcBorders>
              <w:top w:val="nil"/>
              <w:left w:val="nil"/>
              <w:bottom w:val="nil"/>
              <w:right w:val="nil"/>
            </w:tcBorders>
            <w:shd w:val="clear" w:color="auto" w:fill="auto"/>
            <w:noWrap/>
            <w:vAlign w:val="center"/>
            <w:hideMark/>
          </w:tcPr>
          <w:p w14:paraId="7E6A319C"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4AFE29D4" w14:textId="77777777" w:rsidR="001A095A" w:rsidRPr="001564C8" w:rsidRDefault="001A095A" w:rsidP="00387AE5">
            <w:pPr>
              <w:jc w:val="center"/>
              <w:rPr>
                <w:bCs/>
                <w:color w:val="000000"/>
                <w:sz w:val="20"/>
                <w:szCs w:val="18"/>
              </w:rPr>
            </w:pPr>
            <w:r w:rsidRPr="001564C8">
              <w:rPr>
                <w:bCs/>
                <w:color w:val="000000"/>
                <w:sz w:val="20"/>
                <w:szCs w:val="18"/>
              </w:rPr>
              <w:t>4,6</w:t>
            </w:r>
          </w:p>
        </w:tc>
        <w:tc>
          <w:tcPr>
            <w:tcW w:w="548" w:type="dxa"/>
            <w:tcBorders>
              <w:top w:val="nil"/>
              <w:left w:val="nil"/>
              <w:bottom w:val="nil"/>
              <w:right w:val="nil"/>
            </w:tcBorders>
            <w:shd w:val="clear" w:color="auto" w:fill="auto"/>
            <w:noWrap/>
            <w:vAlign w:val="center"/>
            <w:hideMark/>
          </w:tcPr>
          <w:p w14:paraId="1397831C" w14:textId="77777777" w:rsidR="001A095A" w:rsidRPr="00093B9E" w:rsidRDefault="001A095A" w:rsidP="00387AE5">
            <w:pPr>
              <w:jc w:val="center"/>
              <w:rPr>
                <w:bCs/>
                <w:color w:val="000000"/>
                <w:sz w:val="20"/>
                <w:szCs w:val="18"/>
              </w:rPr>
            </w:pPr>
            <w:r w:rsidRPr="00093B9E">
              <w:rPr>
                <w:bCs/>
                <w:color w:val="000000"/>
                <w:sz w:val="20"/>
                <w:szCs w:val="18"/>
              </w:rPr>
              <w:t>6,2</w:t>
            </w:r>
          </w:p>
        </w:tc>
        <w:tc>
          <w:tcPr>
            <w:tcW w:w="523" w:type="dxa"/>
            <w:tcBorders>
              <w:top w:val="nil"/>
              <w:left w:val="nil"/>
              <w:bottom w:val="nil"/>
              <w:right w:val="nil"/>
            </w:tcBorders>
            <w:shd w:val="clear" w:color="auto" w:fill="auto"/>
            <w:noWrap/>
            <w:vAlign w:val="center"/>
            <w:hideMark/>
          </w:tcPr>
          <w:p w14:paraId="368D7B86" w14:textId="56B6A0E9" w:rsidR="001A095A" w:rsidRPr="00093B9E" w:rsidRDefault="001A095A" w:rsidP="00387AE5">
            <w:pPr>
              <w:jc w:val="center"/>
              <w:rPr>
                <w:bCs/>
                <w:color w:val="000000"/>
                <w:sz w:val="20"/>
                <w:szCs w:val="18"/>
              </w:rPr>
            </w:pPr>
            <w:r w:rsidRPr="00093B9E">
              <w:rPr>
                <w:bCs/>
                <w:color w:val="000000"/>
                <w:sz w:val="20"/>
                <w:szCs w:val="18"/>
              </w:rPr>
              <w:t>6,</w:t>
            </w:r>
            <w:r w:rsidR="009369ED">
              <w:rPr>
                <w:bCs/>
                <w:color w:val="000000"/>
                <w:sz w:val="20"/>
                <w:szCs w:val="18"/>
              </w:rPr>
              <w:t>8**</w:t>
            </w:r>
          </w:p>
        </w:tc>
        <w:tc>
          <w:tcPr>
            <w:tcW w:w="551" w:type="dxa"/>
            <w:tcBorders>
              <w:top w:val="nil"/>
              <w:left w:val="nil"/>
              <w:bottom w:val="nil"/>
              <w:right w:val="nil"/>
            </w:tcBorders>
            <w:shd w:val="clear" w:color="auto" w:fill="auto"/>
            <w:noWrap/>
            <w:vAlign w:val="center"/>
            <w:hideMark/>
          </w:tcPr>
          <w:p w14:paraId="6CC89FEA" w14:textId="77777777" w:rsidR="001A095A" w:rsidRPr="001564C8" w:rsidRDefault="001A095A" w:rsidP="00387AE5">
            <w:pPr>
              <w:jc w:val="center"/>
              <w:rPr>
                <w:bCs/>
                <w:color w:val="000000"/>
                <w:sz w:val="20"/>
                <w:szCs w:val="18"/>
              </w:rPr>
            </w:pPr>
            <w:r w:rsidRPr="001564C8">
              <w:rPr>
                <w:bCs/>
                <w:color w:val="000000"/>
                <w:sz w:val="20"/>
                <w:szCs w:val="18"/>
              </w:rPr>
              <w:t>6,3</w:t>
            </w:r>
          </w:p>
        </w:tc>
        <w:tc>
          <w:tcPr>
            <w:tcW w:w="551" w:type="dxa"/>
            <w:tcBorders>
              <w:top w:val="nil"/>
              <w:left w:val="nil"/>
              <w:bottom w:val="nil"/>
              <w:right w:val="nil"/>
            </w:tcBorders>
            <w:shd w:val="clear" w:color="auto" w:fill="auto"/>
            <w:noWrap/>
            <w:vAlign w:val="center"/>
            <w:hideMark/>
          </w:tcPr>
          <w:p w14:paraId="67ABC4D9" w14:textId="77777777" w:rsidR="001A095A" w:rsidRPr="001564C8" w:rsidRDefault="001A095A" w:rsidP="00387AE5">
            <w:pPr>
              <w:jc w:val="center"/>
              <w:rPr>
                <w:bCs/>
                <w:color w:val="000000"/>
                <w:sz w:val="20"/>
                <w:szCs w:val="18"/>
              </w:rPr>
            </w:pPr>
            <w:r w:rsidRPr="001564C8">
              <w:rPr>
                <w:bCs/>
                <w:color w:val="000000"/>
                <w:sz w:val="20"/>
                <w:szCs w:val="18"/>
              </w:rPr>
              <w:t>5,3</w:t>
            </w:r>
          </w:p>
        </w:tc>
        <w:tc>
          <w:tcPr>
            <w:tcW w:w="551" w:type="dxa"/>
            <w:tcBorders>
              <w:top w:val="nil"/>
              <w:left w:val="nil"/>
              <w:bottom w:val="nil"/>
              <w:right w:val="nil"/>
            </w:tcBorders>
            <w:shd w:val="clear" w:color="auto" w:fill="auto"/>
            <w:noWrap/>
            <w:vAlign w:val="center"/>
            <w:hideMark/>
          </w:tcPr>
          <w:p w14:paraId="43ABA7F3" w14:textId="77777777" w:rsidR="001A095A" w:rsidRPr="001564C8" w:rsidRDefault="001A095A" w:rsidP="00387AE5">
            <w:pPr>
              <w:jc w:val="center"/>
              <w:rPr>
                <w:bCs/>
                <w:color w:val="000000"/>
                <w:sz w:val="20"/>
                <w:szCs w:val="18"/>
              </w:rPr>
            </w:pPr>
            <w:r w:rsidRPr="001564C8">
              <w:rPr>
                <w:bCs/>
                <w:color w:val="000000"/>
                <w:sz w:val="20"/>
                <w:szCs w:val="18"/>
              </w:rPr>
              <w:t>4,5</w:t>
            </w:r>
          </w:p>
        </w:tc>
      </w:tr>
      <w:tr w:rsidR="001A095A" w:rsidRPr="001564C8" w14:paraId="551D7C93"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43452ADF"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10</w:t>
            </w:r>
          </w:p>
        </w:tc>
        <w:tc>
          <w:tcPr>
            <w:tcW w:w="4533" w:type="dxa"/>
            <w:tcBorders>
              <w:top w:val="nil"/>
              <w:left w:val="nil"/>
              <w:bottom w:val="nil"/>
              <w:right w:val="nil"/>
            </w:tcBorders>
            <w:shd w:val="clear" w:color="auto" w:fill="auto"/>
            <w:noWrap/>
            <w:vAlign w:val="center"/>
            <w:hideMark/>
          </w:tcPr>
          <w:p w14:paraId="4F8A728B" w14:textId="77777777" w:rsidR="001A095A" w:rsidRPr="001564C8" w:rsidRDefault="001A095A" w:rsidP="00387AE5">
            <w:pPr>
              <w:rPr>
                <w:rFonts w:cs="Times New Roman"/>
                <w:color w:val="000000"/>
                <w:sz w:val="20"/>
                <w:szCs w:val="20"/>
              </w:rPr>
            </w:pPr>
            <w:r w:rsidRPr="001564C8">
              <w:rPr>
                <w:rFonts w:cs="Arial"/>
                <w:color w:val="000000"/>
                <w:sz w:val="20"/>
                <w:szCs w:val="20"/>
              </w:rPr>
              <w:t>Priemerný rast zamestnanosti, podľa VZPS</w:t>
            </w:r>
          </w:p>
        </w:tc>
        <w:tc>
          <w:tcPr>
            <w:tcW w:w="878" w:type="dxa"/>
            <w:tcBorders>
              <w:top w:val="nil"/>
              <w:left w:val="nil"/>
              <w:bottom w:val="nil"/>
              <w:right w:val="nil"/>
            </w:tcBorders>
            <w:shd w:val="clear" w:color="auto" w:fill="auto"/>
            <w:noWrap/>
            <w:vAlign w:val="center"/>
            <w:hideMark/>
          </w:tcPr>
          <w:p w14:paraId="0D592DEB"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14347AB" w14:textId="77777777" w:rsidR="001A095A" w:rsidRPr="001564C8" w:rsidRDefault="001A095A" w:rsidP="00387AE5">
            <w:pPr>
              <w:jc w:val="center"/>
              <w:rPr>
                <w:bCs/>
                <w:color w:val="000000"/>
                <w:sz w:val="20"/>
                <w:szCs w:val="18"/>
              </w:rPr>
            </w:pPr>
            <w:r w:rsidRPr="001564C8">
              <w:rPr>
                <w:bCs/>
                <w:color w:val="000000"/>
                <w:sz w:val="20"/>
                <w:szCs w:val="18"/>
              </w:rPr>
              <w:t>1,5</w:t>
            </w:r>
          </w:p>
        </w:tc>
        <w:tc>
          <w:tcPr>
            <w:tcW w:w="548" w:type="dxa"/>
            <w:tcBorders>
              <w:top w:val="nil"/>
              <w:left w:val="nil"/>
              <w:bottom w:val="nil"/>
              <w:right w:val="nil"/>
            </w:tcBorders>
            <w:shd w:val="clear" w:color="auto" w:fill="auto"/>
            <w:noWrap/>
            <w:vAlign w:val="center"/>
            <w:hideMark/>
          </w:tcPr>
          <w:p w14:paraId="7D2146E8" w14:textId="77777777" w:rsidR="001A095A" w:rsidRPr="00D40EAF" w:rsidRDefault="001A095A" w:rsidP="00387AE5">
            <w:pPr>
              <w:jc w:val="center"/>
              <w:rPr>
                <w:bCs/>
                <w:color w:val="000000"/>
                <w:sz w:val="20"/>
                <w:szCs w:val="18"/>
              </w:rPr>
            </w:pPr>
            <w:r w:rsidRPr="00093B9E">
              <w:rPr>
                <w:bCs/>
                <w:color w:val="000000"/>
                <w:sz w:val="20"/>
                <w:szCs w:val="18"/>
              </w:rPr>
              <w:t>1,4</w:t>
            </w:r>
          </w:p>
        </w:tc>
        <w:tc>
          <w:tcPr>
            <w:tcW w:w="523" w:type="dxa"/>
            <w:tcBorders>
              <w:top w:val="nil"/>
              <w:left w:val="nil"/>
              <w:bottom w:val="nil"/>
              <w:right w:val="nil"/>
            </w:tcBorders>
            <w:shd w:val="clear" w:color="auto" w:fill="auto"/>
            <w:noWrap/>
            <w:vAlign w:val="center"/>
            <w:hideMark/>
          </w:tcPr>
          <w:p w14:paraId="00AA1FAE" w14:textId="77777777" w:rsidR="001A095A" w:rsidRPr="001564C8" w:rsidRDefault="001A095A" w:rsidP="00387AE5">
            <w:pPr>
              <w:jc w:val="center"/>
              <w:rPr>
                <w:bCs/>
                <w:color w:val="000000"/>
                <w:sz w:val="20"/>
                <w:szCs w:val="18"/>
              </w:rPr>
            </w:pPr>
            <w:r w:rsidRPr="001564C8">
              <w:rPr>
                <w:bCs/>
                <w:color w:val="000000"/>
                <w:sz w:val="20"/>
                <w:szCs w:val="18"/>
              </w:rPr>
              <w:t>0,6</w:t>
            </w:r>
          </w:p>
        </w:tc>
        <w:tc>
          <w:tcPr>
            <w:tcW w:w="551" w:type="dxa"/>
            <w:tcBorders>
              <w:top w:val="nil"/>
              <w:left w:val="nil"/>
              <w:bottom w:val="nil"/>
              <w:right w:val="nil"/>
            </w:tcBorders>
            <w:shd w:val="clear" w:color="auto" w:fill="auto"/>
            <w:noWrap/>
            <w:vAlign w:val="center"/>
            <w:hideMark/>
          </w:tcPr>
          <w:p w14:paraId="198E112F" w14:textId="77777777" w:rsidR="001A095A" w:rsidRPr="001564C8" w:rsidRDefault="001A095A" w:rsidP="00387AE5">
            <w:pPr>
              <w:jc w:val="center"/>
              <w:rPr>
                <w:bCs/>
                <w:color w:val="000000"/>
                <w:sz w:val="20"/>
                <w:szCs w:val="18"/>
              </w:rPr>
            </w:pPr>
            <w:r w:rsidRPr="001564C8">
              <w:rPr>
                <w:bCs/>
                <w:color w:val="000000"/>
                <w:sz w:val="20"/>
                <w:szCs w:val="18"/>
              </w:rPr>
              <w:t>0,4</w:t>
            </w:r>
          </w:p>
        </w:tc>
        <w:tc>
          <w:tcPr>
            <w:tcW w:w="551" w:type="dxa"/>
            <w:tcBorders>
              <w:top w:val="nil"/>
              <w:left w:val="nil"/>
              <w:bottom w:val="nil"/>
              <w:right w:val="nil"/>
            </w:tcBorders>
            <w:shd w:val="clear" w:color="auto" w:fill="auto"/>
            <w:noWrap/>
            <w:vAlign w:val="center"/>
            <w:hideMark/>
          </w:tcPr>
          <w:p w14:paraId="7A35E9AD" w14:textId="77777777" w:rsidR="001A095A" w:rsidRPr="001564C8" w:rsidRDefault="001A095A" w:rsidP="00387AE5">
            <w:pPr>
              <w:jc w:val="center"/>
              <w:rPr>
                <w:bCs/>
                <w:color w:val="000000"/>
                <w:sz w:val="20"/>
                <w:szCs w:val="18"/>
              </w:rPr>
            </w:pPr>
            <w:r w:rsidRPr="001564C8">
              <w:rPr>
                <w:bCs/>
                <w:color w:val="000000"/>
                <w:sz w:val="20"/>
                <w:szCs w:val="18"/>
              </w:rPr>
              <w:t>0,2</w:t>
            </w:r>
          </w:p>
        </w:tc>
        <w:tc>
          <w:tcPr>
            <w:tcW w:w="551" w:type="dxa"/>
            <w:tcBorders>
              <w:top w:val="nil"/>
              <w:left w:val="nil"/>
              <w:bottom w:val="nil"/>
              <w:right w:val="nil"/>
            </w:tcBorders>
            <w:shd w:val="clear" w:color="auto" w:fill="auto"/>
            <w:noWrap/>
            <w:vAlign w:val="center"/>
            <w:hideMark/>
          </w:tcPr>
          <w:p w14:paraId="015280A2" w14:textId="77777777" w:rsidR="001A095A" w:rsidRPr="001564C8" w:rsidRDefault="001A095A" w:rsidP="00387AE5">
            <w:pPr>
              <w:jc w:val="center"/>
              <w:rPr>
                <w:bCs/>
                <w:color w:val="000000"/>
                <w:sz w:val="20"/>
                <w:szCs w:val="18"/>
              </w:rPr>
            </w:pPr>
            <w:r w:rsidRPr="001564C8">
              <w:rPr>
                <w:bCs/>
                <w:color w:val="000000"/>
                <w:sz w:val="20"/>
                <w:szCs w:val="18"/>
              </w:rPr>
              <w:t>0,2</w:t>
            </w:r>
          </w:p>
        </w:tc>
      </w:tr>
      <w:tr w:rsidR="001A095A" w:rsidRPr="001564C8" w14:paraId="1CE2CFEA"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6740F64F"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11</w:t>
            </w:r>
          </w:p>
        </w:tc>
        <w:tc>
          <w:tcPr>
            <w:tcW w:w="4533" w:type="dxa"/>
            <w:tcBorders>
              <w:top w:val="nil"/>
              <w:left w:val="nil"/>
              <w:bottom w:val="nil"/>
              <w:right w:val="nil"/>
            </w:tcBorders>
            <w:shd w:val="clear" w:color="auto" w:fill="auto"/>
            <w:vAlign w:val="center"/>
            <w:hideMark/>
          </w:tcPr>
          <w:p w14:paraId="42361103" w14:textId="77777777" w:rsidR="001A095A" w:rsidRPr="001564C8" w:rsidRDefault="001A095A" w:rsidP="00387AE5">
            <w:pPr>
              <w:rPr>
                <w:rFonts w:cs="Times New Roman"/>
                <w:color w:val="000000"/>
                <w:sz w:val="20"/>
                <w:szCs w:val="20"/>
              </w:rPr>
            </w:pPr>
            <w:r w:rsidRPr="001564C8">
              <w:rPr>
                <w:rFonts w:cs="Arial"/>
                <w:color w:val="000000"/>
                <w:sz w:val="20"/>
                <w:szCs w:val="20"/>
              </w:rPr>
              <w:t>Priemerný rast zamestnanosti, podľa ESA 2010</w:t>
            </w:r>
          </w:p>
        </w:tc>
        <w:tc>
          <w:tcPr>
            <w:tcW w:w="878" w:type="dxa"/>
            <w:tcBorders>
              <w:top w:val="nil"/>
              <w:left w:val="nil"/>
              <w:bottom w:val="nil"/>
              <w:right w:val="nil"/>
            </w:tcBorders>
            <w:shd w:val="clear" w:color="auto" w:fill="auto"/>
            <w:noWrap/>
            <w:vAlign w:val="center"/>
            <w:hideMark/>
          </w:tcPr>
          <w:p w14:paraId="2F37718A"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7D0B7F9D" w14:textId="77777777" w:rsidR="001A095A" w:rsidRPr="001564C8" w:rsidRDefault="001A095A" w:rsidP="00387AE5">
            <w:pPr>
              <w:jc w:val="center"/>
              <w:rPr>
                <w:bCs/>
                <w:color w:val="000000"/>
                <w:sz w:val="20"/>
                <w:szCs w:val="18"/>
              </w:rPr>
            </w:pPr>
            <w:r w:rsidRPr="001564C8">
              <w:rPr>
                <w:bCs/>
                <w:color w:val="000000"/>
                <w:sz w:val="20"/>
                <w:szCs w:val="18"/>
              </w:rPr>
              <w:t>2,2</w:t>
            </w:r>
          </w:p>
        </w:tc>
        <w:tc>
          <w:tcPr>
            <w:tcW w:w="548" w:type="dxa"/>
            <w:tcBorders>
              <w:top w:val="nil"/>
              <w:left w:val="nil"/>
              <w:bottom w:val="nil"/>
              <w:right w:val="nil"/>
            </w:tcBorders>
            <w:shd w:val="clear" w:color="auto" w:fill="auto"/>
            <w:noWrap/>
            <w:vAlign w:val="center"/>
            <w:hideMark/>
          </w:tcPr>
          <w:p w14:paraId="3D2BAAFD" w14:textId="77777777" w:rsidR="001A095A" w:rsidRPr="00093B9E" w:rsidRDefault="001A095A" w:rsidP="00387AE5">
            <w:pPr>
              <w:jc w:val="center"/>
              <w:rPr>
                <w:bCs/>
                <w:color w:val="000000"/>
                <w:sz w:val="20"/>
                <w:szCs w:val="18"/>
              </w:rPr>
            </w:pPr>
            <w:r w:rsidRPr="00093B9E">
              <w:rPr>
                <w:bCs/>
                <w:color w:val="000000"/>
                <w:sz w:val="20"/>
                <w:szCs w:val="18"/>
              </w:rPr>
              <w:t>2,0</w:t>
            </w:r>
          </w:p>
        </w:tc>
        <w:tc>
          <w:tcPr>
            <w:tcW w:w="523" w:type="dxa"/>
            <w:tcBorders>
              <w:top w:val="nil"/>
              <w:left w:val="nil"/>
              <w:bottom w:val="nil"/>
              <w:right w:val="nil"/>
            </w:tcBorders>
            <w:shd w:val="clear" w:color="auto" w:fill="auto"/>
            <w:noWrap/>
            <w:vAlign w:val="center"/>
            <w:hideMark/>
          </w:tcPr>
          <w:p w14:paraId="4F4B769D" w14:textId="77777777" w:rsidR="001A095A" w:rsidRPr="00093B9E" w:rsidRDefault="001A095A" w:rsidP="00387AE5">
            <w:pPr>
              <w:jc w:val="center"/>
              <w:rPr>
                <w:bCs/>
                <w:color w:val="000000"/>
                <w:sz w:val="20"/>
                <w:szCs w:val="18"/>
              </w:rPr>
            </w:pPr>
            <w:r w:rsidRPr="00093B9E">
              <w:rPr>
                <w:bCs/>
                <w:color w:val="000000"/>
                <w:sz w:val="20"/>
                <w:szCs w:val="18"/>
              </w:rPr>
              <w:t>1,1</w:t>
            </w:r>
          </w:p>
        </w:tc>
        <w:tc>
          <w:tcPr>
            <w:tcW w:w="551" w:type="dxa"/>
            <w:tcBorders>
              <w:top w:val="nil"/>
              <w:left w:val="nil"/>
              <w:bottom w:val="nil"/>
              <w:right w:val="nil"/>
            </w:tcBorders>
            <w:shd w:val="clear" w:color="auto" w:fill="auto"/>
            <w:noWrap/>
            <w:vAlign w:val="center"/>
            <w:hideMark/>
          </w:tcPr>
          <w:p w14:paraId="1D12428C" w14:textId="77777777" w:rsidR="001A095A" w:rsidRPr="00093B9E" w:rsidRDefault="001A095A" w:rsidP="00387AE5">
            <w:pPr>
              <w:jc w:val="center"/>
              <w:rPr>
                <w:bCs/>
                <w:color w:val="000000"/>
                <w:sz w:val="20"/>
                <w:szCs w:val="18"/>
              </w:rPr>
            </w:pPr>
            <w:r w:rsidRPr="00093B9E">
              <w:rPr>
                <w:bCs/>
                <w:color w:val="000000"/>
                <w:sz w:val="20"/>
                <w:szCs w:val="18"/>
              </w:rPr>
              <w:t>0,8</w:t>
            </w:r>
          </w:p>
        </w:tc>
        <w:tc>
          <w:tcPr>
            <w:tcW w:w="551" w:type="dxa"/>
            <w:tcBorders>
              <w:top w:val="nil"/>
              <w:left w:val="nil"/>
              <w:bottom w:val="nil"/>
              <w:right w:val="nil"/>
            </w:tcBorders>
            <w:shd w:val="clear" w:color="auto" w:fill="auto"/>
            <w:noWrap/>
            <w:vAlign w:val="center"/>
            <w:hideMark/>
          </w:tcPr>
          <w:p w14:paraId="608FC2B5" w14:textId="77777777" w:rsidR="001A095A" w:rsidRPr="001564C8" w:rsidRDefault="001A095A" w:rsidP="00387AE5">
            <w:pPr>
              <w:jc w:val="center"/>
              <w:rPr>
                <w:bCs/>
                <w:color w:val="000000"/>
                <w:sz w:val="20"/>
                <w:szCs w:val="18"/>
              </w:rPr>
            </w:pPr>
            <w:r w:rsidRPr="001564C8">
              <w:rPr>
                <w:bCs/>
                <w:color w:val="000000"/>
                <w:sz w:val="20"/>
                <w:szCs w:val="18"/>
              </w:rPr>
              <w:t>0,6</w:t>
            </w:r>
          </w:p>
        </w:tc>
        <w:tc>
          <w:tcPr>
            <w:tcW w:w="551" w:type="dxa"/>
            <w:tcBorders>
              <w:top w:val="nil"/>
              <w:left w:val="nil"/>
              <w:bottom w:val="nil"/>
              <w:right w:val="nil"/>
            </w:tcBorders>
            <w:shd w:val="clear" w:color="auto" w:fill="auto"/>
            <w:noWrap/>
            <w:vAlign w:val="center"/>
            <w:hideMark/>
          </w:tcPr>
          <w:p w14:paraId="062D8F65" w14:textId="77777777" w:rsidR="001A095A" w:rsidRPr="001564C8" w:rsidRDefault="001A095A" w:rsidP="00387AE5">
            <w:pPr>
              <w:jc w:val="center"/>
              <w:rPr>
                <w:bCs/>
                <w:color w:val="000000"/>
                <w:sz w:val="20"/>
                <w:szCs w:val="18"/>
              </w:rPr>
            </w:pPr>
            <w:r w:rsidRPr="001564C8">
              <w:rPr>
                <w:bCs/>
                <w:color w:val="000000"/>
                <w:sz w:val="20"/>
                <w:szCs w:val="18"/>
              </w:rPr>
              <w:t>0,5</w:t>
            </w:r>
          </w:p>
        </w:tc>
      </w:tr>
      <w:tr w:rsidR="001A095A" w:rsidRPr="001564C8" w14:paraId="7130E906"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444EFCA7"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12</w:t>
            </w:r>
          </w:p>
        </w:tc>
        <w:tc>
          <w:tcPr>
            <w:tcW w:w="4533" w:type="dxa"/>
            <w:tcBorders>
              <w:top w:val="nil"/>
              <w:left w:val="nil"/>
              <w:bottom w:val="nil"/>
              <w:right w:val="nil"/>
            </w:tcBorders>
            <w:shd w:val="clear" w:color="auto" w:fill="auto"/>
            <w:vAlign w:val="center"/>
            <w:hideMark/>
          </w:tcPr>
          <w:p w14:paraId="253F78CC" w14:textId="77777777" w:rsidR="001A095A" w:rsidRPr="001564C8" w:rsidRDefault="001A095A" w:rsidP="00387AE5">
            <w:pPr>
              <w:rPr>
                <w:rFonts w:cs="Times New Roman"/>
                <w:color w:val="000000"/>
                <w:sz w:val="20"/>
                <w:szCs w:val="20"/>
              </w:rPr>
            </w:pPr>
            <w:r w:rsidRPr="001564C8">
              <w:rPr>
                <w:rFonts w:cs="Arial"/>
                <w:color w:val="000000"/>
                <w:sz w:val="20"/>
                <w:szCs w:val="20"/>
              </w:rPr>
              <w:t>Priemerná miera nezamestnanosti, podľa VZPS</w:t>
            </w:r>
          </w:p>
        </w:tc>
        <w:tc>
          <w:tcPr>
            <w:tcW w:w="878" w:type="dxa"/>
            <w:tcBorders>
              <w:top w:val="nil"/>
              <w:left w:val="nil"/>
              <w:bottom w:val="nil"/>
              <w:right w:val="nil"/>
            </w:tcBorders>
            <w:shd w:val="clear" w:color="auto" w:fill="auto"/>
            <w:noWrap/>
            <w:vAlign w:val="center"/>
            <w:hideMark/>
          </w:tcPr>
          <w:p w14:paraId="0F09F3B1"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0BD68F04" w14:textId="77777777" w:rsidR="001A095A" w:rsidRPr="001564C8" w:rsidRDefault="001A095A" w:rsidP="00387AE5">
            <w:pPr>
              <w:jc w:val="center"/>
              <w:rPr>
                <w:bCs/>
                <w:color w:val="000000"/>
                <w:sz w:val="20"/>
                <w:szCs w:val="18"/>
              </w:rPr>
            </w:pPr>
            <w:r w:rsidRPr="001564C8">
              <w:rPr>
                <w:bCs/>
                <w:color w:val="000000"/>
                <w:sz w:val="20"/>
                <w:szCs w:val="18"/>
              </w:rPr>
              <w:t>8,1</w:t>
            </w:r>
          </w:p>
        </w:tc>
        <w:tc>
          <w:tcPr>
            <w:tcW w:w="548" w:type="dxa"/>
            <w:tcBorders>
              <w:top w:val="nil"/>
              <w:left w:val="nil"/>
              <w:bottom w:val="nil"/>
              <w:right w:val="nil"/>
            </w:tcBorders>
            <w:shd w:val="clear" w:color="auto" w:fill="auto"/>
            <w:noWrap/>
            <w:vAlign w:val="center"/>
            <w:hideMark/>
          </w:tcPr>
          <w:p w14:paraId="41394B65" w14:textId="77777777" w:rsidR="001A095A" w:rsidRPr="002C3DDC" w:rsidRDefault="001A095A" w:rsidP="00387AE5">
            <w:pPr>
              <w:jc w:val="center"/>
              <w:rPr>
                <w:bCs/>
                <w:color w:val="000000"/>
                <w:sz w:val="20"/>
                <w:szCs w:val="18"/>
              </w:rPr>
            </w:pPr>
            <w:r w:rsidRPr="002C3DDC">
              <w:rPr>
                <w:bCs/>
                <w:color w:val="000000"/>
                <w:sz w:val="20"/>
                <w:szCs w:val="18"/>
              </w:rPr>
              <w:t>6,6</w:t>
            </w:r>
          </w:p>
        </w:tc>
        <w:tc>
          <w:tcPr>
            <w:tcW w:w="523" w:type="dxa"/>
            <w:tcBorders>
              <w:top w:val="nil"/>
              <w:left w:val="nil"/>
              <w:bottom w:val="nil"/>
              <w:right w:val="nil"/>
            </w:tcBorders>
            <w:shd w:val="clear" w:color="auto" w:fill="auto"/>
            <w:noWrap/>
            <w:vAlign w:val="center"/>
            <w:hideMark/>
          </w:tcPr>
          <w:p w14:paraId="4E0E2B58" w14:textId="77777777" w:rsidR="001A095A" w:rsidRPr="002C3DDC" w:rsidRDefault="001A095A" w:rsidP="00387AE5">
            <w:pPr>
              <w:jc w:val="center"/>
              <w:rPr>
                <w:bCs/>
                <w:color w:val="000000"/>
                <w:sz w:val="20"/>
                <w:szCs w:val="18"/>
              </w:rPr>
            </w:pPr>
            <w:r w:rsidRPr="002C3DDC">
              <w:rPr>
                <w:bCs/>
                <w:color w:val="000000"/>
                <w:sz w:val="20"/>
                <w:szCs w:val="18"/>
              </w:rPr>
              <w:t>6,0</w:t>
            </w:r>
          </w:p>
        </w:tc>
        <w:tc>
          <w:tcPr>
            <w:tcW w:w="551" w:type="dxa"/>
            <w:tcBorders>
              <w:top w:val="nil"/>
              <w:left w:val="nil"/>
              <w:bottom w:val="nil"/>
              <w:right w:val="nil"/>
            </w:tcBorders>
            <w:shd w:val="clear" w:color="auto" w:fill="auto"/>
            <w:noWrap/>
            <w:vAlign w:val="center"/>
            <w:hideMark/>
          </w:tcPr>
          <w:p w14:paraId="10A1BE04" w14:textId="77777777" w:rsidR="001A095A" w:rsidRPr="00093B9E" w:rsidRDefault="001A095A" w:rsidP="00387AE5">
            <w:pPr>
              <w:jc w:val="center"/>
              <w:rPr>
                <w:bCs/>
                <w:color w:val="000000"/>
                <w:sz w:val="20"/>
                <w:szCs w:val="18"/>
              </w:rPr>
            </w:pPr>
            <w:r w:rsidRPr="00093B9E">
              <w:rPr>
                <w:bCs/>
                <w:color w:val="000000"/>
                <w:sz w:val="20"/>
                <w:szCs w:val="18"/>
              </w:rPr>
              <w:t>5,6</w:t>
            </w:r>
          </w:p>
        </w:tc>
        <w:tc>
          <w:tcPr>
            <w:tcW w:w="551" w:type="dxa"/>
            <w:tcBorders>
              <w:top w:val="nil"/>
              <w:left w:val="nil"/>
              <w:bottom w:val="nil"/>
              <w:right w:val="nil"/>
            </w:tcBorders>
            <w:shd w:val="clear" w:color="auto" w:fill="auto"/>
            <w:noWrap/>
            <w:vAlign w:val="center"/>
            <w:hideMark/>
          </w:tcPr>
          <w:p w14:paraId="28035A46" w14:textId="77777777" w:rsidR="001A095A" w:rsidRPr="001564C8" w:rsidRDefault="001A095A" w:rsidP="00387AE5">
            <w:pPr>
              <w:jc w:val="center"/>
              <w:rPr>
                <w:bCs/>
                <w:color w:val="000000"/>
                <w:sz w:val="20"/>
                <w:szCs w:val="18"/>
              </w:rPr>
            </w:pPr>
            <w:r w:rsidRPr="001564C8">
              <w:rPr>
                <w:bCs/>
                <w:color w:val="000000"/>
                <w:sz w:val="20"/>
                <w:szCs w:val="18"/>
              </w:rPr>
              <w:t>5,5</w:t>
            </w:r>
          </w:p>
        </w:tc>
        <w:tc>
          <w:tcPr>
            <w:tcW w:w="551" w:type="dxa"/>
            <w:tcBorders>
              <w:top w:val="nil"/>
              <w:left w:val="nil"/>
              <w:bottom w:val="nil"/>
              <w:right w:val="nil"/>
            </w:tcBorders>
            <w:shd w:val="clear" w:color="auto" w:fill="auto"/>
            <w:noWrap/>
            <w:vAlign w:val="center"/>
            <w:hideMark/>
          </w:tcPr>
          <w:p w14:paraId="23AAF976" w14:textId="77777777" w:rsidR="001A095A" w:rsidRPr="001564C8" w:rsidRDefault="001A095A" w:rsidP="00387AE5">
            <w:pPr>
              <w:jc w:val="center"/>
              <w:rPr>
                <w:bCs/>
                <w:color w:val="000000"/>
                <w:sz w:val="20"/>
                <w:szCs w:val="18"/>
              </w:rPr>
            </w:pPr>
            <w:r w:rsidRPr="001564C8">
              <w:rPr>
                <w:bCs/>
                <w:color w:val="000000"/>
                <w:sz w:val="20"/>
                <w:szCs w:val="18"/>
              </w:rPr>
              <w:t>5,3</w:t>
            </w:r>
          </w:p>
        </w:tc>
      </w:tr>
      <w:tr w:rsidR="001A095A" w:rsidRPr="001564C8" w14:paraId="01A73D5D"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7C687E1E"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13</w:t>
            </w:r>
          </w:p>
        </w:tc>
        <w:tc>
          <w:tcPr>
            <w:tcW w:w="4533" w:type="dxa"/>
            <w:tcBorders>
              <w:top w:val="nil"/>
              <w:left w:val="nil"/>
              <w:bottom w:val="nil"/>
              <w:right w:val="nil"/>
            </w:tcBorders>
            <w:shd w:val="clear" w:color="auto" w:fill="auto"/>
            <w:vAlign w:val="center"/>
            <w:hideMark/>
          </w:tcPr>
          <w:p w14:paraId="4FBB3750" w14:textId="77777777" w:rsidR="001A095A" w:rsidRPr="001564C8" w:rsidRDefault="001A095A" w:rsidP="00387AE5">
            <w:pPr>
              <w:rPr>
                <w:rFonts w:cs="Times New Roman"/>
                <w:color w:val="000000"/>
                <w:sz w:val="20"/>
                <w:szCs w:val="20"/>
              </w:rPr>
            </w:pPr>
            <w:r w:rsidRPr="001564C8">
              <w:rPr>
                <w:rFonts w:cs="Arial"/>
                <w:color w:val="000000"/>
                <w:sz w:val="20"/>
                <w:szCs w:val="20"/>
              </w:rPr>
              <w:t>Priemerná evidovaná miera nezamestnanosti</w:t>
            </w:r>
          </w:p>
        </w:tc>
        <w:tc>
          <w:tcPr>
            <w:tcW w:w="878" w:type="dxa"/>
            <w:tcBorders>
              <w:top w:val="nil"/>
              <w:left w:val="nil"/>
              <w:bottom w:val="nil"/>
              <w:right w:val="nil"/>
            </w:tcBorders>
            <w:shd w:val="clear" w:color="auto" w:fill="auto"/>
            <w:noWrap/>
            <w:vAlign w:val="center"/>
            <w:hideMark/>
          </w:tcPr>
          <w:p w14:paraId="5C45DFFD"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7FAEC446" w14:textId="77777777" w:rsidR="001A095A" w:rsidRPr="001564C8" w:rsidRDefault="001A095A" w:rsidP="00387AE5">
            <w:pPr>
              <w:jc w:val="center"/>
              <w:rPr>
                <w:bCs/>
                <w:color w:val="000000"/>
                <w:sz w:val="20"/>
                <w:szCs w:val="18"/>
              </w:rPr>
            </w:pPr>
            <w:r w:rsidRPr="001564C8">
              <w:rPr>
                <w:bCs/>
                <w:color w:val="000000"/>
                <w:sz w:val="20"/>
                <w:szCs w:val="18"/>
              </w:rPr>
              <w:t>7,1</w:t>
            </w:r>
          </w:p>
        </w:tc>
        <w:tc>
          <w:tcPr>
            <w:tcW w:w="548" w:type="dxa"/>
            <w:tcBorders>
              <w:top w:val="nil"/>
              <w:left w:val="nil"/>
              <w:bottom w:val="nil"/>
              <w:right w:val="nil"/>
            </w:tcBorders>
            <w:shd w:val="clear" w:color="auto" w:fill="auto"/>
            <w:noWrap/>
            <w:vAlign w:val="center"/>
            <w:hideMark/>
          </w:tcPr>
          <w:p w14:paraId="6EACA9B0" w14:textId="77777777" w:rsidR="001A095A" w:rsidRPr="00D40EAF" w:rsidRDefault="001A095A" w:rsidP="00387AE5">
            <w:pPr>
              <w:jc w:val="center"/>
              <w:rPr>
                <w:bCs/>
                <w:color w:val="000000"/>
                <w:sz w:val="20"/>
                <w:szCs w:val="18"/>
              </w:rPr>
            </w:pPr>
            <w:r w:rsidRPr="00093B9E">
              <w:rPr>
                <w:bCs/>
                <w:color w:val="000000"/>
                <w:sz w:val="20"/>
                <w:szCs w:val="18"/>
              </w:rPr>
              <w:t>5,4</w:t>
            </w:r>
          </w:p>
        </w:tc>
        <w:tc>
          <w:tcPr>
            <w:tcW w:w="523" w:type="dxa"/>
            <w:tcBorders>
              <w:top w:val="nil"/>
              <w:left w:val="nil"/>
              <w:bottom w:val="nil"/>
              <w:right w:val="nil"/>
            </w:tcBorders>
            <w:shd w:val="clear" w:color="auto" w:fill="auto"/>
            <w:noWrap/>
            <w:vAlign w:val="center"/>
            <w:hideMark/>
          </w:tcPr>
          <w:p w14:paraId="70F6B34E" w14:textId="77777777" w:rsidR="001A095A" w:rsidRPr="001564C8" w:rsidRDefault="001A095A" w:rsidP="00387AE5">
            <w:pPr>
              <w:jc w:val="center"/>
              <w:rPr>
                <w:bCs/>
                <w:color w:val="000000"/>
                <w:sz w:val="20"/>
                <w:szCs w:val="18"/>
              </w:rPr>
            </w:pPr>
            <w:r w:rsidRPr="001564C8">
              <w:rPr>
                <w:bCs/>
                <w:color w:val="000000"/>
                <w:sz w:val="20"/>
                <w:szCs w:val="18"/>
              </w:rPr>
              <w:t>4,8</w:t>
            </w:r>
          </w:p>
        </w:tc>
        <w:tc>
          <w:tcPr>
            <w:tcW w:w="551" w:type="dxa"/>
            <w:tcBorders>
              <w:top w:val="nil"/>
              <w:left w:val="nil"/>
              <w:bottom w:val="nil"/>
              <w:right w:val="nil"/>
            </w:tcBorders>
            <w:shd w:val="clear" w:color="auto" w:fill="auto"/>
            <w:noWrap/>
            <w:vAlign w:val="center"/>
            <w:hideMark/>
          </w:tcPr>
          <w:p w14:paraId="4349A69B" w14:textId="77777777" w:rsidR="001A095A" w:rsidRPr="001564C8" w:rsidRDefault="001A095A" w:rsidP="00387AE5">
            <w:pPr>
              <w:jc w:val="center"/>
              <w:rPr>
                <w:bCs/>
                <w:color w:val="000000"/>
                <w:sz w:val="20"/>
                <w:szCs w:val="18"/>
              </w:rPr>
            </w:pPr>
            <w:r w:rsidRPr="001564C8">
              <w:rPr>
                <w:bCs/>
                <w:color w:val="000000"/>
                <w:sz w:val="20"/>
                <w:szCs w:val="18"/>
              </w:rPr>
              <w:t>4,5</w:t>
            </w:r>
          </w:p>
        </w:tc>
        <w:tc>
          <w:tcPr>
            <w:tcW w:w="551" w:type="dxa"/>
            <w:tcBorders>
              <w:top w:val="nil"/>
              <w:left w:val="nil"/>
              <w:bottom w:val="nil"/>
              <w:right w:val="nil"/>
            </w:tcBorders>
            <w:shd w:val="clear" w:color="auto" w:fill="auto"/>
            <w:noWrap/>
            <w:vAlign w:val="center"/>
            <w:hideMark/>
          </w:tcPr>
          <w:p w14:paraId="7B89581B" w14:textId="77777777" w:rsidR="001A095A" w:rsidRPr="001564C8" w:rsidRDefault="001A095A" w:rsidP="00387AE5">
            <w:pPr>
              <w:jc w:val="center"/>
              <w:rPr>
                <w:bCs/>
                <w:color w:val="000000"/>
                <w:sz w:val="20"/>
                <w:szCs w:val="18"/>
              </w:rPr>
            </w:pPr>
            <w:r w:rsidRPr="001564C8">
              <w:rPr>
                <w:bCs/>
                <w:color w:val="000000"/>
                <w:sz w:val="20"/>
                <w:szCs w:val="18"/>
              </w:rPr>
              <w:t>4,4</w:t>
            </w:r>
          </w:p>
        </w:tc>
        <w:tc>
          <w:tcPr>
            <w:tcW w:w="551" w:type="dxa"/>
            <w:tcBorders>
              <w:top w:val="nil"/>
              <w:left w:val="nil"/>
              <w:bottom w:val="nil"/>
              <w:right w:val="nil"/>
            </w:tcBorders>
            <w:shd w:val="clear" w:color="auto" w:fill="auto"/>
            <w:noWrap/>
            <w:vAlign w:val="center"/>
            <w:hideMark/>
          </w:tcPr>
          <w:p w14:paraId="5F05EECE" w14:textId="77777777" w:rsidR="001A095A" w:rsidRPr="001564C8" w:rsidRDefault="001A095A" w:rsidP="00387AE5">
            <w:pPr>
              <w:jc w:val="center"/>
              <w:rPr>
                <w:bCs/>
                <w:color w:val="000000"/>
                <w:sz w:val="20"/>
                <w:szCs w:val="18"/>
              </w:rPr>
            </w:pPr>
            <w:r w:rsidRPr="001564C8">
              <w:rPr>
                <w:bCs/>
                <w:color w:val="000000"/>
                <w:sz w:val="20"/>
                <w:szCs w:val="18"/>
              </w:rPr>
              <w:t>4,3</w:t>
            </w:r>
          </w:p>
        </w:tc>
      </w:tr>
      <w:tr w:rsidR="001A095A" w:rsidRPr="001564C8" w14:paraId="5F219002" w14:textId="77777777" w:rsidTr="00387AE5">
        <w:trPr>
          <w:trHeight w:val="272"/>
          <w:jc w:val="center"/>
        </w:trPr>
        <w:tc>
          <w:tcPr>
            <w:tcW w:w="478" w:type="dxa"/>
            <w:tcBorders>
              <w:top w:val="nil"/>
              <w:left w:val="nil"/>
              <w:bottom w:val="nil"/>
              <w:right w:val="nil"/>
            </w:tcBorders>
            <w:shd w:val="clear" w:color="auto" w:fill="auto"/>
            <w:noWrap/>
            <w:vAlign w:val="center"/>
            <w:hideMark/>
          </w:tcPr>
          <w:p w14:paraId="07E9DB2D"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14</w:t>
            </w:r>
          </w:p>
        </w:tc>
        <w:tc>
          <w:tcPr>
            <w:tcW w:w="4533" w:type="dxa"/>
            <w:tcBorders>
              <w:top w:val="nil"/>
              <w:left w:val="nil"/>
              <w:bottom w:val="nil"/>
              <w:right w:val="nil"/>
            </w:tcBorders>
            <w:shd w:val="clear" w:color="auto" w:fill="auto"/>
            <w:vAlign w:val="center"/>
            <w:hideMark/>
          </w:tcPr>
          <w:p w14:paraId="3189FE47" w14:textId="77777777" w:rsidR="001A095A" w:rsidRPr="001564C8" w:rsidRDefault="001A095A" w:rsidP="00387AE5">
            <w:pPr>
              <w:rPr>
                <w:rFonts w:cs="Times New Roman"/>
                <w:color w:val="000000"/>
                <w:sz w:val="20"/>
                <w:szCs w:val="20"/>
              </w:rPr>
            </w:pPr>
            <w:r w:rsidRPr="001564C8">
              <w:rPr>
                <w:rFonts w:cs="Arial"/>
                <w:color w:val="000000"/>
                <w:sz w:val="20"/>
                <w:szCs w:val="20"/>
              </w:rPr>
              <w:t>Harmonizovaný index spotrebiteľských cien (HICP)</w:t>
            </w:r>
          </w:p>
        </w:tc>
        <w:tc>
          <w:tcPr>
            <w:tcW w:w="878" w:type="dxa"/>
            <w:tcBorders>
              <w:top w:val="nil"/>
              <w:left w:val="nil"/>
              <w:bottom w:val="nil"/>
              <w:right w:val="nil"/>
            </w:tcBorders>
            <w:shd w:val="clear" w:color="auto" w:fill="auto"/>
            <w:noWrap/>
            <w:vAlign w:val="center"/>
            <w:hideMark/>
          </w:tcPr>
          <w:p w14:paraId="15ECC03A"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nil"/>
              <w:right w:val="nil"/>
            </w:tcBorders>
            <w:shd w:val="clear" w:color="auto" w:fill="auto"/>
            <w:noWrap/>
            <w:vAlign w:val="center"/>
            <w:hideMark/>
          </w:tcPr>
          <w:p w14:paraId="36972569" w14:textId="77777777" w:rsidR="001A095A" w:rsidRPr="001564C8" w:rsidRDefault="001A095A" w:rsidP="00387AE5">
            <w:pPr>
              <w:jc w:val="center"/>
              <w:rPr>
                <w:bCs/>
                <w:color w:val="000000"/>
                <w:sz w:val="20"/>
                <w:szCs w:val="18"/>
              </w:rPr>
            </w:pPr>
            <w:r w:rsidRPr="001564C8">
              <w:rPr>
                <w:bCs/>
                <w:color w:val="000000"/>
                <w:sz w:val="20"/>
                <w:szCs w:val="18"/>
              </w:rPr>
              <w:t>1,4</w:t>
            </w:r>
          </w:p>
        </w:tc>
        <w:tc>
          <w:tcPr>
            <w:tcW w:w="548" w:type="dxa"/>
            <w:tcBorders>
              <w:top w:val="nil"/>
              <w:left w:val="nil"/>
              <w:bottom w:val="nil"/>
              <w:right w:val="nil"/>
            </w:tcBorders>
            <w:shd w:val="clear" w:color="auto" w:fill="auto"/>
            <w:noWrap/>
            <w:vAlign w:val="center"/>
            <w:hideMark/>
          </w:tcPr>
          <w:p w14:paraId="5F82EF0B" w14:textId="77777777" w:rsidR="001A095A" w:rsidRPr="001564C8" w:rsidRDefault="001A095A" w:rsidP="00387AE5">
            <w:pPr>
              <w:jc w:val="center"/>
              <w:rPr>
                <w:bCs/>
                <w:color w:val="000000"/>
                <w:sz w:val="20"/>
                <w:szCs w:val="18"/>
              </w:rPr>
            </w:pPr>
            <w:r w:rsidRPr="001564C8">
              <w:rPr>
                <w:bCs/>
                <w:color w:val="000000"/>
                <w:sz w:val="20"/>
                <w:szCs w:val="18"/>
              </w:rPr>
              <w:t>2,5</w:t>
            </w:r>
          </w:p>
        </w:tc>
        <w:tc>
          <w:tcPr>
            <w:tcW w:w="523" w:type="dxa"/>
            <w:tcBorders>
              <w:top w:val="nil"/>
              <w:left w:val="nil"/>
              <w:bottom w:val="nil"/>
              <w:right w:val="nil"/>
            </w:tcBorders>
            <w:shd w:val="clear" w:color="auto" w:fill="auto"/>
            <w:noWrap/>
            <w:vAlign w:val="center"/>
            <w:hideMark/>
          </w:tcPr>
          <w:p w14:paraId="3D195C80" w14:textId="77777777" w:rsidR="001A095A" w:rsidRPr="001564C8" w:rsidRDefault="001A095A" w:rsidP="00387AE5">
            <w:pPr>
              <w:jc w:val="center"/>
              <w:rPr>
                <w:bCs/>
                <w:color w:val="000000"/>
                <w:sz w:val="20"/>
                <w:szCs w:val="18"/>
              </w:rPr>
            </w:pPr>
            <w:r w:rsidRPr="001564C8">
              <w:rPr>
                <w:bCs/>
                <w:color w:val="000000"/>
                <w:sz w:val="20"/>
                <w:szCs w:val="18"/>
              </w:rPr>
              <w:t>2,6</w:t>
            </w:r>
          </w:p>
        </w:tc>
        <w:tc>
          <w:tcPr>
            <w:tcW w:w="551" w:type="dxa"/>
            <w:tcBorders>
              <w:top w:val="nil"/>
              <w:left w:val="nil"/>
              <w:bottom w:val="nil"/>
              <w:right w:val="nil"/>
            </w:tcBorders>
            <w:shd w:val="clear" w:color="auto" w:fill="auto"/>
            <w:noWrap/>
            <w:vAlign w:val="center"/>
            <w:hideMark/>
          </w:tcPr>
          <w:p w14:paraId="10FE7CBC" w14:textId="77777777" w:rsidR="001A095A" w:rsidRPr="001564C8" w:rsidRDefault="001A095A" w:rsidP="00387AE5">
            <w:pPr>
              <w:jc w:val="center"/>
              <w:rPr>
                <w:bCs/>
                <w:color w:val="000000"/>
                <w:sz w:val="20"/>
                <w:szCs w:val="18"/>
              </w:rPr>
            </w:pPr>
            <w:r w:rsidRPr="001564C8">
              <w:rPr>
                <w:bCs/>
                <w:color w:val="000000"/>
                <w:sz w:val="20"/>
                <w:szCs w:val="18"/>
              </w:rPr>
              <w:t>2,4</w:t>
            </w:r>
          </w:p>
        </w:tc>
        <w:tc>
          <w:tcPr>
            <w:tcW w:w="551" w:type="dxa"/>
            <w:tcBorders>
              <w:top w:val="nil"/>
              <w:left w:val="nil"/>
              <w:bottom w:val="nil"/>
              <w:right w:val="nil"/>
            </w:tcBorders>
            <w:shd w:val="clear" w:color="auto" w:fill="auto"/>
            <w:noWrap/>
            <w:vAlign w:val="center"/>
            <w:hideMark/>
          </w:tcPr>
          <w:p w14:paraId="0E03F0CC" w14:textId="77777777" w:rsidR="001A095A" w:rsidRPr="001564C8" w:rsidRDefault="001A095A" w:rsidP="00387AE5">
            <w:pPr>
              <w:jc w:val="center"/>
              <w:rPr>
                <w:bCs/>
                <w:color w:val="000000"/>
                <w:sz w:val="20"/>
                <w:szCs w:val="18"/>
              </w:rPr>
            </w:pPr>
            <w:r w:rsidRPr="001564C8">
              <w:rPr>
                <w:bCs/>
                <w:color w:val="000000"/>
                <w:sz w:val="20"/>
                <w:szCs w:val="18"/>
              </w:rPr>
              <w:t>2,4</w:t>
            </w:r>
          </w:p>
        </w:tc>
        <w:tc>
          <w:tcPr>
            <w:tcW w:w="551" w:type="dxa"/>
            <w:tcBorders>
              <w:top w:val="nil"/>
              <w:left w:val="nil"/>
              <w:bottom w:val="nil"/>
              <w:right w:val="nil"/>
            </w:tcBorders>
            <w:shd w:val="clear" w:color="auto" w:fill="auto"/>
            <w:noWrap/>
            <w:vAlign w:val="center"/>
            <w:hideMark/>
          </w:tcPr>
          <w:p w14:paraId="483973F0" w14:textId="77777777" w:rsidR="001A095A" w:rsidRPr="001564C8" w:rsidRDefault="001A095A" w:rsidP="00387AE5">
            <w:pPr>
              <w:jc w:val="center"/>
              <w:rPr>
                <w:bCs/>
                <w:color w:val="000000"/>
                <w:sz w:val="20"/>
                <w:szCs w:val="18"/>
              </w:rPr>
            </w:pPr>
            <w:r w:rsidRPr="001564C8">
              <w:rPr>
                <w:bCs/>
                <w:color w:val="000000"/>
                <w:sz w:val="20"/>
                <w:szCs w:val="18"/>
              </w:rPr>
              <w:t>2,4</w:t>
            </w:r>
          </w:p>
        </w:tc>
      </w:tr>
      <w:tr w:rsidR="001A095A" w:rsidRPr="001564C8" w14:paraId="2E03B775" w14:textId="77777777" w:rsidTr="00387AE5">
        <w:trPr>
          <w:trHeight w:val="272"/>
          <w:jc w:val="center"/>
        </w:trPr>
        <w:tc>
          <w:tcPr>
            <w:tcW w:w="478" w:type="dxa"/>
            <w:tcBorders>
              <w:top w:val="nil"/>
              <w:left w:val="nil"/>
              <w:bottom w:val="single" w:sz="8" w:space="0" w:color="auto"/>
              <w:right w:val="nil"/>
            </w:tcBorders>
            <w:shd w:val="clear" w:color="auto" w:fill="auto"/>
            <w:noWrap/>
            <w:vAlign w:val="center"/>
            <w:hideMark/>
          </w:tcPr>
          <w:p w14:paraId="259E840E"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15</w:t>
            </w:r>
          </w:p>
        </w:tc>
        <w:tc>
          <w:tcPr>
            <w:tcW w:w="4533" w:type="dxa"/>
            <w:tcBorders>
              <w:top w:val="nil"/>
              <w:left w:val="nil"/>
              <w:bottom w:val="single" w:sz="8" w:space="0" w:color="auto"/>
              <w:right w:val="nil"/>
            </w:tcBorders>
            <w:shd w:val="clear" w:color="auto" w:fill="auto"/>
            <w:vAlign w:val="center"/>
            <w:hideMark/>
          </w:tcPr>
          <w:p w14:paraId="4D3CD312" w14:textId="77777777" w:rsidR="001A095A" w:rsidRPr="001564C8" w:rsidRDefault="001A095A" w:rsidP="00387AE5">
            <w:pPr>
              <w:rPr>
                <w:rFonts w:cs="Times New Roman"/>
                <w:color w:val="000000"/>
                <w:sz w:val="20"/>
                <w:szCs w:val="20"/>
              </w:rPr>
            </w:pPr>
            <w:r w:rsidRPr="001564C8">
              <w:rPr>
                <w:rFonts w:cs="Arial"/>
                <w:color w:val="000000"/>
                <w:sz w:val="20"/>
                <w:szCs w:val="20"/>
              </w:rPr>
              <w:t>Bilancia bežného účtu (podiel na HDP)</w:t>
            </w:r>
          </w:p>
        </w:tc>
        <w:tc>
          <w:tcPr>
            <w:tcW w:w="878" w:type="dxa"/>
            <w:tcBorders>
              <w:top w:val="nil"/>
              <w:left w:val="nil"/>
              <w:bottom w:val="single" w:sz="8" w:space="0" w:color="auto"/>
              <w:right w:val="nil"/>
            </w:tcBorders>
            <w:shd w:val="clear" w:color="auto" w:fill="auto"/>
            <w:noWrap/>
            <w:vAlign w:val="center"/>
            <w:hideMark/>
          </w:tcPr>
          <w:p w14:paraId="317A260B" w14:textId="77777777" w:rsidR="001A095A" w:rsidRPr="001564C8" w:rsidRDefault="001A095A" w:rsidP="00387AE5">
            <w:pPr>
              <w:jc w:val="center"/>
              <w:rPr>
                <w:rFonts w:cs="Times New Roman"/>
                <w:color w:val="000000"/>
                <w:sz w:val="20"/>
                <w:szCs w:val="20"/>
              </w:rPr>
            </w:pPr>
            <w:r w:rsidRPr="001564C8">
              <w:rPr>
                <w:rFonts w:cs="Arial"/>
                <w:color w:val="000000"/>
                <w:sz w:val="20"/>
                <w:szCs w:val="20"/>
              </w:rPr>
              <w:t>%</w:t>
            </w:r>
          </w:p>
        </w:tc>
        <w:tc>
          <w:tcPr>
            <w:tcW w:w="548" w:type="dxa"/>
            <w:tcBorders>
              <w:top w:val="nil"/>
              <w:left w:val="nil"/>
              <w:bottom w:val="single" w:sz="8" w:space="0" w:color="auto"/>
              <w:right w:val="nil"/>
            </w:tcBorders>
            <w:shd w:val="clear" w:color="auto" w:fill="auto"/>
            <w:noWrap/>
            <w:vAlign w:val="center"/>
            <w:hideMark/>
          </w:tcPr>
          <w:p w14:paraId="361238EE" w14:textId="77777777" w:rsidR="001A095A" w:rsidRPr="001564C8" w:rsidRDefault="001A095A" w:rsidP="00387AE5">
            <w:pPr>
              <w:jc w:val="center"/>
              <w:rPr>
                <w:bCs/>
                <w:color w:val="000000"/>
                <w:sz w:val="20"/>
                <w:szCs w:val="18"/>
              </w:rPr>
            </w:pPr>
            <w:r w:rsidRPr="001564C8">
              <w:rPr>
                <w:bCs/>
                <w:color w:val="000000"/>
                <w:sz w:val="20"/>
                <w:szCs w:val="18"/>
              </w:rPr>
              <w:t>-2,0</w:t>
            </w:r>
          </w:p>
        </w:tc>
        <w:tc>
          <w:tcPr>
            <w:tcW w:w="548" w:type="dxa"/>
            <w:tcBorders>
              <w:top w:val="nil"/>
              <w:left w:val="nil"/>
              <w:bottom w:val="single" w:sz="8" w:space="0" w:color="auto"/>
              <w:right w:val="nil"/>
            </w:tcBorders>
            <w:shd w:val="clear" w:color="auto" w:fill="auto"/>
            <w:noWrap/>
            <w:vAlign w:val="center"/>
            <w:hideMark/>
          </w:tcPr>
          <w:p w14:paraId="741EE07E" w14:textId="77777777" w:rsidR="001A095A" w:rsidRPr="001564C8" w:rsidRDefault="001A095A" w:rsidP="00387AE5">
            <w:pPr>
              <w:jc w:val="center"/>
              <w:rPr>
                <w:bCs/>
                <w:color w:val="000000"/>
                <w:sz w:val="20"/>
                <w:szCs w:val="18"/>
              </w:rPr>
            </w:pPr>
            <w:r w:rsidRPr="001564C8">
              <w:rPr>
                <w:bCs/>
                <w:color w:val="000000"/>
                <w:sz w:val="20"/>
                <w:szCs w:val="18"/>
              </w:rPr>
              <w:t>-2,5</w:t>
            </w:r>
          </w:p>
        </w:tc>
        <w:tc>
          <w:tcPr>
            <w:tcW w:w="523" w:type="dxa"/>
            <w:tcBorders>
              <w:top w:val="nil"/>
              <w:left w:val="nil"/>
              <w:bottom w:val="single" w:sz="8" w:space="0" w:color="auto"/>
              <w:right w:val="nil"/>
            </w:tcBorders>
            <w:shd w:val="clear" w:color="auto" w:fill="auto"/>
            <w:noWrap/>
            <w:vAlign w:val="center"/>
            <w:hideMark/>
          </w:tcPr>
          <w:p w14:paraId="5F974067" w14:textId="77777777" w:rsidR="001A095A" w:rsidRPr="001564C8" w:rsidRDefault="001A095A" w:rsidP="00387AE5">
            <w:pPr>
              <w:jc w:val="center"/>
              <w:rPr>
                <w:bCs/>
                <w:color w:val="000000"/>
                <w:sz w:val="20"/>
                <w:szCs w:val="18"/>
              </w:rPr>
            </w:pPr>
            <w:r w:rsidRPr="001564C8">
              <w:rPr>
                <w:bCs/>
                <w:color w:val="000000"/>
                <w:sz w:val="20"/>
                <w:szCs w:val="18"/>
              </w:rPr>
              <w:t>-2,0</w:t>
            </w:r>
          </w:p>
        </w:tc>
        <w:tc>
          <w:tcPr>
            <w:tcW w:w="551" w:type="dxa"/>
            <w:tcBorders>
              <w:top w:val="nil"/>
              <w:left w:val="nil"/>
              <w:bottom w:val="single" w:sz="8" w:space="0" w:color="auto"/>
              <w:right w:val="nil"/>
            </w:tcBorders>
            <w:shd w:val="clear" w:color="auto" w:fill="auto"/>
            <w:noWrap/>
            <w:vAlign w:val="center"/>
            <w:hideMark/>
          </w:tcPr>
          <w:p w14:paraId="488E885C" w14:textId="77777777" w:rsidR="001A095A" w:rsidRPr="001564C8" w:rsidRDefault="001A095A" w:rsidP="00387AE5">
            <w:pPr>
              <w:jc w:val="center"/>
              <w:rPr>
                <w:bCs/>
                <w:color w:val="000000"/>
                <w:sz w:val="20"/>
                <w:szCs w:val="18"/>
              </w:rPr>
            </w:pPr>
            <w:r w:rsidRPr="001564C8">
              <w:rPr>
                <w:bCs/>
                <w:color w:val="000000"/>
                <w:sz w:val="20"/>
                <w:szCs w:val="18"/>
              </w:rPr>
              <w:t>-1,5</w:t>
            </w:r>
          </w:p>
        </w:tc>
        <w:tc>
          <w:tcPr>
            <w:tcW w:w="551" w:type="dxa"/>
            <w:tcBorders>
              <w:top w:val="nil"/>
              <w:left w:val="nil"/>
              <w:bottom w:val="single" w:sz="8" w:space="0" w:color="auto"/>
              <w:right w:val="nil"/>
            </w:tcBorders>
            <w:shd w:val="clear" w:color="auto" w:fill="auto"/>
            <w:noWrap/>
            <w:vAlign w:val="center"/>
            <w:hideMark/>
          </w:tcPr>
          <w:p w14:paraId="1F11FC34" w14:textId="77777777" w:rsidR="001A095A" w:rsidRPr="001564C8" w:rsidRDefault="001A095A" w:rsidP="00387AE5">
            <w:pPr>
              <w:jc w:val="center"/>
              <w:rPr>
                <w:bCs/>
                <w:color w:val="000000"/>
                <w:sz w:val="20"/>
                <w:szCs w:val="18"/>
              </w:rPr>
            </w:pPr>
            <w:r w:rsidRPr="001564C8">
              <w:rPr>
                <w:bCs/>
                <w:color w:val="000000"/>
                <w:sz w:val="20"/>
                <w:szCs w:val="18"/>
              </w:rPr>
              <w:t>-1,1</w:t>
            </w:r>
          </w:p>
        </w:tc>
        <w:tc>
          <w:tcPr>
            <w:tcW w:w="551" w:type="dxa"/>
            <w:tcBorders>
              <w:top w:val="nil"/>
              <w:left w:val="nil"/>
              <w:bottom w:val="single" w:sz="8" w:space="0" w:color="auto"/>
              <w:right w:val="nil"/>
            </w:tcBorders>
            <w:shd w:val="clear" w:color="auto" w:fill="auto"/>
            <w:noWrap/>
            <w:vAlign w:val="center"/>
            <w:hideMark/>
          </w:tcPr>
          <w:p w14:paraId="10051502" w14:textId="77777777" w:rsidR="001A095A" w:rsidRPr="001564C8" w:rsidRDefault="001A095A" w:rsidP="00387AE5">
            <w:pPr>
              <w:jc w:val="center"/>
              <w:rPr>
                <w:bCs/>
                <w:color w:val="000000"/>
                <w:sz w:val="20"/>
                <w:szCs w:val="18"/>
              </w:rPr>
            </w:pPr>
            <w:r w:rsidRPr="001564C8">
              <w:rPr>
                <w:bCs/>
                <w:color w:val="000000"/>
                <w:sz w:val="20"/>
                <w:szCs w:val="18"/>
              </w:rPr>
              <w:t>-1,0</w:t>
            </w:r>
          </w:p>
        </w:tc>
      </w:tr>
      <w:tr w:rsidR="001A095A" w:rsidRPr="00E76875" w14:paraId="5E2E5C3A" w14:textId="77777777" w:rsidTr="00387AE5">
        <w:trPr>
          <w:trHeight w:val="227"/>
          <w:jc w:val="center"/>
        </w:trPr>
        <w:tc>
          <w:tcPr>
            <w:tcW w:w="9161" w:type="dxa"/>
            <w:gridSpan w:val="9"/>
            <w:tcBorders>
              <w:top w:val="single" w:sz="8" w:space="0" w:color="auto"/>
              <w:left w:val="nil"/>
              <w:bottom w:val="nil"/>
              <w:right w:val="nil"/>
            </w:tcBorders>
            <w:shd w:val="clear" w:color="auto" w:fill="auto"/>
            <w:noWrap/>
            <w:vAlign w:val="center"/>
            <w:hideMark/>
          </w:tcPr>
          <w:p w14:paraId="674B493C" w14:textId="77777777" w:rsidR="009369ED" w:rsidRDefault="001A095A" w:rsidP="00D52A81">
            <w:pPr>
              <w:pStyle w:val="poznmka"/>
              <w:jc w:val="left"/>
            </w:pPr>
            <w:r>
              <w:t xml:space="preserve">* </w:t>
            </w:r>
            <w:r w:rsidR="00746D97" w:rsidRPr="00746D97">
              <w:t>Prognóza HDP v bežných cenách na roky 2019 až 2022 bola zostavená reťazením medziročných zmien HDP (publikovaných Výborom pre makroekonomické prognózy v januári 2019) na zverejnenú skutočnosť za 2018 podľa ŠÚ SR. Vzniknutý nový časový rad je použitý aj v ďalších častiach dokumentu.</w:t>
            </w:r>
          </w:p>
          <w:p w14:paraId="5FA1D327" w14:textId="0FE27F01" w:rsidR="001A095A" w:rsidRPr="001564C8" w:rsidRDefault="009369ED" w:rsidP="00D52A81">
            <w:pPr>
              <w:pStyle w:val="poznmka"/>
              <w:jc w:val="left"/>
              <w:rPr>
                <w:rFonts w:cs="Times New Roman"/>
              </w:rPr>
            </w:pPr>
            <w:r>
              <w:t xml:space="preserve">**Rast je upravený na základe zverejnenej skutočnosti pre rok 2018. </w:t>
            </w:r>
            <w:r w:rsidR="00746D97" w:rsidRPr="00746D97">
              <w:t xml:space="preserve"> </w:t>
            </w:r>
            <w:r w:rsidR="001A095A" w:rsidRPr="001564C8">
              <w:t xml:space="preserve">   </w:t>
            </w:r>
            <w:r w:rsidR="00D52A81">
              <w:t xml:space="preserve">     </w:t>
            </w:r>
            <w:r w:rsidR="001A095A" w:rsidRPr="001564C8">
              <w:t xml:space="preserve">                                                                              </w:t>
            </w:r>
            <w:r w:rsidR="00D52A81">
              <w:t xml:space="preserve"> </w:t>
            </w:r>
            <w:r w:rsidR="001A095A" w:rsidRPr="001564C8">
              <w:t xml:space="preserve">        </w:t>
            </w:r>
            <w:r w:rsidR="00C02822">
              <w:t xml:space="preserve">                   </w:t>
            </w:r>
            <w:r w:rsidR="00D52A81" w:rsidRPr="001564C8">
              <w:t>Zdroj: MF SR</w:t>
            </w:r>
            <w:r w:rsidR="00C02822">
              <w:t xml:space="preserve">            </w:t>
            </w:r>
            <w:r w:rsidR="001A095A" w:rsidRPr="001564C8">
              <w:t xml:space="preserve">           </w:t>
            </w:r>
            <w:r w:rsidR="003F6502">
              <w:t xml:space="preserve">                                                                 </w:t>
            </w:r>
            <w:r w:rsidR="00D52A81">
              <w:t xml:space="preserve">                      </w:t>
            </w:r>
          </w:p>
        </w:tc>
      </w:tr>
    </w:tbl>
    <w:p w14:paraId="33950DD7" w14:textId="77777777" w:rsidR="001A095A" w:rsidRPr="00E76875" w:rsidRDefault="001A095A" w:rsidP="001A095A">
      <w:pPr>
        <w:rPr>
          <w:highlight w:val="yellow"/>
        </w:rPr>
      </w:pPr>
    </w:p>
    <w:p w14:paraId="7840B2BD" w14:textId="77777777" w:rsidR="001A095A" w:rsidRDefault="001A095A" w:rsidP="001A095A">
      <w:pPr>
        <w:jc w:val="both"/>
        <w:rPr>
          <w:rFonts w:cs="NeueHaasGroteskText W02"/>
        </w:rPr>
      </w:pPr>
      <w:r w:rsidRPr="00205FFE">
        <w:rPr>
          <w:b/>
        </w:rPr>
        <w:t xml:space="preserve">Trh práce v tomto roku mierne zvoľní a zamestnanosť sa zvýši o 1,1 %. </w:t>
      </w:r>
      <w:r w:rsidRPr="00205FFE">
        <w:rPr>
          <w:rFonts w:cs="NeueHaasGroteskText W02"/>
          <w:b/>
        </w:rPr>
        <w:t>V ekonomike vznikne takmer 30 tisíc nových pracovných miest</w:t>
      </w:r>
      <w:r>
        <w:rPr>
          <w:rFonts w:cs="NeueHaasGroteskText W02"/>
        </w:rPr>
        <w:t xml:space="preserve"> -</w:t>
      </w:r>
      <w:r w:rsidRPr="00205FFE">
        <w:rPr>
          <w:rFonts w:cs="NeueHaasGroteskText W02"/>
        </w:rPr>
        <w:t xml:space="preserve"> polovica v sektore trhových služieb. Aktívneho obyvateľstva mierne ubudne, no na druhej strane ubudne aj počet pracujúcich Slovákov v zahraničí. </w:t>
      </w:r>
      <w:r>
        <w:rPr>
          <w:rFonts w:cs="NeueHaasGroteskText W02"/>
        </w:rPr>
        <w:t xml:space="preserve">Znižovanie migračného salda spolu s neskoršími odchodmi do dôchodku prispeje k zvyšovaniu miery participácie. </w:t>
      </w:r>
      <w:r w:rsidRPr="000C7B16">
        <w:rPr>
          <w:rFonts w:cs="NeueHaasGroteskText W02"/>
          <w:b/>
        </w:rPr>
        <w:t>Miera nezamestnanosti v tomto roku poklesne na 6 %.</w:t>
      </w:r>
      <w:r>
        <w:rPr>
          <w:rFonts w:cs="NeueHaasGroteskText W02"/>
        </w:rPr>
        <w:t xml:space="preserve"> </w:t>
      </w:r>
      <w:r w:rsidRPr="000B6CEA">
        <w:rPr>
          <w:rFonts w:cs="NeueHaasGroteskText W02"/>
        </w:rPr>
        <w:t>Spomalenie ekonomickej aktivity spolu so stagnáciou ekonomicky aktívneho obyvateľstva v nasledovných rokoch zmierni dynamiku zamestnanosti smerom k 0,5 % na konci horizontu prognózy.</w:t>
      </w:r>
      <w:r>
        <w:rPr>
          <w:rFonts w:cs="NeueHaasGroteskText W02"/>
        </w:rPr>
        <w:t xml:space="preserve"> Miera nezamestnanosti sa zníži k 5 %. </w:t>
      </w:r>
    </w:p>
    <w:p w14:paraId="6516015B" w14:textId="77777777" w:rsidR="001A095A" w:rsidRDefault="001A095A" w:rsidP="001A095A">
      <w:pPr>
        <w:jc w:val="both"/>
        <w:rPr>
          <w:rFonts w:cs="NeueHaasGroteskText W02"/>
        </w:rPr>
      </w:pPr>
    </w:p>
    <w:p w14:paraId="183EF446" w14:textId="77777777" w:rsidR="001A095A" w:rsidRPr="000C7B16" w:rsidRDefault="001A095A" w:rsidP="001A095A">
      <w:pPr>
        <w:pStyle w:val="Odsek"/>
        <w:rPr>
          <w:sz w:val="24"/>
          <w:highlight w:val="yellow"/>
        </w:rPr>
      </w:pPr>
      <w:r w:rsidRPr="000C7B16">
        <w:rPr>
          <w:b/>
          <w:bCs/>
          <w:szCs w:val="20"/>
        </w:rPr>
        <w:t xml:space="preserve">Rast priemernej nominálnej mzdy v ekonomike v roku 2019 akceleruje </w:t>
      </w:r>
      <w:r>
        <w:rPr>
          <w:b/>
          <w:bCs/>
          <w:szCs w:val="20"/>
        </w:rPr>
        <w:t>na</w:t>
      </w:r>
      <w:r w:rsidRPr="000C7B16">
        <w:rPr>
          <w:b/>
          <w:bCs/>
          <w:szCs w:val="20"/>
        </w:rPr>
        <w:t xml:space="preserve"> 6,7 %. </w:t>
      </w:r>
      <w:r w:rsidRPr="000C7B16">
        <w:rPr>
          <w:rFonts w:cs="NeueHaasGroteskText W02"/>
          <w:szCs w:val="20"/>
        </w:rPr>
        <w:t xml:space="preserve">Verejná správa predbehne vo zvyšovaní platov súkromný sektor aj v roku 2019 vďaka valorizácii platových taríf. V nasledovných rokoch sa nožnice medzi rastom priemernej mzdy v ekonomike a produktivity práce postupne uzavrú. </w:t>
      </w:r>
      <w:r w:rsidRPr="000C7B16">
        <w:rPr>
          <w:b/>
          <w:bCs/>
          <w:szCs w:val="20"/>
        </w:rPr>
        <w:t>Reálna mzda sa v</w:t>
      </w:r>
      <w:r>
        <w:rPr>
          <w:b/>
          <w:bCs/>
          <w:szCs w:val="20"/>
        </w:rPr>
        <w:t> roku 2019</w:t>
      </w:r>
      <w:r w:rsidRPr="000C7B16">
        <w:rPr>
          <w:b/>
          <w:bCs/>
          <w:szCs w:val="20"/>
        </w:rPr>
        <w:t xml:space="preserve"> zvýši o 4 %. </w:t>
      </w:r>
      <w:r w:rsidRPr="000C7B16">
        <w:rPr>
          <w:rFonts w:cs="NeueHaasGroteskText W02"/>
          <w:szCs w:val="20"/>
        </w:rPr>
        <w:t>V ďalších rokoch sa bude zvyšovať pomalšie a na konci prognózovaného horizontu by mala reálna mzda vzrásť o 2 %.</w:t>
      </w:r>
    </w:p>
    <w:tbl>
      <w:tblPr>
        <w:tblW w:w="4911"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25"/>
        <w:gridCol w:w="237"/>
        <w:gridCol w:w="4447"/>
      </w:tblGrid>
      <w:tr w:rsidR="001A095A" w:rsidRPr="00E76875" w14:paraId="54076613" w14:textId="77777777" w:rsidTr="00387AE5">
        <w:trPr>
          <w:trHeight w:val="2238"/>
          <w:jc w:val="center"/>
        </w:trPr>
        <w:tc>
          <w:tcPr>
            <w:tcW w:w="4225" w:type="dxa"/>
            <w:tcBorders>
              <w:top w:val="nil"/>
              <w:left w:val="nil"/>
              <w:bottom w:val="single" w:sz="4" w:space="0" w:color="auto"/>
              <w:right w:val="nil"/>
            </w:tcBorders>
            <w:vAlign w:val="center"/>
          </w:tcPr>
          <w:p w14:paraId="422DF0B4" w14:textId="02734B2B" w:rsidR="001A095A" w:rsidRPr="00726D95" w:rsidRDefault="001A095A" w:rsidP="00387AE5">
            <w:pPr>
              <w:pStyle w:val="Nadpis3"/>
              <w:pBdr>
                <w:bottom w:val="single" w:sz="4" w:space="1" w:color="auto"/>
              </w:pBdr>
              <w:jc w:val="both"/>
              <w:rPr>
                <w:rFonts w:eastAsiaTheme="minorHAnsi"/>
                <w:color w:val="2C9ADC"/>
                <w:lang w:eastAsia="en-US"/>
              </w:rPr>
            </w:pPr>
            <w:bookmarkStart w:id="53" w:name="_Toc480443998"/>
            <w:bookmarkStart w:id="54" w:name="_Toc480444503"/>
            <w:bookmarkStart w:id="55" w:name="_Toc6314244"/>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1</w:t>
            </w:r>
            <w:r w:rsidRPr="00BE4732">
              <w:rPr>
                <w:rFonts w:eastAsiaTheme="minorHAnsi"/>
                <w:color w:val="2C9ADC"/>
                <w:szCs w:val="20"/>
                <w:lang w:eastAsia="en-US"/>
              </w:rPr>
              <w:fldChar w:fldCharType="end"/>
            </w:r>
            <w:r>
              <w:rPr>
                <w:rFonts w:eastAsiaTheme="minorHAnsi"/>
                <w:color w:val="2C9ADC"/>
                <w:szCs w:val="20"/>
                <w:lang w:eastAsia="en-US"/>
              </w:rPr>
              <w:t xml:space="preserve"> </w:t>
            </w:r>
            <w:r w:rsidRPr="00726D95">
              <w:rPr>
                <w:rFonts w:eastAsiaTheme="minorHAnsi"/>
                <w:color w:val="2C9ADC"/>
                <w:lang w:eastAsia="en-US"/>
              </w:rPr>
              <w:t>- Príspevky k rastu HDP (p. b.)</w:t>
            </w:r>
            <w:bookmarkEnd w:id="53"/>
            <w:bookmarkEnd w:id="54"/>
            <w:bookmarkEnd w:id="55"/>
          </w:p>
          <w:p w14:paraId="777809F8" w14:textId="3E1C93C5" w:rsidR="001A095A" w:rsidRPr="00726D95" w:rsidRDefault="00387AE5" w:rsidP="00387AE5">
            <w:pPr>
              <w:spacing w:before="40" w:after="40"/>
              <w:jc w:val="center"/>
              <w:rPr>
                <w:rFonts w:cs="Arial"/>
                <w:b/>
                <w:sz w:val="20"/>
                <w:szCs w:val="20"/>
              </w:rPr>
            </w:pPr>
            <w:r w:rsidRPr="00726D95">
              <w:rPr>
                <w:noProof/>
              </w:rPr>
              <w:drawing>
                <wp:inline distT="0" distB="0" distL="0" distR="0" wp14:anchorId="695DB625" wp14:editId="2009E9A6">
                  <wp:extent cx="2590165" cy="1639019"/>
                  <wp:effectExtent l="0" t="0" r="63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37" w:type="dxa"/>
            <w:tcBorders>
              <w:top w:val="nil"/>
              <w:left w:val="nil"/>
              <w:bottom w:val="nil"/>
              <w:right w:val="nil"/>
            </w:tcBorders>
            <w:vAlign w:val="center"/>
          </w:tcPr>
          <w:p w14:paraId="53237477" w14:textId="77777777" w:rsidR="001A095A" w:rsidRPr="00E76875" w:rsidRDefault="001A095A" w:rsidP="00387AE5">
            <w:pPr>
              <w:spacing w:before="40" w:after="40"/>
              <w:jc w:val="center"/>
              <w:rPr>
                <w:rFonts w:cs="Arial"/>
                <w:b/>
                <w:sz w:val="20"/>
                <w:szCs w:val="20"/>
                <w:highlight w:val="yellow"/>
              </w:rPr>
            </w:pPr>
          </w:p>
        </w:tc>
        <w:tc>
          <w:tcPr>
            <w:tcW w:w="4448" w:type="dxa"/>
            <w:tcBorders>
              <w:top w:val="nil"/>
              <w:left w:val="nil"/>
              <w:bottom w:val="single" w:sz="4" w:space="0" w:color="auto"/>
              <w:right w:val="nil"/>
            </w:tcBorders>
            <w:vAlign w:val="center"/>
          </w:tcPr>
          <w:p w14:paraId="1237DF5C" w14:textId="79689DD0" w:rsidR="001A095A" w:rsidRPr="008E1719" w:rsidRDefault="001A095A" w:rsidP="00387AE5">
            <w:pPr>
              <w:pStyle w:val="Nadpis3"/>
              <w:pBdr>
                <w:bottom w:val="single" w:sz="4" w:space="1" w:color="auto"/>
              </w:pBdr>
              <w:jc w:val="both"/>
              <w:rPr>
                <w:rFonts w:eastAsiaTheme="minorHAnsi"/>
                <w:color w:val="2C9ADC"/>
                <w:lang w:eastAsia="en-US"/>
              </w:rPr>
            </w:pPr>
            <w:bookmarkStart w:id="56" w:name="_Toc480443999"/>
            <w:bookmarkStart w:id="57" w:name="_Toc480444504"/>
            <w:bookmarkStart w:id="58" w:name="_Toc6314245"/>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2</w:t>
            </w:r>
            <w:r w:rsidRPr="00BE4732">
              <w:rPr>
                <w:rFonts w:eastAsiaTheme="minorHAnsi"/>
                <w:color w:val="2C9ADC"/>
                <w:szCs w:val="20"/>
                <w:lang w:eastAsia="en-US"/>
              </w:rPr>
              <w:fldChar w:fldCharType="end"/>
            </w:r>
            <w:r>
              <w:rPr>
                <w:rFonts w:eastAsiaTheme="minorHAnsi"/>
                <w:color w:val="2C9ADC"/>
                <w:szCs w:val="20"/>
                <w:lang w:eastAsia="en-US"/>
              </w:rPr>
              <w:t xml:space="preserve"> </w:t>
            </w:r>
            <w:r w:rsidRPr="008E1719">
              <w:rPr>
                <w:rFonts w:eastAsiaTheme="minorHAnsi"/>
                <w:color w:val="2C9ADC"/>
                <w:lang w:eastAsia="en-US"/>
              </w:rPr>
              <w:t>- Príspevky k rastu zamestnanosti (p. b.)</w:t>
            </w:r>
            <w:bookmarkEnd w:id="56"/>
            <w:bookmarkEnd w:id="57"/>
            <w:bookmarkEnd w:id="58"/>
          </w:p>
          <w:p w14:paraId="04809601" w14:textId="46A106E2" w:rsidR="001A095A" w:rsidRPr="008E1719" w:rsidRDefault="00387AE5" w:rsidP="00387AE5">
            <w:pPr>
              <w:spacing w:before="40" w:after="40"/>
              <w:jc w:val="center"/>
              <w:rPr>
                <w:rFonts w:cs="Arial"/>
                <w:b/>
                <w:sz w:val="20"/>
                <w:szCs w:val="20"/>
              </w:rPr>
            </w:pPr>
            <w:r>
              <w:rPr>
                <w:noProof/>
              </w:rPr>
              <w:drawing>
                <wp:inline distT="0" distB="0" distL="0" distR="0" wp14:anchorId="2A91F7A0" wp14:editId="7BFCBF00">
                  <wp:extent cx="2683510" cy="1621766"/>
                  <wp:effectExtent l="0" t="0" r="254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A095A" w:rsidRPr="008E1719" w14:paraId="286A5E56" w14:textId="77777777" w:rsidTr="00387AE5">
        <w:trPr>
          <w:trHeight w:val="121"/>
          <w:jc w:val="center"/>
        </w:trPr>
        <w:tc>
          <w:tcPr>
            <w:tcW w:w="4225" w:type="dxa"/>
            <w:tcBorders>
              <w:top w:val="single" w:sz="4" w:space="0" w:color="auto"/>
              <w:left w:val="nil"/>
              <w:bottom w:val="nil"/>
              <w:right w:val="nil"/>
            </w:tcBorders>
            <w:vAlign w:val="center"/>
          </w:tcPr>
          <w:p w14:paraId="3AE3CC35" w14:textId="77777777" w:rsidR="001A095A" w:rsidRPr="00726D95" w:rsidRDefault="001A095A" w:rsidP="00387AE5">
            <w:pPr>
              <w:pStyle w:val="poznmka"/>
            </w:pPr>
            <w:r w:rsidRPr="00726D95">
              <w:t>Zdroj: ŠÚ SR, MF SR</w:t>
            </w:r>
          </w:p>
        </w:tc>
        <w:tc>
          <w:tcPr>
            <w:tcW w:w="237" w:type="dxa"/>
            <w:tcBorders>
              <w:top w:val="nil"/>
              <w:left w:val="nil"/>
              <w:bottom w:val="nil"/>
              <w:right w:val="nil"/>
            </w:tcBorders>
            <w:vAlign w:val="center"/>
          </w:tcPr>
          <w:p w14:paraId="501DD6E8" w14:textId="77777777" w:rsidR="001A095A" w:rsidRPr="00E76875" w:rsidRDefault="001A095A" w:rsidP="00387AE5">
            <w:pPr>
              <w:pStyle w:val="poznmka"/>
              <w:rPr>
                <w:highlight w:val="yellow"/>
              </w:rPr>
            </w:pPr>
          </w:p>
        </w:tc>
        <w:tc>
          <w:tcPr>
            <w:tcW w:w="4448" w:type="dxa"/>
            <w:tcBorders>
              <w:top w:val="single" w:sz="4" w:space="0" w:color="auto"/>
              <w:left w:val="nil"/>
              <w:bottom w:val="nil"/>
              <w:right w:val="nil"/>
            </w:tcBorders>
            <w:vAlign w:val="center"/>
          </w:tcPr>
          <w:p w14:paraId="23CA7154" w14:textId="77777777" w:rsidR="001A095A" w:rsidRPr="008E1719" w:rsidRDefault="001A095A" w:rsidP="00387AE5">
            <w:pPr>
              <w:pStyle w:val="poznmka"/>
            </w:pPr>
            <w:r w:rsidRPr="008E1719">
              <w:t>Zdroj: ŠÚ SR, MF SR</w:t>
            </w:r>
          </w:p>
        </w:tc>
      </w:tr>
    </w:tbl>
    <w:p w14:paraId="13B1D346" w14:textId="77777777" w:rsidR="001A095A" w:rsidRPr="007B741E" w:rsidRDefault="001A095A" w:rsidP="001A095A">
      <w:pPr>
        <w:pStyle w:val="odsekzatabukou"/>
      </w:pPr>
      <w:r w:rsidRPr="007B741E">
        <w:rPr>
          <w:b/>
        </w:rPr>
        <w:lastRenderedPageBreak/>
        <w:t xml:space="preserve">Deficit platobnej bilancie sa začne postupne zmierňovať </w:t>
      </w:r>
      <w:r w:rsidRPr="00501DCA">
        <w:rPr>
          <w:b/>
        </w:rPr>
        <w:t>a ku koncu prognózovaného obdobia by mal dosiahnuť -1,0 % HDP</w:t>
      </w:r>
      <w:r w:rsidRPr="007B741E">
        <w:t>. Za znižovaním deficitu bude stáť najmä rast prebytku bilancie tovarov, ktorý bude podporený rastom exportu v automobilovom priemysle</w:t>
      </w:r>
      <w:r>
        <w:t xml:space="preserve"> súvisiaci so spustením novej výroby</w:t>
      </w:r>
      <w:r w:rsidRPr="007B741E">
        <w:t xml:space="preserve">. </w:t>
      </w:r>
      <w:r>
        <w:t>Bilancia služieb by mala zostať v prebytku. Na druhej strane v</w:t>
      </w:r>
      <w:r w:rsidRPr="007B741E">
        <w:t>yplácanie dividend a úrokové platby zahraničných investícií povedú k</w:t>
      </w:r>
      <w:r>
        <w:t xml:space="preserve"> miernemu </w:t>
      </w:r>
      <w:r w:rsidRPr="007B741E">
        <w:t>prehlbovaniu deficitu primárnych výnosov.</w:t>
      </w:r>
    </w:p>
    <w:p w14:paraId="2802E997" w14:textId="7F2EF711" w:rsidR="001A095A" w:rsidRDefault="001A095A" w:rsidP="001A095A">
      <w:pPr>
        <w:pStyle w:val="Odsek"/>
        <w:rPr>
          <w:rFonts w:eastAsia="NeueHaasGroteskText W02" w:cs="NeueHaasGroteskText W02"/>
          <w:szCs w:val="20"/>
        </w:rPr>
      </w:pPr>
      <w:r w:rsidRPr="00447DBC">
        <w:rPr>
          <w:rFonts w:eastAsia="NeueHaasGroteskText W02" w:cs="NeueHaasGroteskText W02"/>
          <w:b/>
          <w:szCs w:val="20"/>
        </w:rPr>
        <w:t>Ceny v</w:t>
      </w:r>
      <w:r>
        <w:rPr>
          <w:rFonts w:eastAsia="NeueHaasGroteskText W02" w:cs="NeueHaasGroteskText W02"/>
          <w:b/>
          <w:szCs w:val="20"/>
        </w:rPr>
        <w:t> roku 2019</w:t>
      </w:r>
      <w:r w:rsidRPr="00447DBC">
        <w:rPr>
          <w:rFonts w:eastAsia="NeueHaasGroteskText W02" w:cs="NeueHaasGroteskText W02"/>
          <w:b/>
          <w:szCs w:val="20"/>
        </w:rPr>
        <w:t xml:space="preserve"> stúpnu o 2,6 %.</w:t>
      </w:r>
      <w:r w:rsidRPr="00C507DD">
        <w:rPr>
          <w:rFonts w:eastAsia="NeueHaasGroteskText W02" w:cs="NeueHaasGroteskText W02"/>
          <w:szCs w:val="20"/>
        </w:rPr>
        <w:t xml:space="preserve"> Prehrievanie trhu práce tlačí nahor rast cien služieb, ktoré budú aj v roku 2019 hlavným motorom inflačného vývoja. Tento rok však ceny ovplyvnia aj legislatívne zmeny (spolu do 0,3 p.</w:t>
      </w:r>
      <w:r>
        <w:rPr>
          <w:rFonts w:eastAsia="NeueHaasGroteskText W02" w:cs="NeueHaasGroteskText W02"/>
          <w:szCs w:val="20"/>
        </w:rPr>
        <w:t xml:space="preserve"> </w:t>
      </w:r>
      <w:r w:rsidRPr="00C507DD">
        <w:rPr>
          <w:rFonts w:eastAsia="NeueHaasGroteskText W02" w:cs="NeueHaasGroteskText W02"/>
          <w:szCs w:val="20"/>
        </w:rPr>
        <w:t>b.). Jedná sa najmä o z</w:t>
      </w:r>
      <w:r>
        <w:rPr>
          <w:rFonts w:eastAsia="NeueHaasGroteskText W02" w:cs="NeueHaasGroteskText W02"/>
          <w:szCs w:val="20"/>
        </w:rPr>
        <w:t>avedenie odvodu reťazcov</w:t>
      </w:r>
      <w:r>
        <w:rPr>
          <w:rStyle w:val="Odkaznapoznmkupodiarou"/>
          <w:rFonts w:eastAsia="NeueHaasGroteskText W02"/>
          <w:szCs w:val="20"/>
        </w:rPr>
        <w:footnoteReference w:id="5"/>
      </w:r>
      <w:r>
        <w:rPr>
          <w:rFonts w:eastAsia="NeueHaasGroteskText W02" w:cs="NeueHaasGroteskText W02"/>
          <w:szCs w:val="20"/>
        </w:rPr>
        <w:t xml:space="preserve"> </w:t>
      </w:r>
      <w:r w:rsidRPr="00C507DD">
        <w:rPr>
          <w:rFonts w:eastAsia="NeueHaasGroteskText W02" w:cs="NeueHaasGroteskText W02"/>
          <w:szCs w:val="20"/>
        </w:rPr>
        <w:t xml:space="preserve">a rast spotrebnej dane z tabaku. Opačným smerom budú pôsobiť obedy zdarma najmä v materských školách a ceny sa </w:t>
      </w:r>
      <w:r>
        <w:rPr>
          <w:rFonts w:eastAsia="NeueHaasGroteskText W02" w:cs="NeueHaasGroteskText W02"/>
          <w:szCs w:val="20"/>
        </w:rPr>
        <w:t>mierne</w:t>
      </w:r>
      <w:r w:rsidRPr="00C507DD">
        <w:rPr>
          <w:rFonts w:eastAsia="NeueHaasGroteskText W02" w:cs="NeueHaasGroteskText W02"/>
          <w:szCs w:val="20"/>
        </w:rPr>
        <w:t xml:space="preserve"> znížia aj pre nižšiu sadzbu DPH z ubytovania. Regulované ceny stúpnu najmä pre zvýšenie cien energií, nadol ich však stiahne vyššie uvedené zavedenie obedov zdarma. Ceny pohonných hmôt klesnú v reakcii na klesajúcu cenu ropy. Ceny obchodovateľných tovarov vzrastú zrkadlovo s cenovým vývojom v zahraničí. </w:t>
      </w:r>
    </w:p>
    <w:p w14:paraId="12C8126F" w14:textId="6D66DC7B" w:rsidR="001A095A" w:rsidRPr="00E76875" w:rsidRDefault="001A095A" w:rsidP="001A095A">
      <w:pPr>
        <w:pStyle w:val="Odsek"/>
        <w:rPr>
          <w:highlight w:val="yellow"/>
        </w:rPr>
      </w:pPr>
      <w:r w:rsidRPr="00447DBC">
        <w:rPr>
          <w:rFonts w:eastAsia="NeueHaasGroteskText W02" w:cs="NeueHaasGroteskText W02"/>
          <w:b/>
          <w:szCs w:val="20"/>
        </w:rPr>
        <w:t>V ďalších rokoch bude inflácia miernejšia.</w:t>
      </w:r>
      <w:r w:rsidRPr="00C507DD">
        <w:rPr>
          <w:rFonts w:eastAsia="NeueHaasGroteskText W02" w:cs="NeueHaasGroteskText W02"/>
          <w:szCs w:val="20"/>
        </w:rPr>
        <w:t xml:space="preserve"> Ceny energií by mali po počiatočnom náraste začať postupne mierne klesať na základe vývoja cien energetických komodít na svetových trhoch a vývoja </w:t>
      </w:r>
      <w:r w:rsidR="00193396">
        <w:rPr>
          <w:rFonts w:eastAsia="NeueHaasGroteskText W02" w:cs="NeueHaasGroteskText W02"/>
          <w:szCs w:val="20"/>
        </w:rPr>
        <w:t xml:space="preserve">future kontraktov. V roku 2020 ovplyvnia infláciu </w:t>
      </w:r>
      <w:r w:rsidRPr="00C507DD">
        <w:rPr>
          <w:rFonts w:eastAsia="NeueHaasGroteskText W02" w:cs="NeueHaasGroteskText W02"/>
          <w:szCs w:val="20"/>
        </w:rPr>
        <w:t xml:space="preserve">aj obedy zdarma na základných školách. Rast cien služieb bude odrážať pokračujúce prehrievanie trhu práce a s ním spojený mzdový vývoj. Dynamika cien služieb udrží celkovú infláciu </w:t>
      </w:r>
      <w:r>
        <w:rPr>
          <w:rFonts w:eastAsia="NeueHaasGroteskText W02" w:cs="NeueHaasGroteskText W02"/>
          <w:szCs w:val="20"/>
        </w:rPr>
        <w:t>v</w:t>
      </w:r>
      <w:r w:rsidRPr="00C507DD">
        <w:rPr>
          <w:rFonts w:eastAsia="NeueHaasGroteskText W02" w:cs="NeueHaasGroteskText W02"/>
          <w:szCs w:val="20"/>
        </w:rPr>
        <w:t xml:space="preserve"> strednodobom horizonte na úrovni 2,4 %.</w:t>
      </w:r>
    </w:p>
    <w:tbl>
      <w:tblPr>
        <w:tblW w:w="4904" w:type="pct"/>
        <w:jc w:val="center"/>
        <w:tblBorders>
          <w:bottom w:val="single" w:sz="4" w:space="0" w:color="auto"/>
        </w:tblBorders>
        <w:tblLayout w:type="fixed"/>
        <w:tblCellMar>
          <w:left w:w="70" w:type="dxa"/>
          <w:right w:w="70" w:type="dxa"/>
        </w:tblCellMar>
        <w:tblLook w:val="01E0" w:firstRow="1" w:lastRow="1" w:firstColumn="1" w:lastColumn="1" w:noHBand="0" w:noVBand="0"/>
      </w:tblPr>
      <w:tblGrid>
        <w:gridCol w:w="4252"/>
        <w:gridCol w:w="169"/>
        <w:gridCol w:w="4475"/>
      </w:tblGrid>
      <w:tr w:rsidR="001A095A" w:rsidRPr="001564C8" w14:paraId="513FE54A" w14:textId="77777777" w:rsidTr="00387AE5">
        <w:trPr>
          <w:trHeight w:val="1121"/>
          <w:jc w:val="center"/>
        </w:trPr>
        <w:tc>
          <w:tcPr>
            <w:tcW w:w="4253" w:type="dxa"/>
            <w:tcBorders>
              <w:bottom w:val="single" w:sz="4" w:space="0" w:color="auto"/>
            </w:tcBorders>
            <w:vAlign w:val="center"/>
          </w:tcPr>
          <w:p w14:paraId="2077F83B" w14:textId="69FC4649" w:rsidR="001A095A" w:rsidRPr="00BE4732" w:rsidRDefault="001A095A" w:rsidP="00387AE5">
            <w:pPr>
              <w:pStyle w:val="Nadpis3"/>
              <w:pBdr>
                <w:bottom w:val="single" w:sz="4" w:space="1" w:color="auto"/>
              </w:pBdr>
              <w:jc w:val="both"/>
              <w:rPr>
                <w:rFonts w:eastAsiaTheme="minorHAnsi"/>
                <w:color w:val="2C9ADC"/>
                <w:lang w:eastAsia="en-US"/>
              </w:rPr>
            </w:pPr>
            <w:bookmarkStart w:id="59" w:name="_Toc480444000"/>
            <w:bookmarkStart w:id="60" w:name="_Toc480444505"/>
            <w:bookmarkStart w:id="61" w:name="_Toc6314246"/>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3</w:t>
            </w:r>
            <w:r w:rsidRPr="00BE4732">
              <w:rPr>
                <w:rFonts w:eastAsiaTheme="minorHAnsi"/>
                <w:color w:val="2C9ADC"/>
                <w:szCs w:val="20"/>
                <w:lang w:eastAsia="en-US"/>
              </w:rPr>
              <w:fldChar w:fldCharType="end"/>
            </w:r>
            <w:r w:rsidRPr="00BE4732">
              <w:rPr>
                <w:rFonts w:eastAsiaTheme="minorHAnsi"/>
                <w:color w:val="2C9ADC"/>
                <w:szCs w:val="20"/>
                <w:lang w:eastAsia="en-US"/>
              </w:rPr>
              <w:t xml:space="preserve"> </w:t>
            </w:r>
            <w:r w:rsidRPr="00BE4732">
              <w:rPr>
                <w:rFonts w:eastAsiaTheme="minorHAnsi"/>
                <w:color w:val="2C9ADC"/>
                <w:lang w:eastAsia="en-US"/>
              </w:rPr>
              <w:t>- Externé nerovnováhy - zložky salda bežného účtu platobnej bilancie (% HDP)</w:t>
            </w:r>
            <w:bookmarkEnd w:id="59"/>
            <w:bookmarkEnd w:id="60"/>
            <w:bookmarkEnd w:id="61"/>
          </w:p>
          <w:p w14:paraId="357AA2FC" w14:textId="77777777" w:rsidR="001A095A" w:rsidRPr="001564C8" w:rsidRDefault="001A095A" w:rsidP="00387AE5">
            <w:pPr>
              <w:spacing w:before="40" w:after="40"/>
              <w:jc w:val="center"/>
              <w:rPr>
                <w:rFonts w:cs="Arial"/>
                <w:b/>
                <w:sz w:val="20"/>
                <w:szCs w:val="20"/>
              </w:rPr>
            </w:pPr>
            <w:r w:rsidRPr="001564C8">
              <w:rPr>
                <w:noProof/>
              </w:rPr>
              <w:drawing>
                <wp:inline distT="0" distB="0" distL="0" distR="0" wp14:anchorId="4E9750F8" wp14:editId="40932EEB">
                  <wp:extent cx="2611755" cy="158877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69" w:type="dxa"/>
            <w:tcBorders>
              <w:bottom w:val="nil"/>
            </w:tcBorders>
            <w:vAlign w:val="center"/>
          </w:tcPr>
          <w:p w14:paraId="3CCB7630" w14:textId="77777777" w:rsidR="001A095A" w:rsidRPr="001564C8" w:rsidRDefault="001A095A" w:rsidP="00387AE5">
            <w:pPr>
              <w:spacing w:before="40" w:after="40"/>
              <w:jc w:val="center"/>
              <w:rPr>
                <w:rFonts w:cs="Arial"/>
                <w:b/>
                <w:sz w:val="20"/>
                <w:szCs w:val="20"/>
              </w:rPr>
            </w:pPr>
          </w:p>
        </w:tc>
        <w:tc>
          <w:tcPr>
            <w:tcW w:w="4476" w:type="dxa"/>
            <w:tcBorders>
              <w:bottom w:val="single" w:sz="4" w:space="0" w:color="auto"/>
            </w:tcBorders>
            <w:vAlign w:val="center"/>
          </w:tcPr>
          <w:p w14:paraId="6481E4B4" w14:textId="78E96F93" w:rsidR="001A095A" w:rsidRPr="00BE4732" w:rsidRDefault="001A095A" w:rsidP="00387AE5">
            <w:pPr>
              <w:pStyle w:val="Nadpis3"/>
              <w:pBdr>
                <w:bottom w:val="single" w:sz="4" w:space="1" w:color="auto"/>
              </w:pBdr>
              <w:jc w:val="both"/>
              <w:rPr>
                <w:rFonts w:eastAsiaTheme="minorHAnsi"/>
                <w:color w:val="2C9ADC"/>
                <w:lang w:eastAsia="en-US"/>
              </w:rPr>
            </w:pPr>
            <w:bookmarkStart w:id="62" w:name="_Toc480444001"/>
            <w:bookmarkStart w:id="63" w:name="_Toc480444506"/>
            <w:bookmarkStart w:id="64" w:name="_Toc6314247"/>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4</w:t>
            </w:r>
            <w:r w:rsidRPr="00BE4732">
              <w:rPr>
                <w:rFonts w:eastAsiaTheme="minorHAnsi"/>
                <w:color w:val="2C9ADC"/>
                <w:szCs w:val="20"/>
                <w:lang w:eastAsia="en-US"/>
              </w:rPr>
              <w:fldChar w:fldCharType="end"/>
            </w:r>
            <w:r w:rsidRPr="00BE4732">
              <w:rPr>
                <w:rFonts w:eastAsiaTheme="minorHAnsi"/>
                <w:color w:val="2C9ADC"/>
                <w:szCs w:val="20"/>
                <w:lang w:eastAsia="en-US"/>
              </w:rPr>
              <w:t xml:space="preserve"> </w:t>
            </w:r>
            <w:r w:rsidRPr="00BE4732">
              <w:rPr>
                <w:rFonts w:eastAsiaTheme="minorHAnsi"/>
                <w:color w:val="2C9ADC"/>
                <w:lang w:eastAsia="en-US"/>
              </w:rPr>
              <w:t>- Štruktúra spotrebiteľskej inflácie –medziročné príspevky zložiek k CPI (v p. b.)</w:t>
            </w:r>
            <w:bookmarkEnd w:id="62"/>
            <w:bookmarkEnd w:id="63"/>
            <w:bookmarkEnd w:id="64"/>
          </w:p>
          <w:p w14:paraId="662FC25A" w14:textId="77777777" w:rsidR="001A095A" w:rsidRPr="001564C8" w:rsidRDefault="001A095A" w:rsidP="00387AE5">
            <w:pPr>
              <w:spacing w:before="40" w:after="40"/>
              <w:jc w:val="center"/>
              <w:rPr>
                <w:rFonts w:cs="Arial"/>
                <w:b/>
                <w:sz w:val="20"/>
                <w:szCs w:val="20"/>
              </w:rPr>
            </w:pPr>
            <w:r w:rsidRPr="001564C8">
              <w:rPr>
                <w:noProof/>
              </w:rPr>
              <w:drawing>
                <wp:inline distT="0" distB="0" distL="0" distR="0" wp14:anchorId="06888886" wp14:editId="087E4E81">
                  <wp:extent cx="2753360" cy="1609268"/>
                  <wp:effectExtent l="0" t="0" r="889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1A095A" w:rsidRPr="00E76875" w14:paraId="7BFDB6C1" w14:textId="77777777" w:rsidTr="00387AE5">
        <w:trPr>
          <w:trHeight w:val="142"/>
          <w:jc w:val="center"/>
        </w:trPr>
        <w:tc>
          <w:tcPr>
            <w:tcW w:w="4253" w:type="dxa"/>
            <w:tcBorders>
              <w:top w:val="single" w:sz="4" w:space="0" w:color="auto"/>
              <w:bottom w:val="nil"/>
            </w:tcBorders>
            <w:vAlign w:val="center"/>
          </w:tcPr>
          <w:p w14:paraId="1B4C259F" w14:textId="77777777" w:rsidR="001A095A" w:rsidRPr="001564C8" w:rsidRDefault="001A095A" w:rsidP="00387AE5">
            <w:pPr>
              <w:pStyle w:val="poznmka"/>
            </w:pPr>
            <w:r w:rsidRPr="001564C8">
              <w:t xml:space="preserve">Zdroj: NBS, MF SR </w:t>
            </w:r>
          </w:p>
        </w:tc>
        <w:tc>
          <w:tcPr>
            <w:tcW w:w="169" w:type="dxa"/>
            <w:tcBorders>
              <w:top w:val="nil"/>
              <w:bottom w:val="nil"/>
            </w:tcBorders>
            <w:vAlign w:val="center"/>
          </w:tcPr>
          <w:p w14:paraId="534C0127" w14:textId="77777777" w:rsidR="001A095A" w:rsidRPr="001564C8" w:rsidRDefault="001A095A" w:rsidP="00387AE5">
            <w:pPr>
              <w:pStyle w:val="poznmka"/>
            </w:pPr>
          </w:p>
        </w:tc>
        <w:tc>
          <w:tcPr>
            <w:tcW w:w="4476" w:type="dxa"/>
            <w:tcBorders>
              <w:top w:val="single" w:sz="4" w:space="0" w:color="auto"/>
              <w:bottom w:val="nil"/>
            </w:tcBorders>
            <w:vAlign w:val="center"/>
          </w:tcPr>
          <w:p w14:paraId="25D51E72" w14:textId="77777777" w:rsidR="001A095A" w:rsidRPr="001564C8" w:rsidRDefault="001A095A" w:rsidP="00387AE5">
            <w:pPr>
              <w:pStyle w:val="poznmka"/>
            </w:pPr>
            <w:r w:rsidRPr="001564C8">
              <w:t xml:space="preserve">Zdroj: ŠÚ SR, MF SR </w:t>
            </w:r>
          </w:p>
        </w:tc>
      </w:tr>
    </w:tbl>
    <w:p w14:paraId="4F5904EC" w14:textId="77777777" w:rsidR="001A095A" w:rsidRPr="00B35F80" w:rsidRDefault="001A095A" w:rsidP="004F1515">
      <w:pPr>
        <w:spacing w:before="240" w:after="120"/>
        <w:rPr>
          <w:b/>
          <w:color w:val="2C9ADC"/>
          <w:sz w:val="24"/>
        </w:rPr>
      </w:pPr>
      <w:r w:rsidRPr="00B35F80">
        <w:rPr>
          <w:b/>
          <w:color w:val="2C9ADC"/>
          <w:sz w:val="24"/>
        </w:rPr>
        <w:t>Hlavné riziká prognóz</w:t>
      </w:r>
      <w:r w:rsidRPr="00431A77">
        <w:rPr>
          <w:b/>
          <w:color w:val="2C9ADC"/>
          <w:sz w:val="24"/>
        </w:rPr>
        <w:t>y</w:t>
      </w:r>
      <w:r w:rsidRPr="00431A77">
        <w:rPr>
          <w:rStyle w:val="Odkaznapoznmkupodiarou"/>
          <w:b/>
          <w:color w:val="2C9ADC"/>
          <w:sz w:val="24"/>
          <w:lang w:val="sk-SK"/>
        </w:rPr>
        <w:footnoteReference w:id="6"/>
      </w:r>
    </w:p>
    <w:p w14:paraId="251EA07C" w14:textId="3A73BDA1" w:rsidR="001A095A" w:rsidRDefault="001A095A" w:rsidP="004F1515">
      <w:pPr>
        <w:spacing w:after="120"/>
        <w:jc w:val="both"/>
        <w:rPr>
          <w:rFonts w:eastAsia="NeueHaasGroteskText W02" w:cs="Arial"/>
          <w:bCs/>
          <w:noProof/>
          <w:szCs w:val="20"/>
        </w:rPr>
      </w:pPr>
      <w:r w:rsidRPr="00B35F80">
        <w:rPr>
          <w:rFonts w:eastAsia="NeueHaasGroteskText W02" w:cs="Arial"/>
          <w:b/>
          <w:szCs w:val="20"/>
        </w:rPr>
        <w:t>Bilancia rizík prognózy je naklonená nadol.</w:t>
      </w:r>
      <w:r w:rsidRPr="00B35F80">
        <w:rPr>
          <w:rFonts w:eastAsia="NeueHaasGroteskText W02" w:cs="Arial"/>
          <w:b/>
          <w:bCs/>
          <w:noProof/>
          <w:szCs w:val="20"/>
        </w:rPr>
        <w:t xml:space="preserve"> V externom prostredí dominujú negatívne riziká, </w:t>
      </w:r>
      <w:r w:rsidRPr="00B35F80">
        <w:rPr>
          <w:rFonts w:eastAsia="NeueHaasGroteskText W02" w:cs="Arial"/>
          <w:bCs/>
          <w:noProof/>
          <w:szCs w:val="20"/>
        </w:rPr>
        <w:t>najmä možné tvrdé pristátie ekonomiky eurozóny, stupňujúci sa protekcionizmus v medzinárodnom obchode a tvrdý Brexit (</w:t>
      </w:r>
      <w:r w:rsidRPr="00431A77">
        <w:rPr>
          <w:rFonts w:eastAsia="NeueHaasGroteskText W02" w:cs="Arial"/>
          <w:bCs/>
          <w:noProof/>
          <w:szCs w:val="20"/>
        </w:rPr>
        <w:t xml:space="preserve">viď rizikové scenáre v kapitole </w:t>
      </w:r>
      <w:r w:rsidR="00C02822">
        <w:rPr>
          <w:rFonts w:eastAsia="NeueHaasGroteskText W02" w:cs="Arial"/>
          <w:bCs/>
          <w:noProof/>
          <w:szCs w:val="20"/>
        </w:rPr>
        <w:t>3</w:t>
      </w:r>
      <w:r w:rsidRPr="00B35F80">
        <w:rPr>
          <w:rFonts w:eastAsia="NeueHaasGroteskText W02" w:cs="Arial"/>
          <w:bCs/>
          <w:noProof/>
          <w:szCs w:val="20"/>
        </w:rPr>
        <w:t>). Odhadujeme, že Brexit bez dohody by mohol znížiť HDP Slovenska o 0,7 až 1,4 % HDP v dlhom horizonte. Vplyv bude však najvýraznejší v prvých dvoch rokoch. Negatívne dôsledky môže mať slabší dopyt po automobiloch v zahraničí a výraznejšie spomalenie na trhu práce. Rast zamestnanosti a miezd je nateraz solídny, ale prípadná silnejšia reakcia trhu práce na zvoľnenie zahraničného dopytu sa môže prejaviť v spomalení spotreby slovenských domácností.</w:t>
      </w:r>
      <w:r>
        <w:rPr>
          <w:rFonts w:eastAsia="NeueHaasGroteskText W02" w:cs="Arial"/>
          <w:bCs/>
          <w:noProof/>
          <w:szCs w:val="20"/>
        </w:rPr>
        <w:t xml:space="preserve"> Prognóza vychádza zo starších predpokladov ohľadom výdavkov vlády a čerpania EÚ fondov.</w:t>
      </w:r>
      <w:r>
        <w:rPr>
          <w:rStyle w:val="Odkaznapoznmkupodiarou"/>
          <w:rFonts w:eastAsia="NeueHaasGroteskText W02"/>
          <w:bCs/>
          <w:noProof/>
          <w:szCs w:val="20"/>
        </w:rPr>
        <w:footnoteReference w:id="7"/>
      </w:r>
    </w:p>
    <w:p w14:paraId="0E9EF32E" w14:textId="77777777" w:rsidR="00D52A81" w:rsidRDefault="00D52A81" w:rsidP="004F1515">
      <w:pPr>
        <w:spacing w:after="120"/>
        <w:jc w:val="both"/>
        <w:rPr>
          <w:rFonts w:eastAsia="NeueHaasGroteskText W02" w:cs="Arial"/>
          <w:bCs/>
          <w:noProof/>
          <w:szCs w:val="20"/>
        </w:rPr>
      </w:pPr>
    </w:p>
    <w:tbl>
      <w:tblPr>
        <w:tblpPr w:leftFromText="142" w:rightFromText="142" w:vertAnchor="text" w:horzAnchor="margin" w:tblpXSpec="center" w:tblpY="1"/>
        <w:tblOverlap w:val="never"/>
        <w:tblW w:w="9072" w:type="dxa"/>
        <w:tblBorders>
          <w:insideH w:val="single" w:sz="4" w:space="0" w:color="auto"/>
          <w:insideV w:val="single" w:sz="4" w:space="0" w:color="auto"/>
        </w:tblBorders>
        <w:shd w:val="clear" w:color="auto" w:fill="AAD3F2"/>
        <w:tblLayout w:type="fixed"/>
        <w:tblCellMar>
          <w:left w:w="70" w:type="dxa"/>
          <w:right w:w="70" w:type="dxa"/>
        </w:tblCellMar>
        <w:tblLook w:val="01E0" w:firstRow="1" w:lastRow="1" w:firstColumn="1" w:lastColumn="1" w:noHBand="0" w:noVBand="0"/>
      </w:tblPr>
      <w:tblGrid>
        <w:gridCol w:w="9072"/>
      </w:tblGrid>
      <w:tr w:rsidR="001A095A" w:rsidRPr="000C5CF3" w14:paraId="26E802B7" w14:textId="77777777" w:rsidTr="00387AE5">
        <w:trPr>
          <w:trHeight w:val="567"/>
        </w:trPr>
        <w:tc>
          <w:tcPr>
            <w:tcW w:w="9072" w:type="dxa"/>
            <w:shd w:val="clear" w:color="auto" w:fill="AAD3F2"/>
            <w:vAlign w:val="center"/>
          </w:tcPr>
          <w:p w14:paraId="408C9279" w14:textId="77777777" w:rsidR="001A095A" w:rsidRPr="000E74B3" w:rsidRDefault="001A095A" w:rsidP="00387AE5">
            <w:pPr>
              <w:spacing w:after="120"/>
              <w:ind w:right="1015"/>
              <w:jc w:val="both"/>
              <w:rPr>
                <w:rFonts w:eastAsia="NeueHaasGroteskText W02" w:cs="Arial"/>
                <w:b/>
                <w:bCs/>
                <w:color w:val="2C9ADC"/>
                <w:sz w:val="2"/>
                <w:szCs w:val="18"/>
                <w:u w:color="2C9ADC"/>
              </w:rPr>
            </w:pPr>
          </w:p>
          <w:p w14:paraId="6BDC0F76" w14:textId="212BC451" w:rsidR="001A095A" w:rsidRPr="009D181A" w:rsidRDefault="001A095A" w:rsidP="00387AE5">
            <w:pPr>
              <w:spacing w:after="120"/>
              <w:ind w:right="1015"/>
              <w:jc w:val="both"/>
              <w:rPr>
                <w:rFonts w:eastAsia="NeueHaasGroteskText W02" w:cs="Arial"/>
                <w:b/>
                <w:bCs/>
                <w:noProof/>
              </w:rPr>
            </w:pPr>
            <w:bookmarkStart w:id="65" w:name="_Toc6314055"/>
            <w:r w:rsidRPr="009D181A">
              <w:rPr>
                <w:b/>
                <w:color w:val="2C9ADC" w:themeColor="accent1"/>
              </w:rPr>
              <w:t xml:space="preserve">BOX </w:t>
            </w:r>
            <w:r w:rsidRPr="009D181A">
              <w:rPr>
                <w:b/>
                <w:color w:val="2C9ADC" w:themeColor="accent1"/>
              </w:rPr>
              <w:fldChar w:fldCharType="begin"/>
            </w:r>
            <w:r w:rsidRPr="009D181A">
              <w:rPr>
                <w:b/>
                <w:color w:val="2C9ADC" w:themeColor="accent1"/>
              </w:rPr>
              <w:instrText xml:space="preserve"> SEQ BOX \* ARABIC </w:instrText>
            </w:r>
            <w:r w:rsidRPr="009D181A">
              <w:rPr>
                <w:b/>
                <w:color w:val="2C9ADC" w:themeColor="accent1"/>
              </w:rPr>
              <w:fldChar w:fldCharType="separate"/>
            </w:r>
            <w:r w:rsidR="00D5739E">
              <w:rPr>
                <w:b/>
                <w:noProof/>
                <w:color w:val="2C9ADC" w:themeColor="accent1"/>
              </w:rPr>
              <w:t>1</w:t>
            </w:r>
            <w:r w:rsidRPr="009D181A">
              <w:rPr>
                <w:b/>
                <w:color w:val="2C9ADC" w:themeColor="accent1"/>
              </w:rPr>
              <w:fldChar w:fldCharType="end"/>
            </w:r>
            <w:r w:rsidRPr="009D181A">
              <w:rPr>
                <w:b/>
                <w:color w:val="2C9ADC" w:themeColor="accent1"/>
              </w:rPr>
              <w:t xml:space="preserve"> </w:t>
            </w:r>
            <w:r>
              <w:rPr>
                <w:rFonts w:eastAsia="NeueHaasGroteskText W02" w:cs="Arial"/>
                <w:b/>
                <w:bCs/>
                <w:color w:val="2C9ADC"/>
                <w:u w:color="2C9ADC"/>
              </w:rPr>
              <w:t>-</w:t>
            </w:r>
            <w:r w:rsidRPr="009D181A">
              <w:rPr>
                <w:rFonts w:eastAsia="NeueHaasGroteskText W02" w:cs="Arial"/>
                <w:b/>
                <w:bCs/>
                <w:color w:val="2C9ADC"/>
                <w:u w:color="2C9ADC"/>
              </w:rPr>
              <w:t xml:space="preserve"> Predpoklady externého prostredia</w:t>
            </w:r>
            <w:bookmarkEnd w:id="65"/>
          </w:p>
          <w:p w14:paraId="744A0418" w14:textId="1E2553C5" w:rsidR="001A095A" w:rsidRPr="00057E00" w:rsidRDefault="001A095A" w:rsidP="00387AE5">
            <w:pPr>
              <w:widowControl w:val="0"/>
              <w:tabs>
                <w:tab w:val="right" w:pos="9531"/>
              </w:tabs>
              <w:ind w:right="34"/>
              <w:jc w:val="both"/>
              <w:rPr>
                <w:rFonts w:eastAsia="NeueHaasGroteskText W02" w:cs="Arial"/>
                <w:bCs/>
                <w:noProof/>
                <w:sz w:val="20"/>
                <w:szCs w:val="20"/>
              </w:rPr>
            </w:pPr>
            <w:r w:rsidRPr="00057E00">
              <w:rPr>
                <w:rFonts w:eastAsia="NeueHaasGroteskText W02" w:cs="Arial"/>
                <w:b/>
                <w:bCs/>
                <w:noProof/>
                <w:sz w:val="20"/>
                <w:szCs w:val="20"/>
              </w:rPr>
              <w:t xml:space="preserve">Finančné trhy pokračovali v klesajúcom trende celý druhý polrok 2018. </w:t>
            </w:r>
            <w:r w:rsidRPr="00057E00">
              <w:rPr>
                <w:rFonts w:eastAsia="NeueHaasGroteskText W02" w:cs="Arial"/>
                <w:bCs/>
                <w:noProof/>
                <w:sz w:val="20"/>
                <w:szCs w:val="20"/>
              </w:rPr>
              <w:t xml:space="preserve">Na akciovom trhu prebiehali výpredaje globálne vo všetkých </w:t>
            </w:r>
            <w:r w:rsidRPr="00B03E7A">
              <w:rPr>
                <w:rFonts w:eastAsia="NeueHaasGroteskText W02" w:cs="Arial"/>
                <w:bCs/>
                <w:noProof/>
                <w:sz w:val="20"/>
                <w:szCs w:val="20"/>
              </w:rPr>
              <w:t>regiónoch.</w:t>
            </w:r>
            <w:r w:rsidRPr="00057E00">
              <w:rPr>
                <w:rFonts w:eastAsia="NeueHaasGroteskText W02" w:cs="Arial"/>
                <w:bCs/>
                <w:noProof/>
                <w:sz w:val="20"/>
                <w:szCs w:val="20"/>
              </w:rPr>
              <w:t xml:space="preserve"> Obavy sa sústreďujú najmä na nepriaznivý vývoj v Číne, kde k stratám mohli prispieť aj obchodné spory s USA. Dlhodobé úrokové sadzby reagovali takisto všeobecným poklesom a ďalšia normalizácia menovej politiky sa v USA aj v eurozóne odkladá. ECB v decembri 2018 ukončila svoj program kvantitatívneho uvoľňovania, avšak očakávané prvé zvýšenie kľúčových sadzieb sa posunulo najskôr na záver roka 2019. Kurz eurodolára sa pohyboval v relatívne úzkom pásme okolo úrovne 1,14 EUR/USD. </w:t>
            </w:r>
          </w:p>
          <w:p w14:paraId="568C1204" w14:textId="77777777" w:rsidR="001A095A" w:rsidRPr="00057E00" w:rsidRDefault="001A095A" w:rsidP="00387AE5">
            <w:pPr>
              <w:widowControl w:val="0"/>
              <w:tabs>
                <w:tab w:val="right" w:pos="9531"/>
              </w:tabs>
              <w:ind w:right="34"/>
              <w:jc w:val="both"/>
              <w:rPr>
                <w:rFonts w:eastAsia="NeueHaasGroteskText W02" w:cs="Arial"/>
                <w:bCs/>
                <w:noProof/>
                <w:sz w:val="20"/>
                <w:szCs w:val="20"/>
              </w:rPr>
            </w:pPr>
          </w:p>
          <w:p w14:paraId="569C02B0" w14:textId="77777777" w:rsidR="001A095A" w:rsidRPr="00057E00" w:rsidRDefault="001A095A" w:rsidP="00387AE5">
            <w:pPr>
              <w:widowControl w:val="0"/>
              <w:tabs>
                <w:tab w:val="right" w:pos="9531"/>
              </w:tabs>
              <w:ind w:right="34"/>
              <w:jc w:val="both"/>
              <w:rPr>
                <w:rFonts w:eastAsia="NeueHaasGroteskText W02" w:cs="Arial"/>
                <w:bCs/>
                <w:noProof/>
                <w:sz w:val="20"/>
                <w:szCs w:val="20"/>
              </w:rPr>
            </w:pPr>
            <w:r w:rsidRPr="00057E00">
              <w:rPr>
                <w:rFonts w:eastAsia="NeueHaasGroteskText W02" w:cs="Arial"/>
                <w:bCs/>
                <w:noProof/>
                <w:sz w:val="20"/>
                <w:szCs w:val="20"/>
              </w:rPr>
              <w:t xml:space="preserve">Spolu s finančným trhom </w:t>
            </w:r>
            <w:r w:rsidRPr="00057E00">
              <w:rPr>
                <w:rFonts w:eastAsia="NeueHaasGroteskText W02" w:cs="Arial"/>
                <w:b/>
                <w:bCs/>
                <w:noProof/>
                <w:sz w:val="20"/>
                <w:szCs w:val="20"/>
              </w:rPr>
              <w:t xml:space="preserve">prudko klesla aj cena </w:t>
            </w:r>
            <w:r w:rsidRPr="00B03E7A">
              <w:rPr>
                <w:rFonts w:eastAsia="NeueHaasGroteskText W02" w:cs="Arial"/>
                <w:b/>
                <w:bCs/>
                <w:noProof/>
                <w:sz w:val="20"/>
                <w:szCs w:val="20"/>
              </w:rPr>
              <w:t>ropy</w:t>
            </w:r>
            <w:r w:rsidRPr="00057E00">
              <w:rPr>
                <w:rFonts w:eastAsia="NeueHaasGroteskText W02" w:cs="Arial"/>
                <w:b/>
                <w:bCs/>
                <w:noProof/>
                <w:sz w:val="20"/>
                <w:szCs w:val="20"/>
              </w:rPr>
              <w:t xml:space="preserve">. </w:t>
            </w:r>
            <w:r w:rsidRPr="00057E00">
              <w:rPr>
                <w:rFonts w:eastAsia="NeueHaasGroteskText W02" w:cs="Arial"/>
                <w:bCs/>
                <w:noProof/>
                <w:sz w:val="20"/>
                <w:szCs w:val="20"/>
              </w:rPr>
              <w:t>Dôvodom bolo nielen spomalenie niektorých regiónov globálnej ekonomiky, ale aj zvýšenie produkcie zo strany Saudskej Arábie o 1 mil</w:t>
            </w:r>
            <w:r>
              <w:rPr>
                <w:rFonts w:eastAsia="NeueHaasGroteskText W02" w:cs="Arial"/>
                <w:bCs/>
                <w:noProof/>
                <w:sz w:val="20"/>
                <w:szCs w:val="20"/>
              </w:rPr>
              <w:t>.</w:t>
            </w:r>
            <w:r w:rsidRPr="00057E00">
              <w:rPr>
                <w:rFonts w:eastAsia="NeueHaasGroteskText W02" w:cs="Arial"/>
                <w:bCs/>
                <w:noProof/>
                <w:sz w:val="20"/>
                <w:szCs w:val="20"/>
              </w:rPr>
              <w:t xml:space="preserve"> barelov denne. Na horizonte prognózy očakávame pozvoľný nárast cien ropy, ktorá by sa mala stabilizovať na úrovni 61 USD za barel. </w:t>
            </w:r>
            <w:r w:rsidRPr="00057E00">
              <w:rPr>
                <w:rFonts w:eastAsia="NeueHaasGroteskText W02" w:cs="Arial"/>
                <w:b/>
                <w:bCs/>
                <w:noProof/>
                <w:sz w:val="20"/>
                <w:szCs w:val="20"/>
              </w:rPr>
              <w:t xml:space="preserve"> </w:t>
            </w:r>
          </w:p>
          <w:p w14:paraId="3A1FEE9B" w14:textId="77777777" w:rsidR="001A095A" w:rsidRPr="00057E00" w:rsidRDefault="001A095A" w:rsidP="00387AE5">
            <w:pPr>
              <w:jc w:val="both"/>
              <w:rPr>
                <w:rFonts w:cs="Arial"/>
                <w:sz w:val="20"/>
                <w:szCs w:val="20"/>
              </w:rPr>
            </w:pPr>
          </w:p>
          <w:p w14:paraId="761193E3" w14:textId="07779FAA" w:rsidR="001A095A" w:rsidRPr="00B03E7A" w:rsidRDefault="001A095A" w:rsidP="00387AE5">
            <w:pPr>
              <w:jc w:val="both"/>
              <w:rPr>
                <w:rFonts w:eastAsia="NeueHaasGroteskText W02" w:cs="Arial"/>
                <w:bCs/>
                <w:noProof/>
                <w:sz w:val="20"/>
                <w:szCs w:val="20"/>
              </w:rPr>
            </w:pPr>
            <w:r w:rsidRPr="009F54F7">
              <w:rPr>
                <w:rFonts w:cs="Arial"/>
                <w:b/>
                <w:sz w:val="20"/>
                <w:szCs w:val="20"/>
              </w:rPr>
              <w:t>Viaceré regióny globálnej ekonomiky zasiahlo spomalenie výkonu</w:t>
            </w:r>
            <w:r w:rsidRPr="00057E00">
              <w:rPr>
                <w:rFonts w:cs="Arial"/>
                <w:sz w:val="20"/>
                <w:szCs w:val="20"/>
              </w:rPr>
              <w:t xml:space="preserve">. Ekonomika eurozóny pokračovala v druhom polroku 2018 v cyklickom </w:t>
            </w:r>
            <w:r w:rsidRPr="00B03E7A">
              <w:rPr>
                <w:rFonts w:cs="Arial"/>
                <w:sz w:val="20"/>
                <w:szCs w:val="20"/>
              </w:rPr>
              <w:t>ochladení (</w:t>
            </w:r>
            <w:r w:rsidR="00C64619" w:rsidRPr="00C64619">
              <w:rPr>
                <w:rFonts w:cs="Arial"/>
                <w:color w:val="2C9ADC" w:themeColor="accent1"/>
                <w:sz w:val="20"/>
                <w:szCs w:val="20"/>
              </w:rPr>
              <w:t>GRAF 5</w:t>
            </w:r>
            <w:r w:rsidRPr="00B03E7A">
              <w:rPr>
                <w:rFonts w:cs="Arial"/>
                <w:sz w:val="20"/>
                <w:szCs w:val="20"/>
              </w:rPr>
              <w:t xml:space="preserve">). </w:t>
            </w:r>
            <w:r w:rsidRPr="00B03E7A">
              <w:rPr>
                <w:rFonts w:eastAsia="NeueHaasGroteskText W02" w:cs="Arial"/>
                <w:bCs/>
                <w:noProof/>
                <w:sz w:val="20"/>
                <w:szCs w:val="20"/>
              </w:rPr>
              <w:t>V treťom</w:t>
            </w:r>
            <w:r w:rsidRPr="00057E00">
              <w:rPr>
                <w:rFonts w:eastAsia="NeueHaasGroteskText W02" w:cs="Arial"/>
                <w:bCs/>
                <w:noProof/>
                <w:sz w:val="20"/>
                <w:szCs w:val="20"/>
              </w:rPr>
              <w:t xml:space="preserve"> štvrťroku 2018 rástla eurozóna len 0,2 % medzikvartálne. </w:t>
            </w:r>
            <w:r w:rsidR="00284902">
              <w:rPr>
                <w:rStyle w:val="Odkaznapoznmkupodiarou"/>
                <w:rFonts w:eastAsia="NeueHaasGroteskText W02"/>
                <w:bCs/>
                <w:noProof/>
                <w:sz w:val="20"/>
                <w:szCs w:val="20"/>
              </w:rPr>
              <w:footnoteReference w:id="8"/>
            </w:r>
            <w:r w:rsidRPr="00057E00">
              <w:rPr>
                <w:rFonts w:eastAsia="NeueHaasGroteskText W02" w:cs="Arial"/>
                <w:bCs/>
                <w:noProof/>
                <w:sz w:val="20"/>
                <w:szCs w:val="20"/>
              </w:rPr>
              <w:t xml:space="preserve">Ekonomiky Nemecka a Talianska zaznamenali dokonca mierny pokles. Ekonomika USA, stimulovaná fiškálnymi opatreniami, dosiahla v treťom kvartáli stabilný výkon, aj keď o čosi pomalší ako v predchádzajúcom štvrťroku. Výkon Číny spomalil kvôli </w:t>
            </w:r>
            <w:r w:rsidRPr="00B03E7A">
              <w:rPr>
                <w:rFonts w:eastAsia="NeueHaasGroteskText W02" w:cs="Arial"/>
                <w:bCs/>
                <w:noProof/>
                <w:sz w:val="20"/>
                <w:szCs w:val="20"/>
              </w:rPr>
              <w:t>obchodným konfliktom s </w:t>
            </w:r>
            <w:r>
              <w:rPr>
                <w:rFonts w:eastAsia="NeueHaasGroteskText W02" w:cs="Arial"/>
                <w:bCs/>
                <w:noProof/>
                <w:sz w:val="20"/>
                <w:szCs w:val="20"/>
              </w:rPr>
              <w:t>USA</w:t>
            </w:r>
            <w:r w:rsidRPr="00B03E7A">
              <w:rPr>
                <w:rFonts w:eastAsia="NeueHaasGroteskText W02" w:cs="Arial"/>
                <w:bCs/>
                <w:noProof/>
                <w:sz w:val="20"/>
                <w:szCs w:val="20"/>
              </w:rPr>
              <w:t xml:space="preserve"> na vlažných 6,5</w:t>
            </w:r>
            <w:r>
              <w:rPr>
                <w:rFonts w:eastAsia="NeueHaasGroteskText W02" w:cs="Arial"/>
                <w:bCs/>
                <w:noProof/>
                <w:sz w:val="20"/>
                <w:szCs w:val="20"/>
              </w:rPr>
              <w:t xml:space="preserve"> </w:t>
            </w:r>
            <w:r w:rsidRPr="00B03E7A">
              <w:rPr>
                <w:rFonts w:eastAsia="NeueHaasGroteskText W02" w:cs="Arial"/>
                <w:bCs/>
                <w:noProof/>
                <w:sz w:val="20"/>
                <w:szCs w:val="20"/>
              </w:rPr>
              <w:t>% medziročne.</w:t>
            </w:r>
            <w:r w:rsidRPr="00B03E7A">
              <w:rPr>
                <w:rFonts w:cs="Arial"/>
                <w:sz w:val="20"/>
                <w:szCs w:val="20"/>
              </w:rPr>
              <w:t xml:space="preserve"> V3 zatiaľ odoláva nepriaznivému vývoju v eurozóne (</w:t>
            </w:r>
            <w:r w:rsidR="00C64619" w:rsidRPr="00C64619">
              <w:rPr>
                <w:rFonts w:cs="Arial"/>
                <w:color w:val="2C9ADC" w:themeColor="accent1"/>
                <w:sz w:val="20"/>
                <w:szCs w:val="20"/>
              </w:rPr>
              <w:t>GRAF 6</w:t>
            </w:r>
            <w:r w:rsidR="00D315A5">
              <w:rPr>
                <w:rFonts w:cs="Arial"/>
                <w:sz w:val="20"/>
                <w:szCs w:val="20"/>
              </w:rPr>
              <w:t>).</w:t>
            </w:r>
            <w:r w:rsidR="00D315A5">
              <w:rPr>
                <w:rStyle w:val="Odkaznapoznmkupodiarou"/>
                <w:rFonts w:eastAsia="NeueHaasGroteskText W02"/>
                <w:bCs/>
                <w:noProof/>
                <w:sz w:val="20"/>
                <w:szCs w:val="20"/>
              </w:rPr>
              <w:footnoteReference w:id="9"/>
            </w:r>
            <w:r w:rsidR="00D315A5">
              <w:rPr>
                <w:rFonts w:cs="Arial"/>
                <w:sz w:val="20"/>
                <w:szCs w:val="20"/>
              </w:rPr>
              <w:t xml:space="preserve"> </w:t>
            </w:r>
            <w:r w:rsidRPr="00B03E7A">
              <w:rPr>
                <w:rFonts w:eastAsia="NeueHaasGroteskText W02" w:cs="Arial"/>
                <w:bCs/>
                <w:noProof/>
                <w:sz w:val="20"/>
                <w:szCs w:val="20"/>
              </w:rPr>
              <w:t xml:space="preserve">Vďaka silným trhom práce a zvyšovaním miezd rástli svižným tempom predovšetkým Poľsko a Maďarsko. </w:t>
            </w:r>
          </w:p>
          <w:tbl>
            <w:tblPr>
              <w:tblpPr w:leftFromText="141" w:rightFromText="141" w:vertAnchor="text" w:horzAnchor="margin" w:tblpXSpec="center" w:tblpY="136"/>
              <w:tblOverlap w:val="never"/>
              <w:tblW w:w="883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45"/>
              <w:gridCol w:w="178"/>
              <w:gridCol w:w="4413"/>
            </w:tblGrid>
            <w:tr w:rsidR="001A095A" w:rsidRPr="00057E00" w14:paraId="58A8BFB1" w14:textId="77777777" w:rsidTr="00387AE5">
              <w:trPr>
                <w:trHeight w:val="226"/>
              </w:trPr>
              <w:tc>
                <w:tcPr>
                  <w:tcW w:w="2402" w:type="pct"/>
                  <w:tcBorders>
                    <w:top w:val="nil"/>
                    <w:left w:val="nil"/>
                    <w:bottom w:val="single" w:sz="4" w:space="0" w:color="auto"/>
                    <w:right w:val="nil"/>
                  </w:tcBorders>
                  <w:shd w:val="clear" w:color="auto" w:fill="auto"/>
                  <w:vAlign w:val="center"/>
                </w:tcPr>
                <w:p w14:paraId="1B6354AB" w14:textId="25778D35" w:rsidR="001A095A" w:rsidRPr="009D181A" w:rsidRDefault="001A095A" w:rsidP="00387AE5">
                  <w:pPr>
                    <w:pStyle w:val="Nadpis3"/>
                    <w:jc w:val="both"/>
                    <w:rPr>
                      <w:b w:val="0"/>
                      <w:color w:val="2C9ADC"/>
                      <w:szCs w:val="20"/>
                    </w:rPr>
                  </w:pPr>
                  <w:bookmarkStart w:id="66" w:name="_Ref5371100"/>
                  <w:bookmarkStart w:id="67" w:name="_Toc6314248"/>
                  <w:r w:rsidRPr="009D181A">
                    <w:rPr>
                      <w:rFonts w:eastAsiaTheme="minorHAnsi"/>
                      <w:color w:val="2C9ADC"/>
                      <w:szCs w:val="20"/>
                      <w:lang w:eastAsia="en-US"/>
                    </w:rPr>
                    <w:t xml:space="preserve">GRAF </w:t>
                  </w:r>
                  <w:r w:rsidRPr="00A6512D">
                    <w:rPr>
                      <w:rFonts w:eastAsiaTheme="minorHAnsi"/>
                      <w:color w:val="2C9ADC"/>
                      <w:szCs w:val="20"/>
                      <w:lang w:eastAsia="en-US"/>
                    </w:rPr>
                    <w:fldChar w:fldCharType="begin"/>
                  </w:r>
                  <w:r w:rsidRPr="009D181A">
                    <w:rPr>
                      <w:rFonts w:eastAsiaTheme="minorHAnsi"/>
                      <w:color w:val="2C9ADC"/>
                      <w:szCs w:val="20"/>
                      <w:lang w:eastAsia="en-US"/>
                    </w:rPr>
                    <w:instrText xml:space="preserve"> SEQ GRAF \* ARABIC </w:instrText>
                  </w:r>
                  <w:r w:rsidRPr="00A6512D">
                    <w:rPr>
                      <w:rFonts w:eastAsiaTheme="minorHAnsi"/>
                      <w:color w:val="2C9ADC"/>
                      <w:szCs w:val="20"/>
                      <w:lang w:eastAsia="en-US"/>
                    </w:rPr>
                    <w:fldChar w:fldCharType="separate"/>
                  </w:r>
                  <w:r w:rsidR="00D5739E">
                    <w:rPr>
                      <w:rFonts w:eastAsiaTheme="minorHAnsi"/>
                      <w:noProof/>
                      <w:color w:val="2C9ADC"/>
                      <w:szCs w:val="20"/>
                      <w:lang w:eastAsia="en-US"/>
                    </w:rPr>
                    <w:t>5</w:t>
                  </w:r>
                  <w:r w:rsidRPr="00A6512D">
                    <w:rPr>
                      <w:rFonts w:eastAsiaTheme="minorHAnsi"/>
                      <w:color w:val="2C9ADC"/>
                      <w:szCs w:val="20"/>
                      <w:lang w:eastAsia="en-US"/>
                    </w:rPr>
                    <w:fldChar w:fldCharType="end"/>
                  </w:r>
                  <w:r w:rsidRPr="009D181A">
                    <w:rPr>
                      <w:rFonts w:eastAsiaTheme="minorHAnsi"/>
                      <w:color w:val="2C9ADC"/>
                      <w:szCs w:val="20"/>
                      <w:lang w:eastAsia="en-US"/>
                    </w:rPr>
                    <w:t xml:space="preserve"> -</w:t>
                  </w:r>
                  <w:r w:rsidRPr="00A6512D">
                    <w:rPr>
                      <w:rFonts w:eastAsiaTheme="minorHAnsi"/>
                      <w:color w:val="2C9ADC"/>
                      <w:szCs w:val="20"/>
                      <w:lang w:eastAsia="en-US"/>
                    </w:rPr>
                    <w:t xml:space="preserve"> Predstihové indikátory v eurozóne naznačujú ekonomické spomalenie</w:t>
                  </w:r>
                  <w:bookmarkEnd w:id="66"/>
                  <w:bookmarkEnd w:id="67"/>
                </w:p>
              </w:tc>
              <w:tc>
                <w:tcPr>
                  <w:tcW w:w="101" w:type="pct"/>
                  <w:tcBorders>
                    <w:top w:val="nil"/>
                    <w:left w:val="nil"/>
                    <w:bottom w:val="nil"/>
                    <w:right w:val="nil"/>
                  </w:tcBorders>
                  <w:shd w:val="clear" w:color="auto" w:fill="auto"/>
                  <w:vAlign w:val="center"/>
                </w:tcPr>
                <w:p w14:paraId="4CB3D87F" w14:textId="77777777" w:rsidR="001A095A" w:rsidRPr="00B03E7A" w:rsidRDefault="001A095A" w:rsidP="00387AE5">
                  <w:pPr>
                    <w:spacing w:before="60" w:after="60"/>
                    <w:rPr>
                      <w:rFonts w:cs="Arial"/>
                      <w:b/>
                      <w:color w:val="2C9ADC"/>
                      <w:sz w:val="18"/>
                      <w:szCs w:val="18"/>
                    </w:rPr>
                  </w:pPr>
                </w:p>
              </w:tc>
              <w:tc>
                <w:tcPr>
                  <w:tcW w:w="2498" w:type="pct"/>
                  <w:tcBorders>
                    <w:top w:val="nil"/>
                    <w:left w:val="nil"/>
                    <w:bottom w:val="single" w:sz="4" w:space="0" w:color="auto"/>
                    <w:right w:val="nil"/>
                  </w:tcBorders>
                  <w:shd w:val="clear" w:color="auto" w:fill="auto"/>
                  <w:vAlign w:val="center"/>
                </w:tcPr>
                <w:p w14:paraId="2A8558B4" w14:textId="190B746D" w:rsidR="001A095A" w:rsidRPr="00101BD6" w:rsidRDefault="001A095A" w:rsidP="00193396">
                  <w:pPr>
                    <w:pStyle w:val="Nadpis3"/>
                    <w:jc w:val="both"/>
                    <w:rPr>
                      <w:b w:val="0"/>
                      <w:color w:val="2C9ADC"/>
                      <w:szCs w:val="20"/>
                    </w:rPr>
                  </w:pPr>
                  <w:bookmarkStart w:id="68" w:name="_Ref5371129"/>
                  <w:bookmarkStart w:id="69" w:name="_Toc6314249"/>
                  <w:r w:rsidRPr="00101BD6">
                    <w:rPr>
                      <w:rFonts w:eastAsiaTheme="minorHAnsi"/>
                      <w:color w:val="2C9ADC"/>
                      <w:szCs w:val="20"/>
                      <w:lang w:eastAsia="en-US"/>
                    </w:rPr>
                    <w:t xml:space="preserve">GRAF </w:t>
                  </w:r>
                  <w:r w:rsidRPr="00A6512D">
                    <w:rPr>
                      <w:rFonts w:eastAsiaTheme="minorHAnsi"/>
                      <w:color w:val="2C9ADC"/>
                      <w:szCs w:val="20"/>
                      <w:lang w:eastAsia="en-US"/>
                    </w:rPr>
                    <w:fldChar w:fldCharType="begin"/>
                  </w:r>
                  <w:r w:rsidRPr="00101BD6">
                    <w:rPr>
                      <w:rFonts w:eastAsiaTheme="minorHAnsi"/>
                      <w:color w:val="2C9ADC"/>
                      <w:szCs w:val="20"/>
                      <w:lang w:eastAsia="en-US"/>
                    </w:rPr>
                    <w:instrText xml:space="preserve"> SEQ GRAF \* ARABIC </w:instrText>
                  </w:r>
                  <w:r w:rsidRPr="00A6512D">
                    <w:rPr>
                      <w:rFonts w:eastAsiaTheme="minorHAnsi"/>
                      <w:color w:val="2C9ADC"/>
                      <w:szCs w:val="20"/>
                      <w:lang w:eastAsia="en-US"/>
                    </w:rPr>
                    <w:fldChar w:fldCharType="separate"/>
                  </w:r>
                  <w:r w:rsidR="00D5739E">
                    <w:rPr>
                      <w:rFonts w:eastAsiaTheme="minorHAnsi"/>
                      <w:noProof/>
                      <w:color w:val="2C9ADC"/>
                      <w:szCs w:val="20"/>
                      <w:lang w:eastAsia="en-US"/>
                    </w:rPr>
                    <w:t>6</w:t>
                  </w:r>
                  <w:r w:rsidRPr="00A6512D">
                    <w:rPr>
                      <w:rFonts w:eastAsiaTheme="minorHAnsi"/>
                      <w:color w:val="2C9ADC"/>
                      <w:szCs w:val="20"/>
                      <w:lang w:eastAsia="en-US"/>
                    </w:rPr>
                    <w:fldChar w:fldCharType="end"/>
                  </w:r>
                  <w:r w:rsidRPr="00101BD6">
                    <w:rPr>
                      <w:rFonts w:eastAsiaTheme="minorHAnsi"/>
                      <w:color w:val="2C9ADC"/>
                      <w:szCs w:val="20"/>
                      <w:lang w:eastAsia="en-US"/>
                    </w:rPr>
                    <w:t xml:space="preserve"> -</w:t>
                  </w:r>
                  <w:r w:rsidRPr="00A6512D">
                    <w:rPr>
                      <w:rFonts w:eastAsiaTheme="minorHAnsi"/>
                      <w:color w:val="2C9ADC"/>
                      <w:szCs w:val="20"/>
                      <w:lang w:eastAsia="en-US"/>
                    </w:rPr>
                    <w:t xml:space="preserve"> Krajiny V3 zatiaľ odolávajú nepriaznivému vývoju v Európe</w:t>
                  </w:r>
                  <w:bookmarkEnd w:id="68"/>
                  <w:bookmarkEnd w:id="69"/>
                </w:p>
              </w:tc>
            </w:tr>
            <w:tr w:rsidR="001A095A" w:rsidRPr="00057E00" w14:paraId="7C05680A" w14:textId="77777777" w:rsidTr="00387AE5">
              <w:trPr>
                <w:trHeight w:val="2292"/>
              </w:trPr>
              <w:tc>
                <w:tcPr>
                  <w:tcW w:w="2402" w:type="pct"/>
                  <w:tcBorders>
                    <w:top w:val="single" w:sz="4" w:space="0" w:color="auto"/>
                    <w:left w:val="nil"/>
                    <w:bottom w:val="single" w:sz="4" w:space="0" w:color="auto"/>
                    <w:right w:val="nil"/>
                  </w:tcBorders>
                  <w:shd w:val="clear" w:color="auto" w:fill="auto"/>
                  <w:vAlign w:val="center"/>
                </w:tcPr>
                <w:p w14:paraId="5CCEBC05" w14:textId="77777777" w:rsidR="001A095A" w:rsidRPr="00057E00" w:rsidRDefault="001A095A" w:rsidP="00387AE5">
                  <w:pPr>
                    <w:spacing w:before="40" w:after="40"/>
                    <w:jc w:val="center"/>
                    <w:rPr>
                      <w:rFonts w:cs="Arial"/>
                      <w:b/>
                      <w:sz w:val="20"/>
                      <w:szCs w:val="20"/>
                    </w:rPr>
                  </w:pPr>
                  <w:r>
                    <w:rPr>
                      <w:noProof/>
                    </w:rPr>
                    <w:drawing>
                      <wp:inline distT="0" distB="0" distL="0" distR="0" wp14:anchorId="36F33AF9" wp14:editId="650A4638">
                        <wp:extent cx="2594754" cy="2096219"/>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01" w:type="pct"/>
                  <w:tcBorders>
                    <w:top w:val="nil"/>
                    <w:left w:val="nil"/>
                    <w:bottom w:val="nil"/>
                    <w:right w:val="nil"/>
                  </w:tcBorders>
                  <w:shd w:val="clear" w:color="auto" w:fill="auto"/>
                  <w:vAlign w:val="center"/>
                </w:tcPr>
                <w:p w14:paraId="020FFA0A" w14:textId="77777777" w:rsidR="001A095A" w:rsidRPr="00057E00" w:rsidRDefault="001A095A" w:rsidP="00387AE5">
                  <w:pPr>
                    <w:spacing w:before="40" w:after="40"/>
                    <w:jc w:val="center"/>
                    <w:rPr>
                      <w:rFonts w:cs="Arial"/>
                      <w:b/>
                      <w:sz w:val="20"/>
                      <w:szCs w:val="20"/>
                    </w:rPr>
                  </w:pPr>
                </w:p>
              </w:tc>
              <w:tc>
                <w:tcPr>
                  <w:tcW w:w="2498" w:type="pct"/>
                  <w:tcBorders>
                    <w:top w:val="single" w:sz="4" w:space="0" w:color="auto"/>
                    <w:left w:val="nil"/>
                    <w:bottom w:val="single" w:sz="4" w:space="0" w:color="auto"/>
                    <w:right w:val="nil"/>
                  </w:tcBorders>
                  <w:shd w:val="clear" w:color="auto" w:fill="auto"/>
                  <w:vAlign w:val="center"/>
                </w:tcPr>
                <w:p w14:paraId="39F80C87" w14:textId="77777777" w:rsidR="001A095A" w:rsidRPr="00057E00" w:rsidRDefault="001A095A" w:rsidP="00387AE5">
                  <w:pPr>
                    <w:spacing w:before="40" w:after="40"/>
                    <w:rPr>
                      <w:rFonts w:cs="Arial"/>
                      <w:b/>
                      <w:sz w:val="20"/>
                      <w:szCs w:val="20"/>
                    </w:rPr>
                  </w:pPr>
                  <w:r>
                    <w:rPr>
                      <w:noProof/>
                    </w:rPr>
                    <w:drawing>
                      <wp:inline distT="0" distB="0" distL="0" distR="0" wp14:anchorId="6CA29268" wp14:editId="33D791F9">
                        <wp:extent cx="2708694" cy="2087593"/>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1A095A" w:rsidRPr="00057E00" w14:paraId="231A97AD" w14:textId="77777777" w:rsidTr="00387AE5">
              <w:trPr>
                <w:trHeight w:val="45"/>
              </w:trPr>
              <w:tc>
                <w:tcPr>
                  <w:tcW w:w="2402" w:type="pct"/>
                  <w:tcBorders>
                    <w:top w:val="single" w:sz="4" w:space="0" w:color="auto"/>
                    <w:left w:val="nil"/>
                    <w:bottom w:val="nil"/>
                    <w:right w:val="nil"/>
                  </w:tcBorders>
                  <w:shd w:val="clear" w:color="auto" w:fill="auto"/>
                </w:tcPr>
                <w:p w14:paraId="76754609" w14:textId="77777777" w:rsidR="001A095A" w:rsidRPr="00057E00" w:rsidRDefault="001A095A" w:rsidP="00387AE5">
                  <w:pPr>
                    <w:spacing w:before="40" w:after="40"/>
                    <w:jc w:val="right"/>
                    <w:rPr>
                      <w:rFonts w:cs="Arial"/>
                      <w:i/>
                      <w:sz w:val="14"/>
                      <w:szCs w:val="14"/>
                    </w:rPr>
                  </w:pPr>
                  <w:r w:rsidRPr="00057E00">
                    <w:rPr>
                      <w:rFonts w:cs="Arial"/>
                      <w:i/>
                      <w:sz w:val="14"/>
                      <w:szCs w:val="14"/>
                    </w:rPr>
                    <w:t>Zdroj:   Markit, EK, Eurostat</w:t>
                  </w:r>
                </w:p>
              </w:tc>
              <w:tc>
                <w:tcPr>
                  <w:tcW w:w="101" w:type="pct"/>
                  <w:tcBorders>
                    <w:top w:val="nil"/>
                    <w:left w:val="nil"/>
                    <w:bottom w:val="nil"/>
                    <w:right w:val="nil"/>
                  </w:tcBorders>
                  <w:shd w:val="clear" w:color="auto" w:fill="auto"/>
                </w:tcPr>
                <w:p w14:paraId="0C0CB199" w14:textId="77777777" w:rsidR="001A095A" w:rsidRPr="00057E00" w:rsidRDefault="001A095A" w:rsidP="00387AE5">
                  <w:pPr>
                    <w:jc w:val="right"/>
                    <w:rPr>
                      <w:rFonts w:cs="Arial"/>
                      <w:i/>
                      <w:sz w:val="14"/>
                      <w:szCs w:val="14"/>
                    </w:rPr>
                  </w:pPr>
                </w:p>
              </w:tc>
              <w:tc>
                <w:tcPr>
                  <w:tcW w:w="2498" w:type="pct"/>
                  <w:tcBorders>
                    <w:top w:val="single" w:sz="4" w:space="0" w:color="auto"/>
                    <w:left w:val="nil"/>
                    <w:bottom w:val="nil"/>
                    <w:right w:val="nil"/>
                  </w:tcBorders>
                  <w:shd w:val="clear" w:color="auto" w:fill="auto"/>
                </w:tcPr>
                <w:p w14:paraId="5E05E477" w14:textId="77777777" w:rsidR="001A095A" w:rsidRPr="00057E00" w:rsidRDefault="001A095A" w:rsidP="00387AE5">
                  <w:pPr>
                    <w:spacing w:before="40" w:after="40"/>
                    <w:jc w:val="right"/>
                    <w:rPr>
                      <w:rFonts w:cs="Arial"/>
                      <w:i/>
                      <w:sz w:val="14"/>
                      <w:szCs w:val="14"/>
                    </w:rPr>
                  </w:pPr>
                  <w:r w:rsidRPr="00057E00">
                    <w:rPr>
                      <w:rFonts w:cs="Arial"/>
                      <w:i/>
                      <w:sz w:val="14"/>
                      <w:szCs w:val="14"/>
                    </w:rPr>
                    <w:t xml:space="preserve">Zdroj: IFP, Eurostat </w:t>
                  </w:r>
                </w:p>
              </w:tc>
            </w:tr>
          </w:tbl>
          <w:p w14:paraId="764AB6AD" w14:textId="77777777" w:rsidR="004F282D" w:rsidRDefault="001A095A" w:rsidP="00387AE5">
            <w:pPr>
              <w:jc w:val="both"/>
              <w:rPr>
                <w:rFonts w:eastAsia="NeueHaasGroteskText W02" w:cs="Arial"/>
                <w:bCs/>
                <w:noProof/>
                <w:sz w:val="20"/>
                <w:szCs w:val="20"/>
              </w:rPr>
            </w:pPr>
            <w:r w:rsidRPr="00057E00">
              <w:rPr>
                <w:rFonts w:eastAsia="NeueHaasGroteskText W02" w:cs="Arial"/>
                <w:b/>
                <w:bCs/>
                <w:noProof/>
                <w:sz w:val="20"/>
                <w:szCs w:val="20"/>
              </w:rPr>
              <w:t>Konjunkturálne prieskumy pre eurozónu aj Nemecko naznačujú pomalý, no pozitívny rast ekonomiky.</w:t>
            </w:r>
            <w:r w:rsidRPr="00057E00">
              <w:rPr>
                <w:rFonts w:eastAsia="NeueHaasGroteskText W02" w:cs="Arial"/>
                <w:bCs/>
                <w:noProof/>
                <w:sz w:val="20"/>
                <w:szCs w:val="20"/>
              </w:rPr>
              <w:t xml:space="preserve"> V poslednom štvrťroku 2018 preto očakávame, že ekonomika eur</w:t>
            </w:r>
          </w:p>
          <w:p w14:paraId="20698FB8" w14:textId="2B4F0223" w:rsidR="001A095A" w:rsidRDefault="001A095A" w:rsidP="00387AE5">
            <w:pPr>
              <w:jc w:val="both"/>
              <w:rPr>
                <w:rFonts w:eastAsia="NeueHaasGroteskText W02" w:cs="Arial"/>
                <w:bCs/>
                <w:noProof/>
                <w:sz w:val="20"/>
                <w:szCs w:val="20"/>
              </w:rPr>
            </w:pPr>
            <w:r w:rsidRPr="00057E00">
              <w:rPr>
                <w:rFonts w:eastAsia="NeueHaasGroteskText W02" w:cs="Arial"/>
                <w:bCs/>
                <w:noProof/>
                <w:sz w:val="20"/>
                <w:szCs w:val="20"/>
              </w:rPr>
              <w:t>ozóny stúpne o 0,3 % medzikvartálne. Pre rok 2019 však pristupjeme k výraznej revízií HDP a importov takmer u všetkých významných obchodných partnerov</w:t>
            </w:r>
            <w:r>
              <w:rPr>
                <w:rFonts w:eastAsia="NeueHaasGroteskText W02" w:cs="Arial"/>
                <w:bCs/>
                <w:noProof/>
                <w:sz w:val="20"/>
                <w:szCs w:val="20"/>
              </w:rPr>
              <w:t xml:space="preserve"> Slovenska</w:t>
            </w:r>
            <w:r w:rsidRPr="00057E00">
              <w:rPr>
                <w:rFonts w:eastAsia="NeueHaasGroteskText W02" w:cs="Arial"/>
                <w:bCs/>
                <w:noProof/>
                <w:sz w:val="20"/>
                <w:szCs w:val="20"/>
              </w:rPr>
              <w:t>. Uzávierka predpokladov vonkajšieho prostredia vrátane úrokových sadzieb, cien komodít a výmenných kurzov bola 15. januára 2019.</w:t>
            </w:r>
          </w:p>
          <w:p w14:paraId="127B7FF1" w14:textId="77777777" w:rsidR="003C66E6" w:rsidRPr="009D181A" w:rsidRDefault="003C66E6" w:rsidP="00387AE5">
            <w:pPr>
              <w:jc w:val="both"/>
              <w:rPr>
                <w:rFonts w:eastAsia="NeueHaasGroteskText W02" w:cs="Arial"/>
                <w:bCs/>
                <w:noProof/>
                <w:sz w:val="20"/>
                <w:szCs w:val="20"/>
              </w:rPr>
            </w:pPr>
          </w:p>
        </w:tc>
      </w:tr>
    </w:tbl>
    <w:p w14:paraId="2DBCE8DE" w14:textId="77777777" w:rsidR="001A095A" w:rsidRPr="00C666C1" w:rsidRDefault="001A095A" w:rsidP="004F1515">
      <w:pPr>
        <w:pStyle w:val="Nadpis2"/>
        <w:keepLines/>
        <w:numPr>
          <w:ilvl w:val="1"/>
          <w:numId w:val="2"/>
        </w:numPr>
        <w:spacing w:before="240" w:after="120" w:line="276" w:lineRule="auto"/>
        <w:rPr>
          <w:b/>
          <w:color w:val="2C9ADC"/>
          <w:szCs w:val="28"/>
        </w:rPr>
      </w:pPr>
      <w:bookmarkStart w:id="70" w:name="_Toc449429121"/>
      <w:bookmarkStart w:id="71" w:name="_Toc480444002"/>
      <w:bookmarkStart w:id="72" w:name="_Toc480444322"/>
      <w:bookmarkStart w:id="73" w:name="_Toc480444507"/>
      <w:bookmarkStart w:id="74" w:name="_Toc5869378"/>
      <w:r w:rsidRPr="00C666C1">
        <w:rPr>
          <w:b/>
          <w:color w:val="2C9ADC"/>
          <w:szCs w:val="28"/>
        </w:rPr>
        <w:t>Cyklický vývoj ekonomiky</w:t>
      </w:r>
      <w:bookmarkEnd w:id="70"/>
      <w:bookmarkEnd w:id="71"/>
      <w:bookmarkEnd w:id="72"/>
      <w:bookmarkEnd w:id="73"/>
      <w:bookmarkEnd w:id="74"/>
      <w:r w:rsidRPr="00C666C1">
        <w:rPr>
          <w:b/>
          <w:color w:val="2C9ADC"/>
          <w:szCs w:val="28"/>
        </w:rPr>
        <w:t xml:space="preserve"> </w:t>
      </w:r>
    </w:p>
    <w:p w14:paraId="433E63F1" w14:textId="77777777" w:rsidR="001A095A" w:rsidRDefault="001A095A" w:rsidP="001A095A">
      <w:pPr>
        <w:pStyle w:val="Odsek"/>
      </w:pPr>
      <w:bookmarkStart w:id="75" w:name="_Toc449429131"/>
      <w:bookmarkStart w:id="76" w:name="_Toc480444012"/>
      <w:bookmarkStart w:id="77" w:name="_Toc480444323"/>
      <w:bookmarkStart w:id="78" w:name="_Toc480444517"/>
      <w:r w:rsidRPr="00C666C1">
        <w:rPr>
          <w:b/>
        </w:rPr>
        <w:t>Podľa odhadov MF SR rast potenciálu ekonomiky v roku 2019 zrýchli na 3,8 %.</w:t>
      </w:r>
      <w:r w:rsidRPr="00C666C1">
        <w:t xml:space="preserve"> Hlavným impulzom do potenciálneho rastu je zvýšenie celkovej produktivity výrobných faktorov, ktoré so sebou prináša automobilový závod JLR. Zvýšená investičná aktivita vedie aj k rastúcemu príspevku kapitálu. Príspevok potenciálnej zamestnanosti sa na konci horizontu prognózy naopak zmierni v </w:t>
      </w:r>
      <w:r>
        <w:t>dôsledku demografického vývoja.</w:t>
      </w:r>
    </w:p>
    <w:p w14:paraId="735AADFA" w14:textId="77777777" w:rsidR="00D52A81" w:rsidRDefault="00D52A81" w:rsidP="001A095A">
      <w:pPr>
        <w:pStyle w:val="Odsek"/>
      </w:pPr>
    </w:p>
    <w:p w14:paraId="65607DF2" w14:textId="77777777" w:rsidR="00D52A81" w:rsidRDefault="00D52A81" w:rsidP="001A095A">
      <w:pPr>
        <w:pStyle w:val="Odsek"/>
      </w:pPr>
    </w:p>
    <w:p w14:paraId="41CC9E5B" w14:textId="77777777" w:rsidR="00D52A81" w:rsidRDefault="00D52A81" w:rsidP="001A095A">
      <w:pPr>
        <w:pStyle w:val="Odsek"/>
      </w:pPr>
    </w:p>
    <w:tbl>
      <w:tblPr>
        <w:tblW w:w="8932" w:type="dxa"/>
        <w:jc w:val="center"/>
        <w:tblLayout w:type="fixed"/>
        <w:tblCellMar>
          <w:left w:w="70" w:type="dxa"/>
          <w:right w:w="70" w:type="dxa"/>
        </w:tblCellMar>
        <w:tblLook w:val="04A0" w:firstRow="1" w:lastRow="0" w:firstColumn="1" w:lastColumn="0" w:noHBand="0" w:noVBand="1"/>
      </w:tblPr>
      <w:tblGrid>
        <w:gridCol w:w="4111"/>
        <w:gridCol w:w="965"/>
        <w:gridCol w:w="964"/>
        <w:gridCol w:w="964"/>
        <w:gridCol w:w="964"/>
        <w:gridCol w:w="929"/>
        <w:gridCol w:w="35"/>
      </w:tblGrid>
      <w:tr w:rsidR="001A095A" w:rsidRPr="00C666C1" w14:paraId="4EECE8FB" w14:textId="77777777" w:rsidTr="00387AE5">
        <w:trPr>
          <w:gridAfter w:val="1"/>
          <w:wAfter w:w="35" w:type="dxa"/>
          <w:trHeight w:val="275"/>
          <w:jc w:val="center"/>
        </w:trPr>
        <w:tc>
          <w:tcPr>
            <w:tcW w:w="4111" w:type="dxa"/>
            <w:tcBorders>
              <w:top w:val="nil"/>
              <w:left w:val="nil"/>
              <w:bottom w:val="single" w:sz="6" w:space="0" w:color="auto"/>
              <w:right w:val="nil"/>
            </w:tcBorders>
            <w:shd w:val="clear" w:color="auto" w:fill="auto"/>
            <w:noWrap/>
            <w:vAlign w:val="center"/>
            <w:hideMark/>
          </w:tcPr>
          <w:p w14:paraId="0645AB5B" w14:textId="652E8755" w:rsidR="001A095A" w:rsidRPr="00C666C1" w:rsidRDefault="001A095A" w:rsidP="00387AE5">
            <w:pPr>
              <w:pStyle w:val="Nadpis3"/>
              <w:rPr>
                <w:rFonts w:eastAsiaTheme="minorHAnsi"/>
                <w:color w:val="2C9ADC"/>
                <w:lang w:eastAsia="en-US"/>
              </w:rPr>
            </w:pPr>
            <w:bookmarkStart w:id="79" w:name="_Toc6314250"/>
            <w:r w:rsidRPr="00BE4732">
              <w:rPr>
                <w:rFonts w:eastAsiaTheme="minorHAnsi"/>
                <w:color w:val="2C9ADC"/>
                <w:szCs w:val="20"/>
                <w:lang w:eastAsia="en-US"/>
              </w:rPr>
              <w:lastRenderedPageBreak/>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7</w:t>
            </w:r>
            <w:r w:rsidRPr="00BE4732">
              <w:rPr>
                <w:rFonts w:eastAsiaTheme="minorHAnsi"/>
                <w:color w:val="2C9ADC"/>
                <w:szCs w:val="20"/>
                <w:lang w:eastAsia="en-US"/>
              </w:rPr>
              <w:fldChar w:fldCharType="end"/>
            </w:r>
            <w:r>
              <w:rPr>
                <w:rFonts w:eastAsiaTheme="minorHAnsi"/>
                <w:color w:val="2C9ADC"/>
                <w:szCs w:val="20"/>
                <w:lang w:eastAsia="en-US"/>
              </w:rPr>
              <w:t xml:space="preserve"> </w:t>
            </w:r>
            <w:r w:rsidRPr="00C666C1">
              <w:rPr>
                <w:rFonts w:eastAsiaTheme="minorHAnsi"/>
                <w:color w:val="2C9ADC"/>
                <w:lang w:eastAsia="en-US"/>
              </w:rPr>
              <w:t>- Príspevky výrobných faktorov k rastu potenciálneho produktu (p. b.) - prístup MF SR</w:t>
            </w:r>
            <w:bookmarkEnd w:id="79"/>
          </w:p>
        </w:tc>
        <w:tc>
          <w:tcPr>
            <w:tcW w:w="4786" w:type="dxa"/>
            <w:gridSpan w:val="5"/>
            <w:tcBorders>
              <w:top w:val="nil"/>
              <w:left w:val="nil"/>
              <w:bottom w:val="single" w:sz="8" w:space="0" w:color="auto"/>
              <w:right w:val="nil"/>
            </w:tcBorders>
            <w:shd w:val="clear" w:color="auto" w:fill="auto"/>
            <w:noWrap/>
            <w:vAlign w:val="center"/>
            <w:hideMark/>
          </w:tcPr>
          <w:p w14:paraId="39CB7FA6" w14:textId="528C6297" w:rsidR="001A095A" w:rsidRPr="00C666C1" w:rsidRDefault="001A095A" w:rsidP="00387AE5">
            <w:pPr>
              <w:pStyle w:val="Nadpis3"/>
              <w:jc w:val="both"/>
              <w:rPr>
                <w:color w:val="2C9ADC" w:themeColor="accent1"/>
              </w:rPr>
            </w:pPr>
            <w:bookmarkStart w:id="80" w:name="_Toc6314201"/>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2</w:t>
            </w:r>
            <w:r w:rsidRPr="00BE4732">
              <w:rPr>
                <w:rFonts w:eastAsiaTheme="minorHAnsi"/>
                <w:color w:val="2C9ADC" w:themeColor="accent1"/>
                <w:lang w:eastAsia="en-US"/>
              </w:rPr>
              <w:fldChar w:fldCharType="end"/>
            </w:r>
            <w:r w:rsidRPr="00C666C1">
              <w:rPr>
                <w:rFonts w:eastAsiaTheme="minorHAnsi"/>
                <w:color w:val="2C9ADC"/>
                <w:lang w:eastAsia="en-US"/>
              </w:rPr>
              <w:t xml:space="preserve"> - Príspevky výrobných faktorov k rastu potenciálneho produktu - prístup MF SR</w:t>
            </w:r>
            <w:bookmarkEnd w:id="80"/>
          </w:p>
        </w:tc>
      </w:tr>
      <w:tr w:rsidR="001A095A" w:rsidRPr="00C666C1" w14:paraId="36FD07C1" w14:textId="77777777" w:rsidTr="004F1515">
        <w:tblPrEx>
          <w:tblCellMar>
            <w:left w:w="108" w:type="dxa"/>
            <w:right w:w="108" w:type="dxa"/>
          </w:tblCellMar>
        </w:tblPrEx>
        <w:trPr>
          <w:trHeight w:val="283"/>
          <w:jc w:val="center"/>
        </w:trPr>
        <w:tc>
          <w:tcPr>
            <w:tcW w:w="4111" w:type="dxa"/>
            <w:vMerge w:val="restart"/>
            <w:tcBorders>
              <w:top w:val="single" w:sz="6" w:space="0" w:color="auto"/>
              <w:left w:val="nil"/>
              <w:bottom w:val="single" w:sz="4" w:space="0" w:color="000000"/>
              <w:right w:val="nil"/>
            </w:tcBorders>
            <w:shd w:val="clear" w:color="auto" w:fill="auto"/>
            <w:vAlign w:val="center"/>
            <w:hideMark/>
          </w:tcPr>
          <w:p w14:paraId="71B2D1AD" w14:textId="25462B33" w:rsidR="001A095A" w:rsidRPr="00C666C1" w:rsidRDefault="00387AE5" w:rsidP="00387AE5">
            <w:pPr>
              <w:rPr>
                <w:rFonts w:cs="Times New Roman"/>
                <w:b/>
                <w:bCs/>
                <w:color w:val="000000"/>
                <w:sz w:val="16"/>
                <w:szCs w:val="16"/>
              </w:rPr>
            </w:pPr>
            <w:r w:rsidRPr="00C666C1">
              <w:rPr>
                <w:noProof/>
              </w:rPr>
              <w:drawing>
                <wp:inline distT="0" distB="0" distL="0" distR="0" wp14:anchorId="0FF3F79B" wp14:editId="0855D5A8">
                  <wp:extent cx="2501798" cy="1748333"/>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965" w:type="dxa"/>
            <w:tcBorders>
              <w:top w:val="single" w:sz="8" w:space="0" w:color="auto"/>
              <w:left w:val="nil"/>
              <w:bottom w:val="single" w:sz="4" w:space="0" w:color="auto"/>
              <w:right w:val="nil"/>
            </w:tcBorders>
            <w:shd w:val="clear" w:color="auto" w:fill="auto"/>
            <w:noWrap/>
            <w:vAlign w:val="center"/>
            <w:hideMark/>
          </w:tcPr>
          <w:p w14:paraId="7422DAA6" w14:textId="77777777" w:rsidR="001A095A" w:rsidRPr="00C666C1" w:rsidRDefault="001A095A" w:rsidP="00387AE5">
            <w:pPr>
              <w:rPr>
                <w:rFonts w:cs="Times New Roman"/>
                <w:color w:val="000000"/>
                <w:sz w:val="18"/>
                <w:szCs w:val="18"/>
                <w:lang w:eastAsia="en-US"/>
              </w:rPr>
            </w:pPr>
            <w:r w:rsidRPr="00C666C1">
              <w:rPr>
                <w:color w:val="000000"/>
                <w:sz w:val="18"/>
                <w:szCs w:val="18"/>
              </w:rPr>
              <w:t> </w:t>
            </w:r>
          </w:p>
        </w:tc>
        <w:tc>
          <w:tcPr>
            <w:tcW w:w="964" w:type="dxa"/>
            <w:tcBorders>
              <w:top w:val="single" w:sz="8" w:space="0" w:color="auto"/>
              <w:left w:val="nil"/>
              <w:bottom w:val="single" w:sz="4" w:space="0" w:color="auto"/>
              <w:right w:val="nil"/>
            </w:tcBorders>
            <w:shd w:val="clear" w:color="auto" w:fill="auto"/>
            <w:vAlign w:val="center"/>
            <w:hideMark/>
          </w:tcPr>
          <w:p w14:paraId="782AF56F" w14:textId="77777777" w:rsidR="001A095A" w:rsidRPr="00C666C1" w:rsidRDefault="001A095A" w:rsidP="00387AE5">
            <w:pPr>
              <w:jc w:val="center"/>
              <w:rPr>
                <w:b/>
                <w:bCs/>
                <w:color w:val="000000"/>
                <w:sz w:val="18"/>
                <w:szCs w:val="18"/>
              </w:rPr>
            </w:pPr>
            <w:r w:rsidRPr="00C666C1">
              <w:rPr>
                <w:b/>
                <w:bCs/>
                <w:color w:val="000000"/>
                <w:sz w:val="18"/>
                <w:szCs w:val="18"/>
              </w:rPr>
              <w:t>Pot. HDP (rast, %)</w:t>
            </w:r>
          </w:p>
        </w:tc>
        <w:tc>
          <w:tcPr>
            <w:tcW w:w="964" w:type="dxa"/>
            <w:tcBorders>
              <w:top w:val="single" w:sz="8" w:space="0" w:color="auto"/>
              <w:left w:val="nil"/>
              <w:bottom w:val="single" w:sz="4" w:space="0" w:color="auto"/>
              <w:right w:val="nil"/>
            </w:tcBorders>
            <w:shd w:val="clear" w:color="000000" w:fill="E6E6E6"/>
            <w:vAlign w:val="center"/>
            <w:hideMark/>
          </w:tcPr>
          <w:p w14:paraId="23168927" w14:textId="77777777" w:rsidR="001A095A" w:rsidRPr="00C666C1" w:rsidRDefault="001A095A" w:rsidP="00387AE5">
            <w:pPr>
              <w:jc w:val="center"/>
              <w:rPr>
                <w:b/>
                <w:bCs/>
                <w:color w:val="000000"/>
                <w:sz w:val="18"/>
                <w:szCs w:val="18"/>
              </w:rPr>
            </w:pPr>
            <w:r w:rsidRPr="00C666C1">
              <w:rPr>
                <w:b/>
                <w:bCs/>
                <w:color w:val="000000"/>
                <w:sz w:val="18"/>
                <w:szCs w:val="18"/>
              </w:rPr>
              <w:t>TFP</w:t>
            </w:r>
            <w:r w:rsidRPr="00C666C1">
              <w:rPr>
                <w:b/>
                <w:bCs/>
                <w:color w:val="000000"/>
                <w:sz w:val="18"/>
                <w:szCs w:val="18"/>
                <w:vertAlign w:val="superscript"/>
              </w:rPr>
              <w:t>*</w:t>
            </w:r>
          </w:p>
        </w:tc>
        <w:tc>
          <w:tcPr>
            <w:tcW w:w="964" w:type="dxa"/>
            <w:tcBorders>
              <w:top w:val="single" w:sz="8" w:space="0" w:color="auto"/>
              <w:left w:val="nil"/>
              <w:bottom w:val="single" w:sz="4" w:space="0" w:color="auto"/>
              <w:right w:val="nil"/>
            </w:tcBorders>
            <w:shd w:val="clear" w:color="000000" w:fill="E6E6E6"/>
            <w:vAlign w:val="center"/>
            <w:hideMark/>
          </w:tcPr>
          <w:p w14:paraId="32987150" w14:textId="77777777" w:rsidR="001A095A" w:rsidRPr="00C666C1" w:rsidRDefault="001A095A" w:rsidP="00387AE5">
            <w:pPr>
              <w:jc w:val="center"/>
              <w:rPr>
                <w:b/>
                <w:bCs/>
                <w:color w:val="000000"/>
                <w:sz w:val="18"/>
                <w:szCs w:val="18"/>
              </w:rPr>
            </w:pPr>
            <w:r w:rsidRPr="00C666C1">
              <w:rPr>
                <w:b/>
                <w:bCs/>
                <w:color w:val="000000"/>
                <w:sz w:val="18"/>
                <w:szCs w:val="18"/>
              </w:rPr>
              <w:t>Zásoba kapitálu</w:t>
            </w:r>
          </w:p>
        </w:tc>
        <w:tc>
          <w:tcPr>
            <w:tcW w:w="964" w:type="dxa"/>
            <w:gridSpan w:val="2"/>
            <w:tcBorders>
              <w:top w:val="single" w:sz="8" w:space="0" w:color="auto"/>
              <w:left w:val="nil"/>
              <w:bottom w:val="single" w:sz="4" w:space="0" w:color="auto"/>
              <w:right w:val="nil"/>
            </w:tcBorders>
            <w:shd w:val="clear" w:color="000000" w:fill="E6E6E6"/>
            <w:vAlign w:val="center"/>
            <w:hideMark/>
          </w:tcPr>
          <w:p w14:paraId="1D3FE33B" w14:textId="77777777" w:rsidR="001A095A" w:rsidRPr="00C666C1" w:rsidRDefault="001A095A" w:rsidP="00387AE5">
            <w:pPr>
              <w:jc w:val="center"/>
              <w:rPr>
                <w:b/>
                <w:bCs/>
                <w:color w:val="000000"/>
                <w:sz w:val="18"/>
                <w:szCs w:val="18"/>
              </w:rPr>
            </w:pPr>
            <w:r w:rsidRPr="00C666C1">
              <w:rPr>
                <w:b/>
                <w:bCs/>
                <w:color w:val="000000"/>
                <w:sz w:val="18"/>
                <w:szCs w:val="18"/>
              </w:rPr>
              <w:t>Práca</w:t>
            </w:r>
          </w:p>
        </w:tc>
      </w:tr>
      <w:tr w:rsidR="001A095A" w:rsidRPr="00C666C1" w14:paraId="148EEC86" w14:textId="77777777" w:rsidTr="004F1515">
        <w:trPr>
          <w:trHeight w:val="283"/>
          <w:jc w:val="center"/>
        </w:trPr>
        <w:tc>
          <w:tcPr>
            <w:tcW w:w="4111" w:type="dxa"/>
            <w:vMerge/>
            <w:tcBorders>
              <w:top w:val="nil"/>
              <w:left w:val="nil"/>
              <w:bottom w:val="single" w:sz="4" w:space="0" w:color="000000"/>
              <w:right w:val="nil"/>
            </w:tcBorders>
            <w:vAlign w:val="center"/>
            <w:hideMark/>
          </w:tcPr>
          <w:p w14:paraId="241F4F3B"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602F5549" w14:textId="77777777" w:rsidR="001A095A" w:rsidRPr="00C666C1" w:rsidRDefault="001A095A" w:rsidP="00387AE5">
            <w:pPr>
              <w:jc w:val="center"/>
              <w:rPr>
                <w:color w:val="000000"/>
                <w:sz w:val="18"/>
                <w:szCs w:val="18"/>
              </w:rPr>
            </w:pPr>
            <w:r w:rsidRPr="00C666C1">
              <w:rPr>
                <w:color w:val="000000"/>
                <w:sz w:val="18"/>
                <w:szCs w:val="18"/>
              </w:rPr>
              <w:t>2014</w:t>
            </w:r>
          </w:p>
        </w:tc>
        <w:tc>
          <w:tcPr>
            <w:tcW w:w="964" w:type="dxa"/>
            <w:tcBorders>
              <w:top w:val="nil"/>
              <w:left w:val="nil"/>
              <w:bottom w:val="nil"/>
              <w:right w:val="nil"/>
            </w:tcBorders>
            <w:shd w:val="clear" w:color="auto" w:fill="auto"/>
            <w:noWrap/>
            <w:vAlign w:val="center"/>
            <w:hideMark/>
          </w:tcPr>
          <w:p w14:paraId="12E7BCF8" w14:textId="77777777" w:rsidR="001A095A" w:rsidRPr="00C666C1" w:rsidRDefault="001A095A" w:rsidP="00387AE5">
            <w:pPr>
              <w:jc w:val="center"/>
              <w:rPr>
                <w:color w:val="000000"/>
                <w:sz w:val="18"/>
                <w:szCs w:val="18"/>
              </w:rPr>
            </w:pPr>
            <w:r>
              <w:rPr>
                <w:color w:val="000000"/>
                <w:sz w:val="18"/>
                <w:szCs w:val="18"/>
              </w:rPr>
              <w:t>2,5</w:t>
            </w:r>
          </w:p>
        </w:tc>
        <w:tc>
          <w:tcPr>
            <w:tcW w:w="964" w:type="dxa"/>
            <w:tcBorders>
              <w:top w:val="nil"/>
              <w:left w:val="nil"/>
              <w:bottom w:val="nil"/>
              <w:right w:val="nil"/>
            </w:tcBorders>
            <w:shd w:val="clear" w:color="000000" w:fill="E6E6E6"/>
            <w:noWrap/>
            <w:vAlign w:val="center"/>
            <w:hideMark/>
          </w:tcPr>
          <w:p w14:paraId="5F493BB3" w14:textId="77777777" w:rsidR="001A095A" w:rsidRPr="00C666C1" w:rsidRDefault="001A095A" w:rsidP="00387AE5">
            <w:pPr>
              <w:jc w:val="center"/>
              <w:rPr>
                <w:b/>
                <w:bCs/>
                <w:color w:val="000000"/>
                <w:sz w:val="18"/>
                <w:szCs w:val="18"/>
              </w:rPr>
            </w:pPr>
            <w:r>
              <w:rPr>
                <w:b/>
                <w:bCs/>
                <w:color w:val="000000"/>
                <w:sz w:val="18"/>
                <w:szCs w:val="18"/>
              </w:rPr>
              <w:t>1,6</w:t>
            </w:r>
          </w:p>
        </w:tc>
        <w:tc>
          <w:tcPr>
            <w:tcW w:w="964" w:type="dxa"/>
            <w:tcBorders>
              <w:top w:val="nil"/>
              <w:left w:val="nil"/>
              <w:bottom w:val="nil"/>
              <w:right w:val="nil"/>
            </w:tcBorders>
            <w:shd w:val="clear" w:color="000000" w:fill="E6E6E6"/>
            <w:noWrap/>
            <w:vAlign w:val="center"/>
            <w:hideMark/>
          </w:tcPr>
          <w:p w14:paraId="1784386B" w14:textId="77777777" w:rsidR="001A095A" w:rsidRPr="00C666C1" w:rsidRDefault="001A095A" w:rsidP="00387AE5">
            <w:pPr>
              <w:jc w:val="center"/>
              <w:rPr>
                <w:b/>
                <w:bCs/>
                <w:color w:val="000000"/>
                <w:sz w:val="18"/>
                <w:szCs w:val="18"/>
              </w:rPr>
            </w:pPr>
            <w:r>
              <w:rPr>
                <w:b/>
                <w:bCs/>
                <w:color w:val="000000"/>
                <w:sz w:val="18"/>
                <w:szCs w:val="18"/>
              </w:rPr>
              <w:t>0,5</w:t>
            </w:r>
          </w:p>
        </w:tc>
        <w:tc>
          <w:tcPr>
            <w:tcW w:w="964" w:type="dxa"/>
            <w:gridSpan w:val="2"/>
            <w:tcBorders>
              <w:top w:val="nil"/>
              <w:left w:val="nil"/>
              <w:bottom w:val="nil"/>
              <w:right w:val="nil"/>
            </w:tcBorders>
            <w:shd w:val="clear" w:color="000000" w:fill="E6E6E6"/>
            <w:vAlign w:val="center"/>
            <w:hideMark/>
          </w:tcPr>
          <w:p w14:paraId="4675140C" w14:textId="77777777" w:rsidR="001A095A" w:rsidRPr="00C666C1" w:rsidRDefault="001A095A" w:rsidP="00387AE5">
            <w:pPr>
              <w:jc w:val="center"/>
              <w:rPr>
                <w:b/>
                <w:bCs/>
                <w:color w:val="000000"/>
                <w:sz w:val="18"/>
                <w:szCs w:val="18"/>
              </w:rPr>
            </w:pPr>
            <w:r>
              <w:rPr>
                <w:b/>
                <w:bCs/>
                <w:color w:val="000000"/>
                <w:sz w:val="18"/>
                <w:szCs w:val="18"/>
              </w:rPr>
              <w:t>0,4</w:t>
            </w:r>
          </w:p>
        </w:tc>
      </w:tr>
      <w:tr w:rsidR="001A095A" w:rsidRPr="00C666C1" w14:paraId="7F551134" w14:textId="77777777" w:rsidTr="004F1515">
        <w:trPr>
          <w:trHeight w:val="283"/>
          <w:jc w:val="center"/>
        </w:trPr>
        <w:tc>
          <w:tcPr>
            <w:tcW w:w="4111" w:type="dxa"/>
            <w:vMerge/>
            <w:tcBorders>
              <w:top w:val="nil"/>
              <w:left w:val="nil"/>
              <w:bottom w:val="single" w:sz="4" w:space="0" w:color="000000"/>
              <w:right w:val="nil"/>
            </w:tcBorders>
            <w:vAlign w:val="center"/>
            <w:hideMark/>
          </w:tcPr>
          <w:p w14:paraId="4A149431"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1285E888" w14:textId="77777777" w:rsidR="001A095A" w:rsidRPr="00C666C1" w:rsidRDefault="001A095A" w:rsidP="00387AE5">
            <w:pPr>
              <w:jc w:val="center"/>
              <w:rPr>
                <w:color w:val="000000"/>
                <w:sz w:val="18"/>
                <w:szCs w:val="18"/>
              </w:rPr>
            </w:pPr>
            <w:r w:rsidRPr="00C666C1">
              <w:rPr>
                <w:color w:val="000000"/>
                <w:sz w:val="18"/>
                <w:szCs w:val="18"/>
              </w:rPr>
              <w:t>2015</w:t>
            </w:r>
          </w:p>
        </w:tc>
        <w:tc>
          <w:tcPr>
            <w:tcW w:w="964" w:type="dxa"/>
            <w:tcBorders>
              <w:top w:val="nil"/>
              <w:left w:val="nil"/>
              <w:bottom w:val="nil"/>
              <w:right w:val="nil"/>
            </w:tcBorders>
            <w:shd w:val="clear" w:color="auto" w:fill="auto"/>
            <w:noWrap/>
            <w:vAlign w:val="center"/>
            <w:hideMark/>
          </w:tcPr>
          <w:p w14:paraId="36365CE2" w14:textId="77777777" w:rsidR="001A095A" w:rsidRPr="00C666C1" w:rsidRDefault="001A095A" w:rsidP="00387AE5">
            <w:pPr>
              <w:jc w:val="center"/>
              <w:rPr>
                <w:color w:val="000000"/>
                <w:sz w:val="18"/>
                <w:szCs w:val="18"/>
              </w:rPr>
            </w:pPr>
            <w:r>
              <w:rPr>
                <w:color w:val="000000"/>
                <w:sz w:val="18"/>
                <w:szCs w:val="18"/>
              </w:rPr>
              <w:t>3,0</w:t>
            </w:r>
          </w:p>
        </w:tc>
        <w:tc>
          <w:tcPr>
            <w:tcW w:w="964" w:type="dxa"/>
            <w:tcBorders>
              <w:top w:val="nil"/>
              <w:left w:val="nil"/>
              <w:bottom w:val="nil"/>
              <w:right w:val="nil"/>
            </w:tcBorders>
            <w:shd w:val="clear" w:color="000000" w:fill="E6E6E6"/>
            <w:noWrap/>
            <w:vAlign w:val="center"/>
            <w:hideMark/>
          </w:tcPr>
          <w:p w14:paraId="5E961BC6" w14:textId="77777777" w:rsidR="001A095A" w:rsidRPr="00C666C1" w:rsidRDefault="001A095A" w:rsidP="00387AE5">
            <w:pPr>
              <w:jc w:val="center"/>
              <w:rPr>
                <w:b/>
                <w:bCs/>
                <w:color w:val="000000"/>
                <w:sz w:val="18"/>
                <w:szCs w:val="18"/>
              </w:rPr>
            </w:pPr>
            <w:r>
              <w:rPr>
                <w:b/>
                <w:bCs/>
                <w:color w:val="000000"/>
                <w:sz w:val="18"/>
                <w:szCs w:val="18"/>
              </w:rPr>
              <w:t>1,7</w:t>
            </w:r>
          </w:p>
        </w:tc>
        <w:tc>
          <w:tcPr>
            <w:tcW w:w="964" w:type="dxa"/>
            <w:tcBorders>
              <w:top w:val="nil"/>
              <w:left w:val="nil"/>
              <w:bottom w:val="nil"/>
              <w:right w:val="nil"/>
            </w:tcBorders>
            <w:shd w:val="clear" w:color="000000" w:fill="E6E6E6"/>
            <w:noWrap/>
            <w:vAlign w:val="center"/>
            <w:hideMark/>
          </w:tcPr>
          <w:p w14:paraId="3FB45452" w14:textId="77777777" w:rsidR="001A095A" w:rsidRPr="00C666C1" w:rsidRDefault="001A095A" w:rsidP="00387AE5">
            <w:pPr>
              <w:jc w:val="center"/>
              <w:rPr>
                <w:b/>
                <w:bCs/>
                <w:color w:val="000000"/>
                <w:sz w:val="18"/>
                <w:szCs w:val="18"/>
              </w:rPr>
            </w:pPr>
            <w:r>
              <w:rPr>
                <w:b/>
                <w:bCs/>
                <w:color w:val="000000"/>
                <w:sz w:val="18"/>
                <w:szCs w:val="18"/>
              </w:rPr>
              <w:t>0,8</w:t>
            </w:r>
          </w:p>
        </w:tc>
        <w:tc>
          <w:tcPr>
            <w:tcW w:w="964" w:type="dxa"/>
            <w:gridSpan w:val="2"/>
            <w:tcBorders>
              <w:top w:val="nil"/>
              <w:left w:val="nil"/>
              <w:bottom w:val="nil"/>
              <w:right w:val="nil"/>
            </w:tcBorders>
            <w:shd w:val="clear" w:color="000000" w:fill="E6E6E6"/>
            <w:vAlign w:val="center"/>
            <w:hideMark/>
          </w:tcPr>
          <w:p w14:paraId="04139C05" w14:textId="77777777" w:rsidR="001A095A" w:rsidRPr="00C666C1" w:rsidRDefault="001A095A" w:rsidP="00387AE5">
            <w:pPr>
              <w:jc w:val="center"/>
              <w:rPr>
                <w:b/>
                <w:bCs/>
                <w:color w:val="000000"/>
                <w:sz w:val="18"/>
                <w:szCs w:val="18"/>
              </w:rPr>
            </w:pPr>
            <w:r>
              <w:rPr>
                <w:b/>
                <w:bCs/>
                <w:color w:val="000000"/>
                <w:sz w:val="18"/>
                <w:szCs w:val="18"/>
              </w:rPr>
              <w:t>0,5</w:t>
            </w:r>
          </w:p>
        </w:tc>
      </w:tr>
      <w:tr w:rsidR="001A095A" w:rsidRPr="00C666C1" w14:paraId="344A9367" w14:textId="77777777" w:rsidTr="004F1515">
        <w:trPr>
          <w:trHeight w:val="283"/>
          <w:jc w:val="center"/>
        </w:trPr>
        <w:tc>
          <w:tcPr>
            <w:tcW w:w="4111" w:type="dxa"/>
            <w:vMerge/>
            <w:tcBorders>
              <w:top w:val="nil"/>
              <w:left w:val="nil"/>
              <w:bottom w:val="single" w:sz="4" w:space="0" w:color="000000"/>
              <w:right w:val="nil"/>
            </w:tcBorders>
            <w:vAlign w:val="center"/>
            <w:hideMark/>
          </w:tcPr>
          <w:p w14:paraId="7D81EA3A"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7C03BA76" w14:textId="77777777" w:rsidR="001A095A" w:rsidRPr="00C666C1" w:rsidRDefault="001A095A" w:rsidP="00387AE5">
            <w:pPr>
              <w:jc w:val="center"/>
              <w:rPr>
                <w:color w:val="000000"/>
                <w:sz w:val="18"/>
                <w:szCs w:val="18"/>
              </w:rPr>
            </w:pPr>
            <w:r w:rsidRPr="00C666C1">
              <w:rPr>
                <w:color w:val="000000"/>
                <w:sz w:val="18"/>
                <w:szCs w:val="18"/>
              </w:rPr>
              <w:t>2016</w:t>
            </w:r>
          </w:p>
        </w:tc>
        <w:tc>
          <w:tcPr>
            <w:tcW w:w="964" w:type="dxa"/>
            <w:tcBorders>
              <w:top w:val="nil"/>
              <w:left w:val="nil"/>
              <w:bottom w:val="nil"/>
              <w:right w:val="nil"/>
            </w:tcBorders>
            <w:shd w:val="clear" w:color="auto" w:fill="auto"/>
            <w:noWrap/>
            <w:vAlign w:val="center"/>
            <w:hideMark/>
          </w:tcPr>
          <w:p w14:paraId="361549C3" w14:textId="77777777" w:rsidR="001A095A" w:rsidRPr="00C666C1" w:rsidRDefault="001A095A" w:rsidP="00387AE5">
            <w:pPr>
              <w:jc w:val="center"/>
              <w:rPr>
                <w:color w:val="000000"/>
                <w:sz w:val="18"/>
                <w:szCs w:val="18"/>
              </w:rPr>
            </w:pPr>
            <w:r>
              <w:rPr>
                <w:color w:val="000000"/>
                <w:sz w:val="18"/>
                <w:szCs w:val="18"/>
              </w:rPr>
              <w:t>2,9</w:t>
            </w:r>
          </w:p>
        </w:tc>
        <w:tc>
          <w:tcPr>
            <w:tcW w:w="964" w:type="dxa"/>
            <w:tcBorders>
              <w:top w:val="nil"/>
              <w:left w:val="nil"/>
              <w:bottom w:val="nil"/>
              <w:right w:val="nil"/>
            </w:tcBorders>
            <w:shd w:val="clear" w:color="000000" w:fill="E6E6E6"/>
            <w:noWrap/>
            <w:vAlign w:val="center"/>
            <w:hideMark/>
          </w:tcPr>
          <w:p w14:paraId="69BB9248" w14:textId="77777777" w:rsidR="001A095A" w:rsidRPr="00C666C1" w:rsidRDefault="001A095A" w:rsidP="00387AE5">
            <w:pPr>
              <w:jc w:val="center"/>
              <w:rPr>
                <w:b/>
                <w:bCs/>
                <w:color w:val="000000"/>
                <w:sz w:val="18"/>
                <w:szCs w:val="18"/>
              </w:rPr>
            </w:pPr>
            <w:r>
              <w:rPr>
                <w:b/>
                <w:bCs/>
                <w:color w:val="000000"/>
                <w:sz w:val="18"/>
                <w:szCs w:val="18"/>
              </w:rPr>
              <w:t>1,5</w:t>
            </w:r>
          </w:p>
        </w:tc>
        <w:tc>
          <w:tcPr>
            <w:tcW w:w="964" w:type="dxa"/>
            <w:tcBorders>
              <w:top w:val="nil"/>
              <w:left w:val="nil"/>
              <w:bottom w:val="nil"/>
              <w:right w:val="nil"/>
            </w:tcBorders>
            <w:shd w:val="clear" w:color="000000" w:fill="E6E6E6"/>
            <w:noWrap/>
            <w:vAlign w:val="center"/>
            <w:hideMark/>
          </w:tcPr>
          <w:p w14:paraId="5BE7C931" w14:textId="77777777" w:rsidR="001A095A" w:rsidRPr="00C666C1" w:rsidRDefault="001A095A" w:rsidP="00387AE5">
            <w:pPr>
              <w:jc w:val="center"/>
              <w:rPr>
                <w:b/>
                <w:bCs/>
                <w:color w:val="000000"/>
                <w:sz w:val="18"/>
                <w:szCs w:val="18"/>
              </w:rPr>
            </w:pPr>
            <w:r>
              <w:rPr>
                <w:b/>
                <w:bCs/>
                <w:color w:val="000000"/>
                <w:sz w:val="18"/>
                <w:szCs w:val="18"/>
              </w:rPr>
              <w:t>0,9</w:t>
            </w:r>
          </w:p>
        </w:tc>
        <w:tc>
          <w:tcPr>
            <w:tcW w:w="964" w:type="dxa"/>
            <w:gridSpan w:val="2"/>
            <w:tcBorders>
              <w:top w:val="nil"/>
              <w:left w:val="nil"/>
              <w:bottom w:val="nil"/>
              <w:right w:val="nil"/>
            </w:tcBorders>
            <w:shd w:val="clear" w:color="000000" w:fill="E6E6E6"/>
            <w:vAlign w:val="center"/>
            <w:hideMark/>
          </w:tcPr>
          <w:p w14:paraId="661E525C" w14:textId="77777777" w:rsidR="001A095A" w:rsidRPr="00C666C1" w:rsidRDefault="001A095A" w:rsidP="00387AE5">
            <w:pPr>
              <w:jc w:val="center"/>
              <w:rPr>
                <w:b/>
                <w:bCs/>
                <w:color w:val="000000"/>
                <w:sz w:val="18"/>
                <w:szCs w:val="18"/>
              </w:rPr>
            </w:pPr>
            <w:r>
              <w:rPr>
                <w:b/>
                <w:bCs/>
                <w:color w:val="000000"/>
                <w:sz w:val="18"/>
                <w:szCs w:val="18"/>
              </w:rPr>
              <w:t>0,5</w:t>
            </w:r>
          </w:p>
        </w:tc>
      </w:tr>
      <w:tr w:rsidR="001A095A" w:rsidRPr="00C666C1" w14:paraId="39BA09F8" w14:textId="77777777" w:rsidTr="004F1515">
        <w:trPr>
          <w:trHeight w:val="283"/>
          <w:jc w:val="center"/>
        </w:trPr>
        <w:tc>
          <w:tcPr>
            <w:tcW w:w="4111" w:type="dxa"/>
            <w:vMerge/>
            <w:tcBorders>
              <w:top w:val="nil"/>
              <w:left w:val="nil"/>
              <w:bottom w:val="single" w:sz="4" w:space="0" w:color="000000"/>
              <w:right w:val="nil"/>
            </w:tcBorders>
            <w:vAlign w:val="center"/>
            <w:hideMark/>
          </w:tcPr>
          <w:p w14:paraId="2C059330"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6CEC57D3" w14:textId="77777777" w:rsidR="001A095A" w:rsidRPr="00C666C1" w:rsidRDefault="001A095A" w:rsidP="00387AE5">
            <w:pPr>
              <w:jc w:val="center"/>
              <w:rPr>
                <w:color w:val="000000"/>
                <w:sz w:val="18"/>
                <w:szCs w:val="18"/>
              </w:rPr>
            </w:pPr>
            <w:r w:rsidRPr="00C666C1">
              <w:rPr>
                <w:color w:val="000000"/>
                <w:sz w:val="18"/>
                <w:szCs w:val="18"/>
              </w:rPr>
              <w:t>2017</w:t>
            </w:r>
          </w:p>
        </w:tc>
        <w:tc>
          <w:tcPr>
            <w:tcW w:w="964" w:type="dxa"/>
            <w:tcBorders>
              <w:top w:val="nil"/>
              <w:left w:val="nil"/>
              <w:bottom w:val="nil"/>
              <w:right w:val="nil"/>
            </w:tcBorders>
            <w:shd w:val="clear" w:color="auto" w:fill="auto"/>
            <w:noWrap/>
            <w:vAlign w:val="center"/>
            <w:hideMark/>
          </w:tcPr>
          <w:p w14:paraId="41F22D1E" w14:textId="77777777" w:rsidR="001A095A" w:rsidRPr="00C666C1" w:rsidRDefault="001A095A" w:rsidP="00387AE5">
            <w:pPr>
              <w:jc w:val="center"/>
              <w:rPr>
                <w:color w:val="000000"/>
                <w:sz w:val="18"/>
                <w:szCs w:val="18"/>
              </w:rPr>
            </w:pPr>
            <w:r>
              <w:rPr>
                <w:color w:val="000000"/>
                <w:sz w:val="18"/>
                <w:szCs w:val="18"/>
              </w:rPr>
              <w:t>3,0</w:t>
            </w:r>
          </w:p>
        </w:tc>
        <w:tc>
          <w:tcPr>
            <w:tcW w:w="964" w:type="dxa"/>
            <w:tcBorders>
              <w:top w:val="nil"/>
              <w:left w:val="nil"/>
              <w:bottom w:val="nil"/>
              <w:right w:val="nil"/>
            </w:tcBorders>
            <w:shd w:val="clear" w:color="000000" w:fill="E6E6E6"/>
            <w:noWrap/>
            <w:vAlign w:val="center"/>
            <w:hideMark/>
          </w:tcPr>
          <w:p w14:paraId="02B9AE4B" w14:textId="77777777" w:rsidR="001A095A" w:rsidRPr="00C666C1" w:rsidRDefault="001A095A" w:rsidP="00387AE5">
            <w:pPr>
              <w:jc w:val="center"/>
              <w:rPr>
                <w:b/>
                <w:bCs/>
                <w:color w:val="000000"/>
                <w:sz w:val="18"/>
                <w:szCs w:val="18"/>
              </w:rPr>
            </w:pPr>
            <w:r>
              <w:rPr>
                <w:b/>
                <w:bCs/>
                <w:color w:val="000000"/>
                <w:sz w:val="18"/>
                <w:szCs w:val="18"/>
              </w:rPr>
              <w:t>1,8</w:t>
            </w:r>
          </w:p>
        </w:tc>
        <w:tc>
          <w:tcPr>
            <w:tcW w:w="964" w:type="dxa"/>
            <w:tcBorders>
              <w:top w:val="nil"/>
              <w:left w:val="nil"/>
              <w:bottom w:val="nil"/>
              <w:right w:val="nil"/>
            </w:tcBorders>
            <w:shd w:val="clear" w:color="000000" w:fill="E6E6E6"/>
            <w:noWrap/>
            <w:vAlign w:val="center"/>
            <w:hideMark/>
          </w:tcPr>
          <w:p w14:paraId="28603748" w14:textId="77777777" w:rsidR="001A095A" w:rsidRPr="00C666C1" w:rsidRDefault="001A095A" w:rsidP="00387AE5">
            <w:pPr>
              <w:jc w:val="center"/>
              <w:rPr>
                <w:b/>
                <w:bCs/>
                <w:color w:val="000000"/>
                <w:sz w:val="18"/>
                <w:szCs w:val="18"/>
              </w:rPr>
            </w:pPr>
            <w:r>
              <w:rPr>
                <w:b/>
                <w:bCs/>
                <w:color w:val="000000"/>
                <w:sz w:val="18"/>
                <w:szCs w:val="18"/>
              </w:rPr>
              <w:t>0,6</w:t>
            </w:r>
          </w:p>
        </w:tc>
        <w:tc>
          <w:tcPr>
            <w:tcW w:w="964" w:type="dxa"/>
            <w:gridSpan w:val="2"/>
            <w:tcBorders>
              <w:top w:val="nil"/>
              <w:left w:val="nil"/>
              <w:bottom w:val="nil"/>
              <w:right w:val="nil"/>
            </w:tcBorders>
            <w:shd w:val="clear" w:color="000000" w:fill="E6E6E6"/>
            <w:vAlign w:val="center"/>
            <w:hideMark/>
          </w:tcPr>
          <w:p w14:paraId="0E359C4E" w14:textId="77777777" w:rsidR="001A095A" w:rsidRPr="00C666C1" w:rsidRDefault="001A095A" w:rsidP="00387AE5">
            <w:pPr>
              <w:jc w:val="center"/>
              <w:rPr>
                <w:b/>
                <w:bCs/>
                <w:color w:val="000000"/>
                <w:sz w:val="18"/>
                <w:szCs w:val="18"/>
              </w:rPr>
            </w:pPr>
            <w:r>
              <w:rPr>
                <w:b/>
                <w:bCs/>
                <w:color w:val="000000"/>
                <w:sz w:val="18"/>
                <w:szCs w:val="18"/>
              </w:rPr>
              <w:t>0,5</w:t>
            </w:r>
          </w:p>
        </w:tc>
      </w:tr>
      <w:tr w:rsidR="001A095A" w:rsidRPr="00C666C1" w14:paraId="5A4DF98A" w14:textId="77777777" w:rsidTr="004F1515">
        <w:trPr>
          <w:trHeight w:val="283"/>
          <w:jc w:val="center"/>
        </w:trPr>
        <w:tc>
          <w:tcPr>
            <w:tcW w:w="4111" w:type="dxa"/>
            <w:vMerge/>
            <w:tcBorders>
              <w:top w:val="nil"/>
              <w:left w:val="nil"/>
              <w:bottom w:val="single" w:sz="4" w:space="0" w:color="000000"/>
              <w:right w:val="nil"/>
            </w:tcBorders>
            <w:vAlign w:val="center"/>
            <w:hideMark/>
          </w:tcPr>
          <w:p w14:paraId="311D3A53"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single" w:sz="4" w:space="0" w:color="auto"/>
              <w:right w:val="nil"/>
            </w:tcBorders>
            <w:shd w:val="clear" w:color="auto" w:fill="auto"/>
            <w:noWrap/>
            <w:vAlign w:val="center"/>
            <w:hideMark/>
          </w:tcPr>
          <w:p w14:paraId="495343B7" w14:textId="77777777" w:rsidR="001A095A" w:rsidRPr="00C666C1" w:rsidRDefault="001A095A" w:rsidP="00387AE5">
            <w:pPr>
              <w:jc w:val="center"/>
              <w:rPr>
                <w:color w:val="000000"/>
                <w:sz w:val="18"/>
                <w:szCs w:val="18"/>
              </w:rPr>
            </w:pPr>
            <w:r w:rsidRPr="00C666C1">
              <w:rPr>
                <w:color w:val="000000"/>
                <w:sz w:val="18"/>
                <w:szCs w:val="18"/>
              </w:rPr>
              <w:t>2018</w:t>
            </w:r>
          </w:p>
        </w:tc>
        <w:tc>
          <w:tcPr>
            <w:tcW w:w="964" w:type="dxa"/>
            <w:tcBorders>
              <w:top w:val="nil"/>
              <w:left w:val="nil"/>
              <w:bottom w:val="single" w:sz="4" w:space="0" w:color="auto"/>
              <w:right w:val="nil"/>
            </w:tcBorders>
            <w:shd w:val="clear" w:color="auto" w:fill="auto"/>
            <w:noWrap/>
            <w:vAlign w:val="center"/>
            <w:hideMark/>
          </w:tcPr>
          <w:p w14:paraId="1A599AD9" w14:textId="77777777" w:rsidR="001A095A" w:rsidRPr="00C666C1" w:rsidRDefault="001A095A" w:rsidP="00387AE5">
            <w:pPr>
              <w:jc w:val="center"/>
              <w:rPr>
                <w:color w:val="000000"/>
                <w:sz w:val="18"/>
                <w:szCs w:val="18"/>
              </w:rPr>
            </w:pPr>
            <w:r>
              <w:rPr>
                <w:color w:val="000000"/>
                <w:sz w:val="18"/>
                <w:szCs w:val="18"/>
              </w:rPr>
              <w:t>3,5</w:t>
            </w:r>
          </w:p>
        </w:tc>
        <w:tc>
          <w:tcPr>
            <w:tcW w:w="964" w:type="dxa"/>
            <w:tcBorders>
              <w:top w:val="nil"/>
              <w:left w:val="nil"/>
              <w:bottom w:val="single" w:sz="4" w:space="0" w:color="auto"/>
              <w:right w:val="nil"/>
            </w:tcBorders>
            <w:shd w:val="clear" w:color="000000" w:fill="E6E6E6"/>
            <w:noWrap/>
            <w:vAlign w:val="center"/>
            <w:hideMark/>
          </w:tcPr>
          <w:p w14:paraId="7A9648BA" w14:textId="77777777" w:rsidR="001A095A" w:rsidRPr="00C666C1" w:rsidRDefault="001A095A" w:rsidP="00387AE5">
            <w:pPr>
              <w:jc w:val="center"/>
              <w:rPr>
                <w:b/>
                <w:bCs/>
                <w:color w:val="000000"/>
                <w:sz w:val="18"/>
                <w:szCs w:val="18"/>
              </w:rPr>
            </w:pPr>
            <w:r>
              <w:rPr>
                <w:b/>
                <w:bCs/>
                <w:color w:val="000000"/>
                <w:sz w:val="18"/>
                <w:szCs w:val="18"/>
              </w:rPr>
              <w:t>2,2</w:t>
            </w:r>
          </w:p>
        </w:tc>
        <w:tc>
          <w:tcPr>
            <w:tcW w:w="964" w:type="dxa"/>
            <w:tcBorders>
              <w:top w:val="nil"/>
              <w:left w:val="nil"/>
              <w:bottom w:val="single" w:sz="4" w:space="0" w:color="auto"/>
              <w:right w:val="nil"/>
            </w:tcBorders>
            <w:shd w:val="clear" w:color="000000" w:fill="E6E6E6"/>
            <w:noWrap/>
            <w:vAlign w:val="center"/>
            <w:hideMark/>
          </w:tcPr>
          <w:p w14:paraId="7270F5DD" w14:textId="77777777" w:rsidR="001A095A" w:rsidRPr="00C666C1" w:rsidRDefault="001A095A" w:rsidP="00387AE5">
            <w:pPr>
              <w:jc w:val="center"/>
              <w:rPr>
                <w:b/>
                <w:bCs/>
                <w:color w:val="000000"/>
                <w:sz w:val="18"/>
                <w:szCs w:val="18"/>
              </w:rPr>
            </w:pPr>
            <w:r>
              <w:rPr>
                <w:b/>
                <w:bCs/>
                <w:color w:val="000000"/>
                <w:sz w:val="18"/>
                <w:szCs w:val="18"/>
              </w:rPr>
              <w:t>0,8</w:t>
            </w:r>
          </w:p>
        </w:tc>
        <w:tc>
          <w:tcPr>
            <w:tcW w:w="964" w:type="dxa"/>
            <w:gridSpan w:val="2"/>
            <w:tcBorders>
              <w:top w:val="nil"/>
              <w:left w:val="nil"/>
              <w:bottom w:val="single" w:sz="4" w:space="0" w:color="auto"/>
              <w:right w:val="nil"/>
            </w:tcBorders>
            <w:shd w:val="clear" w:color="000000" w:fill="E6E6E6"/>
            <w:vAlign w:val="center"/>
            <w:hideMark/>
          </w:tcPr>
          <w:p w14:paraId="72950782" w14:textId="77777777" w:rsidR="001A095A" w:rsidRPr="00C666C1" w:rsidRDefault="001A095A" w:rsidP="00387AE5">
            <w:pPr>
              <w:jc w:val="center"/>
              <w:rPr>
                <w:b/>
                <w:bCs/>
                <w:color w:val="000000"/>
                <w:sz w:val="18"/>
                <w:szCs w:val="18"/>
              </w:rPr>
            </w:pPr>
            <w:r>
              <w:rPr>
                <w:b/>
                <w:bCs/>
                <w:color w:val="000000"/>
                <w:sz w:val="18"/>
                <w:szCs w:val="18"/>
              </w:rPr>
              <w:t>0,5</w:t>
            </w:r>
          </w:p>
        </w:tc>
      </w:tr>
      <w:tr w:rsidR="001A095A" w:rsidRPr="00C666C1" w14:paraId="4520E68C" w14:textId="77777777" w:rsidTr="004F1515">
        <w:trPr>
          <w:trHeight w:val="283"/>
          <w:jc w:val="center"/>
        </w:trPr>
        <w:tc>
          <w:tcPr>
            <w:tcW w:w="4111" w:type="dxa"/>
            <w:vMerge/>
            <w:tcBorders>
              <w:top w:val="nil"/>
              <w:left w:val="nil"/>
              <w:bottom w:val="single" w:sz="4" w:space="0" w:color="000000"/>
              <w:right w:val="nil"/>
            </w:tcBorders>
            <w:vAlign w:val="center"/>
            <w:hideMark/>
          </w:tcPr>
          <w:p w14:paraId="7C6B11F3"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329C89EB" w14:textId="77777777" w:rsidR="001A095A" w:rsidRPr="00C666C1" w:rsidRDefault="001A095A" w:rsidP="00387AE5">
            <w:pPr>
              <w:jc w:val="center"/>
              <w:rPr>
                <w:color w:val="000000"/>
                <w:sz w:val="18"/>
                <w:szCs w:val="18"/>
              </w:rPr>
            </w:pPr>
            <w:r w:rsidRPr="00C666C1">
              <w:rPr>
                <w:color w:val="000000"/>
                <w:sz w:val="18"/>
                <w:szCs w:val="18"/>
              </w:rPr>
              <w:t>2019F</w:t>
            </w:r>
          </w:p>
        </w:tc>
        <w:tc>
          <w:tcPr>
            <w:tcW w:w="964" w:type="dxa"/>
            <w:tcBorders>
              <w:top w:val="nil"/>
              <w:left w:val="nil"/>
              <w:bottom w:val="nil"/>
              <w:right w:val="nil"/>
            </w:tcBorders>
            <w:shd w:val="clear" w:color="auto" w:fill="auto"/>
            <w:noWrap/>
            <w:vAlign w:val="center"/>
            <w:hideMark/>
          </w:tcPr>
          <w:p w14:paraId="3A63D2EA" w14:textId="77777777" w:rsidR="001A095A" w:rsidRPr="00C666C1" w:rsidRDefault="001A095A" w:rsidP="00387AE5">
            <w:pPr>
              <w:jc w:val="center"/>
              <w:rPr>
                <w:color w:val="000000"/>
                <w:sz w:val="18"/>
                <w:szCs w:val="18"/>
              </w:rPr>
            </w:pPr>
            <w:r>
              <w:rPr>
                <w:color w:val="000000"/>
                <w:sz w:val="18"/>
                <w:szCs w:val="18"/>
              </w:rPr>
              <w:t>3,8</w:t>
            </w:r>
          </w:p>
        </w:tc>
        <w:tc>
          <w:tcPr>
            <w:tcW w:w="964" w:type="dxa"/>
            <w:tcBorders>
              <w:top w:val="nil"/>
              <w:left w:val="nil"/>
              <w:bottom w:val="nil"/>
              <w:right w:val="nil"/>
            </w:tcBorders>
            <w:shd w:val="clear" w:color="000000" w:fill="E6E6E6"/>
            <w:noWrap/>
            <w:vAlign w:val="center"/>
            <w:hideMark/>
          </w:tcPr>
          <w:p w14:paraId="229F2CFB" w14:textId="77777777" w:rsidR="001A095A" w:rsidRPr="00C666C1" w:rsidRDefault="001A095A" w:rsidP="00387AE5">
            <w:pPr>
              <w:jc w:val="center"/>
              <w:rPr>
                <w:b/>
                <w:bCs/>
                <w:color w:val="000000"/>
                <w:sz w:val="18"/>
                <w:szCs w:val="18"/>
              </w:rPr>
            </w:pPr>
            <w:r>
              <w:rPr>
                <w:b/>
                <w:bCs/>
                <w:color w:val="000000"/>
                <w:sz w:val="18"/>
                <w:szCs w:val="18"/>
              </w:rPr>
              <w:t>2,5</w:t>
            </w:r>
          </w:p>
        </w:tc>
        <w:tc>
          <w:tcPr>
            <w:tcW w:w="964" w:type="dxa"/>
            <w:tcBorders>
              <w:top w:val="nil"/>
              <w:left w:val="nil"/>
              <w:bottom w:val="nil"/>
              <w:right w:val="nil"/>
            </w:tcBorders>
            <w:shd w:val="clear" w:color="000000" w:fill="E6E6E6"/>
            <w:noWrap/>
            <w:vAlign w:val="center"/>
            <w:hideMark/>
          </w:tcPr>
          <w:p w14:paraId="4F8D6815" w14:textId="77777777" w:rsidR="001A095A" w:rsidRPr="00C666C1" w:rsidRDefault="001A095A" w:rsidP="00387AE5">
            <w:pPr>
              <w:jc w:val="center"/>
              <w:rPr>
                <w:b/>
                <w:bCs/>
                <w:color w:val="000000"/>
                <w:sz w:val="18"/>
                <w:szCs w:val="18"/>
              </w:rPr>
            </w:pPr>
            <w:r>
              <w:rPr>
                <w:b/>
                <w:bCs/>
                <w:color w:val="000000"/>
                <w:sz w:val="18"/>
                <w:szCs w:val="18"/>
              </w:rPr>
              <w:t>0,8</w:t>
            </w:r>
          </w:p>
        </w:tc>
        <w:tc>
          <w:tcPr>
            <w:tcW w:w="964" w:type="dxa"/>
            <w:gridSpan w:val="2"/>
            <w:tcBorders>
              <w:top w:val="nil"/>
              <w:left w:val="nil"/>
              <w:bottom w:val="nil"/>
              <w:right w:val="nil"/>
            </w:tcBorders>
            <w:shd w:val="clear" w:color="000000" w:fill="E6E6E6"/>
            <w:vAlign w:val="center"/>
            <w:hideMark/>
          </w:tcPr>
          <w:p w14:paraId="7EDED1BB" w14:textId="77777777" w:rsidR="001A095A" w:rsidRPr="00C666C1" w:rsidRDefault="001A095A" w:rsidP="00387AE5">
            <w:pPr>
              <w:jc w:val="center"/>
              <w:rPr>
                <w:b/>
                <w:bCs/>
                <w:color w:val="000000"/>
                <w:sz w:val="18"/>
                <w:szCs w:val="18"/>
              </w:rPr>
            </w:pPr>
            <w:r>
              <w:rPr>
                <w:b/>
                <w:bCs/>
                <w:color w:val="000000"/>
                <w:sz w:val="18"/>
                <w:szCs w:val="18"/>
              </w:rPr>
              <w:t>0,5</w:t>
            </w:r>
          </w:p>
        </w:tc>
      </w:tr>
      <w:tr w:rsidR="001A095A" w:rsidRPr="00C666C1" w14:paraId="15F7315A" w14:textId="77777777" w:rsidTr="004F1515">
        <w:trPr>
          <w:trHeight w:val="283"/>
          <w:jc w:val="center"/>
        </w:trPr>
        <w:tc>
          <w:tcPr>
            <w:tcW w:w="4111" w:type="dxa"/>
            <w:vMerge/>
            <w:tcBorders>
              <w:top w:val="nil"/>
              <w:left w:val="nil"/>
              <w:bottom w:val="single" w:sz="4" w:space="0" w:color="000000"/>
              <w:right w:val="nil"/>
            </w:tcBorders>
            <w:vAlign w:val="center"/>
            <w:hideMark/>
          </w:tcPr>
          <w:p w14:paraId="1A396D31"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281EAC98" w14:textId="77777777" w:rsidR="001A095A" w:rsidRPr="00C666C1" w:rsidRDefault="001A095A" w:rsidP="00387AE5">
            <w:pPr>
              <w:jc w:val="center"/>
              <w:rPr>
                <w:color w:val="000000"/>
                <w:sz w:val="18"/>
                <w:szCs w:val="18"/>
              </w:rPr>
            </w:pPr>
            <w:r w:rsidRPr="00C666C1">
              <w:rPr>
                <w:color w:val="000000"/>
                <w:sz w:val="18"/>
                <w:szCs w:val="18"/>
              </w:rPr>
              <w:t>2020F</w:t>
            </w:r>
          </w:p>
        </w:tc>
        <w:tc>
          <w:tcPr>
            <w:tcW w:w="964" w:type="dxa"/>
            <w:tcBorders>
              <w:top w:val="nil"/>
              <w:left w:val="nil"/>
              <w:bottom w:val="nil"/>
              <w:right w:val="nil"/>
            </w:tcBorders>
            <w:shd w:val="clear" w:color="auto" w:fill="auto"/>
            <w:noWrap/>
            <w:vAlign w:val="center"/>
            <w:hideMark/>
          </w:tcPr>
          <w:p w14:paraId="3BD01B1C" w14:textId="77777777" w:rsidR="001A095A" w:rsidRPr="00C666C1" w:rsidRDefault="001A095A" w:rsidP="00387AE5">
            <w:pPr>
              <w:jc w:val="center"/>
              <w:rPr>
                <w:color w:val="000000"/>
                <w:sz w:val="18"/>
                <w:szCs w:val="18"/>
              </w:rPr>
            </w:pPr>
            <w:r>
              <w:rPr>
                <w:color w:val="000000"/>
                <w:sz w:val="18"/>
                <w:szCs w:val="18"/>
              </w:rPr>
              <w:t>3,7</w:t>
            </w:r>
          </w:p>
        </w:tc>
        <w:tc>
          <w:tcPr>
            <w:tcW w:w="964" w:type="dxa"/>
            <w:tcBorders>
              <w:top w:val="nil"/>
              <w:left w:val="nil"/>
              <w:bottom w:val="nil"/>
              <w:right w:val="nil"/>
            </w:tcBorders>
            <w:shd w:val="clear" w:color="000000" w:fill="E6E6E6"/>
            <w:noWrap/>
            <w:vAlign w:val="center"/>
            <w:hideMark/>
          </w:tcPr>
          <w:p w14:paraId="39ACDD7C" w14:textId="77777777" w:rsidR="001A095A" w:rsidRPr="00C666C1" w:rsidRDefault="001A095A" w:rsidP="00387AE5">
            <w:pPr>
              <w:jc w:val="center"/>
              <w:rPr>
                <w:b/>
                <w:bCs/>
                <w:color w:val="000000"/>
                <w:sz w:val="18"/>
                <w:szCs w:val="18"/>
              </w:rPr>
            </w:pPr>
            <w:r>
              <w:rPr>
                <w:b/>
                <w:bCs/>
                <w:color w:val="000000"/>
                <w:sz w:val="18"/>
                <w:szCs w:val="18"/>
              </w:rPr>
              <w:t>2,5</w:t>
            </w:r>
          </w:p>
        </w:tc>
        <w:tc>
          <w:tcPr>
            <w:tcW w:w="964" w:type="dxa"/>
            <w:tcBorders>
              <w:top w:val="nil"/>
              <w:left w:val="nil"/>
              <w:bottom w:val="nil"/>
              <w:right w:val="nil"/>
            </w:tcBorders>
            <w:shd w:val="clear" w:color="000000" w:fill="E6E6E6"/>
            <w:noWrap/>
            <w:vAlign w:val="center"/>
            <w:hideMark/>
          </w:tcPr>
          <w:p w14:paraId="37B9AF7F" w14:textId="77777777" w:rsidR="001A095A" w:rsidRPr="00C666C1" w:rsidRDefault="001A095A" w:rsidP="00387AE5">
            <w:pPr>
              <w:jc w:val="center"/>
              <w:rPr>
                <w:b/>
                <w:bCs/>
                <w:color w:val="000000"/>
                <w:sz w:val="18"/>
                <w:szCs w:val="18"/>
              </w:rPr>
            </w:pPr>
            <w:r>
              <w:rPr>
                <w:b/>
                <w:bCs/>
                <w:color w:val="000000"/>
                <w:sz w:val="18"/>
                <w:szCs w:val="18"/>
              </w:rPr>
              <w:t>0,8</w:t>
            </w:r>
          </w:p>
        </w:tc>
        <w:tc>
          <w:tcPr>
            <w:tcW w:w="964" w:type="dxa"/>
            <w:gridSpan w:val="2"/>
            <w:tcBorders>
              <w:top w:val="nil"/>
              <w:left w:val="nil"/>
              <w:bottom w:val="nil"/>
              <w:right w:val="nil"/>
            </w:tcBorders>
            <w:shd w:val="clear" w:color="000000" w:fill="E6E6E6"/>
            <w:vAlign w:val="center"/>
            <w:hideMark/>
          </w:tcPr>
          <w:p w14:paraId="698E5F9E" w14:textId="77777777" w:rsidR="001A095A" w:rsidRPr="00C666C1" w:rsidRDefault="001A095A" w:rsidP="00387AE5">
            <w:pPr>
              <w:jc w:val="center"/>
              <w:rPr>
                <w:b/>
                <w:bCs/>
                <w:color w:val="000000"/>
                <w:sz w:val="18"/>
                <w:szCs w:val="18"/>
              </w:rPr>
            </w:pPr>
            <w:r>
              <w:rPr>
                <w:b/>
                <w:bCs/>
                <w:color w:val="000000"/>
                <w:sz w:val="18"/>
                <w:szCs w:val="18"/>
              </w:rPr>
              <w:t>0,4</w:t>
            </w:r>
          </w:p>
        </w:tc>
      </w:tr>
      <w:tr w:rsidR="001A095A" w:rsidRPr="00C666C1" w14:paraId="54D37145" w14:textId="77777777" w:rsidTr="004F1515">
        <w:trPr>
          <w:trHeight w:val="283"/>
          <w:jc w:val="center"/>
        </w:trPr>
        <w:tc>
          <w:tcPr>
            <w:tcW w:w="4111" w:type="dxa"/>
            <w:vMerge/>
            <w:tcBorders>
              <w:top w:val="nil"/>
              <w:left w:val="nil"/>
              <w:bottom w:val="single" w:sz="4" w:space="0" w:color="000000"/>
              <w:right w:val="nil"/>
            </w:tcBorders>
            <w:vAlign w:val="center"/>
            <w:hideMark/>
          </w:tcPr>
          <w:p w14:paraId="472D1453"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nil"/>
              <w:right w:val="nil"/>
            </w:tcBorders>
            <w:shd w:val="clear" w:color="auto" w:fill="auto"/>
            <w:noWrap/>
            <w:vAlign w:val="center"/>
            <w:hideMark/>
          </w:tcPr>
          <w:p w14:paraId="27718AB2" w14:textId="77777777" w:rsidR="001A095A" w:rsidRPr="00C666C1" w:rsidRDefault="001A095A" w:rsidP="00387AE5">
            <w:pPr>
              <w:jc w:val="center"/>
              <w:rPr>
                <w:color w:val="000000"/>
                <w:sz w:val="18"/>
                <w:szCs w:val="18"/>
              </w:rPr>
            </w:pPr>
            <w:r w:rsidRPr="00C666C1">
              <w:rPr>
                <w:color w:val="000000"/>
                <w:sz w:val="18"/>
                <w:szCs w:val="18"/>
              </w:rPr>
              <w:t>2021F</w:t>
            </w:r>
          </w:p>
        </w:tc>
        <w:tc>
          <w:tcPr>
            <w:tcW w:w="964" w:type="dxa"/>
            <w:tcBorders>
              <w:top w:val="nil"/>
              <w:left w:val="nil"/>
              <w:bottom w:val="nil"/>
              <w:right w:val="nil"/>
            </w:tcBorders>
            <w:shd w:val="clear" w:color="auto" w:fill="auto"/>
            <w:noWrap/>
            <w:vAlign w:val="center"/>
            <w:hideMark/>
          </w:tcPr>
          <w:p w14:paraId="49E2A0A3" w14:textId="77777777" w:rsidR="001A095A" w:rsidRPr="00C666C1" w:rsidRDefault="001A095A" w:rsidP="00387AE5">
            <w:pPr>
              <w:jc w:val="center"/>
              <w:rPr>
                <w:color w:val="000000"/>
                <w:sz w:val="18"/>
                <w:szCs w:val="18"/>
              </w:rPr>
            </w:pPr>
            <w:r>
              <w:rPr>
                <w:color w:val="000000"/>
                <w:sz w:val="18"/>
                <w:szCs w:val="18"/>
              </w:rPr>
              <w:t>3,4</w:t>
            </w:r>
          </w:p>
        </w:tc>
        <w:tc>
          <w:tcPr>
            <w:tcW w:w="964" w:type="dxa"/>
            <w:tcBorders>
              <w:top w:val="nil"/>
              <w:left w:val="nil"/>
              <w:bottom w:val="nil"/>
              <w:right w:val="nil"/>
            </w:tcBorders>
            <w:shd w:val="clear" w:color="000000" w:fill="E6E6E6"/>
            <w:noWrap/>
            <w:vAlign w:val="center"/>
            <w:hideMark/>
          </w:tcPr>
          <w:p w14:paraId="16395C1E" w14:textId="77777777" w:rsidR="001A095A" w:rsidRPr="00C666C1" w:rsidRDefault="001A095A" w:rsidP="00387AE5">
            <w:pPr>
              <w:jc w:val="center"/>
              <w:rPr>
                <w:b/>
                <w:bCs/>
                <w:color w:val="000000"/>
                <w:sz w:val="18"/>
                <w:szCs w:val="18"/>
              </w:rPr>
            </w:pPr>
            <w:r>
              <w:rPr>
                <w:b/>
                <w:bCs/>
                <w:color w:val="000000"/>
                <w:sz w:val="18"/>
                <w:szCs w:val="18"/>
              </w:rPr>
              <w:t>2,3</w:t>
            </w:r>
          </w:p>
        </w:tc>
        <w:tc>
          <w:tcPr>
            <w:tcW w:w="964" w:type="dxa"/>
            <w:tcBorders>
              <w:top w:val="nil"/>
              <w:left w:val="nil"/>
              <w:bottom w:val="nil"/>
              <w:right w:val="nil"/>
            </w:tcBorders>
            <w:shd w:val="clear" w:color="000000" w:fill="E6E6E6"/>
            <w:noWrap/>
            <w:vAlign w:val="center"/>
            <w:hideMark/>
          </w:tcPr>
          <w:p w14:paraId="318FA8A4" w14:textId="77777777" w:rsidR="001A095A" w:rsidRPr="00C666C1" w:rsidRDefault="001A095A" w:rsidP="00387AE5">
            <w:pPr>
              <w:jc w:val="center"/>
              <w:rPr>
                <w:b/>
                <w:bCs/>
                <w:color w:val="000000"/>
                <w:sz w:val="18"/>
                <w:szCs w:val="18"/>
              </w:rPr>
            </w:pPr>
            <w:r>
              <w:rPr>
                <w:b/>
                <w:bCs/>
                <w:color w:val="000000"/>
                <w:sz w:val="18"/>
                <w:szCs w:val="18"/>
              </w:rPr>
              <w:t>0,9</w:t>
            </w:r>
          </w:p>
        </w:tc>
        <w:tc>
          <w:tcPr>
            <w:tcW w:w="964" w:type="dxa"/>
            <w:gridSpan w:val="2"/>
            <w:tcBorders>
              <w:top w:val="nil"/>
              <w:left w:val="nil"/>
              <w:bottom w:val="nil"/>
              <w:right w:val="nil"/>
            </w:tcBorders>
            <w:shd w:val="clear" w:color="000000" w:fill="E6E6E6"/>
            <w:vAlign w:val="center"/>
            <w:hideMark/>
          </w:tcPr>
          <w:p w14:paraId="6F4568D4" w14:textId="77777777" w:rsidR="001A095A" w:rsidRPr="00C666C1" w:rsidRDefault="001A095A" w:rsidP="00387AE5">
            <w:pPr>
              <w:jc w:val="center"/>
              <w:rPr>
                <w:b/>
                <w:bCs/>
                <w:color w:val="000000"/>
                <w:sz w:val="18"/>
                <w:szCs w:val="18"/>
              </w:rPr>
            </w:pPr>
            <w:r>
              <w:rPr>
                <w:b/>
                <w:bCs/>
                <w:color w:val="000000"/>
                <w:sz w:val="18"/>
                <w:szCs w:val="18"/>
              </w:rPr>
              <w:t>0,2</w:t>
            </w:r>
          </w:p>
        </w:tc>
      </w:tr>
      <w:tr w:rsidR="001A095A" w:rsidRPr="00C666C1" w14:paraId="443196FE" w14:textId="77777777" w:rsidTr="004F1515">
        <w:trPr>
          <w:trHeight w:val="283"/>
          <w:jc w:val="center"/>
        </w:trPr>
        <w:tc>
          <w:tcPr>
            <w:tcW w:w="4111" w:type="dxa"/>
            <w:vMerge/>
            <w:tcBorders>
              <w:top w:val="nil"/>
              <w:left w:val="nil"/>
              <w:bottom w:val="single" w:sz="4" w:space="0" w:color="000000"/>
              <w:right w:val="nil"/>
            </w:tcBorders>
            <w:vAlign w:val="center"/>
            <w:hideMark/>
          </w:tcPr>
          <w:p w14:paraId="4EAD3F67" w14:textId="77777777" w:rsidR="001A095A" w:rsidRPr="00C666C1" w:rsidRDefault="001A095A" w:rsidP="00387AE5">
            <w:pPr>
              <w:ind w:left="360"/>
              <w:rPr>
                <w:rFonts w:cs="Times New Roman"/>
                <w:b/>
                <w:bCs/>
                <w:color w:val="000000"/>
                <w:sz w:val="16"/>
                <w:szCs w:val="16"/>
              </w:rPr>
            </w:pPr>
          </w:p>
        </w:tc>
        <w:tc>
          <w:tcPr>
            <w:tcW w:w="965" w:type="dxa"/>
            <w:tcBorders>
              <w:top w:val="nil"/>
              <w:left w:val="nil"/>
              <w:bottom w:val="single" w:sz="4" w:space="0" w:color="auto"/>
              <w:right w:val="nil"/>
            </w:tcBorders>
            <w:shd w:val="clear" w:color="auto" w:fill="auto"/>
            <w:noWrap/>
            <w:vAlign w:val="center"/>
            <w:hideMark/>
          </w:tcPr>
          <w:p w14:paraId="67663C5D" w14:textId="77777777" w:rsidR="001A095A" w:rsidRPr="00C666C1" w:rsidRDefault="001A095A" w:rsidP="00387AE5">
            <w:pPr>
              <w:jc w:val="center"/>
              <w:rPr>
                <w:color w:val="000000"/>
                <w:sz w:val="18"/>
                <w:szCs w:val="18"/>
              </w:rPr>
            </w:pPr>
            <w:r w:rsidRPr="00C666C1">
              <w:rPr>
                <w:color w:val="000000"/>
                <w:sz w:val="18"/>
                <w:szCs w:val="18"/>
              </w:rPr>
              <w:t>2022F</w:t>
            </w:r>
          </w:p>
        </w:tc>
        <w:tc>
          <w:tcPr>
            <w:tcW w:w="964" w:type="dxa"/>
            <w:tcBorders>
              <w:top w:val="nil"/>
              <w:left w:val="nil"/>
              <w:bottom w:val="single" w:sz="4" w:space="0" w:color="auto"/>
              <w:right w:val="nil"/>
            </w:tcBorders>
            <w:shd w:val="clear" w:color="auto" w:fill="auto"/>
            <w:noWrap/>
            <w:vAlign w:val="center"/>
            <w:hideMark/>
          </w:tcPr>
          <w:p w14:paraId="5826B5D8" w14:textId="77777777" w:rsidR="001A095A" w:rsidRPr="00C666C1" w:rsidRDefault="001A095A" w:rsidP="00387AE5">
            <w:pPr>
              <w:jc w:val="center"/>
              <w:rPr>
                <w:color w:val="000000"/>
                <w:sz w:val="18"/>
                <w:szCs w:val="18"/>
              </w:rPr>
            </w:pPr>
            <w:r>
              <w:rPr>
                <w:color w:val="000000"/>
                <w:sz w:val="18"/>
                <w:szCs w:val="18"/>
              </w:rPr>
              <w:t>2,9</w:t>
            </w:r>
          </w:p>
        </w:tc>
        <w:tc>
          <w:tcPr>
            <w:tcW w:w="964" w:type="dxa"/>
            <w:tcBorders>
              <w:top w:val="nil"/>
              <w:left w:val="nil"/>
              <w:bottom w:val="single" w:sz="4" w:space="0" w:color="auto"/>
              <w:right w:val="nil"/>
            </w:tcBorders>
            <w:shd w:val="clear" w:color="000000" w:fill="E6E6E6"/>
            <w:noWrap/>
            <w:vAlign w:val="center"/>
            <w:hideMark/>
          </w:tcPr>
          <w:p w14:paraId="601AF52F" w14:textId="77777777" w:rsidR="001A095A" w:rsidRPr="00C666C1" w:rsidRDefault="001A095A" w:rsidP="00387AE5">
            <w:pPr>
              <w:jc w:val="center"/>
              <w:rPr>
                <w:b/>
                <w:bCs/>
                <w:color w:val="000000"/>
                <w:sz w:val="18"/>
                <w:szCs w:val="18"/>
              </w:rPr>
            </w:pPr>
            <w:r>
              <w:rPr>
                <w:b/>
                <w:bCs/>
                <w:color w:val="000000"/>
                <w:sz w:val="18"/>
                <w:szCs w:val="18"/>
              </w:rPr>
              <w:t>1,8</w:t>
            </w:r>
          </w:p>
        </w:tc>
        <w:tc>
          <w:tcPr>
            <w:tcW w:w="964" w:type="dxa"/>
            <w:tcBorders>
              <w:top w:val="nil"/>
              <w:left w:val="nil"/>
              <w:bottom w:val="single" w:sz="4" w:space="0" w:color="auto"/>
              <w:right w:val="nil"/>
            </w:tcBorders>
            <w:shd w:val="clear" w:color="000000" w:fill="E6E6E6"/>
            <w:noWrap/>
            <w:vAlign w:val="center"/>
            <w:hideMark/>
          </w:tcPr>
          <w:p w14:paraId="053D047D" w14:textId="77777777" w:rsidR="001A095A" w:rsidRPr="00C666C1" w:rsidRDefault="001A095A" w:rsidP="00387AE5">
            <w:pPr>
              <w:jc w:val="center"/>
              <w:rPr>
                <w:b/>
                <w:bCs/>
                <w:color w:val="000000"/>
                <w:sz w:val="18"/>
                <w:szCs w:val="18"/>
              </w:rPr>
            </w:pPr>
            <w:r>
              <w:rPr>
                <w:b/>
                <w:bCs/>
                <w:color w:val="000000"/>
                <w:sz w:val="18"/>
                <w:szCs w:val="18"/>
              </w:rPr>
              <w:t>0,9</w:t>
            </w:r>
          </w:p>
        </w:tc>
        <w:tc>
          <w:tcPr>
            <w:tcW w:w="964" w:type="dxa"/>
            <w:gridSpan w:val="2"/>
            <w:tcBorders>
              <w:top w:val="nil"/>
              <w:left w:val="nil"/>
              <w:bottom w:val="single" w:sz="4" w:space="0" w:color="auto"/>
              <w:right w:val="nil"/>
            </w:tcBorders>
            <w:shd w:val="clear" w:color="000000" w:fill="E6E6E6"/>
            <w:vAlign w:val="center"/>
            <w:hideMark/>
          </w:tcPr>
          <w:p w14:paraId="10E1DEEB" w14:textId="77777777" w:rsidR="001A095A" w:rsidRPr="00C666C1" w:rsidRDefault="001A095A" w:rsidP="00387AE5">
            <w:pPr>
              <w:jc w:val="center"/>
              <w:rPr>
                <w:b/>
                <w:bCs/>
                <w:color w:val="000000"/>
                <w:sz w:val="18"/>
                <w:szCs w:val="18"/>
              </w:rPr>
            </w:pPr>
            <w:r>
              <w:rPr>
                <w:b/>
                <w:bCs/>
                <w:color w:val="000000"/>
                <w:sz w:val="18"/>
                <w:szCs w:val="18"/>
              </w:rPr>
              <w:t>0,2</w:t>
            </w:r>
          </w:p>
        </w:tc>
      </w:tr>
      <w:tr w:rsidR="001A095A" w:rsidRPr="00E76875" w14:paraId="019B4878" w14:textId="77777777" w:rsidTr="00387AE5">
        <w:trPr>
          <w:gridAfter w:val="1"/>
          <w:wAfter w:w="35" w:type="dxa"/>
          <w:trHeight w:val="227"/>
          <w:jc w:val="center"/>
        </w:trPr>
        <w:tc>
          <w:tcPr>
            <w:tcW w:w="4111" w:type="dxa"/>
            <w:tcBorders>
              <w:top w:val="nil"/>
              <w:left w:val="nil"/>
              <w:bottom w:val="nil"/>
              <w:right w:val="nil"/>
            </w:tcBorders>
            <w:shd w:val="clear" w:color="auto" w:fill="auto"/>
            <w:vAlign w:val="center"/>
            <w:hideMark/>
          </w:tcPr>
          <w:p w14:paraId="3D7A5BE6" w14:textId="77777777" w:rsidR="001A095A" w:rsidRPr="00C666C1" w:rsidRDefault="001A095A" w:rsidP="00387AE5">
            <w:pPr>
              <w:pStyle w:val="poznmka"/>
              <w:jc w:val="left"/>
              <w:rPr>
                <w:rFonts w:cs="Times New Roman"/>
              </w:rPr>
            </w:pPr>
            <w:r w:rsidRPr="00C666C1">
              <w:t>* celková produktivita výrobných faktorov</w:t>
            </w:r>
          </w:p>
        </w:tc>
        <w:tc>
          <w:tcPr>
            <w:tcW w:w="4786" w:type="dxa"/>
            <w:gridSpan w:val="5"/>
            <w:tcBorders>
              <w:top w:val="single" w:sz="8" w:space="0" w:color="auto"/>
              <w:left w:val="nil"/>
              <w:bottom w:val="nil"/>
              <w:right w:val="nil"/>
            </w:tcBorders>
            <w:shd w:val="clear" w:color="auto" w:fill="auto"/>
            <w:vAlign w:val="center"/>
            <w:hideMark/>
          </w:tcPr>
          <w:p w14:paraId="1A24674A" w14:textId="77777777" w:rsidR="001A095A" w:rsidRPr="00C666C1" w:rsidRDefault="001A095A" w:rsidP="00387AE5">
            <w:pPr>
              <w:pStyle w:val="poznmka"/>
              <w:rPr>
                <w:rFonts w:cs="Times New Roman"/>
              </w:rPr>
            </w:pPr>
            <w:r w:rsidRPr="00C666C1">
              <w:t>Zdroj: MF SR</w:t>
            </w:r>
          </w:p>
        </w:tc>
      </w:tr>
    </w:tbl>
    <w:p w14:paraId="3D37DB1E" w14:textId="77777777" w:rsidR="001A095A" w:rsidRPr="00C666C1" w:rsidRDefault="001A095A" w:rsidP="001A095A">
      <w:pPr>
        <w:pStyle w:val="Odsek"/>
        <w:spacing w:before="240"/>
      </w:pPr>
      <w:r w:rsidRPr="00C666C1">
        <w:rPr>
          <w:b/>
        </w:rPr>
        <w:t>Po výraznom otvorení produkčnej medzery v minulom roku sa bude ekonomika naďalej</w:t>
      </w:r>
      <w:r>
        <w:rPr>
          <w:b/>
        </w:rPr>
        <w:t xml:space="preserve"> mierne</w:t>
      </w:r>
      <w:r w:rsidRPr="00C666C1">
        <w:rPr>
          <w:b/>
        </w:rPr>
        <w:t xml:space="preserve"> prehrievať na celom prognózovanom horizonte.</w:t>
      </w:r>
      <w:r w:rsidRPr="00C666C1">
        <w:t xml:space="preserve"> V rokoch 2019 a 2020 bude kladná produkčná medzera kulminovať na úrovni 1,1 % potenciálneho HDP aj napriek ponukovému impulzu novej automobilovej produkcie. Prehrievanie ekonomiky sa od roku 2021 začne postupne zmierňovať.</w:t>
      </w:r>
    </w:p>
    <w:tbl>
      <w:tblPr>
        <w:tblW w:w="8718" w:type="dxa"/>
        <w:tblInd w:w="70" w:type="dxa"/>
        <w:tblLayout w:type="fixed"/>
        <w:tblCellMar>
          <w:left w:w="70" w:type="dxa"/>
          <w:right w:w="70" w:type="dxa"/>
        </w:tblCellMar>
        <w:tblLook w:val="04A0" w:firstRow="1" w:lastRow="0" w:firstColumn="1" w:lastColumn="0" w:noHBand="0" w:noVBand="1"/>
      </w:tblPr>
      <w:tblGrid>
        <w:gridCol w:w="4358"/>
        <w:gridCol w:w="108"/>
        <w:gridCol w:w="907"/>
        <w:gridCol w:w="1077"/>
        <w:gridCol w:w="1009"/>
        <w:gridCol w:w="1151"/>
        <w:gridCol w:w="96"/>
        <w:gridCol w:w="12"/>
      </w:tblGrid>
      <w:tr w:rsidR="001A095A" w:rsidRPr="00AD089E" w14:paraId="77F1361C" w14:textId="77777777" w:rsidTr="00387AE5">
        <w:trPr>
          <w:gridAfter w:val="2"/>
          <w:wAfter w:w="108" w:type="dxa"/>
          <w:trHeight w:val="200"/>
        </w:trPr>
        <w:tc>
          <w:tcPr>
            <w:tcW w:w="4358" w:type="dxa"/>
            <w:tcBorders>
              <w:top w:val="nil"/>
              <w:left w:val="nil"/>
              <w:bottom w:val="single" w:sz="4" w:space="0" w:color="auto"/>
              <w:right w:val="nil"/>
            </w:tcBorders>
            <w:shd w:val="clear" w:color="auto" w:fill="auto"/>
            <w:noWrap/>
            <w:vAlign w:val="center"/>
            <w:hideMark/>
          </w:tcPr>
          <w:p w14:paraId="22DDD83B" w14:textId="71130EE8" w:rsidR="001A095A" w:rsidRPr="00AD089E" w:rsidRDefault="001A095A" w:rsidP="00387AE5">
            <w:pPr>
              <w:pStyle w:val="Nadpis3"/>
              <w:rPr>
                <w:rFonts w:eastAsiaTheme="minorHAnsi"/>
                <w:color w:val="2C9ADC"/>
                <w:lang w:eastAsia="en-US"/>
              </w:rPr>
            </w:pPr>
            <w:bookmarkStart w:id="81" w:name="_Toc6314251"/>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8</w:t>
            </w:r>
            <w:r w:rsidRPr="00BE4732">
              <w:rPr>
                <w:rFonts w:eastAsiaTheme="minorHAnsi"/>
                <w:color w:val="2C9ADC"/>
                <w:szCs w:val="20"/>
                <w:lang w:eastAsia="en-US"/>
              </w:rPr>
              <w:fldChar w:fldCharType="end"/>
            </w:r>
            <w:r>
              <w:rPr>
                <w:rFonts w:eastAsiaTheme="minorHAnsi"/>
                <w:color w:val="2C9ADC"/>
                <w:szCs w:val="20"/>
                <w:lang w:eastAsia="en-US"/>
              </w:rPr>
              <w:t xml:space="preserve"> </w:t>
            </w:r>
            <w:r w:rsidRPr="00AD089E">
              <w:rPr>
                <w:rFonts w:eastAsiaTheme="minorHAnsi"/>
                <w:color w:val="2C9ADC"/>
                <w:lang w:eastAsia="en-US"/>
              </w:rPr>
              <w:t>- Produkčná medzera</w:t>
            </w:r>
            <w:r>
              <w:rPr>
                <w:rFonts w:eastAsiaTheme="minorHAnsi"/>
                <w:color w:val="2C9ADC"/>
                <w:lang w:eastAsia="en-US"/>
              </w:rPr>
              <w:t>*</w:t>
            </w:r>
            <w:r w:rsidRPr="00AD089E">
              <w:rPr>
                <w:rFonts w:eastAsiaTheme="minorHAnsi"/>
                <w:color w:val="2C9ADC"/>
                <w:lang w:eastAsia="en-US"/>
              </w:rPr>
              <w:t xml:space="preserve"> (% pot. HDP) - prístup MF SR</w:t>
            </w:r>
            <w:bookmarkEnd w:id="81"/>
          </w:p>
        </w:tc>
        <w:tc>
          <w:tcPr>
            <w:tcW w:w="4252" w:type="dxa"/>
            <w:gridSpan w:val="5"/>
            <w:tcBorders>
              <w:top w:val="nil"/>
              <w:left w:val="nil"/>
              <w:bottom w:val="single" w:sz="8" w:space="0" w:color="auto"/>
              <w:right w:val="nil"/>
            </w:tcBorders>
            <w:shd w:val="clear" w:color="auto" w:fill="auto"/>
            <w:noWrap/>
            <w:vAlign w:val="center"/>
            <w:hideMark/>
          </w:tcPr>
          <w:p w14:paraId="33BD1591" w14:textId="53F96C45" w:rsidR="001A095A" w:rsidRPr="00AD089E" w:rsidRDefault="001A095A" w:rsidP="00387AE5">
            <w:pPr>
              <w:pStyle w:val="Nadpis3"/>
              <w:jc w:val="both"/>
              <w:rPr>
                <w:color w:val="2C9ADC" w:themeColor="accent1"/>
              </w:rPr>
            </w:pPr>
            <w:bookmarkStart w:id="82" w:name="_Toc6314202"/>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3</w:t>
            </w:r>
            <w:r w:rsidRPr="00BE4732">
              <w:rPr>
                <w:rFonts w:eastAsiaTheme="minorHAnsi"/>
                <w:color w:val="2C9ADC" w:themeColor="accent1"/>
                <w:lang w:eastAsia="en-US"/>
              </w:rPr>
              <w:fldChar w:fldCharType="end"/>
            </w:r>
            <w:r w:rsidRPr="00AD089E">
              <w:rPr>
                <w:rFonts w:eastAsiaTheme="minorHAnsi"/>
                <w:color w:val="2C9ADC"/>
                <w:lang w:eastAsia="en-US"/>
              </w:rPr>
              <w:t xml:space="preserve"> - Vývoj produkčnej medzery</w:t>
            </w:r>
            <w:r>
              <w:rPr>
                <w:rFonts w:eastAsiaTheme="minorHAnsi"/>
                <w:color w:val="2C9ADC"/>
                <w:lang w:eastAsia="en-US"/>
              </w:rPr>
              <w:t>*</w:t>
            </w:r>
            <w:r w:rsidRPr="00AD089E">
              <w:rPr>
                <w:rFonts w:eastAsiaTheme="minorHAnsi"/>
                <w:color w:val="2C9ADC"/>
                <w:lang w:eastAsia="en-US"/>
              </w:rPr>
              <w:t xml:space="preserve"> - prístup MF SR</w:t>
            </w:r>
            <w:bookmarkEnd w:id="82"/>
          </w:p>
        </w:tc>
      </w:tr>
      <w:tr w:rsidR="001A095A" w:rsidRPr="00AD089E" w14:paraId="44A48263" w14:textId="77777777" w:rsidTr="00387AE5">
        <w:tblPrEx>
          <w:tblCellMar>
            <w:left w:w="108" w:type="dxa"/>
            <w:right w:w="108" w:type="dxa"/>
          </w:tblCellMar>
        </w:tblPrEx>
        <w:trPr>
          <w:gridAfter w:val="1"/>
          <w:wAfter w:w="12" w:type="dxa"/>
          <w:trHeight w:val="237"/>
        </w:trPr>
        <w:tc>
          <w:tcPr>
            <w:tcW w:w="4466" w:type="dxa"/>
            <w:gridSpan w:val="2"/>
            <w:vMerge w:val="restart"/>
            <w:tcBorders>
              <w:left w:val="nil"/>
              <w:right w:val="nil"/>
            </w:tcBorders>
            <w:shd w:val="clear" w:color="auto" w:fill="auto"/>
            <w:vAlign w:val="center"/>
            <w:hideMark/>
          </w:tcPr>
          <w:p w14:paraId="7BB5D996" w14:textId="627370A2" w:rsidR="001A095A" w:rsidRPr="00AD089E" w:rsidRDefault="00387AE5" w:rsidP="00387AE5">
            <w:pPr>
              <w:rPr>
                <w:rFonts w:cs="Times New Roman"/>
                <w:b/>
                <w:bCs/>
                <w:color w:val="000000"/>
                <w:sz w:val="16"/>
                <w:szCs w:val="16"/>
              </w:rPr>
            </w:pPr>
            <w:r w:rsidRPr="00AD089E">
              <w:rPr>
                <w:noProof/>
              </w:rPr>
              <w:drawing>
                <wp:inline distT="0" distB="0" distL="0" distR="0" wp14:anchorId="01B4DCAF" wp14:editId="1282D349">
                  <wp:extent cx="2747010" cy="167259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907" w:type="dxa"/>
            <w:tcBorders>
              <w:left w:val="nil"/>
              <w:right w:val="nil"/>
            </w:tcBorders>
            <w:shd w:val="clear" w:color="auto" w:fill="auto"/>
            <w:noWrap/>
            <w:vAlign w:val="center"/>
          </w:tcPr>
          <w:p w14:paraId="0A6954CB" w14:textId="77777777" w:rsidR="001A095A" w:rsidRPr="00AD089E" w:rsidRDefault="001A095A" w:rsidP="00387AE5">
            <w:pPr>
              <w:rPr>
                <w:rFonts w:cs="Times New Roman"/>
                <w:color w:val="000000"/>
                <w:sz w:val="18"/>
                <w:szCs w:val="18"/>
                <w:lang w:eastAsia="en-US"/>
              </w:rPr>
            </w:pPr>
            <w:r>
              <w:rPr>
                <w:color w:val="000000"/>
                <w:sz w:val="18"/>
                <w:szCs w:val="18"/>
              </w:rPr>
              <w:t> </w:t>
            </w:r>
          </w:p>
        </w:tc>
        <w:tc>
          <w:tcPr>
            <w:tcW w:w="1077" w:type="dxa"/>
            <w:tcBorders>
              <w:left w:val="nil"/>
              <w:right w:val="nil"/>
            </w:tcBorders>
            <w:shd w:val="clear" w:color="auto" w:fill="auto"/>
            <w:vAlign w:val="center"/>
          </w:tcPr>
          <w:p w14:paraId="05E6A89F" w14:textId="77777777" w:rsidR="001A095A" w:rsidRPr="00AD089E" w:rsidRDefault="001A095A" w:rsidP="00387AE5">
            <w:pPr>
              <w:jc w:val="center"/>
              <w:rPr>
                <w:b/>
                <w:bCs/>
                <w:color w:val="000000"/>
                <w:sz w:val="18"/>
                <w:szCs w:val="18"/>
              </w:rPr>
            </w:pPr>
            <w:r>
              <w:rPr>
                <w:b/>
                <w:bCs/>
                <w:color w:val="000000"/>
                <w:sz w:val="18"/>
                <w:szCs w:val="18"/>
              </w:rPr>
              <w:t>HDP</w:t>
            </w:r>
          </w:p>
        </w:tc>
        <w:tc>
          <w:tcPr>
            <w:tcW w:w="1009" w:type="dxa"/>
            <w:vMerge w:val="restart"/>
            <w:tcBorders>
              <w:left w:val="nil"/>
              <w:right w:val="nil"/>
            </w:tcBorders>
            <w:shd w:val="clear" w:color="auto" w:fill="auto"/>
            <w:vAlign w:val="center"/>
          </w:tcPr>
          <w:p w14:paraId="7CDF8A10" w14:textId="77777777" w:rsidR="001A095A" w:rsidRPr="00AD089E" w:rsidRDefault="001A095A" w:rsidP="00387AE5">
            <w:pPr>
              <w:jc w:val="center"/>
              <w:rPr>
                <w:b/>
                <w:bCs/>
                <w:color w:val="000000"/>
                <w:sz w:val="18"/>
                <w:szCs w:val="18"/>
              </w:rPr>
            </w:pPr>
            <w:r>
              <w:rPr>
                <w:b/>
                <w:bCs/>
                <w:color w:val="000000"/>
                <w:sz w:val="18"/>
                <w:szCs w:val="18"/>
              </w:rPr>
              <w:t>Pot. HDP (rast, %)</w:t>
            </w:r>
          </w:p>
        </w:tc>
        <w:tc>
          <w:tcPr>
            <w:tcW w:w="1247" w:type="dxa"/>
            <w:gridSpan w:val="2"/>
            <w:tcBorders>
              <w:left w:val="nil"/>
              <w:right w:val="nil"/>
            </w:tcBorders>
            <w:shd w:val="clear" w:color="000000" w:fill="E6E6E6"/>
            <w:vAlign w:val="center"/>
          </w:tcPr>
          <w:p w14:paraId="26C091C2" w14:textId="77777777" w:rsidR="001A095A" w:rsidRPr="00AD089E" w:rsidRDefault="001A095A" w:rsidP="00387AE5">
            <w:pPr>
              <w:jc w:val="center"/>
              <w:rPr>
                <w:b/>
                <w:bCs/>
                <w:color w:val="000000"/>
                <w:sz w:val="18"/>
                <w:szCs w:val="18"/>
              </w:rPr>
            </w:pPr>
            <w:r>
              <w:rPr>
                <w:b/>
                <w:bCs/>
                <w:color w:val="000000"/>
                <w:sz w:val="18"/>
                <w:szCs w:val="18"/>
              </w:rPr>
              <w:t>Prod. medzera</w:t>
            </w:r>
          </w:p>
        </w:tc>
      </w:tr>
      <w:tr w:rsidR="001A095A" w:rsidRPr="00AD089E" w14:paraId="341131D6" w14:textId="77777777" w:rsidTr="00387AE5">
        <w:trPr>
          <w:gridAfter w:val="1"/>
          <w:wAfter w:w="12" w:type="dxa"/>
          <w:trHeight w:val="198"/>
        </w:trPr>
        <w:tc>
          <w:tcPr>
            <w:tcW w:w="4466" w:type="dxa"/>
            <w:gridSpan w:val="2"/>
            <w:vMerge/>
            <w:tcBorders>
              <w:left w:val="nil"/>
              <w:bottom w:val="single" w:sz="4" w:space="0" w:color="000000"/>
              <w:right w:val="nil"/>
            </w:tcBorders>
            <w:vAlign w:val="center"/>
            <w:hideMark/>
          </w:tcPr>
          <w:p w14:paraId="762AF1AB" w14:textId="77777777" w:rsidR="001A095A" w:rsidRPr="00AD089E" w:rsidRDefault="001A095A" w:rsidP="00387AE5">
            <w:pPr>
              <w:ind w:left="360"/>
              <w:rPr>
                <w:rFonts w:cs="Times New Roman"/>
                <w:b/>
                <w:bCs/>
                <w:color w:val="000000"/>
                <w:sz w:val="16"/>
                <w:szCs w:val="16"/>
              </w:rPr>
            </w:pPr>
          </w:p>
        </w:tc>
        <w:tc>
          <w:tcPr>
            <w:tcW w:w="907" w:type="dxa"/>
            <w:tcBorders>
              <w:left w:val="nil"/>
              <w:bottom w:val="nil"/>
              <w:right w:val="nil"/>
            </w:tcBorders>
            <w:shd w:val="clear" w:color="auto" w:fill="auto"/>
            <w:noWrap/>
            <w:vAlign w:val="center"/>
          </w:tcPr>
          <w:p w14:paraId="688627ED" w14:textId="77777777" w:rsidR="001A095A" w:rsidRPr="00AD089E" w:rsidRDefault="001A095A" w:rsidP="00387AE5">
            <w:pPr>
              <w:rPr>
                <w:color w:val="000000"/>
                <w:sz w:val="18"/>
                <w:szCs w:val="18"/>
              </w:rPr>
            </w:pPr>
          </w:p>
        </w:tc>
        <w:tc>
          <w:tcPr>
            <w:tcW w:w="1077" w:type="dxa"/>
            <w:tcBorders>
              <w:left w:val="nil"/>
              <w:bottom w:val="nil"/>
              <w:right w:val="nil"/>
            </w:tcBorders>
            <w:shd w:val="clear" w:color="auto" w:fill="auto"/>
            <w:noWrap/>
            <w:vAlign w:val="center"/>
          </w:tcPr>
          <w:p w14:paraId="7DB6A435" w14:textId="77777777" w:rsidR="001A095A" w:rsidRPr="00AD089E" w:rsidRDefault="001A095A" w:rsidP="00387AE5">
            <w:pPr>
              <w:jc w:val="center"/>
              <w:rPr>
                <w:b/>
                <w:bCs/>
                <w:color w:val="000000"/>
                <w:sz w:val="18"/>
                <w:szCs w:val="18"/>
              </w:rPr>
            </w:pPr>
            <w:r>
              <w:rPr>
                <w:b/>
                <w:bCs/>
                <w:color w:val="000000"/>
                <w:sz w:val="18"/>
                <w:szCs w:val="18"/>
              </w:rPr>
              <w:t>(reál. rast, %)</w:t>
            </w:r>
          </w:p>
        </w:tc>
        <w:tc>
          <w:tcPr>
            <w:tcW w:w="1009" w:type="dxa"/>
            <w:vMerge/>
            <w:tcBorders>
              <w:left w:val="nil"/>
              <w:bottom w:val="nil"/>
              <w:right w:val="nil"/>
            </w:tcBorders>
            <w:shd w:val="clear" w:color="auto" w:fill="auto"/>
            <w:noWrap/>
            <w:vAlign w:val="center"/>
          </w:tcPr>
          <w:p w14:paraId="62C681C8" w14:textId="77777777" w:rsidR="001A095A" w:rsidRPr="00AD089E" w:rsidRDefault="001A095A" w:rsidP="00387AE5">
            <w:pPr>
              <w:jc w:val="center"/>
              <w:rPr>
                <w:b/>
                <w:bCs/>
                <w:color w:val="000000"/>
                <w:sz w:val="18"/>
                <w:szCs w:val="18"/>
              </w:rPr>
            </w:pPr>
          </w:p>
        </w:tc>
        <w:tc>
          <w:tcPr>
            <w:tcW w:w="1247" w:type="dxa"/>
            <w:gridSpan w:val="2"/>
            <w:tcBorders>
              <w:left w:val="nil"/>
              <w:bottom w:val="nil"/>
              <w:right w:val="nil"/>
            </w:tcBorders>
            <w:shd w:val="clear" w:color="000000" w:fill="E6E6E6"/>
            <w:vAlign w:val="center"/>
          </w:tcPr>
          <w:p w14:paraId="746DD1A9" w14:textId="77777777" w:rsidR="001A095A" w:rsidRPr="00AD089E" w:rsidRDefault="001A095A" w:rsidP="00387AE5">
            <w:pPr>
              <w:jc w:val="center"/>
              <w:rPr>
                <w:b/>
                <w:bCs/>
                <w:color w:val="000000"/>
                <w:sz w:val="18"/>
                <w:szCs w:val="18"/>
              </w:rPr>
            </w:pPr>
            <w:r>
              <w:rPr>
                <w:b/>
                <w:bCs/>
                <w:color w:val="000000"/>
                <w:sz w:val="18"/>
                <w:szCs w:val="18"/>
              </w:rPr>
              <w:t>(% pot. HDP)</w:t>
            </w:r>
          </w:p>
        </w:tc>
      </w:tr>
      <w:tr w:rsidR="001A095A" w:rsidRPr="00AD089E" w14:paraId="1B504E93" w14:textId="77777777" w:rsidTr="00387AE5">
        <w:trPr>
          <w:gridAfter w:val="1"/>
          <w:wAfter w:w="12" w:type="dxa"/>
          <w:trHeight w:val="190"/>
        </w:trPr>
        <w:tc>
          <w:tcPr>
            <w:tcW w:w="4466" w:type="dxa"/>
            <w:gridSpan w:val="2"/>
            <w:vMerge/>
            <w:tcBorders>
              <w:top w:val="nil"/>
              <w:left w:val="nil"/>
              <w:bottom w:val="single" w:sz="4" w:space="0" w:color="000000"/>
              <w:right w:val="nil"/>
            </w:tcBorders>
            <w:vAlign w:val="center"/>
            <w:hideMark/>
          </w:tcPr>
          <w:p w14:paraId="12B1B8E2"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nil"/>
              <w:right w:val="nil"/>
            </w:tcBorders>
            <w:shd w:val="clear" w:color="auto" w:fill="auto"/>
            <w:noWrap/>
            <w:vAlign w:val="center"/>
          </w:tcPr>
          <w:p w14:paraId="470E7D49" w14:textId="77777777" w:rsidR="001A095A" w:rsidRPr="00AD089E" w:rsidRDefault="001A095A" w:rsidP="00387AE5">
            <w:pPr>
              <w:jc w:val="center"/>
              <w:rPr>
                <w:color w:val="000000"/>
                <w:sz w:val="18"/>
                <w:szCs w:val="18"/>
              </w:rPr>
            </w:pPr>
            <w:r>
              <w:rPr>
                <w:color w:val="000000"/>
                <w:sz w:val="18"/>
                <w:szCs w:val="18"/>
              </w:rPr>
              <w:t>2015</w:t>
            </w:r>
          </w:p>
        </w:tc>
        <w:tc>
          <w:tcPr>
            <w:tcW w:w="1077" w:type="dxa"/>
            <w:tcBorders>
              <w:top w:val="nil"/>
              <w:left w:val="nil"/>
              <w:bottom w:val="nil"/>
              <w:right w:val="nil"/>
            </w:tcBorders>
            <w:shd w:val="clear" w:color="auto" w:fill="auto"/>
            <w:noWrap/>
            <w:vAlign w:val="center"/>
          </w:tcPr>
          <w:p w14:paraId="11E9226E" w14:textId="77777777" w:rsidR="001A095A" w:rsidRPr="00AD089E" w:rsidRDefault="001A095A" w:rsidP="00387AE5">
            <w:pPr>
              <w:jc w:val="center"/>
              <w:rPr>
                <w:color w:val="000000"/>
                <w:sz w:val="18"/>
                <w:szCs w:val="18"/>
              </w:rPr>
            </w:pPr>
            <w:r>
              <w:rPr>
                <w:color w:val="000000"/>
                <w:sz w:val="18"/>
                <w:szCs w:val="18"/>
              </w:rPr>
              <w:t>4,2</w:t>
            </w:r>
          </w:p>
        </w:tc>
        <w:tc>
          <w:tcPr>
            <w:tcW w:w="1009" w:type="dxa"/>
            <w:tcBorders>
              <w:top w:val="nil"/>
              <w:left w:val="nil"/>
              <w:bottom w:val="nil"/>
              <w:right w:val="nil"/>
            </w:tcBorders>
            <w:shd w:val="clear" w:color="auto" w:fill="auto"/>
            <w:noWrap/>
            <w:vAlign w:val="center"/>
          </w:tcPr>
          <w:p w14:paraId="37DA7F52" w14:textId="77777777" w:rsidR="001A095A" w:rsidRPr="00AD089E" w:rsidRDefault="001A095A" w:rsidP="00387AE5">
            <w:pPr>
              <w:jc w:val="center"/>
              <w:rPr>
                <w:color w:val="000000"/>
                <w:sz w:val="18"/>
                <w:szCs w:val="18"/>
              </w:rPr>
            </w:pPr>
            <w:r>
              <w:rPr>
                <w:color w:val="000000"/>
                <w:sz w:val="18"/>
                <w:szCs w:val="18"/>
              </w:rPr>
              <w:t>3,0</w:t>
            </w:r>
          </w:p>
        </w:tc>
        <w:tc>
          <w:tcPr>
            <w:tcW w:w="1247" w:type="dxa"/>
            <w:gridSpan w:val="2"/>
            <w:tcBorders>
              <w:top w:val="nil"/>
              <w:left w:val="nil"/>
              <w:bottom w:val="nil"/>
              <w:right w:val="nil"/>
            </w:tcBorders>
            <w:shd w:val="clear" w:color="000000" w:fill="E6E6E6"/>
            <w:vAlign w:val="center"/>
          </w:tcPr>
          <w:p w14:paraId="545350D1" w14:textId="77777777" w:rsidR="001A095A" w:rsidRPr="00AD089E" w:rsidRDefault="001A095A" w:rsidP="00387AE5">
            <w:pPr>
              <w:jc w:val="center"/>
              <w:rPr>
                <w:b/>
                <w:bCs/>
                <w:color w:val="000000"/>
                <w:sz w:val="18"/>
                <w:szCs w:val="18"/>
              </w:rPr>
            </w:pPr>
            <w:r>
              <w:rPr>
                <w:b/>
                <w:bCs/>
                <w:color w:val="000000"/>
                <w:sz w:val="18"/>
                <w:szCs w:val="18"/>
              </w:rPr>
              <w:t>-0,4</w:t>
            </w:r>
          </w:p>
        </w:tc>
      </w:tr>
      <w:tr w:rsidR="001A095A" w:rsidRPr="00AD089E" w14:paraId="7164853A" w14:textId="77777777" w:rsidTr="00387AE5">
        <w:trPr>
          <w:gridAfter w:val="1"/>
          <w:wAfter w:w="12" w:type="dxa"/>
          <w:trHeight w:val="190"/>
        </w:trPr>
        <w:tc>
          <w:tcPr>
            <w:tcW w:w="4466" w:type="dxa"/>
            <w:gridSpan w:val="2"/>
            <w:vMerge/>
            <w:tcBorders>
              <w:top w:val="nil"/>
              <w:left w:val="nil"/>
              <w:bottom w:val="single" w:sz="4" w:space="0" w:color="000000"/>
              <w:right w:val="nil"/>
            </w:tcBorders>
            <w:vAlign w:val="center"/>
            <w:hideMark/>
          </w:tcPr>
          <w:p w14:paraId="72E31F69"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nil"/>
              <w:right w:val="nil"/>
            </w:tcBorders>
            <w:shd w:val="clear" w:color="auto" w:fill="auto"/>
            <w:noWrap/>
            <w:vAlign w:val="center"/>
          </w:tcPr>
          <w:p w14:paraId="0E390053" w14:textId="77777777" w:rsidR="001A095A" w:rsidRPr="00AD089E" w:rsidRDefault="001A095A" w:rsidP="00387AE5">
            <w:pPr>
              <w:jc w:val="center"/>
              <w:rPr>
                <w:color w:val="000000"/>
                <w:sz w:val="18"/>
                <w:szCs w:val="18"/>
              </w:rPr>
            </w:pPr>
            <w:r>
              <w:rPr>
                <w:color w:val="000000"/>
                <w:sz w:val="18"/>
                <w:szCs w:val="18"/>
              </w:rPr>
              <w:t>2016</w:t>
            </w:r>
          </w:p>
        </w:tc>
        <w:tc>
          <w:tcPr>
            <w:tcW w:w="1077" w:type="dxa"/>
            <w:tcBorders>
              <w:top w:val="nil"/>
              <w:left w:val="nil"/>
              <w:bottom w:val="nil"/>
              <w:right w:val="nil"/>
            </w:tcBorders>
            <w:shd w:val="clear" w:color="auto" w:fill="auto"/>
            <w:noWrap/>
            <w:vAlign w:val="center"/>
          </w:tcPr>
          <w:p w14:paraId="3BCE2953" w14:textId="77777777" w:rsidR="001A095A" w:rsidRPr="00AD089E" w:rsidRDefault="001A095A" w:rsidP="00387AE5">
            <w:pPr>
              <w:jc w:val="center"/>
              <w:rPr>
                <w:color w:val="000000"/>
                <w:sz w:val="18"/>
                <w:szCs w:val="18"/>
              </w:rPr>
            </w:pPr>
            <w:r>
              <w:rPr>
                <w:color w:val="000000"/>
                <w:sz w:val="18"/>
                <w:szCs w:val="18"/>
              </w:rPr>
              <w:t>3,1</w:t>
            </w:r>
          </w:p>
        </w:tc>
        <w:tc>
          <w:tcPr>
            <w:tcW w:w="1009" w:type="dxa"/>
            <w:tcBorders>
              <w:top w:val="nil"/>
              <w:left w:val="nil"/>
              <w:bottom w:val="nil"/>
              <w:right w:val="nil"/>
            </w:tcBorders>
            <w:shd w:val="clear" w:color="auto" w:fill="auto"/>
            <w:noWrap/>
            <w:vAlign w:val="center"/>
          </w:tcPr>
          <w:p w14:paraId="6F141F54" w14:textId="77777777" w:rsidR="001A095A" w:rsidRPr="00AD089E" w:rsidRDefault="001A095A" w:rsidP="00387AE5">
            <w:pPr>
              <w:jc w:val="center"/>
              <w:rPr>
                <w:color w:val="000000"/>
                <w:sz w:val="18"/>
                <w:szCs w:val="18"/>
              </w:rPr>
            </w:pPr>
            <w:r>
              <w:rPr>
                <w:color w:val="000000"/>
                <w:sz w:val="18"/>
                <w:szCs w:val="18"/>
              </w:rPr>
              <w:t>2,9</w:t>
            </w:r>
          </w:p>
        </w:tc>
        <w:tc>
          <w:tcPr>
            <w:tcW w:w="1247" w:type="dxa"/>
            <w:gridSpan w:val="2"/>
            <w:tcBorders>
              <w:top w:val="nil"/>
              <w:left w:val="nil"/>
              <w:bottom w:val="nil"/>
              <w:right w:val="nil"/>
            </w:tcBorders>
            <w:shd w:val="clear" w:color="000000" w:fill="E6E6E6"/>
            <w:vAlign w:val="center"/>
          </w:tcPr>
          <w:p w14:paraId="7202D2F9" w14:textId="77777777" w:rsidR="001A095A" w:rsidRPr="00AD089E" w:rsidRDefault="001A095A" w:rsidP="00387AE5">
            <w:pPr>
              <w:jc w:val="center"/>
              <w:rPr>
                <w:b/>
                <w:bCs/>
                <w:color w:val="000000"/>
                <w:sz w:val="18"/>
                <w:szCs w:val="18"/>
              </w:rPr>
            </w:pPr>
            <w:r>
              <w:rPr>
                <w:b/>
                <w:bCs/>
                <w:color w:val="000000"/>
                <w:sz w:val="18"/>
                <w:szCs w:val="18"/>
              </w:rPr>
              <w:t>-0,1</w:t>
            </w:r>
          </w:p>
        </w:tc>
      </w:tr>
      <w:tr w:rsidR="001A095A" w:rsidRPr="00AD089E" w14:paraId="4FF4E0D9" w14:textId="77777777" w:rsidTr="00387AE5">
        <w:trPr>
          <w:gridAfter w:val="1"/>
          <w:wAfter w:w="12" w:type="dxa"/>
          <w:trHeight w:val="190"/>
        </w:trPr>
        <w:tc>
          <w:tcPr>
            <w:tcW w:w="4466" w:type="dxa"/>
            <w:gridSpan w:val="2"/>
            <w:vMerge/>
            <w:tcBorders>
              <w:top w:val="nil"/>
              <w:left w:val="nil"/>
              <w:bottom w:val="single" w:sz="4" w:space="0" w:color="000000"/>
              <w:right w:val="nil"/>
            </w:tcBorders>
            <w:vAlign w:val="center"/>
            <w:hideMark/>
          </w:tcPr>
          <w:p w14:paraId="3857FC21"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nil"/>
              <w:right w:val="nil"/>
            </w:tcBorders>
            <w:shd w:val="clear" w:color="auto" w:fill="auto"/>
            <w:noWrap/>
            <w:vAlign w:val="center"/>
          </w:tcPr>
          <w:p w14:paraId="227053C9" w14:textId="77777777" w:rsidR="001A095A" w:rsidRPr="00AD089E" w:rsidRDefault="001A095A" w:rsidP="00387AE5">
            <w:pPr>
              <w:jc w:val="center"/>
              <w:rPr>
                <w:color w:val="000000"/>
                <w:sz w:val="18"/>
                <w:szCs w:val="18"/>
              </w:rPr>
            </w:pPr>
            <w:r>
              <w:rPr>
                <w:color w:val="000000"/>
                <w:sz w:val="18"/>
                <w:szCs w:val="18"/>
              </w:rPr>
              <w:t>2017</w:t>
            </w:r>
          </w:p>
        </w:tc>
        <w:tc>
          <w:tcPr>
            <w:tcW w:w="1077" w:type="dxa"/>
            <w:tcBorders>
              <w:top w:val="nil"/>
              <w:left w:val="nil"/>
              <w:bottom w:val="nil"/>
              <w:right w:val="nil"/>
            </w:tcBorders>
            <w:shd w:val="clear" w:color="auto" w:fill="auto"/>
            <w:noWrap/>
            <w:vAlign w:val="center"/>
          </w:tcPr>
          <w:p w14:paraId="4A4AF8AC" w14:textId="77777777" w:rsidR="001A095A" w:rsidRPr="00AD089E" w:rsidRDefault="001A095A" w:rsidP="00387AE5">
            <w:pPr>
              <w:jc w:val="center"/>
              <w:rPr>
                <w:color w:val="000000"/>
                <w:sz w:val="18"/>
                <w:szCs w:val="18"/>
              </w:rPr>
            </w:pPr>
            <w:r>
              <w:rPr>
                <w:color w:val="000000"/>
                <w:sz w:val="18"/>
                <w:szCs w:val="18"/>
              </w:rPr>
              <w:t>3,2</w:t>
            </w:r>
          </w:p>
        </w:tc>
        <w:tc>
          <w:tcPr>
            <w:tcW w:w="1009" w:type="dxa"/>
            <w:tcBorders>
              <w:top w:val="nil"/>
              <w:left w:val="nil"/>
              <w:bottom w:val="nil"/>
              <w:right w:val="nil"/>
            </w:tcBorders>
            <w:shd w:val="clear" w:color="auto" w:fill="auto"/>
            <w:noWrap/>
            <w:vAlign w:val="center"/>
          </w:tcPr>
          <w:p w14:paraId="3932B03B" w14:textId="77777777" w:rsidR="001A095A" w:rsidRPr="00AD089E" w:rsidRDefault="001A095A" w:rsidP="00387AE5">
            <w:pPr>
              <w:jc w:val="center"/>
              <w:rPr>
                <w:color w:val="000000"/>
                <w:sz w:val="18"/>
                <w:szCs w:val="18"/>
              </w:rPr>
            </w:pPr>
            <w:r>
              <w:rPr>
                <w:color w:val="000000"/>
                <w:sz w:val="18"/>
                <w:szCs w:val="18"/>
              </w:rPr>
              <w:t>3,0</w:t>
            </w:r>
          </w:p>
        </w:tc>
        <w:tc>
          <w:tcPr>
            <w:tcW w:w="1247" w:type="dxa"/>
            <w:gridSpan w:val="2"/>
            <w:tcBorders>
              <w:top w:val="nil"/>
              <w:left w:val="nil"/>
              <w:bottom w:val="nil"/>
              <w:right w:val="nil"/>
            </w:tcBorders>
            <w:shd w:val="clear" w:color="000000" w:fill="E6E6E6"/>
            <w:vAlign w:val="center"/>
          </w:tcPr>
          <w:p w14:paraId="689FA7CA" w14:textId="77777777" w:rsidR="001A095A" w:rsidRPr="00AD089E" w:rsidRDefault="001A095A" w:rsidP="00387AE5">
            <w:pPr>
              <w:jc w:val="center"/>
              <w:rPr>
                <w:b/>
                <w:bCs/>
                <w:color w:val="000000"/>
                <w:sz w:val="18"/>
                <w:szCs w:val="18"/>
              </w:rPr>
            </w:pPr>
            <w:r>
              <w:rPr>
                <w:b/>
                <w:bCs/>
                <w:color w:val="000000"/>
                <w:sz w:val="18"/>
                <w:szCs w:val="18"/>
              </w:rPr>
              <w:t>0,1</w:t>
            </w:r>
          </w:p>
        </w:tc>
      </w:tr>
      <w:tr w:rsidR="001A095A" w:rsidRPr="00AD089E" w14:paraId="41F03177" w14:textId="77777777" w:rsidTr="00387AE5">
        <w:trPr>
          <w:gridAfter w:val="1"/>
          <w:wAfter w:w="12" w:type="dxa"/>
          <w:trHeight w:val="262"/>
        </w:trPr>
        <w:tc>
          <w:tcPr>
            <w:tcW w:w="4466" w:type="dxa"/>
            <w:gridSpan w:val="2"/>
            <w:vMerge/>
            <w:tcBorders>
              <w:top w:val="nil"/>
              <w:left w:val="nil"/>
              <w:bottom w:val="single" w:sz="4" w:space="0" w:color="000000"/>
              <w:right w:val="nil"/>
            </w:tcBorders>
            <w:vAlign w:val="center"/>
            <w:hideMark/>
          </w:tcPr>
          <w:p w14:paraId="0062D754"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single" w:sz="4" w:space="0" w:color="auto"/>
              <w:right w:val="nil"/>
            </w:tcBorders>
            <w:shd w:val="clear" w:color="auto" w:fill="auto"/>
            <w:noWrap/>
            <w:vAlign w:val="center"/>
          </w:tcPr>
          <w:p w14:paraId="6AEB539B" w14:textId="77777777" w:rsidR="001A095A" w:rsidRPr="00AD089E" w:rsidRDefault="001A095A" w:rsidP="00387AE5">
            <w:pPr>
              <w:jc w:val="center"/>
              <w:rPr>
                <w:color w:val="000000"/>
                <w:sz w:val="18"/>
                <w:szCs w:val="18"/>
              </w:rPr>
            </w:pPr>
            <w:r>
              <w:rPr>
                <w:color w:val="000000"/>
                <w:sz w:val="18"/>
                <w:szCs w:val="18"/>
              </w:rPr>
              <w:t>2018</w:t>
            </w:r>
          </w:p>
        </w:tc>
        <w:tc>
          <w:tcPr>
            <w:tcW w:w="1077" w:type="dxa"/>
            <w:tcBorders>
              <w:top w:val="nil"/>
              <w:left w:val="nil"/>
              <w:bottom w:val="single" w:sz="4" w:space="0" w:color="auto"/>
              <w:right w:val="nil"/>
            </w:tcBorders>
            <w:shd w:val="clear" w:color="auto" w:fill="auto"/>
            <w:noWrap/>
            <w:vAlign w:val="center"/>
          </w:tcPr>
          <w:p w14:paraId="60F353F3" w14:textId="77777777" w:rsidR="001A095A" w:rsidRPr="00AD089E" w:rsidRDefault="001A095A" w:rsidP="00387AE5">
            <w:pPr>
              <w:jc w:val="center"/>
              <w:rPr>
                <w:color w:val="000000"/>
                <w:sz w:val="18"/>
                <w:szCs w:val="18"/>
              </w:rPr>
            </w:pPr>
            <w:r>
              <w:rPr>
                <w:color w:val="000000"/>
                <w:sz w:val="18"/>
                <w:szCs w:val="18"/>
              </w:rPr>
              <w:t>4,3</w:t>
            </w:r>
          </w:p>
        </w:tc>
        <w:tc>
          <w:tcPr>
            <w:tcW w:w="1009" w:type="dxa"/>
            <w:tcBorders>
              <w:top w:val="nil"/>
              <w:left w:val="nil"/>
              <w:bottom w:val="single" w:sz="4" w:space="0" w:color="auto"/>
              <w:right w:val="nil"/>
            </w:tcBorders>
            <w:shd w:val="clear" w:color="auto" w:fill="auto"/>
            <w:noWrap/>
            <w:vAlign w:val="center"/>
          </w:tcPr>
          <w:p w14:paraId="71E8760E" w14:textId="77777777" w:rsidR="001A095A" w:rsidRPr="00AD089E" w:rsidRDefault="001A095A" w:rsidP="00387AE5">
            <w:pPr>
              <w:jc w:val="center"/>
              <w:rPr>
                <w:color w:val="000000"/>
                <w:sz w:val="18"/>
                <w:szCs w:val="18"/>
              </w:rPr>
            </w:pPr>
            <w:r>
              <w:rPr>
                <w:color w:val="000000"/>
                <w:sz w:val="18"/>
                <w:szCs w:val="18"/>
              </w:rPr>
              <w:t>3,5</w:t>
            </w:r>
          </w:p>
        </w:tc>
        <w:tc>
          <w:tcPr>
            <w:tcW w:w="1247" w:type="dxa"/>
            <w:gridSpan w:val="2"/>
            <w:tcBorders>
              <w:top w:val="nil"/>
              <w:left w:val="nil"/>
              <w:bottom w:val="single" w:sz="4" w:space="0" w:color="auto"/>
              <w:right w:val="nil"/>
            </w:tcBorders>
            <w:shd w:val="clear" w:color="000000" w:fill="E6E6E6"/>
            <w:vAlign w:val="center"/>
          </w:tcPr>
          <w:p w14:paraId="7E05DCAF" w14:textId="77777777" w:rsidR="001A095A" w:rsidRPr="00AD089E" w:rsidRDefault="001A095A" w:rsidP="00387AE5">
            <w:pPr>
              <w:jc w:val="center"/>
              <w:rPr>
                <w:b/>
                <w:bCs/>
                <w:color w:val="000000"/>
                <w:sz w:val="18"/>
                <w:szCs w:val="18"/>
              </w:rPr>
            </w:pPr>
            <w:r>
              <w:rPr>
                <w:b/>
                <w:bCs/>
                <w:color w:val="000000"/>
                <w:sz w:val="18"/>
                <w:szCs w:val="18"/>
              </w:rPr>
              <w:t>0,9</w:t>
            </w:r>
          </w:p>
        </w:tc>
      </w:tr>
      <w:tr w:rsidR="001A095A" w:rsidRPr="00AD089E" w14:paraId="3866C3AF" w14:textId="77777777" w:rsidTr="00387AE5">
        <w:trPr>
          <w:gridAfter w:val="1"/>
          <w:wAfter w:w="12" w:type="dxa"/>
          <w:trHeight w:val="280"/>
        </w:trPr>
        <w:tc>
          <w:tcPr>
            <w:tcW w:w="4466" w:type="dxa"/>
            <w:gridSpan w:val="2"/>
            <w:vMerge/>
            <w:tcBorders>
              <w:top w:val="nil"/>
              <w:left w:val="nil"/>
              <w:bottom w:val="single" w:sz="4" w:space="0" w:color="000000"/>
              <w:right w:val="nil"/>
            </w:tcBorders>
            <w:vAlign w:val="center"/>
            <w:hideMark/>
          </w:tcPr>
          <w:p w14:paraId="36A680DE"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nil"/>
              <w:right w:val="nil"/>
            </w:tcBorders>
            <w:shd w:val="clear" w:color="auto" w:fill="auto"/>
            <w:noWrap/>
            <w:vAlign w:val="center"/>
          </w:tcPr>
          <w:p w14:paraId="2CAA87F0" w14:textId="77777777" w:rsidR="001A095A" w:rsidRPr="00AD089E" w:rsidRDefault="001A095A" w:rsidP="00387AE5">
            <w:pPr>
              <w:jc w:val="center"/>
              <w:rPr>
                <w:color w:val="000000"/>
                <w:sz w:val="18"/>
                <w:szCs w:val="18"/>
              </w:rPr>
            </w:pPr>
            <w:r>
              <w:rPr>
                <w:color w:val="000000"/>
                <w:sz w:val="18"/>
                <w:szCs w:val="18"/>
              </w:rPr>
              <w:t>2019F</w:t>
            </w:r>
          </w:p>
        </w:tc>
        <w:tc>
          <w:tcPr>
            <w:tcW w:w="1077" w:type="dxa"/>
            <w:tcBorders>
              <w:top w:val="nil"/>
              <w:left w:val="nil"/>
              <w:bottom w:val="nil"/>
              <w:right w:val="nil"/>
            </w:tcBorders>
            <w:shd w:val="clear" w:color="auto" w:fill="auto"/>
            <w:noWrap/>
            <w:vAlign w:val="center"/>
          </w:tcPr>
          <w:p w14:paraId="252DBA03" w14:textId="77777777" w:rsidR="001A095A" w:rsidRPr="00AD089E" w:rsidRDefault="001A095A" w:rsidP="00387AE5">
            <w:pPr>
              <w:jc w:val="center"/>
              <w:rPr>
                <w:color w:val="000000"/>
                <w:sz w:val="18"/>
                <w:szCs w:val="18"/>
              </w:rPr>
            </w:pPr>
            <w:r>
              <w:rPr>
                <w:color w:val="000000"/>
                <w:sz w:val="18"/>
                <w:szCs w:val="18"/>
              </w:rPr>
              <w:t>4,0</w:t>
            </w:r>
          </w:p>
        </w:tc>
        <w:tc>
          <w:tcPr>
            <w:tcW w:w="1009" w:type="dxa"/>
            <w:tcBorders>
              <w:top w:val="nil"/>
              <w:left w:val="nil"/>
              <w:bottom w:val="nil"/>
              <w:right w:val="nil"/>
            </w:tcBorders>
            <w:shd w:val="clear" w:color="auto" w:fill="auto"/>
            <w:noWrap/>
            <w:vAlign w:val="center"/>
          </w:tcPr>
          <w:p w14:paraId="6645C4ED" w14:textId="77777777" w:rsidR="001A095A" w:rsidRPr="00AD089E" w:rsidRDefault="001A095A" w:rsidP="00387AE5">
            <w:pPr>
              <w:jc w:val="center"/>
              <w:rPr>
                <w:color w:val="000000"/>
                <w:sz w:val="18"/>
                <w:szCs w:val="18"/>
              </w:rPr>
            </w:pPr>
            <w:r>
              <w:rPr>
                <w:color w:val="000000"/>
                <w:sz w:val="18"/>
                <w:szCs w:val="18"/>
              </w:rPr>
              <w:t>3,8</w:t>
            </w:r>
          </w:p>
        </w:tc>
        <w:tc>
          <w:tcPr>
            <w:tcW w:w="1247" w:type="dxa"/>
            <w:gridSpan w:val="2"/>
            <w:tcBorders>
              <w:top w:val="nil"/>
              <w:left w:val="nil"/>
              <w:bottom w:val="nil"/>
              <w:right w:val="nil"/>
            </w:tcBorders>
            <w:shd w:val="clear" w:color="000000" w:fill="E6E6E6"/>
            <w:vAlign w:val="center"/>
          </w:tcPr>
          <w:p w14:paraId="1DA0AF03" w14:textId="77777777" w:rsidR="001A095A" w:rsidRPr="00AD089E" w:rsidRDefault="001A095A" w:rsidP="00387AE5">
            <w:pPr>
              <w:jc w:val="center"/>
              <w:rPr>
                <w:b/>
                <w:bCs/>
                <w:color w:val="000000"/>
                <w:sz w:val="18"/>
                <w:szCs w:val="18"/>
              </w:rPr>
            </w:pPr>
            <w:r>
              <w:rPr>
                <w:b/>
                <w:bCs/>
                <w:color w:val="000000"/>
                <w:sz w:val="18"/>
                <w:szCs w:val="18"/>
              </w:rPr>
              <w:t>1,1</w:t>
            </w:r>
          </w:p>
        </w:tc>
      </w:tr>
      <w:tr w:rsidR="001A095A" w:rsidRPr="00AD089E" w14:paraId="00E74C43" w14:textId="77777777" w:rsidTr="00387AE5">
        <w:trPr>
          <w:gridAfter w:val="1"/>
          <w:wAfter w:w="12" w:type="dxa"/>
          <w:trHeight w:val="272"/>
        </w:trPr>
        <w:tc>
          <w:tcPr>
            <w:tcW w:w="4466" w:type="dxa"/>
            <w:gridSpan w:val="2"/>
            <w:vMerge/>
            <w:tcBorders>
              <w:top w:val="nil"/>
              <w:left w:val="nil"/>
              <w:bottom w:val="single" w:sz="4" w:space="0" w:color="000000"/>
              <w:right w:val="nil"/>
            </w:tcBorders>
            <w:vAlign w:val="center"/>
            <w:hideMark/>
          </w:tcPr>
          <w:p w14:paraId="596DCFE3"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nil"/>
              <w:right w:val="nil"/>
            </w:tcBorders>
            <w:shd w:val="clear" w:color="auto" w:fill="auto"/>
            <w:noWrap/>
            <w:vAlign w:val="center"/>
          </w:tcPr>
          <w:p w14:paraId="64CD23F6" w14:textId="77777777" w:rsidR="001A095A" w:rsidRPr="00AD089E" w:rsidRDefault="001A095A" w:rsidP="00387AE5">
            <w:pPr>
              <w:jc w:val="center"/>
              <w:rPr>
                <w:color w:val="000000"/>
                <w:sz w:val="18"/>
                <w:szCs w:val="18"/>
              </w:rPr>
            </w:pPr>
            <w:r>
              <w:rPr>
                <w:color w:val="000000"/>
                <w:sz w:val="18"/>
                <w:szCs w:val="18"/>
              </w:rPr>
              <w:t>2020F</w:t>
            </w:r>
          </w:p>
        </w:tc>
        <w:tc>
          <w:tcPr>
            <w:tcW w:w="1077" w:type="dxa"/>
            <w:tcBorders>
              <w:top w:val="nil"/>
              <w:left w:val="nil"/>
              <w:bottom w:val="nil"/>
              <w:right w:val="nil"/>
            </w:tcBorders>
            <w:shd w:val="clear" w:color="auto" w:fill="auto"/>
            <w:noWrap/>
            <w:vAlign w:val="center"/>
          </w:tcPr>
          <w:p w14:paraId="2CE96ECF" w14:textId="77777777" w:rsidR="001A095A" w:rsidRPr="00AD089E" w:rsidRDefault="001A095A" w:rsidP="00387AE5">
            <w:pPr>
              <w:jc w:val="center"/>
              <w:rPr>
                <w:color w:val="000000"/>
                <w:sz w:val="18"/>
                <w:szCs w:val="18"/>
              </w:rPr>
            </w:pPr>
            <w:r>
              <w:rPr>
                <w:color w:val="000000"/>
                <w:sz w:val="18"/>
                <w:szCs w:val="18"/>
              </w:rPr>
              <w:t>3,7</w:t>
            </w:r>
          </w:p>
        </w:tc>
        <w:tc>
          <w:tcPr>
            <w:tcW w:w="1009" w:type="dxa"/>
            <w:tcBorders>
              <w:top w:val="nil"/>
              <w:left w:val="nil"/>
              <w:bottom w:val="nil"/>
              <w:right w:val="nil"/>
            </w:tcBorders>
            <w:shd w:val="clear" w:color="auto" w:fill="auto"/>
            <w:noWrap/>
            <w:vAlign w:val="center"/>
          </w:tcPr>
          <w:p w14:paraId="124CB7E5" w14:textId="77777777" w:rsidR="001A095A" w:rsidRPr="00AD089E" w:rsidRDefault="001A095A" w:rsidP="00387AE5">
            <w:pPr>
              <w:jc w:val="center"/>
              <w:rPr>
                <w:color w:val="000000"/>
                <w:sz w:val="18"/>
                <w:szCs w:val="18"/>
              </w:rPr>
            </w:pPr>
            <w:r>
              <w:rPr>
                <w:color w:val="000000"/>
                <w:sz w:val="18"/>
                <w:szCs w:val="18"/>
              </w:rPr>
              <w:t>3,7</w:t>
            </w:r>
          </w:p>
        </w:tc>
        <w:tc>
          <w:tcPr>
            <w:tcW w:w="1247" w:type="dxa"/>
            <w:gridSpan w:val="2"/>
            <w:tcBorders>
              <w:top w:val="nil"/>
              <w:left w:val="nil"/>
              <w:bottom w:val="nil"/>
              <w:right w:val="nil"/>
            </w:tcBorders>
            <w:shd w:val="clear" w:color="000000" w:fill="E6E6E6"/>
            <w:vAlign w:val="center"/>
          </w:tcPr>
          <w:p w14:paraId="2437849D" w14:textId="77777777" w:rsidR="001A095A" w:rsidRPr="00AD089E" w:rsidRDefault="001A095A" w:rsidP="00387AE5">
            <w:pPr>
              <w:jc w:val="center"/>
              <w:rPr>
                <w:b/>
                <w:bCs/>
                <w:color w:val="000000"/>
                <w:sz w:val="18"/>
                <w:szCs w:val="18"/>
              </w:rPr>
            </w:pPr>
            <w:r>
              <w:rPr>
                <w:b/>
                <w:bCs/>
                <w:color w:val="000000"/>
                <w:sz w:val="18"/>
                <w:szCs w:val="18"/>
              </w:rPr>
              <w:t>1,1</w:t>
            </w:r>
          </w:p>
        </w:tc>
      </w:tr>
      <w:tr w:rsidR="001A095A" w:rsidRPr="00AD089E" w14:paraId="5A96C329" w14:textId="77777777" w:rsidTr="00C02822">
        <w:trPr>
          <w:gridAfter w:val="1"/>
          <w:wAfter w:w="12" w:type="dxa"/>
          <w:trHeight w:val="64"/>
        </w:trPr>
        <w:tc>
          <w:tcPr>
            <w:tcW w:w="4466" w:type="dxa"/>
            <w:gridSpan w:val="2"/>
            <w:vMerge/>
            <w:tcBorders>
              <w:top w:val="nil"/>
              <w:left w:val="nil"/>
              <w:bottom w:val="single" w:sz="4" w:space="0" w:color="000000"/>
              <w:right w:val="nil"/>
            </w:tcBorders>
            <w:vAlign w:val="center"/>
            <w:hideMark/>
          </w:tcPr>
          <w:p w14:paraId="446555EB" w14:textId="77777777" w:rsidR="001A095A" w:rsidRPr="00AD089E" w:rsidRDefault="001A095A" w:rsidP="00387AE5">
            <w:pPr>
              <w:ind w:left="360"/>
              <w:rPr>
                <w:rFonts w:cs="Times New Roman"/>
                <w:b/>
                <w:bCs/>
                <w:color w:val="000000"/>
                <w:sz w:val="16"/>
                <w:szCs w:val="16"/>
              </w:rPr>
            </w:pPr>
          </w:p>
        </w:tc>
        <w:tc>
          <w:tcPr>
            <w:tcW w:w="907" w:type="dxa"/>
            <w:tcBorders>
              <w:top w:val="nil"/>
              <w:left w:val="nil"/>
              <w:bottom w:val="nil"/>
              <w:right w:val="nil"/>
            </w:tcBorders>
            <w:shd w:val="clear" w:color="auto" w:fill="auto"/>
            <w:noWrap/>
            <w:vAlign w:val="center"/>
          </w:tcPr>
          <w:p w14:paraId="7E9DFF52" w14:textId="77777777" w:rsidR="001A095A" w:rsidRPr="00AD089E" w:rsidRDefault="001A095A" w:rsidP="00387AE5">
            <w:pPr>
              <w:jc w:val="center"/>
              <w:rPr>
                <w:color w:val="000000"/>
                <w:sz w:val="18"/>
                <w:szCs w:val="18"/>
              </w:rPr>
            </w:pPr>
            <w:r>
              <w:rPr>
                <w:color w:val="000000"/>
                <w:sz w:val="18"/>
                <w:szCs w:val="18"/>
              </w:rPr>
              <w:t>2021F</w:t>
            </w:r>
          </w:p>
        </w:tc>
        <w:tc>
          <w:tcPr>
            <w:tcW w:w="1077" w:type="dxa"/>
            <w:tcBorders>
              <w:top w:val="nil"/>
              <w:left w:val="nil"/>
              <w:bottom w:val="nil"/>
              <w:right w:val="nil"/>
            </w:tcBorders>
            <w:shd w:val="clear" w:color="auto" w:fill="auto"/>
            <w:noWrap/>
            <w:vAlign w:val="center"/>
          </w:tcPr>
          <w:p w14:paraId="0E58E820" w14:textId="77777777" w:rsidR="001A095A" w:rsidRPr="00AD089E" w:rsidRDefault="001A095A" w:rsidP="00387AE5">
            <w:pPr>
              <w:jc w:val="center"/>
              <w:rPr>
                <w:color w:val="000000"/>
                <w:sz w:val="18"/>
                <w:szCs w:val="18"/>
              </w:rPr>
            </w:pPr>
            <w:r>
              <w:rPr>
                <w:color w:val="000000"/>
                <w:sz w:val="18"/>
                <w:szCs w:val="18"/>
              </w:rPr>
              <w:t>3,2</w:t>
            </w:r>
          </w:p>
        </w:tc>
        <w:tc>
          <w:tcPr>
            <w:tcW w:w="1009" w:type="dxa"/>
            <w:tcBorders>
              <w:top w:val="nil"/>
              <w:left w:val="nil"/>
              <w:bottom w:val="nil"/>
              <w:right w:val="nil"/>
            </w:tcBorders>
            <w:shd w:val="clear" w:color="auto" w:fill="auto"/>
            <w:noWrap/>
            <w:vAlign w:val="center"/>
          </w:tcPr>
          <w:p w14:paraId="03CDC681" w14:textId="77777777" w:rsidR="001A095A" w:rsidRPr="00AD089E" w:rsidRDefault="001A095A" w:rsidP="00387AE5">
            <w:pPr>
              <w:jc w:val="center"/>
              <w:rPr>
                <w:color w:val="000000"/>
                <w:sz w:val="18"/>
                <w:szCs w:val="18"/>
              </w:rPr>
            </w:pPr>
            <w:r>
              <w:rPr>
                <w:color w:val="000000"/>
                <w:sz w:val="18"/>
                <w:szCs w:val="18"/>
              </w:rPr>
              <w:t>3,4</w:t>
            </w:r>
          </w:p>
        </w:tc>
        <w:tc>
          <w:tcPr>
            <w:tcW w:w="1247" w:type="dxa"/>
            <w:gridSpan w:val="2"/>
            <w:tcBorders>
              <w:top w:val="nil"/>
              <w:left w:val="nil"/>
              <w:bottom w:val="nil"/>
              <w:right w:val="nil"/>
            </w:tcBorders>
            <w:shd w:val="clear" w:color="000000" w:fill="E6E6E6"/>
            <w:vAlign w:val="center"/>
          </w:tcPr>
          <w:p w14:paraId="08450328" w14:textId="77777777" w:rsidR="001A095A" w:rsidRPr="00AD089E" w:rsidRDefault="001A095A" w:rsidP="00387AE5">
            <w:pPr>
              <w:jc w:val="center"/>
              <w:rPr>
                <w:b/>
                <w:bCs/>
                <w:color w:val="000000"/>
                <w:sz w:val="18"/>
                <w:szCs w:val="18"/>
              </w:rPr>
            </w:pPr>
            <w:r>
              <w:rPr>
                <w:b/>
                <w:bCs/>
                <w:color w:val="000000"/>
                <w:sz w:val="18"/>
                <w:szCs w:val="18"/>
              </w:rPr>
              <w:t>0,9</w:t>
            </w:r>
          </w:p>
        </w:tc>
      </w:tr>
      <w:tr w:rsidR="001A095A" w:rsidRPr="00AD089E" w14:paraId="0D95BD66" w14:textId="77777777" w:rsidTr="00C02822">
        <w:trPr>
          <w:gridAfter w:val="1"/>
          <w:wAfter w:w="12" w:type="dxa"/>
          <w:trHeight w:val="353"/>
        </w:trPr>
        <w:tc>
          <w:tcPr>
            <w:tcW w:w="4466" w:type="dxa"/>
            <w:gridSpan w:val="2"/>
            <w:vMerge/>
            <w:tcBorders>
              <w:top w:val="nil"/>
              <w:left w:val="nil"/>
              <w:bottom w:val="single" w:sz="4" w:space="0" w:color="auto"/>
              <w:right w:val="nil"/>
            </w:tcBorders>
            <w:vAlign w:val="center"/>
            <w:hideMark/>
          </w:tcPr>
          <w:p w14:paraId="64C9ED7C" w14:textId="77777777" w:rsidR="001A095A" w:rsidRPr="003D5D24" w:rsidRDefault="001A095A" w:rsidP="00387AE5">
            <w:pPr>
              <w:ind w:left="360"/>
              <w:rPr>
                <w:rFonts w:cs="Times New Roman"/>
                <w:b/>
                <w:bCs/>
                <w:color w:val="000000"/>
                <w:sz w:val="16"/>
                <w:szCs w:val="16"/>
              </w:rPr>
            </w:pPr>
          </w:p>
        </w:tc>
        <w:tc>
          <w:tcPr>
            <w:tcW w:w="907" w:type="dxa"/>
            <w:tcBorders>
              <w:top w:val="nil"/>
              <w:left w:val="nil"/>
              <w:bottom w:val="single" w:sz="4" w:space="0" w:color="auto"/>
              <w:right w:val="nil"/>
            </w:tcBorders>
            <w:shd w:val="clear" w:color="auto" w:fill="auto"/>
            <w:noWrap/>
            <w:vAlign w:val="center"/>
          </w:tcPr>
          <w:p w14:paraId="31A895F9" w14:textId="77777777" w:rsidR="001A095A" w:rsidRPr="000E74B3" w:rsidRDefault="001A095A" w:rsidP="00387AE5">
            <w:pPr>
              <w:jc w:val="center"/>
              <w:rPr>
                <w:color w:val="000000"/>
                <w:sz w:val="18"/>
                <w:szCs w:val="18"/>
              </w:rPr>
            </w:pPr>
            <w:r w:rsidRPr="000E74B3">
              <w:rPr>
                <w:color w:val="000000"/>
                <w:sz w:val="18"/>
                <w:szCs w:val="18"/>
              </w:rPr>
              <w:t>2022F</w:t>
            </w:r>
          </w:p>
        </w:tc>
        <w:tc>
          <w:tcPr>
            <w:tcW w:w="1077" w:type="dxa"/>
            <w:tcBorders>
              <w:top w:val="nil"/>
              <w:left w:val="nil"/>
              <w:bottom w:val="single" w:sz="4" w:space="0" w:color="auto"/>
              <w:right w:val="nil"/>
            </w:tcBorders>
            <w:shd w:val="clear" w:color="auto" w:fill="auto"/>
            <w:noWrap/>
            <w:vAlign w:val="center"/>
          </w:tcPr>
          <w:p w14:paraId="2B8E48D3" w14:textId="77777777" w:rsidR="001A095A" w:rsidRPr="00C47EEB" w:rsidRDefault="001A095A" w:rsidP="00387AE5">
            <w:pPr>
              <w:jc w:val="center"/>
              <w:rPr>
                <w:color w:val="000000"/>
                <w:sz w:val="18"/>
                <w:szCs w:val="18"/>
              </w:rPr>
            </w:pPr>
            <w:r w:rsidRPr="00C47EEB">
              <w:rPr>
                <w:color w:val="000000"/>
                <w:sz w:val="18"/>
                <w:szCs w:val="18"/>
              </w:rPr>
              <w:t>2,5</w:t>
            </w:r>
          </w:p>
        </w:tc>
        <w:tc>
          <w:tcPr>
            <w:tcW w:w="1009" w:type="dxa"/>
            <w:tcBorders>
              <w:top w:val="nil"/>
              <w:left w:val="nil"/>
              <w:bottom w:val="single" w:sz="4" w:space="0" w:color="auto"/>
              <w:right w:val="nil"/>
            </w:tcBorders>
            <w:shd w:val="clear" w:color="auto" w:fill="auto"/>
            <w:noWrap/>
            <w:vAlign w:val="center"/>
          </w:tcPr>
          <w:p w14:paraId="0C8C988D" w14:textId="77777777" w:rsidR="001A095A" w:rsidRPr="00C47EEB" w:rsidRDefault="001A095A" w:rsidP="00387AE5">
            <w:pPr>
              <w:jc w:val="center"/>
              <w:rPr>
                <w:color w:val="000000"/>
                <w:sz w:val="18"/>
                <w:szCs w:val="18"/>
              </w:rPr>
            </w:pPr>
            <w:r w:rsidRPr="00C47EEB">
              <w:rPr>
                <w:color w:val="000000"/>
                <w:sz w:val="18"/>
                <w:szCs w:val="18"/>
              </w:rPr>
              <w:t>2,9</w:t>
            </w:r>
          </w:p>
        </w:tc>
        <w:tc>
          <w:tcPr>
            <w:tcW w:w="1247" w:type="dxa"/>
            <w:gridSpan w:val="2"/>
            <w:tcBorders>
              <w:top w:val="nil"/>
              <w:left w:val="nil"/>
              <w:bottom w:val="single" w:sz="4" w:space="0" w:color="auto"/>
              <w:right w:val="nil"/>
            </w:tcBorders>
            <w:shd w:val="clear" w:color="000000" w:fill="E6E6E6"/>
            <w:vAlign w:val="center"/>
          </w:tcPr>
          <w:p w14:paraId="08C52128" w14:textId="77777777" w:rsidR="001A095A" w:rsidRPr="00C47EEB" w:rsidRDefault="001A095A" w:rsidP="00387AE5">
            <w:pPr>
              <w:jc w:val="center"/>
              <w:rPr>
                <w:b/>
                <w:bCs/>
                <w:color w:val="000000"/>
                <w:sz w:val="18"/>
                <w:szCs w:val="18"/>
              </w:rPr>
            </w:pPr>
            <w:r w:rsidRPr="00C47EEB">
              <w:rPr>
                <w:b/>
                <w:bCs/>
                <w:color w:val="000000"/>
                <w:sz w:val="18"/>
                <w:szCs w:val="18"/>
              </w:rPr>
              <w:t>0,6</w:t>
            </w:r>
          </w:p>
        </w:tc>
      </w:tr>
      <w:tr w:rsidR="001A095A" w:rsidRPr="00E76875" w14:paraId="5AB55D92" w14:textId="77777777" w:rsidTr="00387AE5">
        <w:trPr>
          <w:trHeight w:val="227"/>
        </w:trPr>
        <w:tc>
          <w:tcPr>
            <w:tcW w:w="4466" w:type="dxa"/>
            <w:gridSpan w:val="2"/>
            <w:tcBorders>
              <w:top w:val="single" w:sz="4" w:space="0" w:color="auto"/>
              <w:left w:val="nil"/>
              <w:bottom w:val="nil"/>
              <w:right w:val="nil"/>
            </w:tcBorders>
            <w:shd w:val="clear" w:color="auto" w:fill="auto"/>
            <w:vAlign w:val="center"/>
          </w:tcPr>
          <w:p w14:paraId="448F9891" w14:textId="77777777" w:rsidR="001A095A" w:rsidRPr="009F54F7" w:rsidRDefault="001A095A" w:rsidP="00387AE5">
            <w:pPr>
              <w:rPr>
                <w:rFonts w:cs="Times New Roman"/>
                <w:i/>
                <w:iCs/>
                <w:color w:val="000000"/>
                <w:sz w:val="16"/>
                <w:szCs w:val="16"/>
              </w:rPr>
            </w:pPr>
            <w:r w:rsidRPr="009F54F7">
              <w:rPr>
                <w:rFonts w:cs="Times New Roman"/>
                <w:i/>
                <w:iCs/>
                <w:color w:val="000000"/>
                <w:sz w:val="16"/>
                <w:szCs w:val="16"/>
              </w:rPr>
              <w:t xml:space="preserve">* </w:t>
            </w:r>
            <w:r w:rsidRPr="009F54F7">
              <w:rPr>
                <w:i/>
                <w:sz w:val="16"/>
                <w:szCs w:val="16"/>
              </w:rPr>
              <w:t xml:space="preserve">ide o odhad z VpMP z februára 2019 </w:t>
            </w:r>
          </w:p>
        </w:tc>
        <w:tc>
          <w:tcPr>
            <w:tcW w:w="4252" w:type="dxa"/>
            <w:gridSpan w:val="6"/>
            <w:tcBorders>
              <w:top w:val="single" w:sz="8" w:space="0" w:color="auto"/>
              <w:left w:val="nil"/>
              <w:bottom w:val="nil"/>
              <w:right w:val="nil"/>
            </w:tcBorders>
            <w:shd w:val="clear" w:color="auto" w:fill="auto"/>
            <w:vAlign w:val="center"/>
            <w:hideMark/>
          </w:tcPr>
          <w:p w14:paraId="53DCDA73" w14:textId="77777777" w:rsidR="001A095A" w:rsidRPr="003D5D24" w:rsidRDefault="001A095A" w:rsidP="00387AE5">
            <w:pPr>
              <w:pStyle w:val="poznmka"/>
              <w:rPr>
                <w:rFonts w:cs="Times New Roman"/>
              </w:rPr>
            </w:pPr>
            <w:r w:rsidRPr="003D5D24">
              <w:t>Zdroj: MF SR</w:t>
            </w:r>
          </w:p>
        </w:tc>
      </w:tr>
    </w:tbl>
    <w:p w14:paraId="7AD3842D" w14:textId="77777777" w:rsidR="001A095A" w:rsidRDefault="001A095A" w:rsidP="001A095A">
      <w:pPr>
        <w:jc w:val="both"/>
        <w:rPr>
          <w:highlight w:val="yellow"/>
        </w:rPr>
      </w:pPr>
    </w:p>
    <w:p w14:paraId="3DAFB187" w14:textId="77777777" w:rsidR="004F1515" w:rsidRPr="00E76875" w:rsidRDefault="004F1515" w:rsidP="001A095A">
      <w:pPr>
        <w:jc w:val="both"/>
        <w:rPr>
          <w:highlight w:val="yellow"/>
        </w:rPr>
      </w:pPr>
    </w:p>
    <w:tbl>
      <w:tblPr>
        <w:tblpPr w:leftFromText="141" w:rightFromText="141" w:bottomFromText="160" w:vertAnchor="text" w:tblpXSpec="center" w:tblpY="1"/>
        <w:tblOverlap w:val="never"/>
        <w:tblW w:w="9075" w:type="dxa"/>
        <w:shd w:val="clear" w:color="auto" w:fill="AAD3F2"/>
        <w:tblLayout w:type="fixed"/>
        <w:tblLook w:val="01E0" w:firstRow="1" w:lastRow="1" w:firstColumn="1" w:lastColumn="1" w:noHBand="0" w:noVBand="0"/>
      </w:tblPr>
      <w:tblGrid>
        <w:gridCol w:w="9075"/>
      </w:tblGrid>
      <w:tr w:rsidR="001A095A" w:rsidRPr="00E76875" w14:paraId="49699844" w14:textId="77777777" w:rsidTr="00387AE5">
        <w:trPr>
          <w:trHeight w:val="576"/>
        </w:trPr>
        <w:tc>
          <w:tcPr>
            <w:tcW w:w="9075" w:type="dxa"/>
            <w:shd w:val="clear" w:color="auto" w:fill="AAD3F2"/>
          </w:tcPr>
          <w:p w14:paraId="1F829FE5" w14:textId="54AE37B5" w:rsidR="001A095A" w:rsidRPr="00BE4732" w:rsidRDefault="001A095A" w:rsidP="00387AE5">
            <w:pPr>
              <w:pStyle w:val="Popis"/>
              <w:spacing w:before="120" w:after="120"/>
              <w:rPr>
                <w:rFonts w:cs="Arial"/>
                <w:sz w:val="22"/>
                <w:szCs w:val="22"/>
              </w:rPr>
            </w:pPr>
            <w:bookmarkStart w:id="83" w:name="_Toc449429126"/>
            <w:bookmarkStart w:id="84" w:name="_Toc449430127"/>
            <w:bookmarkStart w:id="85" w:name="_Toc480444007"/>
            <w:bookmarkStart w:id="86" w:name="_Toc480444512"/>
            <w:bookmarkStart w:id="87" w:name="_Toc6314056"/>
            <w:r w:rsidRPr="00BE4732">
              <w:rPr>
                <w:sz w:val="22"/>
                <w:szCs w:val="22"/>
              </w:rPr>
              <w:t xml:space="preserve">BOX </w:t>
            </w:r>
            <w:r w:rsidRPr="00BE4732">
              <w:rPr>
                <w:sz w:val="22"/>
                <w:szCs w:val="22"/>
              </w:rPr>
              <w:fldChar w:fldCharType="begin"/>
            </w:r>
            <w:r w:rsidRPr="00BE4732">
              <w:rPr>
                <w:sz w:val="22"/>
                <w:szCs w:val="22"/>
              </w:rPr>
              <w:instrText xml:space="preserve"> SEQ BOX \* ARABIC </w:instrText>
            </w:r>
            <w:r w:rsidRPr="00BE4732">
              <w:rPr>
                <w:sz w:val="22"/>
                <w:szCs w:val="22"/>
              </w:rPr>
              <w:fldChar w:fldCharType="separate"/>
            </w:r>
            <w:r w:rsidR="00D5739E">
              <w:rPr>
                <w:noProof/>
                <w:sz w:val="22"/>
                <w:szCs w:val="22"/>
              </w:rPr>
              <w:t>2</w:t>
            </w:r>
            <w:r w:rsidRPr="00BE4732">
              <w:rPr>
                <w:sz w:val="22"/>
                <w:szCs w:val="22"/>
              </w:rPr>
              <w:fldChar w:fldCharType="end"/>
            </w:r>
            <w:r w:rsidRPr="00BE4732">
              <w:rPr>
                <w:rFonts w:cs="Arial"/>
                <w:sz w:val="22"/>
                <w:szCs w:val="22"/>
              </w:rPr>
              <w:t xml:space="preserve"> - Metodické rozdiely pri výpočte potenciálneho produktu </w:t>
            </w:r>
            <w:bookmarkEnd w:id="83"/>
            <w:bookmarkEnd w:id="84"/>
            <w:bookmarkEnd w:id="85"/>
            <w:bookmarkEnd w:id="86"/>
            <w:r w:rsidRPr="00BE4732">
              <w:rPr>
                <w:rFonts w:cs="Arial"/>
                <w:sz w:val="22"/>
                <w:szCs w:val="22"/>
              </w:rPr>
              <w:t>zo strany MF SR a EK</w:t>
            </w:r>
            <w:bookmarkEnd w:id="87"/>
          </w:p>
          <w:p w14:paraId="713CDD3E" w14:textId="77777777" w:rsidR="001A095A" w:rsidRPr="006978AF" w:rsidRDefault="001A095A" w:rsidP="00387AE5">
            <w:pPr>
              <w:pStyle w:val="Odsek"/>
              <w:spacing w:after="0"/>
              <w:rPr>
                <w:sz w:val="20"/>
              </w:rPr>
            </w:pPr>
            <w:r w:rsidRPr="006978AF">
              <w:rPr>
                <w:b/>
                <w:sz w:val="20"/>
              </w:rPr>
              <w:t xml:space="preserve">Rovnako ako v Návrhu rozpočtového plánu na rok 2019, odhad potenciálneho produktu a produkčnej medzery sa opiera výlučne o národnú metodiku Ministerstva financií z oficiálnej prognózy Výboru pre makroekonomické prognózy. </w:t>
            </w:r>
            <w:r w:rsidRPr="002E7724">
              <w:rPr>
                <w:sz w:val="20"/>
              </w:rPr>
              <w:t>Národná metodika sa výsledkami dlhodobo väčšmi približuje k odhadu Európskej komisie</w:t>
            </w:r>
            <w:r>
              <w:rPr>
                <w:sz w:val="20"/>
              </w:rPr>
              <w:t xml:space="preserve"> (EK)</w:t>
            </w:r>
            <w:r w:rsidRPr="002E7724">
              <w:rPr>
                <w:sz w:val="20"/>
              </w:rPr>
              <w:t>, než metodika EK s</w:t>
            </w:r>
            <w:r>
              <w:rPr>
                <w:sz w:val="20"/>
              </w:rPr>
              <w:t>o vstupmi z</w:t>
            </w:r>
            <w:r w:rsidRPr="002E7724">
              <w:rPr>
                <w:sz w:val="20"/>
              </w:rPr>
              <w:t xml:space="preserve"> prognóz</w:t>
            </w:r>
            <w:r>
              <w:rPr>
                <w:sz w:val="20"/>
              </w:rPr>
              <w:t>y</w:t>
            </w:r>
            <w:r w:rsidRPr="002E7724">
              <w:rPr>
                <w:sz w:val="20"/>
              </w:rPr>
              <w:t xml:space="preserve"> MF SR.</w:t>
            </w:r>
            <w:r>
              <w:rPr>
                <w:sz w:val="20"/>
              </w:rPr>
              <w:t xml:space="preserve"> </w:t>
            </w:r>
            <w:r w:rsidRPr="006978AF">
              <w:rPr>
                <w:sz w:val="20"/>
              </w:rPr>
              <w:t>Zároveň sú výsledky národnej metodiky MF SR konzistentnejšie s inými ukazovateľmi makroekonomických nerovnováh, ako sú čistá inflácia či saldo bežného účtu. Národná metodika je v tomto dokumente využitá aj pre odhad produkčnej medzery v rámci výpočtu štrukturálneho salda na stanovenie rozpočtových cieľov.</w:t>
            </w:r>
          </w:p>
          <w:tbl>
            <w:tblPr>
              <w:tblW w:w="8642" w:type="dxa"/>
              <w:jc w:val="center"/>
              <w:tblLayout w:type="fixed"/>
              <w:tblCellMar>
                <w:left w:w="0" w:type="dxa"/>
                <w:right w:w="0" w:type="dxa"/>
              </w:tblCellMar>
              <w:tblLook w:val="04A0" w:firstRow="1" w:lastRow="0" w:firstColumn="1" w:lastColumn="0" w:noHBand="0" w:noVBand="1"/>
            </w:tblPr>
            <w:tblGrid>
              <w:gridCol w:w="4417"/>
              <w:gridCol w:w="1447"/>
              <w:gridCol w:w="1388"/>
              <w:gridCol w:w="1390"/>
            </w:tblGrid>
            <w:tr w:rsidR="001A095A" w:rsidRPr="00E76875" w14:paraId="70260783" w14:textId="77777777" w:rsidTr="003C66E6">
              <w:trPr>
                <w:trHeight w:val="256"/>
                <w:jc w:val="center"/>
              </w:trPr>
              <w:tc>
                <w:tcPr>
                  <w:tcW w:w="4417" w:type="dxa"/>
                  <w:tcBorders>
                    <w:top w:val="nil"/>
                    <w:left w:val="nil"/>
                    <w:bottom w:val="single" w:sz="8" w:space="0" w:color="auto"/>
                    <w:right w:val="nil"/>
                  </w:tcBorders>
                  <w:noWrap/>
                  <w:tcMar>
                    <w:top w:w="0" w:type="dxa"/>
                    <w:left w:w="108" w:type="dxa"/>
                    <w:bottom w:w="0" w:type="dxa"/>
                    <w:right w:w="108" w:type="dxa"/>
                  </w:tcMar>
                  <w:vAlign w:val="center"/>
                </w:tcPr>
                <w:p w14:paraId="4700978C" w14:textId="063F91FC" w:rsidR="001A095A" w:rsidRPr="00BE4732" w:rsidRDefault="001A095A" w:rsidP="003A4E18">
                  <w:pPr>
                    <w:pStyle w:val="Tabuka"/>
                    <w:framePr w:hSpace="141" w:wrap="around" w:vAnchor="text" w:hAnchor="text" w:xAlign="center" w:y="1"/>
                    <w:pBdr>
                      <w:top w:val="none" w:sz="0" w:space="0" w:color="auto"/>
                      <w:left w:val="none" w:sz="0" w:space="0" w:color="auto"/>
                      <w:bottom w:val="none" w:sz="0" w:space="0" w:color="auto"/>
                      <w:right w:val="none" w:sz="0" w:space="0" w:color="auto"/>
                      <w:between w:val="none" w:sz="0" w:space="0" w:color="auto"/>
                      <w:bar w:val="none" w:sz="0" w:color="auto"/>
                    </w:pBdr>
                    <w:spacing w:before="120" w:after="0"/>
                    <w:suppressOverlap/>
                    <w:rPr>
                      <w:color w:val="000000"/>
                      <w:lang w:eastAsia="en-GB"/>
                    </w:rPr>
                  </w:pPr>
                  <w:bookmarkStart w:id="88" w:name="_Toc495395953"/>
                  <w:bookmarkStart w:id="89" w:name="_Toc6314203"/>
                  <w:r w:rsidRPr="00BE4732">
                    <w:rPr>
                      <w:rFonts w:eastAsiaTheme="minorHAnsi" w:cs="Arial"/>
                      <w:lang w:eastAsia="en-US"/>
                    </w:rPr>
                    <w:t xml:space="preserve">TABUĽKA </w:t>
                  </w:r>
                  <w:r w:rsidRPr="00BE4732">
                    <w:rPr>
                      <w:rFonts w:eastAsiaTheme="minorHAnsi" w:cs="Arial"/>
                      <w:lang w:eastAsia="en-US"/>
                    </w:rPr>
                    <w:fldChar w:fldCharType="begin"/>
                  </w:r>
                  <w:r w:rsidRPr="00BE4732">
                    <w:rPr>
                      <w:rFonts w:eastAsiaTheme="minorHAnsi" w:cs="Arial"/>
                      <w:lang w:eastAsia="en-US"/>
                    </w:rPr>
                    <w:instrText xml:space="preserve"> SEQ TABUĽKA \* ARABIC </w:instrText>
                  </w:r>
                  <w:r w:rsidRPr="00BE4732">
                    <w:rPr>
                      <w:rFonts w:eastAsiaTheme="minorHAnsi" w:cs="Arial"/>
                      <w:lang w:eastAsia="en-US"/>
                    </w:rPr>
                    <w:fldChar w:fldCharType="separate"/>
                  </w:r>
                  <w:r w:rsidR="00D5739E">
                    <w:rPr>
                      <w:rFonts w:eastAsiaTheme="minorHAnsi" w:cs="Arial"/>
                      <w:noProof/>
                      <w:lang w:eastAsia="en-US"/>
                    </w:rPr>
                    <w:t>4</w:t>
                  </w:r>
                  <w:r w:rsidRPr="00BE4732">
                    <w:rPr>
                      <w:rFonts w:eastAsiaTheme="minorHAnsi" w:cs="Arial"/>
                      <w:lang w:eastAsia="en-US"/>
                    </w:rPr>
                    <w:fldChar w:fldCharType="end"/>
                  </w:r>
                  <w:r w:rsidRPr="00BE4732">
                    <w:t xml:space="preserve"> - Produkčná medzera (% HDP)</w:t>
                  </w:r>
                  <w:bookmarkEnd w:id="88"/>
                  <w:bookmarkEnd w:id="89"/>
                </w:p>
              </w:tc>
              <w:tc>
                <w:tcPr>
                  <w:tcW w:w="1447" w:type="dxa"/>
                  <w:tcBorders>
                    <w:top w:val="nil"/>
                    <w:left w:val="nil"/>
                    <w:bottom w:val="single" w:sz="8" w:space="0" w:color="auto"/>
                    <w:right w:val="nil"/>
                  </w:tcBorders>
                  <w:noWrap/>
                  <w:tcMar>
                    <w:top w:w="0" w:type="dxa"/>
                    <w:left w:w="108" w:type="dxa"/>
                    <w:bottom w:w="0" w:type="dxa"/>
                    <w:right w:w="108" w:type="dxa"/>
                  </w:tcMar>
                  <w:vAlign w:val="center"/>
                </w:tcPr>
                <w:p w14:paraId="7CC2B1CB" w14:textId="77777777" w:rsidR="001A095A" w:rsidRPr="00E76875" w:rsidRDefault="001A095A" w:rsidP="003A4E18">
                  <w:pPr>
                    <w:framePr w:hSpace="141" w:wrap="around" w:vAnchor="text" w:hAnchor="text" w:xAlign="center" w:y="1"/>
                    <w:suppressOverlap/>
                    <w:jc w:val="right"/>
                    <w:rPr>
                      <w:b/>
                      <w:bCs/>
                      <w:color w:val="000000"/>
                      <w:sz w:val="18"/>
                      <w:szCs w:val="18"/>
                      <w:highlight w:val="yellow"/>
                      <w:lang w:eastAsia="en-GB"/>
                    </w:rPr>
                  </w:pPr>
                </w:p>
              </w:tc>
              <w:tc>
                <w:tcPr>
                  <w:tcW w:w="1388" w:type="dxa"/>
                  <w:tcBorders>
                    <w:top w:val="nil"/>
                    <w:left w:val="nil"/>
                    <w:bottom w:val="single" w:sz="8" w:space="0" w:color="auto"/>
                    <w:right w:val="nil"/>
                  </w:tcBorders>
                  <w:noWrap/>
                  <w:tcMar>
                    <w:top w:w="0" w:type="dxa"/>
                    <w:left w:w="108" w:type="dxa"/>
                    <w:bottom w:w="0" w:type="dxa"/>
                    <w:right w:w="108" w:type="dxa"/>
                  </w:tcMar>
                  <w:vAlign w:val="center"/>
                </w:tcPr>
                <w:p w14:paraId="542BB414" w14:textId="77777777" w:rsidR="001A095A" w:rsidRPr="00E76875" w:rsidRDefault="001A095A" w:rsidP="003A4E18">
                  <w:pPr>
                    <w:framePr w:hSpace="141" w:wrap="around" w:vAnchor="text" w:hAnchor="text" w:xAlign="center" w:y="1"/>
                    <w:suppressOverlap/>
                    <w:jc w:val="right"/>
                    <w:rPr>
                      <w:b/>
                      <w:bCs/>
                      <w:color w:val="000000"/>
                      <w:sz w:val="18"/>
                      <w:szCs w:val="18"/>
                      <w:highlight w:val="yellow"/>
                      <w:lang w:eastAsia="en-GB"/>
                    </w:rPr>
                  </w:pPr>
                </w:p>
              </w:tc>
              <w:tc>
                <w:tcPr>
                  <w:tcW w:w="1389" w:type="dxa"/>
                  <w:tcBorders>
                    <w:top w:val="nil"/>
                    <w:left w:val="nil"/>
                    <w:bottom w:val="single" w:sz="8" w:space="0" w:color="auto"/>
                    <w:right w:val="nil"/>
                  </w:tcBorders>
                  <w:noWrap/>
                  <w:tcMar>
                    <w:top w:w="0" w:type="dxa"/>
                    <w:left w:w="108" w:type="dxa"/>
                    <w:bottom w:w="0" w:type="dxa"/>
                    <w:right w:w="108" w:type="dxa"/>
                  </w:tcMar>
                  <w:vAlign w:val="center"/>
                </w:tcPr>
                <w:p w14:paraId="2BA83C82" w14:textId="77777777" w:rsidR="001A095A" w:rsidRPr="00E76875" w:rsidRDefault="001A095A" w:rsidP="003A4E18">
                  <w:pPr>
                    <w:framePr w:hSpace="141" w:wrap="around" w:vAnchor="text" w:hAnchor="text" w:xAlign="center" w:y="1"/>
                    <w:suppressOverlap/>
                    <w:jc w:val="right"/>
                    <w:rPr>
                      <w:b/>
                      <w:bCs/>
                      <w:color w:val="000000"/>
                      <w:sz w:val="18"/>
                      <w:szCs w:val="18"/>
                      <w:highlight w:val="yellow"/>
                      <w:lang w:eastAsia="en-GB"/>
                    </w:rPr>
                  </w:pPr>
                </w:p>
              </w:tc>
            </w:tr>
            <w:tr w:rsidR="001A095A" w:rsidRPr="00E76875" w14:paraId="7CDAA8BD" w14:textId="77777777" w:rsidTr="003C66E6">
              <w:trPr>
                <w:trHeight w:val="256"/>
                <w:jc w:val="center"/>
              </w:trPr>
              <w:tc>
                <w:tcPr>
                  <w:tcW w:w="4417" w:type="dxa"/>
                  <w:tcBorders>
                    <w:top w:val="nil"/>
                    <w:left w:val="nil"/>
                    <w:bottom w:val="single" w:sz="8" w:space="0" w:color="auto"/>
                    <w:right w:val="nil"/>
                  </w:tcBorders>
                  <w:noWrap/>
                  <w:tcMar>
                    <w:top w:w="0" w:type="dxa"/>
                    <w:left w:w="108" w:type="dxa"/>
                    <w:bottom w:w="0" w:type="dxa"/>
                    <w:right w:w="108" w:type="dxa"/>
                  </w:tcMar>
                  <w:hideMark/>
                </w:tcPr>
                <w:p w14:paraId="7DFB26F2" w14:textId="77777777" w:rsidR="001A095A" w:rsidRPr="002E7724" w:rsidRDefault="001A095A" w:rsidP="003A4E18">
                  <w:pPr>
                    <w:framePr w:hSpace="141" w:wrap="around" w:vAnchor="text" w:hAnchor="text" w:xAlign="center" w:y="1"/>
                    <w:suppressOverlap/>
                    <w:rPr>
                      <w:sz w:val="20"/>
                    </w:rPr>
                  </w:pPr>
                </w:p>
              </w:tc>
              <w:tc>
                <w:tcPr>
                  <w:tcW w:w="1447" w:type="dxa"/>
                  <w:tcBorders>
                    <w:top w:val="nil"/>
                    <w:left w:val="nil"/>
                    <w:bottom w:val="single" w:sz="8" w:space="0" w:color="auto"/>
                    <w:right w:val="nil"/>
                  </w:tcBorders>
                  <w:noWrap/>
                  <w:tcMar>
                    <w:top w:w="0" w:type="dxa"/>
                    <w:left w:w="108" w:type="dxa"/>
                    <w:bottom w:w="0" w:type="dxa"/>
                    <w:right w:w="108" w:type="dxa"/>
                  </w:tcMar>
                  <w:hideMark/>
                </w:tcPr>
                <w:p w14:paraId="27120395" w14:textId="77777777" w:rsidR="001A095A" w:rsidRPr="002E7724" w:rsidRDefault="001A095A" w:rsidP="003A4E18">
                  <w:pPr>
                    <w:framePr w:hSpace="141" w:wrap="around" w:vAnchor="text" w:hAnchor="text" w:xAlign="center" w:y="1"/>
                    <w:suppressOverlap/>
                    <w:jc w:val="center"/>
                    <w:rPr>
                      <w:sz w:val="20"/>
                    </w:rPr>
                  </w:pPr>
                  <w:r w:rsidRPr="002E7724">
                    <w:rPr>
                      <w:sz w:val="20"/>
                    </w:rPr>
                    <w:t>2018</w:t>
                  </w:r>
                </w:p>
              </w:tc>
              <w:tc>
                <w:tcPr>
                  <w:tcW w:w="1388" w:type="dxa"/>
                  <w:tcBorders>
                    <w:top w:val="nil"/>
                    <w:left w:val="nil"/>
                    <w:bottom w:val="single" w:sz="8" w:space="0" w:color="auto"/>
                    <w:right w:val="nil"/>
                  </w:tcBorders>
                  <w:noWrap/>
                  <w:tcMar>
                    <w:top w:w="0" w:type="dxa"/>
                    <w:left w:w="108" w:type="dxa"/>
                    <w:bottom w:w="0" w:type="dxa"/>
                    <w:right w:w="108" w:type="dxa"/>
                  </w:tcMar>
                  <w:hideMark/>
                </w:tcPr>
                <w:p w14:paraId="792033BB" w14:textId="77777777" w:rsidR="001A095A" w:rsidRPr="002E7724" w:rsidRDefault="001A095A" w:rsidP="003A4E18">
                  <w:pPr>
                    <w:framePr w:hSpace="141" w:wrap="around" w:vAnchor="text" w:hAnchor="text" w:xAlign="center" w:y="1"/>
                    <w:suppressOverlap/>
                    <w:jc w:val="center"/>
                    <w:rPr>
                      <w:sz w:val="20"/>
                    </w:rPr>
                  </w:pPr>
                  <w:r w:rsidRPr="002E7724">
                    <w:rPr>
                      <w:sz w:val="20"/>
                    </w:rPr>
                    <w:t>2019</w:t>
                  </w:r>
                </w:p>
              </w:tc>
              <w:tc>
                <w:tcPr>
                  <w:tcW w:w="1389" w:type="dxa"/>
                  <w:tcBorders>
                    <w:top w:val="nil"/>
                    <w:left w:val="nil"/>
                    <w:bottom w:val="single" w:sz="8" w:space="0" w:color="auto"/>
                    <w:right w:val="nil"/>
                  </w:tcBorders>
                  <w:noWrap/>
                  <w:tcMar>
                    <w:top w:w="0" w:type="dxa"/>
                    <w:left w:w="108" w:type="dxa"/>
                    <w:bottom w:w="0" w:type="dxa"/>
                    <w:right w:w="108" w:type="dxa"/>
                  </w:tcMar>
                  <w:hideMark/>
                </w:tcPr>
                <w:p w14:paraId="636D8D82" w14:textId="77777777" w:rsidR="001A095A" w:rsidRPr="002E7724" w:rsidRDefault="001A095A" w:rsidP="003A4E18">
                  <w:pPr>
                    <w:framePr w:hSpace="141" w:wrap="around" w:vAnchor="text" w:hAnchor="text" w:xAlign="center" w:y="1"/>
                    <w:suppressOverlap/>
                    <w:jc w:val="center"/>
                    <w:rPr>
                      <w:sz w:val="20"/>
                    </w:rPr>
                  </w:pPr>
                  <w:r w:rsidRPr="002E7724">
                    <w:rPr>
                      <w:sz w:val="20"/>
                    </w:rPr>
                    <w:t>2020</w:t>
                  </w:r>
                </w:p>
              </w:tc>
            </w:tr>
            <w:tr w:rsidR="001A095A" w:rsidRPr="00E76875" w14:paraId="77A80BE1" w14:textId="77777777" w:rsidTr="003C66E6">
              <w:trPr>
                <w:trHeight w:val="256"/>
                <w:jc w:val="center"/>
              </w:trPr>
              <w:tc>
                <w:tcPr>
                  <w:tcW w:w="4417" w:type="dxa"/>
                  <w:noWrap/>
                  <w:tcMar>
                    <w:top w:w="0" w:type="dxa"/>
                    <w:left w:w="108" w:type="dxa"/>
                    <w:bottom w:w="0" w:type="dxa"/>
                    <w:right w:w="108" w:type="dxa"/>
                  </w:tcMar>
                  <w:hideMark/>
                </w:tcPr>
                <w:p w14:paraId="6B8845CE" w14:textId="77777777" w:rsidR="001A095A" w:rsidRPr="002E7724" w:rsidRDefault="001A095A" w:rsidP="003A4E18">
                  <w:pPr>
                    <w:framePr w:hSpace="141" w:wrap="around" w:vAnchor="text" w:hAnchor="text" w:xAlign="center" w:y="1"/>
                    <w:suppressOverlap/>
                    <w:rPr>
                      <w:sz w:val="20"/>
                    </w:rPr>
                  </w:pPr>
                  <w:r w:rsidRPr="002E7724">
                    <w:rPr>
                      <w:sz w:val="20"/>
                    </w:rPr>
                    <w:t>Jesenná prognóza EK 2018</w:t>
                  </w:r>
                </w:p>
              </w:tc>
              <w:tc>
                <w:tcPr>
                  <w:tcW w:w="1447" w:type="dxa"/>
                  <w:noWrap/>
                  <w:tcMar>
                    <w:top w:w="0" w:type="dxa"/>
                    <w:left w:w="108" w:type="dxa"/>
                    <w:bottom w:w="0" w:type="dxa"/>
                    <w:right w:w="108" w:type="dxa"/>
                  </w:tcMar>
                  <w:hideMark/>
                </w:tcPr>
                <w:p w14:paraId="65EAE672" w14:textId="77777777" w:rsidR="001A095A" w:rsidRPr="002E7724" w:rsidRDefault="001A095A" w:rsidP="003A4E18">
                  <w:pPr>
                    <w:framePr w:hSpace="141" w:wrap="around" w:vAnchor="text" w:hAnchor="text" w:xAlign="center" w:y="1"/>
                    <w:suppressOverlap/>
                    <w:jc w:val="center"/>
                    <w:rPr>
                      <w:sz w:val="20"/>
                    </w:rPr>
                  </w:pPr>
                  <w:r w:rsidRPr="002E7724">
                    <w:rPr>
                      <w:sz w:val="20"/>
                    </w:rPr>
                    <w:t>0</w:t>
                  </w:r>
                  <w:r>
                    <w:rPr>
                      <w:sz w:val="20"/>
                    </w:rPr>
                    <w:t>,</w:t>
                  </w:r>
                  <w:r w:rsidRPr="002E7724">
                    <w:rPr>
                      <w:sz w:val="20"/>
                    </w:rPr>
                    <w:t>7</w:t>
                  </w:r>
                </w:p>
              </w:tc>
              <w:tc>
                <w:tcPr>
                  <w:tcW w:w="1388" w:type="dxa"/>
                  <w:noWrap/>
                  <w:tcMar>
                    <w:top w:w="0" w:type="dxa"/>
                    <w:left w:w="108" w:type="dxa"/>
                    <w:bottom w:w="0" w:type="dxa"/>
                    <w:right w:w="108" w:type="dxa"/>
                  </w:tcMar>
                  <w:hideMark/>
                </w:tcPr>
                <w:p w14:paraId="7F9791EE" w14:textId="77777777" w:rsidR="001A095A" w:rsidRPr="002E7724" w:rsidRDefault="001A095A" w:rsidP="003A4E18">
                  <w:pPr>
                    <w:framePr w:hSpace="141" w:wrap="around" w:vAnchor="text" w:hAnchor="text" w:xAlign="center" w:y="1"/>
                    <w:suppressOverlap/>
                    <w:jc w:val="center"/>
                    <w:rPr>
                      <w:sz w:val="20"/>
                    </w:rPr>
                  </w:pPr>
                  <w:r>
                    <w:rPr>
                      <w:sz w:val="20"/>
                    </w:rPr>
                    <w:t>1,</w:t>
                  </w:r>
                  <w:r w:rsidRPr="002E7724">
                    <w:rPr>
                      <w:sz w:val="20"/>
                    </w:rPr>
                    <w:t>3</w:t>
                  </w:r>
                </w:p>
              </w:tc>
              <w:tc>
                <w:tcPr>
                  <w:tcW w:w="1389" w:type="dxa"/>
                  <w:noWrap/>
                  <w:tcMar>
                    <w:top w:w="0" w:type="dxa"/>
                    <w:left w:w="108" w:type="dxa"/>
                    <w:bottom w:w="0" w:type="dxa"/>
                    <w:right w:w="108" w:type="dxa"/>
                  </w:tcMar>
                  <w:hideMark/>
                </w:tcPr>
                <w:p w14:paraId="74C65497" w14:textId="77777777" w:rsidR="001A095A" w:rsidRPr="002E7724" w:rsidRDefault="001A095A" w:rsidP="003A4E18">
                  <w:pPr>
                    <w:framePr w:hSpace="141" w:wrap="around" w:vAnchor="text" w:hAnchor="text" w:xAlign="center" w:y="1"/>
                    <w:suppressOverlap/>
                    <w:jc w:val="center"/>
                    <w:rPr>
                      <w:sz w:val="20"/>
                    </w:rPr>
                  </w:pPr>
                  <w:r>
                    <w:rPr>
                      <w:sz w:val="20"/>
                    </w:rPr>
                    <w:t>1,</w:t>
                  </w:r>
                  <w:r w:rsidRPr="002E7724">
                    <w:rPr>
                      <w:sz w:val="20"/>
                    </w:rPr>
                    <w:t>2</w:t>
                  </w:r>
                </w:p>
              </w:tc>
            </w:tr>
            <w:tr w:rsidR="001A095A" w:rsidRPr="00E76875" w14:paraId="22249EE7" w14:textId="77777777" w:rsidTr="003C66E6">
              <w:trPr>
                <w:trHeight w:val="256"/>
                <w:jc w:val="center"/>
              </w:trPr>
              <w:tc>
                <w:tcPr>
                  <w:tcW w:w="4417" w:type="dxa"/>
                  <w:tcBorders>
                    <w:top w:val="nil"/>
                    <w:left w:val="nil"/>
                    <w:right w:val="nil"/>
                  </w:tcBorders>
                  <w:noWrap/>
                  <w:tcMar>
                    <w:top w:w="0" w:type="dxa"/>
                    <w:left w:w="108" w:type="dxa"/>
                    <w:bottom w:w="0" w:type="dxa"/>
                    <w:right w:w="108" w:type="dxa"/>
                  </w:tcMar>
                </w:tcPr>
                <w:p w14:paraId="04DCADA7" w14:textId="77777777" w:rsidR="001A095A" w:rsidRPr="002E7724" w:rsidRDefault="001A095A" w:rsidP="003A4E18">
                  <w:pPr>
                    <w:framePr w:hSpace="141" w:wrap="around" w:vAnchor="text" w:hAnchor="text" w:xAlign="center" w:y="1"/>
                    <w:suppressOverlap/>
                    <w:rPr>
                      <w:sz w:val="20"/>
                    </w:rPr>
                  </w:pPr>
                  <w:r w:rsidRPr="002E7724">
                    <w:rPr>
                      <w:sz w:val="20"/>
                    </w:rPr>
                    <w:t>Národná metodika MF SR (február 2019)</w:t>
                  </w:r>
                </w:p>
              </w:tc>
              <w:tc>
                <w:tcPr>
                  <w:tcW w:w="1447" w:type="dxa"/>
                  <w:tcBorders>
                    <w:top w:val="nil"/>
                    <w:left w:val="nil"/>
                    <w:right w:val="nil"/>
                  </w:tcBorders>
                  <w:noWrap/>
                  <w:tcMar>
                    <w:top w:w="0" w:type="dxa"/>
                    <w:left w:w="108" w:type="dxa"/>
                    <w:bottom w:w="0" w:type="dxa"/>
                    <w:right w:w="108" w:type="dxa"/>
                  </w:tcMar>
                </w:tcPr>
                <w:p w14:paraId="20FE9D56" w14:textId="77777777" w:rsidR="001A095A" w:rsidRPr="002E7724" w:rsidRDefault="001A095A" w:rsidP="003A4E18">
                  <w:pPr>
                    <w:framePr w:hSpace="141" w:wrap="around" w:vAnchor="text" w:hAnchor="text" w:xAlign="center" w:y="1"/>
                    <w:suppressOverlap/>
                    <w:jc w:val="center"/>
                    <w:rPr>
                      <w:sz w:val="20"/>
                    </w:rPr>
                  </w:pPr>
                  <w:r>
                    <w:rPr>
                      <w:sz w:val="20"/>
                    </w:rPr>
                    <w:t>0,</w:t>
                  </w:r>
                  <w:r w:rsidRPr="002E7724">
                    <w:rPr>
                      <w:sz w:val="20"/>
                    </w:rPr>
                    <w:t>9</w:t>
                  </w:r>
                </w:p>
              </w:tc>
              <w:tc>
                <w:tcPr>
                  <w:tcW w:w="1388" w:type="dxa"/>
                  <w:tcBorders>
                    <w:top w:val="nil"/>
                    <w:left w:val="nil"/>
                    <w:right w:val="nil"/>
                  </w:tcBorders>
                  <w:noWrap/>
                  <w:tcMar>
                    <w:top w:w="0" w:type="dxa"/>
                    <w:left w:w="108" w:type="dxa"/>
                    <w:bottom w:w="0" w:type="dxa"/>
                    <w:right w:w="108" w:type="dxa"/>
                  </w:tcMar>
                </w:tcPr>
                <w:p w14:paraId="62E6B286" w14:textId="77777777" w:rsidR="001A095A" w:rsidRPr="002E7724" w:rsidRDefault="001A095A" w:rsidP="003A4E18">
                  <w:pPr>
                    <w:framePr w:hSpace="141" w:wrap="around" w:vAnchor="text" w:hAnchor="text" w:xAlign="center" w:y="1"/>
                    <w:suppressOverlap/>
                    <w:jc w:val="center"/>
                    <w:rPr>
                      <w:sz w:val="20"/>
                    </w:rPr>
                  </w:pPr>
                  <w:r>
                    <w:rPr>
                      <w:sz w:val="20"/>
                    </w:rPr>
                    <w:t>1,</w:t>
                  </w:r>
                  <w:r w:rsidRPr="002E7724">
                    <w:rPr>
                      <w:sz w:val="20"/>
                    </w:rPr>
                    <w:t>1</w:t>
                  </w:r>
                </w:p>
              </w:tc>
              <w:tc>
                <w:tcPr>
                  <w:tcW w:w="1389" w:type="dxa"/>
                  <w:tcBorders>
                    <w:top w:val="nil"/>
                    <w:left w:val="nil"/>
                    <w:right w:val="nil"/>
                  </w:tcBorders>
                  <w:noWrap/>
                  <w:tcMar>
                    <w:top w:w="0" w:type="dxa"/>
                    <w:left w:w="108" w:type="dxa"/>
                    <w:bottom w:w="0" w:type="dxa"/>
                    <w:right w:w="108" w:type="dxa"/>
                  </w:tcMar>
                </w:tcPr>
                <w:p w14:paraId="475BA70E" w14:textId="77777777" w:rsidR="001A095A" w:rsidRPr="002E7724" w:rsidRDefault="001A095A" w:rsidP="003A4E18">
                  <w:pPr>
                    <w:framePr w:hSpace="141" w:wrap="around" w:vAnchor="text" w:hAnchor="text" w:xAlign="center" w:y="1"/>
                    <w:suppressOverlap/>
                    <w:jc w:val="center"/>
                    <w:rPr>
                      <w:sz w:val="20"/>
                    </w:rPr>
                  </w:pPr>
                  <w:r>
                    <w:rPr>
                      <w:sz w:val="20"/>
                    </w:rPr>
                    <w:t>1,</w:t>
                  </w:r>
                  <w:r w:rsidRPr="002E7724">
                    <w:rPr>
                      <w:sz w:val="20"/>
                    </w:rPr>
                    <w:t>1</w:t>
                  </w:r>
                </w:p>
              </w:tc>
            </w:tr>
            <w:tr w:rsidR="001A095A" w:rsidRPr="00E76875" w14:paraId="6B106EFA" w14:textId="77777777" w:rsidTr="003C66E6">
              <w:trPr>
                <w:trHeight w:val="256"/>
                <w:jc w:val="center"/>
              </w:trPr>
              <w:tc>
                <w:tcPr>
                  <w:tcW w:w="4417" w:type="dxa"/>
                  <w:tcBorders>
                    <w:left w:val="nil"/>
                    <w:bottom w:val="single" w:sz="4" w:space="0" w:color="auto"/>
                    <w:right w:val="nil"/>
                  </w:tcBorders>
                  <w:noWrap/>
                  <w:tcMar>
                    <w:top w:w="0" w:type="dxa"/>
                    <w:left w:w="108" w:type="dxa"/>
                    <w:bottom w:w="0" w:type="dxa"/>
                    <w:right w:w="108" w:type="dxa"/>
                  </w:tcMar>
                  <w:hideMark/>
                </w:tcPr>
                <w:p w14:paraId="71F0BD16" w14:textId="77777777" w:rsidR="001A095A" w:rsidRPr="002E7724" w:rsidRDefault="001A095A" w:rsidP="003A4E18">
                  <w:pPr>
                    <w:framePr w:hSpace="141" w:wrap="around" w:vAnchor="text" w:hAnchor="text" w:xAlign="center" w:y="1"/>
                    <w:suppressOverlap/>
                    <w:rPr>
                      <w:sz w:val="20"/>
                    </w:rPr>
                  </w:pPr>
                  <w:r w:rsidRPr="002E7724">
                    <w:rPr>
                      <w:sz w:val="20"/>
                    </w:rPr>
                    <w:t>Metodika EK s prognózou MF SR (február 2019)</w:t>
                  </w:r>
                </w:p>
              </w:tc>
              <w:tc>
                <w:tcPr>
                  <w:tcW w:w="1447" w:type="dxa"/>
                  <w:tcBorders>
                    <w:left w:val="nil"/>
                    <w:bottom w:val="single" w:sz="4" w:space="0" w:color="auto"/>
                    <w:right w:val="nil"/>
                  </w:tcBorders>
                  <w:noWrap/>
                  <w:tcMar>
                    <w:top w:w="0" w:type="dxa"/>
                    <w:left w:w="108" w:type="dxa"/>
                    <w:bottom w:w="0" w:type="dxa"/>
                    <w:right w:w="108" w:type="dxa"/>
                  </w:tcMar>
                  <w:hideMark/>
                </w:tcPr>
                <w:p w14:paraId="3B92E589" w14:textId="77777777" w:rsidR="001A095A" w:rsidRPr="002E7724" w:rsidRDefault="001A095A" w:rsidP="003A4E18">
                  <w:pPr>
                    <w:framePr w:hSpace="141" w:wrap="around" w:vAnchor="text" w:hAnchor="text" w:xAlign="center" w:y="1"/>
                    <w:suppressOverlap/>
                    <w:jc w:val="center"/>
                    <w:rPr>
                      <w:sz w:val="20"/>
                    </w:rPr>
                  </w:pPr>
                  <w:r>
                    <w:rPr>
                      <w:sz w:val="20"/>
                    </w:rPr>
                    <w:t>0,9</w:t>
                  </w:r>
                </w:p>
              </w:tc>
              <w:tc>
                <w:tcPr>
                  <w:tcW w:w="1388" w:type="dxa"/>
                  <w:tcBorders>
                    <w:left w:val="nil"/>
                    <w:bottom w:val="single" w:sz="4" w:space="0" w:color="auto"/>
                    <w:right w:val="nil"/>
                  </w:tcBorders>
                  <w:noWrap/>
                  <w:tcMar>
                    <w:top w:w="0" w:type="dxa"/>
                    <w:left w:w="108" w:type="dxa"/>
                    <w:bottom w:w="0" w:type="dxa"/>
                    <w:right w:w="108" w:type="dxa"/>
                  </w:tcMar>
                  <w:hideMark/>
                </w:tcPr>
                <w:p w14:paraId="0D7C8C05" w14:textId="77777777" w:rsidR="001A095A" w:rsidRPr="002E7724" w:rsidRDefault="001A095A" w:rsidP="003A4E18">
                  <w:pPr>
                    <w:framePr w:hSpace="141" w:wrap="around" w:vAnchor="text" w:hAnchor="text" w:xAlign="center" w:y="1"/>
                    <w:suppressOverlap/>
                    <w:jc w:val="center"/>
                    <w:rPr>
                      <w:sz w:val="20"/>
                    </w:rPr>
                  </w:pPr>
                  <w:r>
                    <w:rPr>
                      <w:sz w:val="20"/>
                    </w:rPr>
                    <w:t>1,</w:t>
                  </w:r>
                  <w:r w:rsidRPr="002E7724">
                    <w:rPr>
                      <w:sz w:val="20"/>
                    </w:rPr>
                    <w:t>3</w:t>
                  </w:r>
                </w:p>
              </w:tc>
              <w:tc>
                <w:tcPr>
                  <w:tcW w:w="1389" w:type="dxa"/>
                  <w:tcBorders>
                    <w:left w:val="nil"/>
                    <w:bottom w:val="single" w:sz="4" w:space="0" w:color="auto"/>
                    <w:right w:val="nil"/>
                  </w:tcBorders>
                  <w:noWrap/>
                  <w:tcMar>
                    <w:top w:w="0" w:type="dxa"/>
                    <w:left w:w="108" w:type="dxa"/>
                    <w:bottom w:w="0" w:type="dxa"/>
                    <w:right w:w="108" w:type="dxa"/>
                  </w:tcMar>
                  <w:hideMark/>
                </w:tcPr>
                <w:p w14:paraId="7E1447B9" w14:textId="77777777" w:rsidR="001A095A" w:rsidRPr="002E7724" w:rsidRDefault="001A095A" w:rsidP="003A4E18">
                  <w:pPr>
                    <w:framePr w:hSpace="141" w:wrap="around" w:vAnchor="text" w:hAnchor="text" w:xAlign="center" w:y="1"/>
                    <w:suppressOverlap/>
                    <w:jc w:val="center"/>
                    <w:rPr>
                      <w:sz w:val="20"/>
                    </w:rPr>
                  </w:pPr>
                  <w:r>
                    <w:rPr>
                      <w:sz w:val="20"/>
                    </w:rPr>
                    <w:t>1,</w:t>
                  </w:r>
                  <w:r w:rsidRPr="002E7724">
                    <w:rPr>
                      <w:sz w:val="20"/>
                    </w:rPr>
                    <w:t>4</w:t>
                  </w:r>
                </w:p>
              </w:tc>
            </w:tr>
            <w:tr w:rsidR="001A095A" w:rsidRPr="002E7724" w14:paraId="519BA5DA" w14:textId="77777777" w:rsidTr="003C66E6">
              <w:trPr>
                <w:trHeight w:val="256"/>
                <w:jc w:val="center"/>
              </w:trPr>
              <w:tc>
                <w:tcPr>
                  <w:tcW w:w="4417" w:type="dxa"/>
                  <w:tcBorders>
                    <w:top w:val="single" w:sz="4" w:space="0" w:color="auto"/>
                    <w:left w:val="nil"/>
                    <w:right w:val="nil"/>
                  </w:tcBorders>
                  <w:noWrap/>
                  <w:tcMar>
                    <w:top w:w="0" w:type="dxa"/>
                    <w:left w:w="108" w:type="dxa"/>
                    <w:bottom w:w="0" w:type="dxa"/>
                    <w:right w:w="108" w:type="dxa"/>
                  </w:tcMar>
                  <w:vAlign w:val="center"/>
                </w:tcPr>
                <w:p w14:paraId="707E66E0" w14:textId="77777777" w:rsidR="001A095A" w:rsidRPr="00E76875" w:rsidRDefault="001A095A" w:rsidP="003A4E18">
                  <w:pPr>
                    <w:framePr w:hSpace="141" w:wrap="around" w:vAnchor="text" w:hAnchor="text" w:xAlign="center" w:y="1"/>
                    <w:suppressOverlap/>
                    <w:rPr>
                      <w:color w:val="000000"/>
                      <w:sz w:val="18"/>
                      <w:szCs w:val="18"/>
                      <w:highlight w:val="yellow"/>
                      <w:lang w:eastAsia="en-GB"/>
                    </w:rPr>
                  </w:pPr>
                </w:p>
              </w:tc>
              <w:tc>
                <w:tcPr>
                  <w:tcW w:w="1447" w:type="dxa"/>
                  <w:tcBorders>
                    <w:top w:val="single" w:sz="4" w:space="0" w:color="auto"/>
                    <w:left w:val="nil"/>
                    <w:right w:val="nil"/>
                  </w:tcBorders>
                  <w:noWrap/>
                  <w:tcMar>
                    <w:top w:w="0" w:type="dxa"/>
                    <w:left w:w="108" w:type="dxa"/>
                    <w:bottom w:w="0" w:type="dxa"/>
                    <w:right w:w="108" w:type="dxa"/>
                  </w:tcMar>
                  <w:vAlign w:val="center"/>
                </w:tcPr>
                <w:p w14:paraId="3C3D9B88" w14:textId="77777777" w:rsidR="001A095A" w:rsidRPr="00E76875" w:rsidRDefault="001A095A" w:rsidP="003A4E18">
                  <w:pPr>
                    <w:framePr w:hSpace="141" w:wrap="around" w:vAnchor="text" w:hAnchor="text" w:xAlign="center" w:y="1"/>
                    <w:suppressOverlap/>
                    <w:jc w:val="right"/>
                    <w:rPr>
                      <w:color w:val="000000"/>
                      <w:sz w:val="18"/>
                      <w:szCs w:val="18"/>
                      <w:highlight w:val="yellow"/>
                      <w:lang w:eastAsia="en-GB"/>
                    </w:rPr>
                  </w:pPr>
                </w:p>
              </w:tc>
              <w:tc>
                <w:tcPr>
                  <w:tcW w:w="2778" w:type="dxa"/>
                  <w:gridSpan w:val="2"/>
                  <w:tcBorders>
                    <w:top w:val="single" w:sz="4" w:space="0" w:color="auto"/>
                    <w:left w:val="nil"/>
                    <w:right w:val="nil"/>
                  </w:tcBorders>
                  <w:noWrap/>
                  <w:tcMar>
                    <w:top w:w="0" w:type="dxa"/>
                    <w:left w:w="108" w:type="dxa"/>
                    <w:bottom w:w="0" w:type="dxa"/>
                    <w:right w:w="108" w:type="dxa"/>
                  </w:tcMar>
                  <w:vAlign w:val="center"/>
                </w:tcPr>
                <w:p w14:paraId="22848980" w14:textId="77777777" w:rsidR="001A095A" w:rsidRPr="002E7724" w:rsidRDefault="001A095A" w:rsidP="003A4E18">
                  <w:pPr>
                    <w:framePr w:hSpace="141" w:wrap="around" w:vAnchor="text" w:hAnchor="text" w:xAlign="center" w:y="1"/>
                    <w:suppressOverlap/>
                    <w:jc w:val="right"/>
                    <w:rPr>
                      <w:i/>
                      <w:color w:val="000000"/>
                      <w:sz w:val="16"/>
                      <w:szCs w:val="16"/>
                      <w:lang w:eastAsia="en-GB"/>
                    </w:rPr>
                  </w:pPr>
                  <w:r w:rsidRPr="002E7724">
                    <w:rPr>
                      <w:i/>
                      <w:color w:val="000000"/>
                      <w:sz w:val="16"/>
                      <w:szCs w:val="16"/>
                      <w:lang w:eastAsia="en-GB"/>
                    </w:rPr>
                    <w:t>Zdroj: MF SR, EK</w:t>
                  </w:r>
                </w:p>
              </w:tc>
            </w:tr>
          </w:tbl>
          <w:p w14:paraId="5B36786E" w14:textId="77777777" w:rsidR="001A095A" w:rsidRPr="00E76875" w:rsidRDefault="001A095A" w:rsidP="00387AE5">
            <w:pPr>
              <w:jc w:val="both"/>
              <w:rPr>
                <w:rFonts w:cs="Times New Roman"/>
                <w:sz w:val="20"/>
                <w:szCs w:val="20"/>
                <w:highlight w:val="yellow"/>
              </w:rPr>
            </w:pPr>
            <w:r>
              <w:rPr>
                <w:rFonts w:cs="Times New Roman"/>
                <w:b/>
                <w:sz w:val="20"/>
                <w:szCs w:val="20"/>
              </w:rPr>
              <w:t>Rozdiel v odhadoch</w:t>
            </w:r>
            <w:r w:rsidRPr="006978AF">
              <w:rPr>
                <w:rFonts w:cs="Times New Roman"/>
                <w:b/>
                <w:sz w:val="20"/>
                <w:szCs w:val="20"/>
              </w:rPr>
              <w:t xml:space="preserve"> produkčnej medzery EK a MF SR (národná metodika) vo všeobecnosti spôsobuje rozdielny horizont prognóz a rozdielna celková produktivita faktorov (TFP). </w:t>
            </w:r>
            <w:r w:rsidRPr="006978AF">
              <w:rPr>
                <w:rFonts w:cs="Times New Roman"/>
                <w:sz w:val="20"/>
                <w:szCs w:val="20"/>
              </w:rPr>
              <w:t xml:space="preserve">Kým metodika EK odhaduje produkčnú medzeru na dva roky dopredu, prognóza MF SR robí odhad až na štyri roky. Metodika EK je postavená na trendoch a filtrácii premenných, takže predĺženie horizontu prognózy môže mať za následok rozdielne odhady produkčnej medzery na kratšom horizonte, hoci je vstupná makroekonomická prognóza v daných rokoch nezmenená. </w:t>
            </w:r>
            <w:r w:rsidRPr="002E7724">
              <w:rPr>
                <w:rFonts w:cs="Times New Roman"/>
                <w:sz w:val="20"/>
                <w:szCs w:val="20"/>
              </w:rPr>
              <w:t xml:space="preserve">Pre korektnejšie porovnanie sme teda horizont vstupných údajov do prognózy MF SR s metodikou EK skrátili na dva nasledujúce roky. </w:t>
            </w:r>
            <w:r w:rsidRPr="006978AF">
              <w:rPr>
                <w:rFonts w:cs="Times New Roman"/>
                <w:sz w:val="20"/>
                <w:szCs w:val="20"/>
              </w:rPr>
              <w:t xml:space="preserve">Druhý rozdiel tkvie najmä </w:t>
            </w:r>
            <w:r w:rsidRPr="006978AF">
              <w:rPr>
                <w:rFonts w:cs="Times New Roman"/>
                <w:sz w:val="20"/>
                <w:szCs w:val="20"/>
              </w:rPr>
              <w:lastRenderedPageBreak/>
              <w:t xml:space="preserve">v historických údajoch celkovej produktivity faktorov (TFP). Hoci obe inštitúcie počítajú potenciálny produkt pomocou Cobb-Douglasovej produkčnej funkcie, </w:t>
            </w:r>
            <w:r>
              <w:rPr>
                <w:rFonts w:cs="Times New Roman"/>
                <w:sz w:val="20"/>
                <w:szCs w:val="20"/>
              </w:rPr>
              <w:t>MF SR</w:t>
            </w:r>
            <w:r w:rsidRPr="006978AF">
              <w:rPr>
                <w:rFonts w:cs="Times New Roman"/>
                <w:sz w:val="20"/>
                <w:szCs w:val="20"/>
              </w:rPr>
              <w:t xml:space="preserve"> zvyšuje potenciálny produkt cez TFP v rokoch 2019 až 2021 tak, aby zodpovedal štrukturálnym zmenám v ekonomike, ktoré priniesla investícia JLR a ktoré spoločná metóda EK nedokáže zachytiť. </w:t>
            </w:r>
          </w:p>
          <w:p w14:paraId="53B704CD" w14:textId="77777777" w:rsidR="001A095A" w:rsidRPr="00E76875" w:rsidRDefault="001A095A" w:rsidP="00387AE5">
            <w:pPr>
              <w:jc w:val="both"/>
              <w:rPr>
                <w:rFonts w:cs="Times New Roman"/>
                <w:sz w:val="20"/>
                <w:szCs w:val="20"/>
                <w:highlight w:val="yellow"/>
              </w:rPr>
            </w:pPr>
          </w:p>
          <w:p w14:paraId="2F401B71" w14:textId="146C553E" w:rsidR="00D52A81" w:rsidRPr="00D52A81" w:rsidRDefault="001A095A" w:rsidP="00D52A81">
            <w:pPr>
              <w:spacing w:after="240"/>
              <w:jc w:val="both"/>
              <w:rPr>
                <w:rFonts w:cs="Times New Roman"/>
                <w:sz w:val="20"/>
                <w:szCs w:val="20"/>
              </w:rPr>
            </w:pPr>
            <w:r w:rsidRPr="006978AF">
              <w:rPr>
                <w:rFonts w:cs="Times New Roman"/>
                <w:b/>
                <w:sz w:val="20"/>
                <w:szCs w:val="20"/>
              </w:rPr>
              <w:t>Prognóza MF SR z dôvodu investičnej aktivity JLR zvýšila dodatočný príspevok rastu TFP k potenciálnemu rastu v</w:t>
            </w:r>
            <w:r>
              <w:rPr>
                <w:rFonts w:cs="Times New Roman"/>
                <w:b/>
                <w:sz w:val="20"/>
                <w:szCs w:val="20"/>
              </w:rPr>
              <w:t> 2019 až 2021 kumulatívne o 0,5</w:t>
            </w:r>
            <w:r w:rsidRPr="006978AF">
              <w:rPr>
                <w:rFonts w:cs="Times New Roman"/>
                <w:b/>
                <w:sz w:val="20"/>
                <w:szCs w:val="20"/>
              </w:rPr>
              <w:t xml:space="preserve"> p. b..</w:t>
            </w:r>
            <w:r w:rsidRPr="006978AF">
              <w:rPr>
                <w:rFonts w:cs="Times New Roman"/>
                <w:sz w:val="20"/>
                <w:szCs w:val="20"/>
              </w:rPr>
              <w:t xml:space="preserve"> Zvýšenie príspevku rastu TFP bolo založené na základe odhadu príspevku exportu k rastu HDP z dopytovej strany. Tieto úpravy sú konzistentné s úpravami pre obdobie 2005 až 2008, kedy na Slovensko prišli viaceré významné investície v automobilovom a elektrotechnickom priemysle. </w:t>
            </w:r>
            <w:r w:rsidRPr="006978AF">
              <w:rPr>
                <w:sz w:val="20"/>
                <w:szCs w:val="20"/>
              </w:rPr>
              <w:t xml:space="preserve">V dôsledku novej investičnej aktivity sa skokovo zvýši nielen aktuálny rast ekonomiky, ale aj jej potenciál. </w:t>
            </w:r>
            <w:r w:rsidRPr="002E7724">
              <w:rPr>
                <w:sz w:val="20"/>
                <w:szCs w:val="20"/>
              </w:rPr>
              <w:t xml:space="preserve">Produkčná medzera bude preto rásť len v obmedzenej miere. Kým národná metodika MF SR tento jav zachytáva, metodika EK bude pravdepodobne indikovať vyššie prehrievanie ekonomiky, podobne ako to robila v rokoch 2005 až 2008. Tento efekt naznačuje aj vyššie uvedený odhad produkčnej medzery </w:t>
            </w:r>
            <w:r w:rsidRPr="002E7724">
              <w:rPr>
                <w:rFonts w:cs="Times New Roman"/>
                <w:sz w:val="20"/>
                <w:szCs w:val="20"/>
              </w:rPr>
              <w:t>vypočítaný metodikou EK s použitím makroekonomickej prognózy MF SR, ktorý predikuje na rok 2019 o niečo väčšie prehrievanie v porovnaní s národnou metodikou. Takisto aj pre rok 2020, kde dokonca pokračuje otváranie produkčnej medzery.</w:t>
            </w:r>
          </w:p>
        </w:tc>
      </w:tr>
    </w:tbl>
    <w:p w14:paraId="5FF23BD0" w14:textId="79625267" w:rsidR="004F1515" w:rsidRPr="004F1515" w:rsidRDefault="001A095A" w:rsidP="004F1515">
      <w:pPr>
        <w:pStyle w:val="Nadpis2"/>
        <w:keepLines/>
        <w:numPr>
          <w:ilvl w:val="1"/>
          <w:numId w:val="2"/>
        </w:numPr>
        <w:spacing w:before="240" w:after="120" w:line="276" w:lineRule="auto"/>
        <w:rPr>
          <w:b/>
          <w:color w:val="2C9ADC"/>
          <w:szCs w:val="28"/>
        </w:rPr>
      </w:pPr>
      <w:bookmarkStart w:id="90" w:name="_Toc5869379"/>
      <w:r w:rsidRPr="001564C8">
        <w:rPr>
          <w:b/>
          <w:color w:val="2C9ADC"/>
          <w:szCs w:val="28"/>
        </w:rPr>
        <w:lastRenderedPageBreak/>
        <w:t>Porovnanie prognóz slovenskej ekonomiky MF SR s prognózami ostatných inštitúcií</w:t>
      </w:r>
      <w:bookmarkEnd w:id="75"/>
      <w:bookmarkEnd w:id="76"/>
      <w:bookmarkEnd w:id="77"/>
      <w:bookmarkEnd w:id="78"/>
      <w:bookmarkEnd w:id="90"/>
      <w:r w:rsidRPr="001564C8">
        <w:rPr>
          <w:b/>
          <w:color w:val="2C9ADC"/>
          <w:szCs w:val="28"/>
        </w:rPr>
        <w:t xml:space="preserve"> </w:t>
      </w:r>
    </w:p>
    <w:p w14:paraId="5D5C3457" w14:textId="467CA115" w:rsidR="001A095A" w:rsidRPr="0036706D" w:rsidRDefault="00D237F6" w:rsidP="001A095A">
      <w:pPr>
        <w:pStyle w:val="Odsek"/>
      </w:pPr>
      <w:r w:rsidRPr="006F5F4E">
        <w:rPr>
          <w:b/>
          <w:bCs/>
          <w:sz w:val="20"/>
          <w:szCs w:val="20"/>
        </w:rPr>
        <w:t>Novšie prognózy niektorých inštitúcií sú mierne pesimistickejšie v porovnaní s MF SR, pokiaľ ide o rast HDP v 2019 (viď NBS, MMF)</w:t>
      </w:r>
      <w:r w:rsidRPr="006F5F4E">
        <w:rPr>
          <w:sz w:val="20"/>
          <w:szCs w:val="20"/>
        </w:rPr>
        <w:t xml:space="preserve">. Prognóza MF SR je staršia a nezohľadňuje údaje zo </w:t>
      </w:r>
      <w:r w:rsidR="00684201" w:rsidRPr="006F5F4E">
        <w:rPr>
          <w:sz w:val="20"/>
          <w:szCs w:val="20"/>
        </w:rPr>
        <w:t>štvrtého</w:t>
      </w:r>
      <w:r w:rsidRPr="006F5F4E">
        <w:rPr>
          <w:sz w:val="20"/>
          <w:szCs w:val="20"/>
        </w:rPr>
        <w:t xml:space="preserve"> štvrťroku 2018, ktorý by znížil rast HDP aj v 2019 o 0,2 p.b. Prognóza inflácie sa od ostatných inštitúcií takmer nelíši, s výnimkou OECD v 2020. Rozdiely v bežnom účte vyplývajú najmä z revízie historických údajov, ostatné inštitúcie však očakávajú jeho prudšie zatváranie</w:t>
      </w:r>
    </w:p>
    <w:tbl>
      <w:tblPr>
        <w:tblW w:w="4962" w:type="pct"/>
        <w:jc w:val="center"/>
        <w:tblCellMar>
          <w:left w:w="70" w:type="dxa"/>
          <w:right w:w="70" w:type="dxa"/>
        </w:tblCellMar>
        <w:tblLook w:val="00A0" w:firstRow="1" w:lastRow="0" w:firstColumn="1" w:lastColumn="0" w:noHBand="0" w:noVBand="0"/>
      </w:tblPr>
      <w:tblGrid>
        <w:gridCol w:w="3510"/>
        <w:gridCol w:w="1691"/>
        <w:gridCol w:w="1688"/>
        <w:gridCol w:w="2181"/>
      </w:tblGrid>
      <w:tr w:rsidR="001A095A" w:rsidRPr="001564C8" w14:paraId="7B50006C" w14:textId="77777777" w:rsidTr="00387AE5">
        <w:trPr>
          <w:trHeight w:val="24"/>
          <w:jc w:val="center"/>
        </w:trPr>
        <w:tc>
          <w:tcPr>
            <w:tcW w:w="5000" w:type="pct"/>
            <w:gridSpan w:val="4"/>
            <w:tcBorders>
              <w:top w:val="nil"/>
              <w:left w:val="nil"/>
              <w:bottom w:val="single" w:sz="8" w:space="0" w:color="auto"/>
              <w:right w:val="nil"/>
            </w:tcBorders>
            <w:shd w:val="clear" w:color="000000" w:fill="auto"/>
            <w:noWrap/>
          </w:tcPr>
          <w:p w14:paraId="3550E438" w14:textId="16005B54" w:rsidR="001A095A" w:rsidRPr="001564C8" w:rsidRDefault="001A095A" w:rsidP="00387AE5">
            <w:pPr>
              <w:pStyle w:val="Nadpis3"/>
              <w:rPr>
                <w:rFonts w:eastAsiaTheme="minorHAnsi"/>
                <w:color w:val="2C9ADC"/>
                <w:lang w:eastAsia="en-US"/>
              </w:rPr>
            </w:pPr>
            <w:bookmarkStart w:id="91" w:name="_Toc480444013"/>
            <w:bookmarkStart w:id="92" w:name="_Toc480444518"/>
            <w:bookmarkStart w:id="93" w:name="_Toc6314204"/>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5</w:t>
            </w:r>
            <w:r w:rsidRPr="00BE4732">
              <w:rPr>
                <w:rFonts w:eastAsiaTheme="minorHAnsi"/>
                <w:color w:val="2C9ADC" w:themeColor="accent1"/>
                <w:lang w:eastAsia="en-US"/>
              </w:rPr>
              <w:fldChar w:fldCharType="end"/>
            </w:r>
            <w:r w:rsidRPr="001564C8">
              <w:rPr>
                <w:rFonts w:eastAsiaTheme="minorHAnsi"/>
                <w:color w:val="2C9ADC"/>
                <w:lang w:eastAsia="en-US"/>
              </w:rPr>
              <w:t xml:space="preserve"> - Porovnanie prognóz slovenskej ekonomiky MF SR a ostatných inštitúcií</w:t>
            </w:r>
            <w:bookmarkEnd w:id="91"/>
            <w:bookmarkEnd w:id="92"/>
            <w:bookmarkEnd w:id="93"/>
          </w:p>
        </w:tc>
      </w:tr>
      <w:tr w:rsidR="001A095A" w:rsidRPr="001564C8" w14:paraId="1B69ADF8" w14:textId="77777777" w:rsidTr="00387AE5">
        <w:trPr>
          <w:trHeight w:val="24"/>
          <w:jc w:val="center"/>
        </w:trPr>
        <w:tc>
          <w:tcPr>
            <w:tcW w:w="1939" w:type="pct"/>
            <w:tcBorders>
              <w:top w:val="single" w:sz="8" w:space="0" w:color="auto"/>
              <w:left w:val="nil"/>
              <w:bottom w:val="single" w:sz="8" w:space="0" w:color="auto"/>
              <w:right w:val="nil"/>
            </w:tcBorders>
            <w:shd w:val="clear" w:color="auto" w:fill="FFFFFF" w:themeFill="background1"/>
            <w:vAlign w:val="center"/>
          </w:tcPr>
          <w:p w14:paraId="472D2565" w14:textId="77777777" w:rsidR="001A095A" w:rsidRPr="001564C8" w:rsidRDefault="001A095A" w:rsidP="00387AE5">
            <w:pPr>
              <w:rPr>
                <w:rFonts w:cs="Times New Roman"/>
                <w:color w:val="000000"/>
                <w:sz w:val="20"/>
                <w:szCs w:val="20"/>
              </w:rPr>
            </w:pPr>
          </w:p>
        </w:tc>
        <w:tc>
          <w:tcPr>
            <w:tcW w:w="930" w:type="pct"/>
            <w:tcBorders>
              <w:top w:val="single" w:sz="8" w:space="0" w:color="auto"/>
              <w:left w:val="nil"/>
              <w:bottom w:val="single" w:sz="8" w:space="0" w:color="auto"/>
              <w:right w:val="nil"/>
            </w:tcBorders>
            <w:shd w:val="clear" w:color="auto" w:fill="FFFFFF" w:themeFill="background1"/>
            <w:vAlign w:val="center"/>
          </w:tcPr>
          <w:p w14:paraId="2A007EC4"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2018</w:t>
            </w:r>
          </w:p>
        </w:tc>
        <w:tc>
          <w:tcPr>
            <w:tcW w:w="929" w:type="pct"/>
            <w:tcBorders>
              <w:top w:val="single" w:sz="8" w:space="0" w:color="auto"/>
              <w:left w:val="nil"/>
              <w:bottom w:val="single" w:sz="8" w:space="0" w:color="auto"/>
              <w:right w:val="nil"/>
            </w:tcBorders>
            <w:shd w:val="clear" w:color="auto" w:fill="FFFFFF" w:themeFill="background1"/>
            <w:vAlign w:val="center"/>
          </w:tcPr>
          <w:p w14:paraId="700BEE55"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2019</w:t>
            </w:r>
          </w:p>
        </w:tc>
        <w:tc>
          <w:tcPr>
            <w:tcW w:w="1202" w:type="pct"/>
            <w:tcBorders>
              <w:top w:val="single" w:sz="8" w:space="0" w:color="auto"/>
              <w:left w:val="nil"/>
              <w:bottom w:val="single" w:sz="8" w:space="0" w:color="auto"/>
              <w:right w:val="nil"/>
            </w:tcBorders>
            <w:shd w:val="clear" w:color="auto" w:fill="FFFFFF" w:themeFill="background1"/>
            <w:vAlign w:val="center"/>
          </w:tcPr>
          <w:p w14:paraId="14C31783"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2020</w:t>
            </w:r>
          </w:p>
        </w:tc>
      </w:tr>
      <w:tr w:rsidR="001A095A" w:rsidRPr="001564C8" w14:paraId="04C7C249" w14:textId="77777777" w:rsidTr="00387AE5">
        <w:trPr>
          <w:trHeight w:val="24"/>
          <w:jc w:val="center"/>
        </w:trPr>
        <w:tc>
          <w:tcPr>
            <w:tcW w:w="5000" w:type="pct"/>
            <w:gridSpan w:val="4"/>
            <w:tcBorders>
              <w:top w:val="single" w:sz="8" w:space="0" w:color="auto"/>
              <w:left w:val="nil"/>
              <w:bottom w:val="single" w:sz="8" w:space="0" w:color="auto"/>
              <w:right w:val="nil"/>
            </w:tcBorders>
            <w:shd w:val="clear" w:color="auto" w:fill="F2F2F2" w:themeFill="background1" w:themeFillShade="F2"/>
            <w:vAlign w:val="center"/>
          </w:tcPr>
          <w:p w14:paraId="4043D178" w14:textId="77777777" w:rsidR="001A095A" w:rsidRPr="001564C8" w:rsidRDefault="001A095A" w:rsidP="00387AE5">
            <w:pPr>
              <w:jc w:val="center"/>
              <w:rPr>
                <w:rFonts w:cs="Times New Roman"/>
                <w:b/>
                <w:bCs/>
                <w:color w:val="000000"/>
                <w:sz w:val="20"/>
                <w:szCs w:val="20"/>
              </w:rPr>
            </w:pPr>
            <w:r w:rsidRPr="001564C8">
              <w:rPr>
                <w:rFonts w:cs="Times New Roman"/>
                <w:b/>
                <w:bCs/>
                <w:color w:val="000000"/>
                <w:sz w:val="20"/>
                <w:szCs w:val="20"/>
              </w:rPr>
              <w:t xml:space="preserve">                                                                         Reálny rast HDP (%)</w:t>
            </w:r>
          </w:p>
        </w:tc>
      </w:tr>
      <w:tr w:rsidR="001A095A" w:rsidRPr="001564C8" w14:paraId="31033DCA" w14:textId="77777777" w:rsidTr="00387AE5">
        <w:trPr>
          <w:trHeight w:val="24"/>
          <w:jc w:val="center"/>
        </w:trPr>
        <w:tc>
          <w:tcPr>
            <w:tcW w:w="1939" w:type="pct"/>
            <w:tcBorders>
              <w:top w:val="single" w:sz="8" w:space="0" w:color="auto"/>
              <w:left w:val="nil"/>
              <w:bottom w:val="nil"/>
              <w:right w:val="nil"/>
            </w:tcBorders>
            <w:shd w:val="clear" w:color="000000" w:fill="FFFFFF"/>
            <w:vAlign w:val="center"/>
          </w:tcPr>
          <w:p w14:paraId="7E752E40" w14:textId="77777777" w:rsidR="001A095A" w:rsidRPr="001564C8" w:rsidRDefault="001A095A" w:rsidP="00387AE5">
            <w:pPr>
              <w:ind w:firstLineChars="100" w:firstLine="201"/>
              <w:rPr>
                <w:rFonts w:cs="Times New Roman"/>
                <w:b/>
                <w:bCs/>
                <w:color w:val="000000"/>
                <w:sz w:val="20"/>
                <w:szCs w:val="20"/>
              </w:rPr>
            </w:pPr>
            <w:r w:rsidRPr="001564C8">
              <w:rPr>
                <w:rFonts w:cs="Times New Roman"/>
                <w:b/>
                <w:bCs/>
                <w:color w:val="000000"/>
                <w:sz w:val="20"/>
                <w:szCs w:val="20"/>
              </w:rPr>
              <w:t>MF SR</w:t>
            </w:r>
          </w:p>
        </w:tc>
        <w:tc>
          <w:tcPr>
            <w:tcW w:w="930" w:type="pct"/>
            <w:tcBorders>
              <w:top w:val="single" w:sz="8" w:space="0" w:color="auto"/>
              <w:left w:val="nil"/>
              <w:bottom w:val="nil"/>
              <w:right w:val="nil"/>
            </w:tcBorders>
            <w:shd w:val="clear" w:color="000000" w:fill="FFFFFF"/>
            <w:vAlign w:val="center"/>
          </w:tcPr>
          <w:p w14:paraId="707C553E"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4,3</w:t>
            </w:r>
          </w:p>
        </w:tc>
        <w:tc>
          <w:tcPr>
            <w:tcW w:w="929" w:type="pct"/>
            <w:tcBorders>
              <w:top w:val="single" w:sz="8" w:space="0" w:color="auto"/>
              <w:left w:val="nil"/>
              <w:bottom w:val="nil"/>
              <w:right w:val="nil"/>
            </w:tcBorders>
            <w:shd w:val="clear" w:color="000000" w:fill="FFFFFF"/>
            <w:vAlign w:val="center"/>
          </w:tcPr>
          <w:p w14:paraId="6CDF1F6F"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4,0</w:t>
            </w:r>
          </w:p>
        </w:tc>
        <w:tc>
          <w:tcPr>
            <w:tcW w:w="1202" w:type="pct"/>
            <w:tcBorders>
              <w:top w:val="single" w:sz="8" w:space="0" w:color="auto"/>
              <w:left w:val="nil"/>
              <w:bottom w:val="nil"/>
              <w:right w:val="nil"/>
            </w:tcBorders>
            <w:shd w:val="clear" w:color="000000" w:fill="FFFFFF"/>
            <w:vAlign w:val="center"/>
          </w:tcPr>
          <w:p w14:paraId="46C5E587"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3,7</w:t>
            </w:r>
          </w:p>
        </w:tc>
      </w:tr>
      <w:tr w:rsidR="001A095A" w:rsidRPr="001564C8" w14:paraId="7B2D6555" w14:textId="77777777" w:rsidTr="00387AE5">
        <w:trPr>
          <w:trHeight w:val="24"/>
          <w:jc w:val="center"/>
        </w:trPr>
        <w:tc>
          <w:tcPr>
            <w:tcW w:w="1939" w:type="pct"/>
            <w:tcBorders>
              <w:top w:val="nil"/>
              <w:left w:val="nil"/>
              <w:bottom w:val="nil"/>
              <w:right w:val="nil"/>
            </w:tcBorders>
            <w:shd w:val="clear" w:color="auto" w:fill="auto"/>
            <w:vAlign w:val="center"/>
          </w:tcPr>
          <w:p w14:paraId="64664EBD" w14:textId="77777777" w:rsidR="001A095A" w:rsidRPr="001564C8" w:rsidRDefault="001A095A" w:rsidP="00387AE5">
            <w:pPr>
              <w:ind w:firstLineChars="100" w:firstLine="200"/>
              <w:rPr>
                <w:color w:val="000000"/>
                <w:sz w:val="20"/>
                <w:szCs w:val="20"/>
              </w:rPr>
            </w:pPr>
            <w:r w:rsidRPr="001564C8">
              <w:rPr>
                <w:color w:val="000000"/>
                <w:sz w:val="20"/>
                <w:szCs w:val="20"/>
              </w:rPr>
              <w:t>Makrovýbor (medián)</w:t>
            </w:r>
          </w:p>
        </w:tc>
        <w:tc>
          <w:tcPr>
            <w:tcW w:w="930" w:type="pct"/>
            <w:tcBorders>
              <w:top w:val="nil"/>
              <w:left w:val="nil"/>
              <w:bottom w:val="nil"/>
              <w:right w:val="nil"/>
            </w:tcBorders>
            <w:shd w:val="clear" w:color="auto" w:fill="auto"/>
            <w:vAlign w:val="center"/>
          </w:tcPr>
          <w:p w14:paraId="43E79921" w14:textId="77777777" w:rsidR="001A095A" w:rsidRPr="001564C8" w:rsidRDefault="001A095A" w:rsidP="00387AE5">
            <w:pPr>
              <w:jc w:val="center"/>
              <w:rPr>
                <w:color w:val="000000"/>
                <w:sz w:val="20"/>
                <w:szCs w:val="20"/>
              </w:rPr>
            </w:pPr>
            <w:r w:rsidRPr="001564C8">
              <w:rPr>
                <w:color w:val="000000"/>
                <w:sz w:val="18"/>
                <w:szCs w:val="18"/>
              </w:rPr>
              <w:t>4,2</w:t>
            </w:r>
          </w:p>
        </w:tc>
        <w:tc>
          <w:tcPr>
            <w:tcW w:w="929" w:type="pct"/>
            <w:tcBorders>
              <w:top w:val="nil"/>
              <w:left w:val="nil"/>
              <w:bottom w:val="nil"/>
              <w:right w:val="nil"/>
            </w:tcBorders>
            <w:shd w:val="clear" w:color="auto" w:fill="auto"/>
            <w:vAlign w:val="center"/>
          </w:tcPr>
          <w:p w14:paraId="26EA531E" w14:textId="77777777" w:rsidR="001A095A" w:rsidRPr="001564C8" w:rsidRDefault="001A095A" w:rsidP="00387AE5">
            <w:pPr>
              <w:jc w:val="center"/>
              <w:rPr>
                <w:color w:val="000000"/>
                <w:sz w:val="20"/>
                <w:szCs w:val="20"/>
              </w:rPr>
            </w:pPr>
            <w:r w:rsidRPr="001564C8">
              <w:rPr>
                <w:color w:val="000000"/>
                <w:sz w:val="18"/>
                <w:szCs w:val="18"/>
              </w:rPr>
              <w:t>4,0</w:t>
            </w:r>
          </w:p>
        </w:tc>
        <w:tc>
          <w:tcPr>
            <w:tcW w:w="1202" w:type="pct"/>
            <w:tcBorders>
              <w:top w:val="nil"/>
              <w:left w:val="nil"/>
              <w:bottom w:val="nil"/>
              <w:right w:val="nil"/>
            </w:tcBorders>
            <w:shd w:val="clear" w:color="auto" w:fill="auto"/>
            <w:vAlign w:val="center"/>
          </w:tcPr>
          <w:p w14:paraId="06836E5C" w14:textId="77777777" w:rsidR="001A095A" w:rsidRPr="001564C8" w:rsidRDefault="001A095A" w:rsidP="00387AE5">
            <w:pPr>
              <w:jc w:val="center"/>
              <w:rPr>
                <w:color w:val="000000"/>
                <w:sz w:val="20"/>
                <w:szCs w:val="20"/>
              </w:rPr>
            </w:pPr>
            <w:r w:rsidRPr="001564C8">
              <w:rPr>
                <w:color w:val="000000"/>
                <w:sz w:val="18"/>
                <w:szCs w:val="18"/>
              </w:rPr>
              <w:t>3,6</w:t>
            </w:r>
          </w:p>
        </w:tc>
      </w:tr>
      <w:tr w:rsidR="001A095A" w:rsidRPr="001564C8" w14:paraId="18233E13" w14:textId="77777777" w:rsidTr="00387AE5">
        <w:trPr>
          <w:trHeight w:val="24"/>
          <w:jc w:val="center"/>
        </w:trPr>
        <w:tc>
          <w:tcPr>
            <w:tcW w:w="1939" w:type="pct"/>
            <w:tcBorders>
              <w:top w:val="nil"/>
              <w:left w:val="nil"/>
              <w:bottom w:val="nil"/>
              <w:right w:val="nil"/>
            </w:tcBorders>
            <w:shd w:val="clear" w:color="000000" w:fill="FFFFFF"/>
            <w:vAlign w:val="center"/>
          </w:tcPr>
          <w:p w14:paraId="17956AA3"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NBS</w:t>
            </w:r>
          </w:p>
        </w:tc>
        <w:tc>
          <w:tcPr>
            <w:tcW w:w="930" w:type="pct"/>
            <w:tcBorders>
              <w:top w:val="nil"/>
              <w:left w:val="nil"/>
              <w:bottom w:val="nil"/>
              <w:right w:val="nil"/>
            </w:tcBorders>
            <w:shd w:val="clear" w:color="000000" w:fill="FFFFFF"/>
            <w:vAlign w:val="center"/>
          </w:tcPr>
          <w:p w14:paraId="5A28B353" w14:textId="2DB50970" w:rsidR="001A095A" w:rsidRPr="001564C8" w:rsidRDefault="001A095A" w:rsidP="00387AE5">
            <w:pPr>
              <w:jc w:val="center"/>
              <w:rPr>
                <w:rFonts w:cs="Times New Roman"/>
                <w:color w:val="000000"/>
                <w:sz w:val="20"/>
                <w:szCs w:val="20"/>
              </w:rPr>
            </w:pPr>
            <w:r w:rsidRPr="001564C8">
              <w:rPr>
                <w:color w:val="000000"/>
                <w:sz w:val="18"/>
                <w:szCs w:val="18"/>
              </w:rPr>
              <w:t>4,</w:t>
            </w:r>
            <w:r w:rsidR="00592550">
              <w:rPr>
                <w:color w:val="000000"/>
                <w:sz w:val="18"/>
                <w:szCs w:val="18"/>
              </w:rPr>
              <w:t>1</w:t>
            </w:r>
          </w:p>
        </w:tc>
        <w:tc>
          <w:tcPr>
            <w:tcW w:w="929" w:type="pct"/>
            <w:tcBorders>
              <w:top w:val="nil"/>
              <w:left w:val="nil"/>
              <w:bottom w:val="nil"/>
              <w:right w:val="nil"/>
            </w:tcBorders>
            <w:shd w:val="clear" w:color="000000" w:fill="FFFFFF"/>
            <w:vAlign w:val="center"/>
          </w:tcPr>
          <w:p w14:paraId="66745543" w14:textId="32635063" w:rsidR="001A095A" w:rsidRPr="001564C8" w:rsidRDefault="00592550">
            <w:pPr>
              <w:jc w:val="center"/>
              <w:rPr>
                <w:rFonts w:cs="Times New Roman"/>
                <w:color w:val="000000"/>
                <w:sz w:val="20"/>
                <w:szCs w:val="20"/>
              </w:rPr>
            </w:pPr>
            <w:r>
              <w:rPr>
                <w:color w:val="000000"/>
                <w:sz w:val="18"/>
                <w:szCs w:val="18"/>
              </w:rPr>
              <w:t>3</w:t>
            </w:r>
            <w:r w:rsidR="001A095A" w:rsidRPr="001564C8">
              <w:rPr>
                <w:color w:val="000000"/>
                <w:sz w:val="18"/>
                <w:szCs w:val="18"/>
              </w:rPr>
              <w:t>,</w:t>
            </w:r>
            <w:r>
              <w:rPr>
                <w:color w:val="000000"/>
                <w:sz w:val="18"/>
                <w:szCs w:val="18"/>
              </w:rPr>
              <w:t>5</w:t>
            </w:r>
          </w:p>
        </w:tc>
        <w:tc>
          <w:tcPr>
            <w:tcW w:w="1202" w:type="pct"/>
            <w:tcBorders>
              <w:top w:val="nil"/>
              <w:left w:val="nil"/>
              <w:bottom w:val="nil"/>
              <w:right w:val="nil"/>
            </w:tcBorders>
            <w:shd w:val="clear" w:color="000000" w:fill="FFFFFF"/>
            <w:vAlign w:val="center"/>
          </w:tcPr>
          <w:p w14:paraId="17F7CA94" w14:textId="77777777" w:rsidR="001A095A" w:rsidRPr="001564C8" w:rsidRDefault="001A095A" w:rsidP="00387AE5">
            <w:pPr>
              <w:jc w:val="center"/>
              <w:rPr>
                <w:rFonts w:cs="Times New Roman"/>
                <w:color w:val="000000"/>
                <w:sz w:val="20"/>
                <w:szCs w:val="20"/>
              </w:rPr>
            </w:pPr>
            <w:r w:rsidRPr="001564C8">
              <w:rPr>
                <w:color w:val="000000"/>
                <w:sz w:val="18"/>
                <w:szCs w:val="18"/>
              </w:rPr>
              <w:t>4,0</w:t>
            </w:r>
          </w:p>
        </w:tc>
      </w:tr>
      <w:tr w:rsidR="001A095A" w:rsidRPr="001564C8" w14:paraId="09F994BC" w14:textId="77777777" w:rsidTr="00387AE5">
        <w:trPr>
          <w:trHeight w:val="24"/>
          <w:jc w:val="center"/>
        </w:trPr>
        <w:tc>
          <w:tcPr>
            <w:tcW w:w="1939" w:type="pct"/>
            <w:tcBorders>
              <w:top w:val="nil"/>
              <w:left w:val="nil"/>
              <w:bottom w:val="nil"/>
              <w:right w:val="nil"/>
            </w:tcBorders>
            <w:shd w:val="clear" w:color="000000" w:fill="FFFFFF"/>
            <w:vAlign w:val="center"/>
          </w:tcPr>
          <w:p w14:paraId="1B111C1F"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EK</w:t>
            </w:r>
          </w:p>
        </w:tc>
        <w:tc>
          <w:tcPr>
            <w:tcW w:w="930" w:type="pct"/>
            <w:tcBorders>
              <w:top w:val="nil"/>
              <w:left w:val="nil"/>
              <w:bottom w:val="nil"/>
              <w:right w:val="nil"/>
            </w:tcBorders>
            <w:shd w:val="clear" w:color="000000" w:fill="FFFFFF"/>
            <w:vAlign w:val="center"/>
          </w:tcPr>
          <w:p w14:paraId="7A709418" w14:textId="77777777" w:rsidR="001A095A" w:rsidRPr="001564C8" w:rsidRDefault="001A095A" w:rsidP="00387AE5">
            <w:pPr>
              <w:jc w:val="center"/>
              <w:rPr>
                <w:rFonts w:cs="Times New Roman"/>
                <w:color w:val="000000"/>
                <w:sz w:val="20"/>
                <w:szCs w:val="20"/>
              </w:rPr>
            </w:pPr>
            <w:r w:rsidRPr="001564C8">
              <w:rPr>
                <w:color w:val="000000"/>
                <w:sz w:val="18"/>
                <w:szCs w:val="18"/>
              </w:rPr>
              <w:t>4,2</w:t>
            </w:r>
          </w:p>
        </w:tc>
        <w:tc>
          <w:tcPr>
            <w:tcW w:w="929" w:type="pct"/>
            <w:tcBorders>
              <w:top w:val="nil"/>
              <w:left w:val="nil"/>
              <w:bottom w:val="nil"/>
              <w:right w:val="nil"/>
            </w:tcBorders>
            <w:shd w:val="clear" w:color="000000" w:fill="FFFFFF"/>
            <w:vAlign w:val="center"/>
          </w:tcPr>
          <w:p w14:paraId="4BEE5DD2" w14:textId="77777777" w:rsidR="001A095A" w:rsidRPr="001564C8" w:rsidRDefault="001A095A" w:rsidP="00387AE5">
            <w:pPr>
              <w:jc w:val="center"/>
              <w:rPr>
                <w:rFonts w:cs="Times New Roman"/>
                <w:color w:val="000000"/>
                <w:sz w:val="20"/>
                <w:szCs w:val="20"/>
              </w:rPr>
            </w:pPr>
            <w:r w:rsidRPr="001564C8">
              <w:rPr>
                <w:color w:val="000000"/>
                <w:sz w:val="18"/>
                <w:szCs w:val="18"/>
              </w:rPr>
              <w:t>4,1</w:t>
            </w:r>
          </w:p>
        </w:tc>
        <w:tc>
          <w:tcPr>
            <w:tcW w:w="1202" w:type="pct"/>
            <w:tcBorders>
              <w:top w:val="nil"/>
              <w:left w:val="nil"/>
              <w:bottom w:val="nil"/>
              <w:right w:val="nil"/>
            </w:tcBorders>
            <w:shd w:val="clear" w:color="000000" w:fill="FFFFFF"/>
            <w:vAlign w:val="center"/>
          </w:tcPr>
          <w:p w14:paraId="129219EF" w14:textId="00C8CACF" w:rsidR="001A095A" w:rsidRPr="001564C8" w:rsidRDefault="001A095A" w:rsidP="00387AE5">
            <w:pPr>
              <w:jc w:val="center"/>
              <w:rPr>
                <w:rFonts w:cs="Times New Roman"/>
                <w:color w:val="000000"/>
                <w:sz w:val="20"/>
                <w:szCs w:val="20"/>
              </w:rPr>
            </w:pPr>
            <w:r w:rsidRPr="001564C8">
              <w:rPr>
                <w:color w:val="000000"/>
                <w:sz w:val="18"/>
                <w:szCs w:val="18"/>
              </w:rPr>
              <w:t>3,</w:t>
            </w:r>
            <w:r w:rsidR="00592550">
              <w:rPr>
                <w:color w:val="000000"/>
                <w:sz w:val="18"/>
                <w:szCs w:val="18"/>
              </w:rPr>
              <w:t>4</w:t>
            </w:r>
          </w:p>
        </w:tc>
      </w:tr>
      <w:tr w:rsidR="001A095A" w:rsidRPr="001564C8" w14:paraId="64FB7BFF" w14:textId="77777777" w:rsidTr="00387AE5">
        <w:trPr>
          <w:trHeight w:val="24"/>
          <w:jc w:val="center"/>
        </w:trPr>
        <w:tc>
          <w:tcPr>
            <w:tcW w:w="1939" w:type="pct"/>
            <w:tcBorders>
              <w:top w:val="nil"/>
              <w:left w:val="nil"/>
              <w:bottom w:val="nil"/>
              <w:right w:val="nil"/>
            </w:tcBorders>
            <w:shd w:val="clear" w:color="000000" w:fill="FFFFFF"/>
            <w:vAlign w:val="center"/>
          </w:tcPr>
          <w:p w14:paraId="46CB9889"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OECD</w:t>
            </w:r>
          </w:p>
        </w:tc>
        <w:tc>
          <w:tcPr>
            <w:tcW w:w="930" w:type="pct"/>
            <w:tcBorders>
              <w:top w:val="nil"/>
              <w:left w:val="nil"/>
              <w:bottom w:val="nil"/>
              <w:right w:val="nil"/>
            </w:tcBorders>
            <w:shd w:val="clear" w:color="000000" w:fill="FFFFFF"/>
            <w:vAlign w:val="center"/>
          </w:tcPr>
          <w:p w14:paraId="0BA78801" w14:textId="77777777" w:rsidR="001A095A" w:rsidRPr="001564C8" w:rsidRDefault="001A095A" w:rsidP="00387AE5">
            <w:pPr>
              <w:jc w:val="center"/>
              <w:rPr>
                <w:rFonts w:cs="Times New Roman"/>
                <w:color w:val="000000"/>
                <w:sz w:val="20"/>
                <w:szCs w:val="20"/>
              </w:rPr>
            </w:pPr>
            <w:r w:rsidRPr="001564C8">
              <w:rPr>
                <w:color w:val="000000"/>
                <w:sz w:val="18"/>
                <w:szCs w:val="18"/>
              </w:rPr>
              <w:t>4,1</w:t>
            </w:r>
          </w:p>
        </w:tc>
        <w:tc>
          <w:tcPr>
            <w:tcW w:w="929" w:type="pct"/>
            <w:tcBorders>
              <w:top w:val="nil"/>
              <w:left w:val="nil"/>
              <w:bottom w:val="nil"/>
              <w:right w:val="nil"/>
            </w:tcBorders>
            <w:shd w:val="clear" w:color="000000" w:fill="FFFFFF"/>
            <w:vAlign w:val="center"/>
          </w:tcPr>
          <w:p w14:paraId="351945BC" w14:textId="77777777" w:rsidR="001A095A" w:rsidRPr="001564C8" w:rsidRDefault="001A095A" w:rsidP="00387AE5">
            <w:pPr>
              <w:jc w:val="center"/>
              <w:rPr>
                <w:rFonts w:cs="Times New Roman"/>
                <w:color w:val="000000"/>
                <w:sz w:val="20"/>
                <w:szCs w:val="20"/>
              </w:rPr>
            </w:pPr>
            <w:r w:rsidRPr="001564C8">
              <w:rPr>
                <w:color w:val="000000"/>
                <w:sz w:val="18"/>
                <w:szCs w:val="18"/>
              </w:rPr>
              <w:t>4,3</w:t>
            </w:r>
          </w:p>
        </w:tc>
        <w:tc>
          <w:tcPr>
            <w:tcW w:w="1202" w:type="pct"/>
            <w:tcBorders>
              <w:top w:val="nil"/>
              <w:left w:val="nil"/>
              <w:bottom w:val="nil"/>
              <w:right w:val="nil"/>
            </w:tcBorders>
            <w:shd w:val="clear" w:color="000000" w:fill="FFFFFF"/>
            <w:vAlign w:val="center"/>
          </w:tcPr>
          <w:p w14:paraId="2595200E" w14:textId="77777777" w:rsidR="001A095A" w:rsidRPr="001564C8" w:rsidRDefault="001A095A" w:rsidP="00387AE5">
            <w:pPr>
              <w:jc w:val="center"/>
              <w:rPr>
                <w:rFonts w:cs="Times New Roman"/>
                <w:color w:val="000000"/>
                <w:sz w:val="20"/>
                <w:szCs w:val="20"/>
              </w:rPr>
            </w:pPr>
            <w:r w:rsidRPr="001564C8">
              <w:rPr>
                <w:color w:val="000000"/>
                <w:sz w:val="18"/>
                <w:szCs w:val="18"/>
              </w:rPr>
              <w:t>3,6</w:t>
            </w:r>
          </w:p>
        </w:tc>
      </w:tr>
      <w:tr w:rsidR="001A095A" w:rsidRPr="001564C8" w14:paraId="1A030D0C" w14:textId="77777777" w:rsidTr="00387AE5">
        <w:trPr>
          <w:trHeight w:val="24"/>
          <w:jc w:val="center"/>
        </w:trPr>
        <w:tc>
          <w:tcPr>
            <w:tcW w:w="1939" w:type="pct"/>
            <w:tcBorders>
              <w:top w:val="nil"/>
              <w:left w:val="nil"/>
              <w:bottom w:val="single" w:sz="8" w:space="0" w:color="auto"/>
              <w:right w:val="nil"/>
            </w:tcBorders>
            <w:shd w:val="clear" w:color="auto" w:fill="auto"/>
            <w:vAlign w:val="center"/>
          </w:tcPr>
          <w:p w14:paraId="1ED0C758"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MMF</w:t>
            </w:r>
          </w:p>
        </w:tc>
        <w:tc>
          <w:tcPr>
            <w:tcW w:w="930" w:type="pct"/>
            <w:tcBorders>
              <w:top w:val="nil"/>
              <w:left w:val="nil"/>
              <w:bottom w:val="single" w:sz="8" w:space="0" w:color="auto"/>
              <w:right w:val="nil"/>
            </w:tcBorders>
            <w:vAlign w:val="center"/>
          </w:tcPr>
          <w:p w14:paraId="4A7C4F6A" w14:textId="7ABCD57C" w:rsidR="001A095A" w:rsidRPr="001564C8" w:rsidRDefault="00592550">
            <w:pPr>
              <w:jc w:val="center"/>
              <w:rPr>
                <w:rFonts w:cs="Times New Roman"/>
                <w:color w:val="000000"/>
                <w:sz w:val="20"/>
                <w:szCs w:val="20"/>
              </w:rPr>
            </w:pPr>
            <w:r>
              <w:rPr>
                <w:color w:val="000000"/>
                <w:sz w:val="18"/>
                <w:szCs w:val="18"/>
              </w:rPr>
              <w:t>41</w:t>
            </w:r>
          </w:p>
        </w:tc>
        <w:tc>
          <w:tcPr>
            <w:tcW w:w="929" w:type="pct"/>
            <w:tcBorders>
              <w:top w:val="nil"/>
              <w:left w:val="nil"/>
              <w:bottom w:val="single" w:sz="8" w:space="0" w:color="auto"/>
              <w:right w:val="nil"/>
            </w:tcBorders>
            <w:vAlign w:val="center"/>
          </w:tcPr>
          <w:p w14:paraId="1DFF642F" w14:textId="13C074BB" w:rsidR="001A095A" w:rsidRPr="001564C8" w:rsidRDefault="00592550">
            <w:pPr>
              <w:jc w:val="center"/>
              <w:rPr>
                <w:rFonts w:cs="Times New Roman"/>
                <w:color w:val="000000"/>
                <w:sz w:val="20"/>
                <w:szCs w:val="20"/>
              </w:rPr>
            </w:pPr>
            <w:r>
              <w:rPr>
                <w:color w:val="000000"/>
                <w:sz w:val="18"/>
                <w:szCs w:val="18"/>
              </w:rPr>
              <w:t>3</w:t>
            </w:r>
            <w:r w:rsidR="001A095A" w:rsidRPr="001564C8">
              <w:rPr>
                <w:color w:val="000000"/>
                <w:sz w:val="18"/>
                <w:szCs w:val="18"/>
              </w:rPr>
              <w:t>,</w:t>
            </w:r>
            <w:r>
              <w:rPr>
                <w:color w:val="000000"/>
                <w:sz w:val="18"/>
                <w:szCs w:val="18"/>
              </w:rPr>
              <w:t>7</w:t>
            </w:r>
          </w:p>
        </w:tc>
        <w:tc>
          <w:tcPr>
            <w:tcW w:w="1202" w:type="pct"/>
            <w:tcBorders>
              <w:top w:val="nil"/>
              <w:left w:val="nil"/>
              <w:bottom w:val="single" w:sz="8" w:space="0" w:color="auto"/>
              <w:right w:val="nil"/>
            </w:tcBorders>
            <w:vAlign w:val="center"/>
          </w:tcPr>
          <w:p w14:paraId="69B32E45" w14:textId="30D428B7" w:rsidR="001A095A" w:rsidRPr="001564C8" w:rsidRDefault="001A095A" w:rsidP="00387AE5">
            <w:pPr>
              <w:jc w:val="center"/>
              <w:rPr>
                <w:rFonts w:cs="Times New Roman"/>
                <w:color w:val="000000"/>
                <w:sz w:val="20"/>
                <w:szCs w:val="20"/>
              </w:rPr>
            </w:pPr>
            <w:r w:rsidRPr="001564C8">
              <w:rPr>
                <w:color w:val="000000"/>
                <w:sz w:val="18"/>
                <w:szCs w:val="18"/>
              </w:rPr>
              <w:t>3,</w:t>
            </w:r>
            <w:r w:rsidR="00592550">
              <w:rPr>
                <w:color w:val="000000"/>
                <w:sz w:val="18"/>
                <w:szCs w:val="18"/>
              </w:rPr>
              <w:t>5</w:t>
            </w:r>
          </w:p>
        </w:tc>
      </w:tr>
      <w:tr w:rsidR="001A095A" w:rsidRPr="001564C8" w14:paraId="77ADAB60" w14:textId="77777777" w:rsidTr="00387AE5">
        <w:trPr>
          <w:trHeight w:val="24"/>
          <w:jc w:val="center"/>
        </w:trPr>
        <w:tc>
          <w:tcPr>
            <w:tcW w:w="5000" w:type="pct"/>
            <w:gridSpan w:val="4"/>
            <w:tcBorders>
              <w:top w:val="single" w:sz="8" w:space="0" w:color="auto"/>
              <w:left w:val="nil"/>
              <w:bottom w:val="single" w:sz="8" w:space="0" w:color="auto"/>
              <w:right w:val="nil"/>
            </w:tcBorders>
            <w:shd w:val="clear" w:color="auto" w:fill="F2F2F2" w:themeFill="background1" w:themeFillShade="F2"/>
            <w:vAlign w:val="center"/>
          </w:tcPr>
          <w:p w14:paraId="02184221" w14:textId="77777777" w:rsidR="001A095A" w:rsidRPr="001564C8" w:rsidRDefault="001A095A" w:rsidP="00387AE5">
            <w:pPr>
              <w:jc w:val="center"/>
              <w:rPr>
                <w:rFonts w:cs="Times New Roman"/>
                <w:b/>
                <w:bCs/>
                <w:color w:val="000000"/>
                <w:sz w:val="20"/>
                <w:szCs w:val="20"/>
              </w:rPr>
            </w:pPr>
            <w:r w:rsidRPr="001564C8">
              <w:rPr>
                <w:rFonts w:cs="Times New Roman"/>
                <w:b/>
                <w:bCs/>
                <w:color w:val="000000"/>
                <w:sz w:val="20"/>
                <w:szCs w:val="20"/>
              </w:rPr>
              <w:t xml:space="preserve">                                                                         HICP (%)</w:t>
            </w:r>
          </w:p>
        </w:tc>
      </w:tr>
      <w:tr w:rsidR="001A095A" w:rsidRPr="001564C8" w14:paraId="301DB68C" w14:textId="77777777" w:rsidTr="00387AE5">
        <w:trPr>
          <w:trHeight w:val="24"/>
          <w:jc w:val="center"/>
        </w:trPr>
        <w:tc>
          <w:tcPr>
            <w:tcW w:w="1939" w:type="pct"/>
            <w:tcBorders>
              <w:top w:val="nil"/>
              <w:left w:val="nil"/>
              <w:bottom w:val="nil"/>
              <w:right w:val="nil"/>
            </w:tcBorders>
            <w:shd w:val="clear" w:color="000000" w:fill="FFFFFF"/>
            <w:vAlign w:val="center"/>
          </w:tcPr>
          <w:p w14:paraId="5C947557" w14:textId="77777777" w:rsidR="001A095A" w:rsidRPr="001564C8" w:rsidRDefault="001A095A" w:rsidP="00387AE5">
            <w:pPr>
              <w:ind w:firstLineChars="100" w:firstLine="201"/>
              <w:rPr>
                <w:rFonts w:cs="Times New Roman"/>
                <w:b/>
                <w:bCs/>
                <w:color w:val="000000"/>
                <w:sz w:val="20"/>
                <w:szCs w:val="20"/>
              </w:rPr>
            </w:pPr>
            <w:r w:rsidRPr="001564C8">
              <w:rPr>
                <w:rFonts w:cs="Times New Roman"/>
                <w:b/>
                <w:bCs/>
                <w:color w:val="000000"/>
                <w:sz w:val="20"/>
                <w:szCs w:val="20"/>
              </w:rPr>
              <w:t>MF SR</w:t>
            </w:r>
          </w:p>
        </w:tc>
        <w:tc>
          <w:tcPr>
            <w:tcW w:w="930" w:type="pct"/>
            <w:tcBorders>
              <w:top w:val="nil"/>
              <w:left w:val="nil"/>
              <w:bottom w:val="nil"/>
              <w:right w:val="nil"/>
            </w:tcBorders>
            <w:shd w:val="clear" w:color="000000" w:fill="FFFFFF"/>
            <w:vAlign w:val="center"/>
          </w:tcPr>
          <w:p w14:paraId="466677ED"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2,5</w:t>
            </w:r>
          </w:p>
        </w:tc>
        <w:tc>
          <w:tcPr>
            <w:tcW w:w="929" w:type="pct"/>
            <w:tcBorders>
              <w:top w:val="nil"/>
              <w:left w:val="nil"/>
              <w:bottom w:val="nil"/>
              <w:right w:val="nil"/>
            </w:tcBorders>
            <w:shd w:val="clear" w:color="000000" w:fill="FFFFFF"/>
            <w:vAlign w:val="center"/>
          </w:tcPr>
          <w:p w14:paraId="64139976"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2,6</w:t>
            </w:r>
          </w:p>
        </w:tc>
        <w:tc>
          <w:tcPr>
            <w:tcW w:w="1202" w:type="pct"/>
            <w:tcBorders>
              <w:top w:val="nil"/>
              <w:left w:val="nil"/>
              <w:bottom w:val="nil"/>
              <w:right w:val="nil"/>
            </w:tcBorders>
            <w:shd w:val="clear" w:color="000000" w:fill="FFFFFF"/>
            <w:vAlign w:val="center"/>
          </w:tcPr>
          <w:p w14:paraId="5EF31FF4" w14:textId="77777777" w:rsidR="001A095A" w:rsidRPr="001564C8" w:rsidRDefault="001A095A" w:rsidP="00387AE5">
            <w:pPr>
              <w:jc w:val="center"/>
              <w:rPr>
                <w:rFonts w:cs="Times New Roman"/>
                <w:b/>
                <w:bCs/>
                <w:color w:val="000000"/>
                <w:sz w:val="20"/>
                <w:szCs w:val="20"/>
              </w:rPr>
            </w:pPr>
            <w:r w:rsidRPr="001564C8">
              <w:rPr>
                <w:b/>
                <w:bCs/>
                <w:color w:val="000000"/>
                <w:sz w:val="18"/>
                <w:szCs w:val="18"/>
              </w:rPr>
              <w:t>2,4</w:t>
            </w:r>
          </w:p>
        </w:tc>
      </w:tr>
      <w:tr w:rsidR="001A095A" w:rsidRPr="001564C8" w14:paraId="6DBB3734" w14:textId="77777777" w:rsidTr="00387AE5">
        <w:trPr>
          <w:trHeight w:val="24"/>
          <w:jc w:val="center"/>
        </w:trPr>
        <w:tc>
          <w:tcPr>
            <w:tcW w:w="1939" w:type="pct"/>
            <w:tcBorders>
              <w:top w:val="nil"/>
              <w:left w:val="nil"/>
              <w:bottom w:val="nil"/>
              <w:right w:val="nil"/>
            </w:tcBorders>
            <w:shd w:val="clear" w:color="auto" w:fill="auto"/>
            <w:vAlign w:val="center"/>
          </w:tcPr>
          <w:p w14:paraId="7EF0E9B4" w14:textId="77777777" w:rsidR="001A095A" w:rsidRPr="001564C8" w:rsidRDefault="001A095A" w:rsidP="00387AE5">
            <w:pPr>
              <w:ind w:firstLineChars="100" w:firstLine="200"/>
              <w:rPr>
                <w:color w:val="000000"/>
                <w:sz w:val="20"/>
                <w:szCs w:val="20"/>
              </w:rPr>
            </w:pPr>
            <w:r w:rsidRPr="001564C8">
              <w:rPr>
                <w:color w:val="000000"/>
                <w:sz w:val="20"/>
                <w:szCs w:val="20"/>
              </w:rPr>
              <w:t>Makrovýbor (medián)</w:t>
            </w:r>
          </w:p>
        </w:tc>
        <w:tc>
          <w:tcPr>
            <w:tcW w:w="930" w:type="pct"/>
            <w:tcBorders>
              <w:top w:val="nil"/>
              <w:left w:val="nil"/>
              <w:bottom w:val="nil"/>
              <w:right w:val="nil"/>
            </w:tcBorders>
            <w:shd w:val="clear" w:color="auto" w:fill="auto"/>
            <w:vAlign w:val="center"/>
          </w:tcPr>
          <w:p w14:paraId="7B429E37" w14:textId="77777777" w:rsidR="001A095A" w:rsidRPr="001564C8" w:rsidRDefault="001A095A" w:rsidP="00387AE5">
            <w:pPr>
              <w:jc w:val="center"/>
              <w:rPr>
                <w:color w:val="000000"/>
                <w:sz w:val="20"/>
                <w:szCs w:val="20"/>
              </w:rPr>
            </w:pPr>
            <w:r w:rsidRPr="001564C8">
              <w:rPr>
                <w:color w:val="000000"/>
                <w:sz w:val="18"/>
                <w:szCs w:val="18"/>
              </w:rPr>
              <w:t>2,5</w:t>
            </w:r>
          </w:p>
        </w:tc>
        <w:tc>
          <w:tcPr>
            <w:tcW w:w="929" w:type="pct"/>
            <w:tcBorders>
              <w:top w:val="nil"/>
              <w:left w:val="nil"/>
              <w:bottom w:val="nil"/>
              <w:right w:val="nil"/>
            </w:tcBorders>
            <w:shd w:val="clear" w:color="auto" w:fill="auto"/>
            <w:vAlign w:val="center"/>
          </w:tcPr>
          <w:p w14:paraId="45BC9FB0" w14:textId="77777777" w:rsidR="001A095A" w:rsidRPr="001564C8" w:rsidRDefault="001A095A" w:rsidP="00387AE5">
            <w:pPr>
              <w:jc w:val="center"/>
              <w:rPr>
                <w:color w:val="000000"/>
                <w:sz w:val="20"/>
                <w:szCs w:val="20"/>
              </w:rPr>
            </w:pPr>
            <w:r w:rsidRPr="001564C8">
              <w:rPr>
                <w:color w:val="000000"/>
                <w:sz w:val="18"/>
                <w:szCs w:val="18"/>
              </w:rPr>
              <w:t>2,6</w:t>
            </w:r>
          </w:p>
        </w:tc>
        <w:tc>
          <w:tcPr>
            <w:tcW w:w="1202" w:type="pct"/>
            <w:tcBorders>
              <w:top w:val="nil"/>
              <w:left w:val="nil"/>
              <w:bottom w:val="nil"/>
              <w:right w:val="nil"/>
            </w:tcBorders>
            <w:shd w:val="clear" w:color="auto" w:fill="auto"/>
            <w:vAlign w:val="center"/>
          </w:tcPr>
          <w:p w14:paraId="7046F894" w14:textId="77777777" w:rsidR="001A095A" w:rsidRPr="001564C8" w:rsidRDefault="001A095A" w:rsidP="00387AE5">
            <w:pPr>
              <w:jc w:val="center"/>
              <w:rPr>
                <w:color w:val="000000"/>
                <w:sz w:val="20"/>
                <w:szCs w:val="20"/>
              </w:rPr>
            </w:pPr>
            <w:r w:rsidRPr="001564C8">
              <w:rPr>
                <w:color w:val="000000"/>
                <w:sz w:val="18"/>
                <w:szCs w:val="18"/>
              </w:rPr>
              <w:t>2,4</w:t>
            </w:r>
          </w:p>
        </w:tc>
      </w:tr>
      <w:tr w:rsidR="001A095A" w:rsidRPr="001564C8" w14:paraId="5B901DB6" w14:textId="77777777" w:rsidTr="00387AE5">
        <w:trPr>
          <w:trHeight w:val="24"/>
          <w:jc w:val="center"/>
        </w:trPr>
        <w:tc>
          <w:tcPr>
            <w:tcW w:w="1939" w:type="pct"/>
            <w:tcBorders>
              <w:top w:val="nil"/>
              <w:left w:val="nil"/>
              <w:bottom w:val="nil"/>
              <w:right w:val="nil"/>
            </w:tcBorders>
            <w:shd w:val="clear" w:color="000000" w:fill="FFFFFF"/>
            <w:vAlign w:val="center"/>
          </w:tcPr>
          <w:p w14:paraId="4241C665"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NBS</w:t>
            </w:r>
          </w:p>
        </w:tc>
        <w:tc>
          <w:tcPr>
            <w:tcW w:w="930" w:type="pct"/>
            <w:tcBorders>
              <w:top w:val="nil"/>
              <w:left w:val="nil"/>
              <w:bottom w:val="nil"/>
              <w:right w:val="nil"/>
            </w:tcBorders>
            <w:shd w:val="clear" w:color="000000" w:fill="FFFFFF"/>
            <w:vAlign w:val="center"/>
          </w:tcPr>
          <w:p w14:paraId="7064D7F2" w14:textId="77777777" w:rsidR="001A095A" w:rsidRPr="001564C8" w:rsidRDefault="001A095A" w:rsidP="00387AE5">
            <w:pPr>
              <w:jc w:val="center"/>
              <w:rPr>
                <w:rFonts w:cs="Times New Roman"/>
                <w:color w:val="000000"/>
                <w:sz w:val="20"/>
                <w:szCs w:val="20"/>
              </w:rPr>
            </w:pPr>
            <w:r w:rsidRPr="001564C8">
              <w:rPr>
                <w:color w:val="000000"/>
                <w:sz w:val="18"/>
                <w:szCs w:val="18"/>
              </w:rPr>
              <w:t>2,5</w:t>
            </w:r>
          </w:p>
        </w:tc>
        <w:tc>
          <w:tcPr>
            <w:tcW w:w="929" w:type="pct"/>
            <w:tcBorders>
              <w:top w:val="nil"/>
              <w:left w:val="nil"/>
              <w:bottom w:val="nil"/>
              <w:right w:val="nil"/>
            </w:tcBorders>
            <w:shd w:val="clear" w:color="000000" w:fill="FFFFFF"/>
            <w:vAlign w:val="center"/>
          </w:tcPr>
          <w:p w14:paraId="67BD5526" w14:textId="3AAF75A4" w:rsidR="001A095A" w:rsidRPr="001564C8" w:rsidRDefault="001A095A" w:rsidP="00387AE5">
            <w:pPr>
              <w:jc w:val="center"/>
              <w:rPr>
                <w:rFonts w:cs="Times New Roman"/>
                <w:color w:val="000000"/>
                <w:sz w:val="20"/>
                <w:szCs w:val="20"/>
              </w:rPr>
            </w:pPr>
            <w:r w:rsidRPr="001564C8">
              <w:rPr>
                <w:color w:val="000000"/>
                <w:sz w:val="18"/>
                <w:szCs w:val="18"/>
              </w:rPr>
              <w:t>2,</w:t>
            </w:r>
            <w:r w:rsidR="00592550">
              <w:rPr>
                <w:color w:val="000000"/>
                <w:sz w:val="18"/>
                <w:szCs w:val="18"/>
              </w:rPr>
              <w:t>5</w:t>
            </w:r>
          </w:p>
        </w:tc>
        <w:tc>
          <w:tcPr>
            <w:tcW w:w="1202" w:type="pct"/>
            <w:tcBorders>
              <w:top w:val="nil"/>
              <w:left w:val="nil"/>
              <w:bottom w:val="nil"/>
              <w:right w:val="nil"/>
            </w:tcBorders>
            <w:shd w:val="clear" w:color="000000" w:fill="FFFFFF"/>
            <w:vAlign w:val="center"/>
          </w:tcPr>
          <w:p w14:paraId="657884EB" w14:textId="77777777" w:rsidR="001A095A" w:rsidRPr="001564C8" w:rsidRDefault="001A095A" w:rsidP="00387AE5">
            <w:pPr>
              <w:jc w:val="center"/>
              <w:rPr>
                <w:rFonts w:cs="Times New Roman"/>
                <w:color w:val="000000"/>
                <w:sz w:val="20"/>
                <w:szCs w:val="20"/>
              </w:rPr>
            </w:pPr>
            <w:r w:rsidRPr="001564C8">
              <w:rPr>
                <w:color w:val="000000"/>
                <w:sz w:val="18"/>
                <w:szCs w:val="18"/>
              </w:rPr>
              <w:t>2,5</w:t>
            </w:r>
          </w:p>
        </w:tc>
      </w:tr>
      <w:tr w:rsidR="001A095A" w:rsidRPr="001564C8" w14:paraId="20D7E668" w14:textId="77777777" w:rsidTr="00387AE5">
        <w:trPr>
          <w:trHeight w:val="24"/>
          <w:jc w:val="center"/>
        </w:trPr>
        <w:tc>
          <w:tcPr>
            <w:tcW w:w="1939" w:type="pct"/>
            <w:tcBorders>
              <w:top w:val="nil"/>
              <w:left w:val="nil"/>
              <w:bottom w:val="nil"/>
              <w:right w:val="nil"/>
            </w:tcBorders>
            <w:shd w:val="clear" w:color="000000" w:fill="FFFFFF"/>
            <w:vAlign w:val="center"/>
          </w:tcPr>
          <w:p w14:paraId="42D0B000"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EK</w:t>
            </w:r>
          </w:p>
        </w:tc>
        <w:tc>
          <w:tcPr>
            <w:tcW w:w="930" w:type="pct"/>
            <w:tcBorders>
              <w:top w:val="nil"/>
              <w:left w:val="nil"/>
              <w:bottom w:val="nil"/>
              <w:right w:val="nil"/>
            </w:tcBorders>
            <w:shd w:val="clear" w:color="auto" w:fill="auto"/>
            <w:vAlign w:val="center"/>
          </w:tcPr>
          <w:p w14:paraId="5AFCC485" w14:textId="77777777" w:rsidR="001A095A" w:rsidRPr="001564C8" w:rsidRDefault="001A095A" w:rsidP="00387AE5">
            <w:pPr>
              <w:jc w:val="center"/>
              <w:rPr>
                <w:rFonts w:cs="Times New Roman"/>
                <w:color w:val="000000"/>
                <w:sz w:val="20"/>
                <w:szCs w:val="20"/>
              </w:rPr>
            </w:pPr>
            <w:r w:rsidRPr="001564C8">
              <w:rPr>
                <w:color w:val="000000"/>
                <w:sz w:val="18"/>
                <w:szCs w:val="18"/>
              </w:rPr>
              <w:t>2,5</w:t>
            </w:r>
          </w:p>
        </w:tc>
        <w:tc>
          <w:tcPr>
            <w:tcW w:w="929" w:type="pct"/>
            <w:tcBorders>
              <w:top w:val="nil"/>
              <w:left w:val="nil"/>
              <w:bottom w:val="nil"/>
              <w:right w:val="nil"/>
            </w:tcBorders>
            <w:shd w:val="clear" w:color="auto" w:fill="auto"/>
            <w:vAlign w:val="center"/>
          </w:tcPr>
          <w:p w14:paraId="2E0BF7F6" w14:textId="77777777" w:rsidR="001A095A" w:rsidRPr="001564C8" w:rsidRDefault="001A095A" w:rsidP="00387AE5">
            <w:pPr>
              <w:jc w:val="center"/>
              <w:rPr>
                <w:rFonts w:cs="Times New Roman"/>
                <w:color w:val="000000"/>
                <w:sz w:val="20"/>
                <w:szCs w:val="20"/>
              </w:rPr>
            </w:pPr>
            <w:r w:rsidRPr="001564C8">
              <w:rPr>
                <w:color w:val="000000"/>
                <w:sz w:val="18"/>
                <w:szCs w:val="18"/>
              </w:rPr>
              <w:t>2,5</w:t>
            </w:r>
          </w:p>
        </w:tc>
        <w:tc>
          <w:tcPr>
            <w:tcW w:w="1202" w:type="pct"/>
            <w:tcBorders>
              <w:top w:val="nil"/>
              <w:left w:val="nil"/>
              <w:bottom w:val="nil"/>
              <w:right w:val="nil"/>
            </w:tcBorders>
            <w:shd w:val="clear" w:color="auto" w:fill="auto"/>
            <w:vAlign w:val="center"/>
          </w:tcPr>
          <w:p w14:paraId="1C346373" w14:textId="77777777" w:rsidR="001A095A" w:rsidRPr="001564C8" w:rsidRDefault="001A095A" w:rsidP="00387AE5">
            <w:pPr>
              <w:jc w:val="center"/>
              <w:rPr>
                <w:rFonts w:cs="Times New Roman"/>
                <w:color w:val="000000"/>
                <w:sz w:val="20"/>
                <w:szCs w:val="20"/>
              </w:rPr>
            </w:pPr>
            <w:r w:rsidRPr="001564C8">
              <w:rPr>
                <w:color w:val="000000"/>
                <w:sz w:val="18"/>
                <w:szCs w:val="18"/>
              </w:rPr>
              <w:t>2,4</w:t>
            </w:r>
          </w:p>
        </w:tc>
      </w:tr>
      <w:tr w:rsidR="001A095A" w:rsidRPr="001564C8" w14:paraId="645420BC" w14:textId="77777777" w:rsidTr="00387AE5">
        <w:trPr>
          <w:trHeight w:val="24"/>
          <w:jc w:val="center"/>
        </w:trPr>
        <w:tc>
          <w:tcPr>
            <w:tcW w:w="1939" w:type="pct"/>
            <w:tcBorders>
              <w:top w:val="nil"/>
              <w:left w:val="nil"/>
              <w:bottom w:val="nil"/>
              <w:right w:val="nil"/>
            </w:tcBorders>
            <w:shd w:val="clear" w:color="000000" w:fill="FFFFFF"/>
            <w:vAlign w:val="center"/>
          </w:tcPr>
          <w:p w14:paraId="15AEDD08"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OECD</w:t>
            </w:r>
          </w:p>
        </w:tc>
        <w:tc>
          <w:tcPr>
            <w:tcW w:w="930" w:type="pct"/>
            <w:tcBorders>
              <w:top w:val="nil"/>
              <w:left w:val="nil"/>
              <w:bottom w:val="nil"/>
              <w:right w:val="nil"/>
            </w:tcBorders>
            <w:shd w:val="clear" w:color="000000" w:fill="FFFFFF"/>
            <w:vAlign w:val="center"/>
          </w:tcPr>
          <w:p w14:paraId="706226B0" w14:textId="77777777" w:rsidR="001A095A" w:rsidRPr="001564C8" w:rsidRDefault="001A095A" w:rsidP="00387AE5">
            <w:pPr>
              <w:jc w:val="center"/>
              <w:rPr>
                <w:rFonts w:cs="Times New Roman"/>
                <w:color w:val="000000"/>
                <w:sz w:val="20"/>
                <w:szCs w:val="20"/>
              </w:rPr>
            </w:pPr>
            <w:r w:rsidRPr="001564C8">
              <w:rPr>
                <w:color w:val="000000"/>
                <w:sz w:val="18"/>
                <w:szCs w:val="18"/>
              </w:rPr>
              <w:t>2,7</w:t>
            </w:r>
          </w:p>
        </w:tc>
        <w:tc>
          <w:tcPr>
            <w:tcW w:w="929" w:type="pct"/>
            <w:tcBorders>
              <w:top w:val="nil"/>
              <w:left w:val="nil"/>
              <w:bottom w:val="nil"/>
              <w:right w:val="nil"/>
            </w:tcBorders>
            <w:shd w:val="clear" w:color="000000" w:fill="FFFFFF"/>
            <w:vAlign w:val="center"/>
          </w:tcPr>
          <w:p w14:paraId="00732348" w14:textId="77777777" w:rsidR="001A095A" w:rsidRPr="001564C8" w:rsidRDefault="001A095A" w:rsidP="00387AE5">
            <w:pPr>
              <w:jc w:val="center"/>
              <w:rPr>
                <w:rFonts w:cs="Times New Roman"/>
                <w:color w:val="000000"/>
                <w:sz w:val="20"/>
                <w:szCs w:val="20"/>
              </w:rPr>
            </w:pPr>
            <w:r w:rsidRPr="001564C8">
              <w:rPr>
                <w:color w:val="000000"/>
                <w:sz w:val="18"/>
                <w:szCs w:val="18"/>
              </w:rPr>
              <w:t>2,7</w:t>
            </w:r>
          </w:p>
        </w:tc>
        <w:tc>
          <w:tcPr>
            <w:tcW w:w="1202" w:type="pct"/>
            <w:tcBorders>
              <w:top w:val="nil"/>
              <w:left w:val="nil"/>
              <w:bottom w:val="nil"/>
              <w:right w:val="nil"/>
            </w:tcBorders>
            <w:shd w:val="clear" w:color="000000" w:fill="FFFFFF"/>
            <w:vAlign w:val="center"/>
          </w:tcPr>
          <w:p w14:paraId="5C1D1FA7" w14:textId="77777777" w:rsidR="001A095A" w:rsidRPr="001564C8" w:rsidRDefault="001A095A" w:rsidP="00387AE5">
            <w:pPr>
              <w:jc w:val="center"/>
              <w:rPr>
                <w:rFonts w:cs="Times New Roman"/>
                <w:color w:val="000000"/>
                <w:sz w:val="20"/>
                <w:szCs w:val="20"/>
              </w:rPr>
            </w:pPr>
            <w:r w:rsidRPr="001564C8">
              <w:rPr>
                <w:color w:val="000000"/>
                <w:sz w:val="18"/>
                <w:szCs w:val="18"/>
              </w:rPr>
              <w:t>3,0</w:t>
            </w:r>
          </w:p>
        </w:tc>
      </w:tr>
      <w:tr w:rsidR="001A095A" w:rsidRPr="001564C8" w14:paraId="2D095847" w14:textId="77777777" w:rsidTr="00387AE5">
        <w:trPr>
          <w:trHeight w:val="24"/>
          <w:jc w:val="center"/>
        </w:trPr>
        <w:tc>
          <w:tcPr>
            <w:tcW w:w="1939" w:type="pct"/>
            <w:tcBorders>
              <w:top w:val="nil"/>
              <w:left w:val="nil"/>
              <w:bottom w:val="single" w:sz="8" w:space="0" w:color="auto"/>
              <w:right w:val="nil"/>
            </w:tcBorders>
            <w:shd w:val="clear" w:color="000000" w:fill="FFFFFF"/>
            <w:vAlign w:val="center"/>
          </w:tcPr>
          <w:p w14:paraId="0A78B427"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MMF</w:t>
            </w:r>
          </w:p>
        </w:tc>
        <w:tc>
          <w:tcPr>
            <w:tcW w:w="930" w:type="pct"/>
            <w:tcBorders>
              <w:top w:val="nil"/>
              <w:left w:val="nil"/>
              <w:bottom w:val="single" w:sz="8" w:space="0" w:color="auto"/>
              <w:right w:val="nil"/>
            </w:tcBorders>
            <w:shd w:val="clear" w:color="000000" w:fill="FFFFFF"/>
            <w:vAlign w:val="center"/>
          </w:tcPr>
          <w:p w14:paraId="53A3E634" w14:textId="554D260D" w:rsidR="001A095A" w:rsidRPr="001564C8" w:rsidRDefault="001A095A" w:rsidP="00387AE5">
            <w:pPr>
              <w:jc w:val="center"/>
              <w:rPr>
                <w:rFonts w:cs="Times New Roman"/>
                <w:color w:val="000000"/>
                <w:sz w:val="20"/>
                <w:szCs w:val="20"/>
              </w:rPr>
            </w:pPr>
            <w:r w:rsidRPr="001564C8">
              <w:rPr>
                <w:color w:val="000000"/>
                <w:sz w:val="18"/>
                <w:szCs w:val="18"/>
              </w:rPr>
              <w:t>2,</w:t>
            </w:r>
            <w:r w:rsidR="00592550">
              <w:rPr>
                <w:color w:val="000000"/>
                <w:sz w:val="18"/>
                <w:szCs w:val="18"/>
              </w:rPr>
              <w:t>5</w:t>
            </w:r>
          </w:p>
        </w:tc>
        <w:tc>
          <w:tcPr>
            <w:tcW w:w="929" w:type="pct"/>
            <w:tcBorders>
              <w:top w:val="nil"/>
              <w:left w:val="nil"/>
              <w:bottom w:val="single" w:sz="8" w:space="0" w:color="auto"/>
              <w:right w:val="nil"/>
            </w:tcBorders>
            <w:shd w:val="clear" w:color="000000" w:fill="FFFFFF"/>
            <w:vAlign w:val="center"/>
          </w:tcPr>
          <w:p w14:paraId="51C32EE8" w14:textId="31A3D64A" w:rsidR="001A095A" w:rsidRPr="001564C8" w:rsidRDefault="001A095A" w:rsidP="00387AE5">
            <w:pPr>
              <w:jc w:val="center"/>
              <w:rPr>
                <w:rFonts w:cs="Times New Roman"/>
                <w:color w:val="000000"/>
                <w:sz w:val="20"/>
                <w:szCs w:val="20"/>
              </w:rPr>
            </w:pPr>
            <w:r w:rsidRPr="001564C8">
              <w:rPr>
                <w:color w:val="000000"/>
                <w:sz w:val="18"/>
                <w:szCs w:val="18"/>
              </w:rPr>
              <w:t>2,</w:t>
            </w:r>
            <w:r w:rsidR="00592550">
              <w:rPr>
                <w:color w:val="000000"/>
                <w:sz w:val="18"/>
                <w:szCs w:val="18"/>
              </w:rPr>
              <w:t>4</w:t>
            </w:r>
          </w:p>
        </w:tc>
        <w:tc>
          <w:tcPr>
            <w:tcW w:w="1202" w:type="pct"/>
            <w:tcBorders>
              <w:top w:val="nil"/>
              <w:left w:val="nil"/>
              <w:bottom w:val="single" w:sz="8" w:space="0" w:color="auto"/>
              <w:right w:val="nil"/>
            </w:tcBorders>
            <w:shd w:val="clear" w:color="000000" w:fill="FFFFFF"/>
            <w:vAlign w:val="center"/>
          </w:tcPr>
          <w:p w14:paraId="47EB6833" w14:textId="6912F51A" w:rsidR="001A095A" w:rsidRPr="001564C8" w:rsidRDefault="001A095A" w:rsidP="00387AE5">
            <w:pPr>
              <w:jc w:val="center"/>
              <w:rPr>
                <w:rFonts w:cs="Times New Roman"/>
                <w:color w:val="000000"/>
                <w:sz w:val="20"/>
                <w:szCs w:val="20"/>
              </w:rPr>
            </w:pPr>
            <w:r w:rsidRPr="001564C8">
              <w:rPr>
                <w:color w:val="000000"/>
                <w:sz w:val="18"/>
                <w:szCs w:val="18"/>
              </w:rPr>
              <w:t>2,</w:t>
            </w:r>
            <w:r w:rsidR="00592550">
              <w:rPr>
                <w:color w:val="000000"/>
                <w:sz w:val="18"/>
                <w:szCs w:val="18"/>
              </w:rPr>
              <w:t>2</w:t>
            </w:r>
          </w:p>
        </w:tc>
      </w:tr>
      <w:tr w:rsidR="001A095A" w:rsidRPr="001564C8" w14:paraId="54EF0E8C" w14:textId="77777777" w:rsidTr="00387AE5">
        <w:trPr>
          <w:trHeight w:val="24"/>
          <w:jc w:val="center"/>
        </w:trPr>
        <w:tc>
          <w:tcPr>
            <w:tcW w:w="5000" w:type="pct"/>
            <w:gridSpan w:val="4"/>
            <w:tcBorders>
              <w:top w:val="single" w:sz="8" w:space="0" w:color="auto"/>
              <w:left w:val="nil"/>
              <w:bottom w:val="single" w:sz="8" w:space="0" w:color="auto"/>
              <w:right w:val="nil"/>
            </w:tcBorders>
            <w:shd w:val="clear" w:color="auto" w:fill="F2F2F2" w:themeFill="background1" w:themeFillShade="F2"/>
            <w:vAlign w:val="center"/>
          </w:tcPr>
          <w:p w14:paraId="5A8C56E9" w14:textId="77777777" w:rsidR="001A095A" w:rsidRPr="001564C8" w:rsidRDefault="001A095A" w:rsidP="00387AE5">
            <w:pPr>
              <w:jc w:val="center"/>
              <w:rPr>
                <w:rFonts w:cs="Times New Roman"/>
                <w:b/>
                <w:bCs/>
                <w:color w:val="000000"/>
                <w:sz w:val="20"/>
                <w:szCs w:val="20"/>
              </w:rPr>
            </w:pPr>
            <w:r w:rsidRPr="001564C8">
              <w:rPr>
                <w:rFonts w:cs="Times New Roman"/>
                <w:b/>
                <w:bCs/>
                <w:color w:val="000000"/>
                <w:sz w:val="20"/>
                <w:szCs w:val="20"/>
              </w:rPr>
              <w:t xml:space="preserve">                                                                           Bežný účet (% HDP)</w:t>
            </w:r>
          </w:p>
        </w:tc>
      </w:tr>
      <w:tr w:rsidR="001A095A" w:rsidRPr="001564C8" w14:paraId="15993986" w14:textId="77777777" w:rsidTr="00387AE5">
        <w:trPr>
          <w:trHeight w:val="24"/>
          <w:jc w:val="center"/>
        </w:trPr>
        <w:tc>
          <w:tcPr>
            <w:tcW w:w="1939" w:type="pct"/>
            <w:tcBorders>
              <w:top w:val="nil"/>
              <w:left w:val="nil"/>
              <w:bottom w:val="nil"/>
              <w:right w:val="nil"/>
            </w:tcBorders>
            <w:shd w:val="clear" w:color="000000" w:fill="FFFFFF"/>
            <w:vAlign w:val="center"/>
          </w:tcPr>
          <w:p w14:paraId="720DEBE5" w14:textId="77777777" w:rsidR="001A095A" w:rsidRPr="001564C8" w:rsidRDefault="001A095A" w:rsidP="00387AE5">
            <w:pPr>
              <w:ind w:firstLineChars="100" w:firstLine="201"/>
              <w:rPr>
                <w:rFonts w:cs="Times New Roman"/>
                <w:b/>
                <w:bCs/>
                <w:color w:val="000000"/>
                <w:sz w:val="20"/>
                <w:szCs w:val="20"/>
              </w:rPr>
            </w:pPr>
            <w:r w:rsidRPr="001564C8">
              <w:rPr>
                <w:rFonts w:cs="Times New Roman"/>
                <w:b/>
                <w:bCs/>
                <w:color w:val="000000"/>
                <w:sz w:val="20"/>
                <w:szCs w:val="20"/>
              </w:rPr>
              <w:t>MF SR</w:t>
            </w:r>
          </w:p>
        </w:tc>
        <w:tc>
          <w:tcPr>
            <w:tcW w:w="930" w:type="pct"/>
            <w:tcBorders>
              <w:top w:val="nil"/>
              <w:left w:val="nil"/>
              <w:bottom w:val="nil"/>
              <w:right w:val="nil"/>
            </w:tcBorders>
            <w:shd w:val="clear" w:color="000000" w:fill="auto"/>
            <w:vAlign w:val="center"/>
          </w:tcPr>
          <w:p w14:paraId="1B1FA4A2" w14:textId="77777777" w:rsidR="001A095A" w:rsidRPr="001564C8" w:rsidRDefault="001A095A" w:rsidP="00387AE5">
            <w:pPr>
              <w:jc w:val="center"/>
              <w:rPr>
                <w:b/>
                <w:color w:val="000000"/>
                <w:sz w:val="20"/>
                <w:szCs w:val="20"/>
              </w:rPr>
            </w:pPr>
            <w:r w:rsidRPr="001564C8">
              <w:rPr>
                <w:b/>
                <w:bCs/>
                <w:color w:val="000000"/>
                <w:sz w:val="18"/>
                <w:szCs w:val="18"/>
              </w:rPr>
              <w:t>-2,6</w:t>
            </w:r>
          </w:p>
        </w:tc>
        <w:tc>
          <w:tcPr>
            <w:tcW w:w="929" w:type="pct"/>
            <w:tcBorders>
              <w:top w:val="nil"/>
              <w:left w:val="nil"/>
              <w:bottom w:val="nil"/>
              <w:right w:val="nil"/>
            </w:tcBorders>
            <w:shd w:val="clear" w:color="000000" w:fill="FFFFFF"/>
            <w:vAlign w:val="center"/>
          </w:tcPr>
          <w:p w14:paraId="27FB98D2" w14:textId="77777777" w:rsidR="001A095A" w:rsidRPr="001564C8" w:rsidRDefault="001A095A" w:rsidP="00387AE5">
            <w:pPr>
              <w:jc w:val="center"/>
              <w:rPr>
                <w:b/>
                <w:color w:val="000000"/>
                <w:sz w:val="20"/>
                <w:szCs w:val="20"/>
              </w:rPr>
            </w:pPr>
            <w:r w:rsidRPr="001564C8">
              <w:rPr>
                <w:b/>
                <w:bCs/>
                <w:color w:val="000000"/>
                <w:sz w:val="18"/>
                <w:szCs w:val="18"/>
              </w:rPr>
              <w:t>-2,0</w:t>
            </w:r>
          </w:p>
        </w:tc>
        <w:tc>
          <w:tcPr>
            <w:tcW w:w="1202" w:type="pct"/>
            <w:tcBorders>
              <w:top w:val="nil"/>
              <w:left w:val="nil"/>
              <w:bottom w:val="nil"/>
              <w:right w:val="nil"/>
            </w:tcBorders>
            <w:shd w:val="clear" w:color="000000" w:fill="FFFFFF"/>
            <w:vAlign w:val="center"/>
          </w:tcPr>
          <w:p w14:paraId="7A226C14" w14:textId="77777777" w:rsidR="001A095A" w:rsidRPr="001564C8" w:rsidRDefault="001A095A" w:rsidP="00387AE5">
            <w:pPr>
              <w:jc w:val="center"/>
              <w:rPr>
                <w:b/>
                <w:color w:val="000000"/>
                <w:sz w:val="20"/>
                <w:szCs w:val="20"/>
              </w:rPr>
            </w:pPr>
            <w:r w:rsidRPr="001564C8">
              <w:rPr>
                <w:b/>
                <w:bCs/>
                <w:color w:val="000000"/>
                <w:sz w:val="18"/>
                <w:szCs w:val="18"/>
              </w:rPr>
              <w:t>-1,5</w:t>
            </w:r>
          </w:p>
        </w:tc>
      </w:tr>
      <w:tr w:rsidR="001A095A" w:rsidRPr="001564C8" w14:paraId="73B50EC5" w14:textId="77777777" w:rsidTr="00387AE5">
        <w:trPr>
          <w:trHeight w:val="24"/>
          <w:jc w:val="center"/>
        </w:trPr>
        <w:tc>
          <w:tcPr>
            <w:tcW w:w="1939" w:type="pct"/>
            <w:tcBorders>
              <w:top w:val="nil"/>
              <w:left w:val="nil"/>
              <w:bottom w:val="nil"/>
              <w:right w:val="nil"/>
            </w:tcBorders>
            <w:shd w:val="clear" w:color="000000" w:fill="FFFFFF"/>
            <w:vAlign w:val="center"/>
          </w:tcPr>
          <w:p w14:paraId="32407FB4" w14:textId="77777777" w:rsidR="001A095A" w:rsidRPr="001564C8" w:rsidRDefault="001A095A" w:rsidP="00387AE5">
            <w:pPr>
              <w:ind w:firstLineChars="100" w:firstLine="200"/>
              <w:rPr>
                <w:color w:val="000000"/>
                <w:sz w:val="20"/>
                <w:szCs w:val="20"/>
              </w:rPr>
            </w:pPr>
            <w:r w:rsidRPr="001564C8">
              <w:rPr>
                <w:color w:val="000000"/>
                <w:sz w:val="20"/>
                <w:szCs w:val="20"/>
              </w:rPr>
              <w:t>Makrovýbor (medián)</w:t>
            </w:r>
          </w:p>
        </w:tc>
        <w:tc>
          <w:tcPr>
            <w:tcW w:w="930" w:type="pct"/>
            <w:tcBorders>
              <w:top w:val="nil"/>
              <w:left w:val="nil"/>
              <w:bottom w:val="nil"/>
              <w:right w:val="nil"/>
            </w:tcBorders>
            <w:shd w:val="clear" w:color="000000" w:fill="FFFFFF"/>
            <w:vAlign w:val="center"/>
          </w:tcPr>
          <w:p w14:paraId="6F6FF4CE" w14:textId="77777777" w:rsidR="001A095A" w:rsidRPr="001564C8" w:rsidRDefault="001A095A" w:rsidP="00387AE5">
            <w:pPr>
              <w:jc w:val="center"/>
              <w:rPr>
                <w:color w:val="000000"/>
                <w:sz w:val="20"/>
                <w:szCs w:val="20"/>
              </w:rPr>
            </w:pPr>
            <w:r w:rsidRPr="001564C8">
              <w:rPr>
                <w:color w:val="000000"/>
                <w:sz w:val="18"/>
                <w:szCs w:val="18"/>
              </w:rPr>
              <w:t>-1,9</w:t>
            </w:r>
          </w:p>
        </w:tc>
        <w:tc>
          <w:tcPr>
            <w:tcW w:w="929" w:type="pct"/>
            <w:tcBorders>
              <w:top w:val="nil"/>
              <w:left w:val="nil"/>
              <w:bottom w:val="nil"/>
              <w:right w:val="nil"/>
            </w:tcBorders>
            <w:shd w:val="clear" w:color="000000" w:fill="FFFFFF"/>
            <w:vAlign w:val="center"/>
          </w:tcPr>
          <w:p w14:paraId="350F6990" w14:textId="77777777" w:rsidR="001A095A" w:rsidRPr="001564C8" w:rsidRDefault="001A095A" w:rsidP="00387AE5">
            <w:pPr>
              <w:jc w:val="center"/>
              <w:rPr>
                <w:color w:val="000000"/>
                <w:sz w:val="20"/>
                <w:szCs w:val="20"/>
              </w:rPr>
            </w:pPr>
            <w:r w:rsidRPr="001564C8">
              <w:rPr>
                <w:color w:val="000000"/>
                <w:sz w:val="18"/>
                <w:szCs w:val="18"/>
              </w:rPr>
              <w:t>-0,9</w:t>
            </w:r>
          </w:p>
        </w:tc>
        <w:tc>
          <w:tcPr>
            <w:tcW w:w="1202" w:type="pct"/>
            <w:tcBorders>
              <w:top w:val="nil"/>
              <w:left w:val="nil"/>
              <w:bottom w:val="nil"/>
              <w:right w:val="nil"/>
            </w:tcBorders>
            <w:shd w:val="clear" w:color="000000" w:fill="FFFFFF"/>
            <w:vAlign w:val="center"/>
          </w:tcPr>
          <w:p w14:paraId="2B51945A" w14:textId="77777777" w:rsidR="001A095A" w:rsidRPr="001564C8" w:rsidRDefault="001A095A" w:rsidP="00387AE5">
            <w:pPr>
              <w:jc w:val="center"/>
              <w:rPr>
                <w:color w:val="000000"/>
                <w:sz w:val="20"/>
                <w:szCs w:val="20"/>
              </w:rPr>
            </w:pPr>
            <w:r w:rsidRPr="001564C8">
              <w:rPr>
                <w:color w:val="000000"/>
                <w:sz w:val="18"/>
                <w:szCs w:val="18"/>
              </w:rPr>
              <w:t>-0,9</w:t>
            </w:r>
          </w:p>
        </w:tc>
      </w:tr>
      <w:tr w:rsidR="001A095A" w:rsidRPr="001564C8" w14:paraId="6A3569BA" w14:textId="77777777" w:rsidTr="00387AE5">
        <w:trPr>
          <w:trHeight w:val="24"/>
          <w:jc w:val="center"/>
        </w:trPr>
        <w:tc>
          <w:tcPr>
            <w:tcW w:w="1939" w:type="pct"/>
            <w:tcBorders>
              <w:top w:val="nil"/>
              <w:left w:val="nil"/>
              <w:bottom w:val="nil"/>
              <w:right w:val="nil"/>
            </w:tcBorders>
            <w:shd w:val="clear" w:color="000000" w:fill="FFFFFF"/>
            <w:vAlign w:val="center"/>
          </w:tcPr>
          <w:p w14:paraId="04047FC0"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NBS</w:t>
            </w:r>
          </w:p>
        </w:tc>
        <w:tc>
          <w:tcPr>
            <w:tcW w:w="930" w:type="pct"/>
            <w:tcBorders>
              <w:top w:val="nil"/>
              <w:left w:val="nil"/>
              <w:bottom w:val="nil"/>
              <w:right w:val="nil"/>
            </w:tcBorders>
            <w:shd w:val="clear" w:color="000000" w:fill="FFFFFF"/>
            <w:vAlign w:val="center"/>
          </w:tcPr>
          <w:p w14:paraId="3BA596AE" w14:textId="433D5530" w:rsidR="001A095A" w:rsidRPr="001564C8" w:rsidRDefault="001A095A" w:rsidP="00387AE5">
            <w:pPr>
              <w:jc w:val="center"/>
              <w:rPr>
                <w:rFonts w:cs="Times New Roman"/>
                <w:color w:val="000000"/>
                <w:sz w:val="20"/>
                <w:szCs w:val="20"/>
              </w:rPr>
            </w:pPr>
            <w:r w:rsidRPr="001564C8">
              <w:rPr>
                <w:color w:val="000000"/>
                <w:sz w:val="18"/>
                <w:szCs w:val="18"/>
              </w:rPr>
              <w:t>-2,</w:t>
            </w:r>
            <w:r w:rsidR="00592550">
              <w:rPr>
                <w:color w:val="000000"/>
                <w:sz w:val="18"/>
                <w:szCs w:val="18"/>
              </w:rPr>
              <w:t>5</w:t>
            </w:r>
          </w:p>
        </w:tc>
        <w:tc>
          <w:tcPr>
            <w:tcW w:w="929" w:type="pct"/>
            <w:tcBorders>
              <w:top w:val="nil"/>
              <w:left w:val="nil"/>
              <w:bottom w:val="nil"/>
              <w:right w:val="nil"/>
            </w:tcBorders>
            <w:shd w:val="clear" w:color="000000" w:fill="FFFFFF"/>
            <w:vAlign w:val="center"/>
          </w:tcPr>
          <w:p w14:paraId="5A927850" w14:textId="605619E5" w:rsidR="001A095A" w:rsidRPr="001564C8" w:rsidRDefault="001A095A">
            <w:pPr>
              <w:jc w:val="center"/>
              <w:rPr>
                <w:rFonts w:cs="Times New Roman"/>
                <w:color w:val="000000"/>
                <w:sz w:val="20"/>
                <w:szCs w:val="20"/>
              </w:rPr>
            </w:pPr>
            <w:r w:rsidRPr="001564C8">
              <w:rPr>
                <w:color w:val="000000"/>
                <w:sz w:val="18"/>
                <w:szCs w:val="18"/>
              </w:rPr>
              <w:t>-</w:t>
            </w:r>
            <w:r w:rsidR="00592550">
              <w:rPr>
                <w:color w:val="000000"/>
                <w:sz w:val="18"/>
                <w:szCs w:val="18"/>
              </w:rPr>
              <w:t>2</w:t>
            </w:r>
            <w:r w:rsidRPr="001564C8">
              <w:rPr>
                <w:color w:val="000000"/>
                <w:sz w:val="18"/>
                <w:szCs w:val="18"/>
              </w:rPr>
              <w:t>,</w:t>
            </w:r>
            <w:r w:rsidR="00592550">
              <w:rPr>
                <w:color w:val="000000"/>
                <w:sz w:val="18"/>
                <w:szCs w:val="18"/>
              </w:rPr>
              <w:t>9</w:t>
            </w:r>
          </w:p>
        </w:tc>
        <w:tc>
          <w:tcPr>
            <w:tcW w:w="1202" w:type="pct"/>
            <w:tcBorders>
              <w:top w:val="nil"/>
              <w:left w:val="nil"/>
              <w:bottom w:val="nil"/>
              <w:right w:val="nil"/>
            </w:tcBorders>
            <w:shd w:val="clear" w:color="000000" w:fill="FFFFFF"/>
            <w:vAlign w:val="center"/>
          </w:tcPr>
          <w:p w14:paraId="401E6C81" w14:textId="73222CF9" w:rsidR="001A095A" w:rsidRPr="001564C8" w:rsidRDefault="001A095A">
            <w:pPr>
              <w:jc w:val="center"/>
              <w:rPr>
                <w:rFonts w:cs="Times New Roman"/>
                <w:color w:val="000000"/>
                <w:sz w:val="20"/>
                <w:szCs w:val="20"/>
              </w:rPr>
            </w:pPr>
            <w:r w:rsidRPr="001564C8">
              <w:rPr>
                <w:color w:val="000000"/>
                <w:sz w:val="18"/>
                <w:szCs w:val="18"/>
              </w:rPr>
              <w:t>-</w:t>
            </w:r>
            <w:r w:rsidR="00592550">
              <w:rPr>
                <w:color w:val="000000"/>
                <w:sz w:val="18"/>
                <w:szCs w:val="18"/>
              </w:rPr>
              <w:t>3</w:t>
            </w:r>
            <w:r w:rsidRPr="001564C8">
              <w:rPr>
                <w:color w:val="000000"/>
                <w:sz w:val="18"/>
                <w:szCs w:val="18"/>
              </w:rPr>
              <w:t>,</w:t>
            </w:r>
            <w:r w:rsidR="00592550">
              <w:rPr>
                <w:color w:val="000000"/>
                <w:sz w:val="18"/>
                <w:szCs w:val="18"/>
              </w:rPr>
              <w:t>1</w:t>
            </w:r>
          </w:p>
        </w:tc>
      </w:tr>
      <w:tr w:rsidR="001A095A" w:rsidRPr="001564C8" w14:paraId="785287DC" w14:textId="77777777" w:rsidTr="00387AE5">
        <w:trPr>
          <w:trHeight w:val="24"/>
          <w:jc w:val="center"/>
        </w:trPr>
        <w:tc>
          <w:tcPr>
            <w:tcW w:w="1939" w:type="pct"/>
            <w:tcBorders>
              <w:top w:val="nil"/>
              <w:left w:val="nil"/>
              <w:bottom w:val="nil"/>
              <w:right w:val="nil"/>
            </w:tcBorders>
            <w:shd w:val="clear" w:color="000000" w:fill="FFFFFF"/>
            <w:vAlign w:val="center"/>
          </w:tcPr>
          <w:p w14:paraId="1E25EEBF"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EK</w:t>
            </w:r>
          </w:p>
        </w:tc>
        <w:tc>
          <w:tcPr>
            <w:tcW w:w="930" w:type="pct"/>
            <w:tcBorders>
              <w:top w:val="nil"/>
              <w:left w:val="nil"/>
              <w:bottom w:val="nil"/>
              <w:right w:val="nil"/>
            </w:tcBorders>
            <w:shd w:val="clear" w:color="000000" w:fill="FFFFFF"/>
            <w:vAlign w:val="center"/>
          </w:tcPr>
          <w:p w14:paraId="3044D7A0" w14:textId="77777777" w:rsidR="001A095A" w:rsidRPr="001564C8" w:rsidRDefault="001A095A" w:rsidP="00387AE5">
            <w:pPr>
              <w:jc w:val="center"/>
              <w:rPr>
                <w:rFonts w:cs="Times New Roman"/>
                <w:color w:val="000000"/>
                <w:sz w:val="20"/>
                <w:szCs w:val="20"/>
              </w:rPr>
            </w:pPr>
            <w:r w:rsidRPr="001564C8">
              <w:rPr>
                <w:color w:val="000000"/>
                <w:sz w:val="18"/>
                <w:szCs w:val="18"/>
              </w:rPr>
              <w:t>-</w:t>
            </w:r>
          </w:p>
        </w:tc>
        <w:tc>
          <w:tcPr>
            <w:tcW w:w="929" w:type="pct"/>
            <w:tcBorders>
              <w:top w:val="nil"/>
              <w:left w:val="nil"/>
              <w:bottom w:val="nil"/>
              <w:right w:val="nil"/>
            </w:tcBorders>
            <w:shd w:val="clear" w:color="000000" w:fill="FFFFFF"/>
            <w:vAlign w:val="center"/>
          </w:tcPr>
          <w:p w14:paraId="5C10DE7A" w14:textId="77777777" w:rsidR="001A095A" w:rsidRPr="001564C8" w:rsidRDefault="001A095A" w:rsidP="00387AE5">
            <w:pPr>
              <w:jc w:val="center"/>
              <w:rPr>
                <w:rFonts w:cs="Times New Roman"/>
                <w:color w:val="000000"/>
                <w:sz w:val="20"/>
                <w:szCs w:val="20"/>
              </w:rPr>
            </w:pPr>
            <w:r w:rsidRPr="001564C8">
              <w:rPr>
                <w:color w:val="000000"/>
                <w:sz w:val="18"/>
                <w:szCs w:val="18"/>
              </w:rPr>
              <w:t>-</w:t>
            </w:r>
          </w:p>
        </w:tc>
        <w:tc>
          <w:tcPr>
            <w:tcW w:w="1202" w:type="pct"/>
            <w:tcBorders>
              <w:top w:val="nil"/>
              <w:left w:val="nil"/>
              <w:bottom w:val="nil"/>
              <w:right w:val="nil"/>
            </w:tcBorders>
            <w:shd w:val="clear" w:color="000000" w:fill="FFFFFF"/>
            <w:vAlign w:val="center"/>
          </w:tcPr>
          <w:p w14:paraId="0E33E7DB" w14:textId="77777777" w:rsidR="001A095A" w:rsidRPr="001564C8" w:rsidRDefault="001A095A" w:rsidP="00387AE5">
            <w:pPr>
              <w:jc w:val="center"/>
              <w:rPr>
                <w:rFonts w:cs="Times New Roman"/>
                <w:color w:val="000000"/>
                <w:sz w:val="20"/>
                <w:szCs w:val="20"/>
              </w:rPr>
            </w:pPr>
            <w:r w:rsidRPr="001564C8">
              <w:rPr>
                <w:color w:val="000000"/>
                <w:sz w:val="18"/>
                <w:szCs w:val="18"/>
              </w:rPr>
              <w:t>-</w:t>
            </w:r>
          </w:p>
        </w:tc>
      </w:tr>
      <w:tr w:rsidR="001A095A" w:rsidRPr="001564C8" w14:paraId="2A1965A9" w14:textId="77777777" w:rsidTr="00387AE5">
        <w:trPr>
          <w:trHeight w:val="24"/>
          <w:jc w:val="center"/>
        </w:trPr>
        <w:tc>
          <w:tcPr>
            <w:tcW w:w="1939" w:type="pct"/>
            <w:tcBorders>
              <w:top w:val="nil"/>
              <w:left w:val="nil"/>
              <w:bottom w:val="nil"/>
              <w:right w:val="nil"/>
            </w:tcBorders>
            <w:shd w:val="clear" w:color="000000" w:fill="FFFFFF"/>
            <w:vAlign w:val="center"/>
          </w:tcPr>
          <w:p w14:paraId="1132F1D2"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OECD</w:t>
            </w:r>
          </w:p>
        </w:tc>
        <w:tc>
          <w:tcPr>
            <w:tcW w:w="930" w:type="pct"/>
            <w:tcBorders>
              <w:top w:val="nil"/>
              <w:left w:val="nil"/>
              <w:bottom w:val="nil"/>
              <w:right w:val="nil"/>
            </w:tcBorders>
            <w:shd w:val="clear" w:color="000000" w:fill="FFFFFF"/>
            <w:vAlign w:val="center"/>
          </w:tcPr>
          <w:p w14:paraId="6A73B22B" w14:textId="77777777" w:rsidR="001A095A" w:rsidRPr="001564C8" w:rsidRDefault="001A095A" w:rsidP="00387AE5">
            <w:pPr>
              <w:jc w:val="center"/>
              <w:rPr>
                <w:rFonts w:cs="Times New Roman"/>
                <w:color w:val="000000"/>
                <w:sz w:val="20"/>
                <w:szCs w:val="20"/>
              </w:rPr>
            </w:pPr>
            <w:r w:rsidRPr="001564C8">
              <w:rPr>
                <w:color w:val="000000"/>
                <w:sz w:val="18"/>
                <w:szCs w:val="18"/>
              </w:rPr>
              <w:t>-1,2</w:t>
            </w:r>
          </w:p>
        </w:tc>
        <w:tc>
          <w:tcPr>
            <w:tcW w:w="929" w:type="pct"/>
            <w:tcBorders>
              <w:top w:val="nil"/>
              <w:left w:val="nil"/>
              <w:bottom w:val="nil"/>
              <w:right w:val="nil"/>
            </w:tcBorders>
            <w:shd w:val="clear" w:color="000000" w:fill="FFFFFF"/>
            <w:vAlign w:val="center"/>
          </w:tcPr>
          <w:p w14:paraId="73871441" w14:textId="77777777" w:rsidR="001A095A" w:rsidRPr="001564C8" w:rsidRDefault="001A095A" w:rsidP="00387AE5">
            <w:pPr>
              <w:jc w:val="center"/>
              <w:rPr>
                <w:rFonts w:cs="Times New Roman"/>
                <w:color w:val="000000"/>
                <w:sz w:val="20"/>
                <w:szCs w:val="20"/>
              </w:rPr>
            </w:pPr>
            <w:r w:rsidRPr="001564C8">
              <w:rPr>
                <w:color w:val="000000"/>
                <w:sz w:val="18"/>
                <w:szCs w:val="18"/>
              </w:rPr>
              <w:t>0,1</w:t>
            </w:r>
          </w:p>
        </w:tc>
        <w:tc>
          <w:tcPr>
            <w:tcW w:w="1202" w:type="pct"/>
            <w:tcBorders>
              <w:top w:val="nil"/>
              <w:left w:val="nil"/>
              <w:bottom w:val="nil"/>
              <w:right w:val="nil"/>
            </w:tcBorders>
            <w:shd w:val="clear" w:color="000000" w:fill="FFFFFF"/>
            <w:vAlign w:val="center"/>
          </w:tcPr>
          <w:p w14:paraId="2020EC63" w14:textId="77777777" w:rsidR="001A095A" w:rsidRPr="001564C8" w:rsidRDefault="001A095A" w:rsidP="00387AE5">
            <w:pPr>
              <w:jc w:val="center"/>
              <w:rPr>
                <w:rFonts w:cs="Times New Roman"/>
                <w:color w:val="000000"/>
                <w:sz w:val="20"/>
                <w:szCs w:val="20"/>
              </w:rPr>
            </w:pPr>
            <w:r w:rsidRPr="001564C8">
              <w:rPr>
                <w:color w:val="000000"/>
                <w:sz w:val="18"/>
                <w:szCs w:val="18"/>
              </w:rPr>
              <w:t>0,0</w:t>
            </w:r>
          </w:p>
        </w:tc>
      </w:tr>
      <w:tr w:rsidR="001A095A" w:rsidRPr="001564C8" w14:paraId="65529C76" w14:textId="77777777" w:rsidTr="00387AE5">
        <w:trPr>
          <w:trHeight w:val="24"/>
          <w:jc w:val="center"/>
        </w:trPr>
        <w:tc>
          <w:tcPr>
            <w:tcW w:w="1939" w:type="pct"/>
            <w:tcBorders>
              <w:top w:val="nil"/>
              <w:left w:val="nil"/>
              <w:bottom w:val="single" w:sz="8" w:space="0" w:color="auto"/>
              <w:right w:val="nil"/>
            </w:tcBorders>
            <w:shd w:val="clear" w:color="000000" w:fill="FFFFFF"/>
            <w:vAlign w:val="center"/>
          </w:tcPr>
          <w:p w14:paraId="2B5DDA1D" w14:textId="77777777" w:rsidR="001A095A" w:rsidRPr="001564C8" w:rsidRDefault="001A095A" w:rsidP="00387AE5">
            <w:pPr>
              <w:ind w:firstLineChars="100" w:firstLine="200"/>
              <w:rPr>
                <w:rFonts w:cs="Times New Roman"/>
                <w:color w:val="000000"/>
                <w:sz w:val="20"/>
                <w:szCs w:val="20"/>
              </w:rPr>
            </w:pPr>
            <w:r w:rsidRPr="001564C8">
              <w:rPr>
                <w:rFonts w:cs="Times New Roman"/>
                <w:color w:val="000000"/>
                <w:sz w:val="20"/>
                <w:szCs w:val="20"/>
              </w:rPr>
              <w:t>MMF</w:t>
            </w:r>
          </w:p>
        </w:tc>
        <w:tc>
          <w:tcPr>
            <w:tcW w:w="930" w:type="pct"/>
            <w:tcBorders>
              <w:top w:val="nil"/>
              <w:left w:val="nil"/>
              <w:bottom w:val="single" w:sz="8" w:space="0" w:color="auto"/>
              <w:right w:val="nil"/>
            </w:tcBorders>
            <w:shd w:val="clear" w:color="000000" w:fill="FFFFFF"/>
            <w:vAlign w:val="center"/>
          </w:tcPr>
          <w:p w14:paraId="4A855C95" w14:textId="2E575D8A" w:rsidR="001A095A" w:rsidRPr="001564C8" w:rsidRDefault="001A095A">
            <w:pPr>
              <w:jc w:val="center"/>
              <w:rPr>
                <w:rFonts w:cs="Times New Roman"/>
                <w:color w:val="000000"/>
                <w:sz w:val="20"/>
                <w:szCs w:val="20"/>
              </w:rPr>
            </w:pPr>
            <w:r w:rsidRPr="001564C8">
              <w:rPr>
                <w:color w:val="000000"/>
                <w:sz w:val="18"/>
                <w:szCs w:val="18"/>
              </w:rPr>
              <w:t>-</w:t>
            </w:r>
            <w:r w:rsidR="00592550">
              <w:rPr>
                <w:color w:val="000000"/>
                <w:sz w:val="18"/>
                <w:szCs w:val="18"/>
              </w:rPr>
              <w:t>2</w:t>
            </w:r>
            <w:r w:rsidRPr="001564C8">
              <w:rPr>
                <w:color w:val="000000"/>
                <w:sz w:val="18"/>
                <w:szCs w:val="18"/>
              </w:rPr>
              <w:t>,</w:t>
            </w:r>
            <w:r w:rsidR="00592550">
              <w:rPr>
                <w:color w:val="000000"/>
                <w:sz w:val="18"/>
                <w:szCs w:val="18"/>
              </w:rPr>
              <w:t>0</w:t>
            </w:r>
          </w:p>
        </w:tc>
        <w:tc>
          <w:tcPr>
            <w:tcW w:w="929" w:type="pct"/>
            <w:tcBorders>
              <w:top w:val="nil"/>
              <w:left w:val="nil"/>
              <w:bottom w:val="single" w:sz="8" w:space="0" w:color="auto"/>
              <w:right w:val="nil"/>
            </w:tcBorders>
            <w:shd w:val="clear" w:color="000000" w:fill="FFFFFF"/>
            <w:vAlign w:val="center"/>
          </w:tcPr>
          <w:p w14:paraId="793D95FE" w14:textId="34CAFC38" w:rsidR="001A095A" w:rsidRPr="001564C8" w:rsidRDefault="001A095A">
            <w:pPr>
              <w:jc w:val="center"/>
              <w:rPr>
                <w:rFonts w:cs="Times New Roman"/>
                <w:color w:val="000000"/>
                <w:sz w:val="20"/>
                <w:szCs w:val="20"/>
              </w:rPr>
            </w:pPr>
            <w:r w:rsidRPr="001564C8">
              <w:rPr>
                <w:color w:val="000000"/>
                <w:sz w:val="18"/>
                <w:szCs w:val="18"/>
              </w:rPr>
              <w:t>-</w:t>
            </w:r>
            <w:r w:rsidR="00592550">
              <w:rPr>
                <w:color w:val="000000"/>
                <w:sz w:val="18"/>
                <w:szCs w:val="18"/>
              </w:rPr>
              <w:t>1</w:t>
            </w:r>
            <w:r w:rsidRPr="001564C8">
              <w:rPr>
                <w:color w:val="000000"/>
                <w:sz w:val="18"/>
                <w:szCs w:val="18"/>
              </w:rPr>
              <w:t>,</w:t>
            </w:r>
            <w:r w:rsidR="00592550">
              <w:rPr>
                <w:color w:val="000000"/>
                <w:sz w:val="18"/>
                <w:szCs w:val="18"/>
              </w:rPr>
              <w:t>0</w:t>
            </w:r>
          </w:p>
        </w:tc>
        <w:tc>
          <w:tcPr>
            <w:tcW w:w="1202" w:type="pct"/>
            <w:tcBorders>
              <w:top w:val="nil"/>
              <w:left w:val="nil"/>
              <w:bottom w:val="single" w:sz="8" w:space="0" w:color="auto"/>
              <w:right w:val="nil"/>
            </w:tcBorders>
            <w:shd w:val="clear" w:color="000000" w:fill="FFFFFF"/>
            <w:vAlign w:val="center"/>
          </w:tcPr>
          <w:p w14:paraId="4AB0379F" w14:textId="6A3AB1E7" w:rsidR="001A095A" w:rsidRPr="001564C8" w:rsidRDefault="001A095A" w:rsidP="00387AE5">
            <w:pPr>
              <w:jc w:val="center"/>
              <w:rPr>
                <w:rFonts w:cs="Times New Roman"/>
                <w:color w:val="000000"/>
                <w:sz w:val="20"/>
                <w:szCs w:val="20"/>
              </w:rPr>
            </w:pPr>
            <w:r w:rsidRPr="001564C8">
              <w:rPr>
                <w:color w:val="000000"/>
                <w:sz w:val="18"/>
                <w:szCs w:val="18"/>
              </w:rPr>
              <w:t>-0,</w:t>
            </w:r>
            <w:r w:rsidR="00592550">
              <w:rPr>
                <w:color w:val="000000"/>
                <w:sz w:val="18"/>
                <w:szCs w:val="18"/>
              </w:rPr>
              <w:t>7</w:t>
            </w:r>
          </w:p>
        </w:tc>
      </w:tr>
      <w:tr w:rsidR="001A095A" w:rsidRPr="00100520" w14:paraId="6E8B9D7F" w14:textId="77777777" w:rsidTr="00387AE5">
        <w:trPr>
          <w:trHeight w:val="24"/>
          <w:jc w:val="center"/>
        </w:trPr>
        <w:tc>
          <w:tcPr>
            <w:tcW w:w="5000" w:type="pct"/>
            <w:gridSpan w:val="4"/>
            <w:tcBorders>
              <w:top w:val="single" w:sz="8" w:space="0" w:color="auto"/>
              <w:left w:val="nil"/>
              <w:bottom w:val="nil"/>
              <w:right w:val="nil"/>
            </w:tcBorders>
            <w:shd w:val="clear" w:color="000000" w:fill="FFFFFF"/>
            <w:noWrap/>
            <w:vAlign w:val="center"/>
          </w:tcPr>
          <w:p w14:paraId="2D494292" w14:textId="637BB483" w:rsidR="001A095A" w:rsidRPr="00100520" w:rsidRDefault="001A095A">
            <w:pPr>
              <w:pStyle w:val="poznmka"/>
              <w:jc w:val="both"/>
            </w:pPr>
            <w:r w:rsidRPr="001564C8">
              <w:t>Zdroj: MF SR (február 2019), Výbor pre makroekonomické prognózy (február 2019), NBS (</w:t>
            </w:r>
            <w:r w:rsidR="00592550">
              <w:t>marec</w:t>
            </w:r>
            <w:r w:rsidR="00592550" w:rsidRPr="001564C8">
              <w:t xml:space="preserve"> </w:t>
            </w:r>
            <w:r w:rsidRPr="001564C8">
              <w:t>201</w:t>
            </w:r>
            <w:r w:rsidR="00592550">
              <w:t>9</w:t>
            </w:r>
            <w:r w:rsidRPr="001564C8">
              <w:t>), EK (február 2019), OECD (november 2018) a MMF (</w:t>
            </w:r>
            <w:r w:rsidR="00592550">
              <w:t>apríl</w:t>
            </w:r>
            <w:r w:rsidR="00592550" w:rsidRPr="001564C8">
              <w:t xml:space="preserve"> </w:t>
            </w:r>
            <w:r w:rsidRPr="001564C8">
              <w:t>201</w:t>
            </w:r>
            <w:r w:rsidR="00592550">
              <w:t>9</w:t>
            </w:r>
            <w:r w:rsidRPr="001564C8">
              <w:t>)</w:t>
            </w:r>
            <w:r>
              <w:t>.</w:t>
            </w:r>
          </w:p>
        </w:tc>
      </w:tr>
    </w:tbl>
    <w:p w14:paraId="7D2615C2" w14:textId="3704AE3B" w:rsidR="001A095A" w:rsidRDefault="001A095A" w:rsidP="001A095A"/>
    <w:p w14:paraId="499CEB18" w14:textId="77777777" w:rsidR="001A095A" w:rsidRDefault="001A095A">
      <w:r>
        <w:br w:type="page"/>
      </w:r>
    </w:p>
    <w:p w14:paraId="15A6A31F" w14:textId="77777777" w:rsidR="00BD53AF" w:rsidRPr="0019108B" w:rsidRDefault="00BD53AF" w:rsidP="004F1515">
      <w:pPr>
        <w:pStyle w:val="Nadpis1"/>
        <w:keepLines/>
        <w:numPr>
          <w:ilvl w:val="0"/>
          <w:numId w:val="2"/>
        </w:numPr>
        <w:spacing w:before="240" w:after="240"/>
        <w:rPr>
          <w:color w:val="2C9ADC"/>
          <w:szCs w:val="28"/>
        </w:rPr>
      </w:pPr>
      <w:bookmarkStart w:id="94" w:name="_Toc5869380"/>
      <w:bookmarkStart w:id="95" w:name="_Toc385764190"/>
      <w:bookmarkStart w:id="96" w:name="_Toc449429136"/>
      <w:bookmarkStart w:id="97" w:name="_Toc449430137"/>
      <w:r w:rsidRPr="0019108B">
        <w:rPr>
          <w:color w:val="2C9ADC"/>
          <w:szCs w:val="28"/>
        </w:rPr>
        <w:lastRenderedPageBreak/>
        <w:t>POZÍCIA VEREJNÝCH FINANCIÍ</w:t>
      </w:r>
      <w:bookmarkEnd w:id="94"/>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BD53AF" w:rsidRPr="00C735D9" w14:paraId="39047954" w14:textId="77777777" w:rsidTr="00387AE5">
        <w:tc>
          <w:tcPr>
            <w:tcW w:w="9212" w:type="dxa"/>
          </w:tcPr>
          <w:p w14:paraId="34CCA9BD" w14:textId="1CAEADD7" w:rsidR="00BD53AF" w:rsidRDefault="00BD53AF" w:rsidP="00387AE5">
            <w:pPr>
              <w:pStyle w:val="odsekzatabukou"/>
              <w:spacing w:before="120"/>
              <w:rPr>
                <w:i/>
              </w:rPr>
            </w:pPr>
            <w:r w:rsidRPr="0019108B">
              <w:rPr>
                <w:i/>
              </w:rPr>
              <w:t>Hospodárenie verejnej správy v roku 2018 prekonalo ciele rozpočtu, keď deficit dosiahol 0,7 % HDP. Od aktuálneho roku bude hospodárenie verejnej správy plne vyrovnané. Zároveň bude naplnený aj strednodobý rozpočtový cieľ</w:t>
            </w:r>
            <w:r>
              <w:rPr>
                <w:i/>
              </w:rPr>
              <w:t xml:space="preserve"> v zmysle európskych fiškálnych požiadaviek</w:t>
            </w:r>
            <w:r w:rsidRPr="0019108B">
              <w:rPr>
                <w:i/>
              </w:rPr>
              <w:t>. Pokračujúce zlepšovanie fiškálnej pozície potvrdzuje kontinuálny pokles hrubého aj čistého zadlženia verejnej správy. Ku koncu roku 2018 dosiahol hrubý dlh verejnej správy 48,9 % HDP a po prvýkrát kles</w:t>
            </w:r>
            <w:r w:rsidR="00591AEA">
              <w:rPr>
                <w:i/>
              </w:rPr>
              <w:t xml:space="preserve">ol pod najnižšie sankčné pásmo </w:t>
            </w:r>
            <w:r w:rsidR="0085303B">
              <w:rPr>
                <w:i/>
              </w:rPr>
              <w:t>ú</w:t>
            </w:r>
            <w:r w:rsidRPr="0019108B">
              <w:rPr>
                <w:i/>
              </w:rPr>
              <w:t>stavného zákona o rozpočtovej zodpovednosti. Čistý dlh verejnej správy klesol ku koncu roka 2018 ešte výraznejšie, keď dosiahol výšku 43,0 % HDP.</w:t>
            </w:r>
            <w:r>
              <w:rPr>
                <w:i/>
              </w:rPr>
              <w:t xml:space="preserve"> </w:t>
            </w:r>
          </w:p>
          <w:p w14:paraId="2A988A75" w14:textId="72E31C82" w:rsidR="00BD53AF" w:rsidRPr="00615CA8" w:rsidRDefault="00BD53AF" w:rsidP="00452365">
            <w:pPr>
              <w:pStyle w:val="odsekzatabukou"/>
              <w:spacing w:before="120"/>
              <w:rPr>
                <w:i/>
              </w:rPr>
            </w:pPr>
            <w:r w:rsidRPr="00FA42C8">
              <w:rPr>
                <w:i/>
              </w:rPr>
              <w:t>V súlade s programovým vyhlásením vlády predpokladá fiškálny rámec udržanie vyrovnaného rozpočtu v celom horizonte</w:t>
            </w:r>
            <w:r>
              <w:rPr>
                <w:i/>
              </w:rPr>
              <w:t xml:space="preserve"> a rovnako aj rešpektovanie strednodobého rozpočtového cieľa. Hrubý d</w:t>
            </w:r>
            <w:r w:rsidRPr="00654E1A">
              <w:rPr>
                <w:i/>
              </w:rPr>
              <w:t xml:space="preserve">lh </w:t>
            </w:r>
            <w:r>
              <w:rPr>
                <w:i/>
              </w:rPr>
              <w:t xml:space="preserve">sa udrží aj naďalej pod sankčnými pásmami, ktoré sa medzi rokmi 2018 až 2027 každoročne sprísňujú o 1 percentuálny bod HDP. Ku koncu roku 2022 dosiahne hrubý </w:t>
            </w:r>
            <w:r w:rsidRPr="0019108B">
              <w:rPr>
                <w:i/>
              </w:rPr>
              <w:t xml:space="preserve">dlh 44,4 % HDP, </w:t>
            </w:r>
            <w:r w:rsidRPr="00884436">
              <w:rPr>
                <w:i/>
              </w:rPr>
              <w:t>0,6 p. b. pod najnižším sankčným pásmom.</w:t>
            </w:r>
            <w:r w:rsidR="00452365">
              <w:rPr>
                <w:i/>
              </w:rPr>
              <w:t xml:space="preserve"> Od roku 2018 tak hrubý dlh poklesne o takmer 5 p.b. HDP.</w:t>
            </w:r>
            <w:r w:rsidRPr="00884436">
              <w:rPr>
                <w:i/>
              </w:rPr>
              <w:t xml:space="preserve"> Čistý dlh sa zníži oproti hrubému dlhu rýchlejšie a v roku 2022 klesne k 37 % H</w:t>
            </w:r>
            <w:r w:rsidR="00452365">
              <w:rPr>
                <w:i/>
              </w:rPr>
              <w:t>DP.</w:t>
            </w:r>
          </w:p>
        </w:tc>
      </w:tr>
    </w:tbl>
    <w:p w14:paraId="134EA00B" w14:textId="02102F96" w:rsidR="00BD53AF" w:rsidRPr="00E71069" w:rsidRDefault="00BD53AF" w:rsidP="004F1515">
      <w:pPr>
        <w:spacing w:before="240" w:after="240"/>
        <w:jc w:val="both"/>
        <w:rPr>
          <w:rFonts w:cs="Times New Roman"/>
          <w:highlight w:val="yellow"/>
        </w:rPr>
      </w:pPr>
      <w:r w:rsidRPr="0019108B">
        <w:rPr>
          <w:b/>
        </w:rPr>
        <w:t>Deficit verejnej správy dosiahol v roku 2018 podľa údajov zaslaných do jarnej notifikácie Eurostatu 0,7</w:t>
      </w:r>
      <w:r w:rsidR="00C02822">
        <w:rPr>
          <w:b/>
        </w:rPr>
        <w:t>0</w:t>
      </w:r>
      <w:r w:rsidRPr="0019108B">
        <w:rPr>
          <w:b/>
        </w:rPr>
        <w:t xml:space="preserve"> %  HDP, čo</w:t>
      </w:r>
      <w:r>
        <w:rPr>
          <w:b/>
        </w:rPr>
        <w:t xml:space="preserve"> je lepší výsledok ako predpokladal schválený</w:t>
      </w:r>
      <w:r w:rsidRPr="00314088">
        <w:rPr>
          <w:b/>
        </w:rPr>
        <w:t xml:space="preserve"> rozpoč</w:t>
      </w:r>
      <w:r>
        <w:rPr>
          <w:b/>
        </w:rPr>
        <w:t xml:space="preserve">et </w:t>
      </w:r>
      <w:r w:rsidRPr="00314088">
        <w:rPr>
          <w:b/>
        </w:rPr>
        <w:t>(0,83</w:t>
      </w:r>
      <w:r>
        <w:rPr>
          <w:b/>
        </w:rPr>
        <w:t> </w:t>
      </w:r>
      <w:r w:rsidRPr="00314088">
        <w:rPr>
          <w:b/>
        </w:rPr>
        <w:t>% HDP).</w:t>
      </w:r>
      <w:r w:rsidRPr="00314088">
        <w:rPr>
          <w:rFonts w:cs="Arial Narrow"/>
        </w:rPr>
        <w:t xml:space="preserve"> Oproti rozpočtovým predpokladom sa podarilo dosiahnuť výrazne lepší výber odvodových príjmov, predovšetkým vďaka pozitívnemu vývoju na trhu práce</w:t>
      </w:r>
      <w:r>
        <w:rPr>
          <w:rFonts w:cs="Arial Narrow"/>
        </w:rPr>
        <w:t>. Pokračovanie úspešného boja proti daňovým únikom prinieslo vyšší výnos na dani z pridanej hodnoty</w:t>
      </w:r>
      <w:r w:rsidRPr="00314088">
        <w:rPr>
          <w:rFonts w:cs="Arial Narrow"/>
        </w:rPr>
        <w:t>.</w:t>
      </w:r>
      <w:r>
        <w:rPr>
          <w:rFonts w:cs="Arial Narrow"/>
        </w:rPr>
        <w:t xml:space="preserve"> Výraznejšie z</w:t>
      </w:r>
      <w:r w:rsidRPr="00314088">
        <w:rPr>
          <w:rFonts w:cs="Arial Narrow"/>
        </w:rPr>
        <w:t>výšen</w:t>
      </w:r>
      <w:r>
        <w:rPr>
          <w:rFonts w:cs="Arial Narrow"/>
        </w:rPr>
        <w:t>ie</w:t>
      </w:r>
      <w:r w:rsidRPr="00314088">
        <w:rPr>
          <w:rFonts w:cs="Arial Narrow"/>
        </w:rPr>
        <w:t xml:space="preserve"> kapitálových výdavkov</w:t>
      </w:r>
      <w:r>
        <w:rPr>
          <w:rFonts w:cs="Arial Narrow"/>
        </w:rPr>
        <w:t xml:space="preserve"> prispelo na druhej strane k </w:t>
      </w:r>
      <w:r w:rsidRPr="00314088">
        <w:rPr>
          <w:rFonts w:cs="Arial Narrow"/>
        </w:rPr>
        <w:t xml:space="preserve">vyšším </w:t>
      </w:r>
      <w:r>
        <w:rPr>
          <w:rFonts w:cs="Arial Narrow"/>
        </w:rPr>
        <w:t xml:space="preserve">celkovým </w:t>
      </w:r>
      <w:r w:rsidRPr="00314088">
        <w:rPr>
          <w:rFonts w:cs="Arial Narrow"/>
        </w:rPr>
        <w:t>výdavko</w:t>
      </w:r>
      <w:r>
        <w:rPr>
          <w:rFonts w:cs="Arial Narrow"/>
        </w:rPr>
        <w:t xml:space="preserve">m verejnej správy, predovšetkým </w:t>
      </w:r>
      <w:r w:rsidRPr="00314088">
        <w:rPr>
          <w:rFonts w:cs="Arial Narrow"/>
        </w:rPr>
        <w:t xml:space="preserve">vďaka silnejšej absorpcii </w:t>
      </w:r>
      <w:r>
        <w:rPr>
          <w:rFonts w:cs="Arial Narrow"/>
        </w:rPr>
        <w:t xml:space="preserve">európskych </w:t>
      </w:r>
      <w:r w:rsidRPr="00314088">
        <w:rPr>
          <w:rFonts w:cs="Arial Narrow"/>
        </w:rPr>
        <w:t>fondov</w:t>
      </w:r>
      <w:r>
        <w:rPr>
          <w:rFonts w:cs="Arial Narrow"/>
        </w:rPr>
        <w:t xml:space="preserve"> pri výstavbe dopravnej infraštruktúry a tiež v prípade samospráv</w:t>
      </w:r>
      <w:r w:rsidRPr="00314088">
        <w:rPr>
          <w:rFonts w:cs="Arial Narrow"/>
        </w:rPr>
        <w:t xml:space="preserve">. </w:t>
      </w:r>
      <w:r>
        <w:rPr>
          <w:rFonts w:cs="Arial Narrow"/>
        </w:rPr>
        <w:t>V menšej miere došlo oproti rozpočtu aj k n</w:t>
      </w:r>
      <w:r w:rsidR="0085303B">
        <w:rPr>
          <w:rFonts w:cs="Arial Narrow"/>
        </w:rPr>
        <w:t xml:space="preserve">avýšeniu </w:t>
      </w:r>
      <w:r>
        <w:rPr>
          <w:rFonts w:cs="Arial Narrow"/>
        </w:rPr>
        <w:t>výdavky na kompenzácie zamestnancov</w:t>
      </w:r>
      <w:r w:rsidR="00FC594A">
        <w:rPr>
          <w:rFonts w:cs="Arial Narrow"/>
        </w:rPr>
        <w:t>.</w:t>
      </w:r>
    </w:p>
    <w:p w14:paraId="4E431662" w14:textId="7AF4011A" w:rsidR="00D237F6" w:rsidRPr="005A5B26" w:rsidRDefault="00BD53AF" w:rsidP="00D237F6">
      <w:pPr>
        <w:tabs>
          <w:tab w:val="left" w:pos="426"/>
        </w:tabs>
        <w:spacing w:after="240"/>
        <w:jc w:val="both"/>
      </w:pPr>
      <w:r w:rsidRPr="00456EAB">
        <w:rPr>
          <w:b/>
        </w:rPr>
        <w:t xml:space="preserve">Aktuálny odhad hospodárenia </w:t>
      </w:r>
      <w:r w:rsidR="00D85F40">
        <w:rPr>
          <w:b/>
        </w:rPr>
        <w:t>verejnej správy (</w:t>
      </w:r>
      <w:r w:rsidRPr="00456EAB">
        <w:rPr>
          <w:b/>
        </w:rPr>
        <w:t>VS</w:t>
      </w:r>
      <w:r w:rsidR="00D85F40">
        <w:rPr>
          <w:b/>
        </w:rPr>
        <w:t>)</w:t>
      </w:r>
      <w:r w:rsidRPr="00456EAB">
        <w:rPr>
          <w:b/>
        </w:rPr>
        <w:t xml:space="preserve"> </w:t>
      </w:r>
      <w:r>
        <w:rPr>
          <w:b/>
        </w:rPr>
        <w:t>sa</w:t>
      </w:r>
      <w:r w:rsidRPr="00AF6418">
        <w:rPr>
          <w:b/>
        </w:rPr>
        <w:t xml:space="preserve"> </w:t>
      </w:r>
      <w:r>
        <w:rPr>
          <w:b/>
        </w:rPr>
        <w:t xml:space="preserve">v </w:t>
      </w:r>
      <w:r w:rsidRPr="00AF6418">
        <w:rPr>
          <w:b/>
        </w:rPr>
        <w:t xml:space="preserve">roku 2019 </w:t>
      </w:r>
      <w:r>
        <w:rPr>
          <w:b/>
        </w:rPr>
        <w:t xml:space="preserve">pohybuje už </w:t>
      </w:r>
      <w:r w:rsidRPr="00AF6418">
        <w:rPr>
          <w:b/>
        </w:rPr>
        <w:t>na úrovni cieleného vyrovnaného rozpočtu.</w:t>
      </w:r>
      <w:r w:rsidRPr="00AF6418">
        <w:t xml:space="preserve"> </w:t>
      </w:r>
      <w:r>
        <w:t>Po a</w:t>
      </w:r>
      <w:r w:rsidRPr="00AF6418">
        <w:t>ktualizáci</w:t>
      </w:r>
      <w:r>
        <w:t>i</w:t>
      </w:r>
      <w:r w:rsidRPr="00AF6418">
        <w:t xml:space="preserve"> daňovej prognózy</w:t>
      </w:r>
      <w:r w:rsidRPr="00AF6418">
        <w:rPr>
          <w:rStyle w:val="Odkaznapoznmkupodiarou"/>
        </w:rPr>
        <w:footnoteReference w:id="10"/>
      </w:r>
      <w:r w:rsidRPr="00AF6418">
        <w:t xml:space="preserve"> </w:t>
      </w:r>
      <w:r>
        <w:t xml:space="preserve">dochádza </w:t>
      </w:r>
      <w:r w:rsidRPr="00AF6418">
        <w:t xml:space="preserve">oproti </w:t>
      </w:r>
      <w:r>
        <w:t xml:space="preserve">schválenému </w:t>
      </w:r>
      <w:r w:rsidRPr="00AF6418">
        <w:t xml:space="preserve">rozpočtu </w:t>
      </w:r>
      <w:r>
        <w:t>k miernemu poklesu daňovo-</w:t>
      </w:r>
      <w:r w:rsidRPr="00AF6418">
        <w:t>odvodových príjmov</w:t>
      </w:r>
      <w:r>
        <w:t>, čo súvisí so zreálnením nových legislatívnych opatrení na príjmovej strane</w:t>
      </w:r>
      <w:r w:rsidRPr="00AF6418">
        <w:t>.</w:t>
      </w:r>
      <w:r>
        <w:t xml:space="preserve"> Negatívny efekt legislatívy je naopak sčasti kompenzovaný pokračujúcou pozitívnou situáciou na trhu práce. Celkové príjmy verejnej správy sú oproti rozpočtu vyššie kvôli silnejšiemu čerpaniu EÚ fondov. Z rovnakého dôvodu prekračujú rozpočet </w:t>
      </w:r>
      <w:r w:rsidRPr="00456EAB">
        <w:t>celkové výdavky VS</w:t>
      </w:r>
      <w:r>
        <w:t xml:space="preserve">, pričom sú zaznamenané aj mierne vyššie náklady na spolufinancovanie. </w:t>
      </w:r>
      <w:r w:rsidR="00FC594A">
        <w:t xml:space="preserve">Rovnako </w:t>
      </w:r>
      <w:r>
        <w:t xml:space="preserve">sa </w:t>
      </w:r>
      <w:r w:rsidR="00FC594A">
        <w:t xml:space="preserve">očakávajú </w:t>
      </w:r>
      <w:r>
        <w:t>vyššie výdavky sociálnej poisťovne, predovšetkým na prevádzkových nákladoch.</w:t>
      </w:r>
      <w:r w:rsidR="00D237F6">
        <w:t xml:space="preserve"> Naopak, tieto vplyvy sú kompenzované ú</w:t>
      </w:r>
      <w:r w:rsidR="00D237F6" w:rsidRPr="006F5F4E">
        <w:rPr>
          <w:rFonts w:cs="Times New Roman"/>
        </w:rPr>
        <w:t>spor</w:t>
      </w:r>
      <w:r w:rsidR="00D237F6">
        <w:rPr>
          <w:rFonts w:cs="Times New Roman"/>
        </w:rPr>
        <w:t xml:space="preserve">ou </w:t>
      </w:r>
      <w:r w:rsidR="00D237F6" w:rsidRPr="006F5F4E">
        <w:rPr>
          <w:rFonts w:cs="Times New Roman"/>
        </w:rPr>
        <w:t>v rámci ostatných bežných transferov.</w:t>
      </w:r>
    </w:p>
    <w:p w14:paraId="26EDD70B" w14:textId="4006F90C" w:rsidR="00BD53AF" w:rsidRPr="00246506" w:rsidRDefault="00BD53AF" w:rsidP="00BD53AF">
      <w:pPr>
        <w:spacing w:before="240" w:after="240"/>
        <w:jc w:val="both"/>
        <w:rPr>
          <w:rFonts w:cs="Times New Roman"/>
          <w:b/>
        </w:rPr>
      </w:pPr>
      <w:r>
        <w:rPr>
          <w:rFonts w:cs="Arial Narrow"/>
          <w:b/>
        </w:rPr>
        <w:t>Verejná správa</w:t>
      </w:r>
      <w:r w:rsidRPr="00B36051">
        <w:rPr>
          <w:rFonts w:cs="Arial Narrow"/>
          <w:b/>
        </w:rPr>
        <w:t xml:space="preserve"> </w:t>
      </w:r>
      <w:r>
        <w:rPr>
          <w:rFonts w:cs="Arial Narrow"/>
          <w:b/>
        </w:rPr>
        <w:t>bude</w:t>
      </w:r>
      <w:r w:rsidRPr="00B36051">
        <w:rPr>
          <w:rFonts w:cs="Arial Narrow"/>
          <w:b/>
        </w:rPr>
        <w:t xml:space="preserve"> </w:t>
      </w:r>
      <w:r>
        <w:rPr>
          <w:rFonts w:cs="Arial Narrow"/>
          <w:b/>
        </w:rPr>
        <w:t>aj v rokoch 2020 až 2022 výhľadovo hospodáriť s vyrovnaným rozpočtom. Taktiež sa udrží strednodobý rozpočtový cieľ</w:t>
      </w:r>
      <w:r w:rsidRPr="00246506">
        <w:rPr>
          <w:rFonts w:cs="Arial Narrow"/>
          <w:b/>
        </w:rPr>
        <w:t xml:space="preserve">. </w:t>
      </w:r>
      <w:r w:rsidR="00326266">
        <w:t>S</w:t>
      </w:r>
      <w:r w:rsidR="00326266" w:rsidRPr="00305D75">
        <w:t>trednodob</w:t>
      </w:r>
      <w:r w:rsidR="00326266">
        <w:t>ý</w:t>
      </w:r>
      <w:r w:rsidR="00326266" w:rsidRPr="00305D75">
        <w:t xml:space="preserve"> rozpočtov</w:t>
      </w:r>
      <w:r w:rsidR="00326266">
        <w:t>ý</w:t>
      </w:r>
      <w:r w:rsidR="00326266" w:rsidRPr="00305D75">
        <w:t xml:space="preserve"> cieľ</w:t>
      </w:r>
      <w:r w:rsidR="00326266">
        <w:t xml:space="preserve"> (MTO) stanovuje Program stability od roku 2020</w:t>
      </w:r>
      <w:r w:rsidR="00326266" w:rsidRPr="00305D75">
        <w:t xml:space="preserve"> na úrovni štrukturálneho deficitu 1 % HDP.</w:t>
      </w:r>
      <w:r w:rsidR="00326266">
        <w:rPr>
          <w:b/>
        </w:rPr>
        <w:t xml:space="preserve"> </w:t>
      </w:r>
      <w:r>
        <w:rPr>
          <w:rFonts w:cs="Arial Narrow"/>
        </w:rPr>
        <w:t>S</w:t>
      </w:r>
      <w:r w:rsidRPr="00335758">
        <w:rPr>
          <w:rFonts w:cs="Arial Narrow"/>
        </w:rPr>
        <w:t>trednodob</w:t>
      </w:r>
      <w:r>
        <w:rPr>
          <w:rFonts w:cs="Arial Narrow"/>
        </w:rPr>
        <w:t>ý</w:t>
      </w:r>
      <w:r w:rsidRPr="00335758">
        <w:rPr>
          <w:rFonts w:cs="Arial Narrow"/>
        </w:rPr>
        <w:t xml:space="preserve"> rozpočtov</w:t>
      </w:r>
      <w:r>
        <w:rPr>
          <w:rFonts w:cs="Arial Narrow"/>
        </w:rPr>
        <w:t>ý</w:t>
      </w:r>
      <w:r w:rsidRPr="00335758">
        <w:rPr>
          <w:rFonts w:cs="Arial Narrow"/>
        </w:rPr>
        <w:t xml:space="preserve"> rám</w:t>
      </w:r>
      <w:r>
        <w:rPr>
          <w:rFonts w:cs="Arial Narrow"/>
        </w:rPr>
        <w:t>ec</w:t>
      </w:r>
      <w:r w:rsidRPr="00335758">
        <w:rPr>
          <w:rFonts w:cs="Arial Narrow"/>
        </w:rPr>
        <w:t xml:space="preserve"> </w:t>
      </w:r>
      <w:r w:rsidR="00452365">
        <w:rPr>
          <w:rFonts w:cs="Arial Narrow"/>
        </w:rPr>
        <w:t>predpokladá</w:t>
      </w:r>
      <w:r>
        <w:rPr>
          <w:rFonts w:cs="Arial Narrow"/>
        </w:rPr>
        <w:t xml:space="preserve"> mierne zvoľnenie ekonomického rastu a </w:t>
      </w:r>
      <w:r>
        <w:t>predpokladá udržanie vyrovnaného rozpočtu</w:t>
      </w:r>
      <w:r w:rsidRPr="00335758">
        <w:t>.</w:t>
      </w:r>
      <w:r w:rsidR="000E6A2B" w:rsidRPr="000E6A2B">
        <w:rPr>
          <w:b/>
        </w:rPr>
        <w:t xml:space="preserve"> </w:t>
      </w:r>
      <w:r>
        <w:t xml:space="preserve">Fiškálna politika bude pôsobiť naďalej </w:t>
      </w:r>
      <w:r w:rsidR="00452365">
        <w:t xml:space="preserve">neutrálne až </w:t>
      </w:r>
      <w:r>
        <w:t>proti-cyklicky, pri plnom súlade s požiadavkami Paktu stability a rastu.</w:t>
      </w:r>
      <w:r w:rsidRPr="00246506">
        <w:t xml:space="preserve"> </w:t>
      </w:r>
      <w:r>
        <w:t>Rozpočtové</w:t>
      </w:r>
      <w:r w:rsidRPr="00246506">
        <w:t xml:space="preserve"> ciele zodpovedajú </w:t>
      </w:r>
      <w:r w:rsidR="003B2575">
        <w:t>fiškálnemu pri</w:t>
      </w:r>
      <w:r w:rsidR="00D52A81">
        <w:t>e</w:t>
      </w:r>
      <w:r w:rsidR="003B2575">
        <w:t>storu</w:t>
      </w:r>
      <w:r w:rsidR="003B2575" w:rsidRPr="00246506">
        <w:t xml:space="preserve"> </w:t>
      </w:r>
      <w:r w:rsidRPr="00246506">
        <w:t xml:space="preserve">voči </w:t>
      </w:r>
      <w:r w:rsidR="00326266">
        <w:t xml:space="preserve">stanovenej </w:t>
      </w:r>
      <w:r>
        <w:t xml:space="preserve">úrovni </w:t>
      </w:r>
      <w:r w:rsidRPr="00246506">
        <w:t>strednodobé</w:t>
      </w:r>
      <w:r>
        <w:t>ho</w:t>
      </w:r>
      <w:r w:rsidRPr="00246506">
        <w:t xml:space="preserve"> rozpočtové</w:t>
      </w:r>
      <w:r>
        <w:t>ho cieľa</w:t>
      </w:r>
      <w:r w:rsidRPr="00246506">
        <w:t xml:space="preserve"> (MTO)</w:t>
      </w:r>
      <w:r>
        <w:t>,</w:t>
      </w:r>
      <w:r w:rsidRPr="00246506">
        <w:t xml:space="preserve"> </w:t>
      </w:r>
      <w:r w:rsidR="00326266">
        <w:t xml:space="preserve">aj </w:t>
      </w:r>
      <w:r>
        <w:t>s cieľom</w:t>
      </w:r>
      <w:r w:rsidRPr="00246506">
        <w:t xml:space="preserve"> absorbovať prípadné spomalenie ekonomického rastu bez ohrozenia </w:t>
      </w:r>
      <w:r w:rsidR="00360CE2">
        <w:t xml:space="preserve">strednodobej </w:t>
      </w:r>
      <w:r w:rsidRPr="00246506">
        <w:t>fiškálnej pozície.</w:t>
      </w:r>
      <w:r>
        <w:t xml:space="preserve"> </w:t>
      </w:r>
    </w:p>
    <w:p w14:paraId="0D5F8303" w14:textId="3CEA185D" w:rsidR="00BD53AF" w:rsidRDefault="00BD53AF" w:rsidP="00BD53AF">
      <w:pPr>
        <w:autoSpaceDE w:val="0"/>
        <w:autoSpaceDN w:val="0"/>
        <w:adjustRightInd w:val="0"/>
        <w:spacing w:after="240"/>
        <w:jc w:val="both"/>
        <w:rPr>
          <w:rFonts w:cs="Arial Narrow"/>
        </w:rPr>
      </w:pPr>
      <w:r w:rsidRPr="0019108B">
        <w:rPr>
          <w:rFonts w:cs="Arial Narrow"/>
          <w:b/>
        </w:rPr>
        <w:t xml:space="preserve">Hrubý aj čistý dlh verejnej správy bude naďalej klesať a udrží sa pod sankčnými pásmami </w:t>
      </w:r>
      <w:r>
        <w:rPr>
          <w:rFonts w:cs="Arial Narrow"/>
          <w:b/>
        </w:rPr>
        <w:t>ú</w:t>
      </w:r>
      <w:r w:rsidRPr="0019108B">
        <w:rPr>
          <w:rFonts w:cs="Arial Narrow"/>
          <w:b/>
        </w:rPr>
        <w:t>stavného zákona o rozpočtovej zodpovednosti.</w:t>
      </w:r>
      <w:r w:rsidRPr="0019108B">
        <w:rPr>
          <w:rFonts w:cs="Arial Narrow"/>
        </w:rPr>
        <w:t xml:space="preserve"> Od roku 2018 sa hrubý dlh nachádza po prvýkrát mimo sankčných pásiem zákona o rozpočtovej zodpovednosti. Do roku 2022 by malo hrubé zadlženie klesnúť až na úroveň 44,4 % HDP</w:t>
      </w:r>
      <w:r>
        <w:rPr>
          <w:rFonts w:cs="Arial Narrow"/>
        </w:rPr>
        <w:t xml:space="preserve"> a</w:t>
      </w:r>
      <w:r w:rsidRPr="0019108B">
        <w:rPr>
          <w:rFonts w:cs="Arial Narrow"/>
        </w:rPr>
        <w:t xml:space="preserve"> </w:t>
      </w:r>
      <w:r>
        <w:rPr>
          <w:rFonts w:cs="Arial Narrow"/>
        </w:rPr>
        <w:t>a</w:t>
      </w:r>
      <w:r w:rsidRPr="0019108B">
        <w:rPr>
          <w:rFonts w:cs="Arial Narrow"/>
        </w:rPr>
        <w:t xml:space="preserve">j naďalej sa tak udrží pod najnižším sankčným pásmom dlhovej brzdy. Čistý dlh, ktorý je očistený o postupne rastúce likvidné aktíva verejnej správy, klesne až </w:t>
      </w:r>
      <w:r>
        <w:rPr>
          <w:rFonts w:cs="Arial Narrow"/>
        </w:rPr>
        <w:t xml:space="preserve">k </w:t>
      </w:r>
      <w:r w:rsidRPr="0019108B">
        <w:rPr>
          <w:rFonts w:cs="Arial Narrow"/>
        </w:rPr>
        <w:t>úrovni 37 % HDP (oproti roku 2018 o</w:t>
      </w:r>
      <w:r>
        <w:rPr>
          <w:rFonts w:cs="Arial Narrow"/>
        </w:rPr>
        <w:t xml:space="preserve"> vyše</w:t>
      </w:r>
      <w:r w:rsidRPr="0019108B">
        <w:rPr>
          <w:rFonts w:cs="Arial Narrow"/>
        </w:rPr>
        <w:t> 6 p.</w:t>
      </w:r>
      <w:r>
        <w:rPr>
          <w:rFonts w:cs="Arial Narrow"/>
        </w:rPr>
        <w:t xml:space="preserve"> b.). K poklesu hrubého a čistého zadlženia</w:t>
      </w:r>
      <w:r w:rsidRPr="00246506">
        <w:rPr>
          <w:rFonts w:cs="Arial Narrow"/>
        </w:rPr>
        <w:t xml:space="preserve"> prispejú najmä očakávané primárne prebytky hospodárenia VS </w:t>
      </w:r>
      <w:r>
        <w:rPr>
          <w:rFonts w:cs="Arial Narrow"/>
        </w:rPr>
        <w:t>okolo 1 % HDP, spolu so silnou podporou makroekonomického vývoja (rast ekonomiky výrazne nad implicitnou úrokovou mierou).</w:t>
      </w:r>
    </w:p>
    <w:tbl>
      <w:tblPr>
        <w:tblW w:w="8420" w:type="dxa"/>
        <w:tblCellMar>
          <w:left w:w="70" w:type="dxa"/>
          <w:right w:w="70" w:type="dxa"/>
        </w:tblCellMar>
        <w:tblLook w:val="0000" w:firstRow="0" w:lastRow="0" w:firstColumn="0" w:lastColumn="0" w:noHBand="0" w:noVBand="0"/>
      </w:tblPr>
      <w:tblGrid>
        <w:gridCol w:w="4430"/>
        <w:gridCol w:w="146"/>
        <w:gridCol w:w="4494"/>
      </w:tblGrid>
      <w:tr w:rsidR="000D1F76" w:rsidRPr="00C735D9" w14:paraId="1CA24A12" w14:textId="77777777" w:rsidTr="000D1F76">
        <w:trPr>
          <w:trHeight w:val="43"/>
        </w:trPr>
        <w:tc>
          <w:tcPr>
            <w:tcW w:w="4050" w:type="dxa"/>
            <w:tcBorders>
              <w:top w:val="nil"/>
              <w:left w:val="nil"/>
              <w:bottom w:val="single" w:sz="8" w:space="0" w:color="auto"/>
              <w:right w:val="nil"/>
            </w:tcBorders>
            <w:shd w:val="clear" w:color="auto" w:fill="auto"/>
            <w:noWrap/>
            <w:vAlign w:val="center"/>
          </w:tcPr>
          <w:p w14:paraId="2431BE8B" w14:textId="3710182B" w:rsidR="00BD53AF" w:rsidRPr="002E43AF" w:rsidRDefault="00BD53AF" w:rsidP="00387AE5">
            <w:pPr>
              <w:pStyle w:val="Nadpis3"/>
              <w:rPr>
                <w:rFonts w:eastAsiaTheme="minorHAnsi"/>
                <w:color w:val="2C9ADC"/>
                <w:lang w:eastAsia="en-US"/>
              </w:rPr>
            </w:pPr>
            <w:bookmarkStart w:id="98" w:name="_Toc6314252"/>
            <w:r w:rsidRPr="002E43AF">
              <w:rPr>
                <w:rFonts w:eastAsiaTheme="minorHAnsi"/>
                <w:color w:val="2C9ADC"/>
                <w:lang w:eastAsia="en-US"/>
              </w:rPr>
              <w:lastRenderedPageBreak/>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9</w:t>
            </w:r>
            <w:r w:rsidRPr="002E43AF">
              <w:rPr>
                <w:rFonts w:eastAsiaTheme="minorHAnsi"/>
                <w:color w:val="2C9ADC"/>
                <w:lang w:eastAsia="en-US"/>
              </w:rPr>
              <w:fldChar w:fldCharType="end"/>
            </w:r>
            <w:r w:rsidRPr="002E43AF">
              <w:rPr>
                <w:rFonts w:eastAsiaTheme="minorHAnsi"/>
                <w:color w:val="2C9ADC"/>
                <w:lang w:eastAsia="en-US"/>
              </w:rPr>
              <w:t xml:space="preserve"> - </w:t>
            </w:r>
            <w:r>
              <w:rPr>
                <w:rFonts w:eastAsiaTheme="minorHAnsi"/>
                <w:color w:val="2C9ADC"/>
                <w:lang w:eastAsia="en-US"/>
              </w:rPr>
              <w:t>K</w:t>
            </w:r>
            <w:r w:rsidRPr="002E43AF">
              <w:rPr>
                <w:rFonts w:eastAsiaTheme="minorHAnsi"/>
                <w:color w:val="2C9ADC"/>
                <w:lang w:eastAsia="en-US"/>
              </w:rPr>
              <w:t xml:space="preserve">onsolidačné úsilie </w:t>
            </w:r>
            <w:r>
              <w:rPr>
                <w:rFonts w:eastAsiaTheme="minorHAnsi"/>
                <w:color w:val="2C9ADC"/>
                <w:lang w:eastAsia="en-US"/>
              </w:rPr>
              <w:t xml:space="preserve">verejnej správy </w:t>
            </w:r>
            <w:r w:rsidRPr="002E43AF">
              <w:rPr>
                <w:rFonts w:eastAsiaTheme="minorHAnsi"/>
                <w:color w:val="2C9ADC"/>
                <w:lang w:eastAsia="en-US"/>
              </w:rPr>
              <w:t>(% HDP)</w:t>
            </w:r>
            <w:bookmarkEnd w:id="98"/>
          </w:p>
        </w:tc>
        <w:tc>
          <w:tcPr>
            <w:tcW w:w="262" w:type="dxa"/>
            <w:tcBorders>
              <w:top w:val="nil"/>
              <w:left w:val="nil"/>
              <w:bottom w:val="nil"/>
              <w:right w:val="nil"/>
            </w:tcBorders>
          </w:tcPr>
          <w:p w14:paraId="236793AB" w14:textId="77777777" w:rsidR="00BD53AF" w:rsidRPr="002E43AF" w:rsidRDefault="00BD53AF" w:rsidP="00387AE5">
            <w:pPr>
              <w:rPr>
                <w:rFonts w:eastAsiaTheme="minorHAnsi" w:cs="Arial"/>
                <w:b/>
                <w:bCs/>
                <w:color w:val="2C9ADC"/>
                <w:sz w:val="20"/>
                <w:szCs w:val="26"/>
                <w:lang w:eastAsia="en-US"/>
              </w:rPr>
            </w:pPr>
          </w:p>
        </w:tc>
        <w:tc>
          <w:tcPr>
            <w:tcW w:w="4108" w:type="dxa"/>
            <w:tcBorders>
              <w:top w:val="nil"/>
              <w:left w:val="nil"/>
              <w:bottom w:val="single" w:sz="8" w:space="0" w:color="auto"/>
              <w:right w:val="nil"/>
            </w:tcBorders>
            <w:shd w:val="clear" w:color="auto" w:fill="auto"/>
            <w:noWrap/>
            <w:vAlign w:val="center"/>
          </w:tcPr>
          <w:p w14:paraId="5798D14D" w14:textId="6DDD82CD" w:rsidR="00BD53AF" w:rsidRPr="002E43AF" w:rsidRDefault="00BD53AF" w:rsidP="00387AE5">
            <w:pPr>
              <w:pStyle w:val="Nadpis3"/>
              <w:rPr>
                <w:rFonts w:eastAsiaTheme="minorHAnsi"/>
                <w:color w:val="2C9ADC"/>
                <w:lang w:eastAsia="en-US"/>
              </w:rPr>
            </w:pPr>
            <w:bookmarkStart w:id="99" w:name="_Toc6314253"/>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10</w:t>
            </w:r>
            <w:r w:rsidRPr="002E43AF">
              <w:rPr>
                <w:rFonts w:eastAsiaTheme="minorHAnsi"/>
                <w:color w:val="2C9ADC"/>
                <w:lang w:eastAsia="en-US"/>
              </w:rPr>
              <w:fldChar w:fldCharType="end"/>
            </w:r>
            <w:r w:rsidRPr="002E43AF">
              <w:rPr>
                <w:rFonts w:eastAsiaTheme="minorHAnsi"/>
                <w:color w:val="2C9ADC"/>
                <w:lang w:eastAsia="en-US"/>
              </w:rPr>
              <w:t xml:space="preserve"> - Hrubý dlh verejnej správy (% HDP)</w:t>
            </w:r>
            <w:bookmarkEnd w:id="99"/>
          </w:p>
        </w:tc>
      </w:tr>
      <w:tr w:rsidR="000D1F76" w:rsidRPr="00C735D9" w14:paraId="7CD0414C" w14:textId="77777777" w:rsidTr="000D1F76">
        <w:trPr>
          <w:trHeight w:val="1886"/>
        </w:trPr>
        <w:tc>
          <w:tcPr>
            <w:tcW w:w="4050" w:type="dxa"/>
            <w:tcBorders>
              <w:top w:val="single" w:sz="8" w:space="0" w:color="auto"/>
              <w:left w:val="nil"/>
              <w:bottom w:val="nil"/>
              <w:right w:val="nil"/>
            </w:tcBorders>
            <w:noWrap/>
            <w:vAlign w:val="center"/>
          </w:tcPr>
          <w:p w14:paraId="190058E0" w14:textId="77777777" w:rsidR="00BD53AF" w:rsidRPr="00C735D9" w:rsidRDefault="00BD53AF" w:rsidP="00387AE5">
            <w:pPr>
              <w:rPr>
                <w:rFonts w:cs="Arial"/>
                <w:sz w:val="20"/>
                <w:szCs w:val="20"/>
                <w:highlight w:val="yellow"/>
              </w:rPr>
            </w:pPr>
            <w:r>
              <w:rPr>
                <w:noProof/>
              </w:rPr>
              <w:drawing>
                <wp:inline distT="0" distB="0" distL="0" distR="0" wp14:anchorId="03EA5F5F" wp14:editId="26E03153">
                  <wp:extent cx="2774950" cy="1734796"/>
                  <wp:effectExtent l="0" t="0" r="63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Del="00857297">
              <w:rPr>
                <w:noProof/>
              </w:rPr>
              <w:t xml:space="preserve"> </w:t>
            </w:r>
          </w:p>
        </w:tc>
        <w:tc>
          <w:tcPr>
            <w:tcW w:w="262" w:type="dxa"/>
            <w:tcBorders>
              <w:top w:val="nil"/>
              <w:left w:val="nil"/>
              <w:bottom w:val="nil"/>
              <w:right w:val="nil"/>
            </w:tcBorders>
          </w:tcPr>
          <w:p w14:paraId="3D5E5607" w14:textId="77777777" w:rsidR="00BD53AF" w:rsidRPr="00C735D9" w:rsidRDefault="00BD53AF" w:rsidP="00387AE5">
            <w:pPr>
              <w:rPr>
                <w:rFonts w:cs="Arial"/>
                <w:sz w:val="20"/>
                <w:szCs w:val="20"/>
                <w:highlight w:val="yellow"/>
              </w:rPr>
            </w:pPr>
          </w:p>
        </w:tc>
        <w:tc>
          <w:tcPr>
            <w:tcW w:w="4108" w:type="dxa"/>
            <w:tcBorders>
              <w:top w:val="single" w:sz="8" w:space="0" w:color="auto"/>
              <w:left w:val="nil"/>
              <w:bottom w:val="nil"/>
              <w:right w:val="nil"/>
            </w:tcBorders>
            <w:noWrap/>
            <w:vAlign w:val="center"/>
          </w:tcPr>
          <w:p w14:paraId="67171D69" w14:textId="3F9FF9BF" w:rsidR="00BD53AF" w:rsidRPr="00C735D9" w:rsidRDefault="00126D8A" w:rsidP="00126D8A">
            <w:pPr>
              <w:jc w:val="center"/>
              <w:rPr>
                <w:rFonts w:cs="Arial"/>
                <w:sz w:val="20"/>
                <w:szCs w:val="20"/>
                <w:highlight w:val="yellow"/>
              </w:rPr>
            </w:pPr>
            <w:r>
              <w:rPr>
                <w:noProof/>
              </w:rPr>
              <w:drawing>
                <wp:inline distT="0" distB="0" distL="0" distR="0" wp14:anchorId="773CE861" wp14:editId="32DC61BB">
                  <wp:extent cx="2822713" cy="1701165"/>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D1F76" w:rsidRPr="00C735D9" w14:paraId="1BF64D6F" w14:textId="77777777" w:rsidTr="000D1F76">
        <w:trPr>
          <w:trHeight w:val="138"/>
        </w:trPr>
        <w:tc>
          <w:tcPr>
            <w:tcW w:w="4050" w:type="dxa"/>
            <w:tcBorders>
              <w:top w:val="single" w:sz="4" w:space="0" w:color="auto"/>
              <w:left w:val="nil"/>
              <w:right w:val="nil"/>
            </w:tcBorders>
            <w:shd w:val="clear" w:color="auto" w:fill="auto"/>
            <w:noWrap/>
            <w:vAlign w:val="center"/>
          </w:tcPr>
          <w:p w14:paraId="5C65FFFC" w14:textId="77777777" w:rsidR="00BD53AF" w:rsidRPr="0019108B" w:rsidRDefault="00BD53AF" w:rsidP="00387AE5">
            <w:pPr>
              <w:jc w:val="right"/>
              <w:rPr>
                <w:rFonts w:cs="Arial Narrow"/>
                <w:i/>
                <w:iCs/>
                <w:sz w:val="16"/>
                <w:szCs w:val="16"/>
              </w:rPr>
            </w:pPr>
            <w:r w:rsidRPr="0019108B">
              <w:rPr>
                <w:rFonts w:cs="Arial Narrow"/>
                <w:i/>
                <w:iCs/>
                <w:sz w:val="16"/>
                <w:szCs w:val="16"/>
              </w:rPr>
              <w:t>Zdroj: MF SR</w:t>
            </w:r>
          </w:p>
        </w:tc>
        <w:tc>
          <w:tcPr>
            <w:tcW w:w="262" w:type="dxa"/>
            <w:tcBorders>
              <w:top w:val="nil"/>
              <w:left w:val="nil"/>
              <w:right w:val="nil"/>
            </w:tcBorders>
            <w:shd w:val="clear" w:color="auto" w:fill="auto"/>
          </w:tcPr>
          <w:p w14:paraId="501A5EA8" w14:textId="77777777" w:rsidR="00BD53AF" w:rsidRPr="0019108B" w:rsidRDefault="00BD53AF" w:rsidP="00387AE5">
            <w:pPr>
              <w:jc w:val="right"/>
              <w:rPr>
                <w:rFonts w:cs="Arial Narrow"/>
                <w:sz w:val="20"/>
                <w:szCs w:val="20"/>
              </w:rPr>
            </w:pPr>
          </w:p>
        </w:tc>
        <w:tc>
          <w:tcPr>
            <w:tcW w:w="4108" w:type="dxa"/>
            <w:tcBorders>
              <w:top w:val="single" w:sz="4" w:space="0" w:color="auto"/>
              <w:left w:val="nil"/>
              <w:right w:val="nil"/>
            </w:tcBorders>
            <w:shd w:val="clear" w:color="auto" w:fill="auto"/>
            <w:noWrap/>
            <w:vAlign w:val="center"/>
          </w:tcPr>
          <w:p w14:paraId="1EAE3364" w14:textId="77777777" w:rsidR="00BD53AF" w:rsidRPr="0019108B" w:rsidRDefault="00BD53AF" w:rsidP="00387AE5">
            <w:pPr>
              <w:spacing w:before="40"/>
              <w:jc w:val="right"/>
              <w:rPr>
                <w:rFonts w:cs="Arial Narrow"/>
                <w:i/>
                <w:iCs/>
                <w:sz w:val="16"/>
                <w:szCs w:val="16"/>
              </w:rPr>
            </w:pPr>
            <w:r w:rsidRPr="0019108B">
              <w:rPr>
                <w:rFonts w:cs="Arial Narrow"/>
                <w:i/>
                <w:iCs/>
                <w:sz w:val="16"/>
                <w:szCs w:val="16"/>
              </w:rPr>
              <w:t>Zdroj: MF SR</w:t>
            </w:r>
          </w:p>
        </w:tc>
      </w:tr>
    </w:tbl>
    <w:p w14:paraId="115E9599" w14:textId="77777777" w:rsidR="00BD53AF" w:rsidRPr="0094557B" w:rsidRDefault="00BD53AF" w:rsidP="00D52A81">
      <w:pPr>
        <w:pStyle w:val="Nadpis2"/>
        <w:keepLines/>
        <w:numPr>
          <w:ilvl w:val="1"/>
          <w:numId w:val="2"/>
        </w:numPr>
        <w:spacing w:after="120"/>
        <w:rPr>
          <w:b/>
          <w:color w:val="2C9ADC"/>
          <w:szCs w:val="24"/>
        </w:rPr>
      </w:pPr>
      <w:bookmarkStart w:id="100" w:name="_Toc5869381"/>
      <w:r w:rsidRPr="0094557B">
        <w:rPr>
          <w:b/>
          <w:color w:val="2C9ADC"/>
          <w:szCs w:val="24"/>
        </w:rPr>
        <w:t>Saldo verejnej správy v roku 2018</w:t>
      </w:r>
      <w:bookmarkEnd w:id="100"/>
    </w:p>
    <w:p w14:paraId="749DDADB" w14:textId="74610505" w:rsidR="00BD53AF" w:rsidRPr="00A27BE4" w:rsidRDefault="00BD53AF" w:rsidP="00BD53AF">
      <w:pPr>
        <w:pStyle w:val="Popis"/>
        <w:keepNext/>
        <w:spacing w:after="0"/>
        <w:jc w:val="both"/>
        <w:rPr>
          <w:rFonts w:cs="Arial Narrow"/>
          <w:b w:val="0"/>
          <w:color w:val="000000" w:themeColor="text1"/>
          <w:sz w:val="22"/>
          <w:szCs w:val="22"/>
        </w:rPr>
      </w:pPr>
      <w:r w:rsidRPr="00A27BE4">
        <w:rPr>
          <w:color w:val="000000" w:themeColor="text1"/>
          <w:sz w:val="22"/>
          <w:szCs w:val="22"/>
        </w:rPr>
        <w:t xml:space="preserve">Deficit verejnej správy </w:t>
      </w:r>
      <w:r w:rsidR="00C02822" w:rsidRPr="00A27BE4">
        <w:rPr>
          <w:color w:val="000000" w:themeColor="text1"/>
          <w:sz w:val="22"/>
          <w:szCs w:val="22"/>
        </w:rPr>
        <w:t xml:space="preserve">dosiahol </w:t>
      </w:r>
      <w:r w:rsidRPr="00A27BE4">
        <w:rPr>
          <w:color w:val="000000" w:themeColor="text1"/>
          <w:sz w:val="22"/>
          <w:szCs w:val="22"/>
        </w:rPr>
        <w:t xml:space="preserve">v roku </w:t>
      </w:r>
      <w:r>
        <w:rPr>
          <w:color w:val="000000" w:themeColor="text1"/>
          <w:sz w:val="22"/>
          <w:szCs w:val="22"/>
        </w:rPr>
        <w:t>2018</w:t>
      </w:r>
      <w:r w:rsidRPr="00A27BE4">
        <w:rPr>
          <w:color w:val="000000" w:themeColor="text1"/>
          <w:sz w:val="22"/>
          <w:szCs w:val="22"/>
        </w:rPr>
        <w:t xml:space="preserve"> </w:t>
      </w:r>
      <w:r w:rsidR="00C02822">
        <w:rPr>
          <w:color w:val="000000" w:themeColor="text1"/>
          <w:sz w:val="22"/>
          <w:szCs w:val="22"/>
        </w:rPr>
        <w:t xml:space="preserve">podľa údajov zaslaných do </w:t>
      </w:r>
      <w:r>
        <w:rPr>
          <w:color w:val="000000" w:themeColor="text1"/>
          <w:sz w:val="22"/>
          <w:szCs w:val="22"/>
        </w:rPr>
        <w:t>notifikácie</w:t>
      </w:r>
      <w:r w:rsidRPr="00A27BE4">
        <w:rPr>
          <w:color w:val="000000" w:themeColor="text1"/>
          <w:sz w:val="22"/>
          <w:szCs w:val="22"/>
        </w:rPr>
        <w:t xml:space="preserve"> Eurostatu úroveň </w:t>
      </w:r>
      <w:r>
        <w:rPr>
          <w:color w:val="000000" w:themeColor="text1"/>
          <w:sz w:val="22"/>
          <w:szCs w:val="22"/>
        </w:rPr>
        <w:t xml:space="preserve">0,7 </w:t>
      </w:r>
      <w:r w:rsidRPr="00A27BE4">
        <w:rPr>
          <w:color w:val="000000" w:themeColor="text1"/>
          <w:sz w:val="22"/>
          <w:szCs w:val="22"/>
        </w:rPr>
        <w:t>% HDP</w:t>
      </w:r>
      <w:r w:rsidRPr="00A27BE4">
        <w:rPr>
          <w:rFonts w:cs="Arial Narrow"/>
          <w:color w:val="000000" w:themeColor="text1"/>
          <w:sz w:val="22"/>
          <w:szCs w:val="22"/>
        </w:rPr>
        <w:t>.</w:t>
      </w:r>
      <w:r w:rsidRPr="00A27BE4">
        <w:rPr>
          <w:rFonts w:cs="Arial Narrow"/>
          <w:b w:val="0"/>
          <w:color w:val="000000" w:themeColor="text1"/>
          <w:sz w:val="22"/>
          <w:szCs w:val="22"/>
        </w:rPr>
        <w:t xml:space="preserve"> Stanovený </w:t>
      </w:r>
      <w:r>
        <w:rPr>
          <w:rFonts w:cs="Arial Narrow"/>
          <w:b w:val="0"/>
          <w:color w:val="000000" w:themeColor="text1"/>
          <w:sz w:val="22"/>
          <w:szCs w:val="22"/>
        </w:rPr>
        <w:t>deficit</w:t>
      </w:r>
      <w:r w:rsidRPr="00A27BE4">
        <w:rPr>
          <w:rFonts w:cs="Arial Narrow"/>
          <w:b w:val="0"/>
          <w:color w:val="000000" w:themeColor="text1"/>
          <w:sz w:val="22"/>
          <w:szCs w:val="22"/>
        </w:rPr>
        <w:t xml:space="preserve"> v schválenom rozpočte</w:t>
      </w:r>
      <w:r>
        <w:rPr>
          <w:rFonts w:cs="Arial Narrow"/>
          <w:b w:val="0"/>
          <w:color w:val="000000" w:themeColor="text1"/>
          <w:sz w:val="22"/>
          <w:szCs w:val="22"/>
        </w:rPr>
        <w:t xml:space="preserve"> </w:t>
      </w:r>
      <w:r w:rsidRPr="003D553D">
        <w:rPr>
          <w:rFonts w:cs="Arial Narrow"/>
          <w:b w:val="0"/>
          <w:color w:val="000000" w:themeColor="text1"/>
          <w:sz w:val="22"/>
          <w:szCs w:val="22"/>
        </w:rPr>
        <w:t>(0,83 % HDP) bol prekonaný o 0,13 p.</w:t>
      </w:r>
      <w:r>
        <w:rPr>
          <w:rFonts w:cs="Arial Narrow"/>
          <w:b w:val="0"/>
          <w:color w:val="000000" w:themeColor="text1"/>
          <w:sz w:val="22"/>
          <w:szCs w:val="22"/>
        </w:rPr>
        <w:t xml:space="preserve"> </w:t>
      </w:r>
      <w:r w:rsidRPr="003D553D">
        <w:rPr>
          <w:rFonts w:cs="Arial Narrow"/>
          <w:b w:val="0"/>
          <w:color w:val="000000" w:themeColor="text1"/>
          <w:sz w:val="22"/>
          <w:szCs w:val="22"/>
        </w:rPr>
        <w:t>b.</w:t>
      </w:r>
      <w:r>
        <w:rPr>
          <w:rFonts w:cs="Arial Narrow"/>
          <w:b w:val="0"/>
          <w:color w:val="000000" w:themeColor="text1"/>
          <w:sz w:val="22"/>
          <w:szCs w:val="22"/>
        </w:rPr>
        <w:t>.</w:t>
      </w:r>
      <w:r w:rsidRPr="003D553D">
        <w:rPr>
          <w:rFonts w:cs="Arial Narrow"/>
          <w:b w:val="0"/>
          <w:color w:val="000000" w:themeColor="text1"/>
          <w:sz w:val="22"/>
          <w:szCs w:val="22"/>
        </w:rPr>
        <w:t xml:space="preserve"> K lepšiemu výsledku prispeli najmä vyššie </w:t>
      </w:r>
      <w:r w:rsidR="0008307D">
        <w:rPr>
          <w:rFonts w:cs="Arial Narrow"/>
          <w:b w:val="0"/>
          <w:color w:val="000000" w:themeColor="text1"/>
          <w:sz w:val="22"/>
          <w:szCs w:val="22"/>
        </w:rPr>
        <w:t>daňovo-odvodové príjmy. Tie boli</w:t>
      </w:r>
      <w:r w:rsidRPr="003D553D">
        <w:rPr>
          <w:rFonts w:cs="Arial Narrow"/>
          <w:b w:val="0"/>
          <w:color w:val="000000" w:themeColor="text1"/>
          <w:sz w:val="22"/>
          <w:szCs w:val="22"/>
        </w:rPr>
        <w:t xml:space="preserve"> </w:t>
      </w:r>
      <w:r w:rsidR="0008307D">
        <w:rPr>
          <w:rFonts w:cs="Arial Narrow"/>
          <w:b w:val="0"/>
          <w:color w:val="000000" w:themeColor="text1"/>
          <w:sz w:val="22"/>
          <w:szCs w:val="22"/>
        </w:rPr>
        <w:t xml:space="preserve">čiastočne </w:t>
      </w:r>
      <w:r w:rsidRPr="003D553D">
        <w:rPr>
          <w:rFonts w:cs="Arial Narrow"/>
          <w:b w:val="0"/>
          <w:color w:val="000000" w:themeColor="text1"/>
          <w:sz w:val="22"/>
          <w:szCs w:val="22"/>
        </w:rPr>
        <w:t>kompenzované na strane výdavkov</w:t>
      </w:r>
      <w:r w:rsidR="00C02822">
        <w:rPr>
          <w:rFonts w:cs="Arial Narrow"/>
          <w:b w:val="0"/>
          <w:color w:val="000000" w:themeColor="text1"/>
          <w:sz w:val="22"/>
          <w:szCs w:val="22"/>
        </w:rPr>
        <w:t>,</w:t>
      </w:r>
      <w:r w:rsidRPr="003D553D">
        <w:rPr>
          <w:rFonts w:cs="Arial Narrow"/>
          <w:b w:val="0"/>
          <w:color w:val="000000" w:themeColor="text1"/>
          <w:sz w:val="22"/>
          <w:szCs w:val="22"/>
        </w:rPr>
        <w:t xml:space="preserve"> najmä vyššími investičnými výdavkami</w:t>
      </w:r>
      <w:r>
        <w:rPr>
          <w:rFonts w:cs="Arial Narrow"/>
          <w:b w:val="0"/>
          <w:color w:val="000000" w:themeColor="text1"/>
          <w:sz w:val="22"/>
          <w:szCs w:val="22"/>
        </w:rPr>
        <w:t xml:space="preserve"> </w:t>
      </w:r>
      <w:r w:rsidR="0008307D">
        <w:rPr>
          <w:rFonts w:cs="Arial Narrow"/>
          <w:b w:val="0"/>
          <w:color w:val="000000" w:themeColor="text1"/>
          <w:sz w:val="22"/>
          <w:szCs w:val="22"/>
        </w:rPr>
        <w:t>financovanými prevažne z EÚ fondov.</w:t>
      </w:r>
      <w:r>
        <w:rPr>
          <w:rFonts w:cs="Arial Narrow"/>
          <w:b w:val="0"/>
          <w:color w:val="000000" w:themeColor="text1"/>
          <w:sz w:val="22"/>
          <w:szCs w:val="22"/>
        </w:rPr>
        <w:t xml:space="preserve"> </w:t>
      </w:r>
    </w:p>
    <w:tbl>
      <w:tblPr>
        <w:tblW w:w="9017" w:type="dxa"/>
        <w:tblCellMar>
          <w:left w:w="70" w:type="dxa"/>
          <w:right w:w="70" w:type="dxa"/>
        </w:tblCellMar>
        <w:tblLook w:val="04A0" w:firstRow="1" w:lastRow="0" w:firstColumn="1" w:lastColumn="0" w:noHBand="0" w:noVBand="1"/>
      </w:tblPr>
      <w:tblGrid>
        <w:gridCol w:w="8075"/>
        <w:gridCol w:w="995"/>
      </w:tblGrid>
      <w:tr w:rsidR="00BD53AF" w:rsidRPr="009B1FA2" w14:paraId="46E950E1" w14:textId="77777777" w:rsidTr="00D52A81">
        <w:trPr>
          <w:trHeight w:val="199"/>
        </w:trPr>
        <w:tc>
          <w:tcPr>
            <w:tcW w:w="9017" w:type="dxa"/>
            <w:gridSpan w:val="2"/>
            <w:tcBorders>
              <w:top w:val="nil"/>
              <w:left w:val="nil"/>
              <w:bottom w:val="single" w:sz="8" w:space="0" w:color="auto"/>
              <w:right w:val="nil"/>
            </w:tcBorders>
            <w:shd w:val="clear" w:color="auto" w:fill="auto"/>
            <w:noWrap/>
            <w:vAlign w:val="bottom"/>
            <w:hideMark/>
          </w:tcPr>
          <w:p w14:paraId="66E20050" w14:textId="77777777" w:rsidR="00BD53AF" w:rsidRPr="009B1FA2" w:rsidRDefault="00BD53AF" w:rsidP="00387AE5">
            <w:pPr>
              <w:pStyle w:val="Nadpis3"/>
              <w:rPr>
                <w:rFonts w:eastAsiaTheme="minorHAnsi"/>
                <w:color w:val="2C9ADC"/>
                <w:lang w:eastAsia="en-US"/>
              </w:rPr>
            </w:pPr>
          </w:p>
          <w:p w14:paraId="0732E78A" w14:textId="3A2DB9CD" w:rsidR="00BD53AF" w:rsidRPr="009B1FA2" w:rsidRDefault="00BD53AF" w:rsidP="00387AE5">
            <w:pPr>
              <w:pStyle w:val="Nadpis3"/>
              <w:rPr>
                <w:rFonts w:eastAsiaTheme="minorHAnsi"/>
                <w:color w:val="2C9ADC"/>
                <w:lang w:eastAsia="en-US"/>
              </w:rPr>
            </w:pPr>
            <w:bookmarkStart w:id="101" w:name="_Toc6314254"/>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11</w:t>
            </w:r>
            <w:r w:rsidRPr="002E43AF">
              <w:rPr>
                <w:rFonts w:eastAsiaTheme="minorHAnsi"/>
                <w:color w:val="2C9ADC"/>
                <w:lang w:eastAsia="en-US"/>
              </w:rPr>
              <w:fldChar w:fldCharType="end"/>
            </w:r>
            <w:r w:rsidRPr="003D553D">
              <w:rPr>
                <w:rFonts w:eastAsiaTheme="minorHAnsi"/>
                <w:color w:val="2C9ADC"/>
                <w:lang w:eastAsia="en-US"/>
              </w:rPr>
              <w:t xml:space="preserve"> - Plnenie schváleného rozpočtu 2018 - rozdiely na hlavných položkách (ESA 2010)</w:t>
            </w:r>
            <w:bookmarkEnd w:id="101"/>
            <w:r w:rsidRPr="003D553D">
              <w:rPr>
                <w:rFonts w:eastAsiaTheme="minorHAnsi"/>
                <w:color w:val="2C9ADC"/>
                <w:lang w:eastAsia="en-US"/>
              </w:rPr>
              <w:t xml:space="preserve"> </w:t>
            </w:r>
          </w:p>
        </w:tc>
      </w:tr>
      <w:tr w:rsidR="00BD53AF" w:rsidRPr="00C735D9" w14:paraId="02A27321" w14:textId="77777777" w:rsidTr="00D52A81">
        <w:tblPrEx>
          <w:tblCellMar>
            <w:left w:w="108" w:type="dxa"/>
            <w:right w:w="108" w:type="dxa"/>
          </w:tblCellMar>
        </w:tblPrEx>
        <w:trPr>
          <w:trHeight w:val="1221"/>
        </w:trPr>
        <w:tc>
          <w:tcPr>
            <w:tcW w:w="9017" w:type="dxa"/>
            <w:gridSpan w:val="2"/>
            <w:tcBorders>
              <w:top w:val="single" w:sz="8" w:space="0" w:color="auto"/>
              <w:left w:val="nil"/>
              <w:bottom w:val="single" w:sz="4" w:space="0" w:color="auto"/>
              <w:right w:val="nil"/>
            </w:tcBorders>
            <w:shd w:val="clear" w:color="auto" w:fill="auto"/>
            <w:noWrap/>
          </w:tcPr>
          <w:p w14:paraId="7FD0A6F8" w14:textId="3E73E2A4" w:rsidR="00BD53AF" w:rsidRPr="00BE7937" w:rsidRDefault="004D221A" w:rsidP="00387AE5">
            <w:pPr>
              <w:jc w:val="center"/>
              <w:rPr>
                <w:rFonts w:cs="Arial"/>
                <w:b/>
                <w:bCs/>
                <w:color w:val="000000"/>
                <w:sz w:val="16"/>
                <w:szCs w:val="16"/>
                <w:highlight w:val="yellow"/>
              </w:rPr>
            </w:pPr>
            <w:r>
              <w:rPr>
                <w:noProof/>
              </w:rPr>
              <w:drawing>
                <wp:inline distT="0" distB="0" distL="0" distR="0" wp14:anchorId="7ECA93B4" wp14:editId="5D693AA7">
                  <wp:extent cx="5748793" cy="2385391"/>
                  <wp:effectExtent l="0" t="0" r="4445" b="1524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D53AF" w:rsidRPr="00955492" w14:paraId="00F441E2" w14:textId="77777777" w:rsidTr="00D52A81">
        <w:trPr>
          <w:trHeight w:val="172"/>
        </w:trPr>
        <w:tc>
          <w:tcPr>
            <w:tcW w:w="8030" w:type="dxa"/>
            <w:tcBorders>
              <w:top w:val="nil"/>
              <w:left w:val="nil"/>
              <w:bottom w:val="nil"/>
              <w:right w:val="nil"/>
            </w:tcBorders>
            <w:shd w:val="clear" w:color="auto" w:fill="auto"/>
            <w:noWrap/>
            <w:vAlign w:val="center"/>
          </w:tcPr>
          <w:p w14:paraId="7EEE5C0D" w14:textId="2E4B0816" w:rsidR="00BD53AF" w:rsidRDefault="00BD53AF" w:rsidP="00387AE5">
            <w:pPr>
              <w:spacing w:before="40"/>
              <w:rPr>
                <w:i/>
                <w:sz w:val="16"/>
                <w:szCs w:val="18"/>
                <w:lang w:eastAsia="en-US"/>
              </w:rPr>
            </w:pPr>
            <w:r w:rsidRPr="00955492">
              <w:rPr>
                <w:i/>
                <w:sz w:val="16"/>
                <w:szCs w:val="18"/>
                <w:lang w:eastAsia="en-US"/>
              </w:rPr>
              <w:t xml:space="preserve">(+) / (-) znamená pozitívny / negatívny vplyv na </w:t>
            </w:r>
            <w:r w:rsidR="003B2575">
              <w:rPr>
                <w:i/>
                <w:sz w:val="16"/>
                <w:szCs w:val="18"/>
                <w:lang w:eastAsia="en-US"/>
              </w:rPr>
              <w:t>saldo</w:t>
            </w:r>
            <w:r w:rsidR="003B2575" w:rsidRPr="00955492">
              <w:rPr>
                <w:i/>
                <w:sz w:val="16"/>
                <w:szCs w:val="18"/>
                <w:lang w:eastAsia="en-US"/>
              </w:rPr>
              <w:t xml:space="preserve"> </w:t>
            </w:r>
            <w:r w:rsidRPr="00955492">
              <w:rPr>
                <w:i/>
                <w:sz w:val="16"/>
                <w:szCs w:val="18"/>
                <w:lang w:eastAsia="en-US"/>
              </w:rPr>
              <w:t>VS</w:t>
            </w:r>
          </w:p>
          <w:p w14:paraId="2D27765B" w14:textId="380A8697" w:rsidR="003B2575" w:rsidRPr="00955492" w:rsidRDefault="003B2575" w:rsidP="00387AE5">
            <w:pPr>
              <w:spacing w:before="40"/>
              <w:rPr>
                <w:rFonts w:cs="Arial"/>
                <w:i/>
                <w:sz w:val="16"/>
                <w:szCs w:val="16"/>
              </w:rPr>
            </w:pPr>
            <w:r w:rsidRPr="001635D4">
              <w:rPr>
                <w:i/>
                <w:sz w:val="16"/>
                <w:szCs w:val="16"/>
                <w:lang w:eastAsia="en-US"/>
              </w:rPr>
              <w:t>V zátvorke sú uvedené príslušné kódy klasifikácie ESA 2010.</w:t>
            </w:r>
          </w:p>
        </w:tc>
        <w:tc>
          <w:tcPr>
            <w:tcW w:w="987" w:type="dxa"/>
            <w:tcBorders>
              <w:top w:val="nil"/>
              <w:left w:val="nil"/>
              <w:bottom w:val="nil"/>
              <w:right w:val="nil"/>
            </w:tcBorders>
            <w:shd w:val="clear" w:color="auto" w:fill="auto"/>
            <w:vAlign w:val="center"/>
          </w:tcPr>
          <w:p w14:paraId="5DF451D5" w14:textId="77777777" w:rsidR="00BD53AF" w:rsidRPr="00955492" w:rsidRDefault="00BD53AF" w:rsidP="00387AE5">
            <w:pPr>
              <w:spacing w:before="40"/>
              <w:jc w:val="right"/>
              <w:rPr>
                <w:rFonts w:cs="Arial"/>
                <w:i/>
                <w:sz w:val="16"/>
                <w:szCs w:val="16"/>
              </w:rPr>
            </w:pPr>
            <w:r w:rsidRPr="00955492">
              <w:rPr>
                <w:rFonts w:cs="Arial"/>
                <w:i/>
                <w:sz w:val="16"/>
                <w:szCs w:val="16"/>
              </w:rPr>
              <w:t>Zdroj: MF SR</w:t>
            </w:r>
          </w:p>
        </w:tc>
      </w:tr>
    </w:tbl>
    <w:p w14:paraId="75E7C5FD" w14:textId="77777777" w:rsidR="00BD53AF" w:rsidRPr="00955492" w:rsidRDefault="00BD53AF" w:rsidP="004F1515">
      <w:pPr>
        <w:spacing w:before="240" w:after="120"/>
        <w:jc w:val="both"/>
        <w:rPr>
          <w:b/>
          <w:bCs/>
          <w:color w:val="2C9ADC" w:themeColor="accent1"/>
        </w:rPr>
      </w:pPr>
      <w:r w:rsidRPr="00955492">
        <w:rPr>
          <w:b/>
          <w:bCs/>
          <w:color w:val="2C9ADC" w:themeColor="accent1"/>
        </w:rPr>
        <w:t xml:space="preserve">Príjmová strana rozpočtu </w:t>
      </w:r>
    </w:p>
    <w:p w14:paraId="57A37C89" w14:textId="17D9B3C8" w:rsidR="00BD53AF" w:rsidRPr="00163D54" w:rsidRDefault="00BD53AF" w:rsidP="00BD53AF">
      <w:pPr>
        <w:jc w:val="both"/>
        <w:rPr>
          <w:b/>
        </w:rPr>
      </w:pPr>
      <w:r w:rsidRPr="00163D54">
        <w:rPr>
          <w:b/>
          <w:bCs/>
        </w:rPr>
        <w:t xml:space="preserve">Celkové príjmy </w:t>
      </w:r>
      <w:r w:rsidRPr="00163D54">
        <w:rPr>
          <w:b/>
        </w:rPr>
        <w:t xml:space="preserve">boli </w:t>
      </w:r>
      <w:r w:rsidRPr="00163D54">
        <w:rPr>
          <w:b/>
          <w:bCs/>
        </w:rPr>
        <w:t>v porovnaní so schváleným rozpočtom</w:t>
      </w:r>
      <w:r w:rsidRPr="00163D54">
        <w:rPr>
          <w:rStyle w:val="Odkaznapoznmkupodiarou"/>
          <w:b/>
          <w:bCs/>
        </w:rPr>
        <w:t xml:space="preserve"> </w:t>
      </w:r>
      <w:r w:rsidRPr="00163D54">
        <w:rPr>
          <w:b/>
        </w:rPr>
        <w:t>vyššie o </w:t>
      </w:r>
      <w:r w:rsidR="00904607">
        <w:rPr>
          <w:b/>
        </w:rPr>
        <w:t>1584</w:t>
      </w:r>
      <w:r w:rsidR="00904607" w:rsidRPr="00163D54">
        <w:rPr>
          <w:b/>
          <w:bCs/>
        </w:rPr>
        <w:t> </w:t>
      </w:r>
      <w:r w:rsidRPr="00163D54">
        <w:rPr>
          <w:b/>
          <w:bCs/>
        </w:rPr>
        <w:t>mil. eur</w:t>
      </w:r>
      <w:r>
        <w:rPr>
          <w:b/>
          <w:bCs/>
        </w:rPr>
        <w:t xml:space="preserve">, z čoho </w:t>
      </w:r>
      <w:r w:rsidR="00904607">
        <w:rPr>
          <w:b/>
          <w:bCs/>
        </w:rPr>
        <w:t xml:space="preserve">takmer </w:t>
      </w:r>
      <w:r>
        <w:rPr>
          <w:b/>
          <w:bCs/>
        </w:rPr>
        <w:t xml:space="preserve">polovica súvisí s nárastom zdrojov </w:t>
      </w:r>
      <w:r w:rsidR="007A5214">
        <w:rPr>
          <w:b/>
          <w:bCs/>
        </w:rPr>
        <w:t>zo silnejšieho čerpania</w:t>
      </w:r>
      <w:r>
        <w:rPr>
          <w:b/>
          <w:bCs/>
        </w:rPr>
        <w:t> EÚ fondov.</w:t>
      </w:r>
    </w:p>
    <w:p w14:paraId="35ED76E7" w14:textId="77777777" w:rsidR="00BD53AF" w:rsidRPr="00163D54" w:rsidRDefault="00BD53AF" w:rsidP="00BD53AF">
      <w:pPr>
        <w:pStyle w:val="Odsekzoznamu"/>
        <w:jc w:val="both"/>
      </w:pPr>
    </w:p>
    <w:p w14:paraId="71F73B4E" w14:textId="76AF92AE" w:rsidR="00BD53AF" w:rsidRPr="00F42136" w:rsidRDefault="00BD53AF" w:rsidP="00415590">
      <w:pPr>
        <w:jc w:val="both"/>
        <w:rPr>
          <w:rStyle w:val="Odkaznakomentr"/>
          <w:rFonts w:cs="Book Antiqua"/>
          <w:b/>
          <w:sz w:val="22"/>
          <w:szCs w:val="22"/>
        </w:rPr>
      </w:pPr>
      <w:r w:rsidRPr="00415590">
        <w:rPr>
          <w:b/>
        </w:rPr>
        <w:t>D</w:t>
      </w:r>
      <w:r w:rsidRPr="00F42136">
        <w:rPr>
          <w:b/>
          <w:bCs/>
        </w:rPr>
        <w:t>aňové príjmy</w:t>
      </w:r>
      <w:r w:rsidRPr="00F42136">
        <w:rPr>
          <w:bCs/>
        </w:rPr>
        <w:t xml:space="preserve"> </w:t>
      </w:r>
      <w:r w:rsidRPr="00F42136">
        <w:rPr>
          <w:b/>
          <w:bCs/>
        </w:rPr>
        <w:t>prekročili predpoklady schváleného rozpočtu o 159 mil. eur</w:t>
      </w:r>
      <w:r w:rsidRPr="00F42136">
        <w:rPr>
          <w:bCs/>
        </w:rPr>
        <w:t>.</w:t>
      </w:r>
      <w:r w:rsidRPr="00F42136">
        <w:rPr>
          <w:b/>
          <w:bCs/>
        </w:rPr>
        <w:t xml:space="preserve"> </w:t>
      </w:r>
      <w:r>
        <w:t xml:space="preserve">Hlavným </w:t>
      </w:r>
      <w:r w:rsidRPr="00163D54">
        <w:t xml:space="preserve">dôvodom je vyšší výber </w:t>
      </w:r>
      <w:r w:rsidR="002A288A">
        <w:t>daní</w:t>
      </w:r>
      <w:r w:rsidR="002A288A" w:rsidRPr="00163D54">
        <w:t xml:space="preserve"> </w:t>
      </w:r>
      <w:r>
        <w:t xml:space="preserve">z </w:t>
      </w:r>
      <w:r w:rsidRPr="00163D54">
        <w:t>pridanej hodnoty</w:t>
      </w:r>
      <w:r>
        <w:t xml:space="preserve"> ako </w:t>
      </w:r>
      <w:r w:rsidR="00807B5B">
        <w:t xml:space="preserve">aj daní </w:t>
      </w:r>
      <w:r>
        <w:t>z fyzických a právnických osôb</w:t>
      </w:r>
      <w:r w:rsidR="00F42136">
        <w:t>.</w:t>
      </w:r>
      <w:r>
        <w:t xml:space="preserve"> </w:t>
      </w:r>
      <w:r w:rsidR="00304C90">
        <w:t>Pozitívny vplyv makroekonomické</w:t>
      </w:r>
      <w:r w:rsidR="002A288A">
        <w:t>ho</w:t>
      </w:r>
      <w:r w:rsidR="00304C90">
        <w:t xml:space="preserve"> vývoj</w:t>
      </w:r>
      <w:r w:rsidR="002A288A">
        <w:t>a</w:t>
      </w:r>
      <w:r w:rsidR="00304C90">
        <w:t xml:space="preserve"> a </w:t>
      </w:r>
      <w:r w:rsidR="00360CE2">
        <w:t xml:space="preserve">efektívnejšieho </w:t>
      </w:r>
      <w:r w:rsidR="00304C90">
        <w:t xml:space="preserve">výberu </w:t>
      </w:r>
      <w:r w:rsidR="002A288A">
        <w:t xml:space="preserve">pri </w:t>
      </w:r>
      <w:r w:rsidR="00684201">
        <w:t>väčšine</w:t>
      </w:r>
      <w:r w:rsidR="00360CE2">
        <w:t xml:space="preserve"> </w:t>
      </w:r>
      <w:r w:rsidR="002A288A">
        <w:t xml:space="preserve">daňových položiek </w:t>
      </w:r>
      <w:r w:rsidR="00304C90">
        <w:t>(podrobnejšie</w:t>
      </w:r>
      <w:r w:rsidR="003828C3">
        <w:t xml:space="preserve"> </w:t>
      </w:r>
      <w:r w:rsidR="003828C3" w:rsidRPr="003828C3">
        <w:rPr>
          <w:color w:val="2C9ADC" w:themeColor="accent1"/>
        </w:rPr>
        <w:t>BOX 3</w:t>
      </w:r>
      <w:r w:rsidR="00304C90">
        <w:t>)</w:t>
      </w:r>
      <w:r w:rsidR="00F42136">
        <w:t xml:space="preserve"> </w:t>
      </w:r>
      <w:r w:rsidR="00304C90">
        <w:t xml:space="preserve">kompenzuje </w:t>
      </w:r>
      <w:r w:rsidR="00F42136">
        <w:t>výpadok</w:t>
      </w:r>
      <w:r w:rsidR="00304C90">
        <w:t xml:space="preserve"> </w:t>
      </w:r>
      <w:r w:rsidR="00F42136">
        <w:t>v</w:t>
      </w:r>
      <w:r w:rsidR="002A288A">
        <w:t xml:space="preserve"> iných daňových príjmoch (mimo rozsah Výboru pre daňové prognózy), najmä </w:t>
      </w:r>
      <w:r w:rsidR="00983BDE">
        <w:t xml:space="preserve">príjmu z </w:t>
      </w:r>
      <w:r w:rsidR="00F42136">
        <w:t>emisných kvó</w:t>
      </w:r>
      <w:r w:rsidR="00304C90">
        <w:t>t a</w:t>
      </w:r>
      <w:r w:rsidR="00F42136">
        <w:t> príjmov</w:t>
      </w:r>
      <w:r w:rsidR="00304C90">
        <w:t xml:space="preserve"> z hazardných hier. </w:t>
      </w:r>
      <w:r>
        <w:t xml:space="preserve">Na </w:t>
      </w:r>
      <w:r w:rsidR="00304C90">
        <w:t>položke daňových príjmov</w:t>
      </w:r>
      <w:r>
        <w:t xml:space="preserve"> uvažoval rozpočet</w:t>
      </w:r>
      <w:r w:rsidR="00F42136">
        <w:t xml:space="preserve"> (</w:t>
      </w:r>
      <w:r w:rsidR="002A288A">
        <w:t>na rozdiel od vykázanej skutočnosti</w:t>
      </w:r>
      <w:r w:rsidR="00F42136">
        <w:t>)</w:t>
      </w:r>
      <w:r>
        <w:t xml:space="preserve"> aj s nárastom príjmov z tržieb zo skladovania núdzových zásob ropy a ropných výrobkov.</w:t>
      </w:r>
      <w:r w:rsidRPr="00041042">
        <w:rPr>
          <w:rStyle w:val="Odkaznapoznmkupodiarou"/>
        </w:rPr>
        <w:footnoteReference w:id="11"/>
      </w:r>
      <w:r w:rsidR="00304C90">
        <w:t xml:space="preserve"> </w:t>
      </w:r>
    </w:p>
    <w:p w14:paraId="34AB12CD" w14:textId="77777777" w:rsidR="00BD53AF" w:rsidRPr="00163D54" w:rsidRDefault="00BD53AF" w:rsidP="00BD53AF">
      <w:pPr>
        <w:pStyle w:val="Odsekzoznamu"/>
        <w:ind w:left="360"/>
        <w:jc w:val="both"/>
        <w:rPr>
          <w:highlight w:val="yellow"/>
        </w:rPr>
      </w:pPr>
    </w:p>
    <w:p w14:paraId="21FD18DE" w14:textId="0236DD9F" w:rsidR="00BD53AF" w:rsidRPr="009B4A59" w:rsidRDefault="00BD53AF" w:rsidP="00415590">
      <w:pPr>
        <w:jc w:val="both"/>
      </w:pPr>
      <w:r w:rsidRPr="00F42136">
        <w:rPr>
          <w:b/>
        </w:rPr>
        <w:t>Príjmy na sociálne zabezpečenie predstavujú</w:t>
      </w:r>
      <w:r w:rsidRPr="00F42136" w:rsidDel="009317EC">
        <w:rPr>
          <w:b/>
        </w:rPr>
        <w:t xml:space="preserve"> </w:t>
      </w:r>
      <w:r w:rsidRPr="00F42136">
        <w:rPr>
          <w:b/>
        </w:rPr>
        <w:t xml:space="preserve">oproti rozpočtu navýšenie o </w:t>
      </w:r>
      <w:r w:rsidR="00904607" w:rsidRPr="00F42136">
        <w:rPr>
          <w:b/>
        </w:rPr>
        <w:t>24</w:t>
      </w:r>
      <w:r w:rsidR="00253E92" w:rsidRPr="00F42136">
        <w:rPr>
          <w:b/>
        </w:rPr>
        <w:t>9</w:t>
      </w:r>
      <w:r w:rsidR="00904607" w:rsidRPr="00F42136">
        <w:rPr>
          <w:b/>
        </w:rPr>
        <w:t xml:space="preserve"> </w:t>
      </w:r>
      <w:r w:rsidRPr="00F42136">
        <w:rPr>
          <w:b/>
        </w:rPr>
        <w:t>mil. eur</w:t>
      </w:r>
      <w:r>
        <w:rPr>
          <w:rStyle w:val="Odkaznapoznmkupodiarou"/>
          <w:b/>
        </w:rPr>
        <w:footnoteReference w:id="12"/>
      </w:r>
      <w:r w:rsidRPr="00F42136">
        <w:rPr>
          <w:b/>
        </w:rPr>
        <w:t xml:space="preserve">. </w:t>
      </w:r>
      <w:r w:rsidRPr="009B4A59">
        <w:t xml:space="preserve">Lepší než očakávaný vývoj zamestnanosti a miezd viedli k prekonaniu rozpočtu na zdravotných a sociálnych odvodoch. </w:t>
      </w:r>
    </w:p>
    <w:p w14:paraId="427FD0B7" w14:textId="77777777" w:rsidR="00BD53AF" w:rsidRPr="00C735D9" w:rsidRDefault="00BD53AF" w:rsidP="00BD53AF">
      <w:pPr>
        <w:rPr>
          <w:highlight w:val="yellow"/>
        </w:rPr>
      </w:pPr>
    </w:p>
    <w:tbl>
      <w:tblPr>
        <w:tblpPr w:leftFromText="141" w:rightFromText="141" w:bottomFromText="160" w:vertAnchor="text" w:tblpXSpec="center" w:tblpY="1"/>
        <w:tblOverlap w:val="never"/>
        <w:tblW w:w="9075" w:type="dxa"/>
        <w:shd w:val="clear" w:color="auto" w:fill="AAD3F2"/>
        <w:tblLayout w:type="fixed"/>
        <w:tblLook w:val="01E0" w:firstRow="1" w:lastRow="1" w:firstColumn="1" w:lastColumn="1" w:noHBand="0" w:noVBand="0"/>
      </w:tblPr>
      <w:tblGrid>
        <w:gridCol w:w="9075"/>
      </w:tblGrid>
      <w:tr w:rsidR="00BD53AF" w:rsidRPr="00C735D9" w14:paraId="606ADD3A" w14:textId="77777777" w:rsidTr="00387AE5">
        <w:trPr>
          <w:trHeight w:val="576"/>
        </w:trPr>
        <w:tc>
          <w:tcPr>
            <w:tcW w:w="9075" w:type="dxa"/>
            <w:shd w:val="clear" w:color="auto" w:fill="AAD3F2"/>
          </w:tcPr>
          <w:p w14:paraId="3C76DFD6" w14:textId="5445C15C" w:rsidR="00BD53AF" w:rsidRPr="00387AE5" w:rsidRDefault="00BD53AF" w:rsidP="00D52A81">
            <w:pPr>
              <w:pStyle w:val="Nadpis3"/>
              <w:spacing w:before="120" w:after="120"/>
              <w:rPr>
                <w:color w:val="2C9ADC" w:themeColor="accent1"/>
                <w:sz w:val="22"/>
                <w:szCs w:val="22"/>
              </w:rPr>
            </w:pPr>
            <w:bookmarkStart w:id="102" w:name="_Ref5284931"/>
            <w:bookmarkStart w:id="103" w:name="_Toc6314057"/>
            <w:r w:rsidRPr="00387AE5">
              <w:rPr>
                <w:color w:val="2C9ADC" w:themeColor="accent1"/>
                <w:sz w:val="22"/>
                <w:szCs w:val="22"/>
              </w:rPr>
              <w:t xml:space="preserve">BOX </w:t>
            </w:r>
            <w:r w:rsidRPr="00387AE5">
              <w:rPr>
                <w:color w:val="2C9ADC" w:themeColor="accent1"/>
                <w:sz w:val="22"/>
                <w:szCs w:val="22"/>
              </w:rPr>
              <w:fldChar w:fldCharType="begin"/>
            </w:r>
            <w:r w:rsidRPr="00387AE5">
              <w:rPr>
                <w:color w:val="2C9ADC" w:themeColor="accent1"/>
                <w:sz w:val="22"/>
                <w:szCs w:val="22"/>
              </w:rPr>
              <w:instrText xml:space="preserve"> SEQ BOX \* ARABIC </w:instrText>
            </w:r>
            <w:r w:rsidRPr="00387AE5">
              <w:rPr>
                <w:color w:val="2C9ADC" w:themeColor="accent1"/>
                <w:sz w:val="22"/>
                <w:szCs w:val="22"/>
              </w:rPr>
              <w:fldChar w:fldCharType="separate"/>
            </w:r>
            <w:r w:rsidR="00D5739E">
              <w:rPr>
                <w:noProof/>
                <w:color w:val="2C9ADC" w:themeColor="accent1"/>
                <w:sz w:val="22"/>
                <w:szCs w:val="22"/>
              </w:rPr>
              <w:t>3</w:t>
            </w:r>
            <w:r w:rsidRPr="00387AE5">
              <w:rPr>
                <w:color w:val="2C9ADC" w:themeColor="accent1"/>
                <w:sz w:val="22"/>
                <w:szCs w:val="22"/>
              </w:rPr>
              <w:fldChar w:fldCharType="end"/>
            </w:r>
            <w:r w:rsidRPr="00387AE5">
              <w:rPr>
                <w:color w:val="2C9ADC" w:themeColor="accent1"/>
                <w:sz w:val="22"/>
                <w:szCs w:val="22"/>
              </w:rPr>
              <w:t xml:space="preserve"> - Vyhodnotenie daňových príjmov za rok 2018, ktoré prognózuje Výbor pre daňové prognózy</w:t>
            </w:r>
            <w:bookmarkEnd w:id="102"/>
            <w:bookmarkEnd w:id="103"/>
            <w:r w:rsidRPr="00387AE5">
              <w:rPr>
                <w:color w:val="2C9ADC" w:themeColor="accent1"/>
                <w:sz w:val="22"/>
                <w:szCs w:val="22"/>
              </w:rPr>
              <w:t xml:space="preserve"> </w:t>
            </w:r>
          </w:p>
          <w:p w14:paraId="4179E55F" w14:textId="43432483" w:rsidR="00BD53AF" w:rsidRPr="00EE10AB" w:rsidRDefault="00BD53AF" w:rsidP="00387AE5">
            <w:pPr>
              <w:spacing w:after="240"/>
              <w:jc w:val="both"/>
              <w:rPr>
                <w:rFonts w:eastAsiaTheme="minorHAnsi" w:cstheme="minorBidi"/>
                <w:sz w:val="20"/>
                <w:szCs w:val="20"/>
                <w:highlight w:val="yellow"/>
                <w:lang w:eastAsia="en-US"/>
              </w:rPr>
            </w:pPr>
            <w:r w:rsidRPr="00602847">
              <w:rPr>
                <w:rFonts w:eastAsiaTheme="minorHAnsi" w:cstheme="minorBidi"/>
                <w:b/>
                <w:sz w:val="20"/>
                <w:szCs w:val="20"/>
                <w:lang w:eastAsia="en-US"/>
              </w:rPr>
              <w:t>Aktuálny odhad daňovo-odvodových príjmov</w:t>
            </w:r>
            <w:r w:rsidRPr="00602847">
              <w:rPr>
                <w:rFonts w:eastAsiaTheme="minorHAnsi" w:cstheme="minorBidi"/>
                <w:sz w:val="20"/>
                <w:szCs w:val="20"/>
                <w:lang w:eastAsia="en-US"/>
              </w:rPr>
              <w:t xml:space="preserve"> </w:t>
            </w:r>
            <w:r w:rsidRPr="00602847">
              <w:rPr>
                <w:rFonts w:eastAsiaTheme="minorHAnsi" w:cstheme="minorBidi"/>
                <w:b/>
                <w:sz w:val="20"/>
                <w:szCs w:val="20"/>
                <w:lang w:eastAsia="en-US"/>
              </w:rPr>
              <w:t>verejnej správy na rok 2018, ktoré prognózuje VpDP, sú oproti schválenému rozpočtu</w:t>
            </w:r>
            <w:r>
              <w:rPr>
                <w:rFonts w:eastAsiaTheme="minorHAnsi" w:cstheme="minorBidi"/>
                <w:b/>
                <w:sz w:val="20"/>
                <w:szCs w:val="20"/>
                <w:lang w:eastAsia="en-US"/>
              </w:rPr>
              <w:t xml:space="preserve"> </w:t>
            </w:r>
            <w:r w:rsidRPr="009000D8">
              <w:rPr>
                <w:rFonts w:eastAsiaTheme="minorHAnsi" w:cstheme="minorBidi"/>
                <w:b/>
                <w:sz w:val="20"/>
                <w:szCs w:val="20"/>
                <w:lang w:eastAsia="en-US"/>
              </w:rPr>
              <w:t>na rok 2018</w:t>
            </w:r>
            <w:r w:rsidRPr="00602847">
              <w:rPr>
                <w:rFonts w:eastAsiaTheme="minorHAnsi" w:cstheme="minorBidi"/>
                <w:sz w:val="20"/>
                <w:szCs w:val="20"/>
                <w:lang w:eastAsia="en-US"/>
              </w:rPr>
              <w:t xml:space="preserve"> </w:t>
            </w:r>
            <w:r w:rsidRPr="00602847">
              <w:rPr>
                <w:rFonts w:eastAsiaTheme="minorHAnsi" w:cstheme="minorBidi"/>
                <w:b/>
                <w:sz w:val="20"/>
                <w:szCs w:val="20"/>
                <w:lang w:eastAsia="en-US"/>
              </w:rPr>
              <w:t xml:space="preserve">vyššie o </w:t>
            </w:r>
            <w:r>
              <w:rPr>
                <w:rFonts w:eastAsiaTheme="minorHAnsi" w:cstheme="minorBidi"/>
                <w:b/>
                <w:sz w:val="20"/>
                <w:szCs w:val="20"/>
                <w:lang w:eastAsia="en-US"/>
              </w:rPr>
              <w:t>697</w:t>
            </w:r>
            <w:r w:rsidRPr="00602847">
              <w:rPr>
                <w:rFonts w:eastAsiaTheme="minorHAnsi" w:cstheme="minorBidi"/>
                <w:b/>
                <w:sz w:val="20"/>
                <w:szCs w:val="20"/>
                <w:lang w:eastAsia="en-US"/>
              </w:rPr>
              <w:t xml:space="preserve"> mil. eur.</w:t>
            </w:r>
            <w:r w:rsidRPr="00602847">
              <w:rPr>
                <w:rFonts w:eastAsiaTheme="minorHAnsi" w:cstheme="minorBidi"/>
                <w:sz w:val="20"/>
                <w:szCs w:val="20"/>
                <w:lang w:eastAsia="en-US"/>
              </w:rPr>
              <w:t xml:space="preserve"> Z analytického hľadiska je možné prisúdiť rozdiely vo vývoji jednotlivých daní </w:t>
            </w:r>
            <w:r>
              <w:rPr>
                <w:rFonts w:eastAsiaTheme="minorHAnsi" w:cstheme="minorBidi"/>
                <w:sz w:val="20"/>
                <w:szCs w:val="20"/>
                <w:lang w:eastAsia="en-US"/>
              </w:rPr>
              <w:t xml:space="preserve">viacerým </w:t>
            </w:r>
            <w:r w:rsidRPr="00602847">
              <w:rPr>
                <w:rFonts w:eastAsiaTheme="minorHAnsi" w:cstheme="minorBidi"/>
                <w:sz w:val="20"/>
                <w:szCs w:val="20"/>
                <w:lang w:eastAsia="en-US"/>
              </w:rPr>
              <w:t>faktorom</w:t>
            </w:r>
            <w:r>
              <w:rPr>
                <w:rFonts w:eastAsiaTheme="minorHAnsi" w:cstheme="minorBidi"/>
                <w:sz w:val="20"/>
                <w:szCs w:val="20"/>
                <w:lang w:eastAsia="en-US"/>
              </w:rPr>
              <w:t xml:space="preserve"> - vplyvu makroekonomického</w:t>
            </w:r>
            <w:r w:rsidRPr="00602847">
              <w:rPr>
                <w:rFonts w:eastAsiaTheme="minorHAnsi" w:cstheme="minorBidi"/>
                <w:sz w:val="20"/>
                <w:szCs w:val="20"/>
                <w:lang w:eastAsia="en-US"/>
              </w:rPr>
              <w:t xml:space="preserve"> </w:t>
            </w:r>
            <w:r w:rsidRPr="0039118F">
              <w:rPr>
                <w:rFonts w:eastAsiaTheme="minorHAnsi" w:cstheme="minorBidi"/>
                <w:sz w:val="20"/>
                <w:szCs w:val="20"/>
                <w:lang w:eastAsia="en-US"/>
              </w:rPr>
              <w:t xml:space="preserve">vývoja, </w:t>
            </w:r>
            <w:r>
              <w:rPr>
                <w:rFonts w:eastAsiaTheme="minorHAnsi" w:cstheme="minorBidi"/>
                <w:sz w:val="20"/>
                <w:szCs w:val="20"/>
                <w:lang w:eastAsia="en-US"/>
              </w:rPr>
              <w:t>efektívnej daňovej sadzby (EDS) vrátane zmeny úrovne</w:t>
            </w:r>
            <w:r w:rsidRPr="0039118F">
              <w:rPr>
                <w:rFonts w:eastAsiaTheme="minorHAnsi" w:cstheme="minorBidi"/>
                <w:sz w:val="20"/>
                <w:szCs w:val="20"/>
                <w:lang w:eastAsia="en-US"/>
              </w:rPr>
              <w:t xml:space="preserve">, </w:t>
            </w:r>
            <w:r>
              <w:rPr>
                <w:rFonts w:eastAsiaTheme="minorHAnsi" w:cstheme="minorBidi"/>
                <w:sz w:val="20"/>
                <w:szCs w:val="20"/>
                <w:lang w:eastAsia="en-US"/>
              </w:rPr>
              <w:t>novej legislatíve nezahrnutej v rozpočte</w:t>
            </w:r>
            <w:r w:rsidRPr="00602847">
              <w:rPr>
                <w:rFonts w:eastAsiaTheme="minorHAnsi" w:cstheme="minorBidi"/>
                <w:sz w:val="20"/>
                <w:szCs w:val="20"/>
                <w:lang w:eastAsia="en-US"/>
              </w:rPr>
              <w:t xml:space="preserve"> a jednorazov</w:t>
            </w:r>
            <w:r>
              <w:rPr>
                <w:rFonts w:eastAsiaTheme="minorHAnsi" w:cstheme="minorBidi"/>
                <w:sz w:val="20"/>
                <w:szCs w:val="20"/>
                <w:lang w:eastAsia="en-US"/>
              </w:rPr>
              <w:t>ým</w:t>
            </w:r>
            <w:r w:rsidRPr="00602847">
              <w:rPr>
                <w:rFonts w:eastAsiaTheme="minorHAnsi" w:cstheme="minorBidi"/>
                <w:sz w:val="20"/>
                <w:szCs w:val="20"/>
                <w:lang w:eastAsia="en-US"/>
              </w:rPr>
              <w:t xml:space="preserve"> faktor</w:t>
            </w:r>
            <w:r>
              <w:rPr>
                <w:rFonts w:eastAsiaTheme="minorHAnsi" w:cstheme="minorBidi"/>
                <w:sz w:val="20"/>
                <w:szCs w:val="20"/>
                <w:lang w:eastAsia="en-US"/>
              </w:rPr>
              <w:t>om.</w:t>
            </w:r>
            <w:r w:rsidRPr="00602847">
              <w:rPr>
                <w:rFonts w:eastAsiaTheme="minorHAnsi" w:cstheme="minorBidi"/>
                <w:sz w:val="20"/>
                <w:szCs w:val="20"/>
                <w:lang w:eastAsia="en-US"/>
              </w:rPr>
              <w:t xml:space="preserve"> </w:t>
            </w:r>
            <w:r>
              <w:rPr>
                <w:rFonts w:eastAsiaTheme="minorHAnsi" w:cstheme="minorBidi"/>
                <w:sz w:val="20"/>
                <w:szCs w:val="20"/>
                <w:lang w:eastAsia="en-US"/>
              </w:rPr>
              <w:t>Za rok 2018 išlo najmä o tieto faktory:</w:t>
            </w:r>
          </w:p>
          <w:p w14:paraId="7C6144F3" w14:textId="77777777" w:rsidR="00BD53AF" w:rsidRDefault="00BD53AF" w:rsidP="00BD53AF">
            <w:pPr>
              <w:pStyle w:val="Odsekzoznamu"/>
              <w:numPr>
                <w:ilvl w:val="0"/>
                <w:numId w:val="12"/>
              </w:numPr>
              <w:spacing w:after="240"/>
              <w:jc w:val="both"/>
              <w:rPr>
                <w:rFonts w:eastAsiaTheme="minorHAnsi" w:cstheme="minorBidi"/>
                <w:sz w:val="20"/>
                <w:szCs w:val="20"/>
                <w:lang w:eastAsia="en-US"/>
              </w:rPr>
            </w:pPr>
            <w:r>
              <w:rPr>
                <w:rFonts w:eastAsiaTheme="minorHAnsi" w:cstheme="minorBidi"/>
                <w:sz w:val="20"/>
                <w:szCs w:val="20"/>
                <w:lang w:eastAsia="en-US"/>
              </w:rPr>
              <w:t>Približne dve tretiny</w:t>
            </w:r>
            <w:r w:rsidRPr="004A412D">
              <w:rPr>
                <w:rFonts w:eastAsiaTheme="minorHAnsi" w:cstheme="minorBidi"/>
                <w:sz w:val="20"/>
                <w:szCs w:val="20"/>
                <w:lang w:eastAsia="en-US"/>
              </w:rPr>
              <w:t xml:space="preserve"> vyšších príjmov z daní a odvodov je z dôvodu lepšieho ako očakávaného makroekonomického vývoj</w:t>
            </w:r>
            <w:r>
              <w:rPr>
                <w:rFonts w:eastAsiaTheme="minorHAnsi" w:cstheme="minorBidi"/>
                <w:sz w:val="20"/>
                <w:szCs w:val="20"/>
                <w:lang w:eastAsia="en-US"/>
              </w:rPr>
              <w:t>a</w:t>
            </w:r>
            <w:r w:rsidRPr="004A412D">
              <w:rPr>
                <w:rFonts w:eastAsiaTheme="minorHAnsi" w:cstheme="minorBidi"/>
                <w:sz w:val="20"/>
                <w:szCs w:val="20"/>
                <w:lang w:eastAsia="en-US"/>
              </w:rPr>
              <w:t>, najmä lepšieho vývoja na trhu práce.</w:t>
            </w:r>
            <w:r w:rsidRPr="004A412D">
              <w:rPr>
                <w:rFonts w:eastAsiaTheme="minorHAnsi" w:cstheme="minorBidi"/>
                <w:color w:val="FF0000"/>
                <w:sz w:val="20"/>
                <w:szCs w:val="20"/>
                <w:lang w:eastAsia="en-US"/>
              </w:rPr>
              <w:t xml:space="preserve"> </w:t>
            </w:r>
            <w:r w:rsidRPr="004A412D">
              <w:rPr>
                <w:rFonts w:eastAsiaTheme="minorHAnsi" w:cstheme="minorBidi"/>
                <w:sz w:val="20"/>
                <w:szCs w:val="20"/>
                <w:lang w:eastAsia="en-US"/>
              </w:rPr>
              <w:t>Ten ovplyvnil výnosy dane z príjmov fyzických osôb, sociálne a zdravotné odvody. Vyššia konečná spotreba domácností prispela k vyššiemu výnosu DPH.</w:t>
            </w:r>
          </w:p>
          <w:p w14:paraId="3A9F1D82" w14:textId="77777777" w:rsidR="00BD53AF" w:rsidRDefault="00BD53AF" w:rsidP="00BD53AF">
            <w:pPr>
              <w:pStyle w:val="Odsekzoznamu"/>
              <w:numPr>
                <w:ilvl w:val="0"/>
                <w:numId w:val="12"/>
              </w:numPr>
              <w:spacing w:after="240"/>
              <w:jc w:val="both"/>
              <w:rPr>
                <w:rFonts w:eastAsiaTheme="minorHAnsi" w:cstheme="minorBidi"/>
                <w:sz w:val="20"/>
                <w:szCs w:val="20"/>
                <w:lang w:eastAsia="en-US"/>
              </w:rPr>
            </w:pPr>
            <w:r w:rsidRPr="009D273C">
              <w:rPr>
                <w:rFonts w:eastAsiaTheme="minorHAnsi" w:cstheme="minorBidi"/>
                <w:sz w:val="20"/>
                <w:szCs w:val="20"/>
                <w:lang w:eastAsia="en-US"/>
              </w:rPr>
              <w:t>Viac ako pätina vyšších príjmov je spôsobená vyššou úrovňou výberu daní</w:t>
            </w:r>
            <w:r>
              <w:rPr>
                <w:rFonts w:eastAsiaTheme="minorHAnsi" w:cstheme="minorBidi"/>
                <w:sz w:val="20"/>
                <w:szCs w:val="20"/>
                <w:lang w:eastAsia="en-US"/>
              </w:rPr>
              <w:t>, čo je viditeľné najmä pri DPPO, DPH a dani z príjmov fyzických osôb</w:t>
            </w:r>
            <w:r>
              <w:rPr>
                <w:rStyle w:val="Odkaznapoznmkupodiarou"/>
                <w:rFonts w:eastAsiaTheme="minorHAnsi"/>
                <w:sz w:val="20"/>
                <w:szCs w:val="20"/>
              </w:rPr>
              <w:footnoteReference w:id="13"/>
            </w:r>
            <w:r w:rsidRPr="009D273C">
              <w:rPr>
                <w:rFonts w:eastAsiaTheme="minorHAnsi" w:cstheme="minorBidi"/>
                <w:sz w:val="20"/>
                <w:szCs w:val="20"/>
                <w:lang w:eastAsia="en-US"/>
              </w:rPr>
              <w:t>.</w:t>
            </w:r>
          </w:p>
          <w:p w14:paraId="053BC831" w14:textId="77777777" w:rsidR="00BD53AF" w:rsidRDefault="00BD53AF" w:rsidP="00BD53AF">
            <w:pPr>
              <w:pStyle w:val="Odsekzoznamu"/>
              <w:numPr>
                <w:ilvl w:val="0"/>
                <w:numId w:val="12"/>
              </w:numPr>
              <w:spacing w:after="240"/>
              <w:jc w:val="both"/>
              <w:rPr>
                <w:rFonts w:eastAsiaTheme="minorHAnsi" w:cstheme="minorBidi"/>
                <w:sz w:val="20"/>
                <w:szCs w:val="20"/>
                <w:lang w:eastAsia="en-US"/>
              </w:rPr>
            </w:pPr>
            <w:r>
              <w:rPr>
                <w:rFonts w:eastAsiaTheme="minorHAnsi" w:cstheme="minorBidi"/>
                <w:sz w:val="20"/>
                <w:szCs w:val="20"/>
                <w:lang w:eastAsia="en-US"/>
              </w:rPr>
              <w:t>Daň z právnických osôb sa zvýšila (+121 mil. eur) kvôli tomu,</w:t>
            </w:r>
            <w:r w:rsidRPr="004A412D">
              <w:rPr>
                <w:rFonts w:eastAsiaTheme="minorHAnsi" w:cstheme="minorBidi"/>
                <w:sz w:val="20"/>
                <w:szCs w:val="20"/>
                <w:lang w:eastAsia="en-US"/>
              </w:rPr>
              <w:t xml:space="preserve"> </w:t>
            </w:r>
            <w:r>
              <w:rPr>
                <w:rFonts w:eastAsiaTheme="minorHAnsi" w:cstheme="minorBidi"/>
                <w:sz w:val="20"/>
                <w:szCs w:val="20"/>
                <w:lang w:eastAsia="en-US"/>
              </w:rPr>
              <w:t xml:space="preserve">že </w:t>
            </w:r>
            <w:r w:rsidRPr="004A412D">
              <w:rPr>
                <w:rFonts w:eastAsiaTheme="minorHAnsi" w:cstheme="minorBidi"/>
                <w:sz w:val="20"/>
                <w:szCs w:val="20"/>
                <w:lang w:eastAsia="en-US"/>
              </w:rPr>
              <w:t xml:space="preserve">v čase tvorby rozpočtu </w:t>
            </w:r>
            <w:r>
              <w:rPr>
                <w:rFonts w:eastAsiaTheme="minorHAnsi" w:cstheme="minorBidi"/>
                <w:sz w:val="20"/>
                <w:szCs w:val="20"/>
                <w:lang w:eastAsia="en-US"/>
              </w:rPr>
              <w:t xml:space="preserve">2018 </w:t>
            </w:r>
            <w:r w:rsidRPr="004A412D">
              <w:rPr>
                <w:rFonts w:eastAsiaTheme="minorHAnsi" w:cstheme="minorBidi"/>
                <w:sz w:val="20"/>
                <w:szCs w:val="20"/>
                <w:lang w:eastAsia="en-US"/>
              </w:rPr>
              <w:t xml:space="preserve">neboli ešte známe finálne údaje za rok 2017 a očakával sa nižší výnos. </w:t>
            </w:r>
          </w:p>
          <w:p w14:paraId="0CD48B15" w14:textId="2181932B" w:rsidR="00B66D6A" w:rsidRPr="001B1C21" w:rsidRDefault="00B66D6A" w:rsidP="00B66D6A">
            <w:pPr>
              <w:pStyle w:val="Odsekzoznamu"/>
              <w:numPr>
                <w:ilvl w:val="0"/>
                <w:numId w:val="12"/>
              </w:numPr>
              <w:spacing w:after="240"/>
              <w:jc w:val="both"/>
              <w:rPr>
                <w:rFonts w:eastAsiaTheme="minorHAnsi" w:cstheme="minorBidi"/>
                <w:sz w:val="20"/>
                <w:szCs w:val="20"/>
                <w:lang w:eastAsia="en-US"/>
              </w:rPr>
            </w:pPr>
            <w:r w:rsidRPr="00B66D6A">
              <w:rPr>
                <w:rFonts w:eastAsiaTheme="minorHAnsi" w:cstheme="minorBidi"/>
                <w:sz w:val="20"/>
                <w:szCs w:val="20"/>
                <w:lang w:eastAsia="en-US"/>
              </w:rPr>
              <w:t xml:space="preserve">Negatívny vývoj pri ostatných daniach je spôsobený najmä nadhodnoteným očakávaním výnosu zo zavedenia dane z dividend (-33 mil. eur). V ostatných </w:t>
            </w:r>
            <w:r>
              <w:rPr>
                <w:rFonts w:eastAsiaTheme="minorHAnsi" w:cstheme="minorBidi"/>
                <w:sz w:val="20"/>
                <w:szCs w:val="20"/>
                <w:lang w:eastAsia="en-US"/>
              </w:rPr>
              <w:t>daniach</w:t>
            </w:r>
            <w:r w:rsidRPr="00B66D6A">
              <w:rPr>
                <w:rFonts w:eastAsiaTheme="minorHAnsi" w:cstheme="minorBidi"/>
                <w:sz w:val="20"/>
                <w:szCs w:val="20"/>
                <w:lang w:eastAsia="en-US"/>
              </w:rPr>
              <w:t xml:space="preserve"> je započítaný </w:t>
            </w:r>
            <w:r>
              <w:rPr>
                <w:rFonts w:eastAsiaTheme="minorHAnsi" w:cstheme="minorBidi"/>
                <w:sz w:val="20"/>
                <w:szCs w:val="20"/>
                <w:lang w:eastAsia="en-US"/>
              </w:rPr>
              <w:t xml:space="preserve">aj </w:t>
            </w:r>
            <w:r w:rsidRPr="00B66D6A">
              <w:rPr>
                <w:rFonts w:eastAsiaTheme="minorHAnsi" w:cstheme="minorBidi"/>
                <w:sz w:val="20"/>
                <w:szCs w:val="20"/>
                <w:lang w:eastAsia="en-US"/>
              </w:rPr>
              <w:t xml:space="preserve">odvod </w:t>
            </w:r>
            <w:r>
              <w:rPr>
                <w:rFonts w:eastAsiaTheme="minorHAnsi" w:cstheme="minorBidi"/>
                <w:sz w:val="20"/>
                <w:szCs w:val="20"/>
                <w:lang w:eastAsia="en-US"/>
              </w:rPr>
              <w:t>z povinného zmluvného poistenia</w:t>
            </w:r>
            <w:r>
              <w:rPr>
                <w:rStyle w:val="Odkaznapoznmkupodiarou"/>
                <w:rFonts w:eastAsiaTheme="minorHAnsi"/>
                <w:sz w:val="20"/>
                <w:szCs w:val="20"/>
              </w:rPr>
              <w:footnoteReference w:id="14"/>
            </w:r>
            <w:r>
              <w:rPr>
                <w:rFonts w:eastAsiaTheme="minorHAnsi" w:cstheme="minorBidi"/>
                <w:sz w:val="20"/>
                <w:szCs w:val="20"/>
                <w:lang w:eastAsia="en-US"/>
              </w:rPr>
              <w:t xml:space="preserve"> </w:t>
            </w:r>
            <w:r w:rsidRPr="00B66D6A">
              <w:rPr>
                <w:rFonts w:eastAsiaTheme="minorHAnsi" w:cstheme="minorBidi"/>
                <w:sz w:val="20"/>
                <w:szCs w:val="20"/>
                <w:lang w:eastAsia="en-US"/>
              </w:rPr>
              <w:t xml:space="preserve">(27 mil. eur). </w:t>
            </w:r>
          </w:p>
          <w:p w14:paraId="617BA99C" w14:textId="77777777" w:rsidR="00BD53AF" w:rsidRPr="00753192" w:rsidRDefault="00BD53AF" w:rsidP="00BD53AF">
            <w:pPr>
              <w:pStyle w:val="Odsekzoznamu"/>
              <w:numPr>
                <w:ilvl w:val="0"/>
                <w:numId w:val="12"/>
              </w:numPr>
              <w:spacing w:after="240"/>
              <w:jc w:val="both"/>
              <w:rPr>
                <w:rFonts w:eastAsiaTheme="minorHAnsi" w:cstheme="minorBidi"/>
                <w:sz w:val="20"/>
                <w:szCs w:val="20"/>
                <w:lang w:eastAsia="en-US"/>
              </w:rPr>
            </w:pPr>
            <w:r w:rsidRPr="009D273C">
              <w:rPr>
                <w:rFonts w:eastAsiaTheme="minorHAnsi" w:cstheme="minorBidi"/>
                <w:sz w:val="20"/>
                <w:szCs w:val="20"/>
                <w:lang w:eastAsia="en-US"/>
              </w:rPr>
              <w:t xml:space="preserve">Nová legislatíva, ktorej vplyv nebol zahrnutý v rozpočte na rok 2018, prispela k vyšším </w:t>
            </w:r>
            <w:r>
              <w:rPr>
                <w:rFonts w:eastAsiaTheme="minorHAnsi" w:cstheme="minorBidi"/>
                <w:sz w:val="20"/>
                <w:szCs w:val="20"/>
                <w:lang w:eastAsia="en-US"/>
              </w:rPr>
              <w:t>príjmom</w:t>
            </w:r>
            <w:r w:rsidRPr="009D273C">
              <w:rPr>
                <w:rFonts w:eastAsiaTheme="minorHAnsi" w:cstheme="minorBidi"/>
                <w:sz w:val="20"/>
                <w:szCs w:val="20"/>
                <w:lang w:eastAsia="en-US"/>
              </w:rPr>
              <w:t xml:space="preserve"> minimálne. </w:t>
            </w:r>
          </w:p>
          <w:tbl>
            <w:tblPr>
              <w:tblStyle w:val="Mriekatabuky"/>
              <w:tblW w:w="876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81"/>
              <w:gridCol w:w="244"/>
              <w:gridCol w:w="4344"/>
            </w:tblGrid>
            <w:tr w:rsidR="00BD53AF" w:rsidRPr="00B57FF9" w14:paraId="58C6B610" w14:textId="77777777" w:rsidTr="00387AE5">
              <w:trPr>
                <w:trHeight w:val="157"/>
              </w:trPr>
              <w:tc>
                <w:tcPr>
                  <w:tcW w:w="4181" w:type="dxa"/>
                </w:tcPr>
                <w:p w14:paraId="6026AD25" w14:textId="20288C60" w:rsidR="00BD53AF" w:rsidRPr="00B57FF9" w:rsidRDefault="00BD53AF" w:rsidP="003A4E18">
                  <w:pPr>
                    <w:pStyle w:val="Nadpis3"/>
                    <w:framePr w:hSpace="141" w:wrap="around" w:vAnchor="text" w:hAnchor="text" w:xAlign="center" w:y="1"/>
                    <w:suppressOverlap/>
                    <w:outlineLvl w:val="2"/>
                    <w:rPr>
                      <w:rFonts w:eastAsiaTheme="minorHAnsi"/>
                      <w:color w:val="2C9ADC"/>
                    </w:rPr>
                  </w:pPr>
                  <w:bookmarkStart w:id="104" w:name="_Toc6314255"/>
                  <w:r w:rsidRPr="00B57FF9">
                    <w:rPr>
                      <w:rFonts w:eastAsiaTheme="minorHAnsi"/>
                      <w:color w:val="2C9ADC"/>
                    </w:rPr>
                    <w:t xml:space="preserve">GRAF </w:t>
                  </w:r>
                  <w:r w:rsidRPr="006F5F4E">
                    <w:rPr>
                      <w:rFonts w:eastAsiaTheme="minorHAnsi"/>
                      <w:color w:val="2C9ADC"/>
                    </w:rPr>
                    <w:fldChar w:fldCharType="begin"/>
                  </w:r>
                  <w:r w:rsidRPr="00B57FF9">
                    <w:rPr>
                      <w:rFonts w:eastAsiaTheme="minorHAnsi"/>
                      <w:color w:val="2C9ADC"/>
                    </w:rPr>
                    <w:instrText xml:space="preserve"> SEQ GRAF \* ARABIC </w:instrText>
                  </w:r>
                  <w:r w:rsidRPr="006F5F4E">
                    <w:rPr>
                      <w:rFonts w:eastAsiaTheme="minorHAnsi"/>
                      <w:color w:val="2C9ADC"/>
                    </w:rPr>
                    <w:fldChar w:fldCharType="separate"/>
                  </w:r>
                  <w:r w:rsidR="00D5739E">
                    <w:rPr>
                      <w:rFonts w:eastAsiaTheme="minorHAnsi"/>
                      <w:noProof/>
                      <w:color w:val="2C9ADC"/>
                    </w:rPr>
                    <w:t>12</w:t>
                  </w:r>
                  <w:r w:rsidRPr="006F5F4E">
                    <w:rPr>
                      <w:rFonts w:eastAsiaTheme="minorHAnsi"/>
                      <w:color w:val="2C9ADC"/>
                    </w:rPr>
                    <w:fldChar w:fldCharType="end"/>
                  </w:r>
                  <w:r w:rsidRPr="00B57FF9">
                    <w:rPr>
                      <w:rFonts w:eastAsiaTheme="minorHAnsi"/>
                      <w:color w:val="2C9ADC"/>
                      <w:lang w:eastAsia="sk-SK"/>
                    </w:rPr>
                    <w:t xml:space="preserve"> - Príspevky k zmene odhadu daňových príjmov 2018 oproti rozpočtu (mil. eur)</w:t>
                  </w:r>
                  <w:bookmarkEnd w:id="104"/>
                </w:p>
              </w:tc>
              <w:tc>
                <w:tcPr>
                  <w:tcW w:w="244" w:type="dxa"/>
                  <w:tcBorders>
                    <w:top w:val="nil"/>
                    <w:bottom w:val="nil"/>
                  </w:tcBorders>
                </w:tcPr>
                <w:p w14:paraId="46CD5EB9" w14:textId="77777777" w:rsidR="00BD53AF" w:rsidRPr="00B57FF9" w:rsidRDefault="00BD53AF" w:rsidP="003A4E18">
                  <w:pPr>
                    <w:pStyle w:val="Nadpis3"/>
                    <w:framePr w:hSpace="141" w:wrap="around" w:vAnchor="text" w:hAnchor="text" w:xAlign="center" w:y="1"/>
                    <w:suppressOverlap/>
                    <w:outlineLvl w:val="2"/>
                    <w:rPr>
                      <w:rFonts w:eastAsiaTheme="minorHAnsi"/>
                      <w:color w:val="2C9ADC"/>
                    </w:rPr>
                  </w:pPr>
                </w:p>
              </w:tc>
              <w:tc>
                <w:tcPr>
                  <w:tcW w:w="4344" w:type="dxa"/>
                </w:tcPr>
                <w:p w14:paraId="4FB7C9D4" w14:textId="10505395" w:rsidR="00BD53AF" w:rsidRPr="00B57FF9" w:rsidRDefault="00BD53AF" w:rsidP="003A4E18">
                  <w:pPr>
                    <w:pStyle w:val="Nadpis3"/>
                    <w:framePr w:hSpace="141" w:wrap="around" w:vAnchor="text" w:hAnchor="text" w:xAlign="center" w:y="1"/>
                    <w:suppressOverlap/>
                    <w:outlineLvl w:val="2"/>
                    <w:rPr>
                      <w:rFonts w:eastAsiaTheme="minorHAnsi"/>
                      <w:color w:val="2C9ADC"/>
                    </w:rPr>
                  </w:pPr>
                  <w:bookmarkStart w:id="105" w:name="_Toc6314256"/>
                  <w:r w:rsidRPr="00B57FF9">
                    <w:rPr>
                      <w:rFonts w:eastAsiaTheme="minorHAnsi"/>
                      <w:color w:val="2C9ADC"/>
                    </w:rPr>
                    <w:t xml:space="preserve">GRAF </w:t>
                  </w:r>
                  <w:r w:rsidRPr="006F5F4E">
                    <w:rPr>
                      <w:rFonts w:eastAsiaTheme="minorHAnsi"/>
                      <w:color w:val="2C9ADC"/>
                    </w:rPr>
                    <w:fldChar w:fldCharType="begin"/>
                  </w:r>
                  <w:r w:rsidRPr="00B57FF9">
                    <w:rPr>
                      <w:rFonts w:eastAsiaTheme="minorHAnsi"/>
                      <w:color w:val="2C9ADC"/>
                    </w:rPr>
                    <w:instrText xml:space="preserve"> SEQ GRAF \* ARABIC </w:instrText>
                  </w:r>
                  <w:r w:rsidRPr="006F5F4E">
                    <w:rPr>
                      <w:rFonts w:eastAsiaTheme="minorHAnsi"/>
                      <w:color w:val="2C9ADC"/>
                    </w:rPr>
                    <w:fldChar w:fldCharType="separate"/>
                  </w:r>
                  <w:r w:rsidR="00D5739E">
                    <w:rPr>
                      <w:rFonts w:eastAsiaTheme="minorHAnsi"/>
                      <w:noProof/>
                      <w:color w:val="2C9ADC"/>
                    </w:rPr>
                    <w:t>13</w:t>
                  </w:r>
                  <w:r w:rsidRPr="006F5F4E">
                    <w:rPr>
                      <w:rFonts w:eastAsiaTheme="minorHAnsi"/>
                      <w:color w:val="2C9ADC"/>
                    </w:rPr>
                    <w:fldChar w:fldCharType="end"/>
                  </w:r>
                  <w:r w:rsidRPr="00B57FF9">
                    <w:rPr>
                      <w:rFonts w:eastAsiaTheme="minorHAnsi"/>
                      <w:color w:val="2C9ADC"/>
                      <w:lang w:eastAsia="sk-SK"/>
                    </w:rPr>
                    <w:t xml:space="preserve"> - Príspevky k zmene odhadu daňovo-odvodových príjmov 2018 oproti rozpočtu (mil. eur)</w:t>
                  </w:r>
                  <w:bookmarkEnd w:id="105"/>
                </w:p>
              </w:tc>
            </w:tr>
            <w:tr w:rsidR="00BD53AF" w:rsidRPr="00C735D9" w14:paraId="41F9A028" w14:textId="77777777" w:rsidTr="00387AE5">
              <w:trPr>
                <w:trHeight w:val="1754"/>
              </w:trPr>
              <w:tc>
                <w:tcPr>
                  <w:tcW w:w="4181" w:type="dxa"/>
                </w:tcPr>
                <w:p w14:paraId="5A435ACE" w14:textId="77777777" w:rsidR="00BD53AF" w:rsidRPr="00672A00" w:rsidRDefault="00BD53AF" w:rsidP="003A4E18">
                  <w:pPr>
                    <w:framePr w:hSpace="141" w:wrap="around" w:vAnchor="text" w:hAnchor="text" w:xAlign="center" w:y="1"/>
                    <w:suppressOverlap/>
                    <w:jc w:val="both"/>
                  </w:pPr>
                  <w:r>
                    <w:rPr>
                      <w:noProof/>
                    </w:rPr>
                    <w:drawing>
                      <wp:inline distT="0" distB="0" distL="0" distR="0" wp14:anchorId="6C72B53F" wp14:editId="62E13527">
                        <wp:extent cx="2566035" cy="228727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44" w:type="dxa"/>
                  <w:tcBorders>
                    <w:top w:val="nil"/>
                    <w:bottom w:val="nil"/>
                  </w:tcBorders>
                </w:tcPr>
                <w:p w14:paraId="64FF6641" w14:textId="77777777" w:rsidR="00BD53AF" w:rsidRPr="00C828D9" w:rsidRDefault="00BD53AF" w:rsidP="003A4E18">
                  <w:pPr>
                    <w:framePr w:hSpace="141" w:wrap="around" w:vAnchor="text" w:hAnchor="text" w:xAlign="center" w:y="1"/>
                    <w:suppressOverlap/>
                    <w:jc w:val="both"/>
                  </w:pPr>
                </w:p>
              </w:tc>
              <w:tc>
                <w:tcPr>
                  <w:tcW w:w="4344" w:type="dxa"/>
                </w:tcPr>
                <w:p w14:paraId="3502A827" w14:textId="77777777" w:rsidR="00BD53AF" w:rsidRPr="00C828D9" w:rsidRDefault="00BD53AF" w:rsidP="003A4E18">
                  <w:pPr>
                    <w:framePr w:hSpace="141" w:wrap="around" w:vAnchor="text" w:hAnchor="text" w:xAlign="center" w:y="1"/>
                    <w:suppressOverlap/>
                  </w:pPr>
                  <w:r>
                    <w:rPr>
                      <w:noProof/>
                    </w:rPr>
                    <w:drawing>
                      <wp:inline distT="0" distB="0" distL="0" distR="0" wp14:anchorId="229E085B" wp14:editId="5C901123">
                        <wp:extent cx="2621280" cy="2247900"/>
                        <wp:effectExtent l="0" t="0" r="762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D53AF" w:rsidRPr="00C735D9" w14:paraId="7989BA06" w14:textId="77777777" w:rsidTr="00387AE5">
              <w:trPr>
                <w:trHeight w:val="199"/>
              </w:trPr>
              <w:tc>
                <w:tcPr>
                  <w:tcW w:w="4181" w:type="dxa"/>
                </w:tcPr>
                <w:p w14:paraId="2081FD05" w14:textId="77777777" w:rsidR="00BD53AF" w:rsidRPr="00C828D9" w:rsidRDefault="00BD53AF" w:rsidP="003A4E18">
                  <w:pPr>
                    <w:framePr w:hSpace="141" w:wrap="around" w:vAnchor="text" w:hAnchor="text" w:xAlign="center" w:y="1"/>
                    <w:suppressOverlap/>
                    <w:jc w:val="right"/>
                    <w:rPr>
                      <w:i/>
                      <w:sz w:val="16"/>
                      <w:szCs w:val="16"/>
                    </w:rPr>
                  </w:pPr>
                  <w:r w:rsidRPr="00C828D9">
                    <w:rPr>
                      <w:i/>
                      <w:sz w:val="16"/>
                      <w:szCs w:val="16"/>
                    </w:rPr>
                    <w:t>Zdroj: MF SR</w:t>
                  </w:r>
                </w:p>
              </w:tc>
              <w:tc>
                <w:tcPr>
                  <w:tcW w:w="244" w:type="dxa"/>
                  <w:tcBorders>
                    <w:top w:val="nil"/>
                    <w:bottom w:val="nil"/>
                  </w:tcBorders>
                </w:tcPr>
                <w:p w14:paraId="35D45E2B" w14:textId="77777777" w:rsidR="00BD53AF" w:rsidRPr="00C828D9" w:rsidRDefault="00BD53AF" w:rsidP="003A4E18">
                  <w:pPr>
                    <w:framePr w:hSpace="141" w:wrap="around" w:vAnchor="text" w:hAnchor="text" w:xAlign="center" w:y="1"/>
                    <w:suppressOverlap/>
                    <w:jc w:val="both"/>
                  </w:pPr>
                </w:p>
              </w:tc>
              <w:tc>
                <w:tcPr>
                  <w:tcW w:w="4344" w:type="dxa"/>
                </w:tcPr>
                <w:p w14:paraId="2F2D57B0" w14:textId="77777777" w:rsidR="00BD53AF" w:rsidRPr="00C828D9" w:rsidRDefault="00BD53AF" w:rsidP="003A4E18">
                  <w:pPr>
                    <w:framePr w:hSpace="141" w:wrap="around" w:vAnchor="text" w:hAnchor="text" w:xAlign="center" w:y="1"/>
                    <w:suppressOverlap/>
                    <w:jc w:val="right"/>
                    <w:rPr>
                      <w:sz w:val="16"/>
                      <w:szCs w:val="16"/>
                    </w:rPr>
                  </w:pPr>
                  <w:r w:rsidRPr="00C828D9">
                    <w:rPr>
                      <w:i/>
                      <w:sz w:val="16"/>
                      <w:szCs w:val="16"/>
                    </w:rPr>
                    <w:t>Zdroj: MF SR</w:t>
                  </w:r>
                </w:p>
              </w:tc>
            </w:tr>
          </w:tbl>
          <w:p w14:paraId="33B27623" w14:textId="04580E66" w:rsidR="00BD53AF" w:rsidRPr="00415590" w:rsidRDefault="00EE10AB" w:rsidP="00983BDE">
            <w:pPr>
              <w:spacing w:after="240"/>
              <w:jc w:val="both"/>
              <w:rPr>
                <w:rFonts w:eastAsiaTheme="minorHAnsi" w:cstheme="minorBidi"/>
                <w:i/>
                <w:sz w:val="16"/>
                <w:szCs w:val="16"/>
                <w:highlight w:val="yellow"/>
                <w:lang w:eastAsia="en-US"/>
              </w:rPr>
            </w:pPr>
            <w:r w:rsidRPr="00415590">
              <w:rPr>
                <w:bCs/>
                <w:i/>
                <w:sz w:val="16"/>
                <w:szCs w:val="16"/>
              </w:rPr>
              <w:t>Výbor pre daňové prognózy (Vp</w:t>
            </w:r>
            <w:r w:rsidR="0085303B">
              <w:rPr>
                <w:bCs/>
                <w:i/>
                <w:sz w:val="16"/>
                <w:szCs w:val="16"/>
              </w:rPr>
              <w:t>DP)</w:t>
            </w:r>
            <w:r w:rsidRPr="00415590">
              <w:rPr>
                <w:rFonts w:eastAsiaTheme="minorHAnsi" w:cstheme="minorBidi"/>
                <w:i/>
                <w:sz w:val="16"/>
                <w:szCs w:val="16"/>
                <w:lang w:eastAsia="en-US"/>
              </w:rPr>
              <w:t xml:space="preserve"> hodnotí</w:t>
            </w:r>
            <w:r w:rsidRPr="00415590">
              <w:rPr>
                <w:bCs/>
                <w:i/>
                <w:sz w:val="16"/>
                <w:szCs w:val="16"/>
              </w:rPr>
              <w:t xml:space="preserve"> v súlade so svojim</w:t>
            </w:r>
            <w:r w:rsidRPr="00C725D2">
              <w:rPr>
                <w:bCs/>
                <w:i/>
                <w:color w:val="2C9ADC" w:themeColor="accent1"/>
                <w:sz w:val="16"/>
                <w:szCs w:val="16"/>
              </w:rPr>
              <w:t xml:space="preserve"> </w:t>
            </w:r>
            <w:hyperlink r:id="rId25" w:history="1">
              <w:r w:rsidRPr="00C725D2">
                <w:rPr>
                  <w:rStyle w:val="Hypertextovprepojenie"/>
                  <w:bCs/>
                  <w:i/>
                  <w:color w:val="2C9ADC" w:themeColor="accent1"/>
                  <w:sz w:val="16"/>
                  <w:szCs w:val="16"/>
                </w:rPr>
                <w:t>štatútom</w:t>
              </w:r>
            </w:hyperlink>
            <w:r w:rsidRPr="00415590">
              <w:rPr>
                <w:bCs/>
                <w:i/>
                <w:sz w:val="16"/>
                <w:szCs w:val="16"/>
              </w:rPr>
              <w:t xml:space="preserve"> </w:t>
            </w:r>
            <w:r w:rsidRPr="00415590">
              <w:rPr>
                <w:rFonts w:eastAsiaTheme="minorHAnsi" w:cstheme="minorBidi"/>
                <w:i/>
                <w:sz w:val="16"/>
                <w:szCs w:val="16"/>
                <w:lang w:eastAsia="en-US"/>
              </w:rPr>
              <w:t>len akruálne daňové a odvodové príjmy, ktoré sú považované za dane aj v súlade s náro</w:t>
            </w:r>
            <w:r w:rsidR="0085303B">
              <w:rPr>
                <w:rFonts w:eastAsiaTheme="minorHAnsi" w:cstheme="minorBidi"/>
                <w:i/>
                <w:sz w:val="16"/>
                <w:szCs w:val="16"/>
                <w:lang w:eastAsia="en-US"/>
              </w:rPr>
              <w:t>dnou ekonomickou klasifikáciou.</w:t>
            </w:r>
            <w:r w:rsidR="00983BDE" w:rsidRPr="00265FD8">
              <w:rPr>
                <w:rFonts w:eastAsiaTheme="minorHAnsi" w:cstheme="minorBidi"/>
                <w:sz w:val="16"/>
                <w:szCs w:val="16"/>
                <w:lang w:eastAsia="en-US"/>
              </w:rPr>
              <w:t xml:space="preserve"> </w:t>
            </w:r>
            <w:r w:rsidR="00983BDE" w:rsidRPr="00415590">
              <w:rPr>
                <w:rFonts w:eastAsiaTheme="minorHAnsi" w:cstheme="minorBidi"/>
                <w:i/>
                <w:sz w:val="16"/>
                <w:szCs w:val="16"/>
                <w:lang w:eastAsia="en-US"/>
              </w:rPr>
              <w:t>Neprognózované príjmy tvoria približne 10 % na celkových príjmoch VS.</w:t>
            </w:r>
            <w:r w:rsidR="00983BDE" w:rsidRPr="00983BDE">
              <w:rPr>
                <w:rFonts w:eastAsiaTheme="minorHAnsi" w:cstheme="minorBidi"/>
                <w:i/>
                <w:sz w:val="16"/>
                <w:szCs w:val="16"/>
                <w:lang w:eastAsia="en-US"/>
              </w:rPr>
              <w:t xml:space="preserve"> </w:t>
            </w:r>
            <w:r w:rsidRPr="00415590">
              <w:rPr>
                <w:rFonts w:eastAsiaTheme="minorHAnsi" w:cstheme="minorBidi"/>
                <w:i/>
                <w:sz w:val="16"/>
                <w:szCs w:val="16"/>
                <w:lang w:eastAsia="en-US"/>
              </w:rPr>
              <w:t>Výbor neprognózuje napr. vývoj štátom plateného poistného (cca. 1,4 mld. eur), ktoré má neutrálny vplyv na výsledné saldo VS.</w:t>
            </w:r>
            <w:r w:rsidR="00983BDE" w:rsidRPr="00265FD8">
              <w:rPr>
                <w:rFonts w:eastAsiaTheme="minorHAnsi" w:cstheme="minorBidi"/>
                <w:sz w:val="16"/>
                <w:szCs w:val="16"/>
                <w:lang w:eastAsia="en-US"/>
              </w:rPr>
              <w:t xml:space="preserve"> </w:t>
            </w:r>
            <w:r w:rsidRPr="00415590">
              <w:rPr>
                <w:rFonts w:eastAsiaTheme="minorHAnsi" w:cstheme="minorBidi"/>
                <w:i/>
                <w:sz w:val="16"/>
                <w:szCs w:val="16"/>
                <w:lang w:eastAsia="en-US"/>
              </w:rPr>
              <w:t>Nie je tak možné zjednodušene bez analytických úprav porovnávať prognózu výboru s celkovými notifikovanými daňovými a odvodovými príjmami v metodike ESA.</w:t>
            </w:r>
          </w:p>
        </w:tc>
      </w:tr>
    </w:tbl>
    <w:p w14:paraId="22D12953" w14:textId="6585B2D4" w:rsidR="00BD53AF" w:rsidRPr="00E4248E" w:rsidRDefault="00BD53AF" w:rsidP="00415590">
      <w:pPr>
        <w:spacing w:before="240" w:after="240"/>
        <w:jc w:val="both"/>
        <w:rPr>
          <w:highlight w:val="yellow"/>
        </w:rPr>
      </w:pPr>
      <w:r w:rsidRPr="00415590">
        <w:rPr>
          <w:b/>
        </w:rPr>
        <w:t xml:space="preserve">Nedaňové príjmy výraznejšie prekonali predpoklady rozpočtu (310 mil. eur), z čoho </w:t>
      </w:r>
      <w:r w:rsidR="00A037AE" w:rsidRPr="00415590">
        <w:rPr>
          <w:b/>
        </w:rPr>
        <w:t xml:space="preserve">veľkú časť </w:t>
      </w:r>
      <w:r w:rsidRPr="00415590">
        <w:rPr>
          <w:b/>
        </w:rPr>
        <w:t>spôsobujú metodické faktory</w:t>
      </w:r>
      <w:r w:rsidRPr="009B4A59">
        <w:t xml:space="preserve">. Významnú úlohu </w:t>
      </w:r>
      <w:r>
        <w:t>majú</w:t>
      </w:r>
      <w:r w:rsidRPr="009B4A59">
        <w:t xml:space="preserve"> podobne ako v minulých rokoch spomínané zaznamenanie príjmov Agentúry pre núdzové zásoby ropy a ropných výrobkov, nerozpočtovan</w:t>
      </w:r>
      <w:r>
        <w:t>é</w:t>
      </w:r>
      <w:r w:rsidRPr="009B4A59">
        <w:t xml:space="preserve"> </w:t>
      </w:r>
      <w:r>
        <w:t>príjmy</w:t>
      </w:r>
      <w:r w:rsidRPr="009B4A59">
        <w:t xml:space="preserve"> z</w:t>
      </w:r>
      <w:r>
        <w:t> </w:t>
      </w:r>
      <w:r w:rsidRPr="009B4A59">
        <w:t>úrokov</w:t>
      </w:r>
      <w:r>
        <w:rPr>
          <w:rStyle w:val="Odkaznapoznmkupodiarou"/>
        </w:rPr>
        <w:footnoteReference w:id="15"/>
      </w:r>
      <w:r w:rsidRPr="009B4A59">
        <w:t xml:space="preserve"> a</w:t>
      </w:r>
      <w:r>
        <w:t xml:space="preserve"> nerozpočtované </w:t>
      </w:r>
      <w:r w:rsidRPr="009B4A59">
        <w:t>trž</w:t>
      </w:r>
      <w:r>
        <w:t>by</w:t>
      </w:r>
      <w:r w:rsidRPr="009B4A59">
        <w:t xml:space="preserve"> z podnikateľskej činnosti verejných vysokých škôl</w:t>
      </w:r>
      <w:r>
        <w:rPr>
          <w:rStyle w:val="Odkaznapoznmkupodiarou"/>
        </w:rPr>
        <w:footnoteReference w:id="16"/>
      </w:r>
      <w:r w:rsidRPr="009B4A59">
        <w:t xml:space="preserve">. </w:t>
      </w:r>
      <w:r w:rsidR="00304C90">
        <w:t xml:space="preserve">Vyššie tržby </w:t>
      </w:r>
      <w:r w:rsidR="00684201">
        <w:t>zaznamenali</w:t>
      </w:r>
      <w:r w:rsidR="00304C90">
        <w:t xml:space="preserve"> oproti rozpočtu obce a</w:t>
      </w:r>
      <w:r w:rsidR="00637512">
        <w:t> Jadrová a vyraďovacia spoločnosť, a.s.</w:t>
      </w:r>
    </w:p>
    <w:p w14:paraId="3EA59D59" w14:textId="552A4C9A" w:rsidR="00983BDE" w:rsidRPr="00163D54" w:rsidRDefault="00BD53AF" w:rsidP="00415590">
      <w:pPr>
        <w:spacing w:before="240"/>
        <w:jc w:val="both"/>
      </w:pPr>
      <w:r w:rsidRPr="00E4248E">
        <w:rPr>
          <w:b/>
        </w:rPr>
        <w:t>Oproti rozpočtu boli naopak výrazne vyššie príjmy z grantov a transferov (o </w:t>
      </w:r>
      <w:r w:rsidR="00904607" w:rsidRPr="00E4248E">
        <w:rPr>
          <w:b/>
        </w:rPr>
        <w:t xml:space="preserve">867 </w:t>
      </w:r>
      <w:r w:rsidRPr="00E4248E">
        <w:rPr>
          <w:b/>
        </w:rPr>
        <w:t xml:space="preserve">mil. eur), </w:t>
      </w:r>
      <w:r w:rsidR="00904607">
        <w:t>najmä</w:t>
      </w:r>
      <w:r w:rsidRPr="007A5214">
        <w:t xml:space="preserve"> kvôli silnejšiemu čerpaniu EÚ fondov.</w:t>
      </w:r>
      <w:r w:rsidR="006E56E0">
        <w:t xml:space="preserve"> Predpoklady rozpočtu prekonali aj iné zahraničné granty (o 160 mil</w:t>
      </w:r>
      <w:r w:rsidR="00684201">
        <w:t>.</w:t>
      </w:r>
      <w:r w:rsidR="006E56E0">
        <w:t xml:space="preserve"> eur)</w:t>
      </w:r>
      <w:r w:rsidR="00983BDE">
        <w:t>.</w:t>
      </w:r>
    </w:p>
    <w:p w14:paraId="273891FB" w14:textId="77777777" w:rsidR="00BD53AF" w:rsidRPr="00EC3ABF" w:rsidRDefault="00BD53AF" w:rsidP="004F1515">
      <w:pPr>
        <w:spacing w:before="240" w:after="120"/>
        <w:jc w:val="both"/>
        <w:rPr>
          <w:b/>
          <w:bCs/>
          <w:color w:val="2C9ADC" w:themeColor="accent1"/>
        </w:rPr>
      </w:pPr>
      <w:r w:rsidRPr="00EC3ABF">
        <w:rPr>
          <w:b/>
          <w:bCs/>
          <w:color w:val="2C9ADC" w:themeColor="accent1"/>
        </w:rPr>
        <w:lastRenderedPageBreak/>
        <w:t>Výdavková strana rozpočtu</w:t>
      </w:r>
    </w:p>
    <w:p w14:paraId="4045181C" w14:textId="50AE63C5" w:rsidR="00BD53AF" w:rsidRPr="00716981" w:rsidRDefault="00BD53AF" w:rsidP="00BD53AF">
      <w:pPr>
        <w:spacing w:before="240"/>
        <w:jc w:val="both"/>
        <w:rPr>
          <w:b/>
        </w:rPr>
      </w:pPr>
      <w:r w:rsidRPr="00EC3ABF">
        <w:rPr>
          <w:b/>
        </w:rPr>
        <w:t xml:space="preserve">Celkové výdavky verejnej správy sú </w:t>
      </w:r>
      <w:r>
        <w:rPr>
          <w:b/>
        </w:rPr>
        <w:t>vyššie</w:t>
      </w:r>
      <w:r w:rsidRPr="00EC3ABF">
        <w:rPr>
          <w:b/>
        </w:rPr>
        <w:t xml:space="preserve"> oproti rozpočtu o </w:t>
      </w:r>
      <w:r w:rsidR="00B56D65">
        <w:rPr>
          <w:b/>
        </w:rPr>
        <w:t>1471</w:t>
      </w:r>
      <w:r w:rsidR="00904607" w:rsidRPr="00EC3ABF">
        <w:rPr>
          <w:b/>
        </w:rPr>
        <w:t xml:space="preserve"> </w:t>
      </w:r>
      <w:r w:rsidRPr="00EC3ABF">
        <w:rPr>
          <w:b/>
        </w:rPr>
        <w:t xml:space="preserve">mil. eur, </w:t>
      </w:r>
      <w:r>
        <w:rPr>
          <w:b/>
        </w:rPr>
        <w:t xml:space="preserve">pričom </w:t>
      </w:r>
      <w:r w:rsidRPr="00EC3ABF">
        <w:rPr>
          <w:b/>
        </w:rPr>
        <w:t xml:space="preserve">tento vývoj je spôsobený </w:t>
      </w:r>
      <w:r w:rsidRPr="00716981">
        <w:rPr>
          <w:b/>
        </w:rPr>
        <w:t xml:space="preserve">najmä rýchlejšou absorpciou EÚ zdrojov. </w:t>
      </w:r>
    </w:p>
    <w:p w14:paraId="35BAC06A" w14:textId="7E546A03" w:rsidR="00BD53AF" w:rsidRPr="006F5F4E" w:rsidRDefault="00BD53AF" w:rsidP="00415590">
      <w:pPr>
        <w:spacing w:before="240"/>
        <w:jc w:val="both"/>
      </w:pPr>
      <w:r w:rsidRPr="00F42136">
        <w:rPr>
          <w:b/>
        </w:rPr>
        <w:t>Kompenzácie zamestnancov rástli nad rámec rozpočtu o </w:t>
      </w:r>
      <w:r w:rsidR="00904607" w:rsidRPr="00F42136">
        <w:rPr>
          <w:b/>
        </w:rPr>
        <w:t xml:space="preserve">290 </w:t>
      </w:r>
      <w:r w:rsidRPr="00F42136">
        <w:rPr>
          <w:b/>
        </w:rPr>
        <w:t>mil. eur</w:t>
      </w:r>
      <w:r w:rsidRPr="00904607">
        <w:t>. Vyššie než rozpočtované príjmy umožnili zvýšenie kompenzácií zamestnancov, najmä v prípade samospráv</w:t>
      </w:r>
      <w:r w:rsidR="00E4248E">
        <w:t xml:space="preserve"> a sociálnej poisťovne</w:t>
      </w:r>
      <w:r w:rsidRPr="00904607">
        <w:t>.</w:t>
      </w:r>
      <w:r w:rsidR="006E56E0">
        <w:t xml:space="preserve"> Vyššie </w:t>
      </w:r>
      <w:r w:rsidR="006E56E0" w:rsidRPr="006F5F4E">
        <w:t xml:space="preserve">kompenzácie oproti rozpočtu sú aj na strane štátneho rozpočtu, </w:t>
      </w:r>
      <w:r w:rsidR="00684201" w:rsidRPr="006F5F4E">
        <w:t>príspevkových</w:t>
      </w:r>
      <w:r w:rsidR="006E56E0" w:rsidRPr="006F5F4E">
        <w:t xml:space="preserve"> organizácii</w:t>
      </w:r>
      <w:r w:rsidR="00591AEA" w:rsidRPr="006F5F4E">
        <w:t xml:space="preserve"> a verejných vysok</w:t>
      </w:r>
      <w:r w:rsidR="00E4248E" w:rsidRPr="006F5F4E">
        <w:t>ých škôl</w:t>
      </w:r>
      <w:r w:rsidR="006E56E0" w:rsidRPr="006F5F4E">
        <w:t>. Do veľkej miery bol nárast výdavkov krytý silnejšou absorpciou EÚ zdrojov.</w:t>
      </w:r>
    </w:p>
    <w:p w14:paraId="601F5DED" w14:textId="77777777" w:rsidR="00BD53AF" w:rsidRPr="006F5F4E" w:rsidRDefault="00BD53AF" w:rsidP="003F2B19"/>
    <w:p w14:paraId="0076C0ED" w14:textId="0773F6F2" w:rsidR="00360CE2" w:rsidRPr="006F5F4E" w:rsidRDefault="00360CE2" w:rsidP="00360CE2">
      <w:pPr>
        <w:jc w:val="both"/>
        <w:rPr>
          <w:rFonts w:cs="Arial Narrow"/>
        </w:rPr>
      </w:pPr>
      <w:r w:rsidRPr="006F5F4E">
        <w:rPr>
          <w:rFonts w:cs="Arial Narrow"/>
          <w:b/>
        </w:rPr>
        <w:t xml:space="preserve">Rozpočet naopak uvažoval s vyšším čerpaním sociálnych dávok (-80 mil. eur), </w:t>
      </w:r>
      <w:r w:rsidRPr="006F5F4E">
        <w:rPr>
          <w:rFonts w:cs="Arial Narrow"/>
        </w:rPr>
        <w:t>vzhľadom na v rozpočte predpokladané vyššie platby za poistencov štátu a tiež kvôli metodickému faktoru</w:t>
      </w:r>
      <w:r w:rsidR="00326266" w:rsidRPr="006F5F4E">
        <w:rPr>
          <w:rStyle w:val="Odkaznapoznmkupodiarou"/>
        </w:rPr>
        <w:footnoteReference w:id="17"/>
      </w:r>
      <w:r w:rsidRPr="006F5F4E">
        <w:rPr>
          <w:rFonts w:cs="Arial Narrow"/>
        </w:rPr>
        <w:t>. Tieto vplyvy viac než kompenzujú mierny nárast nemocenských dávok a dávok v nezamestnanosti (spolu + 69 mil</w:t>
      </w:r>
      <w:r w:rsidR="00684201">
        <w:rPr>
          <w:rFonts w:cs="Arial Narrow"/>
        </w:rPr>
        <w:t>.</w:t>
      </w:r>
      <w:r w:rsidRPr="006F5F4E">
        <w:rPr>
          <w:rFonts w:cs="Arial Narrow"/>
        </w:rPr>
        <w:t xml:space="preserve"> eur).</w:t>
      </w:r>
    </w:p>
    <w:p w14:paraId="66D403EF" w14:textId="77777777" w:rsidR="00360CE2" w:rsidRPr="006F5F4E" w:rsidRDefault="00360CE2" w:rsidP="00360CE2">
      <w:pPr>
        <w:pStyle w:val="Odsekzoznamu"/>
        <w:ind w:left="360"/>
        <w:jc w:val="both"/>
        <w:rPr>
          <w:rFonts w:cs="Arial Narrow"/>
        </w:rPr>
      </w:pPr>
    </w:p>
    <w:p w14:paraId="6EA7DEBC" w14:textId="478F42B7" w:rsidR="00360CE2" w:rsidRPr="00983BDE" w:rsidRDefault="00360CE2" w:rsidP="00360CE2">
      <w:pPr>
        <w:jc w:val="both"/>
        <w:rPr>
          <w:rFonts w:cs="Arial Narrow"/>
        </w:rPr>
      </w:pPr>
      <w:r w:rsidRPr="006F5F4E">
        <w:rPr>
          <w:rFonts w:cs="Arial Narrow"/>
          <w:b/>
        </w:rPr>
        <w:t>Oproti rozpočtu skončili nižšie aj bežné transfery (-74 mil. eur)</w:t>
      </w:r>
      <w:r w:rsidRPr="006F5F4E">
        <w:rPr>
          <w:rFonts w:cs="Arial Narrow"/>
        </w:rPr>
        <w:t>, čo súvisí najmä s položkou znižujúcou EÚ korekcie</w:t>
      </w:r>
      <w:r w:rsidR="0056136E" w:rsidRPr="006F5F4E">
        <w:rPr>
          <w:rFonts w:cs="Arial Narrow"/>
        </w:rPr>
        <w:t xml:space="preserve"> z minulých rokov</w:t>
      </w:r>
      <w:r w:rsidRPr="006F5F4E">
        <w:rPr>
          <w:rFonts w:cs="Arial Narrow"/>
        </w:rPr>
        <w:t>.</w:t>
      </w:r>
    </w:p>
    <w:p w14:paraId="2D131446" w14:textId="77777777" w:rsidR="00BD53AF" w:rsidRPr="00716981" w:rsidRDefault="00BD53AF" w:rsidP="00BD53AF">
      <w:pPr>
        <w:pStyle w:val="Odsekzoznamu"/>
        <w:ind w:left="360"/>
        <w:jc w:val="both"/>
      </w:pPr>
    </w:p>
    <w:p w14:paraId="4FFD9520" w14:textId="6A012C9C" w:rsidR="00BD53AF" w:rsidRPr="00716981" w:rsidRDefault="00BD53AF" w:rsidP="00415590">
      <w:pPr>
        <w:jc w:val="both"/>
      </w:pPr>
      <w:r w:rsidRPr="00F42136">
        <w:rPr>
          <w:b/>
        </w:rPr>
        <w:t>Najvýraznejšie prekonali predpoklady rozpočtu kapitálové výdavky, ktoré boli vyššie o </w:t>
      </w:r>
      <w:r w:rsidR="00904607" w:rsidRPr="00F42136">
        <w:rPr>
          <w:b/>
        </w:rPr>
        <w:t xml:space="preserve">1217 </w:t>
      </w:r>
      <w:r w:rsidRPr="00F42136">
        <w:rPr>
          <w:b/>
        </w:rPr>
        <w:t xml:space="preserve">mil. eur. </w:t>
      </w:r>
      <w:r w:rsidRPr="00716981">
        <w:t xml:space="preserve">Dôvodom je najmä silnejšie </w:t>
      </w:r>
      <w:r>
        <w:t>využívanie</w:t>
      </w:r>
      <w:r w:rsidRPr="00716981">
        <w:t xml:space="preserve"> EÚ zdrojov</w:t>
      </w:r>
      <w:r>
        <w:t xml:space="preserve"> zo strany Národnej diaľničnej spoločnosti, Železníc Slovenskej republiky a samospráv, </w:t>
      </w:r>
      <w:r w:rsidRPr="00716981">
        <w:t>než sa očakávalo</w:t>
      </w:r>
      <w:r>
        <w:t xml:space="preserve"> v rozpočte</w:t>
      </w:r>
      <w:r w:rsidRPr="00716981">
        <w:t xml:space="preserve">. </w:t>
      </w:r>
      <w:r>
        <w:t>Najmä v prípade</w:t>
      </w:r>
      <w:r w:rsidRPr="00716981">
        <w:t xml:space="preserve"> samospráv </w:t>
      </w:r>
      <w:r>
        <w:t xml:space="preserve">prispelo k vyšším výdavkom aj financovanie </w:t>
      </w:r>
      <w:r w:rsidRPr="00716981">
        <w:t xml:space="preserve">z národných zdrojov </w:t>
      </w:r>
      <w:r>
        <w:t xml:space="preserve">v kontexte uskutočnených </w:t>
      </w:r>
      <w:r w:rsidRPr="00716981">
        <w:t>komunáln</w:t>
      </w:r>
      <w:r>
        <w:t xml:space="preserve">ych </w:t>
      </w:r>
      <w:r w:rsidRPr="00716981">
        <w:t>vo</w:t>
      </w:r>
      <w:r>
        <w:t xml:space="preserve">lieb. Za vyššími kapitálovými transfermi (mimo sektoru VS) je aj </w:t>
      </w:r>
      <w:r w:rsidR="00307921">
        <w:t xml:space="preserve">vyššia </w:t>
      </w:r>
      <w:r>
        <w:t>výplata dividend akcionárom zdravotných poisťovní.</w:t>
      </w:r>
    </w:p>
    <w:p w14:paraId="4E4EC258" w14:textId="77777777" w:rsidR="00BD53AF" w:rsidRPr="0094557B" w:rsidRDefault="00BD53AF" w:rsidP="004F1515">
      <w:pPr>
        <w:pStyle w:val="Nadpis2"/>
        <w:keepLines/>
        <w:numPr>
          <w:ilvl w:val="1"/>
          <w:numId w:val="2"/>
        </w:numPr>
        <w:spacing w:before="240" w:after="120"/>
        <w:rPr>
          <w:b/>
          <w:color w:val="2C9ADC"/>
          <w:szCs w:val="24"/>
        </w:rPr>
      </w:pPr>
      <w:bookmarkStart w:id="106" w:name="_Toc5869382"/>
      <w:r w:rsidRPr="0094557B">
        <w:rPr>
          <w:b/>
          <w:color w:val="2C9ADC"/>
          <w:szCs w:val="24"/>
        </w:rPr>
        <w:t>Aktuálny vývoj v roku 2019</w:t>
      </w:r>
      <w:bookmarkEnd w:id="106"/>
    </w:p>
    <w:p w14:paraId="3E827C04" w14:textId="06F0EB61" w:rsidR="00BD53AF" w:rsidRPr="00997622" w:rsidRDefault="00BD53AF" w:rsidP="00BD53AF">
      <w:pPr>
        <w:jc w:val="both"/>
        <w:rPr>
          <w:noProof/>
          <w:lang w:val="en-GB" w:eastAsia="en-GB"/>
        </w:rPr>
      </w:pPr>
      <w:r w:rsidRPr="00997622">
        <w:rPr>
          <w:b/>
        </w:rPr>
        <w:t xml:space="preserve">Na základe </w:t>
      </w:r>
      <w:r w:rsidR="007A5214">
        <w:rPr>
          <w:b/>
        </w:rPr>
        <w:t>priebežného</w:t>
      </w:r>
      <w:r w:rsidRPr="00997622">
        <w:rPr>
          <w:b/>
        </w:rPr>
        <w:t xml:space="preserve"> </w:t>
      </w:r>
      <w:r>
        <w:rPr>
          <w:b/>
        </w:rPr>
        <w:t>monitoringu</w:t>
      </w:r>
      <w:r w:rsidRPr="00997622">
        <w:rPr>
          <w:b/>
        </w:rPr>
        <w:t xml:space="preserve"> klesne schodok VS</w:t>
      </w:r>
      <w:r>
        <w:rPr>
          <w:b/>
        </w:rPr>
        <w:t xml:space="preserve"> v roku 2019 medziročne o 0,7 p. </w:t>
      </w:r>
      <w:r w:rsidRPr="00997622">
        <w:rPr>
          <w:b/>
        </w:rPr>
        <w:t>b.</w:t>
      </w:r>
      <w:r>
        <w:rPr>
          <w:b/>
        </w:rPr>
        <w:t xml:space="preserve"> HDP, až </w:t>
      </w:r>
      <w:r w:rsidRPr="00997622">
        <w:rPr>
          <w:b/>
        </w:rPr>
        <w:t xml:space="preserve">k plánovanému vyrovnanému hospodáreniu. </w:t>
      </w:r>
      <w:r w:rsidRPr="00997622">
        <w:t xml:space="preserve">Oproti </w:t>
      </w:r>
      <w:r>
        <w:t xml:space="preserve">predpokladom schváleného rozpočtu, ktorý už uvažoval s vyrovnaným rozpočtom, dochádza k realokácii rozpočtových položiek aj z titulu zapracovania legislatívnych zmien schválených v decembri 2018 (podrobnejšie nižšie). Na výdavkovej strane dochádza k zmenám predovšetkým na kapitálových výdavkoch </w:t>
      </w:r>
      <w:r w:rsidR="0008307D">
        <w:t>financovaných najmä</w:t>
      </w:r>
      <w:r>
        <w:t xml:space="preserve"> </w:t>
      </w:r>
      <w:r w:rsidR="0008307D">
        <w:t xml:space="preserve">z </w:t>
      </w:r>
      <w:r w:rsidR="007A5214">
        <w:t>EÚ zdrojov.</w:t>
      </w:r>
    </w:p>
    <w:p w14:paraId="2EDC7B53" w14:textId="77777777" w:rsidR="00BD53AF" w:rsidRPr="00C735D9" w:rsidRDefault="00BD53AF" w:rsidP="00BD53AF">
      <w:pPr>
        <w:rPr>
          <w:highlight w:val="yellow"/>
        </w:rPr>
      </w:pPr>
    </w:p>
    <w:tbl>
      <w:tblPr>
        <w:tblW w:w="8985" w:type="dxa"/>
        <w:tblLayout w:type="fixed"/>
        <w:tblLook w:val="04A0" w:firstRow="1" w:lastRow="0" w:firstColumn="1" w:lastColumn="0" w:noHBand="0" w:noVBand="1"/>
      </w:tblPr>
      <w:tblGrid>
        <w:gridCol w:w="8985"/>
      </w:tblGrid>
      <w:tr w:rsidR="00BD53AF" w:rsidRPr="009B1FA2" w14:paraId="064FF18F" w14:textId="77777777" w:rsidTr="007F449D">
        <w:trPr>
          <w:trHeight w:val="121"/>
        </w:trPr>
        <w:tc>
          <w:tcPr>
            <w:tcW w:w="8985" w:type="dxa"/>
            <w:tcBorders>
              <w:left w:val="nil"/>
              <w:bottom w:val="single" w:sz="8" w:space="0" w:color="auto"/>
              <w:right w:val="nil"/>
            </w:tcBorders>
            <w:noWrap/>
            <w:vAlign w:val="center"/>
          </w:tcPr>
          <w:p w14:paraId="5B73D8C5" w14:textId="2A27A2AF" w:rsidR="00BD53AF" w:rsidRPr="001635D4" w:rsidRDefault="00BD53AF" w:rsidP="00387AE5">
            <w:pPr>
              <w:pStyle w:val="Nadpis3"/>
              <w:rPr>
                <w:rFonts w:eastAsiaTheme="minorHAnsi"/>
                <w:color w:val="2C9ADC"/>
                <w:lang w:eastAsia="en-US"/>
              </w:rPr>
            </w:pPr>
            <w:bookmarkStart w:id="107" w:name="_Toc6314257"/>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14</w:t>
            </w:r>
            <w:r w:rsidRPr="002E43AF">
              <w:rPr>
                <w:rFonts w:eastAsiaTheme="minorHAnsi"/>
                <w:color w:val="2C9ADC"/>
                <w:lang w:eastAsia="en-US"/>
              </w:rPr>
              <w:fldChar w:fldCharType="end"/>
            </w:r>
            <w:r w:rsidR="00F961A8">
              <w:rPr>
                <w:rFonts w:eastAsiaTheme="minorHAnsi"/>
                <w:color w:val="2C9ADC"/>
                <w:lang w:eastAsia="en-US"/>
              </w:rPr>
              <w:t xml:space="preserve"> -</w:t>
            </w:r>
            <w:r w:rsidRPr="001635D4">
              <w:rPr>
                <w:rFonts w:eastAsiaTheme="minorHAnsi"/>
                <w:color w:val="2C9ADC"/>
                <w:lang w:eastAsia="en-US"/>
              </w:rPr>
              <w:t xml:space="preserve"> Plnenie schváleného rozpočtu - rozdiely na hlavných položkách (ESA 2010), príspevky v mil. eur</w:t>
            </w:r>
            <w:bookmarkEnd w:id="107"/>
          </w:p>
        </w:tc>
      </w:tr>
      <w:tr w:rsidR="00BD53AF" w:rsidRPr="00C735D9" w14:paraId="5122D15F" w14:textId="77777777" w:rsidTr="007F449D">
        <w:tblPrEx>
          <w:tblCellMar>
            <w:left w:w="70" w:type="dxa"/>
            <w:right w:w="70" w:type="dxa"/>
          </w:tblCellMar>
        </w:tblPrEx>
        <w:trPr>
          <w:trHeight w:val="3132"/>
        </w:trPr>
        <w:tc>
          <w:tcPr>
            <w:tcW w:w="8985" w:type="dxa"/>
            <w:tcBorders>
              <w:top w:val="single" w:sz="8" w:space="0" w:color="auto"/>
              <w:left w:val="nil"/>
              <w:bottom w:val="single" w:sz="4" w:space="0" w:color="auto"/>
              <w:right w:val="nil"/>
            </w:tcBorders>
            <w:noWrap/>
          </w:tcPr>
          <w:p w14:paraId="43F2B552" w14:textId="3618F70C" w:rsidR="00BD53AF" w:rsidRPr="00C735D9" w:rsidRDefault="00D52A81" w:rsidP="00387AE5">
            <w:pPr>
              <w:spacing w:line="256" w:lineRule="auto"/>
              <w:jc w:val="center"/>
              <w:rPr>
                <w:rFonts w:cs="Times New Roman"/>
                <w:b/>
                <w:bCs/>
                <w:color w:val="000000" w:themeColor="text1"/>
                <w:highlight w:val="yellow"/>
                <w:lang w:val="en-US" w:eastAsia="en-US"/>
              </w:rPr>
            </w:pPr>
            <w:r w:rsidRPr="00C735D9">
              <w:rPr>
                <w:noProof/>
                <w:highlight w:val="yellow"/>
              </w:rPr>
              <mc:AlternateContent>
                <mc:Choice Requires="wps">
                  <w:drawing>
                    <wp:anchor distT="0" distB="0" distL="114300" distR="114300" simplePos="0" relativeHeight="251665408" behindDoc="0" locked="0" layoutInCell="1" allowOverlap="1" wp14:anchorId="30F3E29A" wp14:editId="0B32F58F">
                      <wp:simplePos x="0" y="0"/>
                      <wp:positionH relativeFrom="column">
                        <wp:posOffset>2270732</wp:posOffset>
                      </wp:positionH>
                      <wp:positionV relativeFrom="paragraph">
                        <wp:posOffset>2069493</wp:posOffset>
                      </wp:positionV>
                      <wp:extent cx="833120" cy="239395"/>
                      <wp:effectExtent l="0" t="0" r="0" b="0"/>
                      <wp:wrapNone/>
                      <wp:docPr id="29" name="BlokTextu 3"/>
                      <wp:cNvGraphicFramePr/>
                      <a:graphic xmlns:a="http://schemas.openxmlformats.org/drawingml/2006/main">
                        <a:graphicData uri="http://schemas.microsoft.com/office/word/2010/wordprocessingShape">
                          <wps:wsp>
                            <wps:cNvSpPr txBox="1"/>
                            <wps:spPr>
                              <a:xfrm>
                                <a:off x="0" y="0"/>
                                <a:ext cx="833120" cy="2393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E511129" w14:textId="77777777" w:rsidR="00D52A81" w:rsidRPr="001635D4" w:rsidRDefault="00D52A81" w:rsidP="00BD53AF">
                                  <w:pPr>
                                    <w:pStyle w:val="Normlnywebov"/>
                                    <w:spacing w:before="0" w:beforeAutospacing="0" w:after="0" w:afterAutospacing="0"/>
                                    <w:rPr>
                                      <w:sz w:val="16"/>
                                      <w:szCs w:val="16"/>
                                    </w:rPr>
                                  </w:pPr>
                                  <w:r w:rsidRPr="001635D4">
                                    <w:rPr>
                                      <w:rFonts w:ascii="Arial Narrow" w:hAnsi="Arial Narrow" w:cstheme="minorBidi"/>
                                      <w:color w:val="000000" w:themeColor="text1"/>
                                      <w:sz w:val="16"/>
                                      <w:szCs w:val="16"/>
                                    </w:rPr>
                                    <w:t>(0,0 % HDP)</w:t>
                                  </w:r>
                                </w:p>
                              </w:txbxContent>
                            </wps:txbx>
                            <wps:bodyPr vertOverflow="clip" horzOverflow="clip" wrap="none" rtlCol="0" anchor="t">
                              <a:spAutoFit/>
                            </wps:bodyPr>
                          </wps:wsp>
                        </a:graphicData>
                      </a:graphic>
                      <wp14:sizeRelH relativeFrom="margin">
                        <wp14:pctWidth>0</wp14:pctWidth>
                      </wp14:sizeRelH>
                      <wp14:sizeRelV relativeFrom="margin">
                        <wp14:pctHeight>0</wp14:pctHeight>
                      </wp14:sizeRelV>
                    </wp:anchor>
                  </w:drawing>
                </mc:Choice>
                <mc:Fallback>
                  <w:pict>
                    <v:shape w14:anchorId="30F3E29A" id="BlokTextu 3" o:spid="_x0000_s1027" type="#_x0000_t202" style="position:absolute;left:0;text-align:left;margin-left:178.8pt;margin-top:162.95pt;width:65.6pt;height:18.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" filled="f" stroked="f">
                      <v:textbox style="mso-fit-shape-to-text:t">
                        <w:txbxContent>
                          <w:p w14:paraId="1E511129" w14:textId="77777777" w:rsidR="00D52A81" w:rsidRPr="001635D4" w:rsidRDefault="00D52A81" w:rsidP="00BD53AF">
                            <w:pPr>
                              <w:pStyle w:val="Normlnywebov"/>
                              <w:spacing w:before="0" w:beforeAutospacing="0" w:after="0" w:afterAutospacing="0"/>
                              <w:rPr>
                                <w:sz w:val="16"/>
                                <w:szCs w:val="16"/>
                              </w:rPr>
                            </w:pPr>
                            <w:r w:rsidRPr="001635D4">
                              <w:rPr>
                                <w:rFonts w:ascii="Arial Narrow" w:hAnsi="Arial Narrow" w:cstheme="minorBidi"/>
                                <w:color w:val="000000" w:themeColor="text1"/>
                                <w:sz w:val="16"/>
                                <w:szCs w:val="16"/>
                              </w:rPr>
                              <w:t>(0,0 % HDP)</w:t>
                            </w:r>
                          </w:p>
                        </w:txbxContent>
                      </v:textbox>
                    </v:shape>
                  </w:pict>
                </mc:Fallback>
              </mc:AlternateContent>
            </w:r>
            <w:r w:rsidR="007F449D" w:rsidRPr="00C735D9">
              <w:rPr>
                <w:noProof/>
                <w:highlight w:val="yellow"/>
              </w:rPr>
              <mc:AlternateContent>
                <mc:Choice Requires="wps">
                  <w:drawing>
                    <wp:anchor distT="0" distB="0" distL="114300" distR="114300" simplePos="0" relativeHeight="251664384" behindDoc="0" locked="0" layoutInCell="1" allowOverlap="1" wp14:anchorId="67ED597E" wp14:editId="76CA5C53">
                      <wp:simplePos x="0" y="0"/>
                      <wp:positionH relativeFrom="column">
                        <wp:posOffset>2229375</wp:posOffset>
                      </wp:positionH>
                      <wp:positionV relativeFrom="paragraph">
                        <wp:posOffset>194310</wp:posOffset>
                      </wp:positionV>
                      <wp:extent cx="694766" cy="239395"/>
                      <wp:effectExtent l="0" t="0" r="0" b="0"/>
                      <wp:wrapNone/>
                      <wp:docPr id="28" name="BlokTextu 3"/>
                      <wp:cNvGraphicFramePr/>
                      <a:graphic xmlns:a="http://schemas.openxmlformats.org/drawingml/2006/main">
                        <a:graphicData uri="http://schemas.microsoft.com/office/word/2010/wordprocessingShape">
                          <wps:wsp>
                            <wps:cNvSpPr txBox="1"/>
                            <wps:spPr>
                              <a:xfrm>
                                <a:off x="0" y="0"/>
                                <a:ext cx="694766" cy="2393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0C15A2" w14:textId="77777777" w:rsidR="00D52A81" w:rsidRPr="001635D4" w:rsidRDefault="00D52A81" w:rsidP="00BD53AF">
                                  <w:pPr>
                                    <w:pStyle w:val="Normlnywebov"/>
                                    <w:spacing w:before="0" w:beforeAutospacing="0" w:after="0" w:afterAutospacing="0"/>
                                    <w:rPr>
                                      <w:sz w:val="16"/>
                                      <w:szCs w:val="16"/>
                                    </w:rPr>
                                  </w:pPr>
                                  <w:r w:rsidRPr="001635D4">
                                    <w:rPr>
                                      <w:rFonts w:ascii="Arial Narrow" w:hAnsi="Arial Narrow" w:cstheme="minorBidi"/>
                                      <w:color w:val="000000" w:themeColor="text1"/>
                                      <w:sz w:val="16"/>
                                      <w:szCs w:val="16"/>
                                    </w:rPr>
                                    <w:t>(0,0 % HDP)</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67ED597E" id="_x0000_s1028" type="#_x0000_t202" style="position:absolute;left:0;text-align:left;margin-left:175.55pt;margin-top:15.3pt;width:54.7pt;height:1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" filled="f" stroked="f">
                      <v:textbox style="mso-fit-shape-to-text:t">
                        <w:txbxContent>
                          <w:p w14:paraId="270C15A2" w14:textId="77777777" w:rsidR="00D52A81" w:rsidRPr="001635D4" w:rsidRDefault="00D52A81" w:rsidP="00BD53AF">
                            <w:pPr>
                              <w:pStyle w:val="Normlnywebov"/>
                              <w:spacing w:before="0" w:beforeAutospacing="0" w:after="0" w:afterAutospacing="0"/>
                              <w:rPr>
                                <w:sz w:val="16"/>
                                <w:szCs w:val="16"/>
                              </w:rPr>
                            </w:pPr>
                            <w:r w:rsidRPr="001635D4">
                              <w:rPr>
                                <w:rFonts w:ascii="Arial Narrow" w:hAnsi="Arial Narrow" w:cstheme="minorBidi"/>
                                <w:color w:val="000000" w:themeColor="text1"/>
                                <w:sz w:val="16"/>
                                <w:szCs w:val="16"/>
                              </w:rPr>
                              <w:t>(0,0 % HDP)</w:t>
                            </w:r>
                          </w:p>
                        </w:txbxContent>
                      </v:textbox>
                    </v:shape>
                  </w:pict>
                </mc:Fallback>
              </mc:AlternateContent>
            </w:r>
            <w:r w:rsidR="007F449D">
              <w:rPr>
                <w:noProof/>
              </w:rPr>
              <w:drawing>
                <wp:inline distT="0" distB="0" distL="0" distR="0" wp14:anchorId="145112AB" wp14:editId="36D637E9">
                  <wp:extent cx="5667292" cy="2321781"/>
                  <wp:effectExtent l="0" t="0" r="10160" b="254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D53AF" w:rsidRPr="001635D4" w14:paraId="51739E62" w14:textId="77777777" w:rsidTr="007F449D">
        <w:tblPrEx>
          <w:tblCellMar>
            <w:left w:w="70" w:type="dxa"/>
            <w:right w:w="70" w:type="dxa"/>
          </w:tblCellMar>
        </w:tblPrEx>
        <w:trPr>
          <w:trHeight w:val="112"/>
        </w:trPr>
        <w:tc>
          <w:tcPr>
            <w:tcW w:w="8985" w:type="dxa"/>
            <w:tcBorders>
              <w:top w:val="single" w:sz="8" w:space="0" w:color="auto"/>
              <w:left w:val="nil"/>
              <w:right w:val="nil"/>
            </w:tcBorders>
            <w:noWrap/>
            <w:vAlign w:val="center"/>
          </w:tcPr>
          <w:p w14:paraId="3FC70766" w14:textId="39DA7D10" w:rsidR="00BD53AF" w:rsidRPr="001635D4" w:rsidRDefault="00BD53AF" w:rsidP="00387AE5">
            <w:pPr>
              <w:spacing w:before="40"/>
              <w:rPr>
                <w:i/>
                <w:sz w:val="16"/>
                <w:szCs w:val="16"/>
                <w:lang w:eastAsia="en-US"/>
              </w:rPr>
            </w:pPr>
            <w:r w:rsidRPr="001635D4">
              <w:rPr>
                <w:i/>
                <w:sz w:val="16"/>
                <w:szCs w:val="16"/>
                <w:lang w:eastAsia="en-US"/>
              </w:rPr>
              <w:t xml:space="preserve">(+) / (-) znamená pozitívny / negatívny vplyv na </w:t>
            </w:r>
            <w:r>
              <w:rPr>
                <w:i/>
                <w:sz w:val="16"/>
                <w:szCs w:val="16"/>
                <w:lang w:eastAsia="en-US"/>
              </w:rPr>
              <w:t>saldo</w:t>
            </w:r>
            <w:r w:rsidRPr="001635D4">
              <w:rPr>
                <w:i/>
                <w:sz w:val="16"/>
                <w:szCs w:val="16"/>
                <w:lang w:eastAsia="en-US"/>
              </w:rPr>
              <w:t xml:space="preserve"> VS                                                                                                    </w:t>
            </w:r>
            <w:r w:rsidR="0065629A">
              <w:rPr>
                <w:i/>
                <w:sz w:val="16"/>
                <w:szCs w:val="16"/>
                <w:lang w:eastAsia="en-US"/>
              </w:rPr>
              <w:t xml:space="preserve">                              </w:t>
            </w:r>
            <w:r w:rsidRPr="001635D4">
              <w:rPr>
                <w:i/>
                <w:sz w:val="16"/>
                <w:szCs w:val="16"/>
                <w:lang w:eastAsia="en-US"/>
              </w:rPr>
              <w:t>Zdroj: MF SR</w:t>
            </w:r>
          </w:p>
        </w:tc>
      </w:tr>
      <w:tr w:rsidR="00BD53AF" w:rsidRPr="00C735D9" w14:paraId="3254AF1A" w14:textId="77777777" w:rsidTr="007F449D">
        <w:tblPrEx>
          <w:tblCellMar>
            <w:left w:w="70" w:type="dxa"/>
            <w:right w:w="70" w:type="dxa"/>
          </w:tblCellMar>
        </w:tblPrEx>
        <w:trPr>
          <w:trHeight w:val="112"/>
        </w:trPr>
        <w:tc>
          <w:tcPr>
            <w:tcW w:w="8985" w:type="dxa"/>
            <w:tcBorders>
              <w:left w:val="nil"/>
              <w:right w:val="nil"/>
            </w:tcBorders>
            <w:noWrap/>
            <w:vAlign w:val="center"/>
          </w:tcPr>
          <w:p w14:paraId="3CF5874F" w14:textId="4FEB4383" w:rsidR="00BD53AF" w:rsidRPr="001635D4" w:rsidRDefault="00BD53AF" w:rsidP="004F1515">
            <w:pPr>
              <w:rPr>
                <w:i/>
                <w:sz w:val="16"/>
                <w:szCs w:val="16"/>
                <w:lang w:eastAsia="en-US"/>
              </w:rPr>
            </w:pPr>
            <w:r w:rsidRPr="001635D4">
              <w:rPr>
                <w:i/>
                <w:sz w:val="16"/>
                <w:szCs w:val="16"/>
                <w:lang w:eastAsia="en-US"/>
              </w:rPr>
              <w:t>V zátvorke sú uvedené príslušné kódy klasifikácie ESA 2010.</w:t>
            </w:r>
          </w:p>
        </w:tc>
      </w:tr>
    </w:tbl>
    <w:p w14:paraId="75CE4445" w14:textId="77777777" w:rsidR="00BD53AF" w:rsidRPr="00B36051" w:rsidRDefault="00BD53AF" w:rsidP="004F1515">
      <w:pPr>
        <w:spacing w:before="240" w:after="120"/>
        <w:jc w:val="both"/>
        <w:rPr>
          <w:b/>
          <w:bCs/>
          <w:color w:val="2C9ADC" w:themeColor="accent1"/>
        </w:rPr>
      </w:pPr>
      <w:r w:rsidRPr="00B36051">
        <w:rPr>
          <w:b/>
          <w:bCs/>
          <w:color w:val="2C9ADC" w:themeColor="accent1"/>
        </w:rPr>
        <w:t>Príjmová strana rozpočtu</w:t>
      </w:r>
    </w:p>
    <w:p w14:paraId="051E0461" w14:textId="77777777" w:rsidR="00BD53AF" w:rsidRDefault="00BD53AF" w:rsidP="00BD53AF">
      <w:pPr>
        <w:jc w:val="both"/>
        <w:rPr>
          <w:b/>
        </w:rPr>
      </w:pPr>
      <w:r>
        <w:rPr>
          <w:b/>
        </w:rPr>
        <w:t>Celkové príjmy verejnej správy sú oproti rozpočtu vyššie o 400 mil. eur, čo podobne ako v minulom roku súvisí najmä so silnejšou absorpciou EÚ fondov.</w:t>
      </w:r>
    </w:p>
    <w:p w14:paraId="2431CF15" w14:textId="77777777" w:rsidR="003B2575" w:rsidRDefault="003B2575" w:rsidP="00BD53AF">
      <w:pPr>
        <w:jc w:val="both"/>
        <w:rPr>
          <w:b/>
        </w:rPr>
      </w:pPr>
    </w:p>
    <w:p w14:paraId="28ED28FB" w14:textId="77777777" w:rsidR="00BD53AF" w:rsidRDefault="00BD53AF" w:rsidP="00BD53AF">
      <w:pPr>
        <w:spacing w:after="120"/>
        <w:jc w:val="both"/>
        <w:rPr>
          <w:b/>
        </w:rPr>
      </w:pPr>
      <w:r w:rsidRPr="007A061B">
        <w:rPr>
          <w:b/>
        </w:rPr>
        <w:lastRenderedPageBreak/>
        <w:t>Aktuálny odhad daňovo-odvodových príjmov VS je oproti schválenému rozpočtu na rok 2019 nižší o </w:t>
      </w:r>
      <w:r>
        <w:rPr>
          <w:b/>
        </w:rPr>
        <w:t>31</w:t>
      </w:r>
      <w:r w:rsidRPr="007A061B">
        <w:rPr>
          <w:b/>
        </w:rPr>
        <w:t xml:space="preserve"> mil. eur</w:t>
      </w:r>
      <w:r w:rsidRPr="00426E09">
        <w:t xml:space="preserve">. </w:t>
      </w:r>
      <w:r>
        <w:t>V</w:t>
      </w:r>
      <w:r w:rsidRPr="00426E09">
        <w:t>ýnos</w:t>
      </w:r>
      <w:r>
        <w:t xml:space="preserve"> je ovplyvnený</w:t>
      </w:r>
      <w:r w:rsidRPr="00426E09">
        <w:t xml:space="preserve"> najmä </w:t>
      </w:r>
      <w:r>
        <w:t>novou makroekonomickou prognózou zverejnenou vo februári</w:t>
      </w:r>
      <w:r w:rsidRPr="00426E09">
        <w:t xml:space="preserve"> 2019 a zapra</w:t>
      </w:r>
      <w:r>
        <w:t>covanými legislatívnymi zmenami.</w:t>
      </w:r>
      <w:r w:rsidRPr="00426E09">
        <w:t xml:space="preserve"> </w:t>
      </w:r>
      <w:r>
        <w:t xml:space="preserve">Viaceré legislatívne opatrenia predložené poslancami </w:t>
      </w:r>
      <w:r w:rsidRPr="00426E09">
        <w:t xml:space="preserve">boli schválené </w:t>
      </w:r>
      <w:r>
        <w:t xml:space="preserve">parlamentom až po </w:t>
      </w:r>
      <w:r w:rsidRPr="00AA4243">
        <w:t>hlasovaní o rozpočte</w:t>
      </w:r>
      <w:r w:rsidRPr="00AA4243">
        <w:rPr>
          <w:rStyle w:val="Odkaznapoznmkupodiarou"/>
        </w:rPr>
        <w:footnoteReference w:id="18"/>
      </w:r>
      <w:r w:rsidRPr="00AA4243">
        <w:t>, ktorý uvažoval</w:t>
      </w:r>
      <w:r>
        <w:t xml:space="preserve"> s rezervou na tieto vplyvy na výdavkovej strane. </w:t>
      </w:r>
    </w:p>
    <w:p w14:paraId="2D49F356" w14:textId="77777777" w:rsidR="00BD53AF" w:rsidRPr="00AA4243" w:rsidRDefault="00BD53AF" w:rsidP="00BD53AF">
      <w:pPr>
        <w:pStyle w:val="Odsekzoznamu"/>
        <w:numPr>
          <w:ilvl w:val="0"/>
          <w:numId w:val="13"/>
        </w:numPr>
        <w:jc w:val="both"/>
      </w:pPr>
      <w:r w:rsidRPr="00001D1A">
        <w:rPr>
          <w:b/>
        </w:rPr>
        <w:t>Dane z produkcie sú oproti rozpočtu nižšie o 46 mil</w:t>
      </w:r>
      <w:r>
        <w:rPr>
          <w:b/>
        </w:rPr>
        <w:t>.</w:t>
      </w:r>
      <w:r w:rsidRPr="00001D1A">
        <w:rPr>
          <w:b/>
        </w:rPr>
        <w:t xml:space="preserve"> eur</w:t>
      </w:r>
      <w:r w:rsidRPr="00AA4243">
        <w:t>,</w:t>
      </w:r>
      <w:r w:rsidRPr="00001D1A">
        <w:rPr>
          <w:b/>
        </w:rPr>
        <w:t xml:space="preserve"> </w:t>
      </w:r>
      <w:r w:rsidRPr="00AA4243">
        <w:t xml:space="preserve">čo pramení najmä z posunutia plánovaného nárastu poplatku za skladovanie núdzových zásob ropy a ropných výrobkov o rok neskôr </w:t>
      </w:r>
      <w:r>
        <w:t xml:space="preserve">(-33 mil. eur) a z </w:t>
      </w:r>
      <w:r w:rsidRPr="00843F78">
        <w:t>pokles</w:t>
      </w:r>
      <w:r>
        <w:t>u</w:t>
      </w:r>
      <w:r w:rsidRPr="00843F78">
        <w:t xml:space="preserve"> výnosu spotrebnej dane </w:t>
      </w:r>
      <w:r>
        <w:t>(-</w:t>
      </w:r>
      <w:r w:rsidRPr="00843F78">
        <w:t>17 mil. eur</w:t>
      </w:r>
      <w:r>
        <w:t>). Tieto negatívne vplyvy mierne kompenzuje vyšší výber dane z pridanej hodnoty, pri ktorej zároveň dochádza k zníženiu sadzby DPH pre ubytovacie služby (spolu +13 mil. eur).</w:t>
      </w:r>
    </w:p>
    <w:p w14:paraId="0908EF08" w14:textId="77777777" w:rsidR="00BD53AF" w:rsidRPr="00001D1A" w:rsidRDefault="00BD53AF" w:rsidP="00BD53AF">
      <w:pPr>
        <w:pStyle w:val="Odsekzoznamu"/>
        <w:jc w:val="both"/>
      </w:pPr>
    </w:p>
    <w:p w14:paraId="36C6AFA4" w14:textId="77777777" w:rsidR="00BD53AF" w:rsidRDefault="00BD53AF" w:rsidP="00BD53AF">
      <w:pPr>
        <w:pStyle w:val="Odsekzoznamu"/>
        <w:numPr>
          <w:ilvl w:val="0"/>
          <w:numId w:val="13"/>
        </w:numPr>
        <w:jc w:val="both"/>
      </w:pPr>
      <w:r w:rsidRPr="00AA4243">
        <w:rPr>
          <w:b/>
        </w:rPr>
        <w:t xml:space="preserve">Pozitívny vývoj na trhu práce naďalej pomáha nárastu daňových príjmov fyzických osôb (DPFO), ktorých výber je oproti schválenému rozpočtu vyšší o 29 mil. eur. </w:t>
      </w:r>
      <w:r>
        <w:t xml:space="preserve">Tento pozitívny makroekonomický efekt je čiastočne </w:t>
      </w:r>
      <w:r w:rsidRPr="004B6297">
        <w:t>kompenzovaný vplyvom legislatívnych zmien</w:t>
      </w:r>
      <w:r>
        <w:t xml:space="preserve"> (napr. oslobodenie rekreačných šekov od daní a odvodov a zmeny v oslobodení pri 13. a 14. plate). </w:t>
      </w:r>
    </w:p>
    <w:p w14:paraId="7F4D0715" w14:textId="77777777" w:rsidR="00BD53AF" w:rsidRDefault="00BD53AF" w:rsidP="00BD53AF">
      <w:pPr>
        <w:pStyle w:val="Odsekzoznamu"/>
        <w:jc w:val="both"/>
      </w:pPr>
    </w:p>
    <w:p w14:paraId="4915AF08" w14:textId="77777777" w:rsidR="00BD53AF" w:rsidRPr="00AC5400" w:rsidRDefault="00BD53AF" w:rsidP="00BD53AF">
      <w:pPr>
        <w:pStyle w:val="Odsekzoznamu"/>
        <w:numPr>
          <w:ilvl w:val="0"/>
          <w:numId w:val="13"/>
        </w:numPr>
        <w:jc w:val="both"/>
      </w:pPr>
      <w:r w:rsidRPr="00AA4243">
        <w:rPr>
          <w:b/>
        </w:rPr>
        <w:t>Sociálne a zdravotné odvody sú oproti rozpočtu vyššie o </w:t>
      </w:r>
      <w:r w:rsidRPr="007557B3">
        <w:rPr>
          <w:b/>
        </w:rPr>
        <w:t>59</w:t>
      </w:r>
      <w:r w:rsidRPr="00AA4243">
        <w:rPr>
          <w:b/>
        </w:rPr>
        <w:t xml:space="preserve"> mil. eur, </w:t>
      </w:r>
      <w:r w:rsidRPr="00AC5400">
        <w:t xml:space="preserve">najmä kvôli navýšeniu platby štátu za svojich poistencov. </w:t>
      </w:r>
    </w:p>
    <w:p w14:paraId="5FE8B03A" w14:textId="77777777" w:rsidR="00BD53AF" w:rsidRDefault="00BD53AF" w:rsidP="00BD53AF">
      <w:pPr>
        <w:pStyle w:val="Odsekzoznamu"/>
        <w:jc w:val="both"/>
      </w:pPr>
    </w:p>
    <w:p w14:paraId="7CBD979A" w14:textId="20650462" w:rsidR="00BD53AF" w:rsidRDefault="00BD53AF" w:rsidP="00BD53AF">
      <w:pPr>
        <w:pStyle w:val="Odsekzoznamu"/>
        <w:numPr>
          <w:ilvl w:val="0"/>
          <w:numId w:val="13"/>
        </w:numPr>
        <w:jc w:val="both"/>
      </w:pPr>
      <w:r w:rsidRPr="00482A27">
        <w:rPr>
          <w:b/>
        </w:rPr>
        <w:t xml:space="preserve">Na pokles dani z príjmov právnických osôb </w:t>
      </w:r>
      <w:r>
        <w:rPr>
          <w:b/>
        </w:rPr>
        <w:t xml:space="preserve">oproti rozpočtu </w:t>
      </w:r>
      <w:r w:rsidRPr="00482A27">
        <w:rPr>
          <w:b/>
        </w:rPr>
        <w:t>(-62 mil. eur)</w:t>
      </w:r>
      <w:r>
        <w:t xml:space="preserve"> </w:t>
      </w:r>
      <w:r w:rsidRPr="00482A27">
        <w:rPr>
          <w:b/>
        </w:rPr>
        <w:t>vplýva najmä spresnenie výkladu legislatívy z osobitného odvodu</w:t>
      </w:r>
      <w:r w:rsidRPr="00B93A80">
        <w:t xml:space="preserve"> </w:t>
      </w:r>
      <w:r w:rsidRPr="00482A27">
        <w:rPr>
          <w:b/>
        </w:rPr>
        <w:t>z obchodných reťazcov</w:t>
      </w:r>
      <w:r w:rsidRPr="00126764">
        <w:rPr>
          <w:rStyle w:val="Odkaznapoznmkupodiarou"/>
          <w:b/>
        </w:rPr>
        <w:footnoteReference w:id="19"/>
      </w:r>
      <w:r w:rsidRPr="00482A27">
        <w:rPr>
          <w:b/>
        </w:rPr>
        <w:t>.</w:t>
      </w:r>
      <w:r w:rsidRPr="00B93A80">
        <w:t xml:space="preserve"> </w:t>
      </w:r>
      <w:r w:rsidRPr="00126764">
        <w:t>Na zníženie výnosu</w:t>
      </w:r>
      <w:r>
        <w:t xml:space="preserve"> oproti rozpočtu </w:t>
      </w:r>
      <w:r w:rsidRPr="00126764">
        <w:t>vplýva aj nižší odhad ziskovosti než indikovali makroekonomické ukazovatele a pomalší rast ekonomiky v roku 2019.</w:t>
      </w:r>
    </w:p>
    <w:p w14:paraId="106DFCCA" w14:textId="77777777" w:rsidR="00BD53AF" w:rsidRDefault="00BD53AF" w:rsidP="00BD53AF"/>
    <w:p w14:paraId="66877F03" w14:textId="77B21404" w:rsidR="00BD53AF" w:rsidRPr="005B5EF4" w:rsidRDefault="00BD53AF" w:rsidP="00BD53AF">
      <w:pPr>
        <w:tabs>
          <w:tab w:val="left" w:pos="426"/>
        </w:tabs>
        <w:spacing w:after="240"/>
        <w:jc w:val="both"/>
        <w:rPr>
          <w:rFonts w:cs="Arial Narrow"/>
        </w:rPr>
      </w:pPr>
      <w:r w:rsidRPr="001B1C21">
        <w:rPr>
          <w:rFonts w:cs="Arial Narrow"/>
          <w:b/>
        </w:rPr>
        <w:t>Nedaňové príjmy sa odhadujú mierne nad predpokladmi rozpočtu (</w:t>
      </w:r>
      <w:r w:rsidRPr="001B1C21">
        <w:rPr>
          <w:b/>
        </w:rPr>
        <w:t>o</w:t>
      </w:r>
      <w:r>
        <w:t xml:space="preserve"> </w:t>
      </w:r>
      <w:r w:rsidRPr="001B1C21">
        <w:rPr>
          <w:rFonts w:cs="Arial Narrow"/>
          <w:b/>
        </w:rPr>
        <w:t>20 mil. eur)</w:t>
      </w:r>
      <w:r w:rsidRPr="001B1C21">
        <w:rPr>
          <w:rFonts w:cs="Arial Narrow"/>
        </w:rPr>
        <w:t xml:space="preserve">, čo je spôsobené najmä vyššími </w:t>
      </w:r>
      <w:r w:rsidRPr="005B5EF4">
        <w:rPr>
          <w:rFonts w:cs="Arial Narrow"/>
        </w:rPr>
        <w:t>dividendami zo štátnych podnikov</w:t>
      </w:r>
      <w:r w:rsidR="00B57FF9">
        <w:rPr>
          <w:rFonts w:cs="Arial Narrow"/>
        </w:rPr>
        <w:t>.</w:t>
      </w:r>
    </w:p>
    <w:p w14:paraId="772087AE" w14:textId="77777777" w:rsidR="00BD53AF" w:rsidRPr="006C11AB" w:rsidRDefault="00BD53AF" w:rsidP="00BD53AF">
      <w:pPr>
        <w:tabs>
          <w:tab w:val="left" w:pos="426"/>
        </w:tabs>
        <w:spacing w:after="240"/>
        <w:jc w:val="both"/>
        <w:rPr>
          <w:bCs/>
          <w:color w:val="2C9ADC" w:themeColor="accent1"/>
        </w:rPr>
      </w:pPr>
      <w:r w:rsidRPr="006C11AB">
        <w:rPr>
          <w:rFonts w:cs="Arial Narrow"/>
          <w:b/>
        </w:rPr>
        <w:t>Príjmy z grantov a transferov sú vyššie o 41</w:t>
      </w:r>
      <w:r>
        <w:rPr>
          <w:rFonts w:cs="Arial Narrow"/>
          <w:b/>
        </w:rPr>
        <w:t>1</w:t>
      </w:r>
      <w:r w:rsidRPr="006C11AB">
        <w:rPr>
          <w:rFonts w:cs="Arial Narrow"/>
          <w:b/>
        </w:rPr>
        <w:t xml:space="preserve"> mil</w:t>
      </w:r>
      <w:r>
        <w:rPr>
          <w:rFonts w:cs="Arial Narrow"/>
          <w:b/>
        </w:rPr>
        <w:t>.</w:t>
      </w:r>
      <w:r w:rsidRPr="006C11AB">
        <w:rPr>
          <w:rFonts w:cs="Arial Narrow"/>
          <w:b/>
        </w:rPr>
        <w:t xml:space="preserve"> eur</w:t>
      </w:r>
      <w:r>
        <w:rPr>
          <w:rFonts w:cs="Arial Narrow"/>
          <w:b/>
        </w:rPr>
        <w:t>,</w:t>
      </w:r>
      <w:r w:rsidRPr="006C11AB">
        <w:rPr>
          <w:rFonts w:cs="Arial Narrow"/>
          <w:b/>
        </w:rPr>
        <w:t xml:space="preserve"> </w:t>
      </w:r>
      <w:r w:rsidRPr="006C11AB">
        <w:rPr>
          <w:rFonts w:cs="Arial Narrow"/>
        </w:rPr>
        <w:t>vzhľadom na rýchlejšiu absorpciu čerpania EÚ fondov.</w:t>
      </w:r>
      <w:r w:rsidRPr="006C11AB">
        <w:rPr>
          <w:bCs/>
          <w:color w:val="2C9ADC" w:themeColor="accent1"/>
        </w:rPr>
        <w:t xml:space="preserve"> </w:t>
      </w:r>
    </w:p>
    <w:p w14:paraId="36020623" w14:textId="77777777" w:rsidR="00BD53AF" w:rsidRPr="00997622" w:rsidRDefault="00BD53AF" w:rsidP="004F1515">
      <w:pPr>
        <w:tabs>
          <w:tab w:val="left" w:pos="426"/>
        </w:tabs>
        <w:spacing w:before="240" w:after="120"/>
        <w:jc w:val="both"/>
        <w:rPr>
          <w:b/>
          <w:bCs/>
          <w:color w:val="2C9ADC" w:themeColor="accent1"/>
        </w:rPr>
      </w:pPr>
      <w:r w:rsidRPr="00997622">
        <w:rPr>
          <w:b/>
          <w:bCs/>
          <w:color w:val="2C9ADC" w:themeColor="accent1"/>
        </w:rPr>
        <w:t>Výdavková strana rozpočtu</w:t>
      </w:r>
    </w:p>
    <w:p w14:paraId="06B24429" w14:textId="77777777" w:rsidR="00BD53AF" w:rsidRPr="00997622" w:rsidRDefault="00BD53AF" w:rsidP="00BD53AF">
      <w:pPr>
        <w:tabs>
          <w:tab w:val="left" w:pos="426"/>
        </w:tabs>
        <w:spacing w:after="240"/>
        <w:jc w:val="both"/>
        <w:rPr>
          <w:rFonts w:cs="Arial Narrow"/>
        </w:rPr>
      </w:pPr>
      <w:r w:rsidRPr="00997622">
        <w:rPr>
          <w:rFonts w:cs="Arial Narrow"/>
          <w:b/>
        </w:rPr>
        <w:t xml:space="preserve">Celkové výdavky VS sa </w:t>
      </w:r>
      <w:r>
        <w:rPr>
          <w:rFonts w:cs="Arial Narrow"/>
          <w:b/>
        </w:rPr>
        <w:t>pri</w:t>
      </w:r>
      <w:r w:rsidRPr="00997622">
        <w:rPr>
          <w:rFonts w:cs="Arial Narrow"/>
          <w:b/>
        </w:rPr>
        <w:t xml:space="preserve"> rýchlejšo</w:t>
      </w:r>
      <w:r>
        <w:rPr>
          <w:rFonts w:cs="Arial Narrow"/>
          <w:b/>
        </w:rPr>
        <w:t>m čerpaní</w:t>
      </w:r>
      <w:r w:rsidRPr="00997622">
        <w:rPr>
          <w:rFonts w:cs="Arial Narrow"/>
          <w:b/>
        </w:rPr>
        <w:t xml:space="preserve"> zdrojov z EÚ </w:t>
      </w:r>
      <w:r>
        <w:rPr>
          <w:rFonts w:cs="Arial Narrow"/>
          <w:b/>
        </w:rPr>
        <w:t xml:space="preserve">rovnako </w:t>
      </w:r>
      <w:r w:rsidRPr="00997622">
        <w:rPr>
          <w:rFonts w:cs="Arial Narrow"/>
          <w:b/>
        </w:rPr>
        <w:t xml:space="preserve">pohybujú nad predpokladmi rozpočtu </w:t>
      </w:r>
      <w:r>
        <w:rPr>
          <w:rFonts w:cs="Arial Narrow"/>
          <w:b/>
        </w:rPr>
        <w:t xml:space="preserve">(celkovo </w:t>
      </w:r>
      <w:r w:rsidRPr="00997622">
        <w:rPr>
          <w:rFonts w:cs="Arial Narrow"/>
          <w:b/>
        </w:rPr>
        <w:t>o 400 mil. eur</w:t>
      </w:r>
      <w:r>
        <w:rPr>
          <w:rFonts w:cs="Arial Narrow"/>
          <w:b/>
        </w:rPr>
        <w:t>)</w:t>
      </w:r>
      <w:r w:rsidRPr="00997622">
        <w:rPr>
          <w:rFonts w:cs="Arial Narrow"/>
          <w:b/>
        </w:rPr>
        <w:t xml:space="preserve">. </w:t>
      </w:r>
      <w:r w:rsidRPr="00997622">
        <w:rPr>
          <w:rFonts w:cs="Arial Narrow"/>
        </w:rPr>
        <w:t xml:space="preserve">Dochádza </w:t>
      </w:r>
      <w:r>
        <w:rPr>
          <w:rFonts w:cs="Arial Narrow"/>
        </w:rPr>
        <w:t xml:space="preserve">zároveň </w:t>
      </w:r>
      <w:r w:rsidRPr="00997622">
        <w:rPr>
          <w:rFonts w:cs="Arial Narrow"/>
        </w:rPr>
        <w:t>k miernym zmenám v štruktúre, najmä zvýšením kapitálových výdavkov a výdavkov na kompenzácie zamestnancov</w:t>
      </w:r>
      <w:r>
        <w:rPr>
          <w:rFonts w:cs="Arial Narrow"/>
        </w:rPr>
        <w:t>.</w:t>
      </w:r>
    </w:p>
    <w:p w14:paraId="7FED8B65" w14:textId="26B3A6A9" w:rsidR="00BD53AF" w:rsidRDefault="00BD53AF" w:rsidP="00BD53AF">
      <w:pPr>
        <w:tabs>
          <w:tab w:val="left" w:pos="426"/>
        </w:tabs>
        <w:jc w:val="both"/>
        <w:rPr>
          <w:rFonts w:cs="Arial Narrow"/>
        </w:rPr>
      </w:pPr>
      <w:r w:rsidRPr="00001D1A">
        <w:rPr>
          <w:rFonts w:cs="Arial Narrow"/>
          <w:b/>
        </w:rPr>
        <w:t xml:space="preserve">Oproti predpokladom rozpočtu </w:t>
      </w:r>
      <w:r w:rsidR="007A5214">
        <w:rPr>
          <w:rFonts w:cs="Arial Narrow"/>
          <w:b/>
        </w:rPr>
        <w:t>sú</w:t>
      </w:r>
      <w:r w:rsidRPr="00001D1A">
        <w:rPr>
          <w:rFonts w:cs="Arial Narrow"/>
          <w:b/>
        </w:rPr>
        <w:t xml:space="preserve"> náklady na kompenzácie zamestnancov</w:t>
      </w:r>
      <w:r w:rsidR="007A5214">
        <w:rPr>
          <w:rFonts w:cs="Arial Narrow"/>
          <w:b/>
        </w:rPr>
        <w:t xml:space="preserve"> vyššie</w:t>
      </w:r>
      <w:r w:rsidRPr="00001D1A">
        <w:rPr>
          <w:rFonts w:cs="Arial Narrow"/>
          <w:b/>
        </w:rPr>
        <w:t xml:space="preserve"> o </w:t>
      </w:r>
      <w:r>
        <w:rPr>
          <w:rFonts w:cs="Arial Narrow"/>
          <w:b/>
        </w:rPr>
        <w:t>110</w:t>
      </w:r>
      <w:r w:rsidRPr="00001D1A">
        <w:rPr>
          <w:rFonts w:cs="Arial Narrow"/>
          <w:b/>
        </w:rPr>
        <w:t xml:space="preserve"> mil. eur</w:t>
      </w:r>
      <w:r>
        <w:rPr>
          <w:lang w:eastAsia="en-US"/>
        </w:rPr>
        <w:t>, a to najmä v súvislosti s v</w:t>
      </w:r>
      <w:r w:rsidRPr="00FF491B">
        <w:rPr>
          <w:lang w:eastAsia="en-US"/>
        </w:rPr>
        <w:t>yšš</w:t>
      </w:r>
      <w:r>
        <w:rPr>
          <w:lang w:eastAsia="en-US"/>
        </w:rPr>
        <w:t>ou</w:t>
      </w:r>
      <w:r w:rsidRPr="00FF491B">
        <w:rPr>
          <w:lang w:eastAsia="en-US"/>
        </w:rPr>
        <w:t xml:space="preserve"> absorpci</w:t>
      </w:r>
      <w:r>
        <w:rPr>
          <w:lang w:eastAsia="en-US"/>
        </w:rPr>
        <w:t>ou</w:t>
      </w:r>
      <w:r w:rsidRPr="00FF491B">
        <w:rPr>
          <w:lang w:eastAsia="en-US"/>
        </w:rPr>
        <w:t xml:space="preserve"> EÚ zdrojov </w:t>
      </w:r>
      <w:r>
        <w:rPr>
          <w:lang w:eastAsia="en-US"/>
        </w:rPr>
        <w:t>(</w:t>
      </w:r>
      <w:r w:rsidRPr="00001D1A">
        <w:rPr>
          <w:rFonts w:cs="Arial Narrow"/>
        </w:rPr>
        <w:t>najmä v prípade samospráv, verejných vysokých škôl</w:t>
      </w:r>
      <w:r>
        <w:rPr>
          <w:rFonts w:cs="Arial Narrow"/>
        </w:rPr>
        <w:t>)</w:t>
      </w:r>
      <w:r w:rsidRPr="00001D1A">
        <w:rPr>
          <w:rFonts w:cs="Arial Narrow"/>
        </w:rPr>
        <w:t>. </w:t>
      </w:r>
    </w:p>
    <w:p w14:paraId="57098BDD" w14:textId="77777777" w:rsidR="00BD53AF" w:rsidRPr="00C735D9" w:rsidRDefault="00BD53AF" w:rsidP="00BD53AF">
      <w:pPr>
        <w:tabs>
          <w:tab w:val="left" w:pos="426"/>
        </w:tabs>
        <w:jc w:val="both"/>
        <w:rPr>
          <w:rFonts w:cs="Arial Narrow"/>
          <w:highlight w:val="yellow"/>
        </w:rPr>
      </w:pPr>
    </w:p>
    <w:p w14:paraId="244785F6" w14:textId="40F30940" w:rsidR="00BD53AF" w:rsidRPr="00001D1A" w:rsidRDefault="00BD53AF" w:rsidP="00BD53AF">
      <w:pPr>
        <w:tabs>
          <w:tab w:val="left" w:pos="426"/>
        </w:tabs>
        <w:jc w:val="both"/>
        <w:rPr>
          <w:rFonts w:cs="Arial Narrow"/>
        </w:rPr>
      </w:pPr>
      <w:r w:rsidRPr="00001D1A">
        <w:rPr>
          <w:rFonts w:cs="Arial Narrow"/>
          <w:b/>
        </w:rPr>
        <w:t xml:space="preserve">Výdavky na medzispotrebe sú oproti rozpočtu nižšie o 154 mil. eur, </w:t>
      </w:r>
      <w:r w:rsidRPr="00001D1A">
        <w:rPr>
          <w:rFonts w:cs="Arial Narrow"/>
        </w:rPr>
        <w:t>čo súvisí najmä</w:t>
      </w:r>
      <w:r w:rsidRPr="00001D1A">
        <w:rPr>
          <w:rFonts w:cs="Arial Narrow"/>
          <w:b/>
        </w:rPr>
        <w:t xml:space="preserve"> </w:t>
      </w:r>
      <w:r w:rsidRPr="00001D1A">
        <w:rPr>
          <w:rFonts w:cs="Arial Narrow"/>
        </w:rPr>
        <w:t>s</w:t>
      </w:r>
      <w:r>
        <w:rPr>
          <w:rFonts w:cs="Arial Narrow"/>
        </w:rPr>
        <w:t> </w:t>
      </w:r>
      <w:r w:rsidRPr="00001D1A">
        <w:rPr>
          <w:rFonts w:cs="Arial Narrow"/>
        </w:rPr>
        <w:t>viazan</w:t>
      </w:r>
      <w:r>
        <w:rPr>
          <w:rFonts w:cs="Arial Narrow"/>
        </w:rPr>
        <w:t xml:space="preserve">ím </w:t>
      </w:r>
      <w:r w:rsidRPr="00001D1A">
        <w:rPr>
          <w:rFonts w:cs="Arial Narrow"/>
        </w:rPr>
        <w:t xml:space="preserve">rezervy určenej </w:t>
      </w:r>
      <w:r>
        <w:rPr>
          <w:rFonts w:cs="Arial Narrow"/>
        </w:rPr>
        <w:t xml:space="preserve">na </w:t>
      </w:r>
      <w:r w:rsidRPr="00001D1A">
        <w:rPr>
          <w:rFonts w:cs="Arial Narrow"/>
        </w:rPr>
        <w:t>legislatívne opatrenia</w:t>
      </w:r>
      <w:r>
        <w:rPr>
          <w:rFonts w:cs="Arial Narrow"/>
        </w:rPr>
        <w:t xml:space="preserve"> na daniach a odvodoch</w:t>
      </w:r>
      <w:r w:rsidRPr="00997622">
        <w:rPr>
          <w:rStyle w:val="Odkaznapoznmkupodiarou"/>
        </w:rPr>
        <w:footnoteReference w:id="20"/>
      </w:r>
      <w:r>
        <w:rPr>
          <w:rFonts w:cs="Arial Narrow"/>
        </w:rPr>
        <w:t>, s ktorou uvažoval schválený rozpočet</w:t>
      </w:r>
      <w:r w:rsidRPr="00001D1A">
        <w:rPr>
          <w:rFonts w:cs="Arial Narrow"/>
        </w:rPr>
        <w:t xml:space="preserve">. </w:t>
      </w:r>
      <w:r>
        <w:rPr>
          <w:rFonts w:cs="Arial Narrow"/>
        </w:rPr>
        <w:t xml:space="preserve">Zapracovanie opatrení z rezervy na príslušných rozpočtových položkách sčasti </w:t>
      </w:r>
      <w:r w:rsidRPr="00001D1A">
        <w:rPr>
          <w:rFonts w:cs="Arial Narrow"/>
        </w:rPr>
        <w:t xml:space="preserve">kompenzujú vyššie prevádzkové náklady správneho fondu sociálnej poisťovne a vyššie čerpanie EÚ fondov </w:t>
      </w:r>
      <w:r>
        <w:rPr>
          <w:rFonts w:cs="Arial Narrow"/>
        </w:rPr>
        <w:t>(</w:t>
      </w:r>
      <w:r w:rsidRPr="00001D1A">
        <w:rPr>
          <w:rFonts w:cs="Arial Narrow"/>
        </w:rPr>
        <w:t>najmä pri samosprávach a </w:t>
      </w:r>
      <w:r w:rsidR="00070E0E">
        <w:rPr>
          <w:rFonts w:cs="Arial Narrow"/>
        </w:rPr>
        <w:t>príspevkových organizáciách</w:t>
      </w:r>
      <w:r>
        <w:rPr>
          <w:rFonts w:cs="Arial Narrow"/>
        </w:rPr>
        <w:t>).</w:t>
      </w:r>
    </w:p>
    <w:p w14:paraId="66EAFEB0" w14:textId="77777777" w:rsidR="00BD53AF" w:rsidRDefault="00BD53AF" w:rsidP="00BD53AF">
      <w:pPr>
        <w:pStyle w:val="Odsekzoznamu"/>
        <w:tabs>
          <w:tab w:val="left" w:pos="426"/>
        </w:tabs>
        <w:ind w:left="360"/>
        <w:jc w:val="both"/>
        <w:rPr>
          <w:rFonts w:cs="Arial Narrow"/>
        </w:rPr>
      </w:pPr>
    </w:p>
    <w:p w14:paraId="60399B59" w14:textId="77777777" w:rsidR="00BD53AF" w:rsidRPr="00001D1A" w:rsidRDefault="00BD53AF" w:rsidP="00BD53AF">
      <w:pPr>
        <w:tabs>
          <w:tab w:val="left" w:pos="426"/>
        </w:tabs>
        <w:jc w:val="both"/>
        <w:rPr>
          <w:rFonts w:cs="Arial Narrow"/>
          <w:highlight w:val="yellow"/>
        </w:rPr>
      </w:pPr>
      <w:r>
        <w:rPr>
          <w:rFonts w:cs="Arial Narrow"/>
          <w:b/>
        </w:rPr>
        <w:t>V</w:t>
      </w:r>
      <w:r w:rsidRPr="00001D1A">
        <w:rPr>
          <w:rFonts w:cs="Arial Narrow"/>
          <w:b/>
        </w:rPr>
        <w:t>ýdavky na subvencie prekonávajú rozpočet o 61 mil. eur</w:t>
      </w:r>
      <w:r w:rsidRPr="00001D1A">
        <w:rPr>
          <w:rFonts w:cs="Arial Narrow"/>
        </w:rPr>
        <w:t xml:space="preserve">. Dôvodom je najmä </w:t>
      </w:r>
      <w:r>
        <w:rPr>
          <w:rFonts w:cs="Arial Narrow"/>
        </w:rPr>
        <w:t>zapracovanie výdavkov v rezorte pôdohospodárstva. Tento nárast výdavkov je sčasti</w:t>
      </w:r>
      <w:r w:rsidRPr="00001D1A">
        <w:rPr>
          <w:rFonts w:cs="Arial Narrow"/>
        </w:rPr>
        <w:t xml:space="preserve"> kompenz</w:t>
      </w:r>
      <w:r>
        <w:rPr>
          <w:rFonts w:cs="Arial Narrow"/>
        </w:rPr>
        <w:t>ovaný</w:t>
      </w:r>
      <w:r w:rsidRPr="00001D1A">
        <w:rPr>
          <w:rFonts w:cs="Arial Narrow"/>
        </w:rPr>
        <w:t xml:space="preserve"> nižš</w:t>
      </w:r>
      <w:r>
        <w:rPr>
          <w:rFonts w:cs="Arial Narrow"/>
        </w:rPr>
        <w:t>ou</w:t>
      </w:r>
      <w:r w:rsidRPr="00001D1A">
        <w:rPr>
          <w:rFonts w:cs="Arial Narrow"/>
        </w:rPr>
        <w:t xml:space="preserve"> </w:t>
      </w:r>
      <w:r>
        <w:rPr>
          <w:rFonts w:cs="Arial Narrow"/>
        </w:rPr>
        <w:t xml:space="preserve">než rozpočtovanou </w:t>
      </w:r>
      <w:r w:rsidRPr="00001D1A">
        <w:rPr>
          <w:rFonts w:cs="Arial Narrow"/>
        </w:rPr>
        <w:t>platb</w:t>
      </w:r>
      <w:r>
        <w:rPr>
          <w:rFonts w:cs="Arial Narrow"/>
        </w:rPr>
        <w:t>ou</w:t>
      </w:r>
      <w:r w:rsidRPr="00001D1A">
        <w:rPr>
          <w:rFonts w:cs="Arial Narrow"/>
        </w:rPr>
        <w:t xml:space="preserve"> </w:t>
      </w:r>
      <w:r>
        <w:rPr>
          <w:rFonts w:cs="Arial Narrow"/>
        </w:rPr>
        <w:t>na</w:t>
      </w:r>
      <w:r w:rsidRPr="00001D1A">
        <w:rPr>
          <w:rFonts w:cs="Arial Narrow"/>
        </w:rPr>
        <w:t xml:space="preserve"> spolufinancovanie subvencií v poľnohospodárstve</w:t>
      </w:r>
      <w:r>
        <w:rPr>
          <w:rFonts w:cs="Arial Narrow"/>
        </w:rPr>
        <w:t>.</w:t>
      </w:r>
    </w:p>
    <w:p w14:paraId="1D099760" w14:textId="77777777" w:rsidR="00BD53AF" w:rsidRPr="008F1E28" w:rsidRDefault="00BD53AF" w:rsidP="00BD53AF">
      <w:pPr>
        <w:pStyle w:val="Odsekzoznamu"/>
        <w:tabs>
          <w:tab w:val="left" w:pos="426"/>
        </w:tabs>
        <w:ind w:left="360"/>
        <w:jc w:val="both"/>
        <w:rPr>
          <w:rFonts w:cs="Arial Narrow"/>
          <w:highlight w:val="yellow"/>
        </w:rPr>
      </w:pPr>
    </w:p>
    <w:p w14:paraId="140102E3" w14:textId="77777777" w:rsidR="00BD53AF" w:rsidRPr="00997622" w:rsidRDefault="00BD53AF" w:rsidP="00BD53AF">
      <w:pPr>
        <w:tabs>
          <w:tab w:val="left" w:pos="426"/>
        </w:tabs>
        <w:spacing w:after="240"/>
        <w:jc w:val="both"/>
      </w:pPr>
      <w:r w:rsidRPr="00001D1A">
        <w:rPr>
          <w:rFonts w:cs="Arial Narrow"/>
          <w:b/>
        </w:rPr>
        <w:t>Na sociálnych dávkach sa oproti rozpočtu očakávajú vyššie výdavky o 77 mil. eur</w:t>
      </w:r>
      <w:r w:rsidRPr="00001D1A">
        <w:rPr>
          <w:rFonts w:cs="Arial Narrow"/>
        </w:rPr>
        <w:t xml:space="preserve">. Dôvodom je </w:t>
      </w:r>
      <w:r>
        <w:rPr>
          <w:rFonts w:cs="Arial Narrow"/>
        </w:rPr>
        <w:t xml:space="preserve">najmä zapracovanie </w:t>
      </w:r>
      <w:r w:rsidRPr="00001D1A">
        <w:rPr>
          <w:rFonts w:cs="Arial Narrow"/>
        </w:rPr>
        <w:t>schválené</w:t>
      </w:r>
      <w:r>
        <w:rPr>
          <w:rFonts w:cs="Arial Narrow"/>
          <w:lang w:val="en-US"/>
        </w:rPr>
        <w:t>ho</w:t>
      </w:r>
      <w:r w:rsidRPr="00001D1A">
        <w:rPr>
          <w:rFonts w:cs="Arial Narrow"/>
        </w:rPr>
        <w:t xml:space="preserve"> nárastu daňového bonusu </w:t>
      </w:r>
      <w:r>
        <w:rPr>
          <w:rFonts w:cs="Arial Narrow"/>
        </w:rPr>
        <w:t>na dieťa (</w:t>
      </w:r>
      <w:r w:rsidRPr="00884436">
        <w:rPr>
          <w:rFonts w:cs="Arial Narrow"/>
        </w:rPr>
        <w:t>60 mil. eur), ktorý je v metodike ESA 2010 účtovaný na výdavkoch. Rozdiel oproti rozpočtu spôsobuje aj vyššie spolufinancovanie</w:t>
      </w:r>
      <w:r w:rsidRPr="00001D1A">
        <w:rPr>
          <w:rFonts w:cs="Arial Narrow"/>
        </w:rPr>
        <w:t xml:space="preserve"> na aktívne politiky trhu práce. Vyššiu platbu </w:t>
      </w:r>
      <w:r>
        <w:rPr>
          <w:rFonts w:cs="Arial Narrow"/>
        </w:rPr>
        <w:t xml:space="preserve">zo štátneho rozpočtu za poistencov štátu </w:t>
      </w:r>
      <w:r w:rsidRPr="00001D1A">
        <w:rPr>
          <w:rFonts w:cs="Arial Narrow"/>
        </w:rPr>
        <w:t>kompenzuje očakávaná úspora na iných sociálnych dávkach.</w:t>
      </w:r>
      <w:r>
        <w:rPr>
          <w:rFonts w:cs="Arial Narrow"/>
        </w:rPr>
        <w:t xml:space="preserve"> </w:t>
      </w:r>
    </w:p>
    <w:p w14:paraId="05D87D1C" w14:textId="6C7016FA" w:rsidR="00BD53AF" w:rsidRPr="005A5B26" w:rsidRDefault="00BD53AF" w:rsidP="00BD53AF">
      <w:pPr>
        <w:tabs>
          <w:tab w:val="left" w:pos="426"/>
        </w:tabs>
        <w:spacing w:after="240"/>
        <w:jc w:val="both"/>
      </w:pPr>
      <w:r w:rsidRPr="00001D1A">
        <w:rPr>
          <w:rFonts w:cs="Times New Roman"/>
          <w:b/>
        </w:rPr>
        <w:lastRenderedPageBreak/>
        <w:t>V rámci ostatných bežných transferov identifikujeme úsporu na úrovni 1</w:t>
      </w:r>
      <w:r>
        <w:rPr>
          <w:rFonts w:cs="Times New Roman"/>
          <w:b/>
        </w:rPr>
        <w:t>02</w:t>
      </w:r>
      <w:r w:rsidRPr="00001D1A">
        <w:rPr>
          <w:rFonts w:cs="Times New Roman"/>
          <w:b/>
        </w:rPr>
        <w:t xml:space="preserve"> mil. eur</w:t>
      </w:r>
      <w:r>
        <w:rPr>
          <w:rFonts w:cs="Times New Roman"/>
        </w:rPr>
        <w:t>. Tá vyplýva predovšetkým z</w:t>
      </w:r>
      <w:r w:rsidRPr="00001D1A">
        <w:rPr>
          <w:rFonts w:cs="Times New Roman"/>
        </w:rPr>
        <w:t xml:space="preserve"> realokácie prostriedkov EÚ a spolufinancovania v </w:t>
      </w:r>
      <w:r w:rsidR="007A5214">
        <w:rPr>
          <w:rFonts w:cs="Times New Roman"/>
        </w:rPr>
        <w:t>rámci štátneho rozpočtu</w:t>
      </w:r>
      <w:r w:rsidRPr="00001D1A">
        <w:rPr>
          <w:rFonts w:cs="Times New Roman"/>
        </w:rPr>
        <w:t xml:space="preserve">. </w:t>
      </w:r>
    </w:p>
    <w:p w14:paraId="5D4448F4" w14:textId="77777777" w:rsidR="00BD53AF" w:rsidRPr="005A5B26" w:rsidRDefault="00BD53AF" w:rsidP="00BD53AF">
      <w:pPr>
        <w:tabs>
          <w:tab w:val="left" w:pos="426"/>
        </w:tabs>
        <w:spacing w:after="120"/>
        <w:jc w:val="both"/>
      </w:pPr>
      <w:r w:rsidRPr="00001D1A">
        <w:rPr>
          <w:rFonts w:cs="Arial Narrow"/>
          <w:b/>
        </w:rPr>
        <w:t>Kapitálové výdavky naopak prekračujú rozpočet o 41</w:t>
      </w:r>
      <w:r>
        <w:rPr>
          <w:rFonts w:cs="Arial Narrow"/>
          <w:b/>
        </w:rPr>
        <w:t>1</w:t>
      </w:r>
      <w:r w:rsidRPr="00001D1A">
        <w:rPr>
          <w:rFonts w:cs="Arial Narrow"/>
          <w:b/>
        </w:rPr>
        <w:t xml:space="preserve"> mil. eur, </w:t>
      </w:r>
      <w:r w:rsidRPr="00001D1A">
        <w:rPr>
          <w:rFonts w:cs="Arial Narrow"/>
        </w:rPr>
        <w:t>predovšetkým na strane samospráv, Železníc Slovenskej republiky a Národnej diaľničnej spoločnosti. Oproti rozpočtu zaznamenávajú nárast aj kapitálové transfery (</w:t>
      </w:r>
      <w:r>
        <w:t>+</w:t>
      </w:r>
      <w:r w:rsidRPr="00001D1A">
        <w:rPr>
          <w:rFonts w:cs="Arial Narrow"/>
        </w:rPr>
        <w:t>55 mil</w:t>
      </w:r>
      <w:r>
        <w:rPr>
          <w:rFonts w:cs="Arial Narrow"/>
        </w:rPr>
        <w:t>.</w:t>
      </w:r>
      <w:r w:rsidRPr="00001D1A">
        <w:rPr>
          <w:rFonts w:cs="Arial Narrow"/>
        </w:rPr>
        <w:t xml:space="preserve"> eur), najmä vyššie výdavky na spolufinancovanie.</w:t>
      </w:r>
    </w:p>
    <w:p w14:paraId="1FAF91CF" w14:textId="77777777" w:rsidR="00BD53AF" w:rsidRPr="00E71069" w:rsidRDefault="00BD53AF" w:rsidP="004F1515">
      <w:pPr>
        <w:pStyle w:val="Nadpis2"/>
        <w:keepLines/>
        <w:numPr>
          <w:ilvl w:val="1"/>
          <w:numId w:val="2"/>
        </w:numPr>
        <w:spacing w:before="240" w:after="120" w:line="276" w:lineRule="auto"/>
        <w:rPr>
          <w:b/>
          <w:color w:val="2C9ADC"/>
          <w:szCs w:val="24"/>
        </w:rPr>
      </w:pPr>
      <w:bookmarkStart w:id="108" w:name="_Toc449429141"/>
      <w:bookmarkStart w:id="109" w:name="_Toc449430144"/>
      <w:bookmarkStart w:id="110" w:name="_Toc5869383"/>
      <w:bookmarkEnd w:id="95"/>
      <w:bookmarkEnd w:id="96"/>
      <w:bookmarkEnd w:id="97"/>
      <w:r w:rsidRPr="00E71069">
        <w:rPr>
          <w:b/>
          <w:color w:val="2C9ADC"/>
          <w:szCs w:val="24"/>
        </w:rPr>
        <w:t>Strednodobý rozpočtový výhľad na roky 2020 až 20</w:t>
      </w:r>
      <w:bookmarkEnd w:id="108"/>
      <w:bookmarkEnd w:id="109"/>
      <w:r w:rsidRPr="00E71069">
        <w:rPr>
          <w:b/>
          <w:color w:val="2C9ADC"/>
          <w:szCs w:val="24"/>
        </w:rPr>
        <w:t>22</w:t>
      </w:r>
      <w:bookmarkEnd w:id="110"/>
    </w:p>
    <w:p w14:paraId="040E07E6" w14:textId="127723BF" w:rsidR="000C0873" w:rsidRDefault="00BD53AF" w:rsidP="00BD53AF">
      <w:pPr>
        <w:jc w:val="both"/>
      </w:pPr>
      <w:r w:rsidRPr="00E71069">
        <w:rPr>
          <w:b/>
        </w:rPr>
        <w:t>Predkladaný Program stability</w:t>
      </w:r>
      <w:r w:rsidRPr="00E71069">
        <w:rPr>
          <w:rStyle w:val="Odkaznapoznmkupodiarou"/>
          <w:b/>
        </w:rPr>
        <w:footnoteReference w:id="21"/>
      </w:r>
      <w:r>
        <w:rPr>
          <w:b/>
        </w:rPr>
        <w:t xml:space="preserve"> </w:t>
      </w:r>
      <w:r w:rsidRPr="00E71069">
        <w:rPr>
          <w:b/>
        </w:rPr>
        <w:t>potvrdzuje záväzok vyrovnan</w:t>
      </w:r>
      <w:r>
        <w:rPr>
          <w:b/>
        </w:rPr>
        <w:t>ého</w:t>
      </w:r>
      <w:r w:rsidRPr="00E71069">
        <w:rPr>
          <w:b/>
        </w:rPr>
        <w:t xml:space="preserve"> rozpočt</w:t>
      </w:r>
      <w:r>
        <w:rPr>
          <w:b/>
        </w:rPr>
        <w:t>u</w:t>
      </w:r>
      <w:r w:rsidRPr="00E71069">
        <w:rPr>
          <w:b/>
        </w:rPr>
        <w:t xml:space="preserve"> </w:t>
      </w:r>
      <w:r>
        <w:rPr>
          <w:b/>
        </w:rPr>
        <w:t>v</w:t>
      </w:r>
      <w:r w:rsidRPr="00E71069">
        <w:rPr>
          <w:b/>
        </w:rPr>
        <w:t xml:space="preserve"> roku 2020</w:t>
      </w:r>
      <w:r>
        <w:rPr>
          <w:b/>
        </w:rPr>
        <w:t xml:space="preserve"> (a jeho zachovanie aj v ďalších rokoch), pričom plánuje</w:t>
      </w:r>
      <w:r w:rsidRPr="00E71069">
        <w:rPr>
          <w:b/>
        </w:rPr>
        <w:t xml:space="preserve"> aj </w:t>
      </w:r>
      <w:r>
        <w:rPr>
          <w:b/>
        </w:rPr>
        <w:t xml:space="preserve">udržanie </w:t>
      </w:r>
      <w:r w:rsidRPr="00E71069">
        <w:rPr>
          <w:b/>
        </w:rPr>
        <w:t>strednodobého rozpočtového cieľa</w:t>
      </w:r>
      <w:r>
        <w:rPr>
          <w:b/>
        </w:rPr>
        <w:t xml:space="preserve">. </w:t>
      </w:r>
      <w:r w:rsidRPr="00E71069">
        <w:t xml:space="preserve">V rokoch 2020 až 2022 sa očakáva </w:t>
      </w:r>
      <w:r>
        <w:t xml:space="preserve">udržanie </w:t>
      </w:r>
      <w:r w:rsidRPr="00E71069">
        <w:t>nominálne vyrovnanej bilancie príjmov a</w:t>
      </w:r>
      <w:r>
        <w:t> </w:t>
      </w:r>
      <w:r w:rsidRPr="00E71069">
        <w:t>výdavkov</w:t>
      </w:r>
      <w:r>
        <w:t xml:space="preserve"> verejnej správy</w:t>
      </w:r>
      <w:r w:rsidRPr="00E71069">
        <w:t xml:space="preserve">. </w:t>
      </w:r>
      <w:r>
        <w:t>Fiškálna politika bude pôsobiť naďalej proti-cyklicky, pri plnom naplnení požiadaviek Paktu stability a rastu (ďalej len Pakt). Štrukturálny deficit by mal do konca roku 2022 klesnúť k úrovni 0,2 % HDP</w:t>
      </w:r>
      <w:r w:rsidRPr="00E71069">
        <w:t xml:space="preserve">. </w:t>
      </w:r>
      <w:r>
        <w:t>Stanovené nominálne fiškálne ciele reflektujú na</w:t>
      </w:r>
      <w:r w:rsidRPr="00E71069">
        <w:t xml:space="preserve"> naj</w:t>
      </w:r>
      <w:r>
        <w:t xml:space="preserve">novšiu makroekonomickú prognózu, </w:t>
      </w:r>
      <w:r w:rsidRPr="00E71069">
        <w:t>ktorá predpokladá mier</w:t>
      </w:r>
      <w:r>
        <w:t>ne zvoľnenie tempa ekonomického rastu v súvislosti s rizikami externého prostredia</w:t>
      </w:r>
      <w:r w:rsidRPr="00E71069">
        <w:t>.</w:t>
      </w:r>
    </w:p>
    <w:p w14:paraId="261EA56F" w14:textId="7FD8782E" w:rsidR="00BD53AF" w:rsidRPr="00115234" w:rsidRDefault="00BD53AF" w:rsidP="00BD53AF">
      <w:pPr>
        <w:pStyle w:val="Popis"/>
        <w:keepNext/>
        <w:pBdr>
          <w:bottom w:val="single" w:sz="4" w:space="1" w:color="auto"/>
        </w:pBdr>
        <w:spacing w:before="120" w:after="0"/>
        <w:jc w:val="both"/>
        <w:rPr>
          <w:rFonts w:eastAsiaTheme="minorHAnsi" w:cs="Arial"/>
          <w:color w:val="2C9ADC"/>
          <w:sz w:val="20"/>
          <w:szCs w:val="26"/>
          <w:lang w:eastAsia="en-US"/>
        </w:rPr>
      </w:pPr>
      <w:bookmarkStart w:id="111" w:name="_Toc6314205"/>
      <w:r w:rsidRPr="00115234">
        <w:rPr>
          <w:rFonts w:eastAsiaTheme="minorHAnsi" w:cs="Arial"/>
          <w:color w:val="2C9ADC"/>
          <w:sz w:val="20"/>
          <w:szCs w:val="26"/>
          <w:lang w:eastAsia="en-US"/>
        </w:rPr>
        <w:t xml:space="preserve">TABUĽKA </w:t>
      </w:r>
      <w:r w:rsidRPr="00115234">
        <w:rPr>
          <w:rFonts w:eastAsiaTheme="minorHAnsi" w:cs="Arial"/>
          <w:color w:val="2C9ADC"/>
          <w:sz w:val="20"/>
          <w:szCs w:val="26"/>
          <w:lang w:eastAsia="en-US"/>
        </w:rPr>
        <w:fldChar w:fldCharType="begin"/>
      </w:r>
      <w:r w:rsidRPr="00115234">
        <w:rPr>
          <w:rFonts w:eastAsiaTheme="minorHAnsi" w:cs="Arial"/>
          <w:color w:val="2C9ADC"/>
          <w:sz w:val="20"/>
          <w:szCs w:val="26"/>
          <w:lang w:eastAsia="en-US"/>
        </w:rPr>
        <w:instrText xml:space="preserve"> SEQ TABUĽKA \* ARABIC </w:instrText>
      </w:r>
      <w:r w:rsidRPr="00115234">
        <w:rPr>
          <w:rFonts w:eastAsiaTheme="minorHAnsi" w:cs="Arial"/>
          <w:color w:val="2C9ADC"/>
          <w:sz w:val="20"/>
          <w:szCs w:val="26"/>
          <w:lang w:eastAsia="en-US"/>
        </w:rPr>
        <w:fldChar w:fldCharType="separate"/>
      </w:r>
      <w:r w:rsidR="00D5739E">
        <w:rPr>
          <w:rFonts w:eastAsiaTheme="minorHAnsi" w:cs="Arial"/>
          <w:noProof/>
          <w:color w:val="2C9ADC"/>
          <w:sz w:val="20"/>
          <w:szCs w:val="26"/>
          <w:lang w:eastAsia="en-US"/>
        </w:rPr>
        <w:t>6</w:t>
      </w:r>
      <w:r w:rsidRPr="00115234">
        <w:rPr>
          <w:rFonts w:eastAsiaTheme="minorHAnsi" w:cs="Arial"/>
          <w:color w:val="2C9ADC"/>
          <w:sz w:val="20"/>
          <w:szCs w:val="26"/>
          <w:lang w:eastAsia="en-US"/>
        </w:rPr>
        <w:fldChar w:fldCharType="end"/>
      </w:r>
      <w:r w:rsidRPr="00115234">
        <w:rPr>
          <w:rFonts w:eastAsiaTheme="minorHAnsi" w:cs="Arial"/>
          <w:color w:val="2C9ADC"/>
          <w:sz w:val="20"/>
          <w:szCs w:val="26"/>
          <w:lang w:eastAsia="en-US"/>
        </w:rPr>
        <w:t xml:space="preserve"> - Zmena fiškálnych cieľov verejnej správy (% HDP)</w:t>
      </w:r>
      <w:bookmarkEnd w:id="111"/>
    </w:p>
    <w:tbl>
      <w:tblPr>
        <w:tblW w:w="9072" w:type="dxa"/>
        <w:tblCellMar>
          <w:left w:w="70" w:type="dxa"/>
          <w:right w:w="70" w:type="dxa"/>
        </w:tblCellMar>
        <w:tblLook w:val="04A0" w:firstRow="1" w:lastRow="0" w:firstColumn="1" w:lastColumn="0" w:noHBand="0" w:noVBand="1"/>
      </w:tblPr>
      <w:tblGrid>
        <w:gridCol w:w="4820"/>
        <w:gridCol w:w="567"/>
        <w:gridCol w:w="737"/>
        <w:gridCol w:w="737"/>
        <w:gridCol w:w="737"/>
        <w:gridCol w:w="737"/>
        <w:gridCol w:w="737"/>
      </w:tblGrid>
      <w:tr w:rsidR="00BD53AF" w:rsidRPr="00C16375" w14:paraId="0C50454D" w14:textId="77777777" w:rsidTr="00387AE5">
        <w:trPr>
          <w:trHeight w:val="157"/>
        </w:trPr>
        <w:tc>
          <w:tcPr>
            <w:tcW w:w="4820" w:type="dxa"/>
            <w:tcBorders>
              <w:top w:val="nil"/>
              <w:left w:val="nil"/>
              <w:bottom w:val="single" w:sz="8" w:space="0" w:color="auto"/>
              <w:right w:val="nil"/>
            </w:tcBorders>
            <w:shd w:val="clear" w:color="auto" w:fill="auto"/>
            <w:noWrap/>
            <w:vAlign w:val="center"/>
          </w:tcPr>
          <w:p w14:paraId="00BD5E2F" w14:textId="77777777" w:rsidR="00BD53AF" w:rsidRPr="00C16375" w:rsidRDefault="00BD53AF" w:rsidP="00387AE5">
            <w:pPr>
              <w:jc w:val="center"/>
              <w:rPr>
                <w:rFonts w:cs="Times New Roman"/>
                <w:b/>
                <w:bCs/>
                <w:color w:val="000000"/>
                <w:sz w:val="18"/>
                <w:szCs w:val="18"/>
              </w:rPr>
            </w:pPr>
          </w:p>
        </w:tc>
        <w:tc>
          <w:tcPr>
            <w:tcW w:w="567" w:type="dxa"/>
            <w:tcBorders>
              <w:top w:val="nil"/>
              <w:left w:val="nil"/>
              <w:bottom w:val="single" w:sz="8" w:space="0" w:color="auto"/>
              <w:right w:val="nil"/>
            </w:tcBorders>
            <w:shd w:val="clear" w:color="auto" w:fill="auto"/>
            <w:noWrap/>
            <w:vAlign w:val="center"/>
          </w:tcPr>
          <w:p w14:paraId="7BD2CFCB" w14:textId="77777777" w:rsidR="00BD53AF" w:rsidRPr="00C16375" w:rsidRDefault="00BD53AF" w:rsidP="00387AE5">
            <w:pPr>
              <w:jc w:val="center"/>
              <w:rPr>
                <w:rFonts w:cs="Times New Roman"/>
                <w:b/>
                <w:bCs/>
                <w:color w:val="000000"/>
                <w:sz w:val="18"/>
                <w:szCs w:val="18"/>
              </w:rPr>
            </w:pPr>
            <w:r w:rsidRPr="00C16375">
              <w:rPr>
                <w:b/>
                <w:bCs/>
                <w:color w:val="000000"/>
                <w:sz w:val="18"/>
                <w:szCs w:val="18"/>
              </w:rPr>
              <w:t>2017</w:t>
            </w:r>
          </w:p>
        </w:tc>
        <w:tc>
          <w:tcPr>
            <w:tcW w:w="737" w:type="dxa"/>
            <w:tcBorders>
              <w:top w:val="nil"/>
              <w:left w:val="nil"/>
              <w:bottom w:val="single" w:sz="8" w:space="0" w:color="auto"/>
              <w:right w:val="nil"/>
            </w:tcBorders>
            <w:shd w:val="clear" w:color="auto" w:fill="auto"/>
            <w:noWrap/>
            <w:vAlign w:val="center"/>
          </w:tcPr>
          <w:p w14:paraId="617A8AB8" w14:textId="77777777" w:rsidR="00BD53AF" w:rsidRPr="00C16375" w:rsidRDefault="00BD53AF" w:rsidP="00387AE5">
            <w:pPr>
              <w:jc w:val="center"/>
              <w:rPr>
                <w:rFonts w:cs="Times New Roman"/>
                <w:b/>
                <w:bCs/>
                <w:color w:val="000000"/>
                <w:sz w:val="18"/>
                <w:szCs w:val="18"/>
              </w:rPr>
            </w:pPr>
            <w:r w:rsidRPr="00C16375">
              <w:rPr>
                <w:b/>
                <w:bCs/>
                <w:color w:val="000000"/>
                <w:sz w:val="18"/>
                <w:szCs w:val="18"/>
              </w:rPr>
              <w:t>2018</w:t>
            </w:r>
          </w:p>
        </w:tc>
        <w:tc>
          <w:tcPr>
            <w:tcW w:w="737" w:type="dxa"/>
            <w:tcBorders>
              <w:top w:val="nil"/>
              <w:left w:val="nil"/>
              <w:bottom w:val="single" w:sz="8" w:space="0" w:color="auto"/>
              <w:right w:val="nil"/>
            </w:tcBorders>
            <w:shd w:val="clear" w:color="auto" w:fill="auto"/>
            <w:noWrap/>
            <w:vAlign w:val="center"/>
          </w:tcPr>
          <w:p w14:paraId="3528907B" w14:textId="77777777" w:rsidR="00BD53AF" w:rsidRPr="00C16375" w:rsidRDefault="00BD53AF" w:rsidP="00387AE5">
            <w:pPr>
              <w:jc w:val="center"/>
              <w:rPr>
                <w:rFonts w:cs="Times New Roman"/>
                <w:b/>
                <w:bCs/>
                <w:color w:val="000000"/>
                <w:sz w:val="18"/>
                <w:szCs w:val="18"/>
              </w:rPr>
            </w:pPr>
            <w:r w:rsidRPr="00C16375">
              <w:rPr>
                <w:b/>
                <w:bCs/>
                <w:color w:val="000000"/>
                <w:sz w:val="18"/>
                <w:szCs w:val="18"/>
              </w:rPr>
              <w:t>2019</w:t>
            </w:r>
          </w:p>
        </w:tc>
        <w:tc>
          <w:tcPr>
            <w:tcW w:w="737" w:type="dxa"/>
            <w:tcBorders>
              <w:top w:val="nil"/>
              <w:left w:val="nil"/>
              <w:bottom w:val="single" w:sz="8" w:space="0" w:color="auto"/>
              <w:right w:val="nil"/>
            </w:tcBorders>
            <w:shd w:val="clear" w:color="auto" w:fill="auto"/>
            <w:noWrap/>
            <w:vAlign w:val="center"/>
          </w:tcPr>
          <w:p w14:paraId="703B9E24" w14:textId="77777777" w:rsidR="00BD53AF" w:rsidRPr="00C16375" w:rsidRDefault="00BD53AF" w:rsidP="00387AE5">
            <w:pPr>
              <w:jc w:val="center"/>
              <w:rPr>
                <w:rFonts w:cs="Times New Roman"/>
                <w:b/>
                <w:bCs/>
                <w:color w:val="000000"/>
                <w:sz w:val="18"/>
                <w:szCs w:val="18"/>
              </w:rPr>
            </w:pPr>
            <w:r w:rsidRPr="00C16375">
              <w:rPr>
                <w:b/>
                <w:bCs/>
                <w:color w:val="000000"/>
                <w:sz w:val="18"/>
                <w:szCs w:val="18"/>
              </w:rPr>
              <w:t>2020</w:t>
            </w:r>
          </w:p>
        </w:tc>
        <w:tc>
          <w:tcPr>
            <w:tcW w:w="737" w:type="dxa"/>
            <w:tcBorders>
              <w:top w:val="nil"/>
              <w:left w:val="nil"/>
              <w:bottom w:val="single" w:sz="8" w:space="0" w:color="auto"/>
              <w:right w:val="nil"/>
            </w:tcBorders>
            <w:shd w:val="clear" w:color="auto" w:fill="auto"/>
            <w:noWrap/>
            <w:vAlign w:val="center"/>
          </w:tcPr>
          <w:p w14:paraId="3A2EB4A7" w14:textId="77777777" w:rsidR="00BD53AF" w:rsidRPr="00C16375" w:rsidRDefault="00BD53AF" w:rsidP="00387AE5">
            <w:pPr>
              <w:jc w:val="center"/>
              <w:rPr>
                <w:rFonts w:cs="Times New Roman"/>
                <w:b/>
                <w:bCs/>
                <w:color w:val="000000"/>
                <w:sz w:val="18"/>
                <w:szCs w:val="18"/>
              </w:rPr>
            </w:pPr>
            <w:r w:rsidRPr="00C16375">
              <w:rPr>
                <w:b/>
                <w:bCs/>
                <w:color w:val="000000"/>
                <w:sz w:val="18"/>
                <w:szCs w:val="18"/>
              </w:rPr>
              <w:t>2021</w:t>
            </w:r>
          </w:p>
        </w:tc>
        <w:tc>
          <w:tcPr>
            <w:tcW w:w="737" w:type="dxa"/>
            <w:tcBorders>
              <w:top w:val="nil"/>
              <w:left w:val="nil"/>
              <w:bottom w:val="single" w:sz="8" w:space="0" w:color="auto"/>
              <w:right w:val="nil"/>
            </w:tcBorders>
            <w:shd w:val="clear" w:color="auto" w:fill="auto"/>
            <w:noWrap/>
            <w:vAlign w:val="center"/>
          </w:tcPr>
          <w:p w14:paraId="2CD541F6" w14:textId="77777777" w:rsidR="00BD53AF" w:rsidRPr="00C16375" w:rsidRDefault="00BD53AF" w:rsidP="00387AE5">
            <w:pPr>
              <w:jc w:val="center"/>
              <w:rPr>
                <w:rFonts w:cs="Times New Roman"/>
                <w:b/>
                <w:bCs/>
                <w:color w:val="000000"/>
                <w:sz w:val="18"/>
                <w:szCs w:val="18"/>
              </w:rPr>
            </w:pPr>
            <w:r w:rsidRPr="00C16375">
              <w:rPr>
                <w:b/>
                <w:bCs/>
                <w:color w:val="000000"/>
                <w:sz w:val="18"/>
                <w:szCs w:val="18"/>
              </w:rPr>
              <w:t>2022</w:t>
            </w:r>
          </w:p>
        </w:tc>
      </w:tr>
      <w:tr w:rsidR="00BD53AF" w:rsidRPr="00C16375" w14:paraId="28CD00F4" w14:textId="77777777" w:rsidTr="00387AE5">
        <w:trPr>
          <w:trHeight w:val="54"/>
        </w:trPr>
        <w:tc>
          <w:tcPr>
            <w:tcW w:w="4820" w:type="dxa"/>
            <w:tcBorders>
              <w:top w:val="nil"/>
              <w:left w:val="nil"/>
              <w:bottom w:val="nil"/>
              <w:right w:val="nil"/>
            </w:tcBorders>
            <w:shd w:val="clear" w:color="auto" w:fill="auto"/>
            <w:noWrap/>
            <w:vAlign w:val="center"/>
            <w:hideMark/>
          </w:tcPr>
          <w:p w14:paraId="7E7F40A8" w14:textId="77777777" w:rsidR="00BD53AF" w:rsidRPr="00C16375" w:rsidRDefault="00BD53AF" w:rsidP="00387AE5">
            <w:pPr>
              <w:rPr>
                <w:rFonts w:cs="Times New Roman"/>
                <w:color w:val="000000"/>
                <w:sz w:val="18"/>
                <w:szCs w:val="18"/>
              </w:rPr>
            </w:pPr>
            <w:r w:rsidRPr="00C16375">
              <w:rPr>
                <w:color w:val="000000"/>
                <w:sz w:val="18"/>
                <w:szCs w:val="18"/>
              </w:rPr>
              <w:t>1. Rozpočet VS na roky 2017 až 2019</w:t>
            </w:r>
          </w:p>
        </w:tc>
        <w:tc>
          <w:tcPr>
            <w:tcW w:w="567" w:type="dxa"/>
            <w:tcBorders>
              <w:top w:val="nil"/>
              <w:left w:val="nil"/>
              <w:bottom w:val="nil"/>
              <w:right w:val="nil"/>
            </w:tcBorders>
            <w:shd w:val="clear" w:color="auto" w:fill="auto"/>
            <w:noWrap/>
            <w:vAlign w:val="center"/>
            <w:hideMark/>
          </w:tcPr>
          <w:p w14:paraId="72E07B3E" w14:textId="77777777" w:rsidR="00BD53AF" w:rsidRPr="00C16375" w:rsidRDefault="00BD53AF" w:rsidP="00387AE5">
            <w:pPr>
              <w:jc w:val="center"/>
              <w:rPr>
                <w:rFonts w:cs="Times New Roman"/>
                <w:color w:val="000000"/>
                <w:sz w:val="18"/>
                <w:szCs w:val="18"/>
              </w:rPr>
            </w:pPr>
            <w:r w:rsidRPr="00C16375">
              <w:rPr>
                <w:color w:val="000000"/>
                <w:sz w:val="18"/>
                <w:szCs w:val="18"/>
              </w:rPr>
              <w:t>-1,29</w:t>
            </w:r>
          </w:p>
        </w:tc>
        <w:tc>
          <w:tcPr>
            <w:tcW w:w="737" w:type="dxa"/>
            <w:tcBorders>
              <w:top w:val="nil"/>
              <w:left w:val="nil"/>
              <w:bottom w:val="nil"/>
              <w:right w:val="nil"/>
            </w:tcBorders>
            <w:shd w:val="clear" w:color="auto" w:fill="auto"/>
            <w:noWrap/>
            <w:vAlign w:val="center"/>
            <w:hideMark/>
          </w:tcPr>
          <w:p w14:paraId="28E4F070" w14:textId="77777777" w:rsidR="00BD53AF" w:rsidRPr="00C16375" w:rsidRDefault="00BD53AF" w:rsidP="00387AE5">
            <w:pPr>
              <w:jc w:val="center"/>
              <w:rPr>
                <w:rFonts w:cs="Times New Roman"/>
                <w:color w:val="000000"/>
                <w:sz w:val="18"/>
                <w:szCs w:val="18"/>
              </w:rPr>
            </w:pPr>
            <w:r w:rsidRPr="00C16375">
              <w:rPr>
                <w:color w:val="000000"/>
                <w:sz w:val="18"/>
                <w:szCs w:val="18"/>
              </w:rPr>
              <w:t>-0,44</w:t>
            </w:r>
          </w:p>
        </w:tc>
        <w:tc>
          <w:tcPr>
            <w:tcW w:w="737" w:type="dxa"/>
            <w:tcBorders>
              <w:top w:val="nil"/>
              <w:left w:val="nil"/>
              <w:bottom w:val="nil"/>
              <w:right w:val="nil"/>
            </w:tcBorders>
            <w:shd w:val="clear" w:color="auto" w:fill="auto"/>
            <w:noWrap/>
            <w:vAlign w:val="center"/>
            <w:hideMark/>
          </w:tcPr>
          <w:p w14:paraId="71E8B65A" w14:textId="77777777" w:rsidR="00BD53AF" w:rsidRPr="00C16375" w:rsidRDefault="00BD53AF" w:rsidP="00387AE5">
            <w:pPr>
              <w:jc w:val="center"/>
              <w:rPr>
                <w:rFonts w:cs="Times New Roman"/>
                <w:color w:val="000000"/>
                <w:sz w:val="18"/>
                <w:szCs w:val="18"/>
              </w:rPr>
            </w:pPr>
            <w:r w:rsidRPr="00C16375">
              <w:rPr>
                <w:color w:val="000000"/>
                <w:sz w:val="18"/>
                <w:szCs w:val="18"/>
              </w:rPr>
              <w:t>0,16</w:t>
            </w:r>
          </w:p>
        </w:tc>
        <w:tc>
          <w:tcPr>
            <w:tcW w:w="737" w:type="dxa"/>
            <w:tcBorders>
              <w:top w:val="nil"/>
              <w:left w:val="nil"/>
              <w:bottom w:val="nil"/>
              <w:right w:val="nil"/>
            </w:tcBorders>
            <w:shd w:val="clear" w:color="auto" w:fill="auto"/>
            <w:noWrap/>
            <w:vAlign w:val="center"/>
            <w:hideMark/>
          </w:tcPr>
          <w:p w14:paraId="07A88758" w14:textId="77777777" w:rsidR="00BD53AF" w:rsidRPr="00C16375" w:rsidRDefault="00BD53AF" w:rsidP="00387AE5">
            <w:pPr>
              <w:jc w:val="center"/>
              <w:rPr>
                <w:rFonts w:cs="Times New Roman"/>
                <w:color w:val="000000"/>
                <w:sz w:val="18"/>
                <w:szCs w:val="18"/>
              </w:rPr>
            </w:pPr>
            <w:r w:rsidRPr="00C16375">
              <w:rPr>
                <w:color w:val="000000"/>
                <w:sz w:val="18"/>
                <w:szCs w:val="18"/>
              </w:rPr>
              <w:t>-</w:t>
            </w:r>
          </w:p>
        </w:tc>
        <w:tc>
          <w:tcPr>
            <w:tcW w:w="737" w:type="dxa"/>
            <w:tcBorders>
              <w:top w:val="nil"/>
              <w:left w:val="nil"/>
              <w:bottom w:val="nil"/>
              <w:right w:val="nil"/>
            </w:tcBorders>
            <w:shd w:val="clear" w:color="auto" w:fill="auto"/>
            <w:noWrap/>
            <w:vAlign w:val="center"/>
            <w:hideMark/>
          </w:tcPr>
          <w:p w14:paraId="675CFD21" w14:textId="77777777" w:rsidR="00BD53AF" w:rsidRPr="00C16375" w:rsidRDefault="00BD53AF" w:rsidP="00387AE5">
            <w:pPr>
              <w:jc w:val="center"/>
              <w:rPr>
                <w:rFonts w:ascii="Calibri" w:hAnsi="Calibri" w:cs="Times New Roman"/>
                <w:color w:val="000000"/>
                <w:sz w:val="18"/>
                <w:szCs w:val="18"/>
              </w:rPr>
            </w:pPr>
            <w:r w:rsidRPr="00C16375">
              <w:rPr>
                <w:color w:val="000000"/>
                <w:sz w:val="18"/>
                <w:szCs w:val="18"/>
              </w:rPr>
              <w:t>-</w:t>
            </w:r>
          </w:p>
        </w:tc>
        <w:tc>
          <w:tcPr>
            <w:tcW w:w="737" w:type="dxa"/>
            <w:tcBorders>
              <w:top w:val="nil"/>
              <w:left w:val="nil"/>
              <w:bottom w:val="nil"/>
              <w:right w:val="nil"/>
            </w:tcBorders>
            <w:shd w:val="clear" w:color="auto" w:fill="auto"/>
            <w:noWrap/>
            <w:vAlign w:val="center"/>
            <w:hideMark/>
          </w:tcPr>
          <w:p w14:paraId="7567C3BC" w14:textId="77777777" w:rsidR="00BD53AF" w:rsidRPr="00C16375" w:rsidRDefault="00BD53AF" w:rsidP="00387AE5">
            <w:pPr>
              <w:jc w:val="center"/>
              <w:rPr>
                <w:rFonts w:ascii="Calibri" w:hAnsi="Calibri" w:cs="Times New Roman"/>
                <w:color w:val="000000"/>
                <w:sz w:val="18"/>
                <w:szCs w:val="18"/>
              </w:rPr>
            </w:pPr>
            <w:r w:rsidRPr="00C16375">
              <w:rPr>
                <w:color w:val="000000"/>
                <w:sz w:val="18"/>
                <w:szCs w:val="18"/>
              </w:rPr>
              <w:t>-</w:t>
            </w:r>
          </w:p>
        </w:tc>
      </w:tr>
      <w:tr w:rsidR="00BD53AF" w:rsidRPr="00C16375" w14:paraId="58271FCC" w14:textId="77777777" w:rsidTr="00387AE5">
        <w:trPr>
          <w:trHeight w:val="74"/>
        </w:trPr>
        <w:tc>
          <w:tcPr>
            <w:tcW w:w="4820" w:type="dxa"/>
            <w:tcBorders>
              <w:top w:val="nil"/>
              <w:left w:val="nil"/>
              <w:bottom w:val="nil"/>
              <w:right w:val="nil"/>
            </w:tcBorders>
            <w:shd w:val="clear" w:color="auto" w:fill="auto"/>
            <w:noWrap/>
            <w:vAlign w:val="center"/>
            <w:hideMark/>
          </w:tcPr>
          <w:p w14:paraId="5BAA5BA4" w14:textId="77777777" w:rsidR="00BD53AF" w:rsidRPr="00C16375" w:rsidRDefault="00BD53AF" w:rsidP="00387AE5">
            <w:pPr>
              <w:rPr>
                <w:rFonts w:cs="Times New Roman"/>
                <w:color w:val="000000"/>
                <w:sz w:val="18"/>
                <w:szCs w:val="18"/>
              </w:rPr>
            </w:pPr>
            <w:r w:rsidRPr="00C16375">
              <w:rPr>
                <w:color w:val="000000"/>
                <w:sz w:val="18"/>
                <w:szCs w:val="18"/>
              </w:rPr>
              <w:t>2. Rozpočet VS na roky 2018 až 2020</w:t>
            </w:r>
          </w:p>
        </w:tc>
        <w:tc>
          <w:tcPr>
            <w:tcW w:w="567" w:type="dxa"/>
            <w:tcBorders>
              <w:top w:val="nil"/>
              <w:left w:val="nil"/>
              <w:bottom w:val="nil"/>
              <w:right w:val="nil"/>
            </w:tcBorders>
            <w:shd w:val="clear" w:color="auto" w:fill="auto"/>
            <w:noWrap/>
            <w:vAlign w:val="center"/>
          </w:tcPr>
          <w:p w14:paraId="318A9BF7"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hideMark/>
          </w:tcPr>
          <w:p w14:paraId="2D8E1019" w14:textId="77777777" w:rsidR="00BD53AF" w:rsidRPr="00C16375" w:rsidRDefault="00BD53AF" w:rsidP="00387AE5">
            <w:pPr>
              <w:jc w:val="center"/>
              <w:rPr>
                <w:rFonts w:cs="Times New Roman"/>
                <w:color w:val="000000"/>
                <w:sz w:val="18"/>
                <w:szCs w:val="18"/>
              </w:rPr>
            </w:pPr>
            <w:r w:rsidRPr="00C16375">
              <w:rPr>
                <w:color w:val="000000"/>
                <w:sz w:val="18"/>
                <w:szCs w:val="18"/>
              </w:rPr>
              <w:t>-0,83</w:t>
            </w:r>
          </w:p>
        </w:tc>
        <w:tc>
          <w:tcPr>
            <w:tcW w:w="737" w:type="dxa"/>
            <w:tcBorders>
              <w:top w:val="nil"/>
              <w:left w:val="nil"/>
              <w:bottom w:val="nil"/>
              <w:right w:val="nil"/>
            </w:tcBorders>
            <w:shd w:val="clear" w:color="auto" w:fill="auto"/>
            <w:noWrap/>
            <w:vAlign w:val="center"/>
            <w:hideMark/>
          </w:tcPr>
          <w:p w14:paraId="3E0C5FDB" w14:textId="77777777" w:rsidR="00BD53AF" w:rsidRPr="00C16375" w:rsidRDefault="00BD53AF" w:rsidP="00387AE5">
            <w:pPr>
              <w:jc w:val="center"/>
              <w:rPr>
                <w:rFonts w:cs="Times New Roman"/>
                <w:color w:val="000000"/>
                <w:sz w:val="18"/>
                <w:szCs w:val="18"/>
              </w:rPr>
            </w:pPr>
            <w:r w:rsidRPr="00C16375">
              <w:rPr>
                <w:color w:val="000000"/>
                <w:sz w:val="18"/>
                <w:szCs w:val="18"/>
              </w:rPr>
              <w:t>-0,10</w:t>
            </w:r>
          </w:p>
        </w:tc>
        <w:tc>
          <w:tcPr>
            <w:tcW w:w="737" w:type="dxa"/>
            <w:tcBorders>
              <w:top w:val="nil"/>
              <w:left w:val="nil"/>
              <w:bottom w:val="nil"/>
              <w:right w:val="nil"/>
            </w:tcBorders>
            <w:shd w:val="clear" w:color="auto" w:fill="auto"/>
            <w:noWrap/>
            <w:vAlign w:val="center"/>
            <w:hideMark/>
          </w:tcPr>
          <w:p w14:paraId="7BC6270D" w14:textId="77777777" w:rsidR="00BD53AF" w:rsidRPr="00C16375" w:rsidRDefault="00BD53AF" w:rsidP="00387AE5">
            <w:pPr>
              <w:jc w:val="center"/>
              <w:rPr>
                <w:rFonts w:cs="Times New Roman"/>
                <w:color w:val="000000"/>
                <w:sz w:val="18"/>
                <w:szCs w:val="18"/>
              </w:rPr>
            </w:pPr>
            <w:r w:rsidRPr="00C16375">
              <w:rPr>
                <w:color w:val="000000"/>
                <w:sz w:val="18"/>
                <w:szCs w:val="18"/>
              </w:rPr>
              <w:t>0,00</w:t>
            </w:r>
          </w:p>
        </w:tc>
        <w:tc>
          <w:tcPr>
            <w:tcW w:w="737" w:type="dxa"/>
            <w:tcBorders>
              <w:top w:val="nil"/>
              <w:left w:val="nil"/>
              <w:bottom w:val="nil"/>
              <w:right w:val="nil"/>
            </w:tcBorders>
            <w:shd w:val="clear" w:color="auto" w:fill="auto"/>
            <w:noWrap/>
            <w:vAlign w:val="center"/>
            <w:hideMark/>
          </w:tcPr>
          <w:p w14:paraId="7BD51D66" w14:textId="77777777" w:rsidR="00BD53AF" w:rsidRPr="00C16375" w:rsidRDefault="00BD53AF" w:rsidP="00387AE5">
            <w:pPr>
              <w:jc w:val="center"/>
              <w:rPr>
                <w:rFonts w:ascii="Calibri" w:hAnsi="Calibri" w:cs="Times New Roman"/>
                <w:color w:val="000000"/>
                <w:sz w:val="18"/>
                <w:szCs w:val="18"/>
              </w:rPr>
            </w:pPr>
            <w:r w:rsidRPr="00C16375">
              <w:rPr>
                <w:color w:val="000000"/>
                <w:sz w:val="18"/>
                <w:szCs w:val="18"/>
              </w:rPr>
              <w:t>-</w:t>
            </w:r>
          </w:p>
        </w:tc>
        <w:tc>
          <w:tcPr>
            <w:tcW w:w="737" w:type="dxa"/>
            <w:tcBorders>
              <w:top w:val="nil"/>
              <w:left w:val="nil"/>
              <w:bottom w:val="nil"/>
              <w:right w:val="nil"/>
            </w:tcBorders>
            <w:shd w:val="clear" w:color="auto" w:fill="auto"/>
            <w:noWrap/>
            <w:vAlign w:val="center"/>
            <w:hideMark/>
          </w:tcPr>
          <w:p w14:paraId="39D5BFAD" w14:textId="77777777" w:rsidR="00BD53AF" w:rsidRPr="00C16375" w:rsidRDefault="00BD53AF" w:rsidP="00387AE5">
            <w:pPr>
              <w:jc w:val="center"/>
              <w:rPr>
                <w:rFonts w:ascii="Calibri" w:hAnsi="Calibri" w:cs="Times New Roman"/>
                <w:color w:val="000000"/>
                <w:sz w:val="18"/>
                <w:szCs w:val="18"/>
              </w:rPr>
            </w:pPr>
            <w:r w:rsidRPr="00C16375">
              <w:rPr>
                <w:color w:val="000000"/>
                <w:sz w:val="18"/>
                <w:szCs w:val="18"/>
              </w:rPr>
              <w:t>-</w:t>
            </w:r>
          </w:p>
        </w:tc>
      </w:tr>
      <w:tr w:rsidR="00BD53AF" w:rsidRPr="00C16375" w14:paraId="5ECEAB98" w14:textId="77777777" w:rsidTr="00387AE5">
        <w:trPr>
          <w:trHeight w:val="154"/>
        </w:trPr>
        <w:tc>
          <w:tcPr>
            <w:tcW w:w="4820" w:type="dxa"/>
            <w:tcBorders>
              <w:top w:val="nil"/>
              <w:left w:val="nil"/>
              <w:bottom w:val="nil"/>
              <w:right w:val="nil"/>
            </w:tcBorders>
            <w:shd w:val="clear" w:color="auto" w:fill="auto"/>
            <w:noWrap/>
            <w:vAlign w:val="center"/>
            <w:hideMark/>
          </w:tcPr>
          <w:p w14:paraId="6FFBA7AE" w14:textId="77777777" w:rsidR="00BD53AF" w:rsidRPr="00C16375" w:rsidRDefault="00BD53AF" w:rsidP="00387AE5">
            <w:pPr>
              <w:rPr>
                <w:rFonts w:cs="Times New Roman"/>
                <w:color w:val="000000"/>
                <w:sz w:val="18"/>
                <w:szCs w:val="18"/>
              </w:rPr>
            </w:pPr>
            <w:r w:rsidRPr="00C16375">
              <w:rPr>
                <w:color w:val="000000"/>
                <w:sz w:val="18"/>
                <w:szCs w:val="18"/>
              </w:rPr>
              <w:t>3. Rozpočet VS na roky 2019 až 2021</w:t>
            </w:r>
          </w:p>
        </w:tc>
        <w:tc>
          <w:tcPr>
            <w:tcW w:w="567" w:type="dxa"/>
            <w:tcBorders>
              <w:top w:val="nil"/>
              <w:left w:val="nil"/>
              <w:bottom w:val="nil"/>
              <w:right w:val="nil"/>
            </w:tcBorders>
            <w:shd w:val="clear" w:color="auto" w:fill="auto"/>
            <w:noWrap/>
            <w:vAlign w:val="center"/>
          </w:tcPr>
          <w:p w14:paraId="245C9E7F"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1039315A"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7D26FA8C"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0,00</w:t>
            </w:r>
          </w:p>
        </w:tc>
        <w:tc>
          <w:tcPr>
            <w:tcW w:w="737" w:type="dxa"/>
            <w:tcBorders>
              <w:top w:val="nil"/>
              <w:left w:val="nil"/>
              <w:bottom w:val="nil"/>
              <w:right w:val="nil"/>
            </w:tcBorders>
            <w:shd w:val="clear" w:color="auto" w:fill="auto"/>
            <w:noWrap/>
            <w:vAlign w:val="center"/>
          </w:tcPr>
          <w:p w14:paraId="5B66B72E"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0,10</w:t>
            </w:r>
          </w:p>
        </w:tc>
        <w:tc>
          <w:tcPr>
            <w:tcW w:w="737" w:type="dxa"/>
            <w:tcBorders>
              <w:top w:val="nil"/>
              <w:left w:val="nil"/>
              <w:bottom w:val="nil"/>
              <w:right w:val="nil"/>
            </w:tcBorders>
            <w:shd w:val="clear" w:color="auto" w:fill="auto"/>
            <w:noWrap/>
            <w:vAlign w:val="center"/>
          </w:tcPr>
          <w:p w14:paraId="0E8E5653"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0,30</w:t>
            </w:r>
          </w:p>
        </w:tc>
        <w:tc>
          <w:tcPr>
            <w:tcW w:w="737" w:type="dxa"/>
            <w:tcBorders>
              <w:top w:val="nil"/>
              <w:left w:val="nil"/>
              <w:bottom w:val="nil"/>
              <w:right w:val="nil"/>
            </w:tcBorders>
            <w:shd w:val="clear" w:color="auto" w:fill="auto"/>
            <w:noWrap/>
            <w:vAlign w:val="center"/>
          </w:tcPr>
          <w:p w14:paraId="0592763D" w14:textId="77777777" w:rsidR="00BD53AF" w:rsidRPr="00C16375" w:rsidRDefault="00BD53AF" w:rsidP="00387AE5">
            <w:pPr>
              <w:jc w:val="center"/>
              <w:rPr>
                <w:rFonts w:ascii="Calibri" w:hAnsi="Calibri" w:cs="Times New Roman"/>
                <w:color w:val="000000"/>
                <w:sz w:val="18"/>
                <w:szCs w:val="18"/>
              </w:rPr>
            </w:pPr>
          </w:p>
        </w:tc>
      </w:tr>
      <w:tr w:rsidR="00BD53AF" w:rsidRPr="00C16375" w14:paraId="19573F08" w14:textId="77777777" w:rsidTr="00387AE5">
        <w:trPr>
          <w:trHeight w:val="311"/>
        </w:trPr>
        <w:tc>
          <w:tcPr>
            <w:tcW w:w="4820" w:type="dxa"/>
            <w:tcBorders>
              <w:top w:val="nil"/>
              <w:left w:val="nil"/>
              <w:bottom w:val="single" w:sz="8" w:space="0" w:color="auto"/>
              <w:right w:val="nil"/>
            </w:tcBorders>
            <w:shd w:val="clear" w:color="auto" w:fill="auto"/>
            <w:noWrap/>
            <w:vAlign w:val="center"/>
            <w:hideMark/>
          </w:tcPr>
          <w:p w14:paraId="3999D138" w14:textId="77777777" w:rsidR="00BD53AF" w:rsidRPr="00C16375" w:rsidRDefault="00BD53AF" w:rsidP="00387AE5">
            <w:pPr>
              <w:rPr>
                <w:rFonts w:cs="Times New Roman"/>
                <w:b/>
                <w:color w:val="000000"/>
                <w:sz w:val="20"/>
                <w:szCs w:val="20"/>
              </w:rPr>
            </w:pPr>
            <w:r w:rsidRPr="00C16375">
              <w:rPr>
                <w:b/>
                <w:color w:val="000000"/>
                <w:sz w:val="20"/>
                <w:szCs w:val="20"/>
              </w:rPr>
              <w:t>4. Fiškálny rámec rozpočtu VS v PS na roky 2020-2022</w:t>
            </w:r>
          </w:p>
        </w:tc>
        <w:tc>
          <w:tcPr>
            <w:tcW w:w="567" w:type="dxa"/>
            <w:tcBorders>
              <w:top w:val="nil"/>
              <w:left w:val="nil"/>
              <w:bottom w:val="single" w:sz="8" w:space="0" w:color="auto"/>
              <w:right w:val="nil"/>
            </w:tcBorders>
            <w:shd w:val="clear" w:color="auto" w:fill="auto"/>
            <w:noWrap/>
            <w:vAlign w:val="center"/>
          </w:tcPr>
          <w:p w14:paraId="5CFC1381"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c>
          <w:tcPr>
            <w:tcW w:w="737" w:type="dxa"/>
            <w:tcBorders>
              <w:top w:val="nil"/>
              <w:left w:val="nil"/>
              <w:bottom w:val="single" w:sz="8" w:space="0" w:color="auto"/>
              <w:right w:val="nil"/>
            </w:tcBorders>
            <w:shd w:val="clear" w:color="auto" w:fill="auto"/>
            <w:noWrap/>
            <w:vAlign w:val="center"/>
          </w:tcPr>
          <w:p w14:paraId="4D85249D"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c>
          <w:tcPr>
            <w:tcW w:w="737" w:type="dxa"/>
            <w:tcBorders>
              <w:top w:val="nil"/>
              <w:left w:val="nil"/>
              <w:bottom w:val="single" w:sz="8" w:space="0" w:color="auto"/>
              <w:right w:val="nil"/>
            </w:tcBorders>
            <w:shd w:val="clear" w:color="auto" w:fill="auto"/>
            <w:noWrap/>
            <w:vAlign w:val="center"/>
          </w:tcPr>
          <w:p w14:paraId="07DA7255"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c>
          <w:tcPr>
            <w:tcW w:w="737" w:type="dxa"/>
            <w:tcBorders>
              <w:top w:val="nil"/>
              <w:left w:val="nil"/>
              <w:bottom w:val="single" w:sz="8" w:space="0" w:color="auto"/>
              <w:right w:val="nil"/>
            </w:tcBorders>
            <w:shd w:val="clear" w:color="auto" w:fill="auto"/>
            <w:noWrap/>
            <w:vAlign w:val="center"/>
          </w:tcPr>
          <w:p w14:paraId="6260CB71"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0,00</w:t>
            </w:r>
          </w:p>
        </w:tc>
        <w:tc>
          <w:tcPr>
            <w:tcW w:w="737" w:type="dxa"/>
            <w:tcBorders>
              <w:top w:val="nil"/>
              <w:left w:val="nil"/>
              <w:bottom w:val="single" w:sz="8" w:space="0" w:color="auto"/>
              <w:right w:val="nil"/>
            </w:tcBorders>
            <w:shd w:val="clear" w:color="auto" w:fill="auto"/>
            <w:noWrap/>
            <w:vAlign w:val="center"/>
          </w:tcPr>
          <w:p w14:paraId="3669A078"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0,00</w:t>
            </w:r>
          </w:p>
        </w:tc>
        <w:tc>
          <w:tcPr>
            <w:tcW w:w="737" w:type="dxa"/>
            <w:tcBorders>
              <w:top w:val="nil"/>
              <w:left w:val="nil"/>
              <w:bottom w:val="single" w:sz="8" w:space="0" w:color="auto"/>
              <w:right w:val="nil"/>
            </w:tcBorders>
            <w:shd w:val="clear" w:color="auto" w:fill="auto"/>
            <w:noWrap/>
            <w:vAlign w:val="center"/>
          </w:tcPr>
          <w:p w14:paraId="0D3DDD16"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0,00</w:t>
            </w:r>
          </w:p>
        </w:tc>
      </w:tr>
      <w:tr w:rsidR="00BD53AF" w:rsidRPr="00C16375" w14:paraId="3F137D5E" w14:textId="77777777" w:rsidTr="00387AE5">
        <w:trPr>
          <w:trHeight w:val="54"/>
        </w:trPr>
        <w:tc>
          <w:tcPr>
            <w:tcW w:w="4820" w:type="dxa"/>
            <w:tcBorders>
              <w:top w:val="nil"/>
              <w:left w:val="nil"/>
              <w:bottom w:val="nil"/>
              <w:right w:val="nil"/>
            </w:tcBorders>
            <w:shd w:val="clear" w:color="auto" w:fill="auto"/>
            <w:noWrap/>
            <w:vAlign w:val="center"/>
            <w:hideMark/>
          </w:tcPr>
          <w:p w14:paraId="4319C590" w14:textId="77777777" w:rsidR="00BD53AF" w:rsidRPr="00C16375" w:rsidRDefault="00BD53AF" w:rsidP="00387AE5">
            <w:pPr>
              <w:rPr>
                <w:rFonts w:cs="Times New Roman"/>
                <w:color w:val="000000"/>
                <w:sz w:val="18"/>
                <w:szCs w:val="18"/>
              </w:rPr>
            </w:pPr>
            <w:r w:rsidRPr="00C16375">
              <w:rPr>
                <w:color w:val="000000"/>
                <w:sz w:val="18"/>
                <w:szCs w:val="18"/>
              </w:rPr>
              <w:t>Zmena oproti rozpočtu VS 2017 až 2019 (4-1)</w:t>
            </w:r>
          </w:p>
        </w:tc>
        <w:tc>
          <w:tcPr>
            <w:tcW w:w="567" w:type="dxa"/>
            <w:tcBorders>
              <w:top w:val="nil"/>
              <w:left w:val="nil"/>
              <w:bottom w:val="nil"/>
              <w:right w:val="nil"/>
            </w:tcBorders>
            <w:shd w:val="clear" w:color="auto" w:fill="auto"/>
            <w:noWrap/>
            <w:vAlign w:val="center"/>
          </w:tcPr>
          <w:p w14:paraId="4EBCECDE"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40D7EC65"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3694C02D"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039D3DE4"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425C0881" w14:textId="77777777" w:rsidR="00BD53AF" w:rsidRPr="00C16375" w:rsidRDefault="00BD53AF" w:rsidP="00387AE5">
            <w:pPr>
              <w:jc w:val="center"/>
              <w:rPr>
                <w:rFonts w:cs="Times New Roman"/>
                <w:color w:val="000000"/>
                <w:sz w:val="18"/>
                <w:szCs w:val="18"/>
              </w:rPr>
            </w:pPr>
          </w:p>
        </w:tc>
        <w:tc>
          <w:tcPr>
            <w:tcW w:w="737" w:type="dxa"/>
            <w:tcBorders>
              <w:top w:val="nil"/>
              <w:left w:val="nil"/>
              <w:bottom w:val="nil"/>
              <w:right w:val="nil"/>
            </w:tcBorders>
            <w:shd w:val="clear" w:color="auto" w:fill="auto"/>
            <w:noWrap/>
            <w:vAlign w:val="center"/>
          </w:tcPr>
          <w:p w14:paraId="5FBF0AF0" w14:textId="77777777" w:rsidR="00BD53AF" w:rsidRPr="00C16375" w:rsidRDefault="00BD53AF" w:rsidP="00387AE5">
            <w:pPr>
              <w:jc w:val="center"/>
              <w:rPr>
                <w:rFonts w:cs="Times New Roman"/>
                <w:color w:val="000000"/>
                <w:sz w:val="18"/>
                <w:szCs w:val="18"/>
              </w:rPr>
            </w:pPr>
          </w:p>
        </w:tc>
      </w:tr>
      <w:tr w:rsidR="00BD53AF" w:rsidRPr="00C16375" w14:paraId="7AD6E3EC" w14:textId="77777777" w:rsidTr="00387AE5">
        <w:trPr>
          <w:trHeight w:val="74"/>
        </w:trPr>
        <w:tc>
          <w:tcPr>
            <w:tcW w:w="4820" w:type="dxa"/>
            <w:tcBorders>
              <w:top w:val="nil"/>
              <w:left w:val="nil"/>
              <w:right w:val="nil"/>
            </w:tcBorders>
            <w:shd w:val="clear" w:color="auto" w:fill="auto"/>
            <w:noWrap/>
            <w:vAlign w:val="center"/>
            <w:hideMark/>
          </w:tcPr>
          <w:p w14:paraId="69BD535E" w14:textId="77777777" w:rsidR="00BD53AF" w:rsidRPr="00C16375" w:rsidRDefault="00BD53AF" w:rsidP="00387AE5">
            <w:pPr>
              <w:rPr>
                <w:rFonts w:cs="Times New Roman"/>
                <w:color w:val="000000"/>
                <w:sz w:val="18"/>
                <w:szCs w:val="18"/>
              </w:rPr>
            </w:pPr>
            <w:r w:rsidRPr="00C16375">
              <w:rPr>
                <w:color w:val="000000"/>
                <w:sz w:val="18"/>
                <w:szCs w:val="18"/>
              </w:rPr>
              <w:t>Zmena oproti rozpočtu VS 2018 až 2020 (4-2)</w:t>
            </w:r>
          </w:p>
        </w:tc>
        <w:tc>
          <w:tcPr>
            <w:tcW w:w="567" w:type="dxa"/>
            <w:tcBorders>
              <w:top w:val="nil"/>
              <w:left w:val="nil"/>
              <w:bottom w:val="nil"/>
              <w:right w:val="nil"/>
            </w:tcBorders>
            <w:shd w:val="clear" w:color="auto" w:fill="auto"/>
            <w:noWrap/>
            <w:vAlign w:val="center"/>
          </w:tcPr>
          <w:p w14:paraId="1F341D49"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2D542EB8"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11912156"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w:t>
            </w:r>
          </w:p>
        </w:tc>
        <w:tc>
          <w:tcPr>
            <w:tcW w:w="737" w:type="dxa"/>
            <w:tcBorders>
              <w:top w:val="nil"/>
              <w:left w:val="nil"/>
              <w:bottom w:val="nil"/>
              <w:right w:val="nil"/>
            </w:tcBorders>
            <w:shd w:val="clear" w:color="auto" w:fill="auto"/>
            <w:noWrap/>
            <w:vAlign w:val="center"/>
          </w:tcPr>
          <w:p w14:paraId="07B8A794" w14:textId="77777777" w:rsidR="00BD53AF" w:rsidRPr="00C16375" w:rsidRDefault="00BD53AF" w:rsidP="00387AE5">
            <w:pPr>
              <w:jc w:val="center"/>
              <w:rPr>
                <w:rFonts w:cs="Times New Roman"/>
                <w:color w:val="000000"/>
                <w:sz w:val="18"/>
                <w:szCs w:val="18"/>
              </w:rPr>
            </w:pPr>
            <w:r w:rsidRPr="00C16375">
              <w:rPr>
                <w:rFonts w:cs="Times New Roman"/>
                <w:color w:val="000000"/>
                <w:sz w:val="18"/>
                <w:szCs w:val="18"/>
              </w:rPr>
              <w:t>0,00</w:t>
            </w:r>
          </w:p>
        </w:tc>
        <w:tc>
          <w:tcPr>
            <w:tcW w:w="737" w:type="dxa"/>
            <w:tcBorders>
              <w:top w:val="nil"/>
              <w:left w:val="nil"/>
              <w:bottom w:val="nil"/>
              <w:right w:val="nil"/>
            </w:tcBorders>
            <w:shd w:val="clear" w:color="auto" w:fill="auto"/>
            <w:noWrap/>
            <w:vAlign w:val="center"/>
          </w:tcPr>
          <w:p w14:paraId="5201893E" w14:textId="77777777" w:rsidR="00BD53AF" w:rsidRPr="00C16375" w:rsidRDefault="00BD53AF" w:rsidP="00387AE5">
            <w:pPr>
              <w:jc w:val="center"/>
              <w:rPr>
                <w:rFonts w:ascii="Calibri" w:hAnsi="Calibri" w:cs="Times New Roman"/>
                <w:color w:val="000000"/>
                <w:sz w:val="18"/>
                <w:szCs w:val="18"/>
              </w:rPr>
            </w:pPr>
            <w:r w:rsidRPr="00C16375">
              <w:rPr>
                <w:rFonts w:ascii="Calibri" w:hAnsi="Calibri" w:cs="Times New Roman"/>
                <w:color w:val="000000"/>
                <w:sz w:val="18"/>
                <w:szCs w:val="18"/>
              </w:rPr>
              <w:t>-</w:t>
            </w:r>
          </w:p>
        </w:tc>
        <w:tc>
          <w:tcPr>
            <w:tcW w:w="737" w:type="dxa"/>
            <w:tcBorders>
              <w:top w:val="nil"/>
              <w:left w:val="nil"/>
              <w:bottom w:val="nil"/>
              <w:right w:val="nil"/>
            </w:tcBorders>
            <w:shd w:val="clear" w:color="auto" w:fill="auto"/>
            <w:noWrap/>
            <w:vAlign w:val="center"/>
          </w:tcPr>
          <w:p w14:paraId="1FFAFD5F" w14:textId="77777777" w:rsidR="00BD53AF" w:rsidRPr="00C16375" w:rsidRDefault="00BD53AF" w:rsidP="00387AE5">
            <w:pPr>
              <w:jc w:val="center"/>
              <w:rPr>
                <w:rFonts w:ascii="Calibri" w:hAnsi="Calibri" w:cs="Times New Roman"/>
                <w:color w:val="000000"/>
                <w:sz w:val="18"/>
                <w:szCs w:val="18"/>
              </w:rPr>
            </w:pPr>
            <w:r w:rsidRPr="00C16375">
              <w:rPr>
                <w:rFonts w:ascii="Calibri" w:hAnsi="Calibri" w:cs="Times New Roman"/>
                <w:color w:val="000000"/>
                <w:sz w:val="18"/>
                <w:szCs w:val="18"/>
              </w:rPr>
              <w:t>-</w:t>
            </w:r>
          </w:p>
        </w:tc>
      </w:tr>
      <w:tr w:rsidR="00BD53AF" w:rsidRPr="00C16375" w14:paraId="6E2EC205" w14:textId="77777777" w:rsidTr="00387AE5">
        <w:trPr>
          <w:trHeight w:val="74"/>
        </w:trPr>
        <w:tc>
          <w:tcPr>
            <w:tcW w:w="4820" w:type="dxa"/>
            <w:tcBorders>
              <w:top w:val="nil"/>
              <w:left w:val="nil"/>
              <w:bottom w:val="single" w:sz="8" w:space="0" w:color="auto"/>
              <w:right w:val="nil"/>
            </w:tcBorders>
            <w:shd w:val="clear" w:color="auto" w:fill="auto"/>
            <w:noWrap/>
            <w:vAlign w:val="center"/>
            <w:hideMark/>
          </w:tcPr>
          <w:p w14:paraId="20F2E0B4" w14:textId="77777777" w:rsidR="00BD53AF" w:rsidRPr="00C16375" w:rsidRDefault="00BD53AF" w:rsidP="00387AE5">
            <w:pPr>
              <w:rPr>
                <w:rFonts w:cs="Times New Roman"/>
                <w:b/>
                <w:color w:val="000000"/>
                <w:sz w:val="20"/>
                <w:szCs w:val="20"/>
              </w:rPr>
            </w:pPr>
            <w:r w:rsidRPr="00C16375">
              <w:rPr>
                <w:b/>
                <w:color w:val="000000"/>
                <w:sz w:val="20"/>
                <w:szCs w:val="20"/>
              </w:rPr>
              <w:t>Zmena oproti rozpočtu VS 2019 až 2021 (4-3)</w:t>
            </w:r>
          </w:p>
        </w:tc>
        <w:tc>
          <w:tcPr>
            <w:tcW w:w="567" w:type="dxa"/>
            <w:tcBorders>
              <w:top w:val="nil"/>
              <w:left w:val="nil"/>
              <w:bottom w:val="single" w:sz="8" w:space="0" w:color="auto"/>
              <w:right w:val="nil"/>
            </w:tcBorders>
            <w:shd w:val="clear" w:color="auto" w:fill="auto"/>
            <w:noWrap/>
            <w:vAlign w:val="center"/>
          </w:tcPr>
          <w:p w14:paraId="20A3188F"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c>
          <w:tcPr>
            <w:tcW w:w="737" w:type="dxa"/>
            <w:tcBorders>
              <w:top w:val="nil"/>
              <w:left w:val="nil"/>
              <w:bottom w:val="single" w:sz="8" w:space="0" w:color="auto"/>
              <w:right w:val="nil"/>
            </w:tcBorders>
            <w:shd w:val="clear" w:color="auto" w:fill="auto"/>
            <w:noWrap/>
            <w:vAlign w:val="center"/>
          </w:tcPr>
          <w:p w14:paraId="2BF1DE26"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c>
          <w:tcPr>
            <w:tcW w:w="737" w:type="dxa"/>
            <w:tcBorders>
              <w:top w:val="nil"/>
              <w:left w:val="nil"/>
              <w:bottom w:val="single" w:sz="8" w:space="0" w:color="auto"/>
              <w:right w:val="nil"/>
            </w:tcBorders>
            <w:shd w:val="clear" w:color="auto" w:fill="auto"/>
            <w:noWrap/>
            <w:vAlign w:val="center"/>
          </w:tcPr>
          <w:p w14:paraId="78E4141E"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c>
          <w:tcPr>
            <w:tcW w:w="737" w:type="dxa"/>
            <w:tcBorders>
              <w:top w:val="nil"/>
              <w:left w:val="nil"/>
              <w:bottom w:val="single" w:sz="8" w:space="0" w:color="auto"/>
              <w:right w:val="nil"/>
            </w:tcBorders>
            <w:shd w:val="clear" w:color="auto" w:fill="auto"/>
            <w:noWrap/>
            <w:vAlign w:val="center"/>
          </w:tcPr>
          <w:p w14:paraId="60E4CB91"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-0,10</w:t>
            </w:r>
          </w:p>
        </w:tc>
        <w:tc>
          <w:tcPr>
            <w:tcW w:w="737" w:type="dxa"/>
            <w:tcBorders>
              <w:top w:val="nil"/>
              <w:left w:val="nil"/>
              <w:bottom w:val="single" w:sz="8" w:space="0" w:color="auto"/>
              <w:right w:val="nil"/>
            </w:tcBorders>
            <w:shd w:val="clear" w:color="auto" w:fill="auto"/>
            <w:noWrap/>
            <w:vAlign w:val="center"/>
          </w:tcPr>
          <w:p w14:paraId="44625F81"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-0,30</w:t>
            </w:r>
          </w:p>
        </w:tc>
        <w:tc>
          <w:tcPr>
            <w:tcW w:w="737" w:type="dxa"/>
            <w:tcBorders>
              <w:top w:val="nil"/>
              <w:left w:val="nil"/>
              <w:bottom w:val="single" w:sz="8" w:space="0" w:color="auto"/>
              <w:right w:val="nil"/>
            </w:tcBorders>
            <w:shd w:val="clear" w:color="auto" w:fill="auto"/>
            <w:noWrap/>
            <w:vAlign w:val="center"/>
          </w:tcPr>
          <w:p w14:paraId="0CF6ABF0" w14:textId="77777777" w:rsidR="00BD53AF" w:rsidRPr="00C16375" w:rsidRDefault="00BD53AF" w:rsidP="00387AE5">
            <w:pPr>
              <w:jc w:val="center"/>
              <w:rPr>
                <w:rFonts w:cs="Times New Roman"/>
                <w:b/>
                <w:bCs/>
                <w:color w:val="000000"/>
                <w:sz w:val="20"/>
                <w:szCs w:val="20"/>
              </w:rPr>
            </w:pPr>
            <w:r w:rsidRPr="00C16375">
              <w:rPr>
                <w:rFonts w:cs="Times New Roman"/>
                <w:b/>
                <w:bCs/>
                <w:color w:val="000000"/>
                <w:sz w:val="20"/>
                <w:szCs w:val="20"/>
              </w:rPr>
              <w:t>-</w:t>
            </w:r>
          </w:p>
        </w:tc>
      </w:tr>
      <w:tr w:rsidR="00BD53AF" w:rsidRPr="00C16375" w14:paraId="3B3B3481" w14:textId="77777777" w:rsidTr="00387AE5">
        <w:trPr>
          <w:trHeight w:val="263"/>
        </w:trPr>
        <w:tc>
          <w:tcPr>
            <w:tcW w:w="9072" w:type="dxa"/>
            <w:gridSpan w:val="7"/>
            <w:tcBorders>
              <w:top w:val="single" w:sz="8" w:space="0" w:color="auto"/>
              <w:left w:val="nil"/>
              <w:bottom w:val="nil"/>
              <w:right w:val="nil"/>
            </w:tcBorders>
            <w:shd w:val="clear" w:color="auto" w:fill="auto"/>
            <w:noWrap/>
            <w:vAlign w:val="center"/>
            <w:hideMark/>
          </w:tcPr>
          <w:p w14:paraId="12D61DA0" w14:textId="77777777" w:rsidR="00BD53AF" w:rsidRPr="00C16375" w:rsidRDefault="00BD53AF" w:rsidP="00387AE5">
            <w:pPr>
              <w:spacing w:before="40"/>
              <w:jc w:val="right"/>
              <w:rPr>
                <w:rFonts w:cs="Times New Roman"/>
                <w:i/>
                <w:iCs/>
                <w:color w:val="000000"/>
                <w:sz w:val="18"/>
                <w:szCs w:val="18"/>
              </w:rPr>
            </w:pPr>
            <w:r w:rsidRPr="00673EA8">
              <w:rPr>
                <w:rFonts w:cs="Times New Roman"/>
                <w:i/>
                <w:iCs/>
                <w:color w:val="000000"/>
                <w:sz w:val="16"/>
                <w:szCs w:val="18"/>
              </w:rPr>
              <w:t>Zdroj: MF SR</w:t>
            </w:r>
          </w:p>
        </w:tc>
      </w:tr>
    </w:tbl>
    <w:p w14:paraId="695A073C" w14:textId="77777777" w:rsidR="00BD53AF" w:rsidRPr="0094557B" w:rsidRDefault="00BD53AF" w:rsidP="004F1515">
      <w:pPr>
        <w:pStyle w:val="Nadpis2"/>
        <w:keepLines/>
        <w:numPr>
          <w:ilvl w:val="1"/>
          <w:numId w:val="2"/>
        </w:numPr>
        <w:spacing w:before="240" w:after="120"/>
        <w:rPr>
          <w:b/>
          <w:color w:val="2C9ADC"/>
          <w:szCs w:val="24"/>
        </w:rPr>
      </w:pPr>
      <w:bookmarkStart w:id="112" w:name="_Toc322707654"/>
      <w:bookmarkStart w:id="113" w:name="_Toc322708278"/>
      <w:bookmarkStart w:id="114" w:name="_Toc323117588"/>
      <w:bookmarkStart w:id="115" w:name="_Toc353466998"/>
      <w:bookmarkStart w:id="116" w:name="_Toc353468541"/>
      <w:bookmarkStart w:id="117" w:name="_Toc353804720"/>
      <w:bookmarkStart w:id="118" w:name="_Toc354476880"/>
      <w:bookmarkStart w:id="119" w:name="_Toc354476994"/>
      <w:bookmarkStart w:id="120" w:name="_Toc354477176"/>
      <w:bookmarkStart w:id="121" w:name="_Toc216573750"/>
      <w:bookmarkStart w:id="122" w:name="_Toc385764209"/>
      <w:bookmarkStart w:id="123" w:name="_Toc449429149"/>
      <w:bookmarkStart w:id="124" w:name="_Toc449430158"/>
      <w:bookmarkStart w:id="125" w:name="_Toc5869384"/>
      <w:bookmarkEnd w:id="112"/>
      <w:bookmarkEnd w:id="113"/>
      <w:bookmarkEnd w:id="114"/>
      <w:bookmarkEnd w:id="115"/>
      <w:bookmarkEnd w:id="116"/>
      <w:bookmarkEnd w:id="117"/>
      <w:bookmarkEnd w:id="118"/>
      <w:bookmarkEnd w:id="119"/>
      <w:bookmarkEnd w:id="120"/>
      <w:r w:rsidRPr="0094557B">
        <w:rPr>
          <w:b/>
          <w:color w:val="2C9ADC"/>
          <w:szCs w:val="24"/>
        </w:rPr>
        <w:t>Štrukturálne saldo</w:t>
      </w:r>
      <w:bookmarkEnd w:id="121"/>
      <w:bookmarkEnd w:id="122"/>
      <w:bookmarkEnd w:id="123"/>
      <w:bookmarkEnd w:id="124"/>
      <w:bookmarkEnd w:id="125"/>
    </w:p>
    <w:p w14:paraId="6DFD7E97" w14:textId="525D7EE8" w:rsidR="00AB0095" w:rsidRDefault="00BD53AF" w:rsidP="00BD53AF">
      <w:pPr>
        <w:pStyle w:val="NormalList"/>
        <w:spacing w:after="240"/>
        <w:rPr>
          <w:rFonts w:cs="Arial Narrow"/>
          <w:lang w:eastAsia="sk-SK"/>
        </w:rPr>
      </w:pPr>
      <w:r w:rsidRPr="001C7EDE">
        <w:rPr>
          <w:rFonts w:cs="Arial Narrow"/>
          <w:b/>
          <w:lang w:eastAsia="sk-SK"/>
        </w:rPr>
        <w:t>Od roku 2014 podlieha fiškálna politika SR pravidlám preventívnej časti Paktu, ktorej cieľom je dosiahnutie strednodobého rozpočtového cieľa (MTO)</w:t>
      </w:r>
      <w:r w:rsidRPr="001C7EDE">
        <w:rPr>
          <w:rFonts w:cs="Arial Narrow"/>
          <w:lang w:eastAsia="sk-SK"/>
        </w:rPr>
        <w:t xml:space="preserve">. </w:t>
      </w:r>
      <w:r>
        <w:rPr>
          <w:rFonts w:cs="Arial Narrow"/>
          <w:lang w:eastAsia="sk-SK"/>
        </w:rPr>
        <w:t>Úroveň MTO</w:t>
      </w:r>
      <w:r w:rsidRPr="001C7EDE">
        <w:rPr>
          <w:rFonts w:cs="Arial Narrow"/>
          <w:lang w:eastAsia="sk-SK"/>
        </w:rPr>
        <w:t xml:space="preserve"> by mal</w:t>
      </w:r>
      <w:r>
        <w:rPr>
          <w:rFonts w:cs="Arial Narrow"/>
          <w:lang w:eastAsia="sk-SK"/>
        </w:rPr>
        <w:t>a</w:t>
      </w:r>
      <w:r w:rsidRPr="001C7EDE">
        <w:rPr>
          <w:rFonts w:cs="Arial Narrow"/>
          <w:lang w:eastAsia="sk-SK"/>
        </w:rPr>
        <w:t xml:space="preserve"> zodpovedať takej rozpočtovej pozícii (blízko štrukturálne vyrovnaného rozpočtu), ktorá je udržateľná </w:t>
      </w:r>
      <w:r>
        <w:rPr>
          <w:rFonts w:cs="Arial Narrow"/>
          <w:lang w:eastAsia="sk-SK"/>
        </w:rPr>
        <w:t xml:space="preserve">aj </w:t>
      </w:r>
      <w:r w:rsidRPr="001C7EDE">
        <w:rPr>
          <w:rFonts w:cs="Arial Narrow"/>
          <w:lang w:eastAsia="sk-SK"/>
        </w:rPr>
        <w:t>v dlhodobom horizonte</w:t>
      </w:r>
      <w:r>
        <w:rPr>
          <w:rFonts w:cs="Arial Narrow"/>
          <w:lang w:eastAsia="sk-SK"/>
        </w:rPr>
        <w:t>, po zohľadnení negatívneho vplyvu na verejné financie zo starnutia populácie</w:t>
      </w:r>
      <w:r w:rsidRPr="001C7EDE">
        <w:rPr>
          <w:rFonts w:cs="Arial Narrow"/>
          <w:lang w:eastAsia="sk-SK"/>
        </w:rPr>
        <w:t>. V krátkodobom horizonte by zároveň</w:t>
      </w:r>
      <w:r>
        <w:rPr>
          <w:rFonts w:cs="Arial Narrow"/>
          <w:lang w:eastAsia="sk-SK"/>
        </w:rPr>
        <w:t xml:space="preserve"> plnenie MTO</w:t>
      </w:r>
      <w:r w:rsidRPr="001C7EDE">
        <w:rPr>
          <w:rFonts w:cs="Arial Narrow"/>
          <w:lang w:eastAsia="sk-SK"/>
        </w:rPr>
        <w:t xml:space="preserve"> mal</w:t>
      </w:r>
      <w:r>
        <w:rPr>
          <w:rFonts w:cs="Arial Narrow"/>
          <w:lang w:eastAsia="sk-SK"/>
        </w:rPr>
        <w:t>o</w:t>
      </w:r>
      <w:r w:rsidRPr="001C7EDE">
        <w:rPr>
          <w:rFonts w:cs="Arial Narrow"/>
          <w:lang w:eastAsia="sk-SK"/>
        </w:rPr>
        <w:t xml:space="preserve"> poskytnúť </w:t>
      </w:r>
      <w:r>
        <w:rPr>
          <w:rFonts w:cs="Arial Narrow"/>
          <w:lang w:eastAsia="sk-SK"/>
        </w:rPr>
        <w:t>plný</w:t>
      </w:r>
      <w:r w:rsidRPr="001C7EDE">
        <w:rPr>
          <w:rFonts w:cs="Arial Narrow"/>
          <w:lang w:eastAsia="sk-SK"/>
        </w:rPr>
        <w:t xml:space="preserve"> priestor pre </w:t>
      </w:r>
      <w:r>
        <w:rPr>
          <w:rFonts w:cs="Arial Narrow"/>
          <w:lang w:eastAsia="sk-SK"/>
        </w:rPr>
        <w:t>proti-cyklickú</w:t>
      </w:r>
      <w:r w:rsidRPr="001C7EDE">
        <w:rPr>
          <w:rFonts w:cs="Arial Narrow"/>
          <w:lang w:eastAsia="sk-SK"/>
        </w:rPr>
        <w:t xml:space="preserve"> </w:t>
      </w:r>
      <w:r>
        <w:rPr>
          <w:rFonts w:cs="Arial Narrow"/>
          <w:lang w:eastAsia="sk-SK"/>
        </w:rPr>
        <w:t>úlohu</w:t>
      </w:r>
      <w:r w:rsidRPr="001C7EDE">
        <w:rPr>
          <w:rFonts w:cs="Arial Narrow"/>
          <w:lang w:eastAsia="sk-SK"/>
        </w:rPr>
        <w:t xml:space="preserve"> fiškálnej politiky</w:t>
      </w:r>
      <w:r>
        <w:rPr>
          <w:rFonts w:cs="Arial Narrow"/>
          <w:lang w:eastAsia="sk-SK"/>
        </w:rPr>
        <w:t>, pôsobením automatických stabilizátorov</w:t>
      </w:r>
      <w:r w:rsidRPr="001C7EDE">
        <w:rPr>
          <w:rFonts w:cs="Arial Narrow"/>
          <w:lang w:eastAsia="sk-SK"/>
        </w:rPr>
        <w:t>. Z tohto dôvodu sa vyžaduje postupné medziročné zlepšovanie štrukturálneho salda</w:t>
      </w:r>
      <w:r>
        <w:rPr>
          <w:rFonts w:cs="Arial Narrow"/>
          <w:lang w:eastAsia="sk-SK"/>
        </w:rPr>
        <w:t xml:space="preserve"> </w:t>
      </w:r>
      <w:r w:rsidRPr="001C7EDE">
        <w:rPr>
          <w:rFonts w:cs="Arial Narrow"/>
          <w:lang w:eastAsia="sk-SK"/>
        </w:rPr>
        <w:t>na základe pravidiel Paktu (tzv. požadované konsolidačné úsilie, podrobnejšie v</w:t>
      </w:r>
      <w:r w:rsidR="003828C3">
        <w:rPr>
          <w:rFonts w:cs="Arial Narrow"/>
          <w:lang w:eastAsia="sk-SK"/>
        </w:rPr>
        <w:t> </w:t>
      </w:r>
      <w:r w:rsidR="003828C3" w:rsidRPr="003828C3">
        <w:rPr>
          <w:rFonts w:cs="Arial Narrow"/>
          <w:color w:val="2C9ADC" w:themeColor="accent1"/>
          <w:lang w:eastAsia="sk-SK"/>
        </w:rPr>
        <w:t>Prílohe 2</w:t>
      </w:r>
      <w:r w:rsidRPr="001C7EDE">
        <w:rPr>
          <w:rFonts w:cs="Arial Narrow"/>
          <w:lang w:eastAsia="sk-SK"/>
        </w:rPr>
        <w:t>)</w:t>
      </w:r>
      <w:r>
        <w:rPr>
          <w:rFonts w:cs="Arial Narrow"/>
          <w:lang w:eastAsia="sk-SK"/>
        </w:rPr>
        <w:t xml:space="preserve">, </w:t>
      </w:r>
      <w:r w:rsidRPr="001C7EDE">
        <w:rPr>
          <w:rFonts w:cs="Arial Narrow"/>
          <w:lang w:eastAsia="sk-SK"/>
        </w:rPr>
        <w:t>až do dosiahnutia MTO.</w:t>
      </w:r>
      <w:r>
        <w:rPr>
          <w:rFonts w:cs="Arial Narrow"/>
          <w:lang w:eastAsia="sk-SK"/>
        </w:rPr>
        <w:t xml:space="preserve"> </w:t>
      </w:r>
      <w:r w:rsidR="00AB0095" w:rsidRPr="0094557B">
        <w:rPr>
          <w:rFonts w:cs="Arial Narrow"/>
          <w:lang w:eastAsia="sk-SK"/>
        </w:rPr>
        <w:t>Slovenská ekonomika sa od roku 2017 nachádza v expanzívnej fáze hospodárskeho cyklu, no bez výraznejšieho prehrievania.</w:t>
      </w:r>
      <w:r w:rsidR="00AB0095" w:rsidRPr="001C7EDE">
        <w:rPr>
          <w:rFonts w:cs="Arial Narrow"/>
          <w:lang w:eastAsia="sk-SK"/>
        </w:rPr>
        <w:t xml:space="preserve"> Podľa pravidiel Paktu sa v tomto prípade požaduje medziročné znižovanie štrukturálneho schodku </w:t>
      </w:r>
      <w:r w:rsidR="00AB0095">
        <w:rPr>
          <w:rFonts w:cs="Arial Narrow"/>
          <w:lang w:eastAsia="sk-SK"/>
        </w:rPr>
        <w:t xml:space="preserve">aspoň </w:t>
      </w:r>
      <w:r w:rsidR="00AB0095" w:rsidRPr="001C7EDE">
        <w:rPr>
          <w:rFonts w:cs="Arial Narrow"/>
          <w:lang w:eastAsia="sk-SK"/>
        </w:rPr>
        <w:t xml:space="preserve">o 0,5 </w:t>
      </w:r>
      <w:r w:rsidR="00AB0095">
        <w:rPr>
          <w:rFonts w:cs="Arial Narrow"/>
          <w:lang w:eastAsia="sk-SK"/>
        </w:rPr>
        <w:t xml:space="preserve">p. </w:t>
      </w:r>
      <w:r w:rsidR="00AB0095" w:rsidRPr="001C7EDE">
        <w:rPr>
          <w:rFonts w:cs="Arial Narrow"/>
          <w:lang w:eastAsia="sk-SK"/>
        </w:rPr>
        <w:t>b.</w:t>
      </w:r>
      <w:r w:rsidR="00AB0095">
        <w:rPr>
          <w:rFonts w:cs="Arial Narrow"/>
          <w:lang w:eastAsia="sk-SK"/>
        </w:rPr>
        <w:t xml:space="preserve"> HDP,</w:t>
      </w:r>
      <w:r w:rsidR="00AB0095" w:rsidRPr="001C7EDE">
        <w:rPr>
          <w:rFonts w:cs="Arial Narrow"/>
          <w:lang w:eastAsia="sk-SK"/>
        </w:rPr>
        <w:t xml:space="preserve"> </w:t>
      </w:r>
      <w:r w:rsidR="00AB0095">
        <w:rPr>
          <w:rFonts w:cs="Arial Narrow"/>
          <w:lang w:eastAsia="sk-SK"/>
        </w:rPr>
        <w:t xml:space="preserve">a to až do dosiahnutia MTO. </w:t>
      </w:r>
    </w:p>
    <w:p w14:paraId="223E5853" w14:textId="0AA26E8A" w:rsidR="00AB0095" w:rsidRPr="00415590" w:rsidRDefault="00AB0095" w:rsidP="00BD53AF">
      <w:pPr>
        <w:pStyle w:val="NormalList"/>
        <w:spacing w:after="240"/>
        <w:rPr>
          <w:rFonts w:cs="Arial Narrow"/>
          <w:b/>
          <w:color w:val="2C9ADC" w:themeColor="accent1"/>
          <w:lang w:eastAsia="sk-SK"/>
        </w:rPr>
      </w:pPr>
      <w:r w:rsidRPr="00415590">
        <w:rPr>
          <w:rFonts w:cs="Arial Narrow"/>
          <w:b/>
          <w:color w:val="2C9ADC" w:themeColor="accent1"/>
          <w:lang w:eastAsia="sk-SK"/>
        </w:rPr>
        <w:t>Vývoj štrukturálneho salda do roku 2019</w:t>
      </w:r>
    </w:p>
    <w:p w14:paraId="254C4A18" w14:textId="5A7E7979" w:rsidR="00BD53AF" w:rsidRDefault="00BD53AF" w:rsidP="00BD53AF">
      <w:pPr>
        <w:spacing w:after="240"/>
        <w:jc w:val="both"/>
      </w:pPr>
      <w:r w:rsidRPr="0019108B">
        <w:rPr>
          <w:b/>
        </w:rPr>
        <w:t xml:space="preserve">Štrukturálny deficit </w:t>
      </w:r>
      <w:r>
        <w:rPr>
          <w:b/>
        </w:rPr>
        <w:t>dosiahol</w:t>
      </w:r>
      <w:r w:rsidRPr="0019108B">
        <w:rPr>
          <w:b/>
        </w:rPr>
        <w:t xml:space="preserve"> v roku 2018 úroveň 1,0 % HDP</w:t>
      </w:r>
      <w:r w:rsidR="009B73FF">
        <w:rPr>
          <w:b/>
        </w:rPr>
        <w:t>,</w:t>
      </w:r>
      <w:r w:rsidRPr="0019108B">
        <w:rPr>
          <w:b/>
        </w:rPr>
        <w:t xml:space="preserve"> v kontexte silnejúcej ekonomiky nad svojím potenciálom. </w:t>
      </w:r>
      <w:r w:rsidRPr="0019108B">
        <w:t>Medziročne vzrástol vplyv ekonomického cyklu na hospodárenie verejnej správy o 0,3 p.</w:t>
      </w:r>
      <w:r>
        <w:t xml:space="preserve"> </w:t>
      </w:r>
      <w:r w:rsidRPr="0019108B">
        <w:t xml:space="preserve">b. </w:t>
      </w:r>
      <w:r>
        <w:t>zatiaľ čo nominálne saldo sa zlepšilo o takmer 0,1 p. b.. Silnejšie ako požadované konsolidačné úsilie z roku 2017 viac než kompenzuje p</w:t>
      </w:r>
      <w:r w:rsidRPr="002F799A">
        <w:t>ribližne neu</w:t>
      </w:r>
      <w:r>
        <w:t xml:space="preserve">trálnu </w:t>
      </w:r>
      <w:r w:rsidRPr="002F799A">
        <w:t>fiškáln</w:t>
      </w:r>
      <w:r>
        <w:t>u</w:t>
      </w:r>
      <w:r w:rsidRPr="002F799A">
        <w:t xml:space="preserve"> politik</w:t>
      </w:r>
      <w:r>
        <w:t>u</w:t>
      </w:r>
      <w:r w:rsidRPr="002F799A">
        <w:t xml:space="preserve"> v roku 2018</w:t>
      </w:r>
      <w:r w:rsidRPr="00AD53C6">
        <w:t>. Z tohto dôvodu je vhodnejšie pos</w:t>
      </w:r>
      <w:r>
        <w:t>udzovať</w:t>
      </w:r>
      <w:r w:rsidRPr="00AD53C6">
        <w:t xml:space="preserve"> konsolidačné úsili</w:t>
      </w:r>
      <w:r>
        <w:t>e</w:t>
      </w:r>
      <w:r w:rsidRPr="00AD53C6">
        <w:t xml:space="preserve"> práve </w:t>
      </w:r>
      <w:r>
        <w:t xml:space="preserve">na </w:t>
      </w:r>
      <w:r w:rsidRPr="00AD53C6">
        <w:t>dvojročn</w:t>
      </w:r>
      <w:r>
        <w:t>om</w:t>
      </w:r>
      <w:r w:rsidRPr="00AD53C6">
        <w:t xml:space="preserve"> horizont</w:t>
      </w:r>
      <w:r>
        <w:t>e</w:t>
      </w:r>
      <w:r w:rsidRPr="00AD53C6">
        <w:t>. Po zohľadnení vývoja v rokoch 2017 a 2018 je dosiahnutá konsolidácia za oba roky približne v súlade s pravidlami Paktu (nevýrazná odchýlka 0,2 % HDP)</w:t>
      </w:r>
      <w:r>
        <w:t xml:space="preserve"> a po zohľadnení skutočnej konsolidácie (podľa najaktuálnejších hodnôt)</w:t>
      </w:r>
      <w:r w:rsidRPr="00AD53C6">
        <w:rPr>
          <w:rStyle w:val="Odkaznapoznmkupodiarou"/>
        </w:rPr>
        <w:footnoteReference w:id="22"/>
      </w:r>
      <w:r>
        <w:t xml:space="preserve"> plne v súlade.</w:t>
      </w:r>
    </w:p>
    <w:p w14:paraId="02493D8A" w14:textId="0578A05C" w:rsidR="00AB0095" w:rsidRDefault="00AB0095" w:rsidP="00415590">
      <w:pPr>
        <w:jc w:val="both"/>
      </w:pPr>
      <w:r>
        <w:rPr>
          <w:b/>
        </w:rPr>
        <w:lastRenderedPageBreak/>
        <w:t>V tomto roku klesne štrukturálny deficit na úroveň 0,4 % HDP</w:t>
      </w:r>
      <w:r w:rsidRPr="00E71069">
        <w:rPr>
          <w:b/>
        </w:rPr>
        <w:t>.</w:t>
      </w:r>
      <w:r w:rsidRPr="00EB7FB3">
        <w:rPr>
          <w:b/>
        </w:rPr>
        <w:t xml:space="preserve"> </w:t>
      </w:r>
      <w:r w:rsidRPr="00EB7FB3">
        <w:t xml:space="preserve">Splnením </w:t>
      </w:r>
      <w:r>
        <w:t>rozpočtového cieľa</w:t>
      </w:r>
      <w:r w:rsidRPr="00EB7FB3">
        <w:t xml:space="preserve"> </w:t>
      </w:r>
      <w:r>
        <w:t xml:space="preserve">dôjde k </w:t>
      </w:r>
      <w:r w:rsidRPr="00EB7FB3">
        <w:t>štrukturálnemu ozdraveniu verejných financií o viac ako 6 p. b. HDP</w:t>
      </w:r>
      <w:r>
        <w:t xml:space="preserve"> v porovnaním s rokom 2010</w:t>
      </w:r>
      <w:r w:rsidRPr="00EB7FB3">
        <w:t>.</w:t>
      </w:r>
    </w:p>
    <w:p w14:paraId="381A939C" w14:textId="77777777" w:rsidR="00AB0095" w:rsidRPr="00AD53C6" w:rsidRDefault="00AB0095" w:rsidP="00415590">
      <w:pPr>
        <w:jc w:val="both"/>
      </w:pPr>
    </w:p>
    <w:tbl>
      <w:tblPr>
        <w:tblW w:w="9072" w:type="dxa"/>
        <w:tblLayout w:type="fixed"/>
        <w:tblCellMar>
          <w:left w:w="70" w:type="dxa"/>
          <w:right w:w="70" w:type="dxa"/>
        </w:tblCellMar>
        <w:tblLook w:val="04A0" w:firstRow="1" w:lastRow="0" w:firstColumn="1" w:lastColumn="0" w:noHBand="0" w:noVBand="1"/>
      </w:tblPr>
      <w:tblGrid>
        <w:gridCol w:w="2444"/>
        <w:gridCol w:w="855"/>
        <w:gridCol w:w="855"/>
        <w:gridCol w:w="983"/>
        <w:gridCol w:w="984"/>
        <w:gridCol w:w="983"/>
        <w:gridCol w:w="693"/>
        <w:gridCol w:w="291"/>
        <w:gridCol w:w="984"/>
      </w:tblGrid>
      <w:tr w:rsidR="00BD53AF" w:rsidRPr="00930D3B" w14:paraId="30B578F6" w14:textId="77777777" w:rsidTr="00387AE5">
        <w:trPr>
          <w:trHeight w:val="131"/>
        </w:trPr>
        <w:tc>
          <w:tcPr>
            <w:tcW w:w="9072" w:type="dxa"/>
            <w:gridSpan w:val="9"/>
            <w:tcBorders>
              <w:top w:val="nil"/>
              <w:left w:val="nil"/>
              <w:bottom w:val="single" w:sz="8" w:space="0" w:color="auto"/>
              <w:right w:val="nil"/>
            </w:tcBorders>
          </w:tcPr>
          <w:p w14:paraId="7AC34831" w14:textId="6DF530EB" w:rsidR="00BD53AF" w:rsidRPr="00930D3B" w:rsidRDefault="00BD53AF" w:rsidP="00387AE5">
            <w:pPr>
              <w:pStyle w:val="Popis"/>
              <w:keepNext/>
              <w:spacing w:after="0"/>
              <w:jc w:val="both"/>
              <w:rPr>
                <w:rFonts w:eastAsiaTheme="minorHAnsi" w:cs="Arial"/>
                <w:color w:val="2C9ADC"/>
                <w:sz w:val="20"/>
                <w:szCs w:val="26"/>
                <w:lang w:eastAsia="en-US"/>
              </w:rPr>
            </w:pPr>
            <w:bookmarkStart w:id="126" w:name="_Toc6314206"/>
            <w:r w:rsidRPr="00115234">
              <w:rPr>
                <w:rFonts w:eastAsiaTheme="minorHAnsi" w:cs="Arial"/>
                <w:color w:val="2C9ADC"/>
                <w:sz w:val="20"/>
                <w:szCs w:val="26"/>
                <w:lang w:eastAsia="en-US"/>
              </w:rPr>
              <w:t xml:space="preserve">TABUĽKA </w:t>
            </w:r>
            <w:r w:rsidRPr="00115234">
              <w:rPr>
                <w:rFonts w:eastAsiaTheme="minorHAnsi" w:cs="Arial"/>
                <w:color w:val="2C9ADC"/>
                <w:sz w:val="20"/>
                <w:szCs w:val="26"/>
                <w:lang w:eastAsia="en-US"/>
              </w:rPr>
              <w:fldChar w:fldCharType="begin"/>
            </w:r>
            <w:r w:rsidRPr="00115234">
              <w:rPr>
                <w:rFonts w:eastAsiaTheme="minorHAnsi" w:cs="Arial"/>
                <w:color w:val="2C9ADC"/>
                <w:sz w:val="20"/>
                <w:szCs w:val="26"/>
                <w:lang w:eastAsia="en-US"/>
              </w:rPr>
              <w:instrText xml:space="preserve"> SEQ TABUĽKA \* ARABIC </w:instrText>
            </w:r>
            <w:r w:rsidRPr="00115234">
              <w:rPr>
                <w:rFonts w:eastAsiaTheme="minorHAnsi" w:cs="Arial"/>
                <w:color w:val="2C9ADC"/>
                <w:sz w:val="20"/>
                <w:szCs w:val="26"/>
                <w:lang w:eastAsia="en-US"/>
              </w:rPr>
              <w:fldChar w:fldCharType="separate"/>
            </w:r>
            <w:r w:rsidR="00D5739E">
              <w:rPr>
                <w:rFonts w:eastAsiaTheme="minorHAnsi" w:cs="Arial"/>
                <w:noProof/>
                <w:color w:val="2C9ADC"/>
                <w:sz w:val="20"/>
                <w:szCs w:val="26"/>
                <w:lang w:eastAsia="en-US"/>
              </w:rPr>
              <w:t>7</w:t>
            </w:r>
            <w:r w:rsidRPr="00115234">
              <w:rPr>
                <w:rFonts w:eastAsiaTheme="minorHAnsi" w:cs="Arial"/>
                <w:color w:val="2C9ADC"/>
                <w:sz w:val="20"/>
                <w:szCs w:val="26"/>
                <w:lang w:eastAsia="en-US"/>
              </w:rPr>
              <w:fldChar w:fldCharType="end"/>
            </w:r>
            <w:r w:rsidRPr="00115234">
              <w:rPr>
                <w:rFonts w:eastAsiaTheme="minorHAnsi" w:cs="Arial"/>
                <w:color w:val="2C9ADC"/>
                <w:sz w:val="20"/>
                <w:szCs w:val="26"/>
                <w:lang w:eastAsia="en-US"/>
              </w:rPr>
              <w:t xml:space="preserve"> - </w:t>
            </w:r>
            <w:r w:rsidRPr="00930D3B">
              <w:rPr>
                <w:rFonts w:eastAsiaTheme="minorHAnsi" w:cs="Arial"/>
                <w:color w:val="2C9ADC"/>
                <w:sz w:val="20"/>
                <w:szCs w:val="26"/>
                <w:lang w:eastAsia="en-US"/>
              </w:rPr>
              <w:t>Konsolidačné úsilie (ESA</w:t>
            </w:r>
            <w:r>
              <w:rPr>
                <w:rFonts w:eastAsiaTheme="minorHAnsi" w:cs="Arial"/>
                <w:color w:val="2C9ADC"/>
                <w:sz w:val="20"/>
                <w:szCs w:val="26"/>
                <w:lang w:eastAsia="en-US"/>
              </w:rPr>
              <w:t xml:space="preserve"> </w:t>
            </w:r>
            <w:r w:rsidRPr="00930D3B">
              <w:rPr>
                <w:rFonts w:eastAsiaTheme="minorHAnsi" w:cs="Arial"/>
                <w:color w:val="2C9ADC"/>
                <w:sz w:val="20"/>
                <w:szCs w:val="26"/>
                <w:lang w:eastAsia="en-US"/>
              </w:rPr>
              <w:t>2010, % HDP)</w:t>
            </w:r>
            <w:bookmarkEnd w:id="126"/>
          </w:p>
        </w:tc>
      </w:tr>
      <w:tr w:rsidR="00BD53AF" w:rsidRPr="00930D3B" w14:paraId="62313E6C" w14:textId="77777777" w:rsidTr="00387AE5">
        <w:trPr>
          <w:trHeight w:val="141"/>
        </w:trPr>
        <w:tc>
          <w:tcPr>
            <w:tcW w:w="2444" w:type="dxa"/>
            <w:tcBorders>
              <w:top w:val="nil"/>
              <w:left w:val="nil"/>
              <w:bottom w:val="single" w:sz="8" w:space="0" w:color="auto"/>
              <w:right w:val="single" w:sz="4" w:space="0" w:color="auto"/>
            </w:tcBorders>
            <w:shd w:val="clear" w:color="auto" w:fill="auto"/>
            <w:noWrap/>
            <w:vAlign w:val="center"/>
          </w:tcPr>
          <w:p w14:paraId="3CEE4444" w14:textId="77777777" w:rsidR="00BD53AF" w:rsidRPr="00930D3B" w:rsidRDefault="00BD53AF" w:rsidP="00387AE5">
            <w:pPr>
              <w:jc w:val="center"/>
              <w:rPr>
                <w:rFonts w:cs="Times New Roman"/>
                <w:color w:val="000000"/>
                <w:sz w:val="20"/>
                <w:szCs w:val="20"/>
              </w:rPr>
            </w:pPr>
          </w:p>
        </w:tc>
        <w:tc>
          <w:tcPr>
            <w:tcW w:w="855" w:type="dxa"/>
            <w:tcBorders>
              <w:top w:val="nil"/>
              <w:left w:val="single" w:sz="4" w:space="0" w:color="auto"/>
              <w:bottom w:val="single" w:sz="4" w:space="0" w:color="auto"/>
              <w:right w:val="single" w:sz="4" w:space="0" w:color="auto"/>
            </w:tcBorders>
            <w:shd w:val="clear" w:color="auto" w:fill="FFFFFF" w:themeFill="background1"/>
            <w:vAlign w:val="center"/>
          </w:tcPr>
          <w:p w14:paraId="1BBDC8CF" w14:textId="77777777" w:rsidR="00BD53AF" w:rsidRPr="00930D3B" w:rsidRDefault="00BD53AF" w:rsidP="00387AE5">
            <w:pPr>
              <w:jc w:val="center"/>
              <w:rPr>
                <w:rFonts w:cs="Times New Roman"/>
                <w:b/>
                <w:bCs/>
                <w:color w:val="000000"/>
                <w:sz w:val="18"/>
                <w:szCs w:val="18"/>
              </w:rPr>
            </w:pPr>
            <w:r>
              <w:rPr>
                <w:rFonts w:cs="Times New Roman"/>
                <w:b/>
                <w:bCs/>
                <w:color w:val="000000"/>
                <w:sz w:val="18"/>
                <w:szCs w:val="18"/>
              </w:rPr>
              <w:t>2010S</w:t>
            </w:r>
          </w:p>
        </w:tc>
        <w:tc>
          <w:tcPr>
            <w:tcW w:w="855" w:type="dxa"/>
            <w:tcBorders>
              <w:top w:val="nil"/>
              <w:left w:val="single" w:sz="4" w:space="0" w:color="auto"/>
              <w:bottom w:val="single" w:sz="4" w:space="0" w:color="auto"/>
              <w:right w:val="nil"/>
            </w:tcBorders>
            <w:shd w:val="clear" w:color="auto" w:fill="auto"/>
            <w:vAlign w:val="center"/>
          </w:tcPr>
          <w:p w14:paraId="5ACD7A73" w14:textId="77777777" w:rsidR="00BD53AF" w:rsidRPr="00930D3B" w:rsidRDefault="00BD53AF" w:rsidP="00387AE5">
            <w:pPr>
              <w:jc w:val="center"/>
              <w:rPr>
                <w:rFonts w:cs="Times New Roman"/>
                <w:b/>
                <w:bCs/>
                <w:color w:val="000000"/>
                <w:sz w:val="18"/>
                <w:szCs w:val="18"/>
              </w:rPr>
            </w:pPr>
            <w:r w:rsidRPr="00930D3B">
              <w:rPr>
                <w:rFonts w:cs="Times New Roman"/>
                <w:b/>
                <w:bCs/>
                <w:color w:val="000000"/>
                <w:sz w:val="18"/>
                <w:szCs w:val="18"/>
              </w:rPr>
              <w:t>2017</w:t>
            </w:r>
            <w:r>
              <w:rPr>
                <w:rFonts w:cs="Times New Roman"/>
                <w:b/>
                <w:bCs/>
                <w:color w:val="000000"/>
                <w:sz w:val="18"/>
                <w:szCs w:val="18"/>
              </w:rPr>
              <w:t>S</w:t>
            </w:r>
          </w:p>
        </w:tc>
        <w:tc>
          <w:tcPr>
            <w:tcW w:w="983" w:type="dxa"/>
            <w:tcBorders>
              <w:top w:val="nil"/>
              <w:left w:val="nil"/>
              <w:bottom w:val="single" w:sz="4" w:space="0" w:color="auto"/>
              <w:right w:val="nil"/>
            </w:tcBorders>
            <w:shd w:val="clear" w:color="auto" w:fill="auto"/>
            <w:vAlign w:val="center"/>
          </w:tcPr>
          <w:p w14:paraId="17DF7209" w14:textId="77777777" w:rsidR="00BD53AF" w:rsidRPr="00930D3B" w:rsidRDefault="00BD53AF" w:rsidP="00387AE5">
            <w:pPr>
              <w:jc w:val="center"/>
              <w:rPr>
                <w:rFonts w:cs="Times New Roman"/>
                <w:b/>
                <w:bCs/>
                <w:color w:val="000000"/>
                <w:sz w:val="18"/>
                <w:szCs w:val="18"/>
              </w:rPr>
            </w:pPr>
            <w:r w:rsidRPr="00930D3B">
              <w:rPr>
                <w:rFonts w:cs="Times New Roman"/>
                <w:b/>
                <w:bCs/>
                <w:color w:val="000000"/>
                <w:sz w:val="18"/>
                <w:szCs w:val="18"/>
              </w:rPr>
              <w:t>2018</w:t>
            </w:r>
            <w:r>
              <w:rPr>
                <w:rFonts w:cs="Times New Roman"/>
                <w:b/>
                <w:bCs/>
                <w:color w:val="000000"/>
                <w:sz w:val="18"/>
                <w:szCs w:val="18"/>
              </w:rPr>
              <w:t>S</w:t>
            </w:r>
          </w:p>
        </w:tc>
        <w:tc>
          <w:tcPr>
            <w:tcW w:w="984" w:type="dxa"/>
            <w:tcBorders>
              <w:top w:val="nil"/>
              <w:left w:val="nil"/>
              <w:bottom w:val="single" w:sz="4" w:space="0" w:color="auto"/>
              <w:right w:val="nil"/>
            </w:tcBorders>
            <w:shd w:val="clear" w:color="auto" w:fill="auto"/>
            <w:vAlign w:val="center"/>
          </w:tcPr>
          <w:p w14:paraId="72267817" w14:textId="77777777" w:rsidR="00BD53AF" w:rsidRPr="00930D3B" w:rsidRDefault="00BD53AF" w:rsidP="00387AE5">
            <w:pPr>
              <w:jc w:val="center"/>
              <w:rPr>
                <w:rFonts w:cs="Times New Roman"/>
                <w:b/>
                <w:bCs/>
                <w:color w:val="000000"/>
                <w:sz w:val="18"/>
                <w:szCs w:val="18"/>
              </w:rPr>
            </w:pPr>
            <w:r w:rsidRPr="00930D3B">
              <w:rPr>
                <w:rFonts w:cs="Times New Roman"/>
                <w:b/>
                <w:bCs/>
                <w:color w:val="000000"/>
                <w:sz w:val="18"/>
                <w:szCs w:val="18"/>
              </w:rPr>
              <w:t>2019OS</w:t>
            </w:r>
          </w:p>
        </w:tc>
        <w:tc>
          <w:tcPr>
            <w:tcW w:w="983" w:type="dxa"/>
            <w:tcBorders>
              <w:top w:val="nil"/>
              <w:left w:val="nil"/>
              <w:bottom w:val="single" w:sz="4" w:space="0" w:color="auto"/>
              <w:right w:val="nil"/>
            </w:tcBorders>
            <w:shd w:val="clear" w:color="auto" w:fill="auto"/>
            <w:vAlign w:val="center"/>
          </w:tcPr>
          <w:p w14:paraId="48DA0CBB" w14:textId="77777777" w:rsidR="00BD53AF" w:rsidRPr="00930D3B" w:rsidRDefault="00BD53AF" w:rsidP="00387AE5">
            <w:pPr>
              <w:jc w:val="center"/>
              <w:rPr>
                <w:rFonts w:cs="Times New Roman"/>
                <w:b/>
                <w:bCs/>
                <w:color w:val="000000"/>
                <w:sz w:val="18"/>
                <w:szCs w:val="18"/>
              </w:rPr>
            </w:pPr>
            <w:r w:rsidRPr="00930D3B">
              <w:rPr>
                <w:rFonts w:cs="Times New Roman"/>
                <w:b/>
                <w:bCs/>
                <w:color w:val="000000"/>
                <w:sz w:val="18"/>
                <w:szCs w:val="18"/>
              </w:rPr>
              <w:t>2020</w:t>
            </w:r>
            <w:r>
              <w:rPr>
                <w:rFonts w:cs="Times New Roman"/>
                <w:b/>
                <w:bCs/>
                <w:color w:val="000000"/>
                <w:sz w:val="18"/>
                <w:szCs w:val="18"/>
              </w:rPr>
              <w:t>PS</w:t>
            </w:r>
          </w:p>
        </w:tc>
        <w:tc>
          <w:tcPr>
            <w:tcW w:w="984" w:type="dxa"/>
            <w:gridSpan w:val="2"/>
            <w:tcBorders>
              <w:top w:val="single" w:sz="4" w:space="0" w:color="auto"/>
              <w:left w:val="nil"/>
              <w:bottom w:val="single" w:sz="4" w:space="0" w:color="auto"/>
              <w:right w:val="nil"/>
            </w:tcBorders>
            <w:shd w:val="clear" w:color="auto" w:fill="auto"/>
            <w:vAlign w:val="center"/>
          </w:tcPr>
          <w:p w14:paraId="70273DDE" w14:textId="77777777" w:rsidR="00BD53AF" w:rsidRPr="00930D3B" w:rsidRDefault="00BD53AF" w:rsidP="00387AE5">
            <w:pPr>
              <w:jc w:val="center"/>
              <w:rPr>
                <w:rFonts w:cs="Times New Roman"/>
                <w:b/>
                <w:bCs/>
                <w:color w:val="000000"/>
                <w:sz w:val="18"/>
                <w:szCs w:val="18"/>
              </w:rPr>
            </w:pPr>
            <w:r w:rsidRPr="00930D3B">
              <w:rPr>
                <w:rFonts w:cs="Times New Roman"/>
                <w:b/>
                <w:bCs/>
                <w:color w:val="000000"/>
                <w:sz w:val="18"/>
                <w:szCs w:val="18"/>
              </w:rPr>
              <w:t>2021</w:t>
            </w:r>
            <w:r>
              <w:rPr>
                <w:rFonts w:cs="Times New Roman"/>
                <w:b/>
                <w:bCs/>
                <w:color w:val="000000"/>
                <w:sz w:val="18"/>
                <w:szCs w:val="18"/>
              </w:rPr>
              <w:t>PS</w:t>
            </w:r>
          </w:p>
        </w:tc>
        <w:tc>
          <w:tcPr>
            <w:tcW w:w="984" w:type="dxa"/>
            <w:tcBorders>
              <w:top w:val="single" w:sz="4" w:space="0" w:color="auto"/>
              <w:left w:val="nil"/>
              <w:bottom w:val="single" w:sz="4" w:space="0" w:color="auto"/>
              <w:right w:val="nil"/>
            </w:tcBorders>
            <w:shd w:val="clear" w:color="auto" w:fill="auto"/>
            <w:vAlign w:val="center"/>
          </w:tcPr>
          <w:p w14:paraId="2C7D68FB" w14:textId="77777777" w:rsidR="00BD53AF" w:rsidRPr="00930D3B" w:rsidRDefault="00BD53AF" w:rsidP="00387AE5">
            <w:pPr>
              <w:jc w:val="center"/>
              <w:rPr>
                <w:rFonts w:cs="Times New Roman"/>
                <w:b/>
                <w:bCs/>
                <w:color w:val="000000"/>
                <w:sz w:val="18"/>
                <w:szCs w:val="18"/>
              </w:rPr>
            </w:pPr>
            <w:r w:rsidRPr="00930D3B">
              <w:rPr>
                <w:rFonts w:cs="Times New Roman"/>
                <w:b/>
                <w:bCs/>
                <w:color w:val="000000"/>
                <w:sz w:val="18"/>
                <w:szCs w:val="18"/>
              </w:rPr>
              <w:t>2022</w:t>
            </w:r>
            <w:r>
              <w:rPr>
                <w:rFonts w:cs="Times New Roman"/>
                <w:b/>
                <w:bCs/>
                <w:color w:val="000000"/>
                <w:sz w:val="18"/>
                <w:szCs w:val="18"/>
              </w:rPr>
              <w:t>PS</w:t>
            </w:r>
          </w:p>
        </w:tc>
      </w:tr>
      <w:tr w:rsidR="00BD53AF" w:rsidRPr="0019108B" w14:paraId="0E7946CE" w14:textId="77777777" w:rsidTr="00387AE5">
        <w:trPr>
          <w:trHeight w:val="141"/>
        </w:trPr>
        <w:tc>
          <w:tcPr>
            <w:tcW w:w="2444" w:type="dxa"/>
            <w:tcBorders>
              <w:top w:val="nil"/>
              <w:left w:val="nil"/>
              <w:bottom w:val="nil"/>
              <w:right w:val="single" w:sz="4" w:space="0" w:color="auto"/>
            </w:tcBorders>
            <w:shd w:val="clear" w:color="auto" w:fill="auto"/>
            <w:vAlign w:val="center"/>
            <w:hideMark/>
          </w:tcPr>
          <w:p w14:paraId="16349BE4" w14:textId="77777777" w:rsidR="00BD53AF" w:rsidRPr="0019108B" w:rsidRDefault="00BD53AF" w:rsidP="00387AE5">
            <w:pPr>
              <w:rPr>
                <w:rFonts w:cs="Times New Roman"/>
                <w:b/>
                <w:bCs/>
                <w:color w:val="000000"/>
                <w:sz w:val="18"/>
                <w:szCs w:val="18"/>
              </w:rPr>
            </w:pPr>
            <w:r w:rsidRPr="0019108B">
              <w:rPr>
                <w:rFonts w:cs="Times New Roman"/>
                <w:b/>
                <w:bCs/>
                <w:color w:val="000000"/>
                <w:sz w:val="18"/>
                <w:szCs w:val="18"/>
              </w:rPr>
              <w:t>1. Saldo verejnej správy</w:t>
            </w:r>
          </w:p>
        </w:tc>
        <w:tc>
          <w:tcPr>
            <w:tcW w:w="855" w:type="dxa"/>
            <w:tcBorders>
              <w:top w:val="single" w:sz="4" w:space="0" w:color="auto"/>
              <w:left w:val="single" w:sz="4" w:space="0" w:color="auto"/>
              <w:bottom w:val="nil"/>
              <w:right w:val="single" w:sz="4" w:space="0" w:color="auto"/>
            </w:tcBorders>
            <w:shd w:val="clear" w:color="auto" w:fill="FFFFFF" w:themeFill="background1"/>
            <w:vAlign w:val="bottom"/>
          </w:tcPr>
          <w:p w14:paraId="7B4D2775" w14:textId="77777777" w:rsidR="00BD53AF" w:rsidRPr="0019108B" w:rsidRDefault="00BD53AF" w:rsidP="00387AE5">
            <w:pPr>
              <w:jc w:val="center"/>
              <w:rPr>
                <w:b/>
                <w:bCs/>
                <w:color w:val="000000"/>
                <w:sz w:val="20"/>
                <w:szCs w:val="20"/>
                <w:lang w:val="en-US"/>
              </w:rPr>
            </w:pPr>
            <w:r w:rsidRPr="0019108B">
              <w:rPr>
                <w:b/>
                <w:bCs/>
                <w:color w:val="000000"/>
                <w:sz w:val="20"/>
                <w:szCs w:val="20"/>
                <w:lang w:val="en-US"/>
              </w:rPr>
              <w:t>-7,8</w:t>
            </w:r>
          </w:p>
        </w:tc>
        <w:tc>
          <w:tcPr>
            <w:tcW w:w="855" w:type="dxa"/>
            <w:tcBorders>
              <w:top w:val="single" w:sz="4" w:space="0" w:color="auto"/>
              <w:left w:val="single" w:sz="4" w:space="0" w:color="auto"/>
              <w:bottom w:val="nil"/>
            </w:tcBorders>
            <w:shd w:val="clear" w:color="auto" w:fill="auto"/>
            <w:vAlign w:val="bottom"/>
          </w:tcPr>
          <w:p w14:paraId="59EFA518"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-0,8</w:t>
            </w:r>
          </w:p>
        </w:tc>
        <w:tc>
          <w:tcPr>
            <w:tcW w:w="983" w:type="dxa"/>
            <w:tcBorders>
              <w:top w:val="single" w:sz="4" w:space="0" w:color="auto"/>
              <w:bottom w:val="nil"/>
            </w:tcBorders>
            <w:shd w:val="clear" w:color="auto" w:fill="auto"/>
            <w:noWrap/>
            <w:vAlign w:val="bottom"/>
            <w:hideMark/>
          </w:tcPr>
          <w:p w14:paraId="599D71A5"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-0,7</w:t>
            </w:r>
          </w:p>
        </w:tc>
        <w:tc>
          <w:tcPr>
            <w:tcW w:w="984" w:type="dxa"/>
            <w:tcBorders>
              <w:top w:val="single" w:sz="4" w:space="0" w:color="auto"/>
              <w:bottom w:val="nil"/>
            </w:tcBorders>
            <w:shd w:val="clear" w:color="auto" w:fill="auto"/>
            <w:noWrap/>
            <w:vAlign w:val="bottom"/>
            <w:hideMark/>
          </w:tcPr>
          <w:p w14:paraId="081D9E50"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0,0</w:t>
            </w:r>
          </w:p>
        </w:tc>
        <w:tc>
          <w:tcPr>
            <w:tcW w:w="983" w:type="dxa"/>
            <w:tcBorders>
              <w:top w:val="single" w:sz="4" w:space="0" w:color="auto"/>
              <w:bottom w:val="nil"/>
            </w:tcBorders>
            <w:shd w:val="clear" w:color="auto" w:fill="auto"/>
            <w:noWrap/>
            <w:vAlign w:val="bottom"/>
            <w:hideMark/>
          </w:tcPr>
          <w:p w14:paraId="734F0E98"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0,0</w:t>
            </w:r>
          </w:p>
        </w:tc>
        <w:tc>
          <w:tcPr>
            <w:tcW w:w="984" w:type="dxa"/>
            <w:gridSpan w:val="2"/>
            <w:tcBorders>
              <w:top w:val="single" w:sz="4" w:space="0" w:color="auto"/>
              <w:bottom w:val="nil"/>
            </w:tcBorders>
            <w:shd w:val="clear" w:color="auto" w:fill="auto"/>
            <w:noWrap/>
            <w:vAlign w:val="bottom"/>
            <w:hideMark/>
          </w:tcPr>
          <w:p w14:paraId="3AEFCB84"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0,0</w:t>
            </w:r>
          </w:p>
        </w:tc>
        <w:tc>
          <w:tcPr>
            <w:tcW w:w="984" w:type="dxa"/>
            <w:tcBorders>
              <w:top w:val="single" w:sz="4" w:space="0" w:color="auto"/>
              <w:bottom w:val="nil"/>
              <w:right w:val="nil"/>
            </w:tcBorders>
            <w:shd w:val="clear" w:color="auto" w:fill="auto"/>
            <w:noWrap/>
            <w:vAlign w:val="bottom"/>
            <w:hideMark/>
          </w:tcPr>
          <w:p w14:paraId="1C5F48D1"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0,0</w:t>
            </w:r>
          </w:p>
        </w:tc>
      </w:tr>
      <w:tr w:rsidR="00BD53AF" w:rsidRPr="00930D3B" w14:paraId="5C6C6991" w14:textId="77777777" w:rsidTr="00387AE5">
        <w:trPr>
          <w:trHeight w:val="141"/>
        </w:trPr>
        <w:tc>
          <w:tcPr>
            <w:tcW w:w="2444" w:type="dxa"/>
            <w:tcBorders>
              <w:top w:val="nil"/>
              <w:left w:val="nil"/>
              <w:bottom w:val="nil"/>
              <w:right w:val="single" w:sz="4" w:space="0" w:color="auto"/>
            </w:tcBorders>
            <w:shd w:val="clear" w:color="auto" w:fill="auto"/>
            <w:vAlign w:val="center"/>
            <w:hideMark/>
          </w:tcPr>
          <w:p w14:paraId="5D9E0E3F" w14:textId="77777777" w:rsidR="00BD53AF" w:rsidRPr="0019108B" w:rsidRDefault="00BD53AF" w:rsidP="00387AE5">
            <w:pPr>
              <w:rPr>
                <w:rFonts w:cs="Times New Roman"/>
                <w:color w:val="000000"/>
                <w:sz w:val="18"/>
                <w:szCs w:val="18"/>
              </w:rPr>
            </w:pPr>
            <w:r w:rsidRPr="0019108B">
              <w:rPr>
                <w:rFonts w:cs="Times New Roman"/>
                <w:color w:val="000000"/>
                <w:sz w:val="18"/>
                <w:szCs w:val="18"/>
              </w:rPr>
              <w:t>2. Cyklická zložka</w:t>
            </w:r>
          </w:p>
        </w:tc>
        <w:tc>
          <w:tcPr>
            <w:tcW w:w="855" w:type="dxa"/>
            <w:tcBorders>
              <w:top w:val="nil"/>
              <w:left w:val="single" w:sz="4" w:space="0" w:color="auto"/>
              <w:bottom w:val="nil"/>
              <w:right w:val="single" w:sz="4" w:space="0" w:color="auto"/>
            </w:tcBorders>
            <w:shd w:val="clear" w:color="auto" w:fill="FFFFFF" w:themeFill="background1"/>
            <w:vAlign w:val="bottom"/>
          </w:tcPr>
          <w:p w14:paraId="139576AF" w14:textId="77777777" w:rsidR="00BD53AF" w:rsidRPr="0019108B" w:rsidRDefault="00BD53AF" w:rsidP="00387AE5">
            <w:pPr>
              <w:jc w:val="center"/>
              <w:rPr>
                <w:color w:val="000000"/>
                <w:sz w:val="20"/>
                <w:szCs w:val="20"/>
              </w:rPr>
            </w:pPr>
            <w:r w:rsidRPr="0019108B">
              <w:rPr>
                <w:color w:val="000000"/>
                <w:sz w:val="20"/>
                <w:szCs w:val="20"/>
              </w:rPr>
              <w:t>-0,2</w:t>
            </w:r>
          </w:p>
        </w:tc>
        <w:tc>
          <w:tcPr>
            <w:tcW w:w="855" w:type="dxa"/>
            <w:tcBorders>
              <w:top w:val="nil"/>
              <w:left w:val="single" w:sz="4" w:space="0" w:color="auto"/>
              <w:bottom w:val="nil"/>
            </w:tcBorders>
            <w:shd w:val="clear" w:color="auto" w:fill="auto"/>
            <w:vAlign w:val="bottom"/>
          </w:tcPr>
          <w:p w14:paraId="67F6CB59"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c>
          <w:tcPr>
            <w:tcW w:w="983" w:type="dxa"/>
            <w:tcBorders>
              <w:top w:val="nil"/>
              <w:bottom w:val="nil"/>
            </w:tcBorders>
            <w:shd w:val="clear" w:color="auto" w:fill="auto"/>
            <w:noWrap/>
            <w:vAlign w:val="bottom"/>
            <w:hideMark/>
          </w:tcPr>
          <w:p w14:paraId="01E402E2" w14:textId="77777777" w:rsidR="00BD53AF" w:rsidRPr="0019108B" w:rsidRDefault="00BD53AF" w:rsidP="00387AE5">
            <w:pPr>
              <w:jc w:val="center"/>
              <w:rPr>
                <w:rFonts w:cs="Times New Roman"/>
                <w:color w:val="000000"/>
                <w:sz w:val="20"/>
                <w:szCs w:val="20"/>
              </w:rPr>
            </w:pPr>
            <w:r w:rsidRPr="0019108B">
              <w:rPr>
                <w:color w:val="000000"/>
                <w:sz w:val="20"/>
                <w:szCs w:val="20"/>
              </w:rPr>
              <w:t>0,3</w:t>
            </w:r>
          </w:p>
        </w:tc>
        <w:tc>
          <w:tcPr>
            <w:tcW w:w="984" w:type="dxa"/>
            <w:tcBorders>
              <w:top w:val="nil"/>
              <w:bottom w:val="nil"/>
            </w:tcBorders>
            <w:shd w:val="clear" w:color="auto" w:fill="auto"/>
            <w:noWrap/>
            <w:vAlign w:val="bottom"/>
            <w:hideMark/>
          </w:tcPr>
          <w:p w14:paraId="234F3AA5" w14:textId="77777777" w:rsidR="00BD53AF" w:rsidRPr="0019108B" w:rsidRDefault="00BD53AF" w:rsidP="00387AE5">
            <w:pPr>
              <w:jc w:val="center"/>
              <w:rPr>
                <w:rFonts w:cs="Times New Roman"/>
                <w:color w:val="000000"/>
                <w:sz w:val="20"/>
                <w:szCs w:val="20"/>
              </w:rPr>
            </w:pPr>
            <w:r w:rsidRPr="0019108B">
              <w:rPr>
                <w:color w:val="000000"/>
                <w:sz w:val="20"/>
                <w:szCs w:val="20"/>
              </w:rPr>
              <w:t>0,4</w:t>
            </w:r>
          </w:p>
        </w:tc>
        <w:tc>
          <w:tcPr>
            <w:tcW w:w="983" w:type="dxa"/>
            <w:tcBorders>
              <w:top w:val="nil"/>
              <w:bottom w:val="nil"/>
            </w:tcBorders>
            <w:shd w:val="clear" w:color="auto" w:fill="auto"/>
            <w:noWrap/>
            <w:vAlign w:val="bottom"/>
            <w:hideMark/>
          </w:tcPr>
          <w:p w14:paraId="31899BAB" w14:textId="77777777" w:rsidR="00BD53AF" w:rsidRPr="0019108B" w:rsidRDefault="00BD53AF" w:rsidP="00387AE5">
            <w:pPr>
              <w:jc w:val="center"/>
              <w:rPr>
                <w:rFonts w:cs="Times New Roman"/>
                <w:color w:val="000000"/>
                <w:sz w:val="20"/>
                <w:szCs w:val="20"/>
              </w:rPr>
            </w:pPr>
            <w:r w:rsidRPr="0019108B">
              <w:rPr>
                <w:color w:val="000000"/>
                <w:sz w:val="20"/>
                <w:szCs w:val="20"/>
              </w:rPr>
              <w:t>0,4</w:t>
            </w:r>
          </w:p>
        </w:tc>
        <w:tc>
          <w:tcPr>
            <w:tcW w:w="984" w:type="dxa"/>
            <w:gridSpan w:val="2"/>
            <w:tcBorders>
              <w:top w:val="nil"/>
              <w:bottom w:val="nil"/>
            </w:tcBorders>
            <w:shd w:val="clear" w:color="auto" w:fill="auto"/>
            <w:noWrap/>
            <w:vAlign w:val="bottom"/>
            <w:hideMark/>
          </w:tcPr>
          <w:p w14:paraId="0725C3CB" w14:textId="77777777" w:rsidR="00BD53AF" w:rsidRPr="0019108B" w:rsidRDefault="00BD53AF" w:rsidP="00387AE5">
            <w:pPr>
              <w:jc w:val="center"/>
              <w:rPr>
                <w:rFonts w:cs="Times New Roman"/>
                <w:color w:val="000000"/>
                <w:sz w:val="20"/>
                <w:szCs w:val="20"/>
              </w:rPr>
            </w:pPr>
            <w:r w:rsidRPr="0019108B">
              <w:rPr>
                <w:color w:val="000000"/>
                <w:sz w:val="20"/>
                <w:szCs w:val="20"/>
              </w:rPr>
              <w:t>0,4</w:t>
            </w:r>
          </w:p>
        </w:tc>
        <w:tc>
          <w:tcPr>
            <w:tcW w:w="984" w:type="dxa"/>
            <w:tcBorders>
              <w:top w:val="nil"/>
              <w:bottom w:val="nil"/>
              <w:right w:val="nil"/>
            </w:tcBorders>
            <w:shd w:val="clear" w:color="auto" w:fill="auto"/>
            <w:noWrap/>
            <w:vAlign w:val="bottom"/>
            <w:hideMark/>
          </w:tcPr>
          <w:p w14:paraId="4ED4FFF6" w14:textId="77777777" w:rsidR="00BD53AF" w:rsidRPr="00930D3B" w:rsidRDefault="00BD53AF" w:rsidP="00387AE5">
            <w:pPr>
              <w:jc w:val="center"/>
              <w:rPr>
                <w:rFonts w:cs="Times New Roman"/>
                <w:color w:val="000000"/>
                <w:sz w:val="20"/>
                <w:szCs w:val="20"/>
              </w:rPr>
            </w:pPr>
            <w:r w:rsidRPr="0019108B">
              <w:rPr>
                <w:color w:val="000000"/>
                <w:sz w:val="20"/>
                <w:szCs w:val="20"/>
              </w:rPr>
              <w:t>0,2</w:t>
            </w:r>
          </w:p>
        </w:tc>
      </w:tr>
      <w:tr w:rsidR="00BD53AF" w:rsidRPr="0019108B" w14:paraId="309F9604" w14:textId="77777777" w:rsidTr="00387AE5">
        <w:trPr>
          <w:trHeight w:val="141"/>
        </w:trPr>
        <w:tc>
          <w:tcPr>
            <w:tcW w:w="2444" w:type="dxa"/>
            <w:tcBorders>
              <w:top w:val="nil"/>
              <w:left w:val="nil"/>
              <w:bottom w:val="nil"/>
              <w:right w:val="single" w:sz="4" w:space="0" w:color="auto"/>
            </w:tcBorders>
            <w:shd w:val="clear" w:color="auto" w:fill="auto"/>
            <w:vAlign w:val="center"/>
            <w:hideMark/>
          </w:tcPr>
          <w:p w14:paraId="461ABA6A" w14:textId="77777777" w:rsidR="00BD53AF" w:rsidRPr="0019108B" w:rsidRDefault="00BD53AF" w:rsidP="00387AE5">
            <w:pPr>
              <w:rPr>
                <w:rFonts w:cs="Times New Roman"/>
                <w:color w:val="000000"/>
                <w:sz w:val="18"/>
                <w:szCs w:val="18"/>
              </w:rPr>
            </w:pPr>
            <w:r w:rsidRPr="0019108B">
              <w:rPr>
                <w:rFonts w:cs="Times New Roman"/>
                <w:color w:val="000000"/>
                <w:sz w:val="18"/>
                <w:szCs w:val="18"/>
              </w:rPr>
              <w:t>3. Jednorazové efekty</w:t>
            </w:r>
          </w:p>
        </w:tc>
        <w:tc>
          <w:tcPr>
            <w:tcW w:w="855" w:type="dxa"/>
            <w:tcBorders>
              <w:top w:val="nil"/>
              <w:left w:val="single" w:sz="4" w:space="0" w:color="auto"/>
              <w:right w:val="single" w:sz="4" w:space="0" w:color="auto"/>
            </w:tcBorders>
            <w:shd w:val="clear" w:color="auto" w:fill="FFFFFF" w:themeFill="background1"/>
            <w:vAlign w:val="bottom"/>
          </w:tcPr>
          <w:p w14:paraId="0A6E4D14" w14:textId="77777777" w:rsidR="00BD53AF" w:rsidRPr="0019108B" w:rsidRDefault="00BD53AF" w:rsidP="00387AE5">
            <w:pPr>
              <w:jc w:val="center"/>
              <w:rPr>
                <w:color w:val="000000"/>
                <w:sz w:val="20"/>
                <w:szCs w:val="20"/>
              </w:rPr>
            </w:pPr>
            <w:r w:rsidRPr="0019108B">
              <w:rPr>
                <w:color w:val="000000"/>
                <w:sz w:val="20"/>
                <w:szCs w:val="20"/>
              </w:rPr>
              <w:t>-0,6</w:t>
            </w:r>
          </w:p>
        </w:tc>
        <w:tc>
          <w:tcPr>
            <w:tcW w:w="855" w:type="dxa"/>
            <w:tcBorders>
              <w:top w:val="nil"/>
              <w:left w:val="single" w:sz="4" w:space="0" w:color="auto"/>
            </w:tcBorders>
            <w:shd w:val="clear" w:color="auto" w:fill="auto"/>
            <w:vAlign w:val="bottom"/>
          </w:tcPr>
          <w:p w14:paraId="448FA034"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c>
          <w:tcPr>
            <w:tcW w:w="983" w:type="dxa"/>
            <w:tcBorders>
              <w:top w:val="nil"/>
            </w:tcBorders>
            <w:shd w:val="clear" w:color="auto" w:fill="auto"/>
            <w:noWrap/>
            <w:vAlign w:val="bottom"/>
            <w:hideMark/>
          </w:tcPr>
          <w:p w14:paraId="5501BD9C"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c>
          <w:tcPr>
            <w:tcW w:w="984" w:type="dxa"/>
            <w:tcBorders>
              <w:top w:val="nil"/>
            </w:tcBorders>
            <w:shd w:val="clear" w:color="auto" w:fill="auto"/>
            <w:noWrap/>
            <w:vAlign w:val="bottom"/>
            <w:hideMark/>
          </w:tcPr>
          <w:p w14:paraId="3ED3F7E4"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c>
          <w:tcPr>
            <w:tcW w:w="983" w:type="dxa"/>
            <w:tcBorders>
              <w:top w:val="nil"/>
            </w:tcBorders>
            <w:shd w:val="clear" w:color="auto" w:fill="auto"/>
            <w:noWrap/>
            <w:vAlign w:val="bottom"/>
            <w:hideMark/>
          </w:tcPr>
          <w:p w14:paraId="64D9C715"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c>
          <w:tcPr>
            <w:tcW w:w="984" w:type="dxa"/>
            <w:gridSpan w:val="2"/>
            <w:tcBorders>
              <w:top w:val="nil"/>
            </w:tcBorders>
            <w:shd w:val="clear" w:color="auto" w:fill="auto"/>
            <w:noWrap/>
            <w:vAlign w:val="bottom"/>
            <w:hideMark/>
          </w:tcPr>
          <w:p w14:paraId="11B767FE"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c>
          <w:tcPr>
            <w:tcW w:w="984" w:type="dxa"/>
            <w:tcBorders>
              <w:top w:val="nil"/>
              <w:right w:val="nil"/>
            </w:tcBorders>
            <w:shd w:val="clear" w:color="auto" w:fill="auto"/>
            <w:noWrap/>
            <w:vAlign w:val="bottom"/>
            <w:hideMark/>
          </w:tcPr>
          <w:p w14:paraId="441D3C50" w14:textId="77777777" w:rsidR="00BD53AF" w:rsidRPr="0019108B" w:rsidRDefault="00BD53AF" w:rsidP="00387AE5">
            <w:pPr>
              <w:jc w:val="center"/>
              <w:rPr>
                <w:rFonts w:cs="Times New Roman"/>
                <w:color w:val="000000"/>
                <w:sz w:val="20"/>
                <w:szCs w:val="20"/>
              </w:rPr>
            </w:pPr>
            <w:r w:rsidRPr="0019108B">
              <w:rPr>
                <w:color w:val="000000"/>
                <w:sz w:val="20"/>
                <w:szCs w:val="20"/>
              </w:rPr>
              <w:t>0,0</w:t>
            </w:r>
          </w:p>
        </w:tc>
      </w:tr>
      <w:tr w:rsidR="00BD53AF" w:rsidRPr="00930D3B" w14:paraId="345E65DB" w14:textId="77777777" w:rsidTr="00387AE5">
        <w:trPr>
          <w:trHeight w:val="141"/>
        </w:trPr>
        <w:tc>
          <w:tcPr>
            <w:tcW w:w="2444" w:type="dxa"/>
            <w:tcBorders>
              <w:top w:val="nil"/>
              <w:left w:val="nil"/>
              <w:bottom w:val="nil"/>
              <w:right w:val="single" w:sz="4" w:space="0" w:color="auto"/>
            </w:tcBorders>
            <w:shd w:val="clear" w:color="auto" w:fill="auto"/>
            <w:noWrap/>
            <w:vAlign w:val="center"/>
            <w:hideMark/>
          </w:tcPr>
          <w:p w14:paraId="754ADFD5" w14:textId="77777777" w:rsidR="00BD53AF" w:rsidRPr="0019108B" w:rsidRDefault="00BD53AF" w:rsidP="00387AE5">
            <w:pPr>
              <w:rPr>
                <w:rFonts w:cs="Times New Roman"/>
                <w:b/>
                <w:bCs/>
                <w:color w:val="000000"/>
                <w:sz w:val="18"/>
                <w:szCs w:val="18"/>
              </w:rPr>
            </w:pPr>
            <w:r w:rsidRPr="0019108B">
              <w:rPr>
                <w:rFonts w:cs="Times New Roman"/>
                <w:b/>
                <w:bCs/>
                <w:color w:val="000000"/>
                <w:sz w:val="18"/>
                <w:szCs w:val="18"/>
              </w:rPr>
              <w:t>4. Štrukturálne saldo (1-2-3)</w:t>
            </w:r>
          </w:p>
        </w:tc>
        <w:tc>
          <w:tcPr>
            <w:tcW w:w="855" w:type="dxa"/>
            <w:tcBorders>
              <w:top w:val="nil"/>
              <w:left w:val="single" w:sz="4" w:space="0" w:color="auto"/>
              <w:bottom w:val="single" w:sz="4" w:space="0" w:color="auto"/>
              <w:right w:val="single" w:sz="4" w:space="0" w:color="auto"/>
            </w:tcBorders>
            <w:shd w:val="clear" w:color="auto" w:fill="FFFFFF" w:themeFill="background1"/>
            <w:vAlign w:val="bottom"/>
          </w:tcPr>
          <w:p w14:paraId="5479DA0D" w14:textId="77777777" w:rsidR="00BD53AF" w:rsidRPr="0019108B" w:rsidRDefault="00BD53AF" w:rsidP="00387AE5">
            <w:pPr>
              <w:jc w:val="center"/>
              <w:rPr>
                <w:b/>
                <w:bCs/>
                <w:color w:val="000000"/>
                <w:sz w:val="20"/>
                <w:szCs w:val="20"/>
              </w:rPr>
            </w:pPr>
            <w:r w:rsidRPr="0019108B">
              <w:rPr>
                <w:b/>
                <w:bCs/>
                <w:color w:val="000000"/>
                <w:sz w:val="20"/>
                <w:szCs w:val="20"/>
              </w:rPr>
              <w:t>-6,7</w:t>
            </w:r>
          </w:p>
        </w:tc>
        <w:tc>
          <w:tcPr>
            <w:tcW w:w="855" w:type="dxa"/>
            <w:tcBorders>
              <w:top w:val="nil"/>
              <w:left w:val="single" w:sz="4" w:space="0" w:color="auto"/>
              <w:bottom w:val="single" w:sz="4" w:space="0" w:color="auto"/>
            </w:tcBorders>
            <w:shd w:val="clear" w:color="auto" w:fill="auto"/>
            <w:vAlign w:val="bottom"/>
          </w:tcPr>
          <w:p w14:paraId="61AEFF4F"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-0,8</w:t>
            </w:r>
          </w:p>
        </w:tc>
        <w:tc>
          <w:tcPr>
            <w:tcW w:w="983" w:type="dxa"/>
            <w:tcBorders>
              <w:top w:val="nil"/>
              <w:bottom w:val="single" w:sz="4" w:space="0" w:color="auto"/>
            </w:tcBorders>
            <w:shd w:val="clear" w:color="auto" w:fill="auto"/>
            <w:noWrap/>
            <w:vAlign w:val="bottom"/>
            <w:hideMark/>
          </w:tcPr>
          <w:p w14:paraId="11856AB2"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-1,0</w:t>
            </w:r>
          </w:p>
        </w:tc>
        <w:tc>
          <w:tcPr>
            <w:tcW w:w="984" w:type="dxa"/>
            <w:tcBorders>
              <w:top w:val="nil"/>
              <w:bottom w:val="single" w:sz="4" w:space="0" w:color="auto"/>
            </w:tcBorders>
            <w:shd w:val="clear" w:color="auto" w:fill="auto"/>
            <w:noWrap/>
            <w:vAlign w:val="bottom"/>
            <w:hideMark/>
          </w:tcPr>
          <w:p w14:paraId="465ADED8"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-0,4</w:t>
            </w:r>
          </w:p>
        </w:tc>
        <w:tc>
          <w:tcPr>
            <w:tcW w:w="983" w:type="dxa"/>
            <w:tcBorders>
              <w:top w:val="nil"/>
              <w:bottom w:val="single" w:sz="4" w:space="0" w:color="auto"/>
            </w:tcBorders>
            <w:shd w:val="clear" w:color="auto" w:fill="auto"/>
            <w:noWrap/>
            <w:vAlign w:val="bottom"/>
            <w:hideMark/>
          </w:tcPr>
          <w:p w14:paraId="2723D671"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-0,4</w:t>
            </w:r>
          </w:p>
        </w:tc>
        <w:tc>
          <w:tcPr>
            <w:tcW w:w="984" w:type="dxa"/>
            <w:gridSpan w:val="2"/>
            <w:tcBorders>
              <w:top w:val="nil"/>
              <w:bottom w:val="single" w:sz="4" w:space="0" w:color="auto"/>
            </w:tcBorders>
            <w:shd w:val="clear" w:color="auto" w:fill="auto"/>
            <w:noWrap/>
            <w:vAlign w:val="bottom"/>
            <w:hideMark/>
          </w:tcPr>
          <w:p w14:paraId="24E67BF4" w14:textId="77777777" w:rsidR="00BD53AF" w:rsidRPr="0019108B" w:rsidRDefault="00BD53AF" w:rsidP="00387AE5">
            <w:pPr>
              <w:jc w:val="center"/>
              <w:rPr>
                <w:rFonts w:cs="Times New Roman"/>
                <w:b/>
                <w:bCs/>
                <w:color w:val="000000"/>
                <w:sz w:val="20"/>
                <w:szCs w:val="20"/>
              </w:rPr>
            </w:pPr>
            <w:r w:rsidRPr="0019108B">
              <w:rPr>
                <w:b/>
                <w:bCs/>
                <w:color w:val="000000"/>
                <w:sz w:val="20"/>
                <w:szCs w:val="20"/>
              </w:rPr>
              <w:t>-0,4</w:t>
            </w:r>
          </w:p>
        </w:tc>
        <w:tc>
          <w:tcPr>
            <w:tcW w:w="984" w:type="dxa"/>
            <w:tcBorders>
              <w:top w:val="nil"/>
              <w:bottom w:val="single" w:sz="4" w:space="0" w:color="auto"/>
              <w:right w:val="nil"/>
            </w:tcBorders>
            <w:shd w:val="clear" w:color="auto" w:fill="auto"/>
            <w:noWrap/>
            <w:vAlign w:val="bottom"/>
            <w:hideMark/>
          </w:tcPr>
          <w:p w14:paraId="392DFD62" w14:textId="77777777" w:rsidR="00BD53AF" w:rsidRPr="00930D3B" w:rsidRDefault="00BD53AF" w:rsidP="00387AE5">
            <w:pPr>
              <w:jc w:val="center"/>
              <w:rPr>
                <w:rFonts w:cs="Times New Roman"/>
                <w:b/>
                <w:bCs/>
                <w:color w:val="000000"/>
                <w:sz w:val="20"/>
                <w:szCs w:val="20"/>
              </w:rPr>
            </w:pPr>
            <w:r w:rsidRPr="0019108B">
              <w:rPr>
                <w:b/>
                <w:bCs/>
                <w:color w:val="000000"/>
                <w:sz w:val="20"/>
                <w:szCs w:val="20"/>
              </w:rPr>
              <w:t>-0,2</w:t>
            </w:r>
          </w:p>
        </w:tc>
      </w:tr>
      <w:tr w:rsidR="00BD53AF" w:rsidRPr="00930D3B" w14:paraId="348C1DFC" w14:textId="77777777" w:rsidTr="00387AE5">
        <w:trPr>
          <w:trHeight w:val="141"/>
        </w:trPr>
        <w:tc>
          <w:tcPr>
            <w:tcW w:w="2444" w:type="dxa"/>
            <w:tcBorders>
              <w:top w:val="single" w:sz="8" w:space="0" w:color="auto"/>
              <w:left w:val="nil"/>
              <w:bottom w:val="single" w:sz="8" w:space="0" w:color="auto"/>
              <w:right w:val="single" w:sz="4" w:space="0" w:color="auto"/>
            </w:tcBorders>
            <w:shd w:val="clear" w:color="auto" w:fill="auto"/>
            <w:noWrap/>
            <w:vAlign w:val="center"/>
            <w:hideMark/>
          </w:tcPr>
          <w:p w14:paraId="24764074" w14:textId="77777777" w:rsidR="00BD53AF" w:rsidRPr="00930D3B" w:rsidRDefault="00BD53AF" w:rsidP="00387AE5">
            <w:pPr>
              <w:rPr>
                <w:rFonts w:cs="Times New Roman"/>
                <w:b/>
                <w:bCs/>
                <w:color w:val="000000"/>
                <w:sz w:val="18"/>
                <w:szCs w:val="18"/>
              </w:rPr>
            </w:pPr>
            <w:r w:rsidRPr="00930D3B">
              <w:rPr>
                <w:rFonts w:cs="Times New Roman"/>
                <w:b/>
                <w:bCs/>
                <w:color w:val="000000"/>
                <w:sz w:val="18"/>
                <w:szCs w:val="18"/>
              </w:rPr>
              <w:t xml:space="preserve">5. Konsolidačné úsilie </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9356F7" w14:textId="77777777" w:rsidR="00BD53AF" w:rsidRPr="00930D3B" w:rsidRDefault="00BD53AF" w:rsidP="00387AE5">
            <w:pPr>
              <w:jc w:val="center"/>
              <w:rPr>
                <w:b/>
                <w:bCs/>
                <w:color w:val="000000"/>
                <w:sz w:val="20"/>
                <w:szCs w:val="20"/>
              </w:rPr>
            </w:pPr>
          </w:p>
        </w:tc>
        <w:tc>
          <w:tcPr>
            <w:tcW w:w="855" w:type="dxa"/>
            <w:tcBorders>
              <w:top w:val="single" w:sz="4" w:space="0" w:color="auto"/>
              <w:left w:val="single" w:sz="4" w:space="0" w:color="auto"/>
              <w:bottom w:val="single" w:sz="4" w:space="0" w:color="auto"/>
            </w:tcBorders>
            <w:shd w:val="clear" w:color="auto" w:fill="auto"/>
            <w:vAlign w:val="bottom"/>
          </w:tcPr>
          <w:p w14:paraId="1A7C1DBF" w14:textId="77777777" w:rsidR="00BD53AF" w:rsidRPr="00930D3B" w:rsidRDefault="00BD53AF" w:rsidP="00387AE5">
            <w:pPr>
              <w:jc w:val="center"/>
              <w:rPr>
                <w:rFonts w:cs="Times New Roman"/>
                <w:b/>
                <w:bCs/>
                <w:color w:val="000000"/>
                <w:sz w:val="20"/>
                <w:szCs w:val="20"/>
              </w:rPr>
            </w:pPr>
            <w:r w:rsidRPr="00930D3B">
              <w:rPr>
                <w:b/>
                <w:bCs/>
                <w:color w:val="000000"/>
                <w:sz w:val="20"/>
                <w:szCs w:val="20"/>
              </w:rPr>
              <w:t>1,3</w:t>
            </w:r>
          </w:p>
        </w:tc>
        <w:tc>
          <w:tcPr>
            <w:tcW w:w="983" w:type="dxa"/>
            <w:tcBorders>
              <w:top w:val="single" w:sz="4" w:space="0" w:color="auto"/>
              <w:bottom w:val="single" w:sz="4" w:space="0" w:color="auto"/>
            </w:tcBorders>
            <w:shd w:val="clear" w:color="auto" w:fill="auto"/>
            <w:noWrap/>
            <w:vAlign w:val="bottom"/>
            <w:hideMark/>
          </w:tcPr>
          <w:p w14:paraId="268DDDF6" w14:textId="6565AC47" w:rsidR="00BD53AF" w:rsidRPr="00930D3B" w:rsidRDefault="00BD53AF" w:rsidP="00307921">
            <w:pPr>
              <w:jc w:val="center"/>
              <w:rPr>
                <w:rFonts w:cs="Times New Roman"/>
                <w:b/>
                <w:bCs/>
                <w:color w:val="000000"/>
                <w:sz w:val="20"/>
                <w:szCs w:val="20"/>
              </w:rPr>
            </w:pPr>
            <w:r w:rsidRPr="00930D3B">
              <w:rPr>
                <w:b/>
                <w:bCs/>
                <w:color w:val="000000"/>
                <w:sz w:val="20"/>
                <w:szCs w:val="20"/>
              </w:rPr>
              <w:t>-0,</w:t>
            </w:r>
            <w:r w:rsidR="00307921">
              <w:rPr>
                <w:b/>
                <w:bCs/>
                <w:color w:val="000000"/>
                <w:sz w:val="20"/>
                <w:szCs w:val="20"/>
              </w:rPr>
              <w:t>2</w:t>
            </w:r>
          </w:p>
        </w:tc>
        <w:tc>
          <w:tcPr>
            <w:tcW w:w="984" w:type="dxa"/>
            <w:tcBorders>
              <w:top w:val="single" w:sz="4" w:space="0" w:color="auto"/>
              <w:bottom w:val="single" w:sz="4" w:space="0" w:color="auto"/>
            </w:tcBorders>
            <w:shd w:val="clear" w:color="auto" w:fill="auto"/>
            <w:noWrap/>
            <w:vAlign w:val="bottom"/>
            <w:hideMark/>
          </w:tcPr>
          <w:p w14:paraId="2B88FB56" w14:textId="77777777" w:rsidR="00BD53AF" w:rsidRPr="00930D3B" w:rsidRDefault="00BD53AF" w:rsidP="00387AE5">
            <w:pPr>
              <w:jc w:val="center"/>
              <w:rPr>
                <w:rFonts w:cs="Times New Roman"/>
                <w:b/>
                <w:bCs/>
                <w:color w:val="000000"/>
                <w:sz w:val="20"/>
                <w:szCs w:val="20"/>
              </w:rPr>
            </w:pPr>
            <w:r w:rsidRPr="00930D3B">
              <w:rPr>
                <w:b/>
                <w:bCs/>
                <w:color w:val="000000"/>
                <w:sz w:val="20"/>
                <w:szCs w:val="20"/>
              </w:rPr>
              <w:t>0,</w:t>
            </w:r>
            <w:r>
              <w:rPr>
                <w:b/>
                <w:bCs/>
                <w:color w:val="000000"/>
                <w:sz w:val="20"/>
                <w:szCs w:val="20"/>
              </w:rPr>
              <w:t>6</w:t>
            </w:r>
          </w:p>
        </w:tc>
        <w:tc>
          <w:tcPr>
            <w:tcW w:w="983" w:type="dxa"/>
            <w:tcBorders>
              <w:top w:val="single" w:sz="4" w:space="0" w:color="auto"/>
              <w:bottom w:val="single" w:sz="4" w:space="0" w:color="auto"/>
            </w:tcBorders>
            <w:shd w:val="clear" w:color="auto" w:fill="auto"/>
            <w:noWrap/>
            <w:vAlign w:val="bottom"/>
            <w:hideMark/>
          </w:tcPr>
          <w:p w14:paraId="411EEB55" w14:textId="77777777" w:rsidR="00BD53AF" w:rsidRPr="00930D3B" w:rsidRDefault="00BD53AF" w:rsidP="00387AE5">
            <w:pPr>
              <w:jc w:val="center"/>
              <w:rPr>
                <w:rFonts w:cs="Times New Roman"/>
                <w:b/>
                <w:bCs/>
                <w:color w:val="000000"/>
                <w:sz w:val="20"/>
                <w:szCs w:val="20"/>
              </w:rPr>
            </w:pPr>
            <w:r w:rsidRPr="00930D3B">
              <w:rPr>
                <w:b/>
                <w:bCs/>
                <w:color w:val="000000"/>
                <w:sz w:val="20"/>
                <w:szCs w:val="20"/>
              </w:rPr>
              <w:t>0,0</w:t>
            </w:r>
          </w:p>
        </w:tc>
        <w:tc>
          <w:tcPr>
            <w:tcW w:w="984" w:type="dxa"/>
            <w:gridSpan w:val="2"/>
            <w:tcBorders>
              <w:top w:val="single" w:sz="4" w:space="0" w:color="auto"/>
              <w:bottom w:val="single" w:sz="4" w:space="0" w:color="auto"/>
            </w:tcBorders>
            <w:shd w:val="clear" w:color="auto" w:fill="auto"/>
            <w:noWrap/>
            <w:vAlign w:val="bottom"/>
            <w:hideMark/>
          </w:tcPr>
          <w:p w14:paraId="5A36F498" w14:textId="77777777" w:rsidR="00BD53AF" w:rsidRPr="00930D3B" w:rsidRDefault="00BD53AF" w:rsidP="00387AE5">
            <w:pPr>
              <w:jc w:val="center"/>
              <w:rPr>
                <w:rFonts w:cs="Times New Roman"/>
                <w:b/>
                <w:bCs/>
                <w:color w:val="000000"/>
                <w:sz w:val="20"/>
                <w:szCs w:val="20"/>
              </w:rPr>
            </w:pPr>
            <w:r w:rsidRPr="00930D3B">
              <w:rPr>
                <w:b/>
                <w:bCs/>
                <w:color w:val="000000"/>
                <w:sz w:val="20"/>
                <w:szCs w:val="20"/>
              </w:rPr>
              <w:t>0,1</w:t>
            </w:r>
          </w:p>
        </w:tc>
        <w:tc>
          <w:tcPr>
            <w:tcW w:w="984" w:type="dxa"/>
            <w:tcBorders>
              <w:top w:val="single" w:sz="4" w:space="0" w:color="auto"/>
              <w:bottom w:val="single" w:sz="4" w:space="0" w:color="auto"/>
              <w:right w:val="nil"/>
            </w:tcBorders>
            <w:shd w:val="clear" w:color="auto" w:fill="auto"/>
            <w:noWrap/>
            <w:vAlign w:val="bottom"/>
            <w:hideMark/>
          </w:tcPr>
          <w:p w14:paraId="09524776" w14:textId="77777777" w:rsidR="00BD53AF" w:rsidRPr="00930D3B" w:rsidRDefault="00BD53AF" w:rsidP="00387AE5">
            <w:pPr>
              <w:jc w:val="center"/>
              <w:rPr>
                <w:rFonts w:cs="Times New Roman"/>
                <w:b/>
                <w:bCs/>
                <w:color w:val="000000"/>
                <w:sz w:val="20"/>
                <w:szCs w:val="20"/>
              </w:rPr>
            </w:pPr>
            <w:r w:rsidRPr="00930D3B">
              <w:rPr>
                <w:b/>
                <w:bCs/>
                <w:color w:val="000000"/>
                <w:sz w:val="20"/>
                <w:szCs w:val="20"/>
              </w:rPr>
              <w:t>0,1</w:t>
            </w:r>
          </w:p>
        </w:tc>
      </w:tr>
      <w:tr w:rsidR="00BD53AF" w:rsidRPr="00930D3B" w14:paraId="6741FB2F" w14:textId="77777777" w:rsidTr="00387AE5">
        <w:trPr>
          <w:trHeight w:val="141"/>
        </w:trPr>
        <w:tc>
          <w:tcPr>
            <w:tcW w:w="2444" w:type="dxa"/>
            <w:tcBorders>
              <w:top w:val="single" w:sz="8" w:space="0" w:color="auto"/>
              <w:left w:val="nil"/>
              <w:right w:val="single" w:sz="4" w:space="0" w:color="auto"/>
            </w:tcBorders>
            <w:shd w:val="clear" w:color="auto" w:fill="auto"/>
            <w:noWrap/>
            <w:vAlign w:val="center"/>
          </w:tcPr>
          <w:p w14:paraId="7E671526" w14:textId="77777777" w:rsidR="00BD53AF" w:rsidRPr="00B46E42" w:rsidRDefault="00BD53AF" w:rsidP="00387AE5">
            <w:pPr>
              <w:rPr>
                <w:rFonts w:cs="Times New Roman"/>
                <w:b/>
                <w:bCs/>
                <w:color w:val="000000"/>
                <w:sz w:val="18"/>
                <w:szCs w:val="18"/>
              </w:rPr>
            </w:pPr>
            <w:r w:rsidRPr="000D45BF">
              <w:rPr>
                <w:rFonts w:cs="Times New Roman"/>
                <w:b/>
                <w:bCs/>
                <w:color w:val="000000"/>
                <w:sz w:val="18"/>
                <w:szCs w:val="18"/>
              </w:rPr>
              <w:t>Jednoročná odchýlka</w:t>
            </w:r>
            <w:r>
              <w:rPr>
                <w:rFonts w:cs="Times New Roman"/>
                <w:b/>
                <w:bCs/>
                <w:color w:val="000000"/>
                <w:sz w:val="18"/>
                <w:szCs w:val="18"/>
              </w:rPr>
              <w:t>*</w:t>
            </w:r>
          </w:p>
        </w:tc>
        <w:tc>
          <w:tcPr>
            <w:tcW w:w="855" w:type="dxa"/>
            <w:tcBorders>
              <w:top w:val="single" w:sz="4" w:space="0" w:color="auto"/>
              <w:left w:val="single" w:sz="4" w:space="0" w:color="auto"/>
              <w:right w:val="single" w:sz="4" w:space="0" w:color="auto"/>
            </w:tcBorders>
            <w:shd w:val="clear" w:color="auto" w:fill="FFFFFF" w:themeFill="background1"/>
            <w:vAlign w:val="bottom"/>
          </w:tcPr>
          <w:p w14:paraId="53A35361" w14:textId="77777777" w:rsidR="00BD53AF" w:rsidRPr="00930D3B" w:rsidRDefault="00BD53AF" w:rsidP="00387AE5">
            <w:pPr>
              <w:jc w:val="center"/>
              <w:rPr>
                <w:b/>
                <w:bCs/>
                <w:sz w:val="18"/>
                <w:szCs w:val="18"/>
              </w:rPr>
            </w:pPr>
          </w:p>
        </w:tc>
        <w:tc>
          <w:tcPr>
            <w:tcW w:w="855" w:type="dxa"/>
            <w:tcBorders>
              <w:top w:val="single" w:sz="4" w:space="0" w:color="auto"/>
              <w:left w:val="single" w:sz="4" w:space="0" w:color="auto"/>
              <w:right w:val="nil"/>
            </w:tcBorders>
            <w:shd w:val="clear" w:color="auto" w:fill="DFEEDE" w:themeFill="accent3" w:themeFillTint="66"/>
            <w:vAlign w:val="center"/>
          </w:tcPr>
          <w:p w14:paraId="3BC2A4C1" w14:textId="77777777" w:rsidR="00BD53AF" w:rsidRPr="00930D3B" w:rsidRDefault="00BD53AF" w:rsidP="00387AE5">
            <w:pPr>
              <w:jc w:val="center"/>
              <w:rPr>
                <w:b/>
                <w:bCs/>
                <w:sz w:val="18"/>
                <w:szCs w:val="18"/>
              </w:rPr>
            </w:pPr>
            <w:r w:rsidRPr="00930D3B">
              <w:rPr>
                <w:b/>
                <w:bCs/>
                <w:sz w:val="18"/>
                <w:szCs w:val="18"/>
              </w:rPr>
              <w:t>0,4*</w:t>
            </w:r>
          </w:p>
        </w:tc>
        <w:tc>
          <w:tcPr>
            <w:tcW w:w="983" w:type="dxa"/>
            <w:tcBorders>
              <w:top w:val="single" w:sz="4" w:space="0" w:color="auto"/>
              <w:left w:val="nil"/>
              <w:right w:val="nil"/>
            </w:tcBorders>
            <w:shd w:val="clear" w:color="auto" w:fill="FFC7CE"/>
            <w:noWrap/>
            <w:vAlign w:val="center"/>
          </w:tcPr>
          <w:p w14:paraId="353744E6" w14:textId="433F1835" w:rsidR="00BD53AF" w:rsidRPr="00930D3B" w:rsidRDefault="00D446D9" w:rsidP="00387AE5">
            <w:pPr>
              <w:jc w:val="center"/>
              <w:rPr>
                <w:rFonts w:cs="Times New Roman"/>
                <w:b/>
                <w:bCs/>
                <w:sz w:val="18"/>
                <w:szCs w:val="18"/>
              </w:rPr>
            </w:pPr>
            <w:r>
              <w:rPr>
                <w:b/>
                <w:bCs/>
                <w:sz w:val="18"/>
                <w:szCs w:val="18"/>
              </w:rPr>
              <w:t>-</w:t>
            </w:r>
            <w:r w:rsidR="00BD53AF" w:rsidRPr="00930D3B">
              <w:rPr>
                <w:b/>
                <w:bCs/>
                <w:sz w:val="18"/>
                <w:szCs w:val="18"/>
              </w:rPr>
              <w:t>0,</w:t>
            </w:r>
            <w:r w:rsidR="00BD53AF">
              <w:rPr>
                <w:b/>
                <w:bCs/>
                <w:sz w:val="18"/>
                <w:szCs w:val="18"/>
              </w:rPr>
              <w:t>7</w:t>
            </w:r>
          </w:p>
        </w:tc>
        <w:tc>
          <w:tcPr>
            <w:tcW w:w="984" w:type="dxa"/>
            <w:tcBorders>
              <w:top w:val="single" w:sz="4" w:space="0" w:color="auto"/>
              <w:left w:val="nil"/>
              <w:bottom w:val="nil"/>
              <w:right w:val="nil"/>
            </w:tcBorders>
            <w:shd w:val="clear" w:color="auto" w:fill="DFEEDE" w:themeFill="accent3" w:themeFillTint="66"/>
            <w:noWrap/>
            <w:vAlign w:val="center"/>
          </w:tcPr>
          <w:p w14:paraId="245AFBA8" w14:textId="77777777" w:rsidR="00BD53AF" w:rsidRPr="00930D3B" w:rsidRDefault="00BD53AF" w:rsidP="00387AE5">
            <w:pPr>
              <w:jc w:val="center"/>
              <w:rPr>
                <w:rFonts w:cs="Times New Roman"/>
                <w:b/>
                <w:bCs/>
                <w:sz w:val="18"/>
                <w:szCs w:val="18"/>
              </w:rPr>
            </w:pPr>
            <w:r w:rsidRPr="00930D3B">
              <w:rPr>
                <w:b/>
                <w:bCs/>
                <w:sz w:val="18"/>
                <w:szCs w:val="18"/>
              </w:rPr>
              <w:t>MTO</w:t>
            </w:r>
          </w:p>
        </w:tc>
        <w:tc>
          <w:tcPr>
            <w:tcW w:w="983" w:type="dxa"/>
            <w:tcBorders>
              <w:top w:val="single" w:sz="4" w:space="0" w:color="auto"/>
              <w:left w:val="nil"/>
              <w:bottom w:val="nil"/>
              <w:right w:val="nil"/>
            </w:tcBorders>
            <w:shd w:val="clear" w:color="auto" w:fill="DFEEDE" w:themeFill="accent3" w:themeFillTint="66"/>
            <w:noWrap/>
            <w:vAlign w:val="center"/>
          </w:tcPr>
          <w:p w14:paraId="5175162D" w14:textId="77777777" w:rsidR="00BD53AF" w:rsidRPr="00930D3B" w:rsidRDefault="00BD53AF" w:rsidP="00387AE5">
            <w:pPr>
              <w:jc w:val="center"/>
              <w:rPr>
                <w:rFonts w:cs="Times New Roman"/>
                <w:b/>
                <w:bCs/>
                <w:sz w:val="18"/>
                <w:szCs w:val="18"/>
              </w:rPr>
            </w:pPr>
            <w:r w:rsidRPr="00930D3B">
              <w:rPr>
                <w:b/>
                <w:bCs/>
                <w:sz w:val="18"/>
                <w:szCs w:val="18"/>
              </w:rPr>
              <w:t>MTO</w:t>
            </w:r>
          </w:p>
        </w:tc>
        <w:tc>
          <w:tcPr>
            <w:tcW w:w="984" w:type="dxa"/>
            <w:gridSpan w:val="2"/>
            <w:tcBorders>
              <w:top w:val="single" w:sz="4" w:space="0" w:color="auto"/>
              <w:left w:val="nil"/>
              <w:bottom w:val="nil"/>
              <w:right w:val="nil"/>
            </w:tcBorders>
            <w:shd w:val="clear" w:color="auto" w:fill="DFEEDE" w:themeFill="accent3" w:themeFillTint="66"/>
            <w:noWrap/>
            <w:vAlign w:val="center"/>
          </w:tcPr>
          <w:p w14:paraId="13E09464" w14:textId="77777777" w:rsidR="00BD53AF" w:rsidRPr="00930D3B" w:rsidRDefault="00BD53AF" w:rsidP="00387AE5">
            <w:pPr>
              <w:jc w:val="center"/>
              <w:rPr>
                <w:rFonts w:cs="Times New Roman"/>
                <w:b/>
                <w:bCs/>
                <w:sz w:val="18"/>
                <w:szCs w:val="18"/>
              </w:rPr>
            </w:pPr>
            <w:r w:rsidRPr="00930D3B">
              <w:rPr>
                <w:b/>
                <w:bCs/>
                <w:sz w:val="18"/>
                <w:szCs w:val="18"/>
              </w:rPr>
              <w:t>MTO</w:t>
            </w:r>
          </w:p>
        </w:tc>
        <w:tc>
          <w:tcPr>
            <w:tcW w:w="984" w:type="dxa"/>
            <w:tcBorders>
              <w:top w:val="single" w:sz="4" w:space="0" w:color="auto"/>
              <w:left w:val="nil"/>
              <w:bottom w:val="nil"/>
              <w:right w:val="nil"/>
            </w:tcBorders>
            <w:shd w:val="clear" w:color="auto" w:fill="DFEEDE" w:themeFill="accent3" w:themeFillTint="66"/>
            <w:noWrap/>
            <w:vAlign w:val="center"/>
          </w:tcPr>
          <w:p w14:paraId="29A98437" w14:textId="77777777" w:rsidR="00BD53AF" w:rsidRPr="00930D3B" w:rsidRDefault="00BD53AF" w:rsidP="00387AE5">
            <w:pPr>
              <w:jc w:val="center"/>
              <w:rPr>
                <w:rFonts w:cs="Times New Roman"/>
                <w:b/>
                <w:bCs/>
                <w:sz w:val="18"/>
                <w:szCs w:val="18"/>
              </w:rPr>
            </w:pPr>
            <w:r w:rsidRPr="00930D3B">
              <w:rPr>
                <w:b/>
                <w:bCs/>
                <w:sz w:val="18"/>
                <w:szCs w:val="18"/>
              </w:rPr>
              <w:t>MTO</w:t>
            </w:r>
          </w:p>
        </w:tc>
      </w:tr>
      <w:tr w:rsidR="00BD53AF" w:rsidRPr="00930D3B" w14:paraId="6A19FE7C" w14:textId="77777777" w:rsidTr="00387AE5">
        <w:trPr>
          <w:trHeight w:val="141"/>
        </w:trPr>
        <w:tc>
          <w:tcPr>
            <w:tcW w:w="2444" w:type="dxa"/>
            <w:tcBorders>
              <w:left w:val="nil"/>
              <w:bottom w:val="single" w:sz="8" w:space="0" w:color="auto"/>
              <w:right w:val="single" w:sz="4" w:space="0" w:color="auto"/>
            </w:tcBorders>
            <w:shd w:val="clear" w:color="auto" w:fill="auto"/>
            <w:noWrap/>
            <w:vAlign w:val="center"/>
          </w:tcPr>
          <w:p w14:paraId="694E25AB" w14:textId="77777777" w:rsidR="00BD53AF" w:rsidRPr="00B46E42" w:rsidRDefault="00BD53AF" w:rsidP="00387AE5">
            <w:pPr>
              <w:rPr>
                <w:rFonts w:cs="Times New Roman"/>
                <w:b/>
                <w:bCs/>
                <w:color w:val="000000"/>
                <w:sz w:val="18"/>
                <w:szCs w:val="18"/>
              </w:rPr>
            </w:pPr>
            <w:r w:rsidRPr="000D45BF">
              <w:rPr>
                <w:rFonts w:cs="Times New Roman"/>
                <w:b/>
                <w:bCs/>
                <w:color w:val="000000"/>
                <w:sz w:val="18"/>
                <w:szCs w:val="18"/>
              </w:rPr>
              <w:t>Dvojročná odchýlka</w:t>
            </w:r>
            <w:r>
              <w:rPr>
                <w:rFonts w:cs="Times New Roman"/>
                <w:b/>
                <w:bCs/>
                <w:color w:val="000000"/>
                <w:sz w:val="18"/>
                <w:szCs w:val="18"/>
              </w:rPr>
              <w:t>*</w:t>
            </w:r>
          </w:p>
        </w:tc>
        <w:tc>
          <w:tcPr>
            <w:tcW w:w="855" w:type="dxa"/>
            <w:tcBorders>
              <w:left w:val="single" w:sz="4" w:space="0" w:color="auto"/>
              <w:bottom w:val="single" w:sz="4" w:space="0" w:color="auto"/>
              <w:right w:val="single" w:sz="4" w:space="0" w:color="auto"/>
            </w:tcBorders>
            <w:shd w:val="clear" w:color="auto" w:fill="FFFFFF" w:themeFill="background1"/>
            <w:vAlign w:val="bottom"/>
          </w:tcPr>
          <w:p w14:paraId="76080B07" w14:textId="77777777" w:rsidR="00BD53AF" w:rsidRPr="00930D3B" w:rsidRDefault="00BD53AF" w:rsidP="00387AE5">
            <w:pPr>
              <w:jc w:val="center"/>
              <w:rPr>
                <w:b/>
                <w:bCs/>
                <w:sz w:val="18"/>
                <w:szCs w:val="18"/>
              </w:rPr>
            </w:pPr>
          </w:p>
        </w:tc>
        <w:tc>
          <w:tcPr>
            <w:tcW w:w="855" w:type="dxa"/>
            <w:tcBorders>
              <w:left w:val="single" w:sz="4" w:space="0" w:color="auto"/>
              <w:bottom w:val="single" w:sz="4" w:space="0" w:color="auto"/>
              <w:right w:val="nil"/>
            </w:tcBorders>
            <w:shd w:val="clear" w:color="auto" w:fill="DFEEDE" w:themeFill="accent3" w:themeFillTint="66"/>
            <w:vAlign w:val="center"/>
          </w:tcPr>
          <w:p w14:paraId="2D9BF9B0" w14:textId="77777777" w:rsidR="00BD53AF" w:rsidRPr="00930D3B" w:rsidRDefault="00BD53AF" w:rsidP="00387AE5">
            <w:pPr>
              <w:jc w:val="center"/>
              <w:rPr>
                <w:b/>
                <w:bCs/>
                <w:sz w:val="18"/>
                <w:szCs w:val="18"/>
              </w:rPr>
            </w:pPr>
            <w:r w:rsidRPr="00930D3B">
              <w:rPr>
                <w:b/>
                <w:bCs/>
                <w:sz w:val="18"/>
                <w:szCs w:val="18"/>
              </w:rPr>
              <w:t>0,5*</w:t>
            </w:r>
          </w:p>
        </w:tc>
        <w:tc>
          <w:tcPr>
            <w:tcW w:w="983" w:type="dxa"/>
            <w:tcBorders>
              <w:top w:val="nil"/>
              <w:left w:val="nil"/>
              <w:bottom w:val="single" w:sz="4" w:space="0" w:color="auto"/>
              <w:right w:val="nil"/>
            </w:tcBorders>
            <w:shd w:val="clear" w:color="auto" w:fill="FFEB9C"/>
            <w:noWrap/>
            <w:vAlign w:val="center"/>
          </w:tcPr>
          <w:p w14:paraId="53C6AF60" w14:textId="6690803E" w:rsidR="00BD53AF" w:rsidRPr="00930D3B" w:rsidRDefault="00D446D9" w:rsidP="00387AE5">
            <w:pPr>
              <w:jc w:val="center"/>
              <w:rPr>
                <w:rFonts w:cs="Times New Roman"/>
                <w:b/>
                <w:bCs/>
                <w:sz w:val="18"/>
                <w:szCs w:val="18"/>
              </w:rPr>
            </w:pPr>
            <w:r>
              <w:rPr>
                <w:b/>
                <w:bCs/>
                <w:sz w:val="18"/>
                <w:szCs w:val="18"/>
              </w:rPr>
              <w:t>-</w:t>
            </w:r>
            <w:r w:rsidR="00BD53AF" w:rsidRPr="00930D3B">
              <w:rPr>
                <w:b/>
                <w:bCs/>
                <w:sz w:val="18"/>
                <w:szCs w:val="18"/>
              </w:rPr>
              <w:t>0,</w:t>
            </w:r>
            <w:r w:rsidR="00BD53AF">
              <w:rPr>
                <w:b/>
                <w:bCs/>
                <w:sz w:val="18"/>
                <w:szCs w:val="18"/>
              </w:rPr>
              <w:t>2</w:t>
            </w:r>
          </w:p>
        </w:tc>
        <w:tc>
          <w:tcPr>
            <w:tcW w:w="984" w:type="dxa"/>
            <w:tcBorders>
              <w:top w:val="nil"/>
              <w:left w:val="nil"/>
              <w:bottom w:val="single" w:sz="4" w:space="0" w:color="auto"/>
              <w:right w:val="nil"/>
            </w:tcBorders>
            <w:shd w:val="clear" w:color="auto" w:fill="DFEEDE" w:themeFill="accent3" w:themeFillTint="66"/>
            <w:noWrap/>
            <w:vAlign w:val="center"/>
          </w:tcPr>
          <w:p w14:paraId="0842D8EF" w14:textId="77777777" w:rsidR="00BD53AF" w:rsidRPr="00930D3B" w:rsidRDefault="00BD53AF" w:rsidP="00387AE5">
            <w:pPr>
              <w:jc w:val="center"/>
              <w:rPr>
                <w:rFonts w:cs="Times New Roman"/>
                <w:b/>
                <w:bCs/>
                <w:sz w:val="18"/>
                <w:szCs w:val="18"/>
              </w:rPr>
            </w:pPr>
            <w:r w:rsidRPr="00930D3B">
              <w:rPr>
                <w:b/>
                <w:bCs/>
                <w:sz w:val="18"/>
                <w:szCs w:val="18"/>
              </w:rPr>
              <w:t>MTO</w:t>
            </w:r>
          </w:p>
        </w:tc>
        <w:tc>
          <w:tcPr>
            <w:tcW w:w="983" w:type="dxa"/>
            <w:tcBorders>
              <w:top w:val="nil"/>
              <w:left w:val="nil"/>
              <w:bottom w:val="single" w:sz="4" w:space="0" w:color="auto"/>
              <w:right w:val="nil"/>
            </w:tcBorders>
            <w:shd w:val="clear" w:color="auto" w:fill="DFEEDE" w:themeFill="accent3" w:themeFillTint="66"/>
            <w:noWrap/>
            <w:vAlign w:val="center"/>
          </w:tcPr>
          <w:p w14:paraId="07890140" w14:textId="77777777" w:rsidR="00BD53AF" w:rsidRPr="00930D3B" w:rsidRDefault="00BD53AF" w:rsidP="00387AE5">
            <w:pPr>
              <w:jc w:val="center"/>
              <w:rPr>
                <w:rFonts w:cs="Times New Roman"/>
                <w:b/>
                <w:bCs/>
                <w:sz w:val="18"/>
                <w:szCs w:val="18"/>
              </w:rPr>
            </w:pPr>
            <w:r w:rsidRPr="00930D3B">
              <w:rPr>
                <w:b/>
                <w:bCs/>
                <w:sz w:val="18"/>
                <w:szCs w:val="18"/>
              </w:rPr>
              <w:t>MTO</w:t>
            </w:r>
          </w:p>
        </w:tc>
        <w:tc>
          <w:tcPr>
            <w:tcW w:w="984" w:type="dxa"/>
            <w:gridSpan w:val="2"/>
            <w:tcBorders>
              <w:top w:val="nil"/>
              <w:left w:val="nil"/>
              <w:bottom w:val="single" w:sz="4" w:space="0" w:color="auto"/>
              <w:right w:val="nil"/>
            </w:tcBorders>
            <w:shd w:val="clear" w:color="auto" w:fill="DFEEDE" w:themeFill="accent3" w:themeFillTint="66"/>
            <w:noWrap/>
            <w:vAlign w:val="center"/>
          </w:tcPr>
          <w:p w14:paraId="2E019F1C" w14:textId="77777777" w:rsidR="00BD53AF" w:rsidRPr="00930D3B" w:rsidRDefault="00BD53AF" w:rsidP="00387AE5">
            <w:pPr>
              <w:jc w:val="center"/>
              <w:rPr>
                <w:rFonts w:cs="Times New Roman"/>
                <w:b/>
                <w:bCs/>
                <w:sz w:val="18"/>
                <w:szCs w:val="18"/>
              </w:rPr>
            </w:pPr>
            <w:r w:rsidRPr="00930D3B">
              <w:rPr>
                <w:b/>
                <w:bCs/>
                <w:sz w:val="18"/>
                <w:szCs w:val="18"/>
              </w:rPr>
              <w:t>MTO</w:t>
            </w:r>
          </w:p>
        </w:tc>
        <w:tc>
          <w:tcPr>
            <w:tcW w:w="984" w:type="dxa"/>
            <w:tcBorders>
              <w:top w:val="nil"/>
              <w:left w:val="nil"/>
              <w:bottom w:val="single" w:sz="4" w:space="0" w:color="auto"/>
              <w:right w:val="nil"/>
            </w:tcBorders>
            <w:shd w:val="clear" w:color="auto" w:fill="DFEEDE" w:themeFill="accent3" w:themeFillTint="66"/>
            <w:noWrap/>
            <w:vAlign w:val="center"/>
          </w:tcPr>
          <w:p w14:paraId="0F41CB1E" w14:textId="77777777" w:rsidR="00BD53AF" w:rsidRPr="00930D3B" w:rsidRDefault="00BD53AF" w:rsidP="00387AE5">
            <w:pPr>
              <w:jc w:val="center"/>
              <w:rPr>
                <w:rFonts w:cs="Times New Roman"/>
                <w:b/>
                <w:bCs/>
                <w:sz w:val="18"/>
                <w:szCs w:val="18"/>
              </w:rPr>
            </w:pPr>
            <w:r w:rsidRPr="00930D3B">
              <w:rPr>
                <w:b/>
                <w:bCs/>
                <w:sz w:val="18"/>
                <w:szCs w:val="18"/>
              </w:rPr>
              <w:t>MTO</w:t>
            </w:r>
          </w:p>
        </w:tc>
      </w:tr>
      <w:tr w:rsidR="00BD53AF" w:rsidRPr="00930D3B" w14:paraId="011D3407" w14:textId="77777777" w:rsidTr="00387AE5">
        <w:trPr>
          <w:trHeight w:val="141"/>
        </w:trPr>
        <w:tc>
          <w:tcPr>
            <w:tcW w:w="2444" w:type="dxa"/>
            <w:tcBorders>
              <w:top w:val="nil"/>
              <w:left w:val="nil"/>
              <w:bottom w:val="single" w:sz="8" w:space="0" w:color="auto"/>
              <w:right w:val="single" w:sz="4" w:space="0" w:color="auto"/>
            </w:tcBorders>
            <w:shd w:val="clear" w:color="auto" w:fill="auto"/>
            <w:noWrap/>
            <w:vAlign w:val="center"/>
          </w:tcPr>
          <w:p w14:paraId="0244CAEB" w14:textId="77777777" w:rsidR="00BD53AF" w:rsidRPr="00930D3B" w:rsidRDefault="00BD53AF" w:rsidP="00387AE5">
            <w:pPr>
              <w:rPr>
                <w:rFonts w:cs="Times New Roman"/>
                <w:i/>
                <w:iCs/>
                <w:color w:val="000000"/>
                <w:sz w:val="18"/>
                <w:szCs w:val="18"/>
              </w:rPr>
            </w:pPr>
            <w:r w:rsidRPr="002D01D0">
              <w:rPr>
                <w:rFonts w:cs="Times New Roman"/>
                <w:bCs/>
                <w:i/>
                <w:color w:val="000000"/>
                <w:sz w:val="18"/>
                <w:szCs w:val="18"/>
              </w:rPr>
              <w:t xml:space="preserve">p.m. </w:t>
            </w:r>
            <w:r w:rsidRPr="005527D7">
              <w:rPr>
                <w:rFonts w:cs="Times New Roman"/>
                <w:bCs/>
                <w:i/>
                <w:color w:val="000000"/>
                <w:sz w:val="18"/>
                <w:szCs w:val="18"/>
              </w:rPr>
              <w:t>Dvojročná nezafixovaná</w:t>
            </w:r>
            <w:r w:rsidRPr="002D01D0">
              <w:rPr>
                <w:rFonts w:cs="Times New Roman"/>
                <w:bCs/>
                <w:i/>
                <w:color w:val="000000"/>
                <w:sz w:val="18"/>
                <w:szCs w:val="18"/>
              </w:rPr>
              <w:t xml:space="preserve"> odchýlka</w:t>
            </w:r>
          </w:p>
        </w:tc>
        <w:tc>
          <w:tcPr>
            <w:tcW w:w="855" w:type="dxa"/>
            <w:tcBorders>
              <w:top w:val="nil"/>
              <w:left w:val="single" w:sz="4" w:space="0" w:color="auto"/>
              <w:bottom w:val="single" w:sz="8" w:space="0" w:color="auto"/>
              <w:right w:val="single" w:sz="4" w:space="0" w:color="auto"/>
            </w:tcBorders>
            <w:shd w:val="clear" w:color="auto" w:fill="FFFFFF" w:themeFill="background1"/>
            <w:vAlign w:val="bottom"/>
          </w:tcPr>
          <w:p w14:paraId="2429541E" w14:textId="77777777" w:rsidR="00BD53AF" w:rsidRPr="00930D3B" w:rsidRDefault="00BD53AF" w:rsidP="00387AE5">
            <w:pPr>
              <w:jc w:val="center"/>
              <w:rPr>
                <w:rFonts w:cs="Times New Roman"/>
                <w:i/>
                <w:iCs/>
                <w:color w:val="000000"/>
                <w:sz w:val="18"/>
                <w:szCs w:val="18"/>
              </w:rPr>
            </w:pPr>
          </w:p>
        </w:tc>
        <w:tc>
          <w:tcPr>
            <w:tcW w:w="855" w:type="dxa"/>
            <w:tcBorders>
              <w:top w:val="nil"/>
              <w:left w:val="single" w:sz="4" w:space="0" w:color="auto"/>
              <w:bottom w:val="single" w:sz="8" w:space="0" w:color="auto"/>
              <w:right w:val="nil"/>
            </w:tcBorders>
            <w:shd w:val="clear" w:color="auto" w:fill="auto"/>
          </w:tcPr>
          <w:p w14:paraId="608CC5F6" w14:textId="77777777" w:rsidR="00BD53AF" w:rsidRPr="00930D3B" w:rsidRDefault="00BD53AF" w:rsidP="00387AE5">
            <w:pPr>
              <w:jc w:val="center"/>
              <w:rPr>
                <w:rFonts w:cs="Times New Roman"/>
                <w:i/>
                <w:iCs/>
                <w:color w:val="000000"/>
                <w:sz w:val="18"/>
                <w:szCs w:val="18"/>
              </w:rPr>
            </w:pPr>
            <w:r w:rsidRPr="002D01D0">
              <w:rPr>
                <w:rFonts w:cs="Times New Roman"/>
                <w:i/>
                <w:iCs/>
                <w:color w:val="000000"/>
                <w:sz w:val="18"/>
                <w:szCs w:val="18"/>
              </w:rPr>
              <w:t>0,4</w:t>
            </w:r>
          </w:p>
        </w:tc>
        <w:tc>
          <w:tcPr>
            <w:tcW w:w="983" w:type="dxa"/>
            <w:tcBorders>
              <w:top w:val="nil"/>
              <w:left w:val="nil"/>
              <w:bottom w:val="single" w:sz="8" w:space="0" w:color="auto"/>
              <w:right w:val="nil"/>
            </w:tcBorders>
            <w:shd w:val="clear" w:color="auto" w:fill="auto"/>
            <w:noWrap/>
          </w:tcPr>
          <w:p w14:paraId="13934EA7" w14:textId="77777777" w:rsidR="00BD53AF" w:rsidRPr="00930D3B" w:rsidRDefault="00BD53AF" w:rsidP="00387AE5">
            <w:pPr>
              <w:jc w:val="center"/>
              <w:rPr>
                <w:rFonts w:cs="Times New Roman"/>
                <w:i/>
                <w:iCs/>
                <w:color w:val="000000"/>
                <w:sz w:val="18"/>
                <w:szCs w:val="18"/>
              </w:rPr>
            </w:pPr>
            <w:r w:rsidRPr="002D01D0">
              <w:rPr>
                <w:rFonts w:cs="Times New Roman"/>
                <w:i/>
                <w:iCs/>
                <w:color w:val="000000"/>
                <w:sz w:val="18"/>
                <w:szCs w:val="18"/>
              </w:rPr>
              <w:t>0,0</w:t>
            </w:r>
          </w:p>
        </w:tc>
        <w:tc>
          <w:tcPr>
            <w:tcW w:w="984" w:type="dxa"/>
            <w:tcBorders>
              <w:top w:val="nil"/>
              <w:left w:val="nil"/>
              <w:bottom w:val="single" w:sz="8" w:space="0" w:color="auto"/>
              <w:right w:val="nil"/>
            </w:tcBorders>
            <w:shd w:val="clear" w:color="auto" w:fill="auto"/>
            <w:noWrap/>
            <w:vAlign w:val="center"/>
          </w:tcPr>
          <w:p w14:paraId="153D1FCF" w14:textId="77777777" w:rsidR="00BD53AF" w:rsidRPr="00930D3B" w:rsidRDefault="00BD53AF" w:rsidP="00387AE5">
            <w:pPr>
              <w:jc w:val="center"/>
              <w:rPr>
                <w:rFonts w:cs="Times New Roman"/>
                <w:i/>
                <w:iCs/>
                <w:color w:val="000000"/>
                <w:sz w:val="18"/>
                <w:szCs w:val="18"/>
              </w:rPr>
            </w:pPr>
          </w:p>
        </w:tc>
        <w:tc>
          <w:tcPr>
            <w:tcW w:w="983" w:type="dxa"/>
            <w:tcBorders>
              <w:top w:val="nil"/>
              <w:left w:val="nil"/>
              <w:bottom w:val="single" w:sz="8" w:space="0" w:color="auto"/>
              <w:right w:val="nil"/>
            </w:tcBorders>
            <w:shd w:val="clear" w:color="auto" w:fill="auto"/>
            <w:noWrap/>
            <w:vAlign w:val="center"/>
          </w:tcPr>
          <w:p w14:paraId="64F9F215" w14:textId="77777777" w:rsidR="00BD53AF" w:rsidRDefault="00BD53AF" w:rsidP="00387AE5">
            <w:pPr>
              <w:jc w:val="center"/>
              <w:rPr>
                <w:rFonts w:cs="Times New Roman"/>
                <w:i/>
                <w:iCs/>
                <w:color w:val="000000"/>
                <w:sz w:val="18"/>
                <w:szCs w:val="18"/>
              </w:rPr>
            </w:pPr>
          </w:p>
        </w:tc>
        <w:tc>
          <w:tcPr>
            <w:tcW w:w="984" w:type="dxa"/>
            <w:gridSpan w:val="2"/>
            <w:tcBorders>
              <w:top w:val="nil"/>
              <w:left w:val="nil"/>
              <w:bottom w:val="single" w:sz="8" w:space="0" w:color="auto"/>
              <w:right w:val="nil"/>
            </w:tcBorders>
            <w:shd w:val="clear" w:color="auto" w:fill="auto"/>
            <w:noWrap/>
            <w:vAlign w:val="center"/>
          </w:tcPr>
          <w:p w14:paraId="63C8FE12" w14:textId="77777777" w:rsidR="00BD53AF" w:rsidRPr="00930D3B" w:rsidRDefault="00BD53AF" w:rsidP="00387AE5">
            <w:pPr>
              <w:jc w:val="center"/>
              <w:rPr>
                <w:rFonts w:cs="Times New Roman"/>
                <w:i/>
                <w:iCs/>
                <w:color w:val="000000"/>
                <w:sz w:val="18"/>
                <w:szCs w:val="18"/>
              </w:rPr>
            </w:pPr>
          </w:p>
        </w:tc>
        <w:tc>
          <w:tcPr>
            <w:tcW w:w="984" w:type="dxa"/>
            <w:tcBorders>
              <w:top w:val="nil"/>
              <w:left w:val="nil"/>
              <w:bottom w:val="single" w:sz="8" w:space="0" w:color="auto"/>
              <w:right w:val="nil"/>
            </w:tcBorders>
            <w:shd w:val="clear" w:color="auto" w:fill="auto"/>
            <w:noWrap/>
            <w:vAlign w:val="center"/>
          </w:tcPr>
          <w:p w14:paraId="30C7EEB4" w14:textId="77777777" w:rsidR="00BD53AF" w:rsidRPr="00930D3B" w:rsidRDefault="00BD53AF" w:rsidP="00387AE5">
            <w:pPr>
              <w:jc w:val="center"/>
              <w:rPr>
                <w:rFonts w:cs="Times New Roman"/>
                <w:i/>
                <w:iCs/>
                <w:color w:val="000000"/>
                <w:sz w:val="18"/>
                <w:szCs w:val="18"/>
              </w:rPr>
            </w:pPr>
          </w:p>
        </w:tc>
      </w:tr>
      <w:tr w:rsidR="00BD53AF" w:rsidRPr="00930D3B" w14:paraId="3D1AEB93" w14:textId="77777777" w:rsidTr="00387AE5">
        <w:trPr>
          <w:trHeight w:val="141"/>
        </w:trPr>
        <w:tc>
          <w:tcPr>
            <w:tcW w:w="2444" w:type="dxa"/>
            <w:tcBorders>
              <w:top w:val="nil"/>
              <w:left w:val="nil"/>
              <w:bottom w:val="single" w:sz="8" w:space="0" w:color="auto"/>
              <w:right w:val="single" w:sz="4" w:space="0" w:color="auto"/>
            </w:tcBorders>
            <w:shd w:val="clear" w:color="auto" w:fill="auto"/>
            <w:noWrap/>
            <w:vAlign w:val="center"/>
            <w:hideMark/>
          </w:tcPr>
          <w:p w14:paraId="5861B2B4" w14:textId="77777777" w:rsidR="00BD53AF" w:rsidRPr="00930D3B" w:rsidRDefault="00BD53AF" w:rsidP="00387AE5">
            <w:pPr>
              <w:rPr>
                <w:rFonts w:cs="Times New Roman"/>
                <w:i/>
                <w:iCs/>
                <w:color w:val="000000"/>
                <w:sz w:val="18"/>
                <w:szCs w:val="18"/>
              </w:rPr>
            </w:pPr>
            <w:r w:rsidRPr="00930D3B">
              <w:rPr>
                <w:rFonts w:cs="Times New Roman"/>
                <w:i/>
                <w:iCs/>
                <w:color w:val="000000"/>
                <w:sz w:val="18"/>
                <w:szCs w:val="18"/>
              </w:rPr>
              <w:t>p.m. požadovaná konsolidácia podľa EK</w:t>
            </w:r>
          </w:p>
        </w:tc>
        <w:tc>
          <w:tcPr>
            <w:tcW w:w="855" w:type="dxa"/>
            <w:tcBorders>
              <w:top w:val="nil"/>
              <w:left w:val="single" w:sz="4" w:space="0" w:color="auto"/>
              <w:bottom w:val="single" w:sz="8" w:space="0" w:color="auto"/>
              <w:right w:val="single" w:sz="4" w:space="0" w:color="auto"/>
            </w:tcBorders>
            <w:shd w:val="clear" w:color="auto" w:fill="FFFFFF" w:themeFill="background1"/>
            <w:vAlign w:val="bottom"/>
          </w:tcPr>
          <w:p w14:paraId="37118C24" w14:textId="77777777" w:rsidR="00BD53AF" w:rsidRPr="00930D3B" w:rsidRDefault="00BD53AF" w:rsidP="00387AE5">
            <w:pPr>
              <w:jc w:val="center"/>
              <w:rPr>
                <w:rFonts w:cs="Times New Roman"/>
                <w:i/>
                <w:iCs/>
                <w:color w:val="000000"/>
                <w:sz w:val="18"/>
                <w:szCs w:val="18"/>
              </w:rPr>
            </w:pPr>
          </w:p>
        </w:tc>
        <w:tc>
          <w:tcPr>
            <w:tcW w:w="855" w:type="dxa"/>
            <w:tcBorders>
              <w:top w:val="nil"/>
              <w:left w:val="single" w:sz="4" w:space="0" w:color="auto"/>
              <w:bottom w:val="single" w:sz="8" w:space="0" w:color="auto"/>
              <w:right w:val="nil"/>
            </w:tcBorders>
            <w:shd w:val="clear" w:color="auto" w:fill="auto"/>
            <w:vAlign w:val="center"/>
          </w:tcPr>
          <w:p w14:paraId="373A23D6" w14:textId="77777777" w:rsidR="00BD53AF" w:rsidRPr="00930D3B" w:rsidRDefault="00BD53AF" w:rsidP="00387AE5">
            <w:pPr>
              <w:jc w:val="center"/>
              <w:rPr>
                <w:rFonts w:cs="Times New Roman"/>
                <w:i/>
                <w:iCs/>
                <w:color w:val="000000"/>
                <w:sz w:val="18"/>
                <w:szCs w:val="18"/>
              </w:rPr>
            </w:pPr>
            <w:r w:rsidRPr="00930D3B">
              <w:rPr>
                <w:rFonts w:cs="Times New Roman"/>
                <w:i/>
                <w:iCs/>
                <w:color w:val="000000"/>
                <w:sz w:val="18"/>
                <w:szCs w:val="18"/>
              </w:rPr>
              <w:t>0,</w:t>
            </w:r>
            <w:r>
              <w:rPr>
                <w:rFonts w:cs="Times New Roman"/>
                <w:i/>
                <w:iCs/>
                <w:color w:val="000000"/>
                <w:sz w:val="18"/>
                <w:szCs w:val="18"/>
              </w:rPr>
              <w:t>5</w:t>
            </w:r>
          </w:p>
        </w:tc>
        <w:tc>
          <w:tcPr>
            <w:tcW w:w="983" w:type="dxa"/>
            <w:tcBorders>
              <w:top w:val="nil"/>
              <w:left w:val="nil"/>
              <w:bottom w:val="single" w:sz="8" w:space="0" w:color="auto"/>
              <w:right w:val="nil"/>
            </w:tcBorders>
            <w:shd w:val="clear" w:color="auto" w:fill="auto"/>
            <w:noWrap/>
            <w:vAlign w:val="center"/>
            <w:hideMark/>
          </w:tcPr>
          <w:p w14:paraId="4C7D8BA7" w14:textId="77777777" w:rsidR="00BD53AF" w:rsidRPr="00930D3B" w:rsidRDefault="00BD53AF" w:rsidP="00387AE5">
            <w:pPr>
              <w:jc w:val="center"/>
              <w:rPr>
                <w:rFonts w:cs="Times New Roman"/>
                <w:i/>
                <w:iCs/>
                <w:color w:val="000000"/>
                <w:sz w:val="18"/>
                <w:szCs w:val="18"/>
              </w:rPr>
            </w:pPr>
            <w:r w:rsidRPr="00930D3B">
              <w:rPr>
                <w:rFonts w:cs="Times New Roman"/>
                <w:i/>
                <w:iCs/>
                <w:color w:val="000000"/>
                <w:sz w:val="18"/>
                <w:szCs w:val="18"/>
              </w:rPr>
              <w:t>0,5</w:t>
            </w:r>
          </w:p>
        </w:tc>
        <w:tc>
          <w:tcPr>
            <w:tcW w:w="984" w:type="dxa"/>
            <w:tcBorders>
              <w:top w:val="nil"/>
              <w:left w:val="nil"/>
              <w:bottom w:val="single" w:sz="8" w:space="0" w:color="auto"/>
              <w:right w:val="nil"/>
            </w:tcBorders>
            <w:shd w:val="clear" w:color="auto" w:fill="auto"/>
            <w:noWrap/>
            <w:vAlign w:val="center"/>
            <w:hideMark/>
          </w:tcPr>
          <w:p w14:paraId="07636761" w14:textId="77777777" w:rsidR="00BD53AF" w:rsidRPr="00930D3B" w:rsidRDefault="00BD53AF" w:rsidP="00387AE5">
            <w:pPr>
              <w:jc w:val="center"/>
              <w:rPr>
                <w:rFonts w:cs="Times New Roman"/>
                <w:i/>
                <w:iCs/>
                <w:color w:val="000000"/>
                <w:sz w:val="18"/>
                <w:szCs w:val="18"/>
              </w:rPr>
            </w:pPr>
            <w:r w:rsidRPr="00930D3B">
              <w:rPr>
                <w:rFonts w:cs="Times New Roman"/>
                <w:i/>
                <w:iCs/>
                <w:color w:val="000000"/>
                <w:sz w:val="18"/>
                <w:szCs w:val="18"/>
              </w:rPr>
              <w:t>0,5 (resp. dosiahnuť MTO)</w:t>
            </w:r>
          </w:p>
        </w:tc>
        <w:tc>
          <w:tcPr>
            <w:tcW w:w="983" w:type="dxa"/>
            <w:tcBorders>
              <w:top w:val="nil"/>
              <w:left w:val="nil"/>
              <w:bottom w:val="single" w:sz="8" w:space="0" w:color="auto"/>
              <w:right w:val="nil"/>
            </w:tcBorders>
            <w:shd w:val="clear" w:color="auto" w:fill="auto"/>
            <w:noWrap/>
            <w:vAlign w:val="center"/>
            <w:hideMark/>
          </w:tcPr>
          <w:p w14:paraId="0B81A253" w14:textId="77777777" w:rsidR="00BD53AF" w:rsidRPr="00930D3B" w:rsidRDefault="00BD53AF" w:rsidP="00387AE5">
            <w:pPr>
              <w:jc w:val="center"/>
              <w:rPr>
                <w:rFonts w:cs="Times New Roman"/>
                <w:i/>
                <w:iCs/>
                <w:color w:val="000000"/>
                <w:sz w:val="18"/>
                <w:szCs w:val="18"/>
              </w:rPr>
            </w:pPr>
            <w:r>
              <w:rPr>
                <w:rFonts w:cs="Times New Roman"/>
                <w:i/>
                <w:iCs/>
                <w:color w:val="000000"/>
                <w:sz w:val="18"/>
                <w:szCs w:val="18"/>
              </w:rPr>
              <w:t>udržať MTO</w:t>
            </w:r>
          </w:p>
        </w:tc>
        <w:tc>
          <w:tcPr>
            <w:tcW w:w="984" w:type="dxa"/>
            <w:gridSpan w:val="2"/>
            <w:tcBorders>
              <w:top w:val="nil"/>
              <w:left w:val="nil"/>
              <w:bottom w:val="single" w:sz="8" w:space="0" w:color="auto"/>
              <w:right w:val="nil"/>
            </w:tcBorders>
            <w:shd w:val="clear" w:color="auto" w:fill="auto"/>
            <w:noWrap/>
            <w:vAlign w:val="center"/>
            <w:hideMark/>
          </w:tcPr>
          <w:p w14:paraId="073CF278" w14:textId="77777777" w:rsidR="00BD53AF" w:rsidRPr="00930D3B" w:rsidRDefault="00BD53AF" w:rsidP="00387AE5">
            <w:pPr>
              <w:jc w:val="center"/>
              <w:rPr>
                <w:rFonts w:cs="Times New Roman"/>
                <w:i/>
                <w:iCs/>
                <w:color w:val="000000"/>
                <w:sz w:val="18"/>
                <w:szCs w:val="18"/>
              </w:rPr>
            </w:pPr>
            <w:r w:rsidRPr="00930D3B">
              <w:rPr>
                <w:rFonts w:cs="Times New Roman"/>
                <w:i/>
                <w:iCs/>
                <w:color w:val="000000"/>
                <w:sz w:val="18"/>
                <w:szCs w:val="18"/>
              </w:rPr>
              <w:t>udržať MTO</w:t>
            </w:r>
          </w:p>
        </w:tc>
        <w:tc>
          <w:tcPr>
            <w:tcW w:w="984" w:type="dxa"/>
            <w:tcBorders>
              <w:top w:val="nil"/>
              <w:left w:val="nil"/>
              <w:bottom w:val="single" w:sz="8" w:space="0" w:color="auto"/>
              <w:right w:val="nil"/>
            </w:tcBorders>
            <w:shd w:val="clear" w:color="auto" w:fill="auto"/>
            <w:noWrap/>
            <w:vAlign w:val="center"/>
            <w:hideMark/>
          </w:tcPr>
          <w:p w14:paraId="482E8E6E" w14:textId="77777777" w:rsidR="00BD53AF" w:rsidRPr="00930D3B" w:rsidRDefault="00BD53AF" w:rsidP="00387AE5">
            <w:pPr>
              <w:jc w:val="center"/>
              <w:rPr>
                <w:rFonts w:cs="Times New Roman"/>
                <w:i/>
                <w:iCs/>
                <w:color w:val="000000"/>
                <w:sz w:val="18"/>
                <w:szCs w:val="18"/>
              </w:rPr>
            </w:pPr>
            <w:r w:rsidRPr="00930D3B">
              <w:rPr>
                <w:rFonts w:cs="Times New Roman"/>
                <w:i/>
                <w:iCs/>
                <w:color w:val="000000"/>
                <w:sz w:val="18"/>
                <w:szCs w:val="18"/>
              </w:rPr>
              <w:t>udržať MTO</w:t>
            </w:r>
          </w:p>
        </w:tc>
      </w:tr>
      <w:tr w:rsidR="00BD53AF" w:rsidRPr="00C735D9" w14:paraId="5C6BC5F4" w14:textId="77777777" w:rsidTr="00387AE5">
        <w:trPr>
          <w:trHeight w:val="141"/>
        </w:trPr>
        <w:tc>
          <w:tcPr>
            <w:tcW w:w="7797" w:type="dxa"/>
            <w:gridSpan w:val="7"/>
            <w:tcBorders>
              <w:top w:val="nil"/>
              <w:left w:val="nil"/>
              <w:bottom w:val="nil"/>
              <w:right w:val="nil"/>
            </w:tcBorders>
          </w:tcPr>
          <w:p w14:paraId="4CCC4988" w14:textId="1FE7332D" w:rsidR="00BD53AF" w:rsidRPr="009A517A" w:rsidRDefault="00BD53AF" w:rsidP="00387AE5">
            <w:pPr>
              <w:widowControl w:val="0"/>
              <w:jc w:val="both"/>
              <w:rPr>
                <w:i/>
                <w:sz w:val="16"/>
                <w:szCs w:val="16"/>
              </w:rPr>
            </w:pPr>
            <w:r w:rsidRPr="009A517A">
              <w:rPr>
                <w:i/>
                <w:sz w:val="16"/>
                <w:szCs w:val="16"/>
              </w:rPr>
              <w:t xml:space="preserve">* </w:t>
            </w:r>
            <w:r>
              <w:rPr>
                <w:i/>
                <w:sz w:val="16"/>
                <w:szCs w:val="16"/>
              </w:rPr>
              <w:t>O</w:t>
            </w:r>
            <w:r w:rsidRPr="009A517A">
              <w:rPr>
                <w:i/>
                <w:sz w:val="16"/>
                <w:szCs w:val="16"/>
              </w:rPr>
              <w:t>dchýlky v</w:t>
            </w:r>
            <w:r>
              <w:rPr>
                <w:i/>
                <w:sz w:val="16"/>
                <w:szCs w:val="16"/>
              </w:rPr>
              <w:t> </w:t>
            </w:r>
            <w:r w:rsidRPr="009A517A">
              <w:rPr>
                <w:i/>
                <w:sz w:val="16"/>
                <w:szCs w:val="16"/>
              </w:rPr>
              <w:t>roku</w:t>
            </w:r>
            <w:r>
              <w:rPr>
                <w:i/>
                <w:sz w:val="16"/>
                <w:szCs w:val="16"/>
              </w:rPr>
              <w:t xml:space="preserve"> 2017 a 2018 vychádzajú zo „zafixo</w:t>
            </w:r>
            <w:r w:rsidRPr="009A517A">
              <w:rPr>
                <w:i/>
                <w:sz w:val="16"/>
                <w:szCs w:val="16"/>
              </w:rPr>
              <w:t>vaných“ hodnôt z jarného hodnotenia Európskej komisie</w:t>
            </w:r>
            <w:r>
              <w:rPr>
                <w:i/>
                <w:sz w:val="16"/>
                <w:szCs w:val="16"/>
              </w:rPr>
              <w:t xml:space="preserve"> v roku 2018</w:t>
            </w:r>
            <w:r w:rsidR="000E64DB">
              <w:rPr>
                <w:i/>
                <w:sz w:val="16"/>
                <w:szCs w:val="16"/>
              </w:rPr>
              <w:t>.</w:t>
            </w:r>
          </w:p>
          <w:p w14:paraId="542DCC28" w14:textId="77777777" w:rsidR="00BD53AF" w:rsidRPr="00930D3B" w:rsidRDefault="00BD53AF" w:rsidP="00387AE5">
            <w:pPr>
              <w:spacing w:before="40"/>
              <w:rPr>
                <w:rFonts w:cs="Times New Roman"/>
                <w:i/>
                <w:iCs/>
                <w:color w:val="000000"/>
                <w:sz w:val="16"/>
                <w:szCs w:val="16"/>
              </w:rPr>
            </w:pPr>
          </w:p>
        </w:tc>
        <w:tc>
          <w:tcPr>
            <w:tcW w:w="1275" w:type="dxa"/>
            <w:gridSpan w:val="2"/>
            <w:tcBorders>
              <w:top w:val="nil"/>
              <w:left w:val="nil"/>
              <w:bottom w:val="nil"/>
              <w:right w:val="nil"/>
            </w:tcBorders>
            <w:shd w:val="clear" w:color="auto" w:fill="auto"/>
          </w:tcPr>
          <w:p w14:paraId="7BFE0DFE" w14:textId="77777777" w:rsidR="00BD53AF" w:rsidRPr="00930D3B" w:rsidRDefault="00BD53AF" w:rsidP="00387AE5">
            <w:pPr>
              <w:spacing w:before="40"/>
              <w:jc w:val="right"/>
              <w:rPr>
                <w:rFonts w:cs="Times New Roman"/>
                <w:i/>
                <w:iCs/>
                <w:color w:val="000000"/>
                <w:sz w:val="16"/>
                <w:szCs w:val="16"/>
              </w:rPr>
            </w:pPr>
            <w:r w:rsidRPr="00930D3B">
              <w:rPr>
                <w:rFonts w:cs="Times New Roman"/>
                <w:i/>
                <w:iCs/>
                <w:color w:val="000000"/>
                <w:sz w:val="16"/>
                <w:szCs w:val="16"/>
              </w:rPr>
              <w:t>Zdroj: MF SR</w:t>
            </w:r>
          </w:p>
        </w:tc>
      </w:tr>
    </w:tbl>
    <w:p w14:paraId="1AB50E87" w14:textId="3B630CDF" w:rsidR="00AB0095" w:rsidRDefault="00AB0095" w:rsidP="00BD53AF">
      <w:pPr>
        <w:jc w:val="both"/>
      </w:pPr>
    </w:p>
    <w:p w14:paraId="76F64819" w14:textId="0DD399A6" w:rsidR="00AB0095" w:rsidRPr="00415590" w:rsidRDefault="00AB0095" w:rsidP="00415590">
      <w:pPr>
        <w:pStyle w:val="NormalList"/>
        <w:spacing w:after="240"/>
        <w:rPr>
          <w:rFonts w:cs="Arial Narrow"/>
          <w:b/>
          <w:color w:val="2C9ADC" w:themeColor="accent1"/>
        </w:rPr>
      </w:pPr>
      <w:r>
        <w:rPr>
          <w:rFonts w:cs="Arial Narrow"/>
          <w:b/>
          <w:color w:val="2C9ADC" w:themeColor="accent1"/>
          <w:lang w:eastAsia="sk-SK"/>
        </w:rPr>
        <w:t>Výhľad</w:t>
      </w:r>
      <w:r w:rsidRPr="00892F95">
        <w:rPr>
          <w:rFonts w:cs="Arial Narrow"/>
          <w:b/>
          <w:color w:val="2C9ADC" w:themeColor="accent1"/>
          <w:lang w:eastAsia="sk-SK"/>
        </w:rPr>
        <w:t xml:space="preserve"> štrukturálneho salda </w:t>
      </w:r>
      <w:r>
        <w:rPr>
          <w:rFonts w:cs="Arial Narrow"/>
          <w:b/>
          <w:color w:val="2C9ADC" w:themeColor="accent1"/>
          <w:lang w:eastAsia="sk-SK"/>
        </w:rPr>
        <w:t>v rokoch 2020-2022</w:t>
      </w:r>
    </w:p>
    <w:p w14:paraId="6F4D5ECD" w14:textId="493904B6" w:rsidR="00BD53AF" w:rsidRDefault="00AB0095" w:rsidP="00BD53AF">
      <w:pPr>
        <w:jc w:val="both"/>
      </w:pPr>
      <w:r w:rsidRPr="00892F95">
        <w:rPr>
          <w:b/>
        </w:rPr>
        <w:t>Program stability stanovuje cieľ strednodobého rozpočtového cieľa na úrovni štrukturálneho deficitu 1 % HDP</w:t>
      </w:r>
      <w:r>
        <w:rPr>
          <w:b/>
        </w:rPr>
        <w:t xml:space="preserve">. </w:t>
      </w:r>
      <w:r w:rsidRPr="00415590">
        <w:t>Minimálne hodnoty MTO určuje Pakt stability a rastu pre každú krajinu osobitne na základe očakávaného vplyvu starnutia populácie, fiškálneho vplyvu</w:t>
      </w:r>
      <w:r w:rsidR="00A23FBC">
        <w:t xml:space="preserve"> štandardnej ekonomickej krízy a</w:t>
      </w:r>
      <w:r w:rsidRPr="00415590">
        <w:t xml:space="preserve"> členstv</w:t>
      </w:r>
      <w:r w:rsidR="00A23FBC">
        <w:t>a</w:t>
      </w:r>
      <w:r w:rsidRPr="00415590">
        <w:t xml:space="preserve"> v </w:t>
      </w:r>
      <w:r w:rsidRPr="00D52A81">
        <w:t>eurozóne</w:t>
      </w:r>
      <w:r w:rsidR="007E38CE" w:rsidRPr="00D52A81">
        <w:rPr>
          <w:rStyle w:val="Odkaznapoznmkupodiarou"/>
        </w:rPr>
        <w:footnoteReference w:id="23"/>
      </w:r>
      <w:r w:rsidRPr="00D52A81">
        <w:t>. Vládou zvolená úroveň MTO v aktuálnom rozpočtovom rámci reflektuje najnovšiu aktualizáciu vstupných predpokladov</w:t>
      </w:r>
      <w:r w:rsidRPr="00415590">
        <w:t xml:space="preserve"> Európskej komisie, ktoré určujú minimálne MTO pre SR na úrovni štrukturálneho schodku 1</w:t>
      </w:r>
      <w:r w:rsidR="007557B3">
        <w:t> </w:t>
      </w:r>
      <w:r w:rsidRPr="00415590">
        <w:t>% HDP.</w:t>
      </w:r>
      <w:r w:rsidR="00BD53AF" w:rsidRPr="002F799A">
        <w:rPr>
          <w:b/>
        </w:rPr>
        <w:br/>
      </w:r>
      <w:r w:rsidR="00BD53AF" w:rsidRPr="00415590">
        <w:t>Bilancia hospodárenia verejnej správy si v rokoch 2020 a 2022 vytvorí v porovnaní s</w:t>
      </w:r>
      <w:r w:rsidRPr="00415590">
        <w:t xml:space="preserve">o stanoveným </w:t>
      </w:r>
      <w:r w:rsidR="00BD53AF" w:rsidRPr="00415590">
        <w:t>MTO rezervu</w:t>
      </w:r>
      <w:r w:rsidR="00BD53AF" w:rsidRPr="007557B3">
        <w:t>.</w:t>
      </w:r>
      <w:r w:rsidR="00BD53AF" w:rsidRPr="002F799A">
        <w:t xml:space="preserve"> </w:t>
      </w:r>
      <w:r w:rsidR="00BD53AF">
        <w:t>Udržanie nominálne vyrovnaných rozpočtov zodpovedá v časoch otáčania ekonomického cyklu miernej konsolidácii.</w:t>
      </w:r>
      <w:r w:rsidR="00BD53AF" w:rsidRPr="002F799A">
        <w:t xml:space="preserve"> </w:t>
      </w:r>
      <w:r w:rsidR="00BD53AF">
        <w:t>Š</w:t>
      </w:r>
      <w:r w:rsidR="00BD53AF" w:rsidRPr="002F799A">
        <w:t xml:space="preserve">trukturálny deficit </w:t>
      </w:r>
      <w:r w:rsidR="00BD53AF">
        <w:t xml:space="preserve">by sa mal </w:t>
      </w:r>
      <w:r w:rsidR="00BD53AF" w:rsidRPr="002F799A">
        <w:t>zníži</w:t>
      </w:r>
      <w:r w:rsidR="00BD53AF">
        <w:t>ť</w:t>
      </w:r>
      <w:r w:rsidR="00BD53AF" w:rsidRPr="002F799A">
        <w:t xml:space="preserve"> </w:t>
      </w:r>
      <w:r w:rsidR="00BD53AF">
        <w:t xml:space="preserve">do roku 2022 na </w:t>
      </w:r>
      <w:r w:rsidR="00BD53AF" w:rsidRPr="002F799A">
        <w:t>úroveň 0</w:t>
      </w:r>
      <w:r w:rsidR="00BD53AF">
        <w:t>,2</w:t>
      </w:r>
      <w:r w:rsidR="00BD53AF" w:rsidRPr="002F799A">
        <w:t xml:space="preserve"> % HDP</w:t>
      </w:r>
      <w:r w:rsidR="00BD53AF">
        <w:t xml:space="preserve"> (z úrovne 0,4 % HDP v roku 2019)</w:t>
      </w:r>
      <w:r w:rsidR="00BD53AF" w:rsidRPr="002F799A">
        <w:t xml:space="preserve">. </w:t>
      </w:r>
    </w:p>
    <w:p w14:paraId="063AC175" w14:textId="77777777" w:rsidR="00BD53AF" w:rsidRDefault="00BD53AF" w:rsidP="00BD53AF">
      <w:pPr>
        <w:jc w:val="both"/>
        <w:rPr>
          <w:highlight w:val="yellow"/>
        </w:rPr>
      </w:pPr>
    </w:p>
    <w:p w14:paraId="171C5709" w14:textId="4A948B04" w:rsidR="00BD53AF" w:rsidRDefault="00BD53AF" w:rsidP="00BD53AF">
      <w:pPr>
        <w:jc w:val="both"/>
      </w:pPr>
      <w:r>
        <w:rPr>
          <w:b/>
        </w:rPr>
        <w:t>Smerovanie f</w:t>
      </w:r>
      <w:r w:rsidRPr="002F799A">
        <w:rPr>
          <w:b/>
        </w:rPr>
        <w:t>iškáln</w:t>
      </w:r>
      <w:r>
        <w:rPr>
          <w:b/>
        </w:rPr>
        <w:t>ej</w:t>
      </w:r>
      <w:r w:rsidRPr="002F799A">
        <w:rPr>
          <w:b/>
        </w:rPr>
        <w:t xml:space="preserve"> politik</w:t>
      </w:r>
      <w:r>
        <w:rPr>
          <w:b/>
        </w:rPr>
        <w:t>y</w:t>
      </w:r>
      <w:r w:rsidRPr="002F799A">
        <w:rPr>
          <w:b/>
        </w:rPr>
        <w:t xml:space="preserve"> bude </w:t>
      </w:r>
      <w:r>
        <w:rPr>
          <w:b/>
        </w:rPr>
        <w:t xml:space="preserve">pôsobiť </w:t>
      </w:r>
      <w:r w:rsidRPr="002F799A">
        <w:rPr>
          <w:b/>
        </w:rPr>
        <w:t xml:space="preserve">na </w:t>
      </w:r>
      <w:r>
        <w:rPr>
          <w:b/>
        </w:rPr>
        <w:t>horizonte Programu stability neutrálne až mierne proti-</w:t>
      </w:r>
      <w:r w:rsidRPr="002F799A">
        <w:rPr>
          <w:b/>
        </w:rPr>
        <w:t>cyklicky</w:t>
      </w:r>
      <w:r w:rsidRPr="002F799A">
        <w:t xml:space="preserve">. Vzhľadom na </w:t>
      </w:r>
      <w:r>
        <w:t>aktuálne identifikovanú</w:t>
      </w:r>
      <w:r w:rsidRPr="002F799A">
        <w:t xml:space="preserve"> pozitívnu produkčnú medzeru </w:t>
      </w:r>
      <w:r>
        <w:t xml:space="preserve">(nad 1 % HDP) </w:t>
      </w:r>
      <w:r w:rsidRPr="002F799A">
        <w:t>je dodatočné konsolidačné úsilie</w:t>
      </w:r>
      <w:r>
        <w:t xml:space="preserve"> v roku 2019</w:t>
      </w:r>
      <w:r w:rsidRPr="002F799A">
        <w:t xml:space="preserve"> </w:t>
      </w:r>
      <w:r>
        <w:t>primerané</w:t>
      </w:r>
      <w:r w:rsidRPr="002F799A">
        <w:t xml:space="preserve">. </w:t>
      </w:r>
      <w:r w:rsidR="009B73FF">
        <w:t>Na</w:t>
      </w:r>
      <w:r>
        <w:t xml:space="preserve"> </w:t>
      </w:r>
      <w:r w:rsidR="009B73FF">
        <w:t>konci</w:t>
      </w:r>
      <w:r>
        <w:t xml:space="preserve"> strednodobého horizontu už bude dochádzať k postupnému uzatváraniu produkčnej medzery k rovnovážnemu stavu ekonomiky, čomu prináleží približne neutrálna fiškálna politika (</w:t>
      </w:r>
      <w:r w:rsidR="003828C3" w:rsidRPr="003828C3">
        <w:rPr>
          <w:color w:val="2C9ADC" w:themeColor="accent1"/>
        </w:rPr>
        <w:t>GRAF 15</w:t>
      </w:r>
      <w:r>
        <w:t>).</w:t>
      </w:r>
    </w:p>
    <w:p w14:paraId="3543AA38" w14:textId="77777777" w:rsidR="00BD53AF" w:rsidRPr="002F799A" w:rsidRDefault="00BD53AF" w:rsidP="00BD53AF">
      <w:pPr>
        <w:jc w:val="both"/>
      </w:pPr>
    </w:p>
    <w:tbl>
      <w:tblPr>
        <w:tblW w:w="9016" w:type="dxa"/>
        <w:tblLayout w:type="fixed"/>
        <w:tblCellMar>
          <w:left w:w="70" w:type="dxa"/>
          <w:right w:w="70" w:type="dxa"/>
        </w:tblCellMar>
        <w:tblLook w:val="0000" w:firstRow="0" w:lastRow="0" w:firstColumn="0" w:lastColumn="0" w:noHBand="0" w:noVBand="0"/>
      </w:tblPr>
      <w:tblGrid>
        <w:gridCol w:w="9016"/>
      </w:tblGrid>
      <w:tr w:rsidR="00BD53AF" w:rsidRPr="009B1FA2" w14:paraId="345FEB3B" w14:textId="77777777" w:rsidTr="00415590">
        <w:trPr>
          <w:trHeight w:val="201"/>
        </w:trPr>
        <w:tc>
          <w:tcPr>
            <w:tcW w:w="9016" w:type="dxa"/>
            <w:tcBorders>
              <w:bottom w:val="single" w:sz="4" w:space="0" w:color="auto"/>
            </w:tcBorders>
            <w:shd w:val="clear" w:color="auto" w:fill="auto"/>
          </w:tcPr>
          <w:p w14:paraId="7FE5F7CA" w14:textId="6CF64E3E" w:rsidR="00BD53AF" w:rsidRPr="009B1FA2" w:rsidRDefault="00BD53AF" w:rsidP="00387AE5">
            <w:pPr>
              <w:pStyle w:val="Nadpis3"/>
              <w:rPr>
                <w:rFonts w:eastAsiaTheme="minorHAnsi"/>
                <w:color w:val="2C9ADC"/>
                <w:lang w:eastAsia="en-US"/>
              </w:rPr>
            </w:pPr>
            <w:bookmarkStart w:id="127" w:name="_Ref5285120"/>
            <w:bookmarkStart w:id="128" w:name="_Toc6314258"/>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15</w:t>
            </w:r>
            <w:r w:rsidRPr="002E43AF">
              <w:rPr>
                <w:rFonts w:eastAsiaTheme="minorHAnsi"/>
                <w:color w:val="2C9ADC"/>
                <w:lang w:eastAsia="en-US"/>
              </w:rPr>
              <w:fldChar w:fldCharType="end"/>
            </w:r>
            <w:r w:rsidRPr="005328D5">
              <w:rPr>
                <w:rFonts w:eastAsiaTheme="minorHAnsi"/>
                <w:color w:val="2C9ADC"/>
                <w:lang w:eastAsia="en-US"/>
              </w:rPr>
              <w:t xml:space="preserve"> - Zmena primárneho štrukturálneho salda oproti úrovni produkčnej medzery (% HDP)</w:t>
            </w:r>
            <w:bookmarkEnd w:id="127"/>
            <w:bookmarkEnd w:id="128"/>
          </w:p>
        </w:tc>
      </w:tr>
      <w:tr w:rsidR="00BD53AF" w:rsidRPr="00C735D9" w14:paraId="6F2F9D8C" w14:textId="77777777" w:rsidTr="00415590">
        <w:trPr>
          <w:trHeight w:val="2713"/>
        </w:trPr>
        <w:tc>
          <w:tcPr>
            <w:tcW w:w="9016" w:type="dxa"/>
            <w:tcBorders>
              <w:top w:val="single" w:sz="4" w:space="0" w:color="auto"/>
              <w:bottom w:val="single" w:sz="4" w:space="0" w:color="auto"/>
            </w:tcBorders>
            <w:shd w:val="clear" w:color="auto" w:fill="auto"/>
          </w:tcPr>
          <w:p w14:paraId="5ED0112C" w14:textId="77777777" w:rsidR="00BD53AF" w:rsidRPr="00C735D9" w:rsidRDefault="00BD53AF" w:rsidP="00387AE5">
            <w:pPr>
              <w:jc w:val="both"/>
              <w:rPr>
                <w:rFonts w:cs="Garamond"/>
                <w:b/>
                <w:bCs/>
                <w:sz w:val="16"/>
                <w:szCs w:val="16"/>
                <w:highlight w:val="yellow"/>
              </w:rPr>
            </w:pPr>
            <w:r>
              <w:rPr>
                <w:noProof/>
              </w:rPr>
              <w:drawing>
                <wp:inline distT="0" distB="0" distL="0" distR="0" wp14:anchorId="3018377F" wp14:editId="5FF87167">
                  <wp:extent cx="5713171" cy="237744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D53AF" w:rsidRPr="00C735D9" w14:paraId="1639FF7A" w14:textId="77777777" w:rsidTr="00415590">
        <w:trPr>
          <w:trHeight w:val="149"/>
        </w:trPr>
        <w:tc>
          <w:tcPr>
            <w:tcW w:w="9016" w:type="dxa"/>
            <w:tcBorders>
              <w:top w:val="single" w:sz="4" w:space="0" w:color="auto"/>
            </w:tcBorders>
            <w:shd w:val="clear" w:color="auto" w:fill="auto"/>
            <w:vAlign w:val="center"/>
          </w:tcPr>
          <w:p w14:paraId="10BBF887" w14:textId="77777777" w:rsidR="00BD53AF" w:rsidRPr="005328D5" w:rsidRDefault="00BD53AF" w:rsidP="00387AE5">
            <w:pPr>
              <w:jc w:val="right"/>
              <w:rPr>
                <w:rFonts w:cs="Arial"/>
                <w:i/>
                <w:sz w:val="16"/>
                <w:szCs w:val="14"/>
              </w:rPr>
            </w:pPr>
            <w:r w:rsidRPr="005328D5">
              <w:rPr>
                <w:rFonts w:cs="Arial"/>
                <w:i/>
                <w:sz w:val="16"/>
                <w:szCs w:val="14"/>
              </w:rPr>
              <w:t>Zdroj: MF SR</w:t>
            </w:r>
          </w:p>
        </w:tc>
      </w:tr>
    </w:tbl>
    <w:p w14:paraId="6A262C31" w14:textId="4230455E" w:rsidR="004F1515" w:rsidRDefault="004F1515">
      <w:pPr>
        <w:rPr>
          <w:b/>
          <w:color w:val="2C9ADC"/>
          <w:sz w:val="24"/>
          <w:szCs w:val="24"/>
        </w:rPr>
      </w:pPr>
      <w:bookmarkStart w:id="129" w:name="_Toc216573751"/>
      <w:bookmarkStart w:id="130" w:name="_Toc385764215"/>
      <w:bookmarkStart w:id="131" w:name="_Toc449429153"/>
      <w:bookmarkStart w:id="132" w:name="_Toc449430163"/>
    </w:p>
    <w:p w14:paraId="4A0ABA25" w14:textId="23D98092" w:rsidR="00BD53AF" w:rsidRPr="00780987" w:rsidRDefault="00BD53AF" w:rsidP="004F1515">
      <w:pPr>
        <w:pStyle w:val="Nadpis2"/>
        <w:keepLines/>
        <w:numPr>
          <w:ilvl w:val="1"/>
          <w:numId w:val="2"/>
        </w:numPr>
        <w:spacing w:before="240" w:after="120"/>
        <w:rPr>
          <w:b/>
          <w:color w:val="2C9ADC"/>
          <w:szCs w:val="24"/>
        </w:rPr>
      </w:pPr>
      <w:bookmarkStart w:id="133" w:name="_Toc5869385"/>
      <w:r w:rsidRPr="00780987">
        <w:rPr>
          <w:b/>
          <w:color w:val="2C9ADC"/>
          <w:szCs w:val="24"/>
        </w:rPr>
        <w:lastRenderedPageBreak/>
        <w:t>Výdavkové pravidlo</w:t>
      </w:r>
      <w:bookmarkEnd w:id="133"/>
    </w:p>
    <w:p w14:paraId="1893FA94" w14:textId="0BC2D944" w:rsidR="00BD53AF" w:rsidRPr="00780987" w:rsidRDefault="00BD53AF" w:rsidP="00BD53AF">
      <w:pPr>
        <w:pStyle w:val="NormalList"/>
        <w:spacing w:after="240"/>
        <w:rPr>
          <w:rFonts w:cs="Arial Narrow"/>
        </w:rPr>
      </w:pPr>
      <w:r w:rsidRPr="005328D5">
        <w:rPr>
          <w:rFonts w:cs="Arial Narrow"/>
          <w:b/>
        </w:rPr>
        <w:t xml:space="preserve">Druhým pilierom preventívnej </w:t>
      </w:r>
      <w:r w:rsidRPr="005328D5">
        <w:rPr>
          <w:b/>
        </w:rPr>
        <w:t>č</w:t>
      </w:r>
      <w:r w:rsidRPr="005328D5">
        <w:rPr>
          <w:rFonts w:cs="Arial Narrow"/>
          <w:b/>
        </w:rPr>
        <w:t>asti Paktu je výdavkové pravidlo</w:t>
      </w:r>
      <w:r w:rsidRPr="005328D5">
        <w:rPr>
          <w:rFonts w:cs="Arial Narrow"/>
        </w:rPr>
        <w:t xml:space="preserve">. Podľa neho </w:t>
      </w:r>
      <w:r>
        <w:rPr>
          <w:rFonts w:cs="Arial Narrow"/>
        </w:rPr>
        <w:t>nemajú</w:t>
      </w:r>
      <w:r w:rsidRPr="005328D5">
        <w:rPr>
          <w:rFonts w:cs="Arial Narrow"/>
        </w:rPr>
        <w:t xml:space="preserve"> rásť výdavky VS </w:t>
      </w:r>
      <w:r>
        <w:rPr>
          <w:rFonts w:cs="Arial Narrow"/>
        </w:rPr>
        <w:t>(</w:t>
      </w:r>
      <w:r w:rsidRPr="005328D5">
        <w:rPr>
          <w:rFonts w:cs="Arial Narrow"/>
        </w:rPr>
        <w:t>očistené o položky mimo kontroly vlády a nové príjmové opatrenia</w:t>
      </w:r>
      <w:r w:rsidRPr="005328D5">
        <w:rPr>
          <w:rStyle w:val="Odkaznapoznmkupodiarou"/>
        </w:rPr>
        <w:footnoteReference w:id="24"/>
      </w:r>
      <w:r>
        <w:rPr>
          <w:rFonts w:cs="Arial Narrow"/>
        </w:rPr>
        <w:t>)</w:t>
      </w:r>
      <w:r w:rsidRPr="005328D5">
        <w:rPr>
          <w:rFonts w:cs="Arial Narrow"/>
        </w:rPr>
        <w:t xml:space="preserve"> rýchlejšie ako strednodobý potenciálny rast ekonomiky</w:t>
      </w:r>
      <w:r w:rsidRPr="005328D5">
        <w:rPr>
          <w:rStyle w:val="Odkaznapoznmkupodiarou"/>
        </w:rPr>
        <w:footnoteReference w:id="25"/>
      </w:r>
      <w:r w:rsidRPr="005328D5">
        <w:t>. Takéto tempo by malo zabezpečiť stabilizáciu úrovne salda VS.</w:t>
      </w:r>
      <w:r w:rsidRPr="005328D5">
        <w:rPr>
          <w:rFonts w:cs="Arial Narrow"/>
        </w:rPr>
        <w:t xml:space="preserve"> V prípade, že krajina ešte nedosiahla svoj MTO (prípad SR</w:t>
      </w:r>
      <w:r>
        <w:rPr>
          <w:rFonts w:cs="Arial Narrow"/>
        </w:rPr>
        <w:t xml:space="preserve"> v roku 2018</w:t>
      </w:r>
      <w:r w:rsidRPr="005328D5">
        <w:rPr>
          <w:rFonts w:cs="Arial Narrow"/>
        </w:rPr>
        <w:t>), rast výdavkov musí zohľadniť aj potrebu</w:t>
      </w:r>
      <w:r>
        <w:rPr>
          <w:rFonts w:cs="Arial Narrow"/>
        </w:rPr>
        <w:t xml:space="preserve"> postupnej </w:t>
      </w:r>
      <w:r w:rsidRPr="005328D5">
        <w:rPr>
          <w:rFonts w:cs="Arial Narrow"/>
        </w:rPr>
        <w:t xml:space="preserve">konvergencie k tomuto cieľu. V takomto prípade sa výdavkové pravidlo </w:t>
      </w:r>
      <w:r>
        <w:rPr>
          <w:rFonts w:cs="Arial Narrow"/>
        </w:rPr>
        <w:t xml:space="preserve">v jednotlivých rokoch </w:t>
      </w:r>
      <w:r w:rsidRPr="005328D5">
        <w:rPr>
          <w:rFonts w:cs="Arial Narrow"/>
        </w:rPr>
        <w:t>upravuje o tzv. konvergenčnú mieru, ktorá sa odvíja od požadovaného konsolidačného úsilia štrukturálneho salda (viac v</w:t>
      </w:r>
      <w:r w:rsidR="003828C3">
        <w:rPr>
          <w:rFonts w:cs="Arial Narrow"/>
        </w:rPr>
        <w:t> </w:t>
      </w:r>
      <w:r w:rsidR="003828C3" w:rsidRPr="003828C3">
        <w:rPr>
          <w:rFonts w:cs="Arial Narrow"/>
          <w:color w:val="2C9ADC" w:themeColor="accent1"/>
        </w:rPr>
        <w:t>Prílohe 3</w:t>
      </w:r>
      <w:r w:rsidRPr="005328D5">
        <w:rPr>
          <w:rFonts w:cs="Arial Narrow"/>
        </w:rPr>
        <w:t>).</w:t>
      </w:r>
      <w:r w:rsidRPr="00780987">
        <w:rPr>
          <w:rFonts w:cs="Arial Narrow"/>
        </w:rPr>
        <w:t xml:space="preserve"> </w:t>
      </w:r>
    </w:p>
    <w:p w14:paraId="0000D124" w14:textId="77777777" w:rsidR="00BD53AF" w:rsidRPr="00780987" w:rsidRDefault="00BD53AF" w:rsidP="00BD53AF">
      <w:pPr>
        <w:pStyle w:val="NormalList"/>
      </w:pPr>
      <w:r w:rsidRPr="00780987">
        <w:rPr>
          <w:b/>
        </w:rPr>
        <w:t xml:space="preserve">V posledných rokoch </w:t>
      </w:r>
      <w:r>
        <w:rPr>
          <w:b/>
        </w:rPr>
        <w:t>sa stáva</w:t>
      </w:r>
      <w:r w:rsidRPr="00780987">
        <w:rPr>
          <w:b/>
        </w:rPr>
        <w:t xml:space="preserve"> výdavkové pravidlo dôležit</w:t>
      </w:r>
      <w:r>
        <w:rPr>
          <w:b/>
        </w:rPr>
        <w:t>ejšie</w:t>
      </w:r>
      <w:r w:rsidRPr="00780987">
        <w:rPr>
          <w:b/>
        </w:rPr>
        <w:t xml:space="preserve"> pri hodnotení súladu s pravidlami Paktu.</w:t>
      </w:r>
      <w:r w:rsidRPr="00780987">
        <w:rPr>
          <w:color w:val="000000" w:themeColor="text1"/>
        </w:rPr>
        <w:t xml:space="preserve"> Výhodou </w:t>
      </w:r>
      <w:r w:rsidRPr="00780987">
        <w:t>výdavkového pravidla oproti štrukturálne</w:t>
      </w:r>
      <w:r>
        <w:t xml:space="preserve">mu saldu je predpoklad dlhodobého </w:t>
      </w:r>
      <w:r w:rsidRPr="00780987">
        <w:t>a stabilnejšieho odhadu potenciálneho rastu, ktorý podlieha menej výrazným revíziám než odhady produkčnej medzery</w:t>
      </w:r>
      <w:r>
        <w:t xml:space="preserve"> v jednotlivých rokoch</w:t>
      </w:r>
      <w:r w:rsidRPr="00780987">
        <w:t>.</w:t>
      </w:r>
      <w:bookmarkStart w:id="134" w:name="_Toc495423405"/>
      <w:r w:rsidRPr="00780987">
        <w:t xml:space="preserve"> </w:t>
      </w:r>
      <w:r>
        <w:rPr>
          <w:rFonts w:cs="Arial Narrow"/>
        </w:rPr>
        <w:t xml:space="preserve">Výdavkové pravidlo tak </w:t>
      </w:r>
      <w:r w:rsidRPr="00780987">
        <w:rPr>
          <w:rFonts w:cs="Arial Narrow"/>
        </w:rPr>
        <w:t>zároveň abstrahuje nielen od ponukových šokov do ekonomiky</w:t>
      </w:r>
      <w:r>
        <w:rPr>
          <w:rFonts w:cs="Arial Narrow"/>
        </w:rPr>
        <w:t>,</w:t>
      </w:r>
      <w:r w:rsidRPr="00780987">
        <w:rPr>
          <w:rFonts w:cs="Arial Narrow"/>
        </w:rPr>
        <w:t xml:space="preserve"> ale aj odlišnej </w:t>
      </w:r>
      <w:r>
        <w:rPr>
          <w:rFonts w:cs="Arial Narrow"/>
        </w:rPr>
        <w:t xml:space="preserve">než štandardnej </w:t>
      </w:r>
      <w:r w:rsidRPr="00780987">
        <w:rPr>
          <w:rFonts w:cs="Arial Narrow"/>
        </w:rPr>
        <w:t>dynamiky výberu daní</w:t>
      </w:r>
      <w:r>
        <w:rPr>
          <w:rFonts w:cs="Arial Narrow"/>
        </w:rPr>
        <w:t xml:space="preserve"> (predpokladá sa jednotková elasticita výberu daní voči rastu HDP)</w:t>
      </w:r>
      <w:r w:rsidRPr="00780987">
        <w:rPr>
          <w:rFonts w:cs="Arial Narrow"/>
        </w:rPr>
        <w:t>. V dobrých časoch</w:t>
      </w:r>
      <w:r>
        <w:rPr>
          <w:rFonts w:cs="Arial Narrow"/>
        </w:rPr>
        <w:t xml:space="preserve">, </w:t>
      </w:r>
      <w:r w:rsidRPr="00780987">
        <w:rPr>
          <w:rFonts w:cs="Arial Narrow"/>
        </w:rPr>
        <w:t xml:space="preserve">kedy </w:t>
      </w:r>
      <w:r>
        <w:rPr>
          <w:rFonts w:cs="Arial Narrow"/>
        </w:rPr>
        <w:t xml:space="preserve">daňovo-odvodové </w:t>
      </w:r>
      <w:r w:rsidRPr="00780987">
        <w:rPr>
          <w:rFonts w:cs="Arial Narrow"/>
        </w:rPr>
        <w:t>príjmy</w:t>
      </w:r>
      <w:r>
        <w:rPr>
          <w:rFonts w:cs="Arial Narrow"/>
        </w:rPr>
        <w:t xml:space="preserve"> rastú rýchlejšie ako HDP a </w:t>
      </w:r>
      <w:r w:rsidRPr="00780987">
        <w:rPr>
          <w:rFonts w:cs="Arial Narrow"/>
        </w:rPr>
        <w:t xml:space="preserve">zlepšujú fiškálnu pozíciu </w:t>
      </w:r>
      <w:r>
        <w:rPr>
          <w:rFonts w:cs="Arial Narrow"/>
        </w:rPr>
        <w:t>vo výraznejšej miere,</w:t>
      </w:r>
      <w:r w:rsidRPr="00780987">
        <w:rPr>
          <w:rFonts w:cs="Arial Narrow"/>
        </w:rPr>
        <w:t xml:space="preserve"> je </w:t>
      </w:r>
      <w:r>
        <w:rPr>
          <w:rFonts w:cs="Arial Narrow"/>
        </w:rPr>
        <w:t xml:space="preserve">výdavkové pravidlo </w:t>
      </w:r>
      <w:r w:rsidRPr="00780987">
        <w:rPr>
          <w:rFonts w:cs="Arial Narrow"/>
        </w:rPr>
        <w:t>v porovnaní so štrukturálnym saldom prísnejším</w:t>
      </w:r>
      <w:r>
        <w:rPr>
          <w:rFonts w:cs="Arial Narrow"/>
        </w:rPr>
        <w:t xml:space="preserve"> a viac proti-cyklickým</w:t>
      </w:r>
      <w:r w:rsidRPr="00780987">
        <w:rPr>
          <w:rFonts w:cs="Arial Narrow"/>
        </w:rPr>
        <w:t xml:space="preserve"> indikátorom pre hodnotenie konsolidačného úsilia</w:t>
      </w:r>
      <w:r>
        <w:rPr>
          <w:rFonts w:cs="Arial Narrow"/>
        </w:rPr>
        <w:t>.</w:t>
      </w:r>
    </w:p>
    <w:tbl>
      <w:tblPr>
        <w:tblW w:w="9002" w:type="dxa"/>
        <w:tblInd w:w="70" w:type="dxa"/>
        <w:tblLayout w:type="fixed"/>
        <w:tblCellMar>
          <w:left w:w="70" w:type="dxa"/>
          <w:right w:w="70" w:type="dxa"/>
        </w:tblCellMar>
        <w:tblLook w:val="0000" w:firstRow="0" w:lastRow="0" w:firstColumn="0" w:lastColumn="0" w:noHBand="0" w:noVBand="0"/>
      </w:tblPr>
      <w:tblGrid>
        <w:gridCol w:w="4385"/>
        <w:gridCol w:w="160"/>
        <w:gridCol w:w="6"/>
        <w:gridCol w:w="4451"/>
      </w:tblGrid>
      <w:tr w:rsidR="00BD53AF" w:rsidRPr="009B1FA2" w14:paraId="16852AC0" w14:textId="77777777" w:rsidTr="00387AE5">
        <w:trPr>
          <w:trHeight w:val="638"/>
        </w:trPr>
        <w:tc>
          <w:tcPr>
            <w:tcW w:w="4385" w:type="dxa"/>
            <w:tcBorders>
              <w:bottom w:val="single" w:sz="4" w:space="0" w:color="auto"/>
            </w:tcBorders>
            <w:shd w:val="clear" w:color="auto" w:fill="auto"/>
            <w:vAlign w:val="bottom"/>
          </w:tcPr>
          <w:p w14:paraId="3A640F98" w14:textId="16DE18B4" w:rsidR="00BD53AF" w:rsidRPr="009B1FA2" w:rsidRDefault="00BD53AF" w:rsidP="00387AE5">
            <w:pPr>
              <w:pStyle w:val="Nadpis3"/>
              <w:rPr>
                <w:rFonts w:eastAsiaTheme="minorHAnsi"/>
                <w:color w:val="2C9ADC"/>
                <w:lang w:eastAsia="en-US"/>
              </w:rPr>
            </w:pPr>
            <w:bookmarkStart w:id="135" w:name="_Ref5285184"/>
            <w:bookmarkStart w:id="136" w:name="_Toc6314259"/>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16</w:t>
            </w:r>
            <w:r w:rsidRPr="002E43AF">
              <w:rPr>
                <w:rFonts w:eastAsiaTheme="minorHAnsi"/>
                <w:color w:val="2C9ADC"/>
                <w:lang w:eastAsia="en-US"/>
              </w:rPr>
              <w:fldChar w:fldCharType="end"/>
            </w:r>
            <w:r w:rsidRPr="009B1FA2">
              <w:rPr>
                <w:rFonts w:eastAsiaTheme="minorHAnsi"/>
                <w:color w:val="2C9ADC"/>
                <w:lang w:eastAsia="en-US"/>
              </w:rPr>
              <w:t xml:space="preserve"> - Vývoj výdavkového agregátu oproti výdavkovému pravidlu (% medziročný nárast)</w:t>
            </w:r>
            <w:bookmarkEnd w:id="134"/>
            <w:bookmarkEnd w:id="135"/>
            <w:bookmarkEnd w:id="136"/>
          </w:p>
        </w:tc>
        <w:tc>
          <w:tcPr>
            <w:tcW w:w="166" w:type="dxa"/>
            <w:gridSpan w:val="2"/>
            <w:shd w:val="clear" w:color="auto" w:fill="auto"/>
            <w:vAlign w:val="center"/>
          </w:tcPr>
          <w:p w14:paraId="2BB718EE" w14:textId="77777777" w:rsidR="00BD53AF" w:rsidRPr="009B1FA2" w:rsidRDefault="00BD53AF" w:rsidP="00387AE5">
            <w:pPr>
              <w:pStyle w:val="Nadpis3"/>
              <w:rPr>
                <w:rFonts w:eastAsiaTheme="minorHAnsi"/>
                <w:color w:val="2C9ADC"/>
                <w:lang w:eastAsia="en-US"/>
              </w:rPr>
            </w:pPr>
          </w:p>
        </w:tc>
        <w:tc>
          <w:tcPr>
            <w:tcW w:w="4451" w:type="dxa"/>
            <w:tcBorders>
              <w:bottom w:val="single" w:sz="4" w:space="0" w:color="auto"/>
            </w:tcBorders>
            <w:shd w:val="clear" w:color="auto" w:fill="auto"/>
            <w:vAlign w:val="bottom"/>
          </w:tcPr>
          <w:p w14:paraId="2A443A81" w14:textId="1550B83C" w:rsidR="00BD53AF" w:rsidRPr="009B1FA2" w:rsidRDefault="00BD53AF" w:rsidP="00387AE5">
            <w:pPr>
              <w:pStyle w:val="Nadpis3"/>
              <w:rPr>
                <w:rFonts w:eastAsiaTheme="minorHAnsi"/>
                <w:color w:val="2C9ADC"/>
                <w:lang w:eastAsia="en-US"/>
              </w:rPr>
            </w:pPr>
            <w:bookmarkStart w:id="137" w:name="_Toc495423406"/>
            <w:bookmarkStart w:id="138" w:name="_Ref5285225"/>
            <w:bookmarkStart w:id="139" w:name="_Toc6314260"/>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17</w:t>
            </w:r>
            <w:r w:rsidRPr="002E43AF">
              <w:rPr>
                <w:rFonts w:eastAsiaTheme="minorHAnsi"/>
                <w:color w:val="2C9ADC"/>
                <w:lang w:eastAsia="en-US"/>
              </w:rPr>
              <w:fldChar w:fldCharType="end"/>
            </w:r>
            <w:r w:rsidRPr="009B1FA2">
              <w:rPr>
                <w:rFonts w:eastAsiaTheme="minorHAnsi"/>
                <w:color w:val="2C9ADC"/>
                <w:lang w:eastAsia="en-US"/>
              </w:rPr>
              <w:t xml:space="preserve"> - Vývoj daňovo-odvodových príjmov oproti potenciálnemu rastu HDP (% medziročný nárast)</w:t>
            </w:r>
            <w:bookmarkEnd w:id="137"/>
            <w:bookmarkEnd w:id="138"/>
            <w:bookmarkEnd w:id="139"/>
          </w:p>
        </w:tc>
      </w:tr>
      <w:tr w:rsidR="00BD53AF" w:rsidRPr="00C735D9" w14:paraId="5A900E9C" w14:textId="77777777" w:rsidTr="00795E53">
        <w:trPr>
          <w:trHeight w:val="3184"/>
        </w:trPr>
        <w:tc>
          <w:tcPr>
            <w:tcW w:w="4385" w:type="dxa"/>
            <w:tcBorders>
              <w:top w:val="single" w:sz="4" w:space="0" w:color="auto"/>
              <w:bottom w:val="single" w:sz="4" w:space="0" w:color="auto"/>
            </w:tcBorders>
            <w:shd w:val="clear" w:color="auto" w:fill="auto"/>
          </w:tcPr>
          <w:p w14:paraId="0DC5D0F5" w14:textId="7378E632" w:rsidR="00BD53AF" w:rsidRPr="0090725C" w:rsidRDefault="00795E53" w:rsidP="00387AE5">
            <w:pPr>
              <w:rPr>
                <w:sz w:val="18"/>
                <w:szCs w:val="18"/>
              </w:rPr>
            </w:pPr>
            <w:r>
              <w:rPr>
                <w:noProof/>
              </w:rPr>
              <w:drawing>
                <wp:inline distT="0" distB="0" distL="0" distR="0" wp14:anchorId="002406E7" wp14:editId="664E6F1F">
                  <wp:extent cx="2760453" cy="1932317"/>
                  <wp:effectExtent l="0" t="0" r="190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60" w:type="dxa"/>
            <w:shd w:val="clear" w:color="auto" w:fill="auto"/>
          </w:tcPr>
          <w:p w14:paraId="78EE0C3C" w14:textId="77777777" w:rsidR="00BD53AF" w:rsidRPr="0019108B" w:rsidRDefault="00BD53AF" w:rsidP="00387AE5"/>
        </w:tc>
        <w:tc>
          <w:tcPr>
            <w:tcW w:w="4457" w:type="dxa"/>
            <w:gridSpan w:val="2"/>
            <w:tcBorders>
              <w:bottom w:val="single" w:sz="4" w:space="0" w:color="auto"/>
            </w:tcBorders>
            <w:shd w:val="clear" w:color="auto" w:fill="auto"/>
          </w:tcPr>
          <w:p w14:paraId="5F5853B4" w14:textId="77777777" w:rsidR="00BD53AF" w:rsidRPr="0019108B" w:rsidRDefault="00BD53AF" w:rsidP="00387AE5">
            <w:pPr>
              <w:rPr>
                <w:sz w:val="18"/>
                <w:szCs w:val="18"/>
              </w:rPr>
            </w:pPr>
            <w:r>
              <w:rPr>
                <w:noProof/>
              </w:rPr>
              <w:drawing>
                <wp:inline distT="0" distB="0" distL="0" distR="0" wp14:anchorId="38620DE7" wp14:editId="628FE463">
                  <wp:extent cx="2679065" cy="1971675"/>
                  <wp:effectExtent l="0" t="0" r="6985"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BD53AF" w:rsidRPr="00C735D9" w14:paraId="75522A3B" w14:textId="77777777" w:rsidTr="00387AE5">
        <w:trPr>
          <w:trHeight w:val="94"/>
        </w:trPr>
        <w:tc>
          <w:tcPr>
            <w:tcW w:w="4385" w:type="dxa"/>
            <w:tcBorders>
              <w:top w:val="single" w:sz="4" w:space="0" w:color="auto"/>
            </w:tcBorders>
            <w:shd w:val="clear" w:color="auto" w:fill="auto"/>
            <w:vAlign w:val="center"/>
          </w:tcPr>
          <w:p w14:paraId="638D57ED" w14:textId="77777777" w:rsidR="00BD53AF" w:rsidRPr="00C735D9" w:rsidRDefault="00BD53AF" w:rsidP="00387AE5">
            <w:pPr>
              <w:spacing w:after="240"/>
              <w:jc w:val="both"/>
              <w:rPr>
                <w:sz w:val="16"/>
                <w:szCs w:val="16"/>
                <w:highlight w:val="yellow"/>
              </w:rPr>
            </w:pPr>
            <w:r w:rsidRPr="00474773">
              <w:rPr>
                <w:i/>
                <w:sz w:val="16"/>
                <w:szCs w:val="16"/>
              </w:rPr>
              <w:t>Pozn.: povolený rast výdavkov podľa výdavkového pravidla sa na konci horizontu zvyšuje vzhľadom na naplnenie úrovne MTO</w:t>
            </w:r>
            <w:r w:rsidRPr="00474773">
              <w:rPr>
                <w:sz w:val="16"/>
                <w:szCs w:val="16"/>
              </w:rPr>
              <w:t xml:space="preserve">       </w:t>
            </w:r>
            <w:r w:rsidRPr="00474773">
              <w:rPr>
                <w:i/>
                <w:sz w:val="16"/>
                <w:szCs w:val="16"/>
              </w:rPr>
              <w:t>Zdroj: MF SR</w:t>
            </w:r>
          </w:p>
        </w:tc>
        <w:tc>
          <w:tcPr>
            <w:tcW w:w="160" w:type="dxa"/>
            <w:shd w:val="clear" w:color="auto" w:fill="auto"/>
            <w:vAlign w:val="center"/>
          </w:tcPr>
          <w:p w14:paraId="40731675" w14:textId="77777777" w:rsidR="00BD53AF" w:rsidRPr="00C735D9" w:rsidRDefault="00BD53AF" w:rsidP="00387AE5">
            <w:pPr>
              <w:jc w:val="center"/>
              <w:rPr>
                <w:highlight w:val="yellow"/>
              </w:rPr>
            </w:pPr>
          </w:p>
        </w:tc>
        <w:tc>
          <w:tcPr>
            <w:tcW w:w="4457" w:type="dxa"/>
            <w:gridSpan w:val="2"/>
            <w:shd w:val="clear" w:color="auto" w:fill="auto"/>
            <w:vAlign w:val="center"/>
          </w:tcPr>
          <w:p w14:paraId="1A316DE8" w14:textId="77777777" w:rsidR="00BD53AF" w:rsidRPr="00C735D9" w:rsidRDefault="00BD53AF" w:rsidP="00387AE5">
            <w:pPr>
              <w:spacing w:after="240"/>
              <w:rPr>
                <w:highlight w:val="yellow"/>
              </w:rPr>
            </w:pPr>
            <w:r w:rsidRPr="00474773">
              <w:rPr>
                <w:i/>
                <w:sz w:val="16"/>
                <w:szCs w:val="16"/>
              </w:rPr>
              <w:t>Pozn.</w:t>
            </w:r>
            <w:r>
              <w:rPr>
                <w:i/>
                <w:sz w:val="16"/>
                <w:szCs w:val="16"/>
              </w:rPr>
              <w:t>:</w:t>
            </w:r>
            <w:r w:rsidRPr="00474773">
              <w:rPr>
                <w:i/>
                <w:sz w:val="16"/>
                <w:szCs w:val="16"/>
              </w:rPr>
              <w:t xml:space="preserve"> Reálny rast daňovo-odvodových príjmov je vyčíslený cez deflátor HDP</w:t>
            </w:r>
            <w:r>
              <w:rPr>
                <w:i/>
                <w:sz w:val="16"/>
                <w:szCs w:val="16"/>
              </w:rPr>
              <w:t xml:space="preserve"> a očistený o </w:t>
            </w:r>
            <w:r w:rsidRPr="00265FD8">
              <w:rPr>
                <w:sz w:val="16"/>
                <w:szCs w:val="16"/>
              </w:rPr>
              <w:t>zmenu v príjmoch z titulu diskrečných príjmových opatren</w:t>
            </w:r>
            <w:r>
              <w:rPr>
                <w:sz w:val="16"/>
                <w:szCs w:val="16"/>
              </w:rPr>
              <w:t>í</w:t>
            </w:r>
            <w:r w:rsidRPr="00474773">
              <w:rPr>
                <w:i/>
                <w:sz w:val="16"/>
                <w:szCs w:val="16"/>
              </w:rPr>
              <w:t xml:space="preserve">                                                                        </w:t>
            </w:r>
            <w:r>
              <w:rPr>
                <w:i/>
                <w:sz w:val="16"/>
                <w:szCs w:val="16"/>
              </w:rPr>
              <w:t xml:space="preserve">           </w:t>
            </w:r>
            <w:r w:rsidRPr="00474773">
              <w:rPr>
                <w:i/>
                <w:sz w:val="16"/>
                <w:szCs w:val="16"/>
              </w:rPr>
              <w:t xml:space="preserve">Zdroj: MF SR </w:t>
            </w:r>
          </w:p>
        </w:tc>
      </w:tr>
    </w:tbl>
    <w:p w14:paraId="6C2B082D" w14:textId="1B512843" w:rsidR="00BD53AF" w:rsidRPr="004E46F7" w:rsidRDefault="00BD53AF" w:rsidP="00BD53AF">
      <w:pPr>
        <w:spacing w:after="240"/>
        <w:jc w:val="both"/>
        <w:rPr>
          <w:highlight w:val="yellow"/>
        </w:rPr>
      </w:pPr>
      <w:r>
        <w:rPr>
          <w:b/>
        </w:rPr>
        <w:t>V</w:t>
      </w:r>
      <w:r w:rsidRPr="002E43AF">
        <w:rPr>
          <w:b/>
        </w:rPr>
        <w:t>ýdavkové pravidlo</w:t>
      </w:r>
      <w:r>
        <w:rPr>
          <w:b/>
        </w:rPr>
        <w:t xml:space="preserve"> naznačuje</w:t>
      </w:r>
      <w:r w:rsidRPr="002E43AF">
        <w:rPr>
          <w:b/>
        </w:rPr>
        <w:t xml:space="preserve"> </w:t>
      </w:r>
      <w:r>
        <w:rPr>
          <w:b/>
        </w:rPr>
        <w:t xml:space="preserve">dočasné </w:t>
      </w:r>
      <w:r w:rsidRPr="002E43AF">
        <w:rPr>
          <w:b/>
        </w:rPr>
        <w:t>odchýlenie od smerovania k</w:t>
      </w:r>
      <w:r>
        <w:rPr>
          <w:b/>
        </w:rPr>
        <w:t> </w:t>
      </w:r>
      <w:r w:rsidRPr="002E43AF">
        <w:rPr>
          <w:b/>
        </w:rPr>
        <w:t>MTO</w:t>
      </w:r>
      <w:r>
        <w:rPr>
          <w:b/>
        </w:rPr>
        <w:t xml:space="preserve"> v roku 2018, ktoré však</w:t>
      </w:r>
      <w:r w:rsidRPr="002E43AF">
        <w:rPr>
          <w:b/>
        </w:rPr>
        <w:t xml:space="preserve"> súvisí aj s </w:t>
      </w:r>
      <w:r w:rsidR="00BC5677">
        <w:rPr>
          <w:b/>
        </w:rPr>
        <w:t>lepším výsledkom</w:t>
      </w:r>
      <w:r w:rsidRPr="002E43AF">
        <w:rPr>
          <w:b/>
        </w:rPr>
        <w:t xml:space="preserve"> </w:t>
      </w:r>
      <w:r>
        <w:rPr>
          <w:b/>
        </w:rPr>
        <w:t>z predošlého roku a s metodickými faktormi</w:t>
      </w:r>
      <w:r>
        <w:t xml:space="preserve">. </w:t>
      </w:r>
      <w:r w:rsidRPr="006D1A26">
        <w:t xml:space="preserve">Posun slovenskej ekonomiky do pozitívnej fázy cyklu si vyžaduje od roku 2017 výraznejšie tlmenie rastu výdavkov (na úrovni </w:t>
      </w:r>
      <w:r>
        <w:t>referenčnej miery</w:t>
      </w:r>
      <w:r w:rsidRPr="006D1A26">
        <w:t xml:space="preserve"> 1,3</w:t>
      </w:r>
      <w:r>
        <w:t> </w:t>
      </w:r>
      <w:r w:rsidRPr="006D1A26">
        <w:t>% ročne až do dosiahnutia MTO).</w:t>
      </w:r>
      <w:r w:rsidRPr="006D1A26">
        <w:rPr>
          <w:b/>
        </w:rPr>
        <w:t xml:space="preserve"> </w:t>
      </w:r>
      <w:r w:rsidRPr="006D1A26">
        <w:t xml:space="preserve">Agregát výdavkov rástol v roku 2018 rýchlejšie </w:t>
      </w:r>
      <w:r>
        <w:t xml:space="preserve">ako povolený reálny </w:t>
      </w:r>
      <w:r w:rsidRPr="00E8795D">
        <w:t>rast (o </w:t>
      </w:r>
      <w:r w:rsidR="00E8795D" w:rsidRPr="00415590">
        <w:t>3</w:t>
      </w:r>
      <w:r w:rsidRPr="00E8795D">
        <w:t>,</w:t>
      </w:r>
      <w:r w:rsidR="00E8795D" w:rsidRPr="00415590">
        <w:t>6</w:t>
      </w:r>
      <w:r w:rsidRPr="00E8795D">
        <w:t xml:space="preserve"> p.b.).</w:t>
      </w:r>
      <w:r>
        <w:t xml:space="preserve"> Dôvodom je aj silnejší rast príjmov nad strednodobým potenciálom (</w:t>
      </w:r>
      <w:r w:rsidR="003828C3" w:rsidRPr="003828C3">
        <w:rPr>
          <w:color w:val="2C9ADC" w:themeColor="accent1"/>
        </w:rPr>
        <w:t>GRAF 16</w:t>
      </w:r>
      <w:r w:rsidR="003828C3">
        <w:t xml:space="preserve">), </w:t>
      </w:r>
      <w:r>
        <w:t xml:space="preserve">ktorý pri zachovaní pôvodného nominálneho rozpočtového cieľa </w:t>
      </w:r>
      <w:r w:rsidR="009C4CA6">
        <w:t xml:space="preserve">zodpovedal vyššiemu </w:t>
      </w:r>
      <w:r>
        <w:t>rast</w:t>
      </w:r>
      <w:r w:rsidR="009C4CA6">
        <w:t>u</w:t>
      </w:r>
      <w:r>
        <w:t xml:space="preserve"> výdavkov, </w:t>
      </w:r>
      <w:r w:rsidRPr="004E46F7">
        <w:t>nad úrovňou výdavkového pravidla</w:t>
      </w:r>
      <w:r>
        <w:t>.</w:t>
      </w:r>
      <w:r w:rsidRPr="004E46F7">
        <w:t xml:space="preserve"> Na jednoročnom ako aj dvojročnom horizonte tak vzniká výrazná odchýlka.</w:t>
      </w:r>
      <w:r>
        <w:t xml:space="preserve"> Silnejší medziročný rast výdavkov však súvisí aj s </w:t>
      </w:r>
      <w:r w:rsidR="00C6412B">
        <w:t>lepším výsledkom roka 2017</w:t>
      </w:r>
      <w:r>
        <w:t>, ktorý odchýlku v roku 2018 čiastočne zvyšuje.</w:t>
      </w:r>
      <w:r w:rsidRPr="002E43AF">
        <w:t xml:space="preserve"> </w:t>
      </w:r>
      <w:r>
        <w:t>Zároveň, odchýlku podobne ako v prípade štrukturálneho salda negatívne ovplyvňuje aj</w:t>
      </w:r>
      <w:r w:rsidR="00243BEF">
        <w:t xml:space="preserve"> metodický faktor</w:t>
      </w:r>
      <w:r>
        <w:t xml:space="preserve"> </w:t>
      </w:r>
      <w:r w:rsidR="00243BEF">
        <w:t>(</w:t>
      </w:r>
      <w:r>
        <w:t>tzv. „</w:t>
      </w:r>
      <w:r w:rsidR="007557B3">
        <w:t>zafixovan</w:t>
      </w:r>
      <w:r w:rsidR="00357DFA">
        <w:t>ie</w:t>
      </w:r>
      <w:r w:rsidR="008E5062">
        <w:t>“</w:t>
      </w:r>
      <w:r w:rsidR="00243BEF" w:rsidRPr="00243BEF">
        <w:rPr>
          <w:rStyle w:val="Odkaznapoznmkupodiarou"/>
        </w:rPr>
        <w:t xml:space="preserve"> </w:t>
      </w:r>
      <w:r>
        <w:t>vývoj</w:t>
      </w:r>
      <w:r w:rsidR="00357DFA">
        <w:t>a</w:t>
      </w:r>
      <w:r>
        <w:t xml:space="preserve"> výdavkov v roku 2017</w:t>
      </w:r>
      <w:r w:rsidR="00243BEF">
        <w:rPr>
          <w:rStyle w:val="Odkaznapoznmkupodiarou"/>
        </w:rPr>
        <w:footnoteReference w:id="26"/>
      </w:r>
      <w:r>
        <w:t xml:space="preserve"> na základe predbežnej jarnej notifikácie Eurostatu</w:t>
      </w:r>
      <w:r w:rsidR="00243BEF">
        <w:t xml:space="preserve"> - </w:t>
      </w:r>
      <w:r>
        <w:t xml:space="preserve">viď popis k štrukturálnemu saldu), bez ktorého by bol vývoj </w:t>
      </w:r>
      <w:r w:rsidR="00E8795D">
        <w:t>pozitívnejší</w:t>
      </w:r>
      <w:r>
        <w:t xml:space="preserve"> </w:t>
      </w:r>
      <w:r w:rsidR="00243BEF">
        <w:t xml:space="preserve">a </w:t>
      </w:r>
      <w:r w:rsidR="003F2B19">
        <w:t xml:space="preserve">odchýlka </w:t>
      </w:r>
      <w:r w:rsidR="00243BEF">
        <w:t xml:space="preserve">by bola na úrovni </w:t>
      </w:r>
      <w:r>
        <w:t>0,</w:t>
      </w:r>
      <w:r w:rsidR="00E8795D">
        <w:t>4</w:t>
      </w:r>
      <w:r>
        <w:t xml:space="preserve"> % HDP.</w:t>
      </w:r>
    </w:p>
    <w:p w14:paraId="49E5922B" w14:textId="4BBB8355" w:rsidR="00BD53AF" w:rsidRDefault="00BD53AF" w:rsidP="00BD53AF">
      <w:pPr>
        <w:widowControl w:val="0"/>
        <w:spacing w:after="240"/>
        <w:jc w:val="both"/>
        <w:rPr>
          <w:b/>
        </w:rPr>
      </w:pPr>
      <w:r w:rsidRPr="002E43AF">
        <w:rPr>
          <w:b/>
        </w:rPr>
        <w:t>V roku 2019</w:t>
      </w:r>
      <w:r>
        <w:rPr>
          <w:b/>
        </w:rPr>
        <w:t xml:space="preserve"> </w:t>
      </w:r>
      <w:r w:rsidRPr="002E43AF">
        <w:rPr>
          <w:b/>
        </w:rPr>
        <w:t xml:space="preserve">sa </w:t>
      </w:r>
      <w:r>
        <w:rPr>
          <w:b/>
        </w:rPr>
        <w:t>predpokladá</w:t>
      </w:r>
      <w:r w:rsidRPr="002E43AF">
        <w:rPr>
          <w:b/>
        </w:rPr>
        <w:t xml:space="preserve"> </w:t>
      </w:r>
      <w:r>
        <w:rPr>
          <w:b/>
        </w:rPr>
        <w:t xml:space="preserve">medziročný </w:t>
      </w:r>
      <w:r w:rsidRPr="002E43AF">
        <w:rPr>
          <w:b/>
        </w:rPr>
        <w:t xml:space="preserve">rast výdavkov </w:t>
      </w:r>
      <w:r w:rsidR="00795E53">
        <w:rPr>
          <w:b/>
        </w:rPr>
        <w:t>v súlade s</w:t>
      </w:r>
      <w:r w:rsidRPr="002E43AF">
        <w:rPr>
          <w:b/>
        </w:rPr>
        <w:t xml:space="preserve"> výdavkov</w:t>
      </w:r>
      <w:r w:rsidR="00591AEA">
        <w:rPr>
          <w:b/>
        </w:rPr>
        <w:t>ým</w:t>
      </w:r>
      <w:r w:rsidRPr="002E43AF">
        <w:rPr>
          <w:b/>
        </w:rPr>
        <w:t xml:space="preserve"> pravidlo</w:t>
      </w:r>
      <w:r w:rsidR="00795E53">
        <w:rPr>
          <w:b/>
        </w:rPr>
        <w:t>m.</w:t>
      </w:r>
      <w:r>
        <w:t xml:space="preserve"> </w:t>
      </w:r>
      <w:r w:rsidRPr="002E43AF">
        <w:t xml:space="preserve">Vzhľadom na to, že v roku 2019 </w:t>
      </w:r>
      <w:r>
        <w:t>sa očakáva</w:t>
      </w:r>
      <w:r w:rsidRPr="002E43AF">
        <w:t xml:space="preserve"> dosiahnuti</w:t>
      </w:r>
      <w:r>
        <w:t>e</w:t>
      </w:r>
      <w:r w:rsidRPr="002E43AF">
        <w:t xml:space="preserve"> MTO, výdavkové pravidlo</w:t>
      </w:r>
      <w:r w:rsidRPr="00005952">
        <w:t xml:space="preserve"> </w:t>
      </w:r>
      <w:r w:rsidRPr="002E43AF">
        <w:t xml:space="preserve">slúži </w:t>
      </w:r>
      <w:r>
        <w:t xml:space="preserve">predovšetkým </w:t>
      </w:r>
      <w:r w:rsidRPr="002E43AF">
        <w:t xml:space="preserve">na prípadnú identifikáciu rizík pre jeho </w:t>
      </w:r>
      <w:r>
        <w:t>udržanie aj pri ex-post revíziách hospodárskeho cyklu. Na</w:t>
      </w:r>
      <w:r w:rsidR="0085303B">
        <w:t xml:space="preserve"> jednoročnom horizonte dochádza</w:t>
      </w:r>
      <w:r w:rsidR="00795E53">
        <w:t> k plneniu pravidla s miernou rezervou</w:t>
      </w:r>
      <w:r>
        <w:t>. N</w:t>
      </w:r>
      <w:r w:rsidRPr="004E46F7">
        <w:t xml:space="preserve">a dvojročnom horizonte </w:t>
      </w:r>
      <w:r>
        <w:t>je identifikovaná</w:t>
      </w:r>
      <w:r w:rsidRPr="004E46F7">
        <w:t xml:space="preserve"> </w:t>
      </w:r>
      <w:r>
        <w:t>výrazná</w:t>
      </w:r>
      <w:r w:rsidRPr="004E46F7">
        <w:t xml:space="preserve"> odchýlk</w:t>
      </w:r>
      <w:r>
        <w:t>a</w:t>
      </w:r>
      <w:r w:rsidR="009B73FF">
        <w:t>,</w:t>
      </w:r>
      <w:r>
        <w:t xml:space="preserve"> </w:t>
      </w:r>
      <w:r w:rsidRPr="004E46F7">
        <w:t>spôsobená</w:t>
      </w:r>
      <w:r>
        <w:t xml:space="preserve"> najmä </w:t>
      </w:r>
      <w:r>
        <w:lastRenderedPageBreak/>
        <w:t>vývojom</w:t>
      </w:r>
      <w:r w:rsidRPr="004E46F7">
        <w:t xml:space="preserve"> výdavkov v roku 2018.</w:t>
      </w:r>
    </w:p>
    <w:p w14:paraId="07256426" w14:textId="056FE66C" w:rsidR="00BD53AF" w:rsidRPr="00C735D9" w:rsidRDefault="00BD53AF" w:rsidP="00BD53AF">
      <w:pPr>
        <w:widowControl w:val="0"/>
        <w:spacing w:after="240"/>
        <w:jc w:val="both"/>
        <w:rPr>
          <w:highlight w:val="yellow"/>
        </w:rPr>
      </w:pPr>
      <w:r w:rsidRPr="00C232D2">
        <w:rPr>
          <w:b/>
        </w:rPr>
        <w:t xml:space="preserve">Predkladaný </w:t>
      </w:r>
      <w:r w:rsidR="009B73FF">
        <w:rPr>
          <w:b/>
        </w:rPr>
        <w:t>Program stability</w:t>
      </w:r>
      <w:r w:rsidRPr="00C232D2">
        <w:rPr>
          <w:b/>
        </w:rPr>
        <w:t xml:space="preserve"> </w:t>
      </w:r>
      <w:r w:rsidR="009B73FF">
        <w:rPr>
          <w:b/>
        </w:rPr>
        <w:t>v rokoch</w:t>
      </w:r>
      <w:r w:rsidRPr="00C232D2">
        <w:rPr>
          <w:b/>
        </w:rPr>
        <w:t xml:space="preserve"> 2020 až 2022 rešpektuje povolenú mieru </w:t>
      </w:r>
      <w:r>
        <w:rPr>
          <w:b/>
        </w:rPr>
        <w:t xml:space="preserve">reálneho </w:t>
      </w:r>
      <w:r w:rsidRPr="00C232D2">
        <w:rPr>
          <w:b/>
        </w:rPr>
        <w:t>rastu výdavkov</w:t>
      </w:r>
      <w:r w:rsidRPr="002E43AF">
        <w:t>.</w:t>
      </w:r>
      <w:r>
        <w:rPr>
          <w:b/>
        </w:rPr>
        <w:t xml:space="preserve"> </w:t>
      </w:r>
      <w:r w:rsidRPr="002E43AF">
        <w:t>Voľnejšie výdavkové pravidlo od roku 2020 vychádza z</w:t>
      </w:r>
      <w:r>
        <w:t> očakávaného splnenia</w:t>
      </w:r>
      <w:r w:rsidRPr="002E43AF">
        <w:t xml:space="preserve"> MTO</w:t>
      </w:r>
      <w:r>
        <w:t xml:space="preserve"> v roku 2019</w:t>
      </w:r>
      <w:r>
        <w:rPr>
          <w:rStyle w:val="Odkaznapoznmkupodiarou"/>
        </w:rPr>
        <w:footnoteReference w:id="27"/>
      </w:r>
      <w:r>
        <w:t>. Výdavkový plán je postavený na prognóze daňovo-odvodových príjmov, ktoré v rokoch 2020 až 2022 nerastú</w:t>
      </w:r>
      <w:r w:rsidRPr="004E46F7">
        <w:t xml:space="preserve"> nad potenciál</w:t>
      </w:r>
      <w:r>
        <w:t xml:space="preserve">ny rast ekonomiky </w:t>
      </w:r>
      <w:r w:rsidRPr="004E46F7">
        <w:t>(</w:t>
      </w:r>
      <w:r w:rsidR="00BA4D62" w:rsidRPr="00BA4D62">
        <w:rPr>
          <w:color w:val="2C9ADC" w:themeColor="accent1"/>
        </w:rPr>
        <w:t>GRAF 17</w:t>
      </w:r>
      <w:r>
        <w:t>). Tým sa znižuje</w:t>
      </w:r>
      <w:r w:rsidRPr="004E46F7">
        <w:t xml:space="preserve"> </w:t>
      </w:r>
      <w:r>
        <w:t xml:space="preserve">prípadné </w:t>
      </w:r>
      <w:r w:rsidRPr="004E46F7">
        <w:t>rizik</w:t>
      </w:r>
      <w:r>
        <w:t>o</w:t>
      </w:r>
      <w:r w:rsidRPr="004E46F7">
        <w:t xml:space="preserve"> </w:t>
      </w:r>
      <w:r>
        <w:t>revízie</w:t>
      </w:r>
      <w:r w:rsidRPr="004E46F7">
        <w:t xml:space="preserve"> produkčnej medzery</w:t>
      </w:r>
      <w:r>
        <w:t xml:space="preserve"> smerom k väčšiemu prehrievaniu a následnému odklonu</w:t>
      </w:r>
      <w:r w:rsidRPr="004E46F7">
        <w:t xml:space="preserve"> od MTO</w:t>
      </w:r>
      <w:r>
        <w:t>.</w:t>
      </w:r>
      <w:r w:rsidRPr="00C232D2">
        <w:t xml:space="preserve"> </w:t>
      </w:r>
      <w:r>
        <w:t>R</w:t>
      </w:r>
      <w:r w:rsidRPr="00C232D2">
        <w:t>ezerva voči výdavkovému pravidlu sa pohybuje okolo 0,3</w:t>
      </w:r>
      <w:r>
        <w:t xml:space="preserve"> % HDP až 0,8 % HDP a vychádza najmä z dodatočnej miernej konsolidácie do roku 2022.</w:t>
      </w:r>
      <w:r w:rsidRPr="004E46F7">
        <w:t xml:space="preserve"> </w:t>
      </w:r>
      <w:r>
        <w:t xml:space="preserve">Vývoj výdavkov je tak </w:t>
      </w:r>
      <w:r w:rsidRPr="00C232D2">
        <w:t>plne v súlade</w:t>
      </w:r>
      <w:r>
        <w:t xml:space="preserve"> s </w:t>
      </w:r>
      <w:r w:rsidRPr="00C232D2">
        <w:t>výdavkov</w:t>
      </w:r>
      <w:r>
        <w:t>ým</w:t>
      </w:r>
      <w:r w:rsidRPr="00C232D2">
        <w:t xml:space="preserve"> pravidl</w:t>
      </w:r>
      <w:r>
        <w:t>om.</w:t>
      </w:r>
    </w:p>
    <w:p w14:paraId="407FC831" w14:textId="2710CAA1" w:rsidR="00BD53AF" w:rsidRPr="00807E43" w:rsidRDefault="00BD53AF" w:rsidP="00BD53AF">
      <w:pPr>
        <w:widowControl w:val="0"/>
        <w:jc w:val="both"/>
        <w:rPr>
          <w:b/>
          <w:color w:val="2C9ADC" w:themeColor="accent1"/>
        </w:rPr>
      </w:pPr>
      <w:bookmarkStart w:id="140" w:name="_Toc6314207"/>
      <w:r w:rsidRPr="006D1A26">
        <w:rPr>
          <w:rFonts w:eastAsiaTheme="minorHAnsi" w:cs="Arial"/>
          <w:b/>
          <w:color w:val="2C9ADC"/>
          <w:sz w:val="20"/>
          <w:szCs w:val="26"/>
          <w:lang w:eastAsia="en-US"/>
        </w:rPr>
        <w:t xml:space="preserve">TABUĽKA </w:t>
      </w:r>
      <w:r w:rsidRPr="006D1A26">
        <w:rPr>
          <w:rFonts w:eastAsiaTheme="minorHAnsi" w:cs="Arial"/>
          <w:b/>
          <w:color w:val="2C9ADC"/>
          <w:sz w:val="20"/>
          <w:szCs w:val="26"/>
          <w:lang w:eastAsia="en-US"/>
        </w:rPr>
        <w:fldChar w:fldCharType="begin"/>
      </w:r>
      <w:r w:rsidRPr="006D1A26">
        <w:rPr>
          <w:rFonts w:eastAsiaTheme="minorHAnsi" w:cs="Arial"/>
          <w:b/>
          <w:color w:val="2C9ADC"/>
          <w:sz w:val="20"/>
          <w:szCs w:val="26"/>
          <w:lang w:eastAsia="en-US"/>
        </w:rPr>
        <w:instrText xml:space="preserve"> SEQ TABUĽKA \* ARABIC </w:instrText>
      </w:r>
      <w:r w:rsidRPr="006D1A26">
        <w:rPr>
          <w:rFonts w:eastAsiaTheme="minorHAnsi" w:cs="Arial"/>
          <w:b/>
          <w:color w:val="2C9ADC"/>
          <w:sz w:val="20"/>
          <w:szCs w:val="26"/>
          <w:lang w:eastAsia="en-US"/>
        </w:rPr>
        <w:fldChar w:fldCharType="separate"/>
      </w:r>
      <w:r w:rsidR="00D5739E">
        <w:rPr>
          <w:rFonts w:eastAsiaTheme="minorHAnsi" w:cs="Arial"/>
          <w:b/>
          <w:noProof/>
          <w:color w:val="2C9ADC"/>
          <w:sz w:val="20"/>
          <w:szCs w:val="26"/>
          <w:lang w:eastAsia="en-US"/>
        </w:rPr>
        <w:t>8</w:t>
      </w:r>
      <w:r w:rsidRPr="006D1A26">
        <w:rPr>
          <w:rFonts w:eastAsiaTheme="minorHAnsi" w:cs="Arial"/>
          <w:b/>
          <w:color w:val="2C9ADC"/>
          <w:sz w:val="20"/>
          <w:szCs w:val="26"/>
          <w:lang w:eastAsia="en-US"/>
        </w:rPr>
        <w:fldChar w:fldCharType="end"/>
      </w:r>
      <w:r w:rsidRPr="006D1A26">
        <w:rPr>
          <w:rFonts w:eastAsiaTheme="minorHAnsi" w:cs="Arial"/>
          <w:b/>
          <w:color w:val="2C9ADC"/>
          <w:sz w:val="20"/>
          <w:szCs w:val="26"/>
          <w:lang w:eastAsia="en-US"/>
        </w:rPr>
        <w:t xml:space="preserve"> - Výpočet plnenia výdavkového pravidla (ESA 2010)</w:t>
      </w:r>
      <w:bookmarkEnd w:id="140"/>
    </w:p>
    <w:tbl>
      <w:tblPr>
        <w:tblW w:w="9072" w:type="dxa"/>
        <w:jc w:val="center"/>
        <w:tblCellMar>
          <w:left w:w="70" w:type="dxa"/>
          <w:right w:w="70" w:type="dxa"/>
        </w:tblCellMar>
        <w:tblLook w:val="04A0" w:firstRow="1" w:lastRow="0" w:firstColumn="1" w:lastColumn="0" w:noHBand="0" w:noVBand="1"/>
      </w:tblPr>
      <w:tblGrid>
        <w:gridCol w:w="3909"/>
        <w:gridCol w:w="716"/>
        <w:gridCol w:w="756"/>
        <w:gridCol w:w="736"/>
        <w:gridCol w:w="816"/>
        <w:gridCol w:w="736"/>
        <w:gridCol w:w="736"/>
        <w:gridCol w:w="667"/>
      </w:tblGrid>
      <w:tr w:rsidR="00BD53AF" w:rsidRPr="0025149D" w14:paraId="0169C5AF" w14:textId="77777777" w:rsidTr="00387AE5">
        <w:trPr>
          <w:trHeight w:val="330"/>
          <w:jc w:val="center"/>
        </w:trPr>
        <w:tc>
          <w:tcPr>
            <w:tcW w:w="3909" w:type="dxa"/>
            <w:tcBorders>
              <w:top w:val="single" w:sz="4" w:space="0" w:color="auto"/>
              <w:left w:val="nil"/>
              <w:bottom w:val="single" w:sz="4" w:space="0" w:color="auto"/>
              <w:right w:val="nil"/>
            </w:tcBorders>
            <w:shd w:val="clear" w:color="auto" w:fill="auto"/>
            <w:noWrap/>
            <w:vAlign w:val="bottom"/>
            <w:hideMark/>
          </w:tcPr>
          <w:p w14:paraId="012FD719" w14:textId="77777777" w:rsidR="00BD53AF" w:rsidRPr="0025149D" w:rsidRDefault="00BD53AF" w:rsidP="00387AE5">
            <w:pPr>
              <w:rPr>
                <w:rFonts w:cs="Times New Roman"/>
                <w:b/>
                <w:bCs/>
                <w:color w:val="000000"/>
                <w:sz w:val="18"/>
                <w:szCs w:val="18"/>
              </w:rPr>
            </w:pPr>
            <w:r w:rsidRPr="0025149D">
              <w:rPr>
                <w:rFonts w:cs="Times New Roman"/>
                <w:b/>
                <w:bCs/>
                <w:color w:val="000000"/>
                <w:sz w:val="18"/>
                <w:szCs w:val="18"/>
              </w:rPr>
              <w:t> </w:t>
            </w:r>
          </w:p>
        </w:tc>
        <w:tc>
          <w:tcPr>
            <w:tcW w:w="716" w:type="dxa"/>
            <w:tcBorders>
              <w:top w:val="single" w:sz="4" w:space="0" w:color="auto"/>
              <w:left w:val="nil"/>
              <w:bottom w:val="single" w:sz="4" w:space="0" w:color="auto"/>
              <w:right w:val="nil"/>
            </w:tcBorders>
            <w:shd w:val="clear" w:color="auto" w:fill="auto"/>
            <w:noWrap/>
            <w:vAlign w:val="bottom"/>
            <w:hideMark/>
          </w:tcPr>
          <w:p w14:paraId="235B7EA6" w14:textId="77777777" w:rsidR="00BD53AF" w:rsidRPr="0025149D" w:rsidRDefault="00BD53AF" w:rsidP="00387AE5">
            <w:pPr>
              <w:rPr>
                <w:rFonts w:cs="Times New Roman"/>
                <w:color w:val="000000"/>
                <w:sz w:val="18"/>
                <w:szCs w:val="18"/>
              </w:rPr>
            </w:pPr>
            <w:r w:rsidRPr="0025149D">
              <w:rPr>
                <w:rFonts w:cs="Times New Roman"/>
                <w:color w:val="000000"/>
                <w:sz w:val="18"/>
                <w:szCs w:val="18"/>
              </w:rPr>
              <w:t> </w:t>
            </w:r>
          </w:p>
        </w:tc>
        <w:tc>
          <w:tcPr>
            <w:tcW w:w="756" w:type="dxa"/>
            <w:tcBorders>
              <w:top w:val="single" w:sz="4" w:space="0" w:color="auto"/>
              <w:left w:val="nil"/>
              <w:bottom w:val="single" w:sz="4" w:space="0" w:color="auto"/>
              <w:right w:val="nil"/>
            </w:tcBorders>
            <w:shd w:val="clear" w:color="auto" w:fill="auto"/>
            <w:noWrap/>
            <w:vAlign w:val="center"/>
            <w:hideMark/>
          </w:tcPr>
          <w:p w14:paraId="0816725D" w14:textId="77777777" w:rsidR="00BD53AF" w:rsidRPr="0025149D" w:rsidRDefault="00BD53AF" w:rsidP="00387AE5">
            <w:pPr>
              <w:jc w:val="right"/>
              <w:rPr>
                <w:rFonts w:cs="Times New Roman"/>
                <w:b/>
                <w:bCs/>
                <w:color w:val="000000"/>
                <w:sz w:val="18"/>
                <w:szCs w:val="18"/>
              </w:rPr>
            </w:pPr>
            <w:r w:rsidRPr="0025149D">
              <w:rPr>
                <w:rFonts w:cs="Times New Roman"/>
                <w:b/>
                <w:bCs/>
                <w:color w:val="000000"/>
                <w:sz w:val="18"/>
                <w:szCs w:val="18"/>
              </w:rPr>
              <w:t>2017</w:t>
            </w:r>
            <w:r>
              <w:rPr>
                <w:rFonts w:cs="Times New Roman"/>
                <w:b/>
                <w:bCs/>
                <w:color w:val="000000"/>
                <w:sz w:val="18"/>
                <w:szCs w:val="18"/>
              </w:rPr>
              <w:t>S</w:t>
            </w:r>
          </w:p>
        </w:tc>
        <w:tc>
          <w:tcPr>
            <w:tcW w:w="736" w:type="dxa"/>
            <w:tcBorders>
              <w:top w:val="single" w:sz="4" w:space="0" w:color="auto"/>
              <w:left w:val="nil"/>
              <w:bottom w:val="single" w:sz="4" w:space="0" w:color="auto"/>
              <w:right w:val="nil"/>
            </w:tcBorders>
            <w:shd w:val="clear" w:color="auto" w:fill="auto"/>
            <w:noWrap/>
            <w:vAlign w:val="center"/>
            <w:hideMark/>
          </w:tcPr>
          <w:p w14:paraId="602E0069" w14:textId="77777777" w:rsidR="00BD53AF" w:rsidRPr="0025149D" w:rsidRDefault="00BD53AF" w:rsidP="00387AE5">
            <w:pPr>
              <w:jc w:val="right"/>
              <w:rPr>
                <w:rFonts w:cs="Times New Roman"/>
                <w:b/>
                <w:bCs/>
                <w:color w:val="000000"/>
                <w:sz w:val="18"/>
                <w:szCs w:val="18"/>
              </w:rPr>
            </w:pPr>
            <w:r w:rsidRPr="0025149D">
              <w:rPr>
                <w:rFonts w:cs="Times New Roman"/>
                <w:b/>
                <w:bCs/>
                <w:color w:val="000000"/>
                <w:sz w:val="18"/>
                <w:szCs w:val="18"/>
              </w:rPr>
              <w:t>2018</w:t>
            </w:r>
            <w:r>
              <w:rPr>
                <w:rFonts w:cs="Times New Roman"/>
                <w:b/>
                <w:bCs/>
                <w:color w:val="000000"/>
                <w:sz w:val="18"/>
                <w:szCs w:val="18"/>
              </w:rPr>
              <w:t>S</w:t>
            </w:r>
          </w:p>
        </w:tc>
        <w:tc>
          <w:tcPr>
            <w:tcW w:w="816" w:type="dxa"/>
            <w:tcBorders>
              <w:top w:val="single" w:sz="4" w:space="0" w:color="auto"/>
              <w:left w:val="nil"/>
              <w:bottom w:val="single" w:sz="4" w:space="0" w:color="auto"/>
              <w:right w:val="nil"/>
            </w:tcBorders>
            <w:shd w:val="clear" w:color="auto" w:fill="auto"/>
            <w:noWrap/>
            <w:vAlign w:val="center"/>
            <w:hideMark/>
          </w:tcPr>
          <w:p w14:paraId="5FD29B31" w14:textId="77777777" w:rsidR="00BD53AF" w:rsidRPr="0025149D" w:rsidRDefault="00BD53AF" w:rsidP="00387AE5">
            <w:pPr>
              <w:jc w:val="right"/>
              <w:rPr>
                <w:rFonts w:cs="Times New Roman"/>
                <w:b/>
                <w:bCs/>
                <w:color w:val="000000"/>
                <w:sz w:val="18"/>
                <w:szCs w:val="18"/>
              </w:rPr>
            </w:pPr>
            <w:r w:rsidRPr="0025149D">
              <w:rPr>
                <w:rFonts w:cs="Times New Roman"/>
                <w:b/>
                <w:bCs/>
                <w:color w:val="000000"/>
                <w:sz w:val="18"/>
                <w:szCs w:val="18"/>
              </w:rPr>
              <w:t>2019</w:t>
            </w:r>
            <w:r>
              <w:rPr>
                <w:rFonts w:cs="Times New Roman"/>
                <w:b/>
                <w:bCs/>
                <w:color w:val="000000"/>
                <w:sz w:val="18"/>
                <w:szCs w:val="18"/>
              </w:rPr>
              <w:t>OS</w:t>
            </w:r>
          </w:p>
        </w:tc>
        <w:tc>
          <w:tcPr>
            <w:tcW w:w="736" w:type="dxa"/>
            <w:tcBorders>
              <w:top w:val="single" w:sz="4" w:space="0" w:color="auto"/>
              <w:left w:val="nil"/>
              <w:bottom w:val="single" w:sz="4" w:space="0" w:color="auto"/>
              <w:right w:val="nil"/>
            </w:tcBorders>
            <w:shd w:val="clear" w:color="auto" w:fill="auto"/>
            <w:noWrap/>
            <w:vAlign w:val="center"/>
            <w:hideMark/>
          </w:tcPr>
          <w:p w14:paraId="2D987D45" w14:textId="77777777" w:rsidR="00BD53AF" w:rsidRPr="0025149D" w:rsidRDefault="00BD53AF" w:rsidP="00387AE5">
            <w:pPr>
              <w:jc w:val="right"/>
              <w:rPr>
                <w:rFonts w:cs="Times New Roman"/>
                <w:b/>
                <w:bCs/>
                <w:color w:val="000000"/>
                <w:sz w:val="18"/>
                <w:szCs w:val="18"/>
              </w:rPr>
            </w:pPr>
            <w:r w:rsidRPr="0025149D">
              <w:rPr>
                <w:rFonts w:cs="Times New Roman"/>
                <w:b/>
                <w:bCs/>
                <w:color w:val="000000"/>
                <w:sz w:val="18"/>
                <w:szCs w:val="18"/>
              </w:rPr>
              <w:t>2020</w:t>
            </w:r>
            <w:r>
              <w:rPr>
                <w:rFonts w:cs="Times New Roman"/>
                <w:b/>
                <w:bCs/>
                <w:color w:val="000000"/>
                <w:sz w:val="18"/>
                <w:szCs w:val="18"/>
              </w:rPr>
              <w:t>PS</w:t>
            </w:r>
          </w:p>
        </w:tc>
        <w:tc>
          <w:tcPr>
            <w:tcW w:w="736" w:type="dxa"/>
            <w:tcBorders>
              <w:top w:val="single" w:sz="4" w:space="0" w:color="auto"/>
              <w:left w:val="nil"/>
              <w:bottom w:val="single" w:sz="4" w:space="0" w:color="auto"/>
              <w:right w:val="nil"/>
            </w:tcBorders>
            <w:shd w:val="clear" w:color="auto" w:fill="auto"/>
            <w:noWrap/>
            <w:vAlign w:val="center"/>
            <w:hideMark/>
          </w:tcPr>
          <w:p w14:paraId="4E0A8B12" w14:textId="77777777" w:rsidR="00BD53AF" w:rsidRPr="0025149D" w:rsidRDefault="00BD53AF" w:rsidP="00387AE5">
            <w:pPr>
              <w:jc w:val="right"/>
              <w:rPr>
                <w:rFonts w:cs="Times New Roman"/>
                <w:b/>
                <w:bCs/>
                <w:color w:val="000000"/>
                <w:sz w:val="18"/>
                <w:szCs w:val="18"/>
              </w:rPr>
            </w:pPr>
            <w:r w:rsidRPr="0025149D">
              <w:rPr>
                <w:rFonts w:cs="Times New Roman"/>
                <w:b/>
                <w:bCs/>
                <w:color w:val="000000"/>
                <w:sz w:val="18"/>
                <w:szCs w:val="18"/>
              </w:rPr>
              <w:t>2021</w:t>
            </w:r>
            <w:r>
              <w:rPr>
                <w:rFonts w:cs="Times New Roman"/>
                <w:b/>
                <w:bCs/>
                <w:color w:val="000000"/>
                <w:sz w:val="18"/>
                <w:szCs w:val="18"/>
              </w:rPr>
              <w:t>PS</w:t>
            </w:r>
          </w:p>
        </w:tc>
        <w:tc>
          <w:tcPr>
            <w:tcW w:w="667" w:type="dxa"/>
            <w:tcBorders>
              <w:top w:val="single" w:sz="4" w:space="0" w:color="auto"/>
              <w:left w:val="nil"/>
              <w:bottom w:val="single" w:sz="4" w:space="0" w:color="auto"/>
              <w:right w:val="nil"/>
            </w:tcBorders>
            <w:shd w:val="clear" w:color="auto" w:fill="auto"/>
            <w:noWrap/>
            <w:vAlign w:val="center"/>
            <w:hideMark/>
          </w:tcPr>
          <w:p w14:paraId="05860490" w14:textId="77777777" w:rsidR="00BD53AF" w:rsidRPr="0025149D" w:rsidRDefault="00BD53AF" w:rsidP="00387AE5">
            <w:pPr>
              <w:jc w:val="right"/>
              <w:rPr>
                <w:rFonts w:cs="Times New Roman"/>
                <w:b/>
                <w:bCs/>
                <w:color w:val="000000"/>
                <w:sz w:val="18"/>
                <w:szCs w:val="18"/>
              </w:rPr>
            </w:pPr>
            <w:r w:rsidRPr="0025149D">
              <w:rPr>
                <w:rFonts w:cs="Times New Roman"/>
                <w:b/>
                <w:bCs/>
                <w:color w:val="000000"/>
                <w:sz w:val="18"/>
                <w:szCs w:val="18"/>
              </w:rPr>
              <w:t>2022</w:t>
            </w:r>
            <w:r>
              <w:rPr>
                <w:rFonts w:cs="Times New Roman"/>
                <w:b/>
                <w:bCs/>
                <w:color w:val="000000"/>
                <w:sz w:val="18"/>
                <w:szCs w:val="18"/>
              </w:rPr>
              <w:t>PS</w:t>
            </w:r>
          </w:p>
        </w:tc>
      </w:tr>
      <w:tr w:rsidR="00BD53AF" w:rsidRPr="0095170A" w14:paraId="6530571E" w14:textId="77777777" w:rsidTr="00387AE5">
        <w:trPr>
          <w:trHeight w:val="330"/>
          <w:jc w:val="center"/>
        </w:trPr>
        <w:tc>
          <w:tcPr>
            <w:tcW w:w="3909" w:type="dxa"/>
            <w:tcBorders>
              <w:top w:val="nil"/>
              <w:left w:val="nil"/>
              <w:bottom w:val="nil"/>
              <w:right w:val="nil"/>
            </w:tcBorders>
            <w:shd w:val="clear" w:color="auto" w:fill="auto"/>
            <w:vAlign w:val="center"/>
            <w:hideMark/>
          </w:tcPr>
          <w:p w14:paraId="51D174FC" w14:textId="77777777" w:rsidR="00BD53AF" w:rsidRPr="006D1A26" w:rsidRDefault="00BD53AF" w:rsidP="00387AE5">
            <w:pPr>
              <w:rPr>
                <w:rFonts w:cs="Times New Roman"/>
                <w:color w:val="000000"/>
                <w:sz w:val="18"/>
                <w:szCs w:val="18"/>
              </w:rPr>
            </w:pPr>
            <w:r w:rsidRPr="006D1A26">
              <w:rPr>
                <w:rFonts w:cs="Times New Roman"/>
                <w:color w:val="000000"/>
                <w:sz w:val="18"/>
                <w:szCs w:val="18"/>
              </w:rPr>
              <w:t>Celkové výdavky</w:t>
            </w:r>
          </w:p>
        </w:tc>
        <w:tc>
          <w:tcPr>
            <w:tcW w:w="716" w:type="dxa"/>
            <w:tcBorders>
              <w:top w:val="nil"/>
              <w:left w:val="nil"/>
              <w:bottom w:val="nil"/>
              <w:right w:val="nil"/>
            </w:tcBorders>
            <w:shd w:val="clear" w:color="auto" w:fill="auto"/>
            <w:vAlign w:val="center"/>
            <w:hideMark/>
          </w:tcPr>
          <w:p w14:paraId="6B81BA0B" w14:textId="77777777" w:rsidR="00BD53AF" w:rsidRPr="006D1A26" w:rsidRDefault="00BD53AF" w:rsidP="00387AE5">
            <w:pPr>
              <w:jc w:val="center"/>
              <w:rPr>
                <w:rFonts w:cs="Times New Roman"/>
                <w:color w:val="000000"/>
                <w:sz w:val="18"/>
                <w:szCs w:val="18"/>
              </w:rPr>
            </w:pPr>
            <w:r w:rsidRPr="006D1A26">
              <w:rPr>
                <w:rFonts w:cs="Times New Roman"/>
                <w:color w:val="000000"/>
                <w:sz w:val="18"/>
                <w:szCs w:val="18"/>
              </w:rPr>
              <w:t>mil. eur</w:t>
            </w:r>
          </w:p>
        </w:tc>
        <w:tc>
          <w:tcPr>
            <w:tcW w:w="756" w:type="dxa"/>
            <w:tcBorders>
              <w:top w:val="nil"/>
              <w:left w:val="nil"/>
              <w:bottom w:val="nil"/>
              <w:right w:val="nil"/>
            </w:tcBorders>
            <w:shd w:val="clear" w:color="auto" w:fill="auto"/>
            <w:noWrap/>
            <w:vAlign w:val="center"/>
            <w:hideMark/>
          </w:tcPr>
          <w:p w14:paraId="6ACB1CC6" w14:textId="77777777" w:rsidR="00BD53AF" w:rsidRPr="003F2B19" w:rsidRDefault="00BD53AF" w:rsidP="00387AE5">
            <w:pPr>
              <w:jc w:val="right"/>
              <w:rPr>
                <w:rFonts w:cs="Times New Roman"/>
                <w:color w:val="000000"/>
                <w:sz w:val="18"/>
                <w:szCs w:val="18"/>
              </w:rPr>
            </w:pPr>
            <w:r w:rsidRPr="003F2B19">
              <w:rPr>
                <w:rFonts w:cs="Times New Roman"/>
                <w:color w:val="000000"/>
                <w:sz w:val="18"/>
                <w:szCs w:val="18"/>
              </w:rPr>
              <w:t>34 107</w:t>
            </w:r>
          </w:p>
        </w:tc>
        <w:tc>
          <w:tcPr>
            <w:tcW w:w="736" w:type="dxa"/>
            <w:tcBorders>
              <w:top w:val="nil"/>
              <w:left w:val="nil"/>
              <w:bottom w:val="nil"/>
              <w:right w:val="nil"/>
            </w:tcBorders>
            <w:shd w:val="clear" w:color="auto" w:fill="auto"/>
            <w:noWrap/>
            <w:vAlign w:val="center"/>
            <w:hideMark/>
          </w:tcPr>
          <w:p w14:paraId="0D1BBD9C"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36 426</w:t>
            </w:r>
          </w:p>
        </w:tc>
        <w:tc>
          <w:tcPr>
            <w:tcW w:w="816" w:type="dxa"/>
            <w:tcBorders>
              <w:top w:val="nil"/>
              <w:left w:val="nil"/>
              <w:bottom w:val="nil"/>
              <w:right w:val="nil"/>
            </w:tcBorders>
            <w:shd w:val="clear" w:color="auto" w:fill="auto"/>
            <w:noWrap/>
            <w:vAlign w:val="center"/>
            <w:hideMark/>
          </w:tcPr>
          <w:p w14:paraId="7C45CFE0"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37 616</w:t>
            </w:r>
          </w:p>
        </w:tc>
        <w:tc>
          <w:tcPr>
            <w:tcW w:w="736" w:type="dxa"/>
            <w:tcBorders>
              <w:top w:val="nil"/>
              <w:left w:val="nil"/>
              <w:bottom w:val="nil"/>
              <w:right w:val="nil"/>
            </w:tcBorders>
            <w:shd w:val="clear" w:color="auto" w:fill="auto"/>
            <w:noWrap/>
            <w:vAlign w:val="center"/>
            <w:hideMark/>
          </w:tcPr>
          <w:p w14:paraId="1D44CC26"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39 271</w:t>
            </w:r>
          </w:p>
        </w:tc>
        <w:tc>
          <w:tcPr>
            <w:tcW w:w="736" w:type="dxa"/>
            <w:tcBorders>
              <w:top w:val="nil"/>
              <w:left w:val="nil"/>
              <w:bottom w:val="nil"/>
              <w:right w:val="nil"/>
            </w:tcBorders>
            <w:shd w:val="clear" w:color="auto" w:fill="auto"/>
            <w:noWrap/>
            <w:vAlign w:val="center"/>
            <w:hideMark/>
          </w:tcPr>
          <w:p w14:paraId="7358865F"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40 950</w:t>
            </w:r>
          </w:p>
        </w:tc>
        <w:tc>
          <w:tcPr>
            <w:tcW w:w="667" w:type="dxa"/>
            <w:tcBorders>
              <w:top w:val="nil"/>
              <w:left w:val="nil"/>
              <w:bottom w:val="nil"/>
              <w:right w:val="nil"/>
            </w:tcBorders>
            <w:shd w:val="clear" w:color="auto" w:fill="auto"/>
            <w:noWrap/>
            <w:vAlign w:val="center"/>
            <w:hideMark/>
          </w:tcPr>
          <w:p w14:paraId="2627F009"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42 769</w:t>
            </w:r>
          </w:p>
        </w:tc>
      </w:tr>
      <w:tr w:rsidR="00795E53" w:rsidRPr="0095170A" w14:paraId="3B6B8D48" w14:textId="77777777" w:rsidTr="00591AEA">
        <w:trPr>
          <w:trHeight w:val="330"/>
          <w:jc w:val="center"/>
        </w:trPr>
        <w:tc>
          <w:tcPr>
            <w:tcW w:w="3909" w:type="dxa"/>
            <w:tcBorders>
              <w:top w:val="nil"/>
              <w:left w:val="nil"/>
              <w:bottom w:val="single" w:sz="4" w:space="0" w:color="auto"/>
              <w:right w:val="nil"/>
            </w:tcBorders>
            <w:shd w:val="clear" w:color="auto" w:fill="auto"/>
            <w:vAlign w:val="center"/>
            <w:hideMark/>
          </w:tcPr>
          <w:p w14:paraId="0A8B0F8A" w14:textId="77777777" w:rsidR="00795E53" w:rsidRPr="006D1A26" w:rsidRDefault="00795E53" w:rsidP="00795E53">
            <w:pPr>
              <w:rPr>
                <w:rFonts w:cs="Times New Roman"/>
                <w:b/>
                <w:bCs/>
                <w:color w:val="000000"/>
                <w:sz w:val="18"/>
                <w:szCs w:val="18"/>
              </w:rPr>
            </w:pPr>
            <w:r w:rsidRPr="006D1A26">
              <w:rPr>
                <w:rFonts w:cs="Times New Roman"/>
                <w:b/>
                <w:bCs/>
                <w:color w:val="000000"/>
                <w:sz w:val="18"/>
                <w:szCs w:val="18"/>
              </w:rPr>
              <w:t>Primárny výdavkový agregát</w:t>
            </w:r>
          </w:p>
        </w:tc>
        <w:tc>
          <w:tcPr>
            <w:tcW w:w="716" w:type="dxa"/>
            <w:tcBorders>
              <w:top w:val="nil"/>
              <w:left w:val="nil"/>
              <w:bottom w:val="single" w:sz="4" w:space="0" w:color="auto"/>
              <w:right w:val="nil"/>
            </w:tcBorders>
            <w:shd w:val="clear" w:color="auto" w:fill="auto"/>
            <w:vAlign w:val="center"/>
            <w:hideMark/>
          </w:tcPr>
          <w:p w14:paraId="13DFDB5B" w14:textId="77777777" w:rsidR="00795E53" w:rsidRPr="006D1A26" w:rsidRDefault="00795E53" w:rsidP="00795E53">
            <w:pPr>
              <w:jc w:val="center"/>
              <w:rPr>
                <w:rFonts w:cs="Times New Roman"/>
                <w:color w:val="000000"/>
                <w:sz w:val="18"/>
                <w:szCs w:val="18"/>
              </w:rPr>
            </w:pPr>
            <w:r w:rsidRPr="006D1A26">
              <w:rPr>
                <w:rFonts w:cs="Times New Roman"/>
                <w:color w:val="000000"/>
                <w:sz w:val="18"/>
                <w:szCs w:val="18"/>
              </w:rPr>
              <w:t>mil. eur</w:t>
            </w:r>
          </w:p>
        </w:tc>
        <w:tc>
          <w:tcPr>
            <w:tcW w:w="756" w:type="dxa"/>
            <w:tcBorders>
              <w:top w:val="nil"/>
              <w:left w:val="nil"/>
              <w:bottom w:val="single" w:sz="4" w:space="0" w:color="auto"/>
              <w:right w:val="nil"/>
            </w:tcBorders>
            <w:shd w:val="clear" w:color="auto" w:fill="auto"/>
            <w:noWrap/>
            <w:vAlign w:val="center"/>
            <w:hideMark/>
          </w:tcPr>
          <w:p w14:paraId="0DEEEAB5" w14:textId="478F3FDC" w:rsidR="00795E53" w:rsidRPr="003F2B19" w:rsidRDefault="00795E53">
            <w:pPr>
              <w:jc w:val="right"/>
              <w:rPr>
                <w:rFonts w:cs="Times New Roman"/>
                <w:b/>
                <w:bCs/>
                <w:color w:val="000000"/>
                <w:sz w:val="18"/>
                <w:szCs w:val="18"/>
              </w:rPr>
            </w:pPr>
            <w:r w:rsidRPr="00591AEA">
              <w:rPr>
                <w:sz w:val="18"/>
                <w:szCs w:val="18"/>
              </w:rPr>
              <w:t>32 290</w:t>
            </w:r>
          </w:p>
        </w:tc>
        <w:tc>
          <w:tcPr>
            <w:tcW w:w="736" w:type="dxa"/>
            <w:tcBorders>
              <w:top w:val="nil"/>
              <w:left w:val="nil"/>
              <w:bottom w:val="single" w:sz="4" w:space="0" w:color="auto"/>
              <w:right w:val="nil"/>
            </w:tcBorders>
            <w:shd w:val="clear" w:color="auto" w:fill="auto"/>
            <w:noWrap/>
            <w:vAlign w:val="center"/>
            <w:hideMark/>
          </w:tcPr>
          <w:p w14:paraId="21AEE185" w14:textId="042227F2" w:rsidR="00795E53" w:rsidRPr="003F2B19" w:rsidRDefault="00795E53">
            <w:pPr>
              <w:jc w:val="right"/>
              <w:rPr>
                <w:rFonts w:cs="Times New Roman"/>
                <w:b/>
                <w:bCs/>
                <w:color w:val="000000"/>
                <w:sz w:val="18"/>
                <w:szCs w:val="18"/>
                <w:highlight w:val="yellow"/>
              </w:rPr>
            </w:pPr>
            <w:r w:rsidRPr="00591AEA">
              <w:rPr>
                <w:sz w:val="18"/>
                <w:szCs w:val="18"/>
              </w:rPr>
              <w:t>34 356</w:t>
            </w:r>
          </w:p>
        </w:tc>
        <w:tc>
          <w:tcPr>
            <w:tcW w:w="816" w:type="dxa"/>
            <w:tcBorders>
              <w:top w:val="nil"/>
              <w:left w:val="nil"/>
              <w:bottom w:val="single" w:sz="4" w:space="0" w:color="auto"/>
              <w:right w:val="nil"/>
            </w:tcBorders>
            <w:shd w:val="clear" w:color="auto" w:fill="auto"/>
            <w:noWrap/>
            <w:vAlign w:val="center"/>
            <w:hideMark/>
          </w:tcPr>
          <w:p w14:paraId="4D0E74E5" w14:textId="1D005C6E" w:rsidR="00795E53" w:rsidRPr="003F2B19" w:rsidRDefault="00795E53">
            <w:pPr>
              <w:jc w:val="right"/>
              <w:rPr>
                <w:rFonts w:cs="Times New Roman"/>
                <w:b/>
                <w:bCs/>
                <w:color w:val="000000"/>
                <w:sz w:val="18"/>
                <w:szCs w:val="18"/>
                <w:highlight w:val="yellow"/>
              </w:rPr>
            </w:pPr>
            <w:r w:rsidRPr="00591AEA">
              <w:rPr>
                <w:sz w:val="18"/>
                <w:szCs w:val="18"/>
              </w:rPr>
              <w:t>35 826</w:t>
            </w:r>
          </w:p>
        </w:tc>
        <w:tc>
          <w:tcPr>
            <w:tcW w:w="736" w:type="dxa"/>
            <w:tcBorders>
              <w:top w:val="nil"/>
              <w:left w:val="nil"/>
              <w:bottom w:val="single" w:sz="4" w:space="0" w:color="auto"/>
              <w:right w:val="nil"/>
            </w:tcBorders>
            <w:shd w:val="clear" w:color="auto" w:fill="auto"/>
            <w:noWrap/>
            <w:vAlign w:val="center"/>
            <w:hideMark/>
          </w:tcPr>
          <w:p w14:paraId="3EA75D44" w14:textId="3E9AF524" w:rsidR="00795E53" w:rsidRPr="003F2B19" w:rsidRDefault="00795E53">
            <w:pPr>
              <w:jc w:val="right"/>
              <w:rPr>
                <w:rFonts w:cs="Times New Roman"/>
                <w:b/>
                <w:bCs/>
                <w:color w:val="000000"/>
                <w:sz w:val="18"/>
                <w:szCs w:val="18"/>
                <w:highlight w:val="yellow"/>
              </w:rPr>
            </w:pPr>
            <w:r w:rsidRPr="00591AEA">
              <w:rPr>
                <w:sz w:val="18"/>
                <w:szCs w:val="18"/>
              </w:rPr>
              <w:t>37 423</w:t>
            </w:r>
          </w:p>
        </w:tc>
        <w:tc>
          <w:tcPr>
            <w:tcW w:w="736" w:type="dxa"/>
            <w:tcBorders>
              <w:top w:val="nil"/>
              <w:left w:val="nil"/>
              <w:bottom w:val="single" w:sz="4" w:space="0" w:color="auto"/>
              <w:right w:val="nil"/>
            </w:tcBorders>
            <w:shd w:val="clear" w:color="auto" w:fill="auto"/>
            <w:noWrap/>
            <w:vAlign w:val="center"/>
            <w:hideMark/>
          </w:tcPr>
          <w:p w14:paraId="35B1DF02" w14:textId="056A30A9" w:rsidR="00795E53" w:rsidRPr="003F2B19" w:rsidRDefault="00795E53">
            <w:pPr>
              <w:jc w:val="right"/>
              <w:rPr>
                <w:rFonts w:cs="Times New Roman"/>
                <w:b/>
                <w:bCs/>
                <w:color w:val="000000"/>
                <w:sz w:val="18"/>
                <w:szCs w:val="18"/>
                <w:highlight w:val="yellow"/>
              </w:rPr>
            </w:pPr>
            <w:r w:rsidRPr="00591AEA">
              <w:rPr>
                <w:sz w:val="18"/>
                <w:szCs w:val="18"/>
              </w:rPr>
              <w:t>38 879</w:t>
            </w:r>
          </w:p>
        </w:tc>
        <w:tc>
          <w:tcPr>
            <w:tcW w:w="667" w:type="dxa"/>
            <w:tcBorders>
              <w:top w:val="nil"/>
              <w:left w:val="nil"/>
              <w:bottom w:val="single" w:sz="4" w:space="0" w:color="auto"/>
              <w:right w:val="nil"/>
            </w:tcBorders>
            <w:shd w:val="clear" w:color="auto" w:fill="auto"/>
            <w:noWrap/>
            <w:vAlign w:val="center"/>
            <w:hideMark/>
          </w:tcPr>
          <w:p w14:paraId="03C51963" w14:textId="49727BB8" w:rsidR="00795E53" w:rsidRPr="003F2B19" w:rsidRDefault="00795E53">
            <w:pPr>
              <w:jc w:val="right"/>
              <w:rPr>
                <w:rFonts w:cs="Times New Roman"/>
                <w:b/>
                <w:bCs/>
                <w:color w:val="000000"/>
                <w:sz w:val="18"/>
                <w:szCs w:val="18"/>
                <w:highlight w:val="yellow"/>
              </w:rPr>
            </w:pPr>
            <w:r w:rsidRPr="00591AEA">
              <w:rPr>
                <w:sz w:val="18"/>
                <w:szCs w:val="18"/>
              </w:rPr>
              <w:t>40 059</w:t>
            </w:r>
          </w:p>
        </w:tc>
      </w:tr>
      <w:tr w:rsidR="00BD53AF" w:rsidRPr="0095170A" w14:paraId="453F0F3B" w14:textId="77777777" w:rsidTr="00387AE5">
        <w:trPr>
          <w:trHeight w:val="330"/>
          <w:jc w:val="center"/>
        </w:trPr>
        <w:tc>
          <w:tcPr>
            <w:tcW w:w="3909" w:type="dxa"/>
            <w:tcBorders>
              <w:top w:val="nil"/>
              <w:left w:val="nil"/>
              <w:bottom w:val="nil"/>
              <w:right w:val="nil"/>
            </w:tcBorders>
            <w:shd w:val="clear" w:color="auto" w:fill="auto"/>
            <w:noWrap/>
            <w:vAlign w:val="bottom"/>
            <w:hideMark/>
          </w:tcPr>
          <w:p w14:paraId="2817E457" w14:textId="77777777" w:rsidR="00BD53AF" w:rsidRPr="006D1A26" w:rsidRDefault="00BD53AF" w:rsidP="00387AE5">
            <w:pPr>
              <w:rPr>
                <w:rFonts w:cs="Times New Roman"/>
                <w:color w:val="000000"/>
                <w:sz w:val="18"/>
                <w:szCs w:val="18"/>
              </w:rPr>
            </w:pPr>
            <w:r w:rsidRPr="006D1A26">
              <w:rPr>
                <w:rFonts w:cs="Times New Roman"/>
                <w:color w:val="000000"/>
                <w:sz w:val="18"/>
                <w:szCs w:val="18"/>
              </w:rPr>
              <w:t>Diskrečné príjmové opatrenia (DRM)</w:t>
            </w:r>
          </w:p>
        </w:tc>
        <w:tc>
          <w:tcPr>
            <w:tcW w:w="716" w:type="dxa"/>
            <w:tcBorders>
              <w:top w:val="nil"/>
              <w:left w:val="nil"/>
              <w:bottom w:val="nil"/>
              <w:right w:val="nil"/>
            </w:tcBorders>
            <w:shd w:val="clear" w:color="auto" w:fill="auto"/>
            <w:vAlign w:val="center"/>
            <w:hideMark/>
          </w:tcPr>
          <w:p w14:paraId="379FA7A3" w14:textId="77777777" w:rsidR="00BD53AF" w:rsidRPr="006D1A26" w:rsidRDefault="00BD53AF" w:rsidP="00387AE5">
            <w:pPr>
              <w:jc w:val="center"/>
              <w:rPr>
                <w:rFonts w:cs="Times New Roman"/>
                <w:color w:val="000000"/>
                <w:sz w:val="18"/>
                <w:szCs w:val="18"/>
              </w:rPr>
            </w:pPr>
            <w:r w:rsidRPr="006D1A26">
              <w:rPr>
                <w:rFonts w:cs="Times New Roman"/>
                <w:color w:val="000000"/>
                <w:sz w:val="18"/>
                <w:szCs w:val="18"/>
              </w:rPr>
              <w:t>mil. eur</w:t>
            </w:r>
          </w:p>
        </w:tc>
        <w:tc>
          <w:tcPr>
            <w:tcW w:w="756" w:type="dxa"/>
            <w:tcBorders>
              <w:top w:val="nil"/>
              <w:left w:val="nil"/>
              <w:bottom w:val="nil"/>
              <w:right w:val="nil"/>
            </w:tcBorders>
            <w:shd w:val="clear" w:color="auto" w:fill="auto"/>
            <w:noWrap/>
            <w:vAlign w:val="bottom"/>
            <w:hideMark/>
          </w:tcPr>
          <w:p w14:paraId="02EEDD61" w14:textId="77777777" w:rsidR="00BD53AF" w:rsidRPr="003F2B19" w:rsidRDefault="00BD53AF" w:rsidP="00387AE5">
            <w:pPr>
              <w:jc w:val="right"/>
              <w:rPr>
                <w:rFonts w:cs="Times New Roman"/>
                <w:color w:val="000000"/>
                <w:sz w:val="18"/>
                <w:szCs w:val="18"/>
              </w:rPr>
            </w:pPr>
            <w:r w:rsidRPr="003F2B19">
              <w:rPr>
                <w:rFonts w:cs="Times New Roman"/>
                <w:color w:val="000000"/>
                <w:sz w:val="18"/>
                <w:szCs w:val="18"/>
              </w:rPr>
              <w:t>348</w:t>
            </w:r>
          </w:p>
        </w:tc>
        <w:tc>
          <w:tcPr>
            <w:tcW w:w="736" w:type="dxa"/>
            <w:tcBorders>
              <w:top w:val="nil"/>
              <w:left w:val="nil"/>
              <w:bottom w:val="nil"/>
              <w:right w:val="nil"/>
            </w:tcBorders>
            <w:shd w:val="clear" w:color="auto" w:fill="auto"/>
            <w:noWrap/>
            <w:vAlign w:val="bottom"/>
            <w:hideMark/>
          </w:tcPr>
          <w:p w14:paraId="20AF7874"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-54</w:t>
            </w:r>
          </w:p>
        </w:tc>
        <w:tc>
          <w:tcPr>
            <w:tcW w:w="816" w:type="dxa"/>
            <w:tcBorders>
              <w:top w:val="nil"/>
              <w:left w:val="nil"/>
              <w:bottom w:val="nil"/>
              <w:right w:val="nil"/>
            </w:tcBorders>
            <w:shd w:val="clear" w:color="auto" w:fill="auto"/>
            <w:noWrap/>
            <w:vAlign w:val="bottom"/>
            <w:hideMark/>
          </w:tcPr>
          <w:p w14:paraId="06ACC60D"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156</w:t>
            </w:r>
          </w:p>
        </w:tc>
        <w:tc>
          <w:tcPr>
            <w:tcW w:w="736" w:type="dxa"/>
            <w:tcBorders>
              <w:top w:val="nil"/>
              <w:left w:val="nil"/>
              <w:bottom w:val="nil"/>
              <w:right w:val="nil"/>
            </w:tcBorders>
            <w:shd w:val="clear" w:color="auto" w:fill="auto"/>
            <w:noWrap/>
            <w:vAlign w:val="bottom"/>
            <w:hideMark/>
          </w:tcPr>
          <w:p w14:paraId="2D3684EA"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62</w:t>
            </w:r>
          </w:p>
        </w:tc>
        <w:tc>
          <w:tcPr>
            <w:tcW w:w="736" w:type="dxa"/>
            <w:tcBorders>
              <w:top w:val="nil"/>
              <w:left w:val="nil"/>
              <w:bottom w:val="nil"/>
              <w:right w:val="nil"/>
            </w:tcBorders>
            <w:shd w:val="clear" w:color="auto" w:fill="auto"/>
            <w:noWrap/>
            <w:vAlign w:val="bottom"/>
            <w:hideMark/>
          </w:tcPr>
          <w:p w14:paraId="1F95D495"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-246</w:t>
            </w:r>
          </w:p>
        </w:tc>
        <w:tc>
          <w:tcPr>
            <w:tcW w:w="667" w:type="dxa"/>
            <w:tcBorders>
              <w:top w:val="nil"/>
              <w:left w:val="nil"/>
              <w:bottom w:val="nil"/>
              <w:right w:val="nil"/>
            </w:tcBorders>
            <w:shd w:val="clear" w:color="auto" w:fill="auto"/>
            <w:noWrap/>
            <w:vAlign w:val="bottom"/>
            <w:hideMark/>
          </w:tcPr>
          <w:p w14:paraId="52092E39" w14:textId="77777777" w:rsidR="00BD53AF" w:rsidRPr="003F2B19" w:rsidRDefault="00BD53AF" w:rsidP="00387AE5">
            <w:pPr>
              <w:jc w:val="right"/>
              <w:rPr>
                <w:rFonts w:cs="Times New Roman"/>
                <w:color w:val="000000"/>
                <w:sz w:val="18"/>
                <w:szCs w:val="18"/>
                <w:highlight w:val="yellow"/>
              </w:rPr>
            </w:pPr>
            <w:r w:rsidRPr="003F2B19">
              <w:rPr>
                <w:color w:val="000000"/>
                <w:sz w:val="18"/>
                <w:szCs w:val="18"/>
              </w:rPr>
              <w:t>10</w:t>
            </w:r>
          </w:p>
        </w:tc>
      </w:tr>
      <w:tr w:rsidR="00795E53" w:rsidRPr="0095170A" w14:paraId="0812AF33" w14:textId="77777777" w:rsidTr="00591AEA">
        <w:trPr>
          <w:trHeight w:val="330"/>
          <w:jc w:val="center"/>
        </w:trPr>
        <w:tc>
          <w:tcPr>
            <w:tcW w:w="3909" w:type="dxa"/>
            <w:tcBorders>
              <w:top w:val="nil"/>
              <w:left w:val="nil"/>
              <w:bottom w:val="nil"/>
              <w:right w:val="nil"/>
            </w:tcBorders>
            <w:shd w:val="clear" w:color="auto" w:fill="auto"/>
            <w:noWrap/>
            <w:vAlign w:val="bottom"/>
            <w:hideMark/>
          </w:tcPr>
          <w:p w14:paraId="1F383210" w14:textId="77777777" w:rsidR="00795E53" w:rsidRPr="006D1A26" w:rsidRDefault="00795E53" w:rsidP="00795E53">
            <w:pPr>
              <w:rPr>
                <w:rFonts w:cs="Times New Roman"/>
                <w:color w:val="000000"/>
                <w:sz w:val="18"/>
                <w:szCs w:val="18"/>
              </w:rPr>
            </w:pPr>
            <w:r w:rsidRPr="006D1A26">
              <w:rPr>
                <w:rFonts w:cs="Times New Roman"/>
                <w:color w:val="000000"/>
                <w:sz w:val="18"/>
                <w:szCs w:val="18"/>
              </w:rPr>
              <w:t>Nominálny rast agregátu výdavkov po zohľadnení DRM</w:t>
            </w:r>
          </w:p>
        </w:tc>
        <w:tc>
          <w:tcPr>
            <w:tcW w:w="716" w:type="dxa"/>
            <w:tcBorders>
              <w:top w:val="nil"/>
              <w:left w:val="nil"/>
              <w:bottom w:val="nil"/>
              <w:right w:val="nil"/>
            </w:tcBorders>
            <w:shd w:val="clear" w:color="auto" w:fill="auto"/>
            <w:vAlign w:val="center"/>
            <w:hideMark/>
          </w:tcPr>
          <w:p w14:paraId="49E54B4E" w14:textId="77777777" w:rsidR="00795E53" w:rsidRPr="006D1A26" w:rsidRDefault="00795E53" w:rsidP="00795E53">
            <w:pPr>
              <w:jc w:val="center"/>
              <w:rPr>
                <w:rFonts w:cs="Times New Roman"/>
                <w:color w:val="000000"/>
                <w:sz w:val="18"/>
                <w:szCs w:val="18"/>
              </w:rPr>
            </w:pPr>
            <w:r w:rsidRPr="006D1A26">
              <w:rPr>
                <w:rFonts w:cs="Times New Roman"/>
                <w:color w:val="000000"/>
                <w:sz w:val="18"/>
                <w:szCs w:val="18"/>
              </w:rPr>
              <w:t>%</w:t>
            </w:r>
          </w:p>
        </w:tc>
        <w:tc>
          <w:tcPr>
            <w:tcW w:w="756" w:type="dxa"/>
            <w:tcBorders>
              <w:top w:val="nil"/>
              <w:left w:val="nil"/>
              <w:bottom w:val="nil"/>
              <w:right w:val="nil"/>
            </w:tcBorders>
            <w:shd w:val="clear" w:color="auto" w:fill="auto"/>
            <w:noWrap/>
            <w:vAlign w:val="center"/>
            <w:hideMark/>
          </w:tcPr>
          <w:p w14:paraId="7C86D1B7" w14:textId="608884DC" w:rsidR="00795E53" w:rsidRPr="003F2B19" w:rsidRDefault="00795E53">
            <w:pPr>
              <w:jc w:val="right"/>
              <w:rPr>
                <w:rFonts w:cs="Times New Roman"/>
                <w:color w:val="000000"/>
                <w:sz w:val="18"/>
                <w:szCs w:val="18"/>
              </w:rPr>
            </w:pPr>
            <w:r w:rsidRPr="00591AEA">
              <w:rPr>
                <w:sz w:val="18"/>
                <w:szCs w:val="18"/>
              </w:rPr>
              <w:t>1,4</w:t>
            </w:r>
          </w:p>
        </w:tc>
        <w:tc>
          <w:tcPr>
            <w:tcW w:w="736" w:type="dxa"/>
            <w:tcBorders>
              <w:top w:val="nil"/>
              <w:left w:val="nil"/>
              <w:bottom w:val="nil"/>
              <w:right w:val="nil"/>
            </w:tcBorders>
            <w:shd w:val="clear" w:color="auto" w:fill="auto"/>
            <w:noWrap/>
            <w:vAlign w:val="center"/>
            <w:hideMark/>
          </w:tcPr>
          <w:p w14:paraId="5B284646" w14:textId="684AF0A5" w:rsidR="00795E53" w:rsidRPr="003F2B19" w:rsidRDefault="00795E53">
            <w:pPr>
              <w:jc w:val="right"/>
              <w:rPr>
                <w:rFonts w:cs="Times New Roman"/>
                <w:color w:val="000000"/>
                <w:sz w:val="18"/>
                <w:szCs w:val="18"/>
                <w:highlight w:val="yellow"/>
              </w:rPr>
            </w:pPr>
            <w:r w:rsidRPr="00591AEA">
              <w:rPr>
                <w:sz w:val="18"/>
                <w:szCs w:val="18"/>
              </w:rPr>
              <w:t>6,6</w:t>
            </w:r>
          </w:p>
        </w:tc>
        <w:tc>
          <w:tcPr>
            <w:tcW w:w="816" w:type="dxa"/>
            <w:tcBorders>
              <w:top w:val="nil"/>
              <w:left w:val="nil"/>
              <w:bottom w:val="nil"/>
              <w:right w:val="nil"/>
            </w:tcBorders>
            <w:shd w:val="clear" w:color="auto" w:fill="auto"/>
            <w:noWrap/>
            <w:vAlign w:val="center"/>
            <w:hideMark/>
          </w:tcPr>
          <w:p w14:paraId="331CE1BE" w14:textId="5A7BB909" w:rsidR="00795E53" w:rsidRPr="003F2B19" w:rsidRDefault="00795E53">
            <w:pPr>
              <w:jc w:val="right"/>
              <w:rPr>
                <w:rFonts w:cs="Times New Roman"/>
                <w:color w:val="000000"/>
                <w:sz w:val="18"/>
                <w:szCs w:val="18"/>
                <w:highlight w:val="yellow"/>
              </w:rPr>
            </w:pPr>
            <w:r w:rsidRPr="00591AEA">
              <w:rPr>
                <w:sz w:val="18"/>
                <w:szCs w:val="18"/>
              </w:rPr>
              <w:t>3,8</w:t>
            </w:r>
          </w:p>
        </w:tc>
        <w:tc>
          <w:tcPr>
            <w:tcW w:w="736" w:type="dxa"/>
            <w:tcBorders>
              <w:top w:val="nil"/>
              <w:left w:val="nil"/>
              <w:bottom w:val="nil"/>
              <w:right w:val="nil"/>
            </w:tcBorders>
            <w:shd w:val="clear" w:color="auto" w:fill="auto"/>
            <w:noWrap/>
            <w:vAlign w:val="center"/>
            <w:hideMark/>
          </w:tcPr>
          <w:p w14:paraId="760D0897" w14:textId="390E1ECD" w:rsidR="00795E53" w:rsidRPr="003F2B19" w:rsidRDefault="00795E53">
            <w:pPr>
              <w:jc w:val="right"/>
              <w:rPr>
                <w:rFonts w:cs="Times New Roman"/>
                <w:color w:val="000000"/>
                <w:sz w:val="18"/>
                <w:szCs w:val="18"/>
                <w:highlight w:val="yellow"/>
              </w:rPr>
            </w:pPr>
            <w:r w:rsidRPr="00591AEA">
              <w:rPr>
                <w:sz w:val="18"/>
                <w:szCs w:val="18"/>
              </w:rPr>
              <w:t>4,3</w:t>
            </w:r>
          </w:p>
        </w:tc>
        <w:tc>
          <w:tcPr>
            <w:tcW w:w="736" w:type="dxa"/>
            <w:tcBorders>
              <w:top w:val="nil"/>
              <w:left w:val="nil"/>
              <w:bottom w:val="nil"/>
              <w:right w:val="nil"/>
            </w:tcBorders>
            <w:shd w:val="clear" w:color="auto" w:fill="auto"/>
            <w:noWrap/>
            <w:vAlign w:val="center"/>
            <w:hideMark/>
          </w:tcPr>
          <w:p w14:paraId="6D0F8F80" w14:textId="4A3B9D8D" w:rsidR="00795E53" w:rsidRPr="003F2B19" w:rsidRDefault="00795E53">
            <w:pPr>
              <w:jc w:val="right"/>
              <w:rPr>
                <w:rFonts w:cs="Times New Roman"/>
                <w:color w:val="000000"/>
                <w:sz w:val="18"/>
                <w:szCs w:val="18"/>
                <w:highlight w:val="yellow"/>
              </w:rPr>
            </w:pPr>
            <w:r w:rsidRPr="00591AEA">
              <w:rPr>
                <w:sz w:val="18"/>
                <w:szCs w:val="18"/>
              </w:rPr>
              <w:t>4,5</w:t>
            </w:r>
          </w:p>
        </w:tc>
        <w:tc>
          <w:tcPr>
            <w:tcW w:w="667" w:type="dxa"/>
            <w:tcBorders>
              <w:top w:val="nil"/>
              <w:left w:val="nil"/>
              <w:bottom w:val="nil"/>
              <w:right w:val="nil"/>
            </w:tcBorders>
            <w:shd w:val="clear" w:color="auto" w:fill="auto"/>
            <w:noWrap/>
            <w:vAlign w:val="center"/>
            <w:hideMark/>
          </w:tcPr>
          <w:p w14:paraId="09010B14" w14:textId="3C55E64A" w:rsidR="00795E53" w:rsidRPr="003F2B19" w:rsidRDefault="00795E53">
            <w:pPr>
              <w:jc w:val="right"/>
              <w:rPr>
                <w:rFonts w:cs="Times New Roman"/>
                <w:color w:val="000000"/>
                <w:sz w:val="18"/>
                <w:szCs w:val="18"/>
                <w:highlight w:val="yellow"/>
              </w:rPr>
            </w:pPr>
            <w:r w:rsidRPr="00591AEA">
              <w:rPr>
                <w:sz w:val="18"/>
                <w:szCs w:val="18"/>
              </w:rPr>
              <w:t>3,0</w:t>
            </w:r>
          </w:p>
        </w:tc>
      </w:tr>
      <w:tr w:rsidR="00795E53" w:rsidRPr="0095170A" w14:paraId="36FA026F" w14:textId="77777777" w:rsidTr="00591AEA">
        <w:trPr>
          <w:trHeight w:val="330"/>
          <w:jc w:val="center"/>
        </w:trPr>
        <w:tc>
          <w:tcPr>
            <w:tcW w:w="3909" w:type="dxa"/>
            <w:tcBorders>
              <w:top w:val="nil"/>
              <w:left w:val="nil"/>
              <w:bottom w:val="nil"/>
              <w:right w:val="nil"/>
            </w:tcBorders>
            <w:shd w:val="clear" w:color="auto" w:fill="auto"/>
            <w:noWrap/>
            <w:vAlign w:val="bottom"/>
            <w:hideMark/>
          </w:tcPr>
          <w:p w14:paraId="4FD7DC17" w14:textId="77777777" w:rsidR="00795E53" w:rsidRPr="006D1A26" w:rsidRDefault="00795E53" w:rsidP="00795E53">
            <w:pPr>
              <w:rPr>
                <w:rFonts w:cs="Times New Roman"/>
                <w:b/>
                <w:bCs/>
                <w:color w:val="000000"/>
                <w:sz w:val="18"/>
                <w:szCs w:val="18"/>
              </w:rPr>
            </w:pPr>
            <w:r w:rsidRPr="006D1A26">
              <w:rPr>
                <w:rFonts w:cs="Times New Roman"/>
                <w:b/>
                <w:bCs/>
                <w:color w:val="000000"/>
                <w:sz w:val="18"/>
                <w:szCs w:val="18"/>
              </w:rPr>
              <w:t xml:space="preserve">Reálny rast agregátu výdavkov </w:t>
            </w:r>
          </w:p>
        </w:tc>
        <w:tc>
          <w:tcPr>
            <w:tcW w:w="716" w:type="dxa"/>
            <w:tcBorders>
              <w:top w:val="nil"/>
              <w:left w:val="nil"/>
              <w:bottom w:val="nil"/>
              <w:right w:val="nil"/>
            </w:tcBorders>
            <w:shd w:val="clear" w:color="auto" w:fill="auto"/>
            <w:vAlign w:val="center"/>
            <w:hideMark/>
          </w:tcPr>
          <w:p w14:paraId="272350C6" w14:textId="77777777" w:rsidR="00795E53" w:rsidRPr="006D1A26" w:rsidRDefault="00795E53" w:rsidP="00795E53">
            <w:pPr>
              <w:jc w:val="center"/>
              <w:rPr>
                <w:rFonts w:cs="Times New Roman"/>
                <w:b/>
                <w:bCs/>
                <w:color w:val="000000"/>
                <w:sz w:val="18"/>
                <w:szCs w:val="18"/>
              </w:rPr>
            </w:pPr>
            <w:r w:rsidRPr="006D1A26">
              <w:rPr>
                <w:rFonts w:cs="Times New Roman"/>
                <w:b/>
                <w:bCs/>
                <w:color w:val="000000"/>
                <w:sz w:val="18"/>
                <w:szCs w:val="18"/>
              </w:rPr>
              <w:t>%</w:t>
            </w:r>
          </w:p>
        </w:tc>
        <w:tc>
          <w:tcPr>
            <w:tcW w:w="756" w:type="dxa"/>
            <w:tcBorders>
              <w:top w:val="nil"/>
              <w:left w:val="nil"/>
              <w:bottom w:val="nil"/>
              <w:right w:val="nil"/>
            </w:tcBorders>
            <w:shd w:val="clear" w:color="auto" w:fill="auto"/>
            <w:noWrap/>
            <w:vAlign w:val="center"/>
            <w:hideMark/>
          </w:tcPr>
          <w:p w14:paraId="10DE7D6C" w14:textId="69849D64" w:rsidR="00795E53" w:rsidRPr="003F2B19" w:rsidRDefault="00795E53">
            <w:pPr>
              <w:jc w:val="right"/>
              <w:rPr>
                <w:rFonts w:cs="Times New Roman"/>
                <w:b/>
                <w:bCs/>
                <w:color w:val="000000"/>
                <w:sz w:val="18"/>
                <w:szCs w:val="18"/>
              </w:rPr>
            </w:pPr>
            <w:r w:rsidRPr="00591AEA">
              <w:rPr>
                <w:sz w:val="18"/>
                <w:szCs w:val="18"/>
              </w:rPr>
              <w:t>0,2</w:t>
            </w:r>
          </w:p>
        </w:tc>
        <w:tc>
          <w:tcPr>
            <w:tcW w:w="736" w:type="dxa"/>
            <w:tcBorders>
              <w:top w:val="nil"/>
              <w:left w:val="nil"/>
              <w:bottom w:val="nil"/>
              <w:right w:val="nil"/>
            </w:tcBorders>
            <w:shd w:val="clear" w:color="auto" w:fill="auto"/>
            <w:noWrap/>
            <w:vAlign w:val="center"/>
            <w:hideMark/>
          </w:tcPr>
          <w:p w14:paraId="427E4245" w14:textId="27DACFE8" w:rsidR="00795E53" w:rsidRPr="003F2B19" w:rsidRDefault="00795E53">
            <w:pPr>
              <w:jc w:val="right"/>
              <w:rPr>
                <w:rFonts w:cs="Times New Roman"/>
                <w:b/>
                <w:bCs/>
                <w:color w:val="000000"/>
                <w:sz w:val="18"/>
                <w:szCs w:val="18"/>
                <w:highlight w:val="yellow"/>
              </w:rPr>
            </w:pPr>
            <w:r w:rsidRPr="00591AEA">
              <w:rPr>
                <w:sz w:val="18"/>
                <w:szCs w:val="18"/>
              </w:rPr>
              <w:t>5,0</w:t>
            </w:r>
          </w:p>
        </w:tc>
        <w:tc>
          <w:tcPr>
            <w:tcW w:w="816" w:type="dxa"/>
            <w:tcBorders>
              <w:top w:val="nil"/>
              <w:left w:val="nil"/>
              <w:bottom w:val="nil"/>
              <w:right w:val="nil"/>
            </w:tcBorders>
            <w:shd w:val="clear" w:color="auto" w:fill="auto"/>
            <w:noWrap/>
            <w:vAlign w:val="center"/>
            <w:hideMark/>
          </w:tcPr>
          <w:p w14:paraId="00C12717" w14:textId="5CEF1ADF" w:rsidR="00795E53" w:rsidRPr="003F2B19" w:rsidRDefault="00795E53">
            <w:pPr>
              <w:jc w:val="right"/>
              <w:rPr>
                <w:rFonts w:cs="Times New Roman"/>
                <w:b/>
                <w:bCs/>
                <w:color w:val="000000"/>
                <w:sz w:val="18"/>
                <w:szCs w:val="18"/>
                <w:highlight w:val="yellow"/>
              </w:rPr>
            </w:pPr>
            <w:r w:rsidRPr="00591AEA">
              <w:rPr>
                <w:sz w:val="18"/>
                <w:szCs w:val="18"/>
              </w:rPr>
              <w:t>1,3</w:t>
            </w:r>
          </w:p>
        </w:tc>
        <w:tc>
          <w:tcPr>
            <w:tcW w:w="736" w:type="dxa"/>
            <w:tcBorders>
              <w:top w:val="nil"/>
              <w:left w:val="nil"/>
              <w:bottom w:val="nil"/>
              <w:right w:val="nil"/>
            </w:tcBorders>
            <w:shd w:val="clear" w:color="auto" w:fill="auto"/>
            <w:noWrap/>
            <w:vAlign w:val="center"/>
            <w:hideMark/>
          </w:tcPr>
          <w:p w14:paraId="0D053E8D" w14:textId="401906D3" w:rsidR="00795E53" w:rsidRPr="003F2B19" w:rsidRDefault="00795E53">
            <w:pPr>
              <w:jc w:val="right"/>
              <w:rPr>
                <w:rFonts w:cs="Times New Roman"/>
                <w:b/>
                <w:bCs/>
                <w:color w:val="000000"/>
                <w:sz w:val="18"/>
                <w:szCs w:val="18"/>
                <w:highlight w:val="yellow"/>
              </w:rPr>
            </w:pPr>
            <w:r w:rsidRPr="00591AEA">
              <w:rPr>
                <w:sz w:val="18"/>
                <w:szCs w:val="18"/>
              </w:rPr>
              <w:t>1,7</w:t>
            </w:r>
          </w:p>
        </w:tc>
        <w:tc>
          <w:tcPr>
            <w:tcW w:w="736" w:type="dxa"/>
            <w:tcBorders>
              <w:top w:val="nil"/>
              <w:left w:val="nil"/>
              <w:bottom w:val="nil"/>
              <w:right w:val="nil"/>
            </w:tcBorders>
            <w:shd w:val="clear" w:color="auto" w:fill="auto"/>
            <w:noWrap/>
            <w:vAlign w:val="center"/>
            <w:hideMark/>
          </w:tcPr>
          <w:p w14:paraId="1D3D6C9C" w14:textId="7046E5DD" w:rsidR="00795E53" w:rsidRPr="003F2B19" w:rsidRDefault="00795E53">
            <w:pPr>
              <w:jc w:val="right"/>
              <w:rPr>
                <w:rFonts w:cs="Times New Roman"/>
                <w:b/>
                <w:bCs/>
                <w:color w:val="000000"/>
                <w:sz w:val="18"/>
                <w:szCs w:val="18"/>
                <w:highlight w:val="yellow"/>
              </w:rPr>
            </w:pPr>
            <w:r w:rsidRPr="00591AEA">
              <w:rPr>
                <w:sz w:val="18"/>
                <w:szCs w:val="18"/>
              </w:rPr>
              <w:t>2,1</w:t>
            </w:r>
          </w:p>
        </w:tc>
        <w:tc>
          <w:tcPr>
            <w:tcW w:w="667" w:type="dxa"/>
            <w:tcBorders>
              <w:top w:val="nil"/>
              <w:left w:val="nil"/>
              <w:bottom w:val="nil"/>
              <w:right w:val="nil"/>
            </w:tcBorders>
            <w:shd w:val="clear" w:color="auto" w:fill="auto"/>
            <w:noWrap/>
            <w:vAlign w:val="center"/>
            <w:hideMark/>
          </w:tcPr>
          <w:p w14:paraId="587C634A" w14:textId="6A9FE5A7" w:rsidR="00795E53" w:rsidRPr="003F2B19" w:rsidRDefault="00795E53">
            <w:pPr>
              <w:jc w:val="right"/>
              <w:rPr>
                <w:rFonts w:cs="Times New Roman"/>
                <w:b/>
                <w:bCs/>
                <w:color w:val="000000"/>
                <w:sz w:val="18"/>
                <w:szCs w:val="18"/>
                <w:highlight w:val="yellow"/>
              </w:rPr>
            </w:pPr>
            <w:r w:rsidRPr="00591AEA">
              <w:rPr>
                <w:sz w:val="18"/>
                <w:szCs w:val="18"/>
              </w:rPr>
              <w:t>0,6</w:t>
            </w:r>
          </w:p>
        </w:tc>
      </w:tr>
      <w:tr w:rsidR="00BD53AF" w:rsidRPr="0095170A" w14:paraId="0275F61E" w14:textId="77777777" w:rsidTr="00387AE5">
        <w:trPr>
          <w:trHeight w:val="330"/>
          <w:jc w:val="center"/>
        </w:trPr>
        <w:tc>
          <w:tcPr>
            <w:tcW w:w="3909" w:type="dxa"/>
            <w:tcBorders>
              <w:top w:val="single" w:sz="4" w:space="0" w:color="auto"/>
              <w:left w:val="nil"/>
              <w:bottom w:val="nil"/>
              <w:right w:val="nil"/>
            </w:tcBorders>
            <w:shd w:val="clear" w:color="auto" w:fill="auto"/>
            <w:vAlign w:val="center"/>
            <w:hideMark/>
          </w:tcPr>
          <w:p w14:paraId="303C37BD" w14:textId="77777777" w:rsidR="00BD53AF" w:rsidRPr="006D1A26" w:rsidRDefault="00BD53AF" w:rsidP="00387AE5">
            <w:pPr>
              <w:rPr>
                <w:rFonts w:cs="Times New Roman"/>
                <w:b/>
                <w:bCs/>
                <w:color w:val="000000"/>
                <w:sz w:val="18"/>
                <w:szCs w:val="18"/>
              </w:rPr>
            </w:pPr>
            <w:r w:rsidRPr="006D1A26">
              <w:rPr>
                <w:rFonts w:cs="Times New Roman"/>
                <w:b/>
                <w:bCs/>
                <w:color w:val="000000"/>
                <w:sz w:val="18"/>
                <w:szCs w:val="18"/>
              </w:rPr>
              <w:t>Výdavkové pravidlo (referenčná miera</w:t>
            </w:r>
            <w:r>
              <w:rPr>
                <w:rFonts w:cs="Times New Roman"/>
                <w:b/>
                <w:bCs/>
                <w:color w:val="000000"/>
                <w:sz w:val="18"/>
                <w:szCs w:val="18"/>
              </w:rPr>
              <w:t xml:space="preserve"> pre rast výdavkov</w:t>
            </w:r>
            <w:r w:rsidRPr="006D1A26">
              <w:rPr>
                <w:rFonts w:cs="Times New Roman"/>
                <w:b/>
                <w:bCs/>
                <w:color w:val="000000"/>
                <w:sz w:val="18"/>
                <w:szCs w:val="18"/>
              </w:rPr>
              <w:t>)</w:t>
            </w:r>
          </w:p>
        </w:tc>
        <w:tc>
          <w:tcPr>
            <w:tcW w:w="716" w:type="dxa"/>
            <w:tcBorders>
              <w:top w:val="single" w:sz="4" w:space="0" w:color="auto"/>
              <w:left w:val="nil"/>
              <w:bottom w:val="nil"/>
              <w:right w:val="nil"/>
            </w:tcBorders>
            <w:shd w:val="clear" w:color="auto" w:fill="auto"/>
            <w:vAlign w:val="center"/>
            <w:hideMark/>
          </w:tcPr>
          <w:p w14:paraId="11331838" w14:textId="77777777" w:rsidR="00BD53AF" w:rsidRPr="006D1A26" w:rsidRDefault="00BD53AF" w:rsidP="00387AE5">
            <w:pPr>
              <w:jc w:val="center"/>
              <w:rPr>
                <w:rFonts w:cs="Times New Roman"/>
                <w:b/>
                <w:bCs/>
                <w:color w:val="000000"/>
                <w:sz w:val="18"/>
                <w:szCs w:val="18"/>
              </w:rPr>
            </w:pPr>
            <w:r>
              <w:rPr>
                <w:rFonts w:cs="Times New Roman"/>
                <w:b/>
                <w:bCs/>
                <w:color w:val="000000"/>
                <w:sz w:val="18"/>
                <w:szCs w:val="18"/>
              </w:rPr>
              <w:t>%</w:t>
            </w:r>
          </w:p>
        </w:tc>
        <w:tc>
          <w:tcPr>
            <w:tcW w:w="756" w:type="dxa"/>
            <w:tcBorders>
              <w:top w:val="single" w:sz="4" w:space="0" w:color="auto"/>
              <w:left w:val="nil"/>
              <w:bottom w:val="nil"/>
              <w:right w:val="nil"/>
            </w:tcBorders>
            <w:shd w:val="clear" w:color="auto" w:fill="auto"/>
            <w:noWrap/>
            <w:vAlign w:val="center"/>
            <w:hideMark/>
          </w:tcPr>
          <w:p w14:paraId="7034C58D" w14:textId="77777777" w:rsidR="00BD53AF" w:rsidRPr="003F2B19" w:rsidRDefault="00BD53AF" w:rsidP="00387AE5">
            <w:pPr>
              <w:jc w:val="right"/>
              <w:rPr>
                <w:rFonts w:cs="Times New Roman"/>
                <w:b/>
                <w:bCs/>
                <w:color w:val="000000"/>
                <w:sz w:val="18"/>
                <w:szCs w:val="18"/>
              </w:rPr>
            </w:pPr>
            <w:r w:rsidRPr="003F2B19">
              <w:rPr>
                <w:rFonts w:cs="Times New Roman"/>
                <w:b/>
                <w:bCs/>
                <w:color w:val="000000"/>
                <w:sz w:val="18"/>
                <w:szCs w:val="18"/>
              </w:rPr>
              <w:t>1,3</w:t>
            </w:r>
          </w:p>
        </w:tc>
        <w:tc>
          <w:tcPr>
            <w:tcW w:w="736" w:type="dxa"/>
            <w:tcBorders>
              <w:top w:val="single" w:sz="4" w:space="0" w:color="auto"/>
              <w:left w:val="nil"/>
              <w:bottom w:val="nil"/>
              <w:right w:val="nil"/>
            </w:tcBorders>
            <w:shd w:val="clear" w:color="auto" w:fill="auto"/>
            <w:noWrap/>
            <w:vAlign w:val="center"/>
            <w:hideMark/>
          </w:tcPr>
          <w:p w14:paraId="338BAEAE" w14:textId="77777777" w:rsidR="00BD53AF" w:rsidRPr="003F2B19" w:rsidRDefault="00BD53AF" w:rsidP="00387AE5">
            <w:pPr>
              <w:jc w:val="right"/>
              <w:rPr>
                <w:rFonts w:cs="Times New Roman"/>
                <w:b/>
                <w:bCs/>
                <w:color w:val="000000"/>
                <w:sz w:val="18"/>
                <w:szCs w:val="18"/>
                <w:highlight w:val="yellow"/>
              </w:rPr>
            </w:pPr>
            <w:r w:rsidRPr="003F2B19">
              <w:rPr>
                <w:b/>
                <w:bCs/>
                <w:color w:val="000000"/>
                <w:sz w:val="18"/>
                <w:szCs w:val="18"/>
              </w:rPr>
              <w:t>1,3</w:t>
            </w:r>
          </w:p>
        </w:tc>
        <w:tc>
          <w:tcPr>
            <w:tcW w:w="816" w:type="dxa"/>
            <w:tcBorders>
              <w:top w:val="single" w:sz="4" w:space="0" w:color="auto"/>
              <w:left w:val="nil"/>
              <w:bottom w:val="nil"/>
              <w:right w:val="nil"/>
            </w:tcBorders>
            <w:shd w:val="clear" w:color="auto" w:fill="auto"/>
            <w:noWrap/>
            <w:vAlign w:val="center"/>
            <w:hideMark/>
          </w:tcPr>
          <w:p w14:paraId="10B917D0" w14:textId="77777777" w:rsidR="00BD53AF" w:rsidRPr="003F2B19" w:rsidRDefault="00BD53AF" w:rsidP="00387AE5">
            <w:pPr>
              <w:jc w:val="right"/>
              <w:rPr>
                <w:rFonts w:cs="Times New Roman"/>
                <w:b/>
                <w:bCs/>
                <w:color w:val="000000"/>
                <w:sz w:val="18"/>
                <w:szCs w:val="18"/>
                <w:highlight w:val="yellow"/>
              </w:rPr>
            </w:pPr>
            <w:r w:rsidRPr="003F2B19">
              <w:rPr>
                <w:b/>
                <w:bCs/>
                <w:color w:val="000000"/>
                <w:sz w:val="18"/>
                <w:szCs w:val="18"/>
              </w:rPr>
              <w:t>1,6</w:t>
            </w:r>
          </w:p>
        </w:tc>
        <w:tc>
          <w:tcPr>
            <w:tcW w:w="736" w:type="dxa"/>
            <w:tcBorders>
              <w:top w:val="single" w:sz="4" w:space="0" w:color="auto"/>
              <w:left w:val="nil"/>
              <w:bottom w:val="nil"/>
              <w:right w:val="nil"/>
            </w:tcBorders>
            <w:shd w:val="clear" w:color="auto" w:fill="auto"/>
            <w:noWrap/>
            <w:vAlign w:val="center"/>
            <w:hideMark/>
          </w:tcPr>
          <w:p w14:paraId="27D34ECC" w14:textId="77777777" w:rsidR="00BD53AF" w:rsidRPr="003F2B19" w:rsidRDefault="00BD53AF" w:rsidP="00387AE5">
            <w:pPr>
              <w:jc w:val="right"/>
              <w:rPr>
                <w:rFonts w:cs="Times New Roman"/>
                <w:b/>
                <w:bCs/>
                <w:color w:val="000000"/>
                <w:sz w:val="18"/>
                <w:szCs w:val="18"/>
                <w:highlight w:val="yellow"/>
              </w:rPr>
            </w:pPr>
            <w:r w:rsidRPr="003F2B19">
              <w:rPr>
                <w:b/>
                <w:bCs/>
                <w:color w:val="000000"/>
                <w:sz w:val="18"/>
                <w:szCs w:val="18"/>
              </w:rPr>
              <w:t>3,0</w:t>
            </w:r>
          </w:p>
        </w:tc>
        <w:tc>
          <w:tcPr>
            <w:tcW w:w="736" w:type="dxa"/>
            <w:tcBorders>
              <w:top w:val="single" w:sz="4" w:space="0" w:color="auto"/>
              <w:left w:val="nil"/>
              <w:bottom w:val="nil"/>
              <w:right w:val="nil"/>
            </w:tcBorders>
            <w:shd w:val="clear" w:color="auto" w:fill="auto"/>
            <w:noWrap/>
            <w:vAlign w:val="center"/>
            <w:hideMark/>
          </w:tcPr>
          <w:p w14:paraId="70829F7B" w14:textId="77777777" w:rsidR="00BD53AF" w:rsidRPr="003F2B19" w:rsidRDefault="00BD53AF" w:rsidP="00387AE5">
            <w:pPr>
              <w:jc w:val="right"/>
              <w:rPr>
                <w:rFonts w:cs="Times New Roman"/>
                <w:b/>
                <w:bCs/>
                <w:color w:val="000000"/>
                <w:sz w:val="18"/>
                <w:szCs w:val="18"/>
                <w:highlight w:val="yellow"/>
              </w:rPr>
            </w:pPr>
            <w:r w:rsidRPr="003F2B19">
              <w:rPr>
                <w:b/>
                <w:bCs/>
                <w:color w:val="000000"/>
                <w:sz w:val="18"/>
                <w:szCs w:val="18"/>
              </w:rPr>
              <w:t>3,0</w:t>
            </w:r>
          </w:p>
        </w:tc>
        <w:tc>
          <w:tcPr>
            <w:tcW w:w="667" w:type="dxa"/>
            <w:tcBorders>
              <w:top w:val="single" w:sz="4" w:space="0" w:color="auto"/>
              <w:left w:val="nil"/>
              <w:bottom w:val="nil"/>
              <w:right w:val="nil"/>
            </w:tcBorders>
            <w:shd w:val="clear" w:color="auto" w:fill="auto"/>
            <w:noWrap/>
            <w:vAlign w:val="center"/>
            <w:hideMark/>
          </w:tcPr>
          <w:p w14:paraId="5E2D1470" w14:textId="77777777" w:rsidR="00BD53AF" w:rsidRPr="003F2B19" w:rsidRDefault="00BD53AF" w:rsidP="00387AE5">
            <w:pPr>
              <w:jc w:val="right"/>
              <w:rPr>
                <w:rFonts w:cs="Times New Roman"/>
                <w:b/>
                <w:bCs/>
                <w:color w:val="000000"/>
                <w:sz w:val="18"/>
                <w:szCs w:val="18"/>
                <w:highlight w:val="yellow"/>
              </w:rPr>
            </w:pPr>
            <w:r w:rsidRPr="003F2B19">
              <w:rPr>
                <w:b/>
                <w:bCs/>
                <w:color w:val="000000"/>
                <w:sz w:val="18"/>
                <w:szCs w:val="18"/>
              </w:rPr>
              <w:t>3,1</w:t>
            </w:r>
          </w:p>
        </w:tc>
      </w:tr>
      <w:tr w:rsidR="00795E53" w:rsidRPr="0025149D" w14:paraId="7B9BD157" w14:textId="77777777" w:rsidTr="00591AEA">
        <w:trPr>
          <w:trHeight w:val="330"/>
          <w:jc w:val="center"/>
        </w:trPr>
        <w:tc>
          <w:tcPr>
            <w:tcW w:w="3909" w:type="dxa"/>
            <w:tcBorders>
              <w:top w:val="nil"/>
              <w:left w:val="nil"/>
              <w:bottom w:val="single" w:sz="4" w:space="0" w:color="auto"/>
              <w:right w:val="nil"/>
            </w:tcBorders>
            <w:shd w:val="clear" w:color="auto" w:fill="auto"/>
            <w:vAlign w:val="center"/>
            <w:hideMark/>
          </w:tcPr>
          <w:p w14:paraId="026F7FD2" w14:textId="77777777" w:rsidR="00795E53" w:rsidRPr="006D1A26" w:rsidRDefault="00795E53" w:rsidP="00795E53">
            <w:pPr>
              <w:rPr>
                <w:rFonts w:cs="Times New Roman"/>
                <w:color w:val="000000"/>
                <w:sz w:val="18"/>
                <w:szCs w:val="18"/>
              </w:rPr>
            </w:pPr>
            <w:r w:rsidRPr="006D1A26">
              <w:rPr>
                <w:rFonts w:cs="Times New Roman"/>
                <w:color w:val="000000"/>
                <w:sz w:val="18"/>
                <w:szCs w:val="18"/>
              </w:rPr>
              <w:t>Odchýlka od výdavkového pravidla</w:t>
            </w:r>
          </w:p>
        </w:tc>
        <w:tc>
          <w:tcPr>
            <w:tcW w:w="716" w:type="dxa"/>
            <w:tcBorders>
              <w:top w:val="nil"/>
              <w:left w:val="nil"/>
              <w:bottom w:val="single" w:sz="4" w:space="0" w:color="auto"/>
              <w:right w:val="nil"/>
            </w:tcBorders>
            <w:shd w:val="clear" w:color="auto" w:fill="auto"/>
            <w:vAlign w:val="center"/>
            <w:hideMark/>
          </w:tcPr>
          <w:p w14:paraId="0A874122" w14:textId="77777777" w:rsidR="00795E53" w:rsidRPr="006D1A26" w:rsidRDefault="00795E53" w:rsidP="00795E53">
            <w:pPr>
              <w:jc w:val="center"/>
              <w:rPr>
                <w:rFonts w:cs="Times New Roman"/>
                <w:color w:val="000000"/>
                <w:sz w:val="18"/>
                <w:szCs w:val="18"/>
              </w:rPr>
            </w:pPr>
            <w:r w:rsidRPr="006D1A26">
              <w:rPr>
                <w:rFonts w:cs="Times New Roman"/>
                <w:color w:val="000000"/>
                <w:sz w:val="18"/>
                <w:szCs w:val="18"/>
              </w:rPr>
              <w:t>p. b.</w:t>
            </w:r>
          </w:p>
        </w:tc>
        <w:tc>
          <w:tcPr>
            <w:tcW w:w="756" w:type="dxa"/>
            <w:tcBorders>
              <w:top w:val="nil"/>
              <w:left w:val="nil"/>
              <w:bottom w:val="single" w:sz="4" w:space="0" w:color="auto"/>
              <w:right w:val="nil"/>
            </w:tcBorders>
            <w:shd w:val="clear" w:color="auto" w:fill="auto"/>
            <w:vAlign w:val="center"/>
            <w:hideMark/>
          </w:tcPr>
          <w:p w14:paraId="01DA756A" w14:textId="08362BFE" w:rsidR="00795E53" w:rsidRPr="003F2B19" w:rsidRDefault="00795E53">
            <w:pPr>
              <w:jc w:val="right"/>
              <w:rPr>
                <w:rFonts w:cs="Times New Roman"/>
                <w:color w:val="000000"/>
                <w:sz w:val="18"/>
                <w:szCs w:val="18"/>
              </w:rPr>
            </w:pPr>
            <w:r w:rsidRPr="00591AEA">
              <w:rPr>
                <w:sz w:val="18"/>
                <w:szCs w:val="18"/>
              </w:rPr>
              <w:t>1,1</w:t>
            </w:r>
          </w:p>
        </w:tc>
        <w:tc>
          <w:tcPr>
            <w:tcW w:w="736" w:type="dxa"/>
            <w:tcBorders>
              <w:top w:val="nil"/>
              <w:left w:val="nil"/>
              <w:bottom w:val="single" w:sz="4" w:space="0" w:color="auto"/>
              <w:right w:val="nil"/>
            </w:tcBorders>
            <w:shd w:val="clear" w:color="auto" w:fill="auto"/>
            <w:vAlign w:val="center"/>
            <w:hideMark/>
          </w:tcPr>
          <w:p w14:paraId="34D71AF9" w14:textId="5FF5FD09" w:rsidR="00795E53" w:rsidRPr="003F2B19" w:rsidRDefault="00795E53">
            <w:pPr>
              <w:jc w:val="right"/>
              <w:rPr>
                <w:rFonts w:cs="Times New Roman"/>
                <w:color w:val="000000"/>
                <w:sz w:val="18"/>
                <w:szCs w:val="18"/>
                <w:highlight w:val="yellow"/>
              </w:rPr>
            </w:pPr>
            <w:r w:rsidRPr="00591AEA">
              <w:rPr>
                <w:sz w:val="18"/>
                <w:szCs w:val="18"/>
              </w:rPr>
              <w:t>-3,6</w:t>
            </w:r>
          </w:p>
        </w:tc>
        <w:tc>
          <w:tcPr>
            <w:tcW w:w="816" w:type="dxa"/>
            <w:tcBorders>
              <w:top w:val="nil"/>
              <w:left w:val="nil"/>
              <w:bottom w:val="single" w:sz="4" w:space="0" w:color="auto"/>
              <w:right w:val="nil"/>
            </w:tcBorders>
            <w:shd w:val="clear" w:color="auto" w:fill="auto"/>
            <w:vAlign w:val="center"/>
            <w:hideMark/>
          </w:tcPr>
          <w:p w14:paraId="3B32A456" w14:textId="14B7BE65" w:rsidR="00795E53" w:rsidRPr="003F2B19" w:rsidRDefault="00795E53">
            <w:pPr>
              <w:jc w:val="right"/>
              <w:rPr>
                <w:rFonts w:cs="Times New Roman"/>
                <w:color w:val="000000"/>
                <w:sz w:val="18"/>
                <w:szCs w:val="18"/>
                <w:highlight w:val="yellow"/>
              </w:rPr>
            </w:pPr>
            <w:r w:rsidRPr="00591AEA">
              <w:rPr>
                <w:sz w:val="18"/>
                <w:szCs w:val="18"/>
              </w:rPr>
              <w:t>0,3</w:t>
            </w:r>
          </w:p>
        </w:tc>
        <w:tc>
          <w:tcPr>
            <w:tcW w:w="736" w:type="dxa"/>
            <w:tcBorders>
              <w:top w:val="nil"/>
              <w:left w:val="nil"/>
              <w:bottom w:val="single" w:sz="4" w:space="0" w:color="auto"/>
              <w:right w:val="nil"/>
            </w:tcBorders>
            <w:shd w:val="clear" w:color="auto" w:fill="auto"/>
            <w:vAlign w:val="center"/>
            <w:hideMark/>
          </w:tcPr>
          <w:p w14:paraId="20D74266" w14:textId="37203918" w:rsidR="00795E53" w:rsidRPr="003F2B19" w:rsidRDefault="00795E53">
            <w:pPr>
              <w:jc w:val="right"/>
              <w:rPr>
                <w:rFonts w:cs="Times New Roman"/>
                <w:color w:val="000000"/>
                <w:sz w:val="18"/>
                <w:szCs w:val="18"/>
                <w:highlight w:val="yellow"/>
              </w:rPr>
            </w:pPr>
            <w:r w:rsidRPr="00591AEA">
              <w:rPr>
                <w:sz w:val="18"/>
                <w:szCs w:val="18"/>
              </w:rPr>
              <w:t>1,3</w:t>
            </w:r>
          </w:p>
        </w:tc>
        <w:tc>
          <w:tcPr>
            <w:tcW w:w="736" w:type="dxa"/>
            <w:tcBorders>
              <w:top w:val="nil"/>
              <w:left w:val="nil"/>
              <w:bottom w:val="single" w:sz="4" w:space="0" w:color="auto"/>
              <w:right w:val="nil"/>
            </w:tcBorders>
            <w:shd w:val="clear" w:color="auto" w:fill="auto"/>
            <w:vAlign w:val="center"/>
            <w:hideMark/>
          </w:tcPr>
          <w:p w14:paraId="7D1AFDA5" w14:textId="07CB260E" w:rsidR="00795E53" w:rsidRPr="003F2B19" w:rsidRDefault="00795E53">
            <w:pPr>
              <w:jc w:val="right"/>
              <w:rPr>
                <w:rFonts w:cs="Times New Roman"/>
                <w:color w:val="000000"/>
                <w:sz w:val="18"/>
                <w:szCs w:val="18"/>
                <w:highlight w:val="yellow"/>
              </w:rPr>
            </w:pPr>
            <w:r w:rsidRPr="00591AEA">
              <w:rPr>
                <w:sz w:val="18"/>
                <w:szCs w:val="18"/>
              </w:rPr>
              <w:t>0,9</w:t>
            </w:r>
          </w:p>
        </w:tc>
        <w:tc>
          <w:tcPr>
            <w:tcW w:w="667" w:type="dxa"/>
            <w:tcBorders>
              <w:top w:val="nil"/>
              <w:left w:val="nil"/>
              <w:bottom w:val="single" w:sz="4" w:space="0" w:color="auto"/>
              <w:right w:val="nil"/>
            </w:tcBorders>
            <w:shd w:val="clear" w:color="auto" w:fill="auto"/>
            <w:vAlign w:val="center"/>
            <w:hideMark/>
          </w:tcPr>
          <w:p w14:paraId="0F81A4CC" w14:textId="170A37BF" w:rsidR="00795E53" w:rsidRPr="003F2B19" w:rsidRDefault="00795E53">
            <w:pPr>
              <w:jc w:val="right"/>
              <w:rPr>
                <w:rFonts w:cs="Times New Roman"/>
                <w:color w:val="000000"/>
                <w:sz w:val="18"/>
                <w:szCs w:val="18"/>
              </w:rPr>
            </w:pPr>
            <w:r w:rsidRPr="00591AEA">
              <w:rPr>
                <w:sz w:val="18"/>
                <w:szCs w:val="18"/>
              </w:rPr>
              <w:t>2,4</w:t>
            </w:r>
          </w:p>
        </w:tc>
      </w:tr>
      <w:tr w:rsidR="00795E53" w:rsidRPr="0025149D" w14:paraId="23D5EE32" w14:textId="77777777" w:rsidTr="00591AEA">
        <w:trPr>
          <w:trHeight w:val="330"/>
          <w:jc w:val="center"/>
        </w:trPr>
        <w:tc>
          <w:tcPr>
            <w:tcW w:w="3909" w:type="dxa"/>
            <w:tcBorders>
              <w:top w:val="nil"/>
              <w:left w:val="nil"/>
              <w:right w:val="nil"/>
            </w:tcBorders>
            <w:shd w:val="clear" w:color="auto" w:fill="auto"/>
            <w:vAlign w:val="center"/>
            <w:hideMark/>
          </w:tcPr>
          <w:p w14:paraId="23BAEF64" w14:textId="77777777" w:rsidR="00795E53" w:rsidRPr="000D45BF" w:rsidRDefault="00795E53" w:rsidP="00795E53">
            <w:pPr>
              <w:rPr>
                <w:rFonts w:cs="Times New Roman"/>
                <w:b/>
                <w:bCs/>
                <w:color w:val="000000"/>
                <w:sz w:val="18"/>
                <w:szCs w:val="18"/>
              </w:rPr>
            </w:pPr>
            <w:r w:rsidRPr="000D45BF">
              <w:rPr>
                <w:rFonts w:cs="Times New Roman"/>
                <w:b/>
                <w:bCs/>
                <w:color w:val="000000"/>
                <w:sz w:val="18"/>
                <w:szCs w:val="18"/>
              </w:rPr>
              <w:t>Jednoročná odchýlka</w:t>
            </w:r>
            <w:r>
              <w:rPr>
                <w:rFonts w:cs="Times New Roman"/>
                <w:b/>
                <w:bCs/>
                <w:color w:val="000000"/>
                <w:sz w:val="18"/>
                <w:szCs w:val="18"/>
              </w:rPr>
              <w:t>*</w:t>
            </w:r>
            <w:r w:rsidRPr="000D45BF">
              <w:rPr>
                <w:rFonts w:cs="Times New Roman"/>
                <w:b/>
                <w:bCs/>
                <w:color w:val="000000"/>
                <w:sz w:val="18"/>
                <w:szCs w:val="18"/>
              </w:rPr>
              <w:t xml:space="preserve"> </w:t>
            </w:r>
          </w:p>
        </w:tc>
        <w:tc>
          <w:tcPr>
            <w:tcW w:w="716" w:type="dxa"/>
            <w:tcBorders>
              <w:top w:val="nil"/>
              <w:left w:val="nil"/>
              <w:right w:val="nil"/>
            </w:tcBorders>
            <w:shd w:val="clear" w:color="auto" w:fill="auto"/>
            <w:vAlign w:val="center"/>
            <w:hideMark/>
          </w:tcPr>
          <w:p w14:paraId="557EA1AC" w14:textId="77777777" w:rsidR="00795E53" w:rsidRPr="0025149D" w:rsidRDefault="00795E53" w:rsidP="00795E53">
            <w:pPr>
              <w:jc w:val="center"/>
              <w:rPr>
                <w:rFonts w:cs="Times New Roman"/>
                <w:color w:val="000000"/>
                <w:sz w:val="18"/>
                <w:szCs w:val="18"/>
              </w:rPr>
            </w:pPr>
            <w:r w:rsidRPr="0025149D">
              <w:rPr>
                <w:rFonts w:cs="Times New Roman"/>
                <w:color w:val="000000"/>
                <w:sz w:val="18"/>
                <w:szCs w:val="18"/>
              </w:rPr>
              <w:t>% HDP</w:t>
            </w:r>
          </w:p>
        </w:tc>
        <w:tc>
          <w:tcPr>
            <w:tcW w:w="756" w:type="dxa"/>
            <w:tcBorders>
              <w:top w:val="single" w:sz="4" w:space="0" w:color="auto"/>
              <w:left w:val="nil"/>
              <w:right w:val="nil"/>
            </w:tcBorders>
            <w:shd w:val="clear" w:color="000000" w:fill="FFEB9C"/>
            <w:vAlign w:val="center"/>
            <w:hideMark/>
          </w:tcPr>
          <w:p w14:paraId="760D3539" w14:textId="6504ADFD" w:rsidR="00795E53" w:rsidRPr="003F2B19" w:rsidRDefault="00795E53">
            <w:pPr>
              <w:jc w:val="right"/>
              <w:rPr>
                <w:rFonts w:cs="Times New Roman"/>
                <w:b/>
                <w:bCs/>
                <w:color w:val="9C6500"/>
                <w:sz w:val="18"/>
                <w:szCs w:val="18"/>
              </w:rPr>
            </w:pPr>
            <w:r w:rsidRPr="00591AEA">
              <w:rPr>
                <w:sz w:val="18"/>
                <w:szCs w:val="18"/>
              </w:rPr>
              <w:t>0,0</w:t>
            </w:r>
          </w:p>
        </w:tc>
        <w:tc>
          <w:tcPr>
            <w:tcW w:w="736" w:type="dxa"/>
            <w:tcBorders>
              <w:top w:val="single" w:sz="4" w:space="0" w:color="auto"/>
              <w:left w:val="nil"/>
              <w:right w:val="nil"/>
            </w:tcBorders>
            <w:shd w:val="clear" w:color="000000" w:fill="FFC7CE"/>
            <w:vAlign w:val="center"/>
            <w:hideMark/>
          </w:tcPr>
          <w:p w14:paraId="73BFC191" w14:textId="2CBFB0B0" w:rsidR="00795E53" w:rsidRPr="003F2B19" w:rsidRDefault="00795E53">
            <w:pPr>
              <w:jc w:val="right"/>
              <w:rPr>
                <w:rFonts w:cs="Times New Roman"/>
                <w:b/>
                <w:bCs/>
                <w:color w:val="9C0006"/>
                <w:sz w:val="18"/>
                <w:szCs w:val="18"/>
              </w:rPr>
            </w:pPr>
            <w:r w:rsidRPr="00591AEA">
              <w:rPr>
                <w:sz w:val="18"/>
                <w:szCs w:val="18"/>
              </w:rPr>
              <w:t>-1,3</w:t>
            </w:r>
          </w:p>
        </w:tc>
        <w:tc>
          <w:tcPr>
            <w:tcW w:w="816" w:type="dxa"/>
            <w:tcBorders>
              <w:top w:val="single" w:sz="4" w:space="0" w:color="auto"/>
              <w:left w:val="nil"/>
              <w:right w:val="nil"/>
            </w:tcBorders>
            <w:shd w:val="clear" w:color="auto" w:fill="B0D6AF" w:themeFill="accent3"/>
            <w:vAlign w:val="center"/>
            <w:hideMark/>
          </w:tcPr>
          <w:p w14:paraId="1E71CD3E" w14:textId="30BA2317" w:rsidR="00795E53" w:rsidRPr="003F2B19" w:rsidRDefault="00795E53">
            <w:pPr>
              <w:jc w:val="right"/>
              <w:rPr>
                <w:rFonts w:cs="Times New Roman"/>
                <w:b/>
                <w:bCs/>
                <w:color w:val="006100"/>
                <w:sz w:val="18"/>
                <w:szCs w:val="18"/>
              </w:rPr>
            </w:pPr>
            <w:r w:rsidRPr="00591AEA">
              <w:rPr>
                <w:sz w:val="18"/>
                <w:szCs w:val="18"/>
              </w:rPr>
              <w:t>0,1</w:t>
            </w:r>
            <w:r w:rsidR="0008307D">
              <w:rPr>
                <w:sz w:val="18"/>
                <w:szCs w:val="18"/>
              </w:rPr>
              <w:t>**</w:t>
            </w:r>
          </w:p>
        </w:tc>
        <w:tc>
          <w:tcPr>
            <w:tcW w:w="736" w:type="dxa"/>
            <w:tcBorders>
              <w:top w:val="single" w:sz="4" w:space="0" w:color="auto"/>
              <w:left w:val="nil"/>
              <w:right w:val="nil"/>
            </w:tcBorders>
            <w:shd w:val="clear" w:color="000000" w:fill="C6EFCE"/>
            <w:vAlign w:val="center"/>
            <w:hideMark/>
          </w:tcPr>
          <w:p w14:paraId="0EDB76DA" w14:textId="5EB9C47D" w:rsidR="00795E53" w:rsidRPr="003F2B19" w:rsidRDefault="00795E53">
            <w:pPr>
              <w:jc w:val="right"/>
              <w:rPr>
                <w:rFonts w:cs="Times New Roman"/>
                <w:b/>
                <w:bCs/>
                <w:color w:val="006100"/>
                <w:sz w:val="18"/>
                <w:szCs w:val="18"/>
              </w:rPr>
            </w:pPr>
            <w:r w:rsidRPr="00591AEA">
              <w:rPr>
                <w:sz w:val="18"/>
                <w:szCs w:val="18"/>
              </w:rPr>
              <w:t>0,5</w:t>
            </w:r>
          </w:p>
        </w:tc>
        <w:tc>
          <w:tcPr>
            <w:tcW w:w="736" w:type="dxa"/>
            <w:tcBorders>
              <w:top w:val="single" w:sz="4" w:space="0" w:color="auto"/>
              <w:left w:val="nil"/>
              <w:right w:val="nil"/>
            </w:tcBorders>
            <w:shd w:val="clear" w:color="000000" w:fill="C6EFCE"/>
            <w:vAlign w:val="center"/>
            <w:hideMark/>
          </w:tcPr>
          <w:p w14:paraId="146B4CEF" w14:textId="458FA5A9" w:rsidR="00795E53" w:rsidRPr="003F2B19" w:rsidRDefault="00795E53">
            <w:pPr>
              <w:jc w:val="right"/>
              <w:rPr>
                <w:rFonts w:cs="Times New Roman"/>
                <w:b/>
                <w:bCs/>
                <w:color w:val="006100"/>
                <w:sz w:val="18"/>
                <w:szCs w:val="18"/>
              </w:rPr>
            </w:pPr>
            <w:r w:rsidRPr="00591AEA">
              <w:rPr>
                <w:sz w:val="18"/>
                <w:szCs w:val="18"/>
              </w:rPr>
              <w:t>0,3</w:t>
            </w:r>
          </w:p>
        </w:tc>
        <w:tc>
          <w:tcPr>
            <w:tcW w:w="667" w:type="dxa"/>
            <w:tcBorders>
              <w:top w:val="single" w:sz="4" w:space="0" w:color="auto"/>
              <w:left w:val="nil"/>
              <w:right w:val="nil"/>
            </w:tcBorders>
            <w:shd w:val="clear" w:color="000000" w:fill="C6EFCE"/>
            <w:vAlign w:val="center"/>
            <w:hideMark/>
          </w:tcPr>
          <w:p w14:paraId="73732817" w14:textId="038860F6" w:rsidR="00795E53" w:rsidRPr="003F2B19" w:rsidRDefault="00795E53">
            <w:pPr>
              <w:jc w:val="right"/>
              <w:rPr>
                <w:rFonts w:cs="Times New Roman"/>
                <w:b/>
                <w:bCs/>
                <w:color w:val="006100"/>
                <w:sz w:val="18"/>
                <w:szCs w:val="18"/>
              </w:rPr>
            </w:pPr>
            <w:r w:rsidRPr="00591AEA">
              <w:rPr>
                <w:sz w:val="18"/>
                <w:szCs w:val="18"/>
              </w:rPr>
              <w:t>0,8</w:t>
            </w:r>
          </w:p>
        </w:tc>
      </w:tr>
      <w:tr w:rsidR="00795E53" w:rsidRPr="0025149D" w14:paraId="54D295A7" w14:textId="77777777" w:rsidTr="00591AEA">
        <w:trPr>
          <w:trHeight w:val="330"/>
          <w:jc w:val="center"/>
        </w:trPr>
        <w:tc>
          <w:tcPr>
            <w:tcW w:w="3909" w:type="dxa"/>
            <w:tcBorders>
              <w:top w:val="nil"/>
              <w:left w:val="nil"/>
              <w:bottom w:val="single" w:sz="4" w:space="0" w:color="auto"/>
              <w:right w:val="nil"/>
            </w:tcBorders>
            <w:shd w:val="clear" w:color="auto" w:fill="auto"/>
            <w:vAlign w:val="center"/>
            <w:hideMark/>
          </w:tcPr>
          <w:p w14:paraId="611FC71C" w14:textId="77777777" w:rsidR="00795E53" w:rsidRPr="000D45BF" w:rsidRDefault="00795E53" w:rsidP="00795E53">
            <w:pPr>
              <w:rPr>
                <w:rFonts w:cs="Times New Roman"/>
                <w:b/>
                <w:bCs/>
                <w:color w:val="000000"/>
                <w:sz w:val="18"/>
                <w:szCs w:val="18"/>
              </w:rPr>
            </w:pPr>
            <w:r w:rsidRPr="000D45BF">
              <w:rPr>
                <w:rFonts w:cs="Times New Roman"/>
                <w:b/>
                <w:bCs/>
                <w:color w:val="000000"/>
                <w:sz w:val="18"/>
                <w:szCs w:val="18"/>
              </w:rPr>
              <w:t>Dvojročná odchýlka</w:t>
            </w:r>
            <w:r>
              <w:rPr>
                <w:rFonts w:cs="Times New Roman"/>
                <w:b/>
                <w:bCs/>
                <w:color w:val="000000"/>
                <w:sz w:val="18"/>
                <w:szCs w:val="18"/>
              </w:rPr>
              <w:t>*</w:t>
            </w:r>
            <w:r w:rsidRPr="000D45BF">
              <w:rPr>
                <w:rFonts w:cs="Times New Roman"/>
                <w:b/>
                <w:bCs/>
                <w:color w:val="000000"/>
                <w:sz w:val="18"/>
                <w:szCs w:val="18"/>
              </w:rPr>
              <w:t xml:space="preserve"> </w:t>
            </w:r>
          </w:p>
        </w:tc>
        <w:tc>
          <w:tcPr>
            <w:tcW w:w="716" w:type="dxa"/>
            <w:tcBorders>
              <w:top w:val="nil"/>
              <w:left w:val="nil"/>
              <w:bottom w:val="single" w:sz="4" w:space="0" w:color="auto"/>
              <w:right w:val="nil"/>
            </w:tcBorders>
            <w:shd w:val="clear" w:color="auto" w:fill="auto"/>
            <w:vAlign w:val="center"/>
            <w:hideMark/>
          </w:tcPr>
          <w:p w14:paraId="1B2659F0" w14:textId="77777777" w:rsidR="00795E53" w:rsidRPr="0025149D" w:rsidRDefault="00795E53" w:rsidP="00795E53">
            <w:pPr>
              <w:jc w:val="center"/>
              <w:rPr>
                <w:rFonts w:cs="Times New Roman"/>
                <w:color w:val="000000"/>
                <w:sz w:val="18"/>
                <w:szCs w:val="18"/>
              </w:rPr>
            </w:pPr>
            <w:r w:rsidRPr="0025149D">
              <w:rPr>
                <w:rFonts w:cs="Times New Roman"/>
                <w:color w:val="000000"/>
                <w:sz w:val="18"/>
                <w:szCs w:val="18"/>
              </w:rPr>
              <w:t>% HDP</w:t>
            </w:r>
          </w:p>
        </w:tc>
        <w:tc>
          <w:tcPr>
            <w:tcW w:w="756" w:type="dxa"/>
            <w:tcBorders>
              <w:top w:val="nil"/>
              <w:left w:val="nil"/>
              <w:bottom w:val="single" w:sz="4" w:space="0" w:color="auto"/>
              <w:right w:val="nil"/>
            </w:tcBorders>
            <w:shd w:val="clear" w:color="000000" w:fill="B0D6AF" w:themeFill="accent3"/>
            <w:vAlign w:val="center"/>
            <w:hideMark/>
          </w:tcPr>
          <w:p w14:paraId="2954FAB8" w14:textId="69FFE948" w:rsidR="00795E53" w:rsidRPr="003F2B19" w:rsidRDefault="00795E53">
            <w:pPr>
              <w:jc w:val="right"/>
              <w:rPr>
                <w:rFonts w:cs="Times New Roman"/>
                <w:b/>
                <w:bCs/>
                <w:color w:val="006100"/>
                <w:sz w:val="18"/>
                <w:szCs w:val="18"/>
              </w:rPr>
            </w:pPr>
            <w:r w:rsidRPr="00591AEA">
              <w:rPr>
                <w:sz w:val="18"/>
                <w:szCs w:val="18"/>
              </w:rPr>
              <w:t>0,1</w:t>
            </w:r>
          </w:p>
        </w:tc>
        <w:tc>
          <w:tcPr>
            <w:tcW w:w="736" w:type="dxa"/>
            <w:tcBorders>
              <w:top w:val="nil"/>
              <w:left w:val="nil"/>
              <w:bottom w:val="single" w:sz="4" w:space="0" w:color="auto"/>
              <w:right w:val="nil"/>
            </w:tcBorders>
            <w:shd w:val="clear" w:color="000000" w:fill="FFC7CE"/>
            <w:vAlign w:val="center"/>
            <w:hideMark/>
          </w:tcPr>
          <w:p w14:paraId="3C2336F7" w14:textId="61CC2056" w:rsidR="00795E53" w:rsidRPr="003F2B19" w:rsidRDefault="00795E53">
            <w:pPr>
              <w:jc w:val="right"/>
              <w:rPr>
                <w:rFonts w:cs="Times New Roman"/>
                <w:b/>
                <w:bCs/>
                <w:color w:val="9C0006"/>
                <w:sz w:val="18"/>
                <w:szCs w:val="18"/>
              </w:rPr>
            </w:pPr>
            <w:r w:rsidRPr="00591AEA">
              <w:rPr>
                <w:sz w:val="18"/>
                <w:szCs w:val="18"/>
              </w:rPr>
              <w:t>-0,7</w:t>
            </w:r>
          </w:p>
        </w:tc>
        <w:tc>
          <w:tcPr>
            <w:tcW w:w="816" w:type="dxa"/>
            <w:tcBorders>
              <w:top w:val="nil"/>
              <w:left w:val="nil"/>
              <w:bottom w:val="single" w:sz="4" w:space="0" w:color="auto"/>
              <w:right w:val="nil"/>
            </w:tcBorders>
            <w:shd w:val="clear" w:color="000000" w:fill="FFC7CE"/>
            <w:vAlign w:val="center"/>
            <w:hideMark/>
          </w:tcPr>
          <w:p w14:paraId="2E007E91" w14:textId="5997D458" w:rsidR="00795E53" w:rsidRPr="003F2B19" w:rsidRDefault="00795E53">
            <w:pPr>
              <w:jc w:val="right"/>
              <w:rPr>
                <w:rFonts w:cs="Times New Roman"/>
                <w:b/>
                <w:bCs/>
                <w:color w:val="9C0006"/>
                <w:sz w:val="18"/>
                <w:szCs w:val="18"/>
              </w:rPr>
            </w:pPr>
            <w:r w:rsidRPr="00591AEA">
              <w:rPr>
                <w:sz w:val="18"/>
                <w:szCs w:val="18"/>
              </w:rPr>
              <w:t>-0,6</w:t>
            </w:r>
            <w:r w:rsidR="0008307D">
              <w:rPr>
                <w:sz w:val="18"/>
                <w:szCs w:val="18"/>
              </w:rPr>
              <w:t>**</w:t>
            </w:r>
          </w:p>
        </w:tc>
        <w:tc>
          <w:tcPr>
            <w:tcW w:w="736" w:type="dxa"/>
            <w:tcBorders>
              <w:top w:val="nil"/>
              <w:left w:val="nil"/>
              <w:bottom w:val="single" w:sz="4" w:space="0" w:color="auto"/>
              <w:right w:val="nil"/>
            </w:tcBorders>
            <w:shd w:val="clear" w:color="000000" w:fill="C6EFCE"/>
            <w:vAlign w:val="center"/>
            <w:hideMark/>
          </w:tcPr>
          <w:p w14:paraId="64045C89" w14:textId="45C7986C" w:rsidR="00795E53" w:rsidRPr="003F2B19" w:rsidRDefault="00795E53">
            <w:pPr>
              <w:jc w:val="right"/>
              <w:rPr>
                <w:rFonts w:cs="Times New Roman"/>
                <w:b/>
                <w:bCs/>
                <w:color w:val="006100"/>
                <w:sz w:val="18"/>
                <w:szCs w:val="18"/>
              </w:rPr>
            </w:pPr>
            <w:r w:rsidRPr="00591AEA">
              <w:rPr>
                <w:sz w:val="18"/>
                <w:szCs w:val="18"/>
              </w:rPr>
              <w:t>0,3</w:t>
            </w:r>
          </w:p>
        </w:tc>
        <w:tc>
          <w:tcPr>
            <w:tcW w:w="736" w:type="dxa"/>
            <w:tcBorders>
              <w:top w:val="nil"/>
              <w:left w:val="nil"/>
              <w:bottom w:val="single" w:sz="4" w:space="0" w:color="auto"/>
              <w:right w:val="nil"/>
            </w:tcBorders>
            <w:shd w:val="clear" w:color="000000" w:fill="C6EFCE"/>
            <w:vAlign w:val="center"/>
            <w:hideMark/>
          </w:tcPr>
          <w:p w14:paraId="165EE823" w14:textId="6F047577" w:rsidR="00795E53" w:rsidRPr="003F2B19" w:rsidRDefault="00795E53">
            <w:pPr>
              <w:jc w:val="right"/>
              <w:rPr>
                <w:rFonts w:cs="Times New Roman"/>
                <w:b/>
                <w:bCs/>
                <w:color w:val="006100"/>
                <w:sz w:val="18"/>
                <w:szCs w:val="18"/>
              </w:rPr>
            </w:pPr>
            <w:r w:rsidRPr="00591AEA">
              <w:rPr>
                <w:sz w:val="18"/>
                <w:szCs w:val="18"/>
              </w:rPr>
              <w:t>0,4</w:t>
            </w:r>
          </w:p>
        </w:tc>
        <w:tc>
          <w:tcPr>
            <w:tcW w:w="667" w:type="dxa"/>
            <w:tcBorders>
              <w:top w:val="nil"/>
              <w:left w:val="nil"/>
              <w:bottom w:val="single" w:sz="4" w:space="0" w:color="auto"/>
              <w:right w:val="nil"/>
            </w:tcBorders>
            <w:shd w:val="clear" w:color="000000" w:fill="C6EFCE"/>
            <w:vAlign w:val="center"/>
            <w:hideMark/>
          </w:tcPr>
          <w:p w14:paraId="51FC3D90" w14:textId="68642C2F" w:rsidR="00795E53" w:rsidRPr="003F2B19" w:rsidRDefault="00795E53">
            <w:pPr>
              <w:jc w:val="right"/>
              <w:rPr>
                <w:rFonts w:cs="Times New Roman"/>
                <w:b/>
                <w:bCs/>
                <w:color w:val="006100"/>
                <w:sz w:val="18"/>
                <w:szCs w:val="18"/>
              </w:rPr>
            </w:pPr>
            <w:r w:rsidRPr="00591AEA">
              <w:rPr>
                <w:sz w:val="18"/>
                <w:szCs w:val="18"/>
              </w:rPr>
              <w:t>0,6</w:t>
            </w:r>
          </w:p>
        </w:tc>
      </w:tr>
      <w:tr w:rsidR="00BD53AF" w:rsidRPr="003C046F" w14:paraId="60725135" w14:textId="77777777" w:rsidTr="00387AE5">
        <w:trPr>
          <w:trHeight w:val="330"/>
          <w:jc w:val="center"/>
        </w:trPr>
        <w:tc>
          <w:tcPr>
            <w:tcW w:w="3909" w:type="dxa"/>
            <w:tcBorders>
              <w:top w:val="single" w:sz="4" w:space="0" w:color="auto"/>
              <w:left w:val="nil"/>
              <w:bottom w:val="single" w:sz="4" w:space="0" w:color="auto"/>
              <w:right w:val="nil"/>
            </w:tcBorders>
            <w:shd w:val="clear" w:color="auto" w:fill="auto"/>
            <w:vAlign w:val="center"/>
          </w:tcPr>
          <w:p w14:paraId="2DC4076E" w14:textId="77777777" w:rsidR="00BD53AF" w:rsidRPr="002D01D0" w:rsidRDefault="00BD53AF" w:rsidP="00387AE5">
            <w:pPr>
              <w:rPr>
                <w:rFonts w:cs="Times New Roman"/>
                <w:bCs/>
                <w:i/>
                <w:color w:val="000000"/>
                <w:sz w:val="18"/>
                <w:szCs w:val="18"/>
              </w:rPr>
            </w:pPr>
            <w:r w:rsidRPr="002D01D0">
              <w:rPr>
                <w:rFonts w:cs="Times New Roman"/>
                <w:bCs/>
                <w:i/>
                <w:color w:val="000000"/>
                <w:sz w:val="18"/>
                <w:szCs w:val="18"/>
              </w:rPr>
              <w:t xml:space="preserve">p.m. </w:t>
            </w:r>
            <w:r w:rsidRPr="005527D7">
              <w:rPr>
                <w:rFonts w:cs="Times New Roman"/>
                <w:bCs/>
                <w:i/>
                <w:color w:val="000000"/>
                <w:sz w:val="18"/>
                <w:szCs w:val="18"/>
              </w:rPr>
              <w:t xml:space="preserve">Dvojročná </w:t>
            </w:r>
            <w:r w:rsidRPr="00904607">
              <w:rPr>
                <w:rFonts w:cs="Times New Roman"/>
                <w:bCs/>
                <w:i/>
                <w:color w:val="000000"/>
                <w:sz w:val="18"/>
                <w:szCs w:val="18"/>
              </w:rPr>
              <w:t>nezafixovaná</w:t>
            </w:r>
            <w:r w:rsidRPr="005527D7">
              <w:rPr>
                <w:rFonts w:cs="Times New Roman"/>
                <w:bCs/>
                <w:i/>
                <w:color w:val="000000"/>
                <w:sz w:val="18"/>
                <w:szCs w:val="18"/>
              </w:rPr>
              <w:t xml:space="preserve"> odchýlka</w:t>
            </w:r>
          </w:p>
        </w:tc>
        <w:tc>
          <w:tcPr>
            <w:tcW w:w="716" w:type="dxa"/>
            <w:tcBorders>
              <w:top w:val="single" w:sz="4" w:space="0" w:color="auto"/>
              <w:left w:val="nil"/>
              <w:bottom w:val="single" w:sz="4" w:space="0" w:color="auto"/>
              <w:right w:val="nil"/>
            </w:tcBorders>
            <w:shd w:val="clear" w:color="auto" w:fill="auto"/>
            <w:vAlign w:val="center"/>
          </w:tcPr>
          <w:p w14:paraId="545DBFAE" w14:textId="77777777" w:rsidR="00BD53AF" w:rsidRPr="002D01D0" w:rsidRDefault="00BD53AF" w:rsidP="00387AE5">
            <w:pPr>
              <w:jc w:val="center"/>
              <w:rPr>
                <w:rFonts w:cs="Times New Roman"/>
                <w:i/>
                <w:sz w:val="18"/>
                <w:szCs w:val="18"/>
              </w:rPr>
            </w:pPr>
            <w:r w:rsidRPr="002D01D0">
              <w:rPr>
                <w:rFonts w:cs="Times New Roman"/>
                <w:i/>
                <w:sz w:val="18"/>
                <w:szCs w:val="18"/>
              </w:rPr>
              <w:t>% HDP</w:t>
            </w:r>
          </w:p>
        </w:tc>
        <w:tc>
          <w:tcPr>
            <w:tcW w:w="756" w:type="dxa"/>
            <w:tcBorders>
              <w:top w:val="single" w:sz="4" w:space="0" w:color="auto"/>
              <w:left w:val="nil"/>
              <w:bottom w:val="single" w:sz="4" w:space="0" w:color="auto"/>
              <w:right w:val="nil"/>
            </w:tcBorders>
            <w:shd w:val="clear" w:color="auto" w:fill="auto"/>
            <w:vAlign w:val="center"/>
          </w:tcPr>
          <w:p w14:paraId="2B8F634F" w14:textId="77777777" w:rsidR="00BD53AF" w:rsidRPr="003F2B19" w:rsidRDefault="00BD53AF" w:rsidP="00387AE5">
            <w:pPr>
              <w:jc w:val="right"/>
              <w:rPr>
                <w:rFonts w:cs="Times New Roman"/>
                <w:bCs/>
                <w:i/>
                <w:sz w:val="18"/>
                <w:szCs w:val="18"/>
              </w:rPr>
            </w:pPr>
            <w:r w:rsidRPr="003F2B19">
              <w:rPr>
                <w:bCs/>
                <w:i/>
                <w:sz w:val="18"/>
                <w:szCs w:val="18"/>
              </w:rPr>
              <w:t>0,5</w:t>
            </w:r>
          </w:p>
        </w:tc>
        <w:tc>
          <w:tcPr>
            <w:tcW w:w="736" w:type="dxa"/>
            <w:tcBorders>
              <w:top w:val="single" w:sz="4" w:space="0" w:color="auto"/>
              <w:left w:val="nil"/>
              <w:bottom w:val="single" w:sz="4" w:space="0" w:color="auto"/>
              <w:right w:val="nil"/>
            </w:tcBorders>
            <w:shd w:val="clear" w:color="auto" w:fill="auto"/>
            <w:vAlign w:val="center"/>
          </w:tcPr>
          <w:p w14:paraId="36E19329" w14:textId="2ED12E2C" w:rsidR="00BD53AF" w:rsidRPr="003F2B19" w:rsidRDefault="00BD53AF" w:rsidP="00387AE5">
            <w:pPr>
              <w:jc w:val="right"/>
              <w:rPr>
                <w:bCs/>
                <w:i/>
                <w:sz w:val="18"/>
                <w:szCs w:val="18"/>
              </w:rPr>
            </w:pPr>
            <w:r w:rsidRPr="00E10190">
              <w:rPr>
                <w:bCs/>
                <w:i/>
                <w:sz w:val="18"/>
                <w:szCs w:val="18"/>
              </w:rPr>
              <w:t>-0,</w:t>
            </w:r>
            <w:r w:rsidR="00795E53" w:rsidRPr="00E10190">
              <w:rPr>
                <w:bCs/>
                <w:i/>
                <w:sz w:val="18"/>
                <w:szCs w:val="18"/>
              </w:rPr>
              <w:t>4</w:t>
            </w:r>
          </w:p>
        </w:tc>
        <w:tc>
          <w:tcPr>
            <w:tcW w:w="816" w:type="dxa"/>
            <w:tcBorders>
              <w:top w:val="single" w:sz="4" w:space="0" w:color="auto"/>
              <w:left w:val="nil"/>
              <w:bottom w:val="single" w:sz="4" w:space="0" w:color="auto"/>
              <w:right w:val="nil"/>
            </w:tcBorders>
            <w:shd w:val="clear" w:color="auto" w:fill="auto"/>
            <w:vAlign w:val="center"/>
          </w:tcPr>
          <w:p w14:paraId="06D74DFC" w14:textId="77777777" w:rsidR="00BD53AF" w:rsidRPr="003F2B19" w:rsidRDefault="00BD53AF" w:rsidP="00387AE5">
            <w:pPr>
              <w:jc w:val="right"/>
              <w:rPr>
                <w:bCs/>
                <w:i/>
                <w:sz w:val="18"/>
                <w:szCs w:val="18"/>
              </w:rPr>
            </w:pPr>
          </w:p>
        </w:tc>
        <w:tc>
          <w:tcPr>
            <w:tcW w:w="736" w:type="dxa"/>
            <w:tcBorders>
              <w:top w:val="single" w:sz="4" w:space="0" w:color="auto"/>
              <w:left w:val="nil"/>
              <w:bottom w:val="single" w:sz="4" w:space="0" w:color="auto"/>
              <w:right w:val="nil"/>
            </w:tcBorders>
            <w:shd w:val="clear" w:color="auto" w:fill="auto"/>
            <w:vAlign w:val="center"/>
          </w:tcPr>
          <w:p w14:paraId="0CD777F8" w14:textId="77777777" w:rsidR="00BD53AF" w:rsidRPr="003F2B19" w:rsidRDefault="00BD53AF" w:rsidP="00387AE5">
            <w:pPr>
              <w:jc w:val="right"/>
              <w:rPr>
                <w:bCs/>
                <w:i/>
                <w:sz w:val="18"/>
                <w:szCs w:val="18"/>
              </w:rPr>
            </w:pPr>
          </w:p>
        </w:tc>
        <w:tc>
          <w:tcPr>
            <w:tcW w:w="736" w:type="dxa"/>
            <w:tcBorders>
              <w:top w:val="single" w:sz="4" w:space="0" w:color="auto"/>
              <w:left w:val="nil"/>
              <w:bottom w:val="single" w:sz="4" w:space="0" w:color="auto"/>
              <w:right w:val="nil"/>
            </w:tcBorders>
            <w:shd w:val="clear" w:color="auto" w:fill="auto"/>
            <w:vAlign w:val="center"/>
          </w:tcPr>
          <w:p w14:paraId="41221A25" w14:textId="77777777" w:rsidR="00BD53AF" w:rsidRPr="003F2B19" w:rsidRDefault="00BD53AF" w:rsidP="00387AE5">
            <w:pPr>
              <w:jc w:val="right"/>
              <w:rPr>
                <w:bCs/>
                <w:i/>
                <w:sz w:val="18"/>
                <w:szCs w:val="18"/>
              </w:rPr>
            </w:pPr>
          </w:p>
        </w:tc>
        <w:tc>
          <w:tcPr>
            <w:tcW w:w="667" w:type="dxa"/>
            <w:tcBorders>
              <w:top w:val="single" w:sz="4" w:space="0" w:color="auto"/>
              <w:left w:val="nil"/>
              <w:bottom w:val="single" w:sz="4" w:space="0" w:color="auto"/>
              <w:right w:val="nil"/>
            </w:tcBorders>
            <w:shd w:val="clear" w:color="auto" w:fill="auto"/>
            <w:vAlign w:val="center"/>
          </w:tcPr>
          <w:p w14:paraId="5451C7FF" w14:textId="77777777" w:rsidR="00BD53AF" w:rsidRPr="003F2B19" w:rsidRDefault="00BD53AF" w:rsidP="00387AE5">
            <w:pPr>
              <w:jc w:val="right"/>
              <w:rPr>
                <w:bCs/>
                <w:i/>
                <w:sz w:val="18"/>
                <w:szCs w:val="18"/>
              </w:rPr>
            </w:pPr>
          </w:p>
        </w:tc>
      </w:tr>
    </w:tbl>
    <w:p w14:paraId="1CA25AB6" w14:textId="58877F04" w:rsidR="00BD53AF" w:rsidRDefault="00BD53AF" w:rsidP="0008307D">
      <w:pPr>
        <w:widowControl w:val="0"/>
        <w:jc w:val="both"/>
        <w:rPr>
          <w:i/>
          <w:sz w:val="16"/>
          <w:szCs w:val="16"/>
        </w:rPr>
      </w:pPr>
      <w:r w:rsidRPr="009A517A">
        <w:rPr>
          <w:i/>
          <w:sz w:val="16"/>
          <w:szCs w:val="16"/>
        </w:rPr>
        <w:t xml:space="preserve">* </w:t>
      </w:r>
      <w:r>
        <w:rPr>
          <w:i/>
          <w:sz w:val="16"/>
          <w:szCs w:val="16"/>
        </w:rPr>
        <w:t>O</w:t>
      </w:r>
      <w:r w:rsidRPr="009A517A">
        <w:rPr>
          <w:i/>
          <w:sz w:val="16"/>
          <w:szCs w:val="16"/>
        </w:rPr>
        <w:t xml:space="preserve">dchýlky v roku </w:t>
      </w:r>
      <w:r w:rsidR="0085303B">
        <w:rPr>
          <w:i/>
          <w:sz w:val="16"/>
          <w:szCs w:val="16"/>
        </w:rPr>
        <w:t xml:space="preserve">2017 a 2018 </w:t>
      </w:r>
      <w:r>
        <w:rPr>
          <w:i/>
          <w:sz w:val="16"/>
          <w:szCs w:val="16"/>
        </w:rPr>
        <w:t>vychádzajú zo „zafixo</w:t>
      </w:r>
      <w:r w:rsidRPr="009A517A">
        <w:rPr>
          <w:i/>
          <w:sz w:val="16"/>
          <w:szCs w:val="16"/>
        </w:rPr>
        <w:t>vaných“ hodnôt z jarného hodnotenia Európskej komisie</w:t>
      </w:r>
      <w:r>
        <w:rPr>
          <w:i/>
          <w:sz w:val="16"/>
          <w:szCs w:val="16"/>
        </w:rPr>
        <w:t xml:space="preserve"> v roku 2018.</w:t>
      </w:r>
      <w:r w:rsidR="004F1515">
        <w:rPr>
          <w:i/>
          <w:sz w:val="16"/>
          <w:szCs w:val="16"/>
        </w:rPr>
        <w:t xml:space="preserve">                               Zdroj: MF SR</w:t>
      </w:r>
    </w:p>
    <w:p w14:paraId="6FE0EB24" w14:textId="67FCDC67" w:rsidR="0008307D" w:rsidRPr="009A517A" w:rsidRDefault="0008307D" w:rsidP="00BD53AF">
      <w:pPr>
        <w:widowControl w:val="0"/>
        <w:spacing w:after="240"/>
        <w:jc w:val="both"/>
        <w:rPr>
          <w:i/>
          <w:sz w:val="16"/>
          <w:szCs w:val="16"/>
        </w:rPr>
      </w:pPr>
      <w:r>
        <w:rPr>
          <w:i/>
          <w:sz w:val="16"/>
          <w:szCs w:val="16"/>
        </w:rPr>
        <w:t>** Odchýlky od roku 2019 sú informatívneho charakteru vzhľadom na očakávané dosiahnutie MTO.</w:t>
      </w:r>
    </w:p>
    <w:p w14:paraId="1B7EC6A5" w14:textId="77777777" w:rsidR="00BD53AF" w:rsidRPr="00820C4E" w:rsidRDefault="00BD53AF" w:rsidP="004F1515">
      <w:pPr>
        <w:pStyle w:val="Nadpis2"/>
        <w:keepLines/>
        <w:numPr>
          <w:ilvl w:val="1"/>
          <w:numId w:val="2"/>
        </w:numPr>
        <w:spacing w:before="240" w:after="120" w:line="276" w:lineRule="auto"/>
        <w:rPr>
          <w:b/>
          <w:color w:val="2C9ADC"/>
          <w:szCs w:val="24"/>
        </w:rPr>
      </w:pPr>
      <w:bookmarkStart w:id="141" w:name="_Toc5869386"/>
      <w:bookmarkStart w:id="142" w:name="_Toc449429143"/>
      <w:bookmarkStart w:id="143" w:name="_Toc449430148"/>
      <w:r w:rsidRPr="00820C4E">
        <w:rPr>
          <w:b/>
          <w:color w:val="2C9ADC"/>
          <w:szCs w:val="24"/>
        </w:rPr>
        <w:t>Scenár nezmenených politík</w:t>
      </w:r>
      <w:bookmarkEnd w:id="141"/>
    </w:p>
    <w:p w14:paraId="69976934" w14:textId="77777777" w:rsidR="00BD53AF" w:rsidRDefault="00BD53AF" w:rsidP="00BD53AF">
      <w:pPr>
        <w:jc w:val="both"/>
      </w:pPr>
      <w:r w:rsidRPr="002300C8">
        <w:rPr>
          <w:b/>
        </w:rPr>
        <w:t>Scenár nezmenených politík (NPC) prezentuje referenčný vývoj príjmov aj výdavkov podľa najnovšieho makroekonomického vývoja a pri pôsobení opatrení prijatých pred rokom 2019</w:t>
      </w:r>
      <w:r w:rsidRPr="002300C8">
        <w:rPr>
          <w:rStyle w:val="Odkaznapoznmkupodiarou"/>
        </w:rPr>
        <w:footnoteReference w:id="28"/>
      </w:r>
      <w:r w:rsidRPr="002300C8">
        <w:t>.</w:t>
      </w:r>
      <w:r w:rsidRPr="002300C8">
        <w:rPr>
          <w:b/>
        </w:rPr>
        <w:t xml:space="preserve"> </w:t>
      </w:r>
      <w:r w:rsidRPr="002300C8">
        <w:t>Základom pre zostavenie scenára nezmenených politík na roky 2020 až 2022 je aktuálny odhad vyrovnaného rozpočtu verejnej správy pre rok 2019</w:t>
      </w:r>
      <w:r w:rsidRPr="002300C8">
        <w:rPr>
          <w:rStyle w:val="Odkaznapoznmkupodiarou"/>
        </w:rPr>
        <w:footnoteReference w:id="29"/>
      </w:r>
      <w:r w:rsidRPr="002300C8">
        <w:t>. V ďalších rokoch sa položky vyvíjajú len v súlade s makroekonomickými fundamentmi a existujúcou legislatívou pred 1. januárom 2019</w:t>
      </w:r>
      <w:r w:rsidRPr="002300C8">
        <w:rPr>
          <w:rStyle w:val="Odkaznapoznmkupodiarou"/>
        </w:rPr>
        <w:footnoteReference w:id="30"/>
      </w:r>
      <w:r w:rsidRPr="002300C8">
        <w:t>. Porovnaním NPC scenára a strednodobého rozpočtového rámca je možné identifikovať najnovšie prijaté príjmové a výdavkové opatrenia vlády.</w:t>
      </w:r>
      <w:r>
        <w:t xml:space="preserve"> </w:t>
      </w:r>
    </w:p>
    <w:p w14:paraId="70ABD1BF" w14:textId="77777777" w:rsidR="00BD53AF" w:rsidRPr="0067164D" w:rsidRDefault="00BD53AF" w:rsidP="00BD53AF">
      <w:pPr>
        <w:jc w:val="both"/>
      </w:pPr>
    </w:p>
    <w:p w14:paraId="334328D4" w14:textId="590A1A45" w:rsidR="000E6A2B" w:rsidRDefault="00BD53AF" w:rsidP="003F2B19">
      <w:pPr>
        <w:spacing w:after="240"/>
        <w:jc w:val="both"/>
      </w:pPr>
      <w:r>
        <w:rPr>
          <w:b/>
        </w:rPr>
        <w:t>Bez nových opatrení by bol v NPC scenári</w:t>
      </w:r>
      <w:r w:rsidRPr="000A5116">
        <w:rPr>
          <w:b/>
        </w:rPr>
        <w:t xml:space="preserve"> </w:t>
      </w:r>
      <w:r>
        <w:rPr>
          <w:b/>
        </w:rPr>
        <w:t>dosiahnutý</w:t>
      </w:r>
      <w:r w:rsidRPr="000A5116">
        <w:rPr>
          <w:b/>
        </w:rPr>
        <w:t xml:space="preserve"> </w:t>
      </w:r>
      <w:r>
        <w:rPr>
          <w:b/>
        </w:rPr>
        <w:t xml:space="preserve">rozpočtový </w:t>
      </w:r>
      <w:r w:rsidRPr="000A5116">
        <w:rPr>
          <w:b/>
        </w:rPr>
        <w:t>prebytok na úrovni 0,4</w:t>
      </w:r>
      <w:r>
        <w:rPr>
          <w:b/>
        </w:rPr>
        <w:t> </w:t>
      </w:r>
      <w:r w:rsidRPr="000A5116">
        <w:rPr>
          <w:b/>
        </w:rPr>
        <w:t>% HDP</w:t>
      </w:r>
      <w:r>
        <w:t xml:space="preserve"> </w:t>
      </w:r>
      <w:r>
        <w:rPr>
          <w:b/>
        </w:rPr>
        <w:t xml:space="preserve">v </w:t>
      </w:r>
      <w:r w:rsidRPr="000A5116">
        <w:rPr>
          <w:b/>
        </w:rPr>
        <w:t xml:space="preserve">rokoch 2020 a 2021 </w:t>
      </w:r>
      <w:r w:rsidRPr="00C960CD">
        <w:rPr>
          <w:b/>
        </w:rPr>
        <w:t>a</w:t>
      </w:r>
      <w:r w:rsidRPr="00D831BE">
        <w:rPr>
          <w:b/>
        </w:rPr>
        <w:t xml:space="preserve"> </w:t>
      </w:r>
      <w:r>
        <w:rPr>
          <w:b/>
        </w:rPr>
        <w:t>v</w:t>
      </w:r>
      <w:r w:rsidRPr="00C960CD">
        <w:rPr>
          <w:b/>
        </w:rPr>
        <w:t xml:space="preserve"> roku 2022</w:t>
      </w:r>
      <w:r>
        <w:rPr>
          <w:b/>
        </w:rPr>
        <w:t xml:space="preserve"> by</w:t>
      </w:r>
      <w:r w:rsidR="009B73FF">
        <w:rPr>
          <w:b/>
        </w:rPr>
        <w:t xml:space="preserve"> prebytok</w:t>
      </w:r>
      <w:r>
        <w:rPr>
          <w:b/>
        </w:rPr>
        <w:t xml:space="preserve"> klesol </w:t>
      </w:r>
      <w:r w:rsidRPr="00C960CD">
        <w:rPr>
          <w:b/>
        </w:rPr>
        <w:t>na 0,2</w:t>
      </w:r>
      <w:r>
        <w:rPr>
          <w:b/>
        </w:rPr>
        <w:t> </w:t>
      </w:r>
      <w:r w:rsidRPr="00C960CD">
        <w:rPr>
          <w:b/>
        </w:rPr>
        <w:t>% HDP</w:t>
      </w:r>
      <w:r>
        <w:t>.</w:t>
      </w:r>
      <w:r w:rsidRPr="0067164D" w:rsidDel="0067164D">
        <w:t xml:space="preserve"> </w:t>
      </w:r>
      <w:r>
        <w:t>Rozdiely oproti plánovaným vyrovnaným rozpočtom</w:t>
      </w:r>
      <w:r w:rsidRPr="00C960CD">
        <w:t xml:space="preserve"> vychádzajú najmä z prijatých opatrení na výdavkovej strane a v menšej miere na strane príjmov.</w:t>
      </w:r>
      <w:r>
        <w:rPr>
          <w:b/>
        </w:rPr>
        <w:t xml:space="preserve"> </w:t>
      </w:r>
      <w:r>
        <w:t>Vo</w:t>
      </w:r>
      <w:r w:rsidRPr="00C960CD">
        <w:t xml:space="preserve"> výdavkoch </w:t>
      </w:r>
      <w:r>
        <w:t xml:space="preserve">sa </w:t>
      </w:r>
      <w:r w:rsidRPr="00C960CD">
        <w:t xml:space="preserve">prejavuje </w:t>
      </w:r>
      <w:r>
        <w:t>najmä vplyv opätovnej valorizácie platov vo verejnej správe v roku 2020 a tiež silnejší nárast investičných výdavkov v sektore obrany</w:t>
      </w:r>
      <w:r w:rsidRPr="0067164D">
        <w:rPr>
          <w:lang w:val="en-US"/>
        </w:rPr>
        <w:t>.</w:t>
      </w:r>
      <w:r w:rsidR="00912D40">
        <w:rPr>
          <w:lang w:val="en-US"/>
        </w:rPr>
        <w:t xml:space="preserve"> </w:t>
      </w:r>
      <w:r w:rsidR="00912D40" w:rsidRPr="00415590">
        <w:t>Strednodobý rámec obsahuje od roku 2020 aj rezervy na rýchlejšiu realizáciu investičných projektov a rezervu na prípadné spomalenie ekonomického rastu</w:t>
      </w:r>
      <w:r w:rsidR="00912D40">
        <w:t>.</w:t>
      </w:r>
      <w:r w:rsidRPr="0067164D">
        <w:t xml:space="preserve"> </w:t>
      </w:r>
      <w:r>
        <w:t>V roku 2022 už rozpočtované výdavkové položky rastú pod úrovňou makroekonomických fundamentov, čím sa rozpočtový stimul mierni</w:t>
      </w:r>
      <w:r w:rsidR="00FC594A">
        <w:t>.</w:t>
      </w:r>
    </w:p>
    <w:tbl>
      <w:tblPr>
        <w:tblW w:w="0" w:type="auto"/>
        <w:tblLayout w:type="fixed"/>
        <w:tblCellMar>
          <w:left w:w="70" w:type="dxa"/>
          <w:right w:w="70" w:type="dxa"/>
        </w:tblCellMar>
        <w:tblLook w:val="04A0" w:firstRow="1" w:lastRow="0" w:firstColumn="1" w:lastColumn="0" w:noHBand="0" w:noVBand="1"/>
      </w:tblPr>
      <w:tblGrid>
        <w:gridCol w:w="3128"/>
        <w:gridCol w:w="551"/>
        <w:gridCol w:w="583"/>
        <w:gridCol w:w="583"/>
        <w:gridCol w:w="584"/>
        <w:gridCol w:w="583"/>
        <w:gridCol w:w="584"/>
        <w:gridCol w:w="583"/>
        <w:gridCol w:w="584"/>
        <w:gridCol w:w="583"/>
        <w:gridCol w:w="584"/>
      </w:tblGrid>
      <w:tr w:rsidR="00BD53AF" w:rsidRPr="00807E43" w14:paraId="292BA9D2" w14:textId="77777777" w:rsidTr="00387AE5">
        <w:trPr>
          <w:trHeight w:val="285"/>
        </w:trPr>
        <w:tc>
          <w:tcPr>
            <w:tcW w:w="8930" w:type="dxa"/>
            <w:gridSpan w:val="11"/>
            <w:tcBorders>
              <w:top w:val="nil"/>
              <w:left w:val="nil"/>
              <w:bottom w:val="single" w:sz="8" w:space="0" w:color="auto"/>
              <w:right w:val="nil"/>
            </w:tcBorders>
            <w:shd w:val="clear" w:color="auto" w:fill="auto"/>
            <w:noWrap/>
            <w:vAlign w:val="center"/>
            <w:hideMark/>
          </w:tcPr>
          <w:p w14:paraId="61984212" w14:textId="78AB5A9F" w:rsidR="00BD53AF" w:rsidRPr="00807E43" w:rsidRDefault="00BD53AF" w:rsidP="00387AE5">
            <w:pPr>
              <w:rPr>
                <w:rFonts w:cs="Times New Roman"/>
                <w:b/>
                <w:bCs/>
                <w:color w:val="2C9ADC"/>
                <w:sz w:val="20"/>
                <w:szCs w:val="18"/>
              </w:rPr>
            </w:pPr>
            <w:bookmarkStart w:id="144" w:name="_Toc6314208"/>
            <w:r w:rsidRPr="00807E43">
              <w:rPr>
                <w:rFonts w:eastAsiaTheme="minorHAnsi" w:cs="Arial"/>
                <w:b/>
                <w:color w:val="2C9ADC"/>
                <w:sz w:val="20"/>
                <w:szCs w:val="26"/>
                <w:lang w:eastAsia="en-US"/>
              </w:rPr>
              <w:t xml:space="preserve">TABUĽKA </w:t>
            </w:r>
            <w:r w:rsidRPr="00807E43">
              <w:rPr>
                <w:rFonts w:eastAsiaTheme="minorHAnsi" w:cs="Arial"/>
                <w:b/>
                <w:color w:val="2C9ADC"/>
                <w:sz w:val="20"/>
                <w:szCs w:val="26"/>
                <w:lang w:eastAsia="en-US"/>
              </w:rPr>
              <w:fldChar w:fldCharType="begin"/>
            </w:r>
            <w:r w:rsidRPr="00807E43">
              <w:rPr>
                <w:rFonts w:eastAsiaTheme="minorHAnsi" w:cs="Arial"/>
                <w:b/>
                <w:color w:val="2C9ADC"/>
                <w:sz w:val="20"/>
                <w:szCs w:val="26"/>
                <w:lang w:eastAsia="en-US"/>
              </w:rPr>
              <w:instrText xml:space="preserve"> SEQ TABUĽKA \* ARABIC </w:instrText>
            </w:r>
            <w:r w:rsidRPr="00807E43">
              <w:rPr>
                <w:rFonts w:eastAsiaTheme="minorHAnsi" w:cs="Arial"/>
                <w:b/>
                <w:color w:val="2C9ADC"/>
                <w:sz w:val="20"/>
                <w:szCs w:val="26"/>
                <w:lang w:eastAsia="en-US"/>
              </w:rPr>
              <w:fldChar w:fldCharType="separate"/>
            </w:r>
            <w:r w:rsidR="00D5739E">
              <w:rPr>
                <w:rFonts w:eastAsiaTheme="minorHAnsi" w:cs="Arial"/>
                <w:b/>
                <w:noProof/>
                <w:color w:val="2C9ADC"/>
                <w:sz w:val="20"/>
                <w:szCs w:val="26"/>
                <w:lang w:eastAsia="en-US"/>
              </w:rPr>
              <w:t>9</w:t>
            </w:r>
            <w:r w:rsidRPr="00807E43">
              <w:rPr>
                <w:rFonts w:eastAsiaTheme="minorHAnsi" w:cs="Arial"/>
                <w:b/>
                <w:color w:val="2C9ADC"/>
                <w:sz w:val="20"/>
                <w:szCs w:val="26"/>
                <w:lang w:eastAsia="en-US"/>
              </w:rPr>
              <w:fldChar w:fldCharType="end"/>
            </w:r>
            <w:r w:rsidRPr="00807E43">
              <w:rPr>
                <w:rFonts w:eastAsiaTheme="minorHAnsi" w:cs="Arial"/>
                <w:b/>
                <w:color w:val="2C9ADC"/>
                <w:sz w:val="20"/>
                <w:szCs w:val="26"/>
                <w:lang w:eastAsia="en-US"/>
              </w:rPr>
              <w:t xml:space="preserve"> - </w:t>
            </w:r>
            <w:r w:rsidRPr="00807E43">
              <w:rPr>
                <w:rFonts w:cs="Times New Roman"/>
                <w:b/>
                <w:bCs/>
                <w:color w:val="2C9ADC"/>
                <w:sz w:val="20"/>
                <w:szCs w:val="18"/>
              </w:rPr>
              <w:t xml:space="preserve">Scenár nezmenených politík a bilancia verejnej správy </w:t>
            </w:r>
            <w:r w:rsidRPr="00807E43">
              <w:rPr>
                <w:rFonts w:cs="Times New Roman"/>
                <w:b/>
                <w:color w:val="2C9ADC"/>
                <w:sz w:val="20"/>
                <w:szCs w:val="18"/>
              </w:rPr>
              <w:t>(ESA 2010, % HDP)</w:t>
            </w:r>
            <w:bookmarkEnd w:id="144"/>
          </w:p>
        </w:tc>
      </w:tr>
      <w:tr w:rsidR="00BD53AF" w:rsidRPr="00D67831" w14:paraId="13FE00C8" w14:textId="77777777" w:rsidTr="00387AE5">
        <w:trPr>
          <w:trHeight w:val="315"/>
        </w:trPr>
        <w:tc>
          <w:tcPr>
            <w:tcW w:w="3128" w:type="dxa"/>
            <w:tcBorders>
              <w:top w:val="nil"/>
              <w:left w:val="nil"/>
              <w:bottom w:val="nil"/>
              <w:right w:val="nil"/>
            </w:tcBorders>
            <w:shd w:val="clear" w:color="auto" w:fill="auto"/>
            <w:noWrap/>
            <w:vAlign w:val="center"/>
            <w:hideMark/>
          </w:tcPr>
          <w:p w14:paraId="0B1EABBE" w14:textId="77777777" w:rsidR="00BD53AF" w:rsidRPr="00D67831" w:rsidRDefault="00BD53AF" w:rsidP="00387AE5">
            <w:pPr>
              <w:rPr>
                <w:rFonts w:cs="Times New Roman"/>
                <w:b/>
                <w:bCs/>
                <w:color w:val="2C9ADC"/>
                <w:sz w:val="18"/>
                <w:szCs w:val="18"/>
              </w:rPr>
            </w:pPr>
          </w:p>
        </w:tc>
        <w:tc>
          <w:tcPr>
            <w:tcW w:w="551" w:type="dxa"/>
            <w:tcBorders>
              <w:top w:val="nil"/>
              <w:left w:val="nil"/>
              <w:bottom w:val="nil"/>
              <w:right w:val="nil"/>
            </w:tcBorders>
            <w:shd w:val="clear" w:color="auto" w:fill="auto"/>
            <w:noWrap/>
            <w:vAlign w:val="center"/>
            <w:hideMark/>
          </w:tcPr>
          <w:p w14:paraId="32AF5252"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OS</w:t>
            </w:r>
          </w:p>
        </w:tc>
        <w:tc>
          <w:tcPr>
            <w:tcW w:w="1750" w:type="dxa"/>
            <w:gridSpan w:val="3"/>
            <w:tcBorders>
              <w:top w:val="nil"/>
              <w:left w:val="nil"/>
              <w:bottom w:val="nil"/>
              <w:right w:val="nil"/>
            </w:tcBorders>
            <w:shd w:val="clear" w:color="auto" w:fill="auto"/>
            <w:noWrap/>
            <w:vAlign w:val="center"/>
            <w:hideMark/>
          </w:tcPr>
          <w:p w14:paraId="0AF5D368"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NPC scenár</w:t>
            </w:r>
          </w:p>
        </w:tc>
        <w:tc>
          <w:tcPr>
            <w:tcW w:w="1750" w:type="dxa"/>
            <w:gridSpan w:val="3"/>
            <w:tcBorders>
              <w:top w:val="nil"/>
              <w:left w:val="nil"/>
              <w:bottom w:val="nil"/>
              <w:right w:val="nil"/>
            </w:tcBorders>
            <w:shd w:val="clear" w:color="auto" w:fill="auto"/>
            <w:noWrap/>
            <w:vAlign w:val="center"/>
            <w:hideMark/>
          </w:tcPr>
          <w:p w14:paraId="13BBF86D" w14:textId="77777777" w:rsidR="00BD53AF" w:rsidRPr="00D67831" w:rsidRDefault="00BD53AF" w:rsidP="00387AE5">
            <w:pPr>
              <w:jc w:val="center"/>
              <w:rPr>
                <w:rFonts w:cs="Times New Roman"/>
                <w:b/>
                <w:color w:val="000000"/>
                <w:sz w:val="18"/>
                <w:szCs w:val="18"/>
              </w:rPr>
            </w:pPr>
            <w:r>
              <w:rPr>
                <w:rFonts w:cs="Times New Roman"/>
                <w:b/>
                <w:color w:val="000000"/>
                <w:sz w:val="18"/>
                <w:szCs w:val="18"/>
              </w:rPr>
              <w:t>PS</w:t>
            </w:r>
          </w:p>
        </w:tc>
        <w:tc>
          <w:tcPr>
            <w:tcW w:w="1751" w:type="dxa"/>
            <w:gridSpan w:val="3"/>
            <w:tcBorders>
              <w:top w:val="nil"/>
              <w:left w:val="nil"/>
              <w:bottom w:val="nil"/>
              <w:right w:val="nil"/>
            </w:tcBorders>
            <w:shd w:val="clear" w:color="auto" w:fill="auto"/>
            <w:noWrap/>
            <w:vAlign w:val="center"/>
            <w:hideMark/>
          </w:tcPr>
          <w:p w14:paraId="2D36378E" w14:textId="77777777" w:rsidR="00BD53AF" w:rsidRPr="00D67831" w:rsidRDefault="00BD53AF" w:rsidP="00387AE5">
            <w:pPr>
              <w:jc w:val="center"/>
              <w:rPr>
                <w:rFonts w:cs="Times New Roman"/>
                <w:b/>
                <w:color w:val="000000"/>
                <w:sz w:val="18"/>
                <w:szCs w:val="18"/>
              </w:rPr>
            </w:pPr>
            <w:r>
              <w:rPr>
                <w:rFonts w:cs="Times New Roman"/>
                <w:b/>
                <w:color w:val="000000"/>
                <w:sz w:val="18"/>
                <w:szCs w:val="18"/>
              </w:rPr>
              <w:t>PS</w:t>
            </w:r>
            <w:r w:rsidRPr="00D67831">
              <w:rPr>
                <w:rFonts w:cs="Times New Roman"/>
                <w:b/>
                <w:color w:val="000000"/>
                <w:sz w:val="18"/>
                <w:szCs w:val="18"/>
              </w:rPr>
              <w:t>-NPC</w:t>
            </w:r>
          </w:p>
        </w:tc>
      </w:tr>
      <w:tr w:rsidR="00BD53AF" w:rsidRPr="00D67831" w14:paraId="75D4D98E" w14:textId="77777777" w:rsidTr="00387AE5">
        <w:trPr>
          <w:trHeight w:val="285"/>
        </w:trPr>
        <w:tc>
          <w:tcPr>
            <w:tcW w:w="3128" w:type="dxa"/>
            <w:tcBorders>
              <w:top w:val="nil"/>
              <w:left w:val="nil"/>
              <w:bottom w:val="nil"/>
              <w:right w:val="nil"/>
            </w:tcBorders>
            <w:shd w:val="clear" w:color="auto" w:fill="auto"/>
            <w:noWrap/>
            <w:vAlign w:val="center"/>
            <w:hideMark/>
          </w:tcPr>
          <w:p w14:paraId="1270A2FE" w14:textId="77777777" w:rsidR="00BD53AF" w:rsidRPr="00D67831" w:rsidRDefault="00BD53AF" w:rsidP="00387AE5">
            <w:pPr>
              <w:jc w:val="center"/>
              <w:rPr>
                <w:rFonts w:cs="Times New Roman"/>
                <w:color w:val="000000"/>
                <w:sz w:val="18"/>
                <w:szCs w:val="18"/>
              </w:rPr>
            </w:pPr>
          </w:p>
        </w:tc>
        <w:tc>
          <w:tcPr>
            <w:tcW w:w="551" w:type="dxa"/>
            <w:tcBorders>
              <w:top w:val="nil"/>
              <w:left w:val="nil"/>
              <w:bottom w:val="nil"/>
              <w:right w:val="nil"/>
            </w:tcBorders>
            <w:shd w:val="clear" w:color="auto" w:fill="auto"/>
            <w:noWrap/>
            <w:vAlign w:val="center"/>
            <w:hideMark/>
          </w:tcPr>
          <w:p w14:paraId="0629B5CE"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2019</w:t>
            </w:r>
          </w:p>
        </w:tc>
        <w:tc>
          <w:tcPr>
            <w:tcW w:w="583" w:type="dxa"/>
            <w:tcBorders>
              <w:top w:val="nil"/>
              <w:left w:val="nil"/>
              <w:bottom w:val="nil"/>
              <w:right w:val="nil"/>
            </w:tcBorders>
            <w:shd w:val="clear" w:color="auto" w:fill="auto"/>
            <w:noWrap/>
            <w:vAlign w:val="center"/>
            <w:hideMark/>
          </w:tcPr>
          <w:p w14:paraId="093056E9"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2020</w:t>
            </w:r>
          </w:p>
        </w:tc>
        <w:tc>
          <w:tcPr>
            <w:tcW w:w="583" w:type="dxa"/>
            <w:tcBorders>
              <w:top w:val="nil"/>
              <w:left w:val="nil"/>
              <w:bottom w:val="nil"/>
              <w:right w:val="nil"/>
            </w:tcBorders>
            <w:shd w:val="clear" w:color="auto" w:fill="auto"/>
            <w:noWrap/>
            <w:vAlign w:val="center"/>
            <w:hideMark/>
          </w:tcPr>
          <w:p w14:paraId="1E82EF87"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2021</w:t>
            </w:r>
          </w:p>
        </w:tc>
        <w:tc>
          <w:tcPr>
            <w:tcW w:w="584" w:type="dxa"/>
            <w:tcBorders>
              <w:top w:val="nil"/>
              <w:left w:val="nil"/>
              <w:bottom w:val="nil"/>
              <w:right w:val="nil"/>
            </w:tcBorders>
            <w:shd w:val="clear" w:color="auto" w:fill="auto"/>
            <w:noWrap/>
            <w:vAlign w:val="center"/>
            <w:hideMark/>
          </w:tcPr>
          <w:p w14:paraId="202BE171"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2022</w:t>
            </w:r>
          </w:p>
        </w:tc>
        <w:tc>
          <w:tcPr>
            <w:tcW w:w="583" w:type="dxa"/>
            <w:tcBorders>
              <w:top w:val="nil"/>
              <w:left w:val="nil"/>
              <w:bottom w:val="nil"/>
              <w:right w:val="nil"/>
            </w:tcBorders>
            <w:shd w:val="clear" w:color="auto" w:fill="auto"/>
            <w:noWrap/>
            <w:vAlign w:val="center"/>
            <w:hideMark/>
          </w:tcPr>
          <w:p w14:paraId="4E7465E5"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2020</w:t>
            </w:r>
          </w:p>
        </w:tc>
        <w:tc>
          <w:tcPr>
            <w:tcW w:w="584" w:type="dxa"/>
            <w:tcBorders>
              <w:top w:val="nil"/>
              <w:left w:val="nil"/>
              <w:bottom w:val="nil"/>
              <w:right w:val="nil"/>
            </w:tcBorders>
            <w:shd w:val="clear" w:color="auto" w:fill="auto"/>
            <w:noWrap/>
            <w:vAlign w:val="center"/>
            <w:hideMark/>
          </w:tcPr>
          <w:p w14:paraId="6275E4B8"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2021</w:t>
            </w:r>
          </w:p>
        </w:tc>
        <w:tc>
          <w:tcPr>
            <w:tcW w:w="583" w:type="dxa"/>
            <w:tcBorders>
              <w:top w:val="nil"/>
              <w:left w:val="nil"/>
              <w:bottom w:val="nil"/>
              <w:right w:val="nil"/>
            </w:tcBorders>
            <w:shd w:val="clear" w:color="auto" w:fill="auto"/>
            <w:noWrap/>
            <w:vAlign w:val="center"/>
            <w:hideMark/>
          </w:tcPr>
          <w:p w14:paraId="5FD46193"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2022</w:t>
            </w:r>
          </w:p>
        </w:tc>
        <w:tc>
          <w:tcPr>
            <w:tcW w:w="584" w:type="dxa"/>
            <w:tcBorders>
              <w:top w:val="nil"/>
              <w:left w:val="nil"/>
              <w:bottom w:val="nil"/>
              <w:right w:val="nil"/>
            </w:tcBorders>
            <w:shd w:val="clear" w:color="auto" w:fill="auto"/>
            <w:noWrap/>
            <w:vAlign w:val="center"/>
            <w:hideMark/>
          </w:tcPr>
          <w:p w14:paraId="71B03278"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2020</w:t>
            </w:r>
          </w:p>
        </w:tc>
        <w:tc>
          <w:tcPr>
            <w:tcW w:w="583" w:type="dxa"/>
            <w:tcBorders>
              <w:top w:val="nil"/>
              <w:left w:val="nil"/>
              <w:bottom w:val="nil"/>
              <w:right w:val="nil"/>
            </w:tcBorders>
            <w:shd w:val="clear" w:color="auto" w:fill="auto"/>
            <w:noWrap/>
            <w:vAlign w:val="center"/>
            <w:hideMark/>
          </w:tcPr>
          <w:p w14:paraId="0F8D1F48"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2021</w:t>
            </w:r>
          </w:p>
        </w:tc>
        <w:tc>
          <w:tcPr>
            <w:tcW w:w="584" w:type="dxa"/>
            <w:tcBorders>
              <w:top w:val="nil"/>
              <w:left w:val="nil"/>
              <w:bottom w:val="nil"/>
              <w:right w:val="nil"/>
            </w:tcBorders>
            <w:shd w:val="clear" w:color="auto" w:fill="auto"/>
            <w:noWrap/>
            <w:vAlign w:val="center"/>
            <w:hideMark/>
          </w:tcPr>
          <w:p w14:paraId="33F5C009" w14:textId="77777777" w:rsidR="00BD53AF" w:rsidRPr="00D67831" w:rsidRDefault="00BD53AF" w:rsidP="00387AE5">
            <w:pPr>
              <w:jc w:val="center"/>
              <w:rPr>
                <w:rFonts w:cs="Times New Roman"/>
                <w:b/>
                <w:color w:val="000000"/>
                <w:sz w:val="18"/>
                <w:szCs w:val="18"/>
              </w:rPr>
            </w:pPr>
            <w:r w:rsidRPr="00D67831">
              <w:rPr>
                <w:rFonts w:cs="Times New Roman"/>
                <w:b/>
                <w:color w:val="000000"/>
                <w:sz w:val="18"/>
                <w:szCs w:val="18"/>
              </w:rPr>
              <w:t>2022</w:t>
            </w:r>
          </w:p>
        </w:tc>
      </w:tr>
      <w:tr w:rsidR="00BD53AF" w:rsidRPr="00D67831" w14:paraId="521900BD" w14:textId="77777777" w:rsidTr="00387AE5">
        <w:trPr>
          <w:trHeight w:val="270"/>
        </w:trPr>
        <w:tc>
          <w:tcPr>
            <w:tcW w:w="3128" w:type="dxa"/>
            <w:tcBorders>
              <w:top w:val="single" w:sz="8" w:space="0" w:color="auto"/>
              <w:left w:val="nil"/>
              <w:bottom w:val="nil"/>
              <w:right w:val="single" w:sz="8" w:space="0" w:color="auto"/>
            </w:tcBorders>
            <w:shd w:val="clear" w:color="auto" w:fill="auto"/>
            <w:vAlign w:val="center"/>
            <w:hideMark/>
          </w:tcPr>
          <w:p w14:paraId="01AB16F3" w14:textId="77777777" w:rsidR="00BD53AF" w:rsidRPr="00D67831" w:rsidRDefault="00BD53AF" w:rsidP="00387AE5">
            <w:pPr>
              <w:rPr>
                <w:rFonts w:cs="Times New Roman"/>
                <w:b/>
                <w:bCs/>
                <w:color w:val="000000"/>
                <w:sz w:val="18"/>
                <w:szCs w:val="18"/>
              </w:rPr>
            </w:pPr>
            <w:r w:rsidRPr="00D67831">
              <w:rPr>
                <w:rFonts w:cs="Times New Roman"/>
                <w:b/>
                <w:bCs/>
                <w:color w:val="000000"/>
                <w:sz w:val="18"/>
                <w:szCs w:val="18"/>
              </w:rPr>
              <w:t>1.Príjmy spolu</w:t>
            </w:r>
          </w:p>
        </w:tc>
        <w:tc>
          <w:tcPr>
            <w:tcW w:w="551" w:type="dxa"/>
            <w:tcBorders>
              <w:top w:val="single" w:sz="8" w:space="0" w:color="auto"/>
              <w:left w:val="nil"/>
              <w:bottom w:val="nil"/>
              <w:right w:val="nil"/>
            </w:tcBorders>
            <w:shd w:val="clear" w:color="auto" w:fill="auto"/>
            <w:noWrap/>
            <w:hideMark/>
          </w:tcPr>
          <w:p w14:paraId="1B9C0D38" w14:textId="77777777" w:rsidR="00BD53AF" w:rsidRPr="00705F21" w:rsidRDefault="00BD53AF" w:rsidP="00387AE5">
            <w:pPr>
              <w:jc w:val="center"/>
              <w:rPr>
                <w:rFonts w:cs="Times New Roman"/>
                <w:b/>
                <w:bCs/>
                <w:color w:val="000000"/>
                <w:sz w:val="18"/>
                <w:szCs w:val="18"/>
              </w:rPr>
            </w:pPr>
            <w:r w:rsidRPr="00705F21">
              <w:rPr>
                <w:b/>
                <w:sz w:val="18"/>
                <w:szCs w:val="18"/>
              </w:rPr>
              <w:t>39,1</w:t>
            </w:r>
          </w:p>
        </w:tc>
        <w:tc>
          <w:tcPr>
            <w:tcW w:w="583" w:type="dxa"/>
            <w:tcBorders>
              <w:top w:val="single" w:sz="8" w:space="0" w:color="auto"/>
              <w:left w:val="single" w:sz="8" w:space="0" w:color="auto"/>
              <w:bottom w:val="nil"/>
              <w:right w:val="nil"/>
            </w:tcBorders>
            <w:shd w:val="clear" w:color="auto" w:fill="auto"/>
            <w:noWrap/>
            <w:hideMark/>
          </w:tcPr>
          <w:p w14:paraId="4CB3E5E0" w14:textId="77777777" w:rsidR="00BD53AF" w:rsidRPr="00D67831" w:rsidRDefault="00BD53AF" w:rsidP="00387AE5">
            <w:pPr>
              <w:jc w:val="center"/>
              <w:rPr>
                <w:rFonts w:cs="Times New Roman"/>
                <w:b/>
                <w:bCs/>
                <w:color w:val="000000"/>
                <w:sz w:val="18"/>
                <w:szCs w:val="18"/>
              </w:rPr>
            </w:pPr>
            <w:r>
              <w:rPr>
                <w:b/>
                <w:bCs/>
                <w:color w:val="000000"/>
                <w:sz w:val="18"/>
                <w:szCs w:val="18"/>
              </w:rPr>
              <w:t>38,3</w:t>
            </w:r>
          </w:p>
        </w:tc>
        <w:tc>
          <w:tcPr>
            <w:tcW w:w="583" w:type="dxa"/>
            <w:tcBorders>
              <w:top w:val="single" w:sz="8" w:space="0" w:color="auto"/>
              <w:left w:val="nil"/>
              <w:bottom w:val="nil"/>
              <w:right w:val="nil"/>
            </w:tcBorders>
            <w:shd w:val="clear" w:color="auto" w:fill="auto"/>
            <w:noWrap/>
            <w:hideMark/>
          </w:tcPr>
          <w:p w14:paraId="2C86ACA0" w14:textId="77777777" w:rsidR="00BD53AF" w:rsidRPr="00D67831" w:rsidRDefault="00BD53AF" w:rsidP="00387AE5">
            <w:pPr>
              <w:jc w:val="center"/>
              <w:rPr>
                <w:rFonts w:cs="Times New Roman"/>
                <w:b/>
                <w:bCs/>
                <w:color w:val="000000"/>
                <w:sz w:val="18"/>
                <w:szCs w:val="18"/>
              </w:rPr>
            </w:pPr>
            <w:r>
              <w:rPr>
                <w:b/>
                <w:bCs/>
                <w:color w:val="000000"/>
                <w:sz w:val="18"/>
                <w:szCs w:val="18"/>
              </w:rPr>
              <w:t>37,9</w:t>
            </w:r>
          </w:p>
        </w:tc>
        <w:tc>
          <w:tcPr>
            <w:tcW w:w="584" w:type="dxa"/>
            <w:tcBorders>
              <w:top w:val="single" w:sz="8" w:space="0" w:color="auto"/>
              <w:left w:val="nil"/>
              <w:bottom w:val="nil"/>
              <w:right w:val="single" w:sz="8" w:space="0" w:color="auto"/>
            </w:tcBorders>
            <w:shd w:val="clear" w:color="auto" w:fill="auto"/>
            <w:noWrap/>
            <w:hideMark/>
          </w:tcPr>
          <w:p w14:paraId="45993F54" w14:textId="77777777" w:rsidR="00BD53AF" w:rsidRPr="00D67831" w:rsidRDefault="00BD53AF" w:rsidP="00387AE5">
            <w:pPr>
              <w:jc w:val="center"/>
              <w:rPr>
                <w:rFonts w:cs="Times New Roman"/>
                <w:b/>
                <w:bCs/>
                <w:color w:val="000000"/>
                <w:sz w:val="18"/>
                <w:szCs w:val="18"/>
              </w:rPr>
            </w:pPr>
            <w:r>
              <w:rPr>
                <w:b/>
                <w:bCs/>
                <w:color w:val="000000"/>
                <w:sz w:val="18"/>
                <w:szCs w:val="18"/>
              </w:rPr>
              <w:t>37,7</w:t>
            </w:r>
          </w:p>
        </w:tc>
        <w:tc>
          <w:tcPr>
            <w:tcW w:w="583" w:type="dxa"/>
            <w:tcBorders>
              <w:top w:val="single" w:sz="8" w:space="0" w:color="auto"/>
              <w:left w:val="nil"/>
              <w:bottom w:val="nil"/>
              <w:right w:val="nil"/>
            </w:tcBorders>
            <w:shd w:val="clear" w:color="auto" w:fill="auto"/>
            <w:noWrap/>
            <w:hideMark/>
          </w:tcPr>
          <w:p w14:paraId="231F651D" w14:textId="77777777" w:rsidR="00BD53AF" w:rsidRPr="00D67831" w:rsidRDefault="00BD53AF" w:rsidP="00387AE5">
            <w:pPr>
              <w:jc w:val="center"/>
              <w:rPr>
                <w:rFonts w:cs="Times New Roman"/>
                <w:b/>
                <w:bCs/>
                <w:color w:val="000000"/>
                <w:sz w:val="18"/>
                <w:szCs w:val="18"/>
              </w:rPr>
            </w:pPr>
            <w:r>
              <w:rPr>
                <w:b/>
                <w:bCs/>
                <w:color w:val="000000"/>
                <w:sz w:val="18"/>
                <w:szCs w:val="18"/>
              </w:rPr>
              <w:t>38,4</w:t>
            </w:r>
          </w:p>
        </w:tc>
        <w:tc>
          <w:tcPr>
            <w:tcW w:w="584" w:type="dxa"/>
            <w:tcBorders>
              <w:top w:val="single" w:sz="8" w:space="0" w:color="auto"/>
              <w:left w:val="nil"/>
              <w:bottom w:val="nil"/>
              <w:right w:val="nil"/>
            </w:tcBorders>
            <w:shd w:val="clear" w:color="auto" w:fill="auto"/>
            <w:noWrap/>
            <w:hideMark/>
          </w:tcPr>
          <w:p w14:paraId="0676DD16" w14:textId="77777777" w:rsidR="00BD53AF" w:rsidRPr="00D67831" w:rsidRDefault="00BD53AF" w:rsidP="00387AE5">
            <w:pPr>
              <w:jc w:val="center"/>
              <w:rPr>
                <w:rFonts w:cs="Times New Roman"/>
                <w:b/>
                <w:bCs/>
                <w:color w:val="000000"/>
                <w:sz w:val="18"/>
                <w:szCs w:val="18"/>
              </w:rPr>
            </w:pPr>
            <w:r>
              <w:rPr>
                <w:b/>
                <w:bCs/>
                <w:color w:val="000000"/>
                <w:sz w:val="18"/>
                <w:szCs w:val="18"/>
              </w:rPr>
              <w:t>37,9</w:t>
            </w:r>
          </w:p>
        </w:tc>
        <w:tc>
          <w:tcPr>
            <w:tcW w:w="583" w:type="dxa"/>
            <w:tcBorders>
              <w:top w:val="single" w:sz="8" w:space="0" w:color="auto"/>
              <w:left w:val="nil"/>
              <w:bottom w:val="nil"/>
              <w:right w:val="nil"/>
            </w:tcBorders>
            <w:shd w:val="clear" w:color="auto" w:fill="auto"/>
            <w:noWrap/>
            <w:hideMark/>
          </w:tcPr>
          <w:p w14:paraId="190C366A" w14:textId="77777777" w:rsidR="00BD53AF" w:rsidRPr="00D67831" w:rsidRDefault="00BD53AF" w:rsidP="00387AE5">
            <w:pPr>
              <w:jc w:val="center"/>
              <w:rPr>
                <w:rFonts w:cs="Times New Roman"/>
                <w:b/>
                <w:bCs/>
                <w:color w:val="000000"/>
                <w:sz w:val="18"/>
                <w:szCs w:val="18"/>
              </w:rPr>
            </w:pPr>
            <w:r>
              <w:rPr>
                <w:b/>
                <w:bCs/>
                <w:color w:val="000000"/>
                <w:sz w:val="18"/>
                <w:szCs w:val="18"/>
              </w:rPr>
              <w:t>37,7</w:t>
            </w:r>
          </w:p>
        </w:tc>
        <w:tc>
          <w:tcPr>
            <w:tcW w:w="584" w:type="dxa"/>
            <w:tcBorders>
              <w:top w:val="single" w:sz="8" w:space="0" w:color="auto"/>
              <w:left w:val="single" w:sz="8" w:space="0" w:color="auto"/>
              <w:bottom w:val="nil"/>
              <w:right w:val="nil"/>
            </w:tcBorders>
            <w:shd w:val="clear" w:color="auto" w:fill="auto"/>
            <w:noWrap/>
            <w:hideMark/>
          </w:tcPr>
          <w:p w14:paraId="04903470" w14:textId="77777777" w:rsidR="00BD53AF" w:rsidRPr="00D67831" w:rsidRDefault="00BD53AF" w:rsidP="00387AE5">
            <w:pPr>
              <w:jc w:val="center"/>
              <w:rPr>
                <w:rFonts w:cs="Times New Roman"/>
                <w:b/>
                <w:bCs/>
                <w:color w:val="000000"/>
                <w:sz w:val="18"/>
                <w:szCs w:val="18"/>
              </w:rPr>
            </w:pPr>
            <w:r>
              <w:rPr>
                <w:b/>
                <w:bCs/>
                <w:color w:val="000000"/>
                <w:sz w:val="18"/>
                <w:szCs w:val="18"/>
              </w:rPr>
              <w:t>0,1</w:t>
            </w:r>
          </w:p>
        </w:tc>
        <w:tc>
          <w:tcPr>
            <w:tcW w:w="583" w:type="dxa"/>
            <w:tcBorders>
              <w:top w:val="single" w:sz="8" w:space="0" w:color="auto"/>
              <w:left w:val="nil"/>
              <w:bottom w:val="nil"/>
              <w:right w:val="nil"/>
            </w:tcBorders>
            <w:shd w:val="clear" w:color="auto" w:fill="auto"/>
            <w:noWrap/>
            <w:hideMark/>
          </w:tcPr>
          <w:p w14:paraId="2B385B72" w14:textId="77777777" w:rsidR="00BD53AF" w:rsidRPr="00D67831" w:rsidRDefault="00BD53AF" w:rsidP="00387AE5">
            <w:pPr>
              <w:jc w:val="center"/>
              <w:rPr>
                <w:rFonts w:cs="Times New Roman"/>
                <w:b/>
                <w:bCs/>
                <w:color w:val="000000"/>
                <w:sz w:val="18"/>
                <w:szCs w:val="18"/>
              </w:rPr>
            </w:pPr>
            <w:r>
              <w:rPr>
                <w:b/>
                <w:bCs/>
                <w:color w:val="000000"/>
                <w:sz w:val="18"/>
                <w:szCs w:val="18"/>
              </w:rPr>
              <w:t>0,0</w:t>
            </w:r>
          </w:p>
        </w:tc>
        <w:tc>
          <w:tcPr>
            <w:tcW w:w="584" w:type="dxa"/>
            <w:tcBorders>
              <w:top w:val="single" w:sz="8" w:space="0" w:color="auto"/>
              <w:left w:val="nil"/>
              <w:bottom w:val="nil"/>
              <w:right w:val="nil"/>
            </w:tcBorders>
            <w:shd w:val="clear" w:color="auto" w:fill="auto"/>
            <w:noWrap/>
            <w:hideMark/>
          </w:tcPr>
          <w:p w14:paraId="2C18E514" w14:textId="77777777" w:rsidR="00BD53AF" w:rsidRPr="00D67831" w:rsidRDefault="00BD53AF" w:rsidP="00387AE5">
            <w:pPr>
              <w:jc w:val="center"/>
              <w:rPr>
                <w:rFonts w:cs="Times New Roman"/>
                <w:b/>
                <w:bCs/>
                <w:color w:val="000000"/>
                <w:sz w:val="18"/>
                <w:szCs w:val="18"/>
              </w:rPr>
            </w:pPr>
            <w:r>
              <w:rPr>
                <w:b/>
                <w:bCs/>
                <w:color w:val="000000"/>
                <w:sz w:val="18"/>
                <w:szCs w:val="18"/>
              </w:rPr>
              <w:t>0,1</w:t>
            </w:r>
          </w:p>
        </w:tc>
      </w:tr>
      <w:tr w:rsidR="00BD53AF" w:rsidRPr="00B645C6" w14:paraId="4BC49F55" w14:textId="77777777" w:rsidTr="00387AE5">
        <w:trPr>
          <w:trHeight w:val="270"/>
        </w:trPr>
        <w:tc>
          <w:tcPr>
            <w:tcW w:w="3128" w:type="dxa"/>
            <w:tcBorders>
              <w:top w:val="nil"/>
              <w:left w:val="nil"/>
              <w:bottom w:val="nil"/>
              <w:right w:val="single" w:sz="8" w:space="0" w:color="auto"/>
            </w:tcBorders>
            <w:shd w:val="clear" w:color="auto" w:fill="auto"/>
            <w:vAlign w:val="center"/>
            <w:hideMark/>
          </w:tcPr>
          <w:p w14:paraId="243E2FA6" w14:textId="77777777" w:rsidR="00BD53AF" w:rsidRPr="00B645C6" w:rsidRDefault="00BD53AF" w:rsidP="00387AE5">
            <w:pPr>
              <w:rPr>
                <w:rFonts w:cs="Times New Roman"/>
                <w:bCs/>
                <w:color w:val="000000"/>
                <w:sz w:val="18"/>
                <w:szCs w:val="18"/>
              </w:rPr>
            </w:pPr>
            <w:r w:rsidRPr="00B645C6">
              <w:rPr>
                <w:rFonts w:cs="Times New Roman"/>
                <w:bCs/>
                <w:color w:val="000000"/>
                <w:sz w:val="18"/>
                <w:szCs w:val="18"/>
              </w:rPr>
              <w:t>Daňové príjmy</w:t>
            </w:r>
          </w:p>
        </w:tc>
        <w:tc>
          <w:tcPr>
            <w:tcW w:w="551" w:type="dxa"/>
            <w:tcBorders>
              <w:top w:val="nil"/>
              <w:left w:val="nil"/>
              <w:bottom w:val="nil"/>
              <w:right w:val="nil"/>
            </w:tcBorders>
            <w:shd w:val="clear" w:color="auto" w:fill="auto"/>
            <w:noWrap/>
            <w:hideMark/>
          </w:tcPr>
          <w:p w14:paraId="00B6B6BF" w14:textId="77777777" w:rsidR="00BD53AF" w:rsidRPr="00B645C6" w:rsidRDefault="00BD53AF" w:rsidP="00387AE5">
            <w:pPr>
              <w:jc w:val="center"/>
              <w:rPr>
                <w:rFonts w:cs="Times New Roman"/>
                <w:color w:val="000000"/>
                <w:sz w:val="18"/>
                <w:szCs w:val="18"/>
              </w:rPr>
            </w:pPr>
            <w:r w:rsidRPr="00B645C6">
              <w:rPr>
                <w:sz w:val="18"/>
                <w:szCs w:val="18"/>
              </w:rPr>
              <w:t>18,4</w:t>
            </w:r>
          </w:p>
        </w:tc>
        <w:tc>
          <w:tcPr>
            <w:tcW w:w="583" w:type="dxa"/>
            <w:tcBorders>
              <w:top w:val="nil"/>
              <w:left w:val="single" w:sz="8" w:space="0" w:color="auto"/>
              <w:bottom w:val="nil"/>
              <w:right w:val="nil"/>
            </w:tcBorders>
            <w:shd w:val="clear" w:color="auto" w:fill="auto"/>
            <w:noWrap/>
            <w:hideMark/>
          </w:tcPr>
          <w:p w14:paraId="7C8D5CC7" w14:textId="77777777" w:rsidR="00BD53AF" w:rsidRPr="00B645C6" w:rsidRDefault="00BD53AF" w:rsidP="00387AE5">
            <w:pPr>
              <w:jc w:val="center"/>
              <w:rPr>
                <w:rFonts w:cs="Times New Roman"/>
                <w:color w:val="000000"/>
                <w:sz w:val="18"/>
                <w:szCs w:val="18"/>
              </w:rPr>
            </w:pPr>
            <w:r w:rsidRPr="00B645C6">
              <w:rPr>
                <w:color w:val="000000"/>
                <w:sz w:val="18"/>
                <w:szCs w:val="18"/>
              </w:rPr>
              <w:t>18,2</w:t>
            </w:r>
          </w:p>
        </w:tc>
        <w:tc>
          <w:tcPr>
            <w:tcW w:w="583" w:type="dxa"/>
            <w:tcBorders>
              <w:top w:val="nil"/>
              <w:left w:val="nil"/>
              <w:bottom w:val="nil"/>
              <w:right w:val="nil"/>
            </w:tcBorders>
            <w:shd w:val="clear" w:color="auto" w:fill="auto"/>
            <w:noWrap/>
            <w:hideMark/>
          </w:tcPr>
          <w:p w14:paraId="562D429E" w14:textId="77777777" w:rsidR="00BD53AF" w:rsidRPr="00B645C6" w:rsidRDefault="00BD53AF" w:rsidP="00387AE5">
            <w:pPr>
              <w:jc w:val="center"/>
              <w:rPr>
                <w:rFonts w:cs="Times New Roman"/>
                <w:color w:val="000000"/>
                <w:sz w:val="18"/>
                <w:szCs w:val="18"/>
              </w:rPr>
            </w:pPr>
            <w:r w:rsidRPr="00B645C6">
              <w:rPr>
                <w:color w:val="000000"/>
                <w:sz w:val="18"/>
                <w:szCs w:val="18"/>
              </w:rPr>
              <w:t>17,9</w:t>
            </w:r>
          </w:p>
        </w:tc>
        <w:tc>
          <w:tcPr>
            <w:tcW w:w="584" w:type="dxa"/>
            <w:tcBorders>
              <w:top w:val="nil"/>
              <w:left w:val="nil"/>
              <w:bottom w:val="nil"/>
              <w:right w:val="nil"/>
            </w:tcBorders>
            <w:shd w:val="clear" w:color="auto" w:fill="auto"/>
            <w:noWrap/>
            <w:hideMark/>
          </w:tcPr>
          <w:p w14:paraId="2161843D" w14:textId="77777777" w:rsidR="00BD53AF" w:rsidRPr="00B645C6" w:rsidRDefault="00BD53AF" w:rsidP="00387AE5">
            <w:pPr>
              <w:jc w:val="center"/>
              <w:rPr>
                <w:rFonts w:cs="Times New Roman"/>
                <w:color w:val="000000"/>
                <w:sz w:val="18"/>
                <w:szCs w:val="18"/>
              </w:rPr>
            </w:pPr>
            <w:r w:rsidRPr="00B645C6">
              <w:rPr>
                <w:color w:val="000000"/>
                <w:sz w:val="18"/>
                <w:szCs w:val="18"/>
              </w:rPr>
              <w:t>17,7</w:t>
            </w:r>
          </w:p>
        </w:tc>
        <w:tc>
          <w:tcPr>
            <w:tcW w:w="583" w:type="dxa"/>
            <w:tcBorders>
              <w:top w:val="nil"/>
              <w:left w:val="single" w:sz="8" w:space="0" w:color="auto"/>
              <w:bottom w:val="nil"/>
              <w:right w:val="nil"/>
            </w:tcBorders>
            <w:shd w:val="clear" w:color="auto" w:fill="auto"/>
            <w:noWrap/>
            <w:hideMark/>
          </w:tcPr>
          <w:p w14:paraId="351ACDA9" w14:textId="77777777" w:rsidR="00BD53AF" w:rsidRPr="00B645C6" w:rsidRDefault="00BD53AF" w:rsidP="00387AE5">
            <w:pPr>
              <w:jc w:val="center"/>
              <w:rPr>
                <w:rFonts w:cs="Times New Roman"/>
                <w:color w:val="000000"/>
                <w:sz w:val="18"/>
                <w:szCs w:val="18"/>
              </w:rPr>
            </w:pPr>
            <w:r w:rsidRPr="00B645C6">
              <w:rPr>
                <w:color w:val="000000"/>
                <w:sz w:val="18"/>
                <w:szCs w:val="18"/>
              </w:rPr>
              <w:t>18,3</w:t>
            </w:r>
          </w:p>
        </w:tc>
        <w:tc>
          <w:tcPr>
            <w:tcW w:w="584" w:type="dxa"/>
            <w:tcBorders>
              <w:top w:val="nil"/>
              <w:left w:val="nil"/>
              <w:bottom w:val="nil"/>
              <w:right w:val="nil"/>
            </w:tcBorders>
            <w:shd w:val="clear" w:color="auto" w:fill="auto"/>
            <w:noWrap/>
            <w:hideMark/>
          </w:tcPr>
          <w:p w14:paraId="60509A65" w14:textId="77777777" w:rsidR="00BD53AF" w:rsidRPr="00B645C6" w:rsidRDefault="00BD53AF" w:rsidP="00387AE5">
            <w:pPr>
              <w:jc w:val="center"/>
              <w:rPr>
                <w:rFonts w:cs="Times New Roman"/>
                <w:color w:val="000000"/>
                <w:sz w:val="18"/>
                <w:szCs w:val="18"/>
              </w:rPr>
            </w:pPr>
            <w:r w:rsidRPr="00B645C6">
              <w:rPr>
                <w:color w:val="000000"/>
                <w:sz w:val="18"/>
                <w:szCs w:val="18"/>
              </w:rPr>
              <w:t>17,9</w:t>
            </w:r>
          </w:p>
        </w:tc>
        <w:tc>
          <w:tcPr>
            <w:tcW w:w="583" w:type="dxa"/>
            <w:tcBorders>
              <w:top w:val="nil"/>
              <w:left w:val="nil"/>
              <w:bottom w:val="nil"/>
              <w:right w:val="single" w:sz="8" w:space="0" w:color="auto"/>
            </w:tcBorders>
            <w:shd w:val="clear" w:color="auto" w:fill="auto"/>
            <w:noWrap/>
            <w:hideMark/>
          </w:tcPr>
          <w:p w14:paraId="0F3FF1E8" w14:textId="77777777" w:rsidR="00BD53AF" w:rsidRPr="00B645C6" w:rsidRDefault="00BD53AF" w:rsidP="00387AE5">
            <w:pPr>
              <w:jc w:val="center"/>
              <w:rPr>
                <w:rFonts w:cs="Times New Roman"/>
                <w:color w:val="000000"/>
                <w:sz w:val="18"/>
                <w:szCs w:val="18"/>
              </w:rPr>
            </w:pPr>
            <w:r w:rsidRPr="00B645C6">
              <w:rPr>
                <w:color w:val="000000"/>
                <w:sz w:val="18"/>
                <w:szCs w:val="18"/>
              </w:rPr>
              <w:t>17,7</w:t>
            </w:r>
          </w:p>
        </w:tc>
        <w:tc>
          <w:tcPr>
            <w:tcW w:w="584" w:type="dxa"/>
            <w:tcBorders>
              <w:top w:val="nil"/>
              <w:left w:val="nil"/>
              <w:bottom w:val="nil"/>
              <w:right w:val="nil"/>
            </w:tcBorders>
            <w:shd w:val="clear" w:color="auto" w:fill="auto"/>
            <w:noWrap/>
            <w:hideMark/>
          </w:tcPr>
          <w:p w14:paraId="23300343"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c>
          <w:tcPr>
            <w:tcW w:w="583" w:type="dxa"/>
            <w:tcBorders>
              <w:top w:val="nil"/>
              <w:left w:val="nil"/>
              <w:bottom w:val="nil"/>
              <w:right w:val="nil"/>
            </w:tcBorders>
            <w:shd w:val="clear" w:color="auto" w:fill="auto"/>
            <w:noWrap/>
            <w:hideMark/>
          </w:tcPr>
          <w:p w14:paraId="03F9DABD"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c>
          <w:tcPr>
            <w:tcW w:w="584" w:type="dxa"/>
            <w:tcBorders>
              <w:top w:val="nil"/>
              <w:left w:val="nil"/>
              <w:bottom w:val="nil"/>
              <w:right w:val="nil"/>
            </w:tcBorders>
            <w:shd w:val="clear" w:color="auto" w:fill="auto"/>
            <w:noWrap/>
            <w:hideMark/>
          </w:tcPr>
          <w:p w14:paraId="23493D62"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r>
      <w:tr w:rsidR="00BD53AF" w:rsidRPr="00B645C6" w14:paraId="4D4898FB" w14:textId="77777777" w:rsidTr="00387AE5">
        <w:trPr>
          <w:trHeight w:val="270"/>
        </w:trPr>
        <w:tc>
          <w:tcPr>
            <w:tcW w:w="3128" w:type="dxa"/>
            <w:tcBorders>
              <w:top w:val="nil"/>
              <w:left w:val="nil"/>
              <w:bottom w:val="nil"/>
              <w:right w:val="single" w:sz="8" w:space="0" w:color="auto"/>
            </w:tcBorders>
            <w:shd w:val="clear" w:color="auto" w:fill="auto"/>
            <w:vAlign w:val="center"/>
            <w:hideMark/>
          </w:tcPr>
          <w:p w14:paraId="51216BB3" w14:textId="77777777" w:rsidR="00BD53AF" w:rsidRPr="00B645C6" w:rsidRDefault="00BD53AF" w:rsidP="00387AE5">
            <w:pPr>
              <w:rPr>
                <w:rFonts w:cs="Times New Roman"/>
                <w:bCs/>
                <w:color w:val="000000"/>
                <w:sz w:val="18"/>
                <w:szCs w:val="18"/>
              </w:rPr>
            </w:pPr>
            <w:r w:rsidRPr="00B645C6">
              <w:rPr>
                <w:rFonts w:cs="Times New Roman"/>
                <w:bCs/>
                <w:color w:val="000000"/>
                <w:sz w:val="18"/>
                <w:szCs w:val="18"/>
              </w:rPr>
              <w:lastRenderedPageBreak/>
              <w:t>Príspevky na sociálne zabezpečenie</w:t>
            </w:r>
          </w:p>
        </w:tc>
        <w:tc>
          <w:tcPr>
            <w:tcW w:w="551" w:type="dxa"/>
            <w:tcBorders>
              <w:top w:val="nil"/>
              <w:left w:val="nil"/>
              <w:bottom w:val="nil"/>
              <w:right w:val="nil"/>
            </w:tcBorders>
            <w:shd w:val="clear" w:color="auto" w:fill="auto"/>
            <w:noWrap/>
            <w:hideMark/>
          </w:tcPr>
          <w:p w14:paraId="0A2D9A7B" w14:textId="77777777" w:rsidR="00BD53AF" w:rsidRPr="00B645C6" w:rsidRDefault="00BD53AF" w:rsidP="00387AE5">
            <w:pPr>
              <w:jc w:val="center"/>
              <w:rPr>
                <w:rFonts w:cs="Times New Roman"/>
                <w:color w:val="000000"/>
                <w:sz w:val="18"/>
                <w:szCs w:val="18"/>
              </w:rPr>
            </w:pPr>
            <w:r w:rsidRPr="00B645C6">
              <w:rPr>
                <w:sz w:val="18"/>
                <w:szCs w:val="18"/>
              </w:rPr>
              <w:t>14,7</w:t>
            </w:r>
          </w:p>
        </w:tc>
        <w:tc>
          <w:tcPr>
            <w:tcW w:w="583" w:type="dxa"/>
            <w:tcBorders>
              <w:top w:val="nil"/>
              <w:left w:val="single" w:sz="8" w:space="0" w:color="auto"/>
              <w:bottom w:val="nil"/>
              <w:right w:val="nil"/>
            </w:tcBorders>
            <w:shd w:val="clear" w:color="auto" w:fill="auto"/>
            <w:noWrap/>
            <w:hideMark/>
          </w:tcPr>
          <w:p w14:paraId="128C1C1B" w14:textId="77777777" w:rsidR="00BD53AF" w:rsidRPr="00B645C6" w:rsidRDefault="00BD53AF" w:rsidP="00387AE5">
            <w:pPr>
              <w:jc w:val="center"/>
              <w:rPr>
                <w:rFonts w:cs="Times New Roman"/>
                <w:color w:val="000000"/>
                <w:sz w:val="18"/>
                <w:szCs w:val="18"/>
              </w:rPr>
            </w:pPr>
            <w:r w:rsidRPr="00B645C6">
              <w:rPr>
                <w:color w:val="000000"/>
                <w:sz w:val="18"/>
                <w:szCs w:val="18"/>
              </w:rPr>
              <w:t>14,4</w:t>
            </w:r>
          </w:p>
        </w:tc>
        <w:tc>
          <w:tcPr>
            <w:tcW w:w="583" w:type="dxa"/>
            <w:tcBorders>
              <w:top w:val="nil"/>
              <w:left w:val="nil"/>
              <w:bottom w:val="nil"/>
              <w:right w:val="nil"/>
            </w:tcBorders>
            <w:shd w:val="clear" w:color="auto" w:fill="auto"/>
            <w:noWrap/>
            <w:hideMark/>
          </w:tcPr>
          <w:p w14:paraId="241EECDC" w14:textId="77777777" w:rsidR="00BD53AF" w:rsidRPr="00B645C6" w:rsidRDefault="00BD53AF" w:rsidP="00387AE5">
            <w:pPr>
              <w:jc w:val="center"/>
              <w:rPr>
                <w:rFonts w:cs="Times New Roman"/>
                <w:color w:val="000000"/>
                <w:sz w:val="18"/>
                <w:szCs w:val="18"/>
              </w:rPr>
            </w:pPr>
            <w:r w:rsidRPr="00B645C6">
              <w:rPr>
                <w:color w:val="000000"/>
                <w:sz w:val="18"/>
                <w:szCs w:val="18"/>
              </w:rPr>
              <w:t>14,3</w:t>
            </w:r>
          </w:p>
        </w:tc>
        <w:tc>
          <w:tcPr>
            <w:tcW w:w="584" w:type="dxa"/>
            <w:tcBorders>
              <w:top w:val="nil"/>
              <w:left w:val="nil"/>
              <w:bottom w:val="nil"/>
              <w:right w:val="single" w:sz="8" w:space="0" w:color="auto"/>
            </w:tcBorders>
            <w:shd w:val="clear" w:color="auto" w:fill="auto"/>
            <w:noWrap/>
            <w:hideMark/>
          </w:tcPr>
          <w:p w14:paraId="51717E7A" w14:textId="77777777" w:rsidR="00BD53AF" w:rsidRPr="00B645C6" w:rsidRDefault="00BD53AF" w:rsidP="00387AE5">
            <w:pPr>
              <w:jc w:val="center"/>
              <w:rPr>
                <w:rFonts w:cs="Times New Roman"/>
                <w:color w:val="000000"/>
                <w:sz w:val="18"/>
                <w:szCs w:val="18"/>
              </w:rPr>
            </w:pPr>
            <w:r w:rsidRPr="00B645C6">
              <w:rPr>
                <w:color w:val="000000"/>
                <w:sz w:val="18"/>
                <w:szCs w:val="18"/>
              </w:rPr>
              <w:t>14,3</w:t>
            </w:r>
          </w:p>
        </w:tc>
        <w:tc>
          <w:tcPr>
            <w:tcW w:w="583" w:type="dxa"/>
            <w:tcBorders>
              <w:top w:val="nil"/>
              <w:left w:val="nil"/>
              <w:bottom w:val="nil"/>
              <w:right w:val="nil"/>
            </w:tcBorders>
            <w:shd w:val="clear" w:color="auto" w:fill="auto"/>
            <w:noWrap/>
            <w:hideMark/>
          </w:tcPr>
          <w:p w14:paraId="0A0DDDE6" w14:textId="77777777" w:rsidR="00BD53AF" w:rsidRPr="00B645C6" w:rsidRDefault="00BD53AF" w:rsidP="00387AE5">
            <w:pPr>
              <w:jc w:val="center"/>
              <w:rPr>
                <w:rFonts w:cs="Times New Roman"/>
                <w:color w:val="000000"/>
                <w:sz w:val="18"/>
                <w:szCs w:val="18"/>
              </w:rPr>
            </w:pPr>
            <w:r w:rsidRPr="00B645C6">
              <w:rPr>
                <w:color w:val="000000"/>
                <w:sz w:val="18"/>
                <w:szCs w:val="18"/>
              </w:rPr>
              <w:t>14,4</w:t>
            </w:r>
          </w:p>
        </w:tc>
        <w:tc>
          <w:tcPr>
            <w:tcW w:w="584" w:type="dxa"/>
            <w:tcBorders>
              <w:top w:val="nil"/>
              <w:left w:val="nil"/>
              <w:bottom w:val="nil"/>
              <w:right w:val="nil"/>
            </w:tcBorders>
            <w:shd w:val="clear" w:color="auto" w:fill="auto"/>
            <w:noWrap/>
            <w:hideMark/>
          </w:tcPr>
          <w:p w14:paraId="51067049" w14:textId="77777777" w:rsidR="00BD53AF" w:rsidRPr="00B645C6" w:rsidRDefault="00BD53AF" w:rsidP="00387AE5">
            <w:pPr>
              <w:jc w:val="center"/>
              <w:rPr>
                <w:rFonts w:cs="Times New Roman"/>
                <w:color w:val="000000"/>
                <w:sz w:val="18"/>
                <w:szCs w:val="18"/>
              </w:rPr>
            </w:pPr>
            <w:r w:rsidRPr="00B645C6">
              <w:rPr>
                <w:color w:val="000000"/>
                <w:sz w:val="18"/>
                <w:szCs w:val="18"/>
              </w:rPr>
              <w:t>14,3</w:t>
            </w:r>
          </w:p>
        </w:tc>
        <w:tc>
          <w:tcPr>
            <w:tcW w:w="583" w:type="dxa"/>
            <w:tcBorders>
              <w:top w:val="nil"/>
              <w:left w:val="nil"/>
              <w:bottom w:val="nil"/>
              <w:right w:val="nil"/>
            </w:tcBorders>
            <w:shd w:val="clear" w:color="auto" w:fill="auto"/>
            <w:noWrap/>
            <w:hideMark/>
          </w:tcPr>
          <w:p w14:paraId="7F0E6F0A" w14:textId="77777777" w:rsidR="00BD53AF" w:rsidRPr="00B645C6" w:rsidRDefault="00BD53AF" w:rsidP="00387AE5">
            <w:pPr>
              <w:jc w:val="center"/>
              <w:rPr>
                <w:rFonts w:cs="Times New Roman"/>
                <w:color w:val="000000"/>
                <w:sz w:val="18"/>
                <w:szCs w:val="18"/>
              </w:rPr>
            </w:pPr>
            <w:r w:rsidRPr="00B645C6">
              <w:rPr>
                <w:color w:val="000000"/>
                <w:sz w:val="18"/>
                <w:szCs w:val="18"/>
              </w:rPr>
              <w:t>14,2</w:t>
            </w:r>
          </w:p>
        </w:tc>
        <w:tc>
          <w:tcPr>
            <w:tcW w:w="584" w:type="dxa"/>
            <w:tcBorders>
              <w:top w:val="nil"/>
              <w:left w:val="single" w:sz="8" w:space="0" w:color="auto"/>
              <w:bottom w:val="nil"/>
              <w:right w:val="nil"/>
            </w:tcBorders>
            <w:shd w:val="clear" w:color="auto" w:fill="auto"/>
            <w:noWrap/>
            <w:hideMark/>
          </w:tcPr>
          <w:p w14:paraId="67C6E09F"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c>
          <w:tcPr>
            <w:tcW w:w="583" w:type="dxa"/>
            <w:tcBorders>
              <w:top w:val="nil"/>
              <w:left w:val="nil"/>
              <w:bottom w:val="nil"/>
              <w:right w:val="nil"/>
            </w:tcBorders>
            <w:shd w:val="clear" w:color="auto" w:fill="auto"/>
            <w:noWrap/>
            <w:hideMark/>
          </w:tcPr>
          <w:p w14:paraId="53A415B1"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c>
          <w:tcPr>
            <w:tcW w:w="584" w:type="dxa"/>
            <w:tcBorders>
              <w:top w:val="nil"/>
              <w:left w:val="nil"/>
              <w:bottom w:val="nil"/>
              <w:right w:val="nil"/>
            </w:tcBorders>
            <w:shd w:val="clear" w:color="auto" w:fill="auto"/>
            <w:noWrap/>
            <w:hideMark/>
          </w:tcPr>
          <w:p w14:paraId="58E110A6"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r>
      <w:tr w:rsidR="00BD53AF" w:rsidRPr="00B645C6" w14:paraId="7A82E666" w14:textId="77777777" w:rsidTr="00387AE5">
        <w:trPr>
          <w:trHeight w:val="270"/>
        </w:trPr>
        <w:tc>
          <w:tcPr>
            <w:tcW w:w="3128" w:type="dxa"/>
            <w:tcBorders>
              <w:top w:val="nil"/>
              <w:left w:val="nil"/>
              <w:bottom w:val="nil"/>
              <w:right w:val="single" w:sz="8" w:space="0" w:color="auto"/>
            </w:tcBorders>
            <w:shd w:val="clear" w:color="auto" w:fill="auto"/>
            <w:vAlign w:val="center"/>
            <w:hideMark/>
          </w:tcPr>
          <w:p w14:paraId="7521A581" w14:textId="77777777" w:rsidR="00BD53AF" w:rsidRPr="00B645C6" w:rsidRDefault="00BD53AF" w:rsidP="00387AE5">
            <w:pPr>
              <w:rPr>
                <w:rFonts w:cs="Times New Roman"/>
                <w:bCs/>
                <w:color w:val="000000"/>
                <w:sz w:val="18"/>
                <w:szCs w:val="18"/>
              </w:rPr>
            </w:pPr>
            <w:r w:rsidRPr="00B645C6">
              <w:rPr>
                <w:rFonts w:cs="Times New Roman"/>
                <w:bCs/>
                <w:color w:val="000000"/>
                <w:sz w:val="18"/>
                <w:szCs w:val="18"/>
              </w:rPr>
              <w:t>Nedaňové príjmy</w:t>
            </w:r>
          </w:p>
        </w:tc>
        <w:tc>
          <w:tcPr>
            <w:tcW w:w="551" w:type="dxa"/>
            <w:tcBorders>
              <w:top w:val="nil"/>
              <w:left w:val="nil"/>
              <w:bottom w:val="nil"/>
              <w:right w:val="nil"/>
            </w:tcBorders>
            <w:shd w:val="clear" w:color="auto" w:fill="auto"/>
            <w:noWrap/>
            <w:hideMark/>
          </w:tcPr>
          <w:p w14:paraId="26D73B47" w14:textId="77777777" w:rsidR="00BD53AF" w:rsidRPr="00B645C6" w:rsidRDefault="00BD53AF" w:rsidP="00387AE5">
            <w:pPr>
              <w:jc w:val="center"/>
              <w:rPr>
                <w:rFonts w:cs="Times New Roman"/>
                <w:color w:val="000000"/>
                <w:sz w:val="18"/>
                <w:szCs w:val="18"/>
              </w:rPr>
            </w:pPr>
            <w:r w:rsidRPr="00B645C6">
              <w:rPr>
                <w:sz w:val="18"/>
                <w:szCs w:val="18"/>
              </w:rPr>
              <w:t>4,4</w:t>
            </w:r>
          </w:p>
        </w:tc>
        <w:tc>
          <w:tcPr>
            <w:tcW w:w="583" w:type="dxa"/>
            <w:tcBorders>
              <w:top w:val="nil"/>
              <w:left w:val="single" w:sz="8" w:space="0" w:color="auto"/>
              <w:bottom w:val="nil"/>
              <w:right w:val="nil"/>
            </w:tcBorders>
            <w:shd w:val="clear" w:color="auto" w:fill="auto"/>
            <w:noWrap/>
            <w:hideMark/>
          </w:tcPr>
          <w:p w14:paraId="2A09DE8C" w14:textId="77777777" w:rsidR="00BD53AF" w:rsidRPr="00B645C6" w:rsidRDefault="00BD53AF" w:rsidP="00387AE5">
            <w:pPr>
              <w:jc w:val="center"/>
              <w:rPr>
                <w:rFonts w:cs="Times New Roman"/>
                <w:color w:val="000000"/>
                <w:sz w:val="18"/>
                <w:szCs w:val="18"/>
              </w:rPr>
            </w:pPr>
            <w:r w:rsidRPr="00B645C6">
              <w:rPr>
                <w:color w:val="000000"/>
                <w:sz w:val="18"/>
                <w:szCs w:val="18"/>
              </w:rPr>
              <w:t>4,3</w:t>
            </w:r>
          </w:p>
        </w:tc>
        <w:tc>
          <w:tcPr>
            <w:tcW w:w="583" w:type="dxa"/>
            <w:tcBorders>
              <w:top w:val="nil"/>
              <w:left w:val="nil"/>
              <w:bottom w:val="nil"/>
              <w:right w:val="nil"/>
            </w:tcBorders>
            <w:shd w:val="clear" w:color="auto" w:fill="auto"/>
            <w:noWrap/>
            <w:hideMark/>
          </w:tcPr>
          <w:p w14:paraId="57AB6CD6" w14:textId="77777777" w:rsidR="00BD53AF" w:rsidRPr="00B645C6" w:rsidRDefault="00BD53AF" w:rsidP="00387AE5">
            <w:pPr>
              <w:jc w:val="center"/>
              <w:rPr>
                <w:rFonts w:cs="Times New Roman"/>
                <w:color w:val="000000"/>
                <w:sz w:val="18"/>
                <w:szCs w:val="18"/>
              </w:rPr>
            </w:pPr>
            <w:r w:rsidRPr="00B645C6">
              <w:rPr>
                <w:color w:val="000000"/>
                <w:sz w:val="18"/>
                <w:szCs w:val="18"/>
              </w:rPr>
              <w:t>4,2</w:t>
            </w:r>
          </w:p>
        </w:tc>
        <w:tc>
          <w:tcPr>
            <w:tcW w:w="584" w:type="dxa"/>
            <w:tcBorders>
              <w:top w:val="nil"/>
              <w:left w:val="nil"/>
              <w:bottom w:val="nil"/>
              <w:right w:val="single" w:sz="8" w:space="0" w:color="auto"/>
            </w:tcBorders>
            <w:shd w:val="clear" w:color="auto" w:fill="auto"/>
            <w:noWrap/>
            <w:hideMark/>
          </w:tcPr>
          <w:p w14:paraId="667B2E9F" w14:textId="77777777" w:rsidR="00BD53AF" w:rsidRPr="00B645C6" w:rsidRDefault="00BD53AF" w:rsidP="00387AE5">
            <w:pPr>
              <w:jc w:val="center"/>
              <w:rPr>
                <w:rFonts w:cs="Times New Roman"/>
                <w:color w:val="000000"/>
                <w:sz w:val="18"/>
                <w:szCs w:val="18"/>
              </w:rPr>
            </w:pPr>
            <w:r w:rsidRPr="00B645C6">
              <w:rPr>
                <w:color w:val="000000"/>
                <w:sz w:val="18"/>
                <w:szCs w:val="18"/>
              </w:rPr>
              <w:t>4,0</w:t>
            </w:r>
          </w:p>
        </w:tc>
        <w:tc>
          <w:tcPr>
            <w:tcW w:w="583" w:type="dxa"/>
            <w:tcBorders>
              <w:top w:val="nil"/>
              <w:left w:val="nil"/>
              <w:bottom w:val="nil"/>
              <w:right w:val="nil"/>
            </w:tcBorders>
            <w:shd w:val="clear" w:color="auto" w:fill="auto"/>
            <w:noWrap/>
            <w:hideMark/>
          </w:tcPr>
          <w:p w14:paraId="1EB884A5" w14:textId="77777777" w:rsidR="00BD53AF" w:rsidRPr="00B645C6" w:rsidRDefault="00BD53AF" w:rsidP="00387AE5">
            <w:pPr>
              <w:jc w:val="center"/>
              <w:rPr>
                <w:rFonts w:cs="Times New Roman"/>
                <w:color w:val="000000"/>
                <w:sz w:val="18"/>
                <w:szCs w:val="18"/>
              </w:rPr>
            </w:pPr>
            <w:r w:rsidRPr="00B645C6">
              <w:rPr>
                <w:color w:val="000000"/>
                <w:sz w:val="18"/>
                <w:szCs w:val="18"/>
              </w:rPr>
              <w:t>4,4</w:t>
            </w:r>
          </w:p>
        </w:tc>
        <w:tc>
          <w:tcPr>
            <w:tcW w:w="584" w:type="dxa"/>
            <w:tcBorders>
              <w:top w:val="nil"/>
              <w:left w:val="nil"/>
              <w:bottom w:val="nil"/>
              <w:right w:val="nil"/>
            </w:tcBorders>
            <w:shd w:val="clear" w:color="auto" w:fill="auto"/>
            <w:noWrap/>
            <w:hideMark/>
          </w:tcPr>
          <w:p w14:paraId="27C58396" w14:textId="77777777" w:rsidR="00BD53AF" w:rsidRPr="00B645C6" w:rsidRDefault="00BD53AF" w:rsidP="00387AE5">
            <w:pPr>
              <w:jc w:val="center"/>
              <w:rPr>
                <w:rFonts w:cs="Times New Roman"/>
                <w:color w:val="000000"/>
                <w:sz w:val="18"/>
                <w:szCs w:val="18"/>
              </w:rPr>
            </w:pPr>
            <w:r w:rsidRPr="00B645C6">
              <w:rPr>
                <w:color w:val="000000"/>
                <w:sz w:val="18"/>
                <w:szCs w:val="18"/>
              </w:rPr>
              <w:t>4,2</w:t>
            </w:r>
          </w:p>
        </w:tc>
        <w:tc>
          <w:tcPr>
            <w:tcW w:w="583" w:type="dxa"/>
            <w:tcBorders>
              <w:top w:val="nil"/>
              <w:left w:val="nil"/>
              <w:bottom w:val="nil"/>
              <w:right w:val="nil"/>
            </w:tcBorders>
            <w:shd w:val="clear" w:color="auto" w:fill="auto"/>
            <w:noWrap/>
            <w:hideMark/>
          </w:tcPr>
          <w:p w14:paraId="5F55DC92" w14:textId="77777777" w:rsidR="00BD53AF" w:rsidRPr="00B645C6" w:rsidRDefault="00BD53AF" w:rsidP="00387AE5">
            <w:pPr>
              <w:jc w:val="center"/>
              <w:rPr>
                <w:rFonts w:cs="Times New Roman"/>
                <w:color w:val="000000"/>
                <w:sz w:val="18"/>
                <w:szCs w:val="18"/>
              </w:rPr>
            </w:pPr>
            <w:r w:rsidRPr="00B645C6">
              <w:rPr>
                <w:color w:val="000000"/>
                <w:sz w:val="18"/>
                <w:szCs w:val="18"/>
              </w:rPr>
              <w:t>4,1</w:t>
            </w:r>
          </w:p>
        </w:tc>
        <w:tc>
          <w:tcPr>
            <w:tcW w:w="584" w:type="dxa"/>
            <w:tcBorders>
              <w:top w:val="nil"/>
              <w:left w:val="single" w:sz="8" w:space="0" w:color="auto"/>
              <w:bottom w:val="nil"/>
              <w:right w:val="nil"/>
            </w:tcBorders>
            <w:shd w:val="clear" w:color="auto" w:fill="auto"/>
            <w:noWrap/>
            <w:hideMark/>
          </w:tcPr>
          <w:p w14:paraId="7BFBA706" w14:textId="77777777" w:rsidR="00BD53AF" w:rsidRPr="00B645C6" w:rsidRDefault="00BD53AF" w:rsidP="00387AE5">
            <w:pPr>
              <w:jc w:val="center"/>
              <w:rPr>
                <w:rFonts w:cs="Times New Roman"/>
                <w:color w:val="000000"/>
                <w:sz w:val="18"/>
                <w:szCs w:val="18"/>
              </w:rPr>
            </w:pPr>
            <w:r w:rsidRPr="00B645C6">
              <w:rPr>
                <w:color w:val="000000"/>
                <w:sz w:val="18"/>
                <w:szCs w:val="18"/>
              </w:rPr>
              <w:t>0,1</w:t>
            </w:r>
          </w:p>
        </w:tc>
        <w:tc>
          <w:tcPr>
            <w:tcW w:w="583" w:type="dxa"/>
            <w:tcBorders>
              <w:top w:val="nil"/>
              <w:left w:val="nil"/>
              <w:bottom w:val="nil"/>
              <w:right w:val="nil"/>
            </w:tcBorders>
            <w:shd w:val="clear" w:color="auto" w:fill="auto"/>
            <w:noWrap/>
            <w:hideMark/>
          </w:tcPr>
          <w:p w14:paraId="00439728" w14:textId="77777777" w:rsidR="00BD53AF" w:rsidRPr="00B645C6" w:rsidRDefault="00BD53AF" w:rsidP="00387AE5">
            <w:pPr>
              <w:jc w:val="center"/>
              <w:rPr>
                <w:rFonts w:cs="Times New Roman"/>
                <w:color w:val="000000"/>
                <w:sz w:val="18"/>
                <w:szCs w:val="18"/>
              </w:rPr>
            </w:pPr>
            <w:r w:rsidRPr="00B645C6">
              <w:rPr>
                <w:color w:val="000000"/>
                <w:sz w:val="18"/>
                <w:szCs w:val="18"/>
              </w:rPr>
              <w:t>0,1</w:t>
            </w:r>
          </w:p>
        </w:tc>
        <w:tc>
          <w:tcPr>
            <w:tcW w:w="584" w:type="dxa"/>
            <w:tcBorders>
              <w:top w:val="nil"/>
              <w:left w:val="nil"/>
              <w:bottom w:val="nil"/>
              <w:right w:val="nil"/>
            </w:tcBorders>
            <w:shd w:val="clear" w:color="auto" w:fill="auto"/>
            <w:noWrap/>
            <w:hideMark/>
          </w:tcPr>
          <w:p w14:paraId="3C0A8451" w14:textId="77777777" w:rsidR="00BD53AF" w:rsidRPr="00B645C6" w:rsidRDefault="00BD53AF" w:rsidP="00387AE5">
            <w:pPr>
              <w:jc w:val="center"/>
              <w:rPr>
                <w:rFonts w:cs="Times New Roman"/>
                <w:color w:val="000000"/>
                <w:sz w:val="18"/>
                <w:szCs w:val="18"/>
              </w:rPr>
            </w:pPr>
            <w:r w:rsidRPr="00B645C6">
              <w:rPr>
                <w:color w:val="000000"/>
                <w:sz w:val="18"/>
                <w:szCs w:val="18"/>
              </w:rPr>
              <w:t>0,1</w:t>
            </w:r>
          </w:p>
        </w:tc>
      </w:tr>
      <w:tr w:rsidR="00BD53AF" w:rsidRPr="00B645C6" w14:paraId="71F5D836" w14:textId="77777777" w:rsidTr="00387AE5">
        <w:trPr>
          <w:trHeight w:val="285"/>
        </w:trPr>
        <w:tc>
          <w:tcPr>
            <w:tcW w:w="3128" w:type="dxa"/>
            <w:tcBorders>
              <w:top w:val="nil"/>
              <w:left w:val="nil"/>
              <w:bottom w:val="single" w:sz="8" w:space="0" w:color="auto"/>
              <w:right w:val="single" w:sz="8" w:space="0" w:color="auto"/>
            </w:tcBorders>
            <w:shd w:val="clear" w:color="auto" w:fill="auto"/>
            <w:vAlign w:val="center"/>
            <w:hideMark/>
          </w:tcPr>
          <w:p w14:paraId="0ACDD084" w14:textId="77777777" w:rsidR="00BD53AF" w:rsidRPr="00B645C6" w:rsidRDefault="00BD53AF" w:rsidP="00387AE5">
            <w:pPr>
              <w:rPr>
                <w:rFonts w:cs="Times New Roman"/>
                <w:bCs/>
                <w:color w:val="000000"/>
                <w:sz w:val="18"/>
                <w:szCs w:val="18"/>
              </w:rPr>
            </w:pPr>
            <w:r w:rsidRPr="00B645C6">
              <w:rPr>
                <w:rFonts w:cs="Times New Roman"/>
                <w:bCs/>
                <w:color w:val="000000"/>
                <w:sz w:val="18"/>
                <w:szCs w:val="18"/>
              </w:rPr>
              <w:t>Granty a transfery</w:t>
            </w:r>
          </w:p>
        </w:tc>
        <w:tc>
          <w:tcPr>
            <w:tcW w:w="551" w:type="dxa"/>
            <w:tcBorders>
              <w:top w:val="nil"/>
              <w:left w:val="nil"/>
              <w:bottom w:val="single" w:sz="8" w:space="0" w:color="auto"/>
              <w:right w:val="nil"/>
            </w:tcBorders>
            <w:shd w:val="clear" w:color="auto" w:fill="auto"/>
            <w:noWrap/>
            <w:hideMark/>
          </w:tcPr>
          <w:p w14:paraId="14C51C5E" w14:textId="77777777" w:rsidR="00BD53AF" w:rsidRPr="00B645C6" w:rsidRDefault="00BD53AF" w:rsidP="00387AE5">
            <w:pPr>
              <w:jc w:val="center"/>
              <w:rPr>
                <w:rFonts w:cs="Times New Roman"/>
                <w:color w:val="000000"/>
                <w:sz w:val="18"/>
                <w:szCs w:val="18"/>
              </w:rPr>
            </w:pPr>
            <w:r w:rsidRPr="00B645C6">
              <w:rPr>
                <w:sz w:val="18"/>
                <w:szCs w:val="18"/>
              </w:rPr>
              <w:t>1,7</w:t>
            </w:r>
          </w:p>
        </w:tc>
        <w:tc>
          <w:tcPr>
            <w:tcW w:w="583" w:type="dxa"/>
            <w:tcBorders>
              <w:top w:val="nil"/>
              <w:left w:val="single" w:sz="8" w:space="0" w:color="auto"/>
              <w:bottom w:val="single" w:sz="8" w:space="0" w:color="auto"/>
              <w:right w:val="nil"/>
            </w:tcBorders>
            <w:shd w:val="clear" w:color="auto" w:fill="auto"/>
            <w:noWrap/>
            <w:hideMark/>
          </w:tcPr>
          <w:p w14:paraId="68DDEF67" w14:textId="77777777" w:rsidR="00BD53AF" w:rsidRPr="00B645C6" w:rsidRDefault="00BD53AF" w:rsidP="00387AE5">
            <w:pPr>
              <w:jc w:val="center"/>
              <w:rPr>
                <w:rFonts w:cs="Times New Roman"/>
                <w:color w:val="000000"/>
                <w:sz w:val="18"/>
                <w:szCs w:val="18"/>
              </w:rPr>
            </w:pPr>
            <w:r w:rsidRPr="00B645C6">
              <w:rPr>
                <w:color w:val="000000"/>
                <w:sz w:val="18"/>
                <w:szCs w:val="18"/>
              </w:rPr>
              <w:t>1,4</w:t>
            </w:r>
          </w:p>
        </w:tc>
        <w:tc>
          <w:tcPr>
            <w:tcW w:w="583" w:type="dxa"/>
            <w:tcBorders>
              <w:top w:val="nil"/>
              <w:left w:val="nil"/>
              <w:bottom w:val="single" w:sz="8" w:space="0" w:color="auto"/>
              <w:right w:val="nil"/>
            </w:tcBorders>
            <w:shd w:val="clear" w:color="auto" w:fill="auto"/>
            <w:noWrap/>
            <w:hideMark/>
          </w:tcPr>
          <w:p w14:paraId="25363788" w14:textId="77777777" w:rsidR="00BD53AF" w:rsidRPr="00B645C6" w:rsidRDefault="00BD53AF" w:rsidP="00387AE5">
            <w:pPr>
              <w:jc w:val="center"/>
              <w:rPr>
                <w:rFonts w:cs="Times New Roman"/>
                <w:color w:val="000000"/>
                <w:sz w:val="18"/>
                <w:szCs w:val="18"/>
              </w:rPr>
            </w:pPr>
            <w:r w:rsidRPr="00B645C6">
              <w:rPr>
                <w:color w:val="000000"/>
                <w:sz w:val="18"/>
                <w:szCs w:val="18"/>
              </w:rPr>
              <w:t>1,5</w:t>
            </w:r>
          </w:p>
        </w:tc>
        <w:tc>
          <w:tcPr>
            <w:tcW w:w="584" w:type="dxa"/>
            <w:tcBorders>
              <w:top w:val="nil"/>
              <w:left w:val="nil"/>
              <w:bottom w:val="single" w:sz="8" w:space="0" w:color="auto"/>
              <w:right w:val="single" w:sz="8" w:space="0" w:color="auto"/>
            </w:tcBorders>
            <w:shd w:val="clear" w:color="auto" w:fill="auto"/>
            <w:noWrap/>
            <w:hideMark/>
          </w:tcPr>
          <w:p w14:paraId="2BFD3293" w14:textId="77777777" w:rsidR="00BD53AF" w:rsidRPr="00B645C6" w:rsidRDefault="00BD53AF" w:rsidP="00387AE5">
            <w:pPr>
              <w:jc w:val="center"/>
              <w:rPr>
                <w:rFonts w:cs="Times New Roman"/>
                <w:color w:val="000000"/>
                <w:sz w:val="18"/>
                <w:szCs w:val="18"/>
              </w:rPr>
            </w:pPr>
            <w:r w:rsidRPr="00B645C6">
              <w:rPr>
                <w:color w:val="000000"/>
                <w:sz w:val="18"/>
                <w:szCs w:val="18"/>
              </w:rPr>
              <w:t>1,7</w:t>
            </w:r>
          </w:p>
        </w:tc>
        <w:tc>
          <w:tcPr>
            <w:tcW w:w="583" w:type="dxa"/>
            <w:tcBorders>
              <w:top w:val="nil"/>
              <w:left w:val="nil"/>
              <w:bottom w:val="single" w:sz="8" w:space="0" w:color="auto"/>
              <w:right w:val="nil"/>
            </w:tcBorders>
            <w:shd w:val="clear" w:color="auto" w:fill="auto"/>
            <w:noWrap/>
            <w:hideMark/>
          </w:tcPr>
          <w:p w14:paraId="2B8A06E6" w14:textId="77777777" w:rsidR="00BD53AF" w:rsidRPr="00B645C6" w:rsidRDefault="00BD53AF" w:rsidP="00387AE5">
            <w:pPr>
              <w:jc w:val="center"/>
              <w:rPr>
                <w:rFonts w:cs="Times New Roman"/>
                <w:color w:val="000000"/>
                <w:sz w:val="18"/>
                <w:szCs w:val="18"/>
              </w:rPr>
            </w:pPr>
            <w:r w:rsidRPr="00B645C6">
              <w:rPr>
                <w:color w:val="000000"/>
                <w:sz w:val="18"/>
                <w:szCs w:val="18"/>
              </w:rPr>
              <w:t>1,3</w:t>
            </w:r>
          </w:p>
        </w:tc>
        <w:tc>
          <w:tcPr>
            <w:tcW w:w="584" w:type="dxa"/>
            <w:tcBorders>
              <w:top w:val="nil"/>
              <w:left w:val="nil"/>
              <w:bottom w:val="single" w:sz="8" w:space="0" w:color="auto"/>
              <w:right w:val="nil"/>
            </w:tcBorders>
            <w:shd w:val="clear" w:color="auto" w:fill="auto"/>
            <w:noWrap/>
            <w:hideMark/>
          </w:tcPr>
          <w:p w14:paraId="693762B2" w14:textId="77777777" w:rsidR="00BD53AF" w:rsidRPr="00B645C6" w:rsidRDefault="00BD53AF" w:rsidP="00387AE5">
            <w:pPr>
              <w:jc w:val="center"/>
              <w:rPr>
                <w:rFonts w:cs="Times New Roman"/>
                <w:color w:val="000000"/>
                <w:sz w:val="18"/>
                <w:szCs w:val="18"/>
              </w:rPr>
            </w:pPr>
            <w:r w:rsidRPr="00B645C6">
              <w:rPr>
                <w:color w:val="000000"/>
                <w:sz w:val="18"/>
                <w:szCs w:val="18"/>
              </w:rPr>
              <w:t>1,5</w:t>
            </w:r>
          </w:p>
        </w:tc>
        <w:tc>
          <w:tcPr>
            <w:tcW w:w="583" w:type="dxa"/>
            <w:tcBorders>
              <w:top w:val="nil"/>
              <w:left w:val="nil"/>
              <w:bottom w:val="single" w:sz="8" w:space="0" w:color="auto"/>
              <w:right w:val="nil"/>
            </w:tcBorders>
            <w:shd w:val="clear" w:color="auto" w:fill="auto"/>
            <w:noWrap/>
            <w:hideMark/>
          </w:tcPr>
          <w:p w14:paraId="0CD228E6" w14:textId="77777777" w:rsidR="00BD53AF" w:rsidRPr="00B645C6" w:rsidRDefault="00BD53AF" w:rsidP="00387AE5">
            <w:pPr>
              <w:jc w:val="center"/>
              <w:rPr>
                <w:rFonts w:cs="Times New Roman"/>
                <w:color w:val="000000"/>
                <w:sz w:val="18"/>
                <w:szCs w:val="18"/>
              </w:rPr>
            </w:pPr>
            <w:r w:rsidRPr="00B645C6">
              <w:rPr>
                <w:color w:val="000000"/>
                <w:sz w:val="18"/>
                <w:szCs w:val="18"/>
              </w:rPr>
              <w:t>1,7</w:t>
            </w:r>
          </w:p>
        </w:tc>
        <w:tc>
          <w:tcPr>
            <w:tcW w:w="584" w:type="dxa"/>
            <w:tcBorders>
              <w:top w:val="nil"/>
              <w:left w:val="single" w:sz="8" w:space="0" w:color="auto"/>
              <w:bottom w:val="single" w:sz="8" w:space="0" w:color="auto"/>
              <w:right w:val="nil"/>
            </w:tcBorders>
            <w:shd w:val="clear" w:color="auto" w:fill="auto"/>
            <w:noWrap/>
            <w:hideMark/>
          </w:tcPr>
          <w:p w14:paraId="7577B80C" w14:textId="77777777" w:rsidR="00BD53AF" w:rsidRPr="00B645C6" w:rsidRDefault="00BD53AF" w:rsidP="00387AE5">
            <w:pPr>
              <w:jc w:val="center"/>
              <w:rPr>
                <w:rFonts w:cs="Times New Roman"/>
                <w:color w:val="000000"/>
                <w:sz w:val="18"/>
                <w:szCs w:val="18"/>
              </w:rPr>
            </w:pPr>
            <w:r w:rsidRPr="00B645C6">
              <w:rPr>
                <w:color w:val="000000"/>
                <w:sz w:val="18"/>
                <w:szCs w:val="18"/>
              </w:rPr>
              <w:t>-0,1</w:t>
            </w:r>
          </w:p>
        </w:tc>
        <w:tc>
          <w:tcPr>
            <w:tcW w:w="583" w:type="dxa"/>
            <w:tcBorders>
              <w:top w:val="nil"/>
              <w:left w:val="nil"/>
              <w:bottom w:val="single" w:sz="8" w:space="0" w:color="auto"/>
              <w:right w:val="nil"/>
            </w:tcBorders>
            <w:shd w:val="clear" w:color="auto" w:fill="auto"/>
            <w:noWrap/>
            <w:hideMark/>
          </w:tcPr>
          <w:p w14:paraId="0CDCA2EB"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c>
          <w:tcPr>
            <w:tcW w:w="584" w:type="dxa"/>
            <w:tcBorders>
              <w:top w:val="nil"/>
              <w:left w:val="nil"/>
              <w:bottom w:val="single" w:sz="8" w:space="0" w:color="auto"/>
              <w:right w:val="nil"/>
            </w:tcBorders>
            <w:shd w:val="clear" w:color="auto" w:fill="auto"/>
            <w:noWrap/>
            <w:hideMark/>
          </w:tcPr>
          <w:p w14:paraId="0762BCE9" w14:textId="77777777" w:rsidR="00BD53AF" w:rsidRPr="00B645C6" w:rsidRDefault="00BD53AF" w:rsidP="00387AE5">
            <w:pPr>
              <w:jc w:val="center"/>
              <w:rPr>
                <w:rFonts w:cs="Times New Roman"/>
                <w:color w:val="000000"/>
                <w:sz w:val="18"/>
                <w:szCs w:val="18"/>
              </w:rPr>
            </w:pPr>
            <w:r w:rsidRPr="00B645C6">
              <w:rPr>
                <w:color w:val="000000"/>
                <w:sz w:val="18"/>
                <w:szCs w:val="18"/>
              </w:rPr>
              <w:t>0,0</w:t>
            </w:r>
          </w:p>
        </w:tc>
      </w:tr>
      <w:tr w:rsidR="00BD53AF" w:rsidRPr="00B645C6" w14:paraId="2B2092BC"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7F7477D7" w14:textId="77777777" w:rsidR="00BD53AF" w:rsidRPr="00B645C6" w:rsidRDefault="00BD53AF" w:rsidP="00387AE5">
            <w:pPr>
              <w:rPr>
                <w:rFonts w:cs="Times New Roman"/>
                <w:b/>
                <w:bCs/>
                <w:color w:val="000000"/>
                <w:sz w:val="18"/>
                <w:szCs w:val="18"/>
              </w:rPr>
            </w:pPr>
            <w:r w:rsidRPr="00B645C6">
              <w:rPr>
                <w:rFonts w:cs="Times New Roman"/>
                <w:b/>
                <w:bCs/>
                <w:color w:val="000000"/>
                <w:sz w:val="18"/>
                <w:szCs w:val="18"/>
              </w:rPr>
              <w:t>2. Výdavky spolu</w:t>
            </w:r>
          </w:p>
        </w:tc>
        <w:tc>
          <w:tcPr>
            <w:tcW w:w="551" w:type="dxa"/>
            <w:tcBorders>
              <w:top w:val="nil"/>
              <w:left w:val="nil"/>
              <w:bottom w:val="nil"/>
              <w:right w:val="nil"/>
            </w:tcBorders>
            <w:shd w:val="clear" w:color="auto" w:fill="auto"/>
            <w:noWrap/>
            <w:hideMark/>
          </w:tcPr>
          <w:p w14:paraId="3226666C" w14:textId="77777777" w:rsidR="00BD53AF" w:rsidRPr="00B645C6" w:rsidRDefault="00BD53AF" w:rsidP="00387AE5">
            <w:pPr>
              <w:jc w:val="center"/>
              <w:rPr>
                <w:rFonts w:cs="Times New Roman"/>
                <w:b/>
                <w:bCs/>
                <w:color w:val="000000"/>
                <w:sz w:val="18"/>
                <w:szCs w:val="18"/>
              </w:rPr>
            </w:pPr>
            <w:r w:rsidRPr="00B645C6">
              <w:rPr>
                <w:b/>
                <w:sz w:val="18"/>
                <w:szCs w:val="18"/>
              </w:rPr>
              <w:t>39,1</w:t>
            </w:r>
          </w:p>
        </w:tc>
        <w:tc>
          <w:tcPr>
            <w:tcW w:w="583" w:type="dxa"/>
            <w:tcBorders>
              <w:top w:val="nil"/>
              <w:left w:val="single" w:sz="8" w:space="0" w:color="auto"/>
              <w:bottom w:val="nil"/>
              <w:right w:val="nil"/>
            </w:tcBorders>
            <w:shd w:val="clear" w:color="auto" w:fill="auto"/>
            <w:noWrap/>
            <w:hideMark/>
          </w:tcPr>
          <w:p w14:paraId="063405B2"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37,9</w:t>
            </w:r>
          </w:p>
        </w:tc>
        <w:tc>
          <w:tcPr>
            <w:tcW w:w="583" w:type="dxa"/>
            <w:tcBorders>
              <w:top w:val="nil"/>
              <w:left w:val="nil"/>
              <w:bottom w:val="nil"/>
              <w:right w:val="nil"/>
            </w:tcBorders>
            <w:shd w:val="clear" w:color="auto" w:fill="auto"/>
            <w:noWrap/>
            <w:hideMark/>
          </w:tcPr>
          <w:p w14:paraId="14CB2395"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37,5</w:t>
            </w:r>
          </w:p>
        </w:tc>
        <w:tc>
          <w:tcPr>
            <w:tcW w:w="584" w:type="dxa"/>
            <w:tcBorders>
              <w:top w:val="nil"/>
              <w:left w:val="nil"/>
              <w:bottom w:val="nil"/>
              <w:right w:val="single" w:sz="8" w:space="0" w:color="auto"/>
            </w:tcBorders>
            <w:shd w:val="clear" w:color="auto" w:fill="auto"/>
            <w:noWrap/>
            <w:hideMark/>
          </w:tcPr>
          <w:p w14:paraId="5020BB28"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37,5</w:t>
            </w:r>
          </w:p>
        </w:tc>
        <w:tc>
          <w:tcPr>
            <w:tcW w:w="583" w:type="dxa"/>
            <w:tcBorders>
              <w:top w:val="nil"/>
              <w:left w:val="nil"/>
              <w:bottom w:val="nil"/>
              <w:right w:val="nil"/>
            </w:tcBorders>
            <w:shd w:val="clear" w:color="auto" w:fill="auto"/>
            <w:noWrap/>
            <w:hideMark/>
          </w:tcPr>
          <w:p w14:paraId="12B8D7EF"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38,4</w:t>
            </w:r>
          </w:p>
        </w:tc>
        <w:tc>
          <w:tcPr>
            <w:tcW w:w="584" w:type="dxa"/>
            <w:tcBorders>
              <w:top w:val="nil"/>
              <w:left w:val="nil"/>
              <w:bottom w:val="nil"/>
              <w:right w:val="nil"/>
            </w:tcBorders>
            <w:shd w:val="clear" w:color="auto" w:fill="auto"/>
            <w:noWrap/>
            <w:hideMark/>
          </w:tcPr>
          <w:p w14:paraId="58409C9A"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37,9</w:t>
            </w:r>
          </w:p>
        </w:tc>
        <w:tc>
          <w:tcPr>
            <w:tcW w:w="583" w:type="dxa"/>
            <w:tcBorders>
              <w:top w:val="nil"/>
              <w:left w:val="nil"/>
              <w:bottom w:val="nil"/>
              <w:right w:val="single" w:sz="8" w:space="0" w:color="auto"/>
            </w:tcBorders>
            <w:shd w:val="clear" w:color="auto" w:fill="auto"/>
            <w:noWrap/>
            <w:hideMark/>
          </w:tcPr>
          <w:p w14:paraId="41C4A34D"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37,7</w:t>
            </w:r>
          </w:p>
        </w:tc>
        <w:tc>
          <w:tcPr>
            <w:tcW w:w="584" w:type="dxa"/>
            <w:tcBorders>
              <w:top w:val="nil"/>
              <w:left w:val="nil"/>
              <w:bottom w:val="nil"/>
              <w:right w:val="nil"/>
            </w:tcBorders>
            <w:shd w:val="clear" w:color="auto" w:fill="auto"/>
            <w:noWrap/>
            <w:hideMark/>
          </w:tcPr>
          <w:p w14:paraId="2FB99545"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0,5</w:t>
            </w:r>
          </w:p>
        </w:tc>
        <w:tc>
          <w:tcPr>
            <w:tcW w:w="583" w:type="dxa"/>
            <w:tcBorders>
              <w:top w:val="nil"/>
              <w:left w:val="nil"/>
              <w:bottom w:val="nil"/>
              <w:right w:val="nil"/>
            </w:tcBorders>
            <w:shd w:val="clear" w:color="auto" w:fill="auto"/>
            <w:noWrap/>
            <w:hideMark/>
          </w:tcPr>
          <w:p w14:paraId="7DA038CD"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0,4</w:t>
            </w:r>
          </w:p>
        </w:tc>
        <w:tc>
          <w:tcPr>
            <w:tcW w:w="584" w:type="dxa"/>
            <w:tcBorders>
              <w:top w:val="nil"/>
              <w:left w:val="nil"/>
              <w:bottom w:val="nil"/>
              <w:right w:val="nil"/>
            </w:tcBorders>
            <w:shd w:val="clear" w:color="auto" w:fill="auto"/>
            <w:noWrap/>
            <w:hideMark/>
          </w:tcPr>
          <w:p w14:paraId="06B00E48" w14:textId="77777777" w:rsidR="00BD53AF" w:rsidRPr="00B645C6" w:rsidRDefault="00BD53AF" w:rsidP="00387AE5">
            <w:pPr>
              <w:jc w:val="center"/>
              <w:rPr>
                <w:rFonts w:cs="Times New Roman"/>
                <w:b/>
                <w:bCs/>
                <w:color w:val="000000"/>
                <w:sz w:val="18"/>
                <w:szCs w:val="18"/>
              </w:rPr>
            </w:pPr>
            <w:r w:rsidRPr="00B645C6">
              <w:rPr>
                <w:b/>
                <w:bCs/>
                <w:color w:val="000000"/>
                <w:sz w:val="18"/>
                <w:szCs w:val="18"/>
              </w:rPr>
              <w:t>0,2</w:t>
            </w:r>
          </w:p>
        </w:tc>
      </w:tr>
      <w:tr w:rsidR="00BD53AF" w:rsidRPr="00B645C6" w14:paraId="3D9E78A4"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1BAA0114" w14:textId="77777777" w:rsidR="00BD53AF" w:rsidRPr="00B645C6" w:rsidRDefault="00BD53AF" w:rsidP="00387AE5">
            <w:pPr>
              <w:rPr>
                <w:rFonts w:cs="Times New Roman"/>
                <w:b/>
                <w:bCs/>
                <w:color w:val="000000"/>
                <w:sz w:val="18"/>
                <w:szCs w:val="18"/>
              </w:rPr>
            </w:pPr>
            <w:r w:rsidRPr="00B645C6">
              <w:rPr>
                <w:rFonts w:cs="Times New Roman"/>
                <w:b/>
                <w:bCs/>
                <w:color w:val="000000"/>
                <w:sz w:val="18"/>
                <w:szCs w:val="18"/>
              </w:rPr>
              <w:t xml:space="preserve">  Bežné výdavky</w:t>
            </w:r>
          </w:p>
        </w:tc>
        <w:tc>
          <w:tcPr>
            <w:tcW w:w="551" w:type="dxa"/>
            <w:tcBorders>
              <w:top w:val="nil"/>
              <w:left w:val="nil"/>
              <w:bottom w:val="nil"/>
              <w:right w:val="nil"/>
            </w:tcBorders>
            <w:shd w:val="clear" w:color="auto" w:fill="auto"/>
            <w:noWrap/>
            <w:hideMark/>
          </w:tcPr>
          <w:p w14:paraId="63F81A61" w14:textId="77777777" w:rsidR="00BD53AF" w:rsidRPr="00B645C6" w:rsidRDefault="00BD53AF" w:rsidP="00387AE5">
            <w:pPr>
              <w:jc w:val="center"/>
              <w:rPr>
                <w:rFonts w:cs="Times New Roman"/>
                <w:b/>
                <w:color w:val="000000"/>
                <w:sz w:val="18"/>
                <w:szCs w:val="18"/>
              </w:rPr>
            </w:pPr>
            <w:r w:rsidRPr="00B645C6">
              <w:rPr>
                <w:b/>
                <w:sz w:val="18"/>
                <w:szCs w:val="18"/>
              </w:rPr>
              <w:t>36,2</w:t>
            </w:r>
          </w:p>
        </w:tc>
        <w:tc>
          <w:tcPr>
            <w:tcW w:w="583" w:type="dxa"/>
            <w:tcBorders>
              <w:top w:val="nil"/>
              <w:left w:val="single" w:sz="8" w:space="0" w:color="auto"/>
              <w:bottom w:val="nil"/>
              <w:right w:val="nil"/>
            </w:tcBorders>
            <w:shd w:val="clear" w:color="auto" w:fill="auto"/>
            <w:noWrap/>
            <w:hideMark/>
          </w:tcPr>
          <w:p w14:paraId="4018EB55" w14:textId="77777777" w:rsidR="00BD53AF" w:rsidRPr="00B645C6" w:rsidRDefault="00BD53AF" w:rsidP="00387AE5">
            <w:pPr>
              <w:jc w:val="center"/>
              <w:rPr>
                <w:rFonts w:cs="Times New Roman"/>
                <w:b/>
                <w:color w:val="000000"/>
                <w:sz w:val="18"/>
                <w:szCs w:val="18"/>
              </w:rPr>
            </w:pPr>
            <w:r w:rsidRPr="00B645C6">
              <w:rPr>
                <w:b/>
                <w:color w:val="000000"/>
                <w:sz w:val="18"/>
                <w:szCs w:val="18"/>
              </w:rPr>
              <w:t>35,2</w:t>
            </w:r>
          </w:p>
        </w:tc>
        <w:tc>
          <w:tcPr>
            <w:tcW w:w="583" w:type="dxa"/>
            <w:tcBorders>
              <w:top w:val="nil"/>
              <w:left w:val="nil"/>
              <w:bottom w:val="nil"/>
              <w:right w:val="nil"/>
            </w:tcBorders>
            <w:shd w:val="clear" w:color="auto" w:fill="auto"/>
            <w:noWrap/>
            <w:hideMark/>
          </w:tcPr>
          <w:p w14:paraId="1708EB88" w14:textId="77777777" w:rsidR="00BD53AF" w:rsidRPr="00B645C6" w:rsidRDefault="00BD53AF" w:rsidP="00387AE5">
            <w:pPr>
              <w:jc w:val="center"/>
              <w:rPr>
                <w:rFonts w:cs="Times New Roman"/>
                <w:b/>
                <w:color w:val="000000"/>
                <w:sz w:val="18"/>
                <w:szCs w:val="18"/>
              </w:rPr>
            </w:pPr>
            <w:r w:rsidRPr="00B645C6">
              <w:rPr>
                <w:b/>
                <w:color w:val="000000"/>
                <w:sz w:val="18"/>
                <w:szCs w:val="18"/>
              </w:rPr>
              <w:t>34,7</w:t>
            </w:r>
          </w:p>
        </w:tc>
        <w:tc>
          <w:tcPr>
            <w:tcW w:w="584" w:type="dxa"/>
            <w:tcBorders>
              <w:top w:val="nil"/>
              <w:left w:val="nil"/>
              <w:bottom w:val="nil"/>
              <w:right w:val="single" w:sz="8" w:space="0" w:color="auto"/>
            </w:tcBorders>
            <w:shd w:val="clear" w:color="auto" w:fill="auto"/>
            <w:noWrap/>
            <w:hideMark/>
          </w:tcPr>
          <w:p w14:paraId="4C40771A" w14:textId="77777777" w:rsidR="00BD53AF" w:rsidRPr="00B645C6" w:rsidRDefault="00BD53AF" w:rsidP="00387AE5">
            <w:pPr>
              <w:jc w:val="center"/>
              <w:rPr>
                <w:rFonts w:cs="Times New Roman"/>
                <w:b/>
                <w:color w:val="000000"/>
                <w:sz w:val="18"/>
                <w:szCs w:val="18"/>
              </w:rPr>
            </w:pPr>
            <w:r w:rsidRPr="00B645C6">
              <w:rPr>
                <w:b/>
                <w:color w:val="000000"/>
                <w:sz w:val="18"/>
                <w:szCs w:val="18"/>
              </w:rPr>
              <w:t>34,1</w:t>
            </w:r>
          </w:p>
        </w:tc>
        <w:tc>
          <w:tcPr>
            <w:tcW w:w="583" w:type="dxa"/>
            <w:tcBorders>
              <w:top w:val="nil"/>
              <w:left w:val="nil"/>
              <w:bottom w:val="nil"/>
              <w:right w:val="nil"/>
            </w:tcBorders>
            <w:shd w:val="clear" w:color="auto" w:fill="auto"/>
            <w:noWrap/>
            <w:hideMark/>
          </w:tcPr>
          <w:p w14:paraId="60261136" w14:textId="77777777" w:rsidR="00BD53AF" w:rsidRPr="00B645C6" w:rsidRDefault="00BD53AF" w:rsidP="00387AE5">
            <w:pPr>
              <w:jc w:val="center"/>
              <w:rPr>
                <w:rFonts w:cs="Times New Roman"/>
                <w:b/>
                <w:color w:val="000000"/>
                <w:sz w:val="18"/>
                <w:szCs w:val="18"/>
              </w:rPr>
            </w:pPr>
            <w:r w:rsidRPr="00B645C6">
              <w:rPr>
                <w:b/>
                <w:color w:val="000000"/>
                <w:sz w:val="18"/>
                <w:szCs w:val="18"/>
              </w:rPr>
              <w:t>35,5</w:t>
            </w:r>
          </w:p>
        </w:tc>
        <w:tc>
          <w:tcPr>
            <w:tcW w:w="584" w:type="dxa"/>
            <w:tcBorders>
              <w:top w:val="nil"/>
              <w:left w:val="nil"/>
              <w:bottom w:val="nil"/>
              <w:right w:val="nil"/>
            </w:tcBorders>
            <w:shd w:val="clear" w:color="auto" w:fill="auto"/>
            <w:noWrap/>
            <w:hideMark/>
          </w:tcPr>
          <w:p w14:paraId="2F6F2C9E" w14:textId="77777777" w:rsidR="00BD53AF" w:rsidRPr="00B645C6" w:rsidRDefault="00BD53AF" w:rsidP="00387AE5">
            <w:pPr>
              <w:jc w:val="center"/>
              <w:rPr>
                <w:rFonts w:cs="Times New Roman"/>
                <w:b/>
                <w:color w:val="000000"/>
                <w:sz w:val="18"/>
                <w:szCs w:val="18"/>
              </w:rPr>
            </w:pPr>
            <w:r w:rsidRPr="00B645C6">
              <w:rPr>
                <w:b/>
                <w:color w:val="000000"/>
                <w:sz w:val="18"/>
                <w:szCs w:val="18"/>
              </w:rPr>
              <w:t>35,1</w:t>
            </w:r>
          </w:p>
        </w:tc>
        <w:tc>
          <w:tcPr>
            <w:tcW w:w="583" w:type="dxa"/>
            <w:tcBorders>
              <w:top w:val="nil"/>
              <w:left w:val="nil"/>
              <w:bottom w:val="nil"/>
              <w:right w:val="single" w:sz="8" w:space="0" w:color="auto"/>
            </w:tcBorders>
            <w:shd w:val="clear" w:color="auto" w:fill="auto"/>
            <w:noWrap/>
            <w:hideMark/>
          </w:tcPr>
          <w:p w14:paraId="570F87BB" w14:textId="77777777" w:rsidR="00BD53AF" w:rsidRPr="00B645C6" w:rsidRDefault="00BD53AF" w:rsidP="00387AE5">
            <w:pPr>
              <w:jc w:val="center"/>
              <w:rPr>
                <w:rFonts w:cs="Times New Roman"/>
                <w:b/>
                <w:color w:val="000000"/>
                <w:sz w:val="18"/>
                <w:szCs w:val="18"/>
              </w:rPr>
            </w:pPr>
            <w:r w:rsidRPr="00B645C6">
              <w:rPr>
                <w:b/>
                <w:color w:val="000000"/>
                <w:sz w:val="18"/>
                <w:szCs w:val="18"/>
              </w:rPr>
              <w:t>34,3</w:t>
            </w:r>
          </w:p>
        </w:tc>
        <w:tc>
          <w:tcPr>
            <w:tcW w:w="584" w:type="dxa"/>
            <w:tcBorders>
              <w:top w:val="nil"/>
              <w:left w:val="nil"/>
              <w:bottom w:val="nil"/>
              <w:right w:val="nil"/>
            </w:tcBorders>
            <w:shd w:val="clear" w:color="auto" w:fill="auto"/>
            <w:noWrap/>
            <w:hideMark/>
          </w:tcPr>
          <w:p w14:paraId="09D70513" w14:textId="77777777" w:rsidR="00BD53AF" w:rsidRPr="00B645C6" w:rsidRDefault="00BD53AF" w:rsidP="00387AE5">
            <w:pPr>
              <w:jc w:val="center"/>
              <w:rPr>
                <w:rFonts w:cs="Times New Roman"/>
                <w:b/>
                <w:color w:val="000000"/>
                <w:sz w:val="18"/>
                <w:szCs w:val="18"/>
              </w:rPr>
            </w:pPr>
            <w:r w:rsidRPr="00B645C6">
              <w:rPr>
                <w:b/>
                <w:color w:val="000000"/>
                <w:sz w:val="18"/>
                <w:szCs w:val="18"/>
              </w:rPr>
              <w:t>0,4</w:t>
            </w:r>
          </w:p>
        </w:tc>
        <w:tc>
          <w:tcPr>
            <w:tcW w:w="583" w:type="dxa"/>
            <w:tcBorders>
              <w:top w:val="nil"/>
              <w:left w:val="nil"/>
              <w:bottom w:val="nil"/>
              <w:right w:val="nil"/>
            </w:tcBorders>
            <w:shd w:val="clear" w:color="auto" w:fill="auto"/>
            <w:noWrap/>
            <w:hideMark/>
          </w:tcPr>
          <w:p w14:paraId="18EA7236" w14:textId="77777777" w:rsidR="00BD53AF" w:rsidRPr="00B645C6" w:rsidRDefault="00BD53AF" w:rsidP="00387AE5">
            <w:pPr>
              <w:jc w:val="center"/>
              <w:rPr>
                <w:rFonts w:cs="Times New Roman"/>
                <w:b/>
                <w:color w:val="000000"/>
                <w:sz w:val="18"/>
                <w:szCs w:val="18"/>
              </w:rPr>
            </w:pPr>
            <w:r w:rsidRPr="00B645C6">
              <w:rPr>
                <w:b/>
                <w:color w:val="000000"/>
                <w:sz w:val="18"/>
                <w:szCs w:val="18"/>
              </w:rPr>
              <w:t>0,4</w:t>
            </w:r>
          </w:p>
        </w:tc>
        <w:tc>
          <w:tcPr>
            <w:tcW w:w="584" w:type="dxa"/>
            <w:tcBorders>
              <w:top w:val="nil"/>
              <w:left w:val="nil"/>
              <w:bottom w:val="nil"/>
              <w:right w:val="nil"/>
            </w:tcBorders>
            <w:shd w:val="clear" w:color="auto" w:fill="auto"/>
            <w:noWrap/>
            <w:hideMark/>
          </w:tcPr>
          <w:p w14:paraId="752C3FF4" w14:textId="77777777" w:rsidR="00BD53AF" w:rsidRPr="00B645C6" w:rsidRDefault="00BD53AF" w:rsidP="00387AE5">
            <w:pPr>
              <w:jc w:val="center"/>
              <w:rPr>
                <w:rFonts w:cs="Times New Roman"/>
                <w:b/>
                <w:color w:val="000000"/>
                <w:sz w:val="18"/>
                <w:szCs w:val="18"/>
              </w:rPr>
            </w:pPr>
            <w:r w:rsidRPr="00B645C6">
              <w:rPr>
                <w:b/>
                <w:color w:val="000000"/>
                <w:sz w:val="18"/>
                <w:szCs w:val="18"/>
              </w:rPr>
              <w:t>0,2</w:t>
            </w:r>
          </w:p>
        </w:tc>
      </w:tr>
      <w:tr w:rsidR="00BD53AF" w:rsidRPr="00D67831" w14:paraId="44D710D2"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0386EEF1"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Kompenzácie zamestnancov</w:t>
            </w:r>
          </w:p>
        </w:tc>
        <w:tc>
          <w:tcPr>
            <w:tcW w:w="551" w:type="dxa"/>
            <w:tcBorders>
              <w:top w:val="nil"/>
              <w:left w:val="nil"/>
              <w:bottom w:val="nil"/>
              <w:right w:val="nil"/>
            </w:tcBorders>
            <w:shd w:val="clear" w:color="auto" w:fill="auto"/>
            <w:noWrap/>
            <w:hideMark/>
          </w:tcPr>
          <w:p w14:paraId="6A895257" w14:textId="77777777" w:rsidR="00BD53AF" w:rsidRPr="00D40162" w:rsidRDefault="00BD53AF" w:rsidP="00387AE5">
            <w:pPr>
              <w:jc w:val="center"/>
              <w:rPr>
                <w:rFonts w:cs="Times New Roman"/>
                <w:color w:val="000000"/>
                <w:sz w:val="16"/>
                <w:szCs w:val="16"/>
              </w:rPr>
            </w:pPr>
            <w:r w:rsidRPr="00D40162">
              <w:rPr>
                <w:sz w:val="16"/>
                <w:szCs w:val="16"/>
              </w:rPr>
              <w:t>9,4</w:t>
            </w:r>
          </w:p>
        </w:tc>
        <w:tc>
          <w:tcPr>
            <w:tcW w:w="583" w:type="dxa"/>
            <w:tcBorders>
              <w:top w:val="nil"/>
              <w:left w:val="single" w:sz="8" w:space="0" w:color="auto"/>
              <w:bottom w:val="nil"/>
              <w:right w:val="nil"/>
            </w:tcBorders>
            <w:shd w:val="clear" w:color="auto" w:fill="auto"/>
            <w:noWrap/>
            <w:hideMark/>
          </w:tcPr>
          <w:p w14:paraId="3128B5B0" w14:textId="77777777" w:rsidR="00BD53AF" w:rsidRPr="00D40162" w:rsidRDefault="00BD53AF" w:rsidP="00387AE5">
            <w:pPr>
              <w:jc w:val="center"/>
              <w:rPr>
                <w:rFonts w:cs="Times New Roman"/>
                <w:color w:val="000000"/>
                <w:sz w:val="16"/>
                <w:szCs w:val="16"/>
              </w:rPr>
            </w:pPr>
            <w:r>
              <w:rPr>
                <w:color w:val="000000"/>
                <w:sz w:val="18"/>
                <w:szCs w:val="18"/>
              </w:rPr>
              <w:t>9,2</w:t>
            </w:r>
          </w:p>
        </w:tc>
        <w:tc>
          <w:tcPr>
            <w:tcW w:w="583" w:type="dxa"/>
            <w:tcBorders>
              <w:top w:val="nil"/>
              <w:left w:val="nil"/>
              <w:bottom w:val="nil"/>
              <w:right w:val="nil"/>
            </w:tcBorders>
            <w:shd w:val="clear" w:color="auto" w:fill="auto"/>
            <w:noWrap/>
            <w:hideMark/>
          </w:tcPr>
          <w:p w14:paraId="01CEF1DD" w14:textId="77777777" w:rsidR="00BD53AF" w:rsidRPr="00D40162" w:rsidRDefault="00BD53AF" w:rsidP="00387AE5">
            <w:pPr>
              <w:jc w:val="center"/>
              <w:rPr>
                <w:rFonts w:cs="Times New Roman"/>
                <w:color w:val="000000"/>
                <w:sz w:val="16"/>
                <w:szCs w:val="16"/>
              </w:rPr>
            </w:pPr>
            <w:r>
              <w:rPr>
                <w:color w:val="000000"/>
                <w:sz w:val="18"/>
                <w:szCs w:val="18"/>
              </w:rPr>
              <w:t>9,2</w:t>
            </w:r>
          </w:p>
        </w:tc>
        <w:tc>
          <w:tcPr>
            <w:tcW w:w="584" w:type="dxa"/>
            <w:tcBorders>
              <w:top w:val="nil"/>
              <w:left w:val="nil"/>
              <w:bottom w:val="nil"/>
              <w:right w:val="single" w:sz="8" w:space="0" w:color="auto"/>
            </w:tcBorders>
            <w:shd w:val="clear" w:color="auto" w:fill="auto"/>
            <w:noWrap/>
            <w:hideMark/>
          </w:tcPr>
          <w:p w14:paraId="7B21655A" w14:textId="77777777" w:rsidR="00BD53AF" w:rsidRPr="00D40162" w:rsidRDefault="00BD53AF" w:rsidP="00387AE5">
            <w:pPr>
              <w:jc w:val="center"/>
              <w:rPr>
                <w:rFonts w:cs="Times New Roman"/>
                <w:color w:val="000000"/>
                <w:sz w:val="16"/>
                <w:szCs w:val="16"/>
              </w:rPr>
            </w:pPr>
            <w:r>
              <w:rPr>
                <w:color w:val="000000"/>
                <w:sz w:val="18"/>
                <w:szCs w:val="18"/>
              </w:rPr>
              <w:t>9,2</w:t>
            </w:r>
          </w:p>
        </w:tc>
        <w:tc>
          <w:tcPr>
            <w:tcW w:w="583" w:type="dxa"/>
            <w:tcBorders>
              <w:top w:val="nil"/>
              <w:left w:val="nil"/>
              <w:bottom w:val="nil"/>
              <w:right w:val="nil"/>
            </w:tcBorders>
            <w:shd w:val="clear" w:color="auto" w:fill="auto"/>
            <w:noWrap/>
            <w:hideMark/>
          </w:tcPr>
          <w:p w14:paraId="4B3A2522" w14:textId="77777777" w:rsidR="00BD53AF" w:rsidRPr="00D40162" w:rsidRDefault="00BD53AF" w:rsidP="00387AE5">
            <w:pPr>
              <w:jc w:val="center"/>
              <w:rPr>
                <w:rFonts w:cs="Times New Roman"/>
                <w:color w:val="000000"/>
                <w:sz w:val="16"/>
                <w:szCs w:val="16"/>
              </w:rPr>
            </w:pPr>
            <w:r>
              <w:rPr>
                <w:color w:val="000000"/>
                <w:sz w:val="18"/>
                <w:szCs w:val="18"/>
              </w:rPr>
              <w:t>9,5</w:t>
            </w:r>
          </w:p>
        </w:tc>
        <w:tc>
          <w:tcPr>
            <w:tcW w:w="584" w:type="dxa"/>
            <w:tcBorders>
              <w:top w:val="nil"/>
              <w:left w:val="nil"/>
              <w:bottom w:val="nil"/>
              <w:right w:val="nil"/>
            </w:tcBorders>
            <w:shd w:val="clear" w:color="auto" w:fill="auto"/>
            <w:noWrap/>
            <w:hideMark/>
          </w:tcPr>
          <w:p w14:paraId="10AF6870" w14:textId="77777777" w:rsidR="00BD53AF" w:rsidRPr="00D40162" w:rsidRDefault="00BD53AF" w:rsidP="00387AE5">
            <w:pPr>
              <w:jc w:val="center"/>
              <w:rPr>
                <w:rFonts w:cs="Times New Roman"/>
                <w:color w:val="000000"/>
                <w:sz w:val="16"/>
                <w:szCs w:val="16"/>
              </w:rPr>
            </w:pPr>
            <w:r>
              <w:rPr>
                <w:color w:val="000000"/>
                <w:sz w:val="18"/>
                <w:szCs w:val="18"/>
              </w:rPr>
              <w:t>9,4</w:t>
            </w:r>
          </w:p>
        </w:tc>
        <w:tc>
          <w:tcPr>
            <w:tcW w:w="583" w:type="dxa"/>
            <w:tcBorders>
              <w:top w:val="nil"/>
              <w:left w:val="nil"/>
              <w:bottom w:val="nil"/>
              <w:right w:val="single" w:sz="8" w:space="0" w:color="auto"/>
            </w:tcBorders>
            <w:shd w:val="clear" w:color="auto" w:fill="auto"/>
            <w:noWrap/>
            <w:hideMark/>
          </w:tcPr>
          <w:p w14:paraId="3446576C" w14:textId="77777777" w:rsidR="00BD53AF" w:rsidRPr="00D40162" w:rsidRDefault="00BD53AF" w:rsidP="00387AE5">
            <w:pPr>
              <w:jc w:val="center"/>
              <w:rPr>
                <w:rFonts w:cs="Times New Roman"/>
                <w:color w:val="000000"/>
                <w:sz w:val="16"/>
                <w:szCs w:val="16"/>
              </w:rPr>
            </w:pPr>
            <w:r>
              <w:rPr>
                <w:color w:val="000000"/>
                <w:sz w:val="18"/>
                <w:szCs w:val="18"/>
              </w:rPr>
              <w:t>9,2</w:t>
            </w:r>
          </w:p>
        </w:tc>
        <w:tc>
          <w:tcPr>
            <w:tcW w:w="584" w:type="dxa"/>
            <w:tcBorders>
              <w:top w:val="nil"/>
              <w:left w:val="nil"/>
              <w:bottom w:val="nil"/>
              <w:right w:val="nil"/>
            </w:tcBorders>
            <w:shd w:val="clear" w:color="auto" w:fill="auto"/>
            <w:noWrap/>
            <w:hideMark/>
          </w:tcPr>
          <w:p w14:paraId="09948FB2" w14:textId="77777777" w:rsidR="00BD53AF" w:rsidRPr="00D40162" w:rsidRDefault="00BD53AF" w:rsidP="00387AE5">
            <w:pPr>
              <w:jc w:val="center"/>
              <w:rPr>
                <w:rFonts w:cs="Times New Roman"/>
                <w:color w:val="000000"/>
                <w:sz w:val="16"/>
                <w:szCs w:val="16"/>
              </w:rPr>
            </w:pPr>
            <w:r>
              <w:rPr>
                <w:color w:val="000000"/>
                <w:sz w:val="18"/>
                <w:szCs w:val="18"/>
              </w:rPr>
              <w:t>0,3</w:t>
            </w:r>
          </w:p>
        </w:tc>
        <w:tc>
          <w:tcPr>
            <w:tcW w:w="583" w:type="dxa"/>
            <w:tcBorders>
              <w:top w:val="nil"/>
              <w:left w:val="nil"/>
              <w:bottom w:val="nil"/>
              <w:right w:val="nil"/>
            </w:tcBorders>
            <w:shd w:val="clear" w:color="auto" w:fill="auto"/>
            <w:noWrap/>
            <w:hideMark/>
          </w:tcPr>
          <w:p w14:paraId="235961C1"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4" w:type="dxa"/>
            <w:tcBorders>
              <w:top w:val="nil"/>
              <w:left w:val="nil"/>
              <w:bottom w:val="nil"/>
              <w:right w:val="nil"/>
            </w:tcBorders>
            <w:shd w:val="clear" w:color="auto" w:fill="auto"/>
            <w:noWrap/>
            <w:hideMark/>
          </w:tcPr>
          <w:p w14:paraId="3707E488" w14:textId="77777777" w:rsidR="00BD53AF" w:rsidRPr="00D40162" w:rsidRDefault="00BD53AF" w:rsidP="00387AE5">
            <w:pPr>
              <w:jc w:val="center"/>
              <w:rPr>
                <w:rFonts w:cs="Times New Roman"/>
                <w:color w:val="000000"/>
                <w:sz w:val="16"/>
                <w:szCs w:val="16"/>
              </w:rPr>
            </w:pPr>
            <w:r>
              <w:rPr>
                <w:color w:val="000000"/>
                <w:sz w:val="18"/>
                <w:szCs w:val="18"/>
              </w:rPr>
              <w:t>0,0</w:t>
            </w:r>
          </w:p>
        </w:tc>
      </w:tr>
      <w:tr w:rsidR="00BD53AF" w:rsidRPr="00D67831" w14:paraId="4D495866"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09AD12D9"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Medzispotreba</w:t>
            </w:r>
          </w:p>
        </w:tc>
        <w:tc>
          <w:tcPr>
            <w:tcW w:w="551" w:type="dxa"/>
            <w:tcBorders>
              <w:top w:val="nil"/>
              <w:left w:val="nil"/>
              <w:bottom w:val="nil"/>
              <w:right w:val="nil"/>
            </w:tcBorders>
            <w:shd w:val="clear" w:color="auto" w:fill="auto"/>
            <w:noWrap/>
            <w:hideMark/>
          </w:tcPr>
          <w:p w14:paraId="4FB8B80B" w14:textId="77777777" w:rsidR="00BD53AF" w:rsidRPr="00D40162" w:rsidRDefault="00BD53AF" w:rsidP="00387AE5">
            <w:pPr>
              <w:jc w:val="center"/>
              <w:rPr>
                <w:rFonts w:cs="Times New Roman"/>
                <w:color w:val="000000"/>
                <w:sz w:val="16"/>
                <w:szCs w:val="16"/>
              </w:rPr>
            </w:pPr>
            <w:r w:rsidRPr="00D40162">
              <w:rPr>
                <w:sz w:val="16"/>
                <w:szCs w:val="16"/>
              </w:rPr>
              <w:t>5,5</w:t>
            </w:r>
          </w:p>
        </w:tc>
        <w:tc>
          <w:tcPr>
            <w:tcW w:w="583" w:type="dxa"/>
            <w:tcBorders>
              <w:top w:val="nil"/>
              <w:left w:val="single" w:sz="8" w:space="0" w:color="auto"/>
              <w:bottom w:val="nil"/>
              <w:right w:val="nil"/>
            </w:tcBorders>
            <w:shd w:val="clear" w:color="auto" w:fill="auto"/>
            <w:noWrap/>
            <w:hideMark/>
          </w:tcPr>
          <w:p w14:paraId="7C795416" w14:textId="77777777" w:rsidR="00BD53AF" w:rsidRPr="00D40162" w:rsidRDefault="00BD53AF" w:rsidP="00387AE5">
            <w:pPr>
              <w:jc w:val="center"/>
              <w:rPr>
                <w:rFonts w:cs="Times New Roman"/>
                <w:color w:val="000000"/>
                <w:sz w:val="16"/>
                <w:szCs w:val="16"/>
              </w:rPr>
            </w:pPr>
            <w:r>
              <w:rPr>
                <w:color w:val="000000"/>
                <w:sz w:val="18"/>
                <w:szCs w:val="18"/>
              </w:rPr>
              <w:t>5,1</w:t>
            </w:r>
          </w:p>
        </w:tc>
        <w:tc>
          <w:tcPr>
            <w:tcW w:w="583" w:type="dxa"/>
            <w:tcBorders>
              <w:top w:val="nil"/>
              <w:left w:val="nil"/>
              <w:bottom w:val="nil"/>
              <w:right w:val="nil"/>
            </w:tcBorders>
            <w:shd w:val="clear" w:color="auto" w:fill="auto"/>
            <w:noWrap/>
            <w:hideMark/>
          </w:tcPr>
          <w:p w14:paraId="559BC4E1" w14:textId="77777777" w:rsidR="00BD53AF" w:rsidRPr="00D40162" w:rsidRDefault="00BD53AF" w:rsidP="00387AE5">
            <w:pPr>
              <w:jc w:val="center"/>
              <w:rPr>
                <w:rFonts w:cs="Times New Roman"/>
                <w:color w:val="000000"/>
                <w:sz w:val="16"/>
                <w:szCs w:val="16"/>
              </w:rPr>
            </w:pPr>
            <w:r>
              <w:rPr>
                <w:color w:val="000000"/>
                <w:sz w:val="18"/>
                <w:szCs w:val="18"/>
              </w:rPr>
              <w:t>4,9</w:t>
            </w:r>
          </w:p>
        </w:tc>
        <w:tc>
          <w:tcPr>
            <w:tcW w:w="584" w:type="dxa"/>
            <w:tcBorders>
              <w:top w:val="nil"/>
              <w:left w:val="nil"/>
              <w:bottom w:val="nil"/>
              <w:right w:val="single" w:sz="8" w:space="0" w:color="auto"/>
            </w:tcBorders>
            <w:shd w:val="clear" w:color="auto" w:fill="auto"/>
            <w:noWrap/>
            <w:hideMark/>
          </w:tcPr>
          <w:p w14:paraId="53DCD35D" w14:textId="77777777" w:rsidR="00BD53AF" w:rsidRPr="00D40162" w:rsidRDefault="00BD53AF" w:rsidP="00387AE5">
            <w:pPr>
              <w:jc w:val="center"/>
              <w:rPr>
                <w:rFonts w:cs="Times New Roman"/>
                <w:color w:val="000000"/>
                <w:sz w:val="16"/>
                <w:szCs w:val="16"/>
              </w:rPr>
            </w:pPr>
            <w:r>
              <w:rPr>
                <w:color w:val="000000"/>
                <w:sz w:val="18"/>
                <w:szCs w:val="18"/>
              </w:rPr>
              <w:t>4,8</w:t>
            </w:r>
          </w:p>
        </w:tc>
        <w:tc>
          <w:tcPr>
            <w:tcW w:w="583" w:type="dxa"/>
            <w:tcBorders>
              <w:top w:val="nil"/>
              <w:left w:val="nil"/>
              <w:bottom w:val="nil"/>
              <w:right w:val="nil"/>
            </w:tcBorders>
            <w:shd w:val="clear" w:color="auto" w:fill="auto"/>
            <w:noWrap/>
            <w:hideMark/>
          </w:tcPr>
          <w:p w14:paraId="59A578A4" w14:textId="77777777" w:rsidR="00BD53AF" w:rsidRPr="00D40162" w:rsidRDefault="00BD53AF" w:rsidP="00387AE5">
            <w:pPr>
              <w:jc w:val="center"/>
              <w:rPr>
                <w:rFonts w:cs="Times New Roman"/>
                <w:color w:val="000000"/>
                <w:sz w:val="16"/>
                <w:szCs w:val="16"/>
              </w:rPr>
            </w:pPr>
            <w:r>
              <w:rPr>
                <w:color w:val="000000"/>
                <w:sz w:val="18"/>
                <w:szCs w:val="18"/>
              </w:rPr>
              <w:t>5,0</w:t>
            </w:r>
          </w:p>
        </w:tc>
        <w:tc>
          <w:tcPr>
            <w:tcW w:w="584" w:type="dxa"/>
            <w:tcBorders>
              <w:top w:val="nil"/>
              <w:left w:val="nil"/>
              <w:bottom w:val="nil"/>
              <w:right w:val="nil"/>
            </w:tcBorders>
            <w:shd w:val="clear" w:color="auto" w:fill="auto"/>
            <w:noWrap/>
            <w:hideMark/>
          </w:tcPr>
          <w:p w14:paraId="3C120DF6" w14:textId="77777777" w:rsidR="00BD53AF" w:rsidRPr="00D40162" w:rsidRDefault="00BD53AF" w:rsidP="00387AE5">
            <w:pPr>
              <w:jc w:val="center"/>
              <w:rPr>
                <w:rFonts w:cs="Times New Roman"/>
                <w:color w:val="000000"/>
                <w:sz w:val="16"/>
                <w:szCs w:val="16"/>
              </w:rPr>
            </w:pPr>
            <w:r>
              <w:rPr>
                <w:color w:val="000000"/>
                <w:sz w:val="18"/>
                <w:szCs w:val="18"/>
              </w:rPr>
              <w:t>5,1</w:t>
            </w:r>
          </w:p>
        </w:tc>
        <w:tc>
          <w:tcPr>
            <w:tcW w:w="583" w:type="dxa"/>
            <w:tcBorders>
              <w:top w:val="nil"/>
              <w:left w:val="nil"/>
              <w:bottom w:val="nil"/>
              <w:right w:val="single" w:sz="8" w:space="0" w:color="auto"/>
            </w:tcBorders>
            <w:shd w:val="clear" w:color="auto" w:fill="auto"/>
            <w:noWrap/>
            <w:hideMark/>
          </w:tcPr>
          <w:p w14:paraId="1BAE5CCD" w14:textId="77777777" w:rsidR="00BD53AF" w:rsidRPr="00D40162" w:rsidRDefault="00BD53AF" w:rsidP="00387AE5">
            <w:pPr>
              <w:jc w:val="center"/>
              <w:rPr>
                <w:rFonts w:cs="Times New Roman"/>
                <w:color w:val="000000"/>
                <w:sz w:val="16"/>
                <w:szCs w:val="16"/>
              </w:rPr>
            </w:pPr>
            <w:r>
              <w:rPr>
                <w:color w:val="000000"/>
                <w:sz w:val="18"/>
                <w:szCs w:val="18"/>
              </w:rPr>
              <w:t>4,9</w:t>
            </w:r>
          </w:p>
        </w:tc>
        <w:tc>
          <w:tcPr>
            <w:tcW w:w="584" w:type="dxa"/>
            <w:tcBorders>
              <w:top w:val="nil"/>
              <w:left w:val="nil"/>
              <w:bottom w:val="nil"/>
              <w:right w:val="nil"/>
            </w:tcBorders>
            <w:shd w:val="clear" w:color="auto" w:fill="auto"/>
            <w:noWrap/>
            <w:hideMark/>
          </w:tcPr>
          <w:p w14:paraId="0B2AF46D"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3" w:type="dxa"/>
            <w:tcBorders>
              <w:top w:val="nil"/>
              <w:left w:val="nil"/>
              <w:bottom w:val="nil"/>
              <w:right w:val="nil"/>
            </w:tcBorders>
            <w:shd w:val="clear" w:color="auto" w:fill="auto"/>
            <w:noWrap/>
            <w:hideMark/>
          </w:tcPr>
          <w:p w14:paraId="09EFA5CF"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4" w:type="dxa"/>
            <w:tcBorders>
              <w:top w:val="nil"/>
              <w:left w:val="nil"/>
              <w:bottom w:val="nil"/>
              <w:right w:val="nil"/>
            </w:tcBorders>
            <w:shd w:val="clear" w:color="auto" w:fill="auto"/>
            <w:noWrap/>
            <w:hideMark/>
          </w:tcPr>
          <w:p w14:paraId="49B8B01E"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D67831" w14:paraId="76BF06AC"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11D1114E"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Subvencie</w:t>
            </w:r>
          </w:p>
        </w:tc>
        <w:tc>
          <w:tcPr>
            <w:tcW w:w="551" w:type="dxa"/>
            <w:tcBorders>
              <w:top w:val="nil"/>
              <w:left w:val="nil"/>
              <w:bottom w:val="nil"/>
              <w:right w:val="nil"/>
            </w:tcBorders>
            <w:shd w:val="clear" w:color="auto" w:fill="auto"/>
            <w:noWrap/>
            <w:hideMark/>
          </w:tcPr>
          <w:p w14:paraId="1C91A56B" w14:textId="77777777" w:rsidR="00BD53AF" w:rsidRPr="00D40162" w:rsidRDefault="00BD53AF" w:rsidP="00387AE5">
            <w:pPr>
              <w:jc w:val="center"/>
              <w:rPr>
                <w:rFonts w:cs="Times New Roman"/>
                <w:color w:val="000000"/>
                <w:sz w:val="16"/>
                <w:szCs w:val="16"/>
              </w:rPr>
            </w:pPr>
            <w:r w:rsidRPr="00D40162">
              <w:rPr>
                <w:sz w:val="16"/>
                <w:szCs w:val="16"/>
              </w:rPr>
              <w:t>0,5</w:t>
            </w:r>
          </w:p>
        </w:tc>
        <w:tc>
          <w:tcPr>
            <w:tcW w:w="583" w:type="dxa"/>
            <w:tcBorders>
              <w:top w:val="nil"/>
              <w:left w:val="single" w:sz="8" w:space="0" w:color="auto"/>
              <w:bottom w:val="nil"/>
              <w:right w:val="nil"/>
            </w:tcBorders>
            <w:shd w:val="clear" w:color="auto" w:fill="auto"/>
            <w:noWrap/>
            <w:hideMark/>
          </w:tcPr>
          <w:p w14:paraId="1A83C9AC" w14:textId="77777777" w:rsidR="00BD53AF" w:rsidRPr="00D40162" w:rsidRDefault="00BD53AF" w:rsidP="00387AE5">
            <w:pPr>
              <w:jc w:val="center"/>
              <w:rPr>
                <w:rFonts w:cs="Times New Roman"/>
                <w:color w:val="000000"/>
                <w:sz w:val="16"/>
                <w:szCs w:val="16"/>
              </w:rPr>
            </w:pPr>
            <w:r>
              <w:rPr>
                <w:color w:val="000000"/>
                <w:sz w:val="18"/>
                <w:szCs w:val="18"/>
              </w:rPr>
              <w:t>0,5</w:t>
            </w:r>
          </w:p>
        </w:tc>
        <w:tc>
          <w:tcPr>
            <w:tcW w:w="583" w:type="dxa"/>
            <w:tcBorders>
              <w:top w:val="nil"/>
              <w:left w:val="nil"/>
              <w:bottom w:val="nil"/>
              <w:right w:val="nil"/>
            </w:tcBorders>
            <w:shd w:val="clear" w:color="auto" w:fill="auto"/>
            <w:noWrap/>
            <w:hideMark/>
          </w:tcPr>
          <w:p w14:paraId="4CDC901E" w14:textId="77777777" w:rsidR="00BD53AF" w:rsidRPr="00D40162" w:rsidRDefault="00BD53AF" w:rsidP="00387AE5">
            <w:pPr>
              <w:jc w:val="center"/>
              <w:rPr>
                <w:rFonts w:cs="Times New Roman"/>
                <w:color w:val="000000"/>
                <w:sz w:val="16"/>
                <w:szCs w:val="16"/>
              </w:rPr>
            </w:pPr>
            <w:r>
              <w:rPr>
                <w:color w:val="000000"/>
                <w:sz w:val="18"/>
                <w:szCs w:val="18"/>
              </w:rPr>
              <w:t>0,5</w:t>
            </w:r>
          </w:p>
        </w:tc>
        <w:tc>
          <w:tcPr>
            <w:tcW w:w="584" w:type="dxa"/>
            <w:tcBorders>
              <w:top w:val="nil"/>
              <w:left w:val="nil"/>
              <w:bottom w:val="nil"/>
              <w:right w:val="single" w:sz="8" w:space="0" w:color="auto"/>
            </w:tcBorders>
            <w:shd w:val="clear" w:color="auto" w:fill="auto"/>
            <w:noWrap/>
            <w:hideMark/>
          </w:tcPr>
          <w:p w14:paraId="4491B76C" w14:textId="77777777" w:rsidR="00BD53AF" w:rsidRPr="00D40162" w:rsidRDefault="00BD53AF" w:rsidP="00387AE5">
            <w:pPr>
              <w:jc w:val="center"/>
              <w:rPr>
                <w:rFonts w:cs="Times New Roman"/>
                <w:color w:val="000000"/>
                <w:sz w:val="16"/>
                <w:szCs w:val="16"/>
              </w:rPr>
            </w:pPr>
            <w:r>
              <w:rPr>
                <w:color w:val="000000"/>
                <w:sz w:val="18"/>
                <w:szCs w:val="18"/>
              </w:rPr>
              <w:t>0,4</w:t>
            </w:r>
          </w:p>
        </w:tc>
        <w:tc>
          <w:tcPr>
            <w:tcW w:w="583" w:type="dxa"/>
            <w:tcBorders>
              <w:top w:val="nil"/>
              <w:left w:val="nil"/>
              <w:bottom w:val="nil"/>
              <w:right w:val="nil"/>
            </w:tcBorders>
            <w:shd w:val="clear" w:color="auto" w:fill="auto"/>
            <w:noWrap/>
            <w:hideMark/>
          </w:tcPr>
          <w:p w14:paraId="253692FC" w14:textId="77777777" w:rsidR="00BD53AF" w:rsidRPr="00D40162" w:rsidRDefault="00BD53AF" w:rsidP="00387AE5">
            <w:pPr>
              <w:jc w:val="center"/>
              <w:rPr>
                <w:rFonts w:cs="Times New Roman"/>
                <w:color w:val="000000"/>
                <w:sz w:val="16"/>
                <w:szCs w:val="16"/>
              </w:rPr>
            </w:pPr>
            <w:r>
              <w:rPr>
                <w:color w:val="000000"/>
                <w:sz w:val="18"/>
                <w:szCs w:val="18"/>
              </w:rPr>
              <w:t>0,5</w:t>
            </w:r>
          </w:p>
        </w:tc>
        <w:tc>
          <w:tcPr>
            <w:tcW w:w="584" w:type="dxa"/>
            <w:tcBorders>
              <w:top w:val="nil"/>
              <w:left w:val="nil"/>
              <w:bottom w:val="nil"/>
              <w:right w:val="nil"/>
            </w:tcBorders>
            <w:shd w:val="clear" w:color="auto" w:fill="auto"/>
            <w:noWrap/>
            <w:hideMark/>
          </w:tcPr>
          <w:p w14:paraId="39B1A4D7" w14:textId="77777777" w:rsidR="00BD53AF" w:rsidRPr="00D40162" w:rsidRDefault="00BD53AF" w:rsidP="00387AE5">
            <w:pPr>
              <w:jc w:val="center"/>
              <w:rPr>
                <w:rFonts w:cs="Times New Roman"/>
                <w:color w:val="000000"/>
                <w:sz w:val="16"/>
                <w:szCs w:val="16"/>
              </w:rPr>
            </w:pPr>
            <w:r>
              <w:rPr>
                <w:color w:val="000000"/>
                <w:sz w:val="18"/>
                <w:szCs w:val="18"/>
              </w:rPr>
              <w:t>0,5</w:t>
            </w:r>
          </w:p>
        </w:tc>
        <w:tc>
          <w:tcPr>
            <w:tcW w:w="583" w:type="dxa"/>
            <w:tcBorders>
              <w:top w:val="nil"/>
              <w:left w:val="nil"/>
              <w:bottom w:val="nil"/>
              <w:right w:val="single" w:sz="8" w:space="0" w:color="auto"/>
            </w:tcBorders>
            <w:shd w:val="clear" w:color="auto" w:fill="auto"/>
            <w:noWrap/>
            <w:hideMark/>
          </w:tcPr>
          <w:p w14:paraId="6F0D9708" w14:textId="77777777" w:rsidR="00BD53AF" w:rsidRPr="00D40162" w:rsidRDefault="00BD53AF" w:rsidP="00387AE5">
            <w:pPr>
              <w:jc w:val="center"/>
              <w:rPr>
                <w:rFonts w:cs="Times New Roman"/>
                <w:color w:val="000000"/>
                <w:sz w:val="16"/>
                <w:szCs w:val="16"/>
              </w:rPr>
            </w:pPr>
            <w:r>
              <w:rPr>
                <w:color w:val="000000"/>
                <w:sz w:val="18"/>
                <w:szCs w:val="18"/>
              </w:rPr>
              <w:t>0,4</w:t>
            </w:r>
          </w:p>
        </w:tc>
        <w:tc>
          <w:tcPr>
            <w:tcW w:w="584" w:type="dxa"/>
            <w:tcBorders>
              <w:top w:val="nil"/>
              <w:left w:val="nil"/>
              <w:bottom w:val="nil"/>
              <w:right w:val="nil"/>
            </w:tcBorders>
            <w:shd w:val="clear" w:color="auto" w:fill="auto"/>
            <w:noWrap/>
            <w:hideMark/>
          </w:tcPr>
          <w:p w14:paraId="77680052"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3" w:type="dxa"/>
            <w:tcBorders>
              <w:top w:val="nil"/>
              <w:left w:val="nil"/>
              <w:bottom w:val="nil"/>
              <w:right w:val="nil"/>
            </w:tcBorders>
            <w:shd w:val="clear" w:color="auto" w:fill="auto"/>
            <w:noWrap/>
            <w:hideMark/>
          </w:tcPr>
          <w:p w14:paraId="6BE131B6"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4" w:type="dxa"/>
            <w:tcBorders>
              <w:top w:val="nil"/>
              <w:left w:val="nil"/>
              <w:bottom w:val="nil"/>
              <w:right w:val="nil"/>
            </w:tcBorders>
            <w:shd w:val="clear" w:color="auto" w:fill="auto"/>
            <w:noWrap/>
            <w:hideMark/>
          </w:tcPr>
          <w:p w14:paraId="393D10EC" w14:textId="77777777" w:rsidR="00BD53AF" w:rsidRPr="00D40162" w:rsidRDefault="00BD53AF" w:rsidP="00387AE5">
            <w:pPr>
              <w:jc w:val="center"/>
              <w:rPr>
                <w:rFonts w:cs="Times New Roman"/>
                <w:color w:val="000000"/>
                <w:sz w:val="16"/>
                <w:szCs w:val="16"/>
              </w:rPr>
            </w:pPr>
            <w:r>
              <w:rPr>
                <w:color w:val="000000"/>
                <w:sz w:val="18"/>
                <w:szCs w:val="18"/>
              </w:rPr>
              <w:t>0,0</w:t>
            </w:r>
          </w:p>
        </w:tc>
      </w:tr>
      <w:tr w:rsidR="00BD53AF" w:rsidRPr="00D67831" w14:paraId="3BCCE007"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196FE5A1"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Úrokové náklady</w:t>
            </w:r>
          </w:p>
        </w:tc>
        <w:tc>
          <w:tcPr>
            <w:tcW w:w="551" w:type="dxa"/>
            <w:tcBorders>
              <w:top w:val="nil"/>
              <w:left w:val="nil"/>
              <w:bottom w:val="nil"/>
              <w:right w:val="nil"/>
            </w:tcBorders>
            <w:shd w:val="clear" w:color="auto" w:fill="auto"/>
            <w:noWrap/>
            <w:hideMark/>
          </w:tcPr>
          <w:p w14:paraId="74C90FC0" w14:textId="77777777" w:rsidR="00BD53AF" w:rsidRPr="00D40162" w:rsidRDefault="00BD53AF" w:rsidP="00387AE5">
            <w:pPr>
              <w:jc w:val="center"/>
              <w:rPr>
                <w:rFonts w:cs="Times New Roman"/>
                <w:color w:val="000000"/>
                <w:sz w:val="16"/>
                <w:szCs w:val="16"/>
              </w:rPr>
            </w:pPr>
            <w:r w:rsidRPr="00D40162">
              <w:rPr>
                <w:sz w:val="16"/>
                <w:szCs w:val="16"/>
              </w:rPr>
              <w:t>1,2</w:t>
            </w:r>
          </w:p>
        </w:tc>
        <w:tc>
          <w:tcPr>
            <w:tcW w:w="583" w:type="dxa"/>
            <w:tcBorders>
              <w:top w:val="nil"/>
              <w:left w:val="single" w:sz="8" w:space="0" w:color="auto"/>
              <w:bottom w:val="nil"/>
              <w:right w:val="nil"/>
            </w:tcBorders>
            <w:shd w:val="clear" w:color="auto" w:fill="auto"/>
            <w:noWrap/>
            <w:hideMark/>
          </w:tcPr>
          <w:p w14:paraId="606E36C7" w14:textId="77777777" w:rsidR="00BD53AF" w:rsidRPr="00D40162" w:rsidRDefault="00BD53AF" w:rsidP="00387AE5">
            <w:pPr>
              <w:jc w:val="center"/>
              <w:rPr>
                <w:rFonts w:cs="Times New Roman"/>
                <w:color w:val="000000"/>
                <w:sz w:val="16"/>
                <w:szCs w:val="16"/>
              </w:rPr>
            </w:pPr>
            <w:r>
              <w:rPr>
                <w:color w:val="000000"/>
                <w:sz w:val="18"/>
                <w:szCs w:val="18"/>
              </w:rPr>
              <w:t>1,1</w:t>
            </w:r>
          </w:p>
        </w:tc>
        <w:tc>
          <w:tcPr>
            <w:tcW w:w="583" w:type="dxa"/>
            <w:tcBorders>
              <w:top w:val="nil"/>
              <w:left w:val="nil"/>
              <w:bottom w:val="nil"/>
              <w:right w:val="nil"/>
            </w:tcBorders>
            <w:shd w:val="clear" w:color="auto" w:fill="auto"/>
            <w:noWrap/>
            <w:hideMark/>
          </w:tcPr>
          <w:p w14:paraId="7F385E36" w14:textId="77777777" w:rsidR="00BD53AF" w:rsidRPr="00D40162" w:rsidRDefault="00BD53AF" w:rsidP="00387AE5">
            <w:pPr>
              <w:jc w:val="center"/>
              <w:rPr>
                <w:rFonts w:cs="Times New Roman"/>
                <w:color w:val="000000"/>
                <w:sz w:val="16"/>
                <w:szCs w:val="16"/>
              </w:rPr>
            </w:pPr>
            <w:r>
              <w:rPr>
                <w:color w:val="000000"/>
                <w:sz w:val="18"/>
                <w:szCs w:val="18"/>
              </w:rPr>
              <w:t>1,0</w:t>
            </w:r>
          </w:p>
        </w:tc>
        <w:tc>
          <w:tcPr>
            <w:tcW w:w="584" w:type="dxa"/>
            <w:tcBorders>
              <w:top w:val="nil"/>
              <w:left w:val="nil"/>
              <w:bottom w:val="nil"/>
              <w:right w:val="single" w:sz="8" w:space="0" w:color="auto"/>
            </w:tcBorders>
            <w:shd w:val="clear" w:color="auto" w:fill="auto"/>
            <w:noWrap/>
            <w:hideMark/>
          </w:tcPr>
          <w:p w14:paraId="3083295E" w14:textId="77777777" w:rsidR="00BD53AF" w:rsidRPr="00D40162" w:rsidRDefault="00BD53AF" w:rsidP="00387AE5">
            <w:pPr>
              <w:jc w:val="center"/>
              <w:rPr>
                <w:rFonts w:cs="Times New Roman"/>
                <w:color w:val="000000"/>
                <w:sz w:val="16"/>
                <w:szCs w:val="16"/>
              </w:rPr>
            </w:pPr>
            <w:r>
              <w:rPr>
                <w:color w:val="000000"/>
                <w:sz w:val="18"/>
                <w:szCs w:val="18"/>
              </w:rPr>
              <w:t>1,0</w:t>
            </w:r>
          </w:p>
        </w:tc>
        <w:tc>
          <w:tcPr>
            <w:tcW w:w="583" w:type="dxa"/>
            <w:tcBorders>
              <w:top w:val="nil"/>
              <w:left w:val="nil"/>
              <w:bottom w:val="nil"/>
              <w:right w:val="nil"/>
            </w:tcBorders>
            <w:shd w:val="clear" w:color="auto" w:fill="auto"/>
            <w:noWrap/>
            <w:hideMark/>
          </w:tcPr>
          <w:p w14:paraId="32D6B66B" w14:textId="77777777" w:rsidR="00BD53AF" w:rsidRPr="00D40162" w:rsidRDefault="00BD53AF" w:rsidP="00387AE5">
            <w:pPr>
              <w:jc w:val="center"/>
              <w:rPr>
                <w:rFonts w:cs="Times New Roman"/>
                <w:color w:val="000000"/>
                <w:sz w:val="16"/>
                <w:szCs w:val="16"/>
              </w:rPr>
            </w:pPr>
            <w:r>
              <w:rPr>
                <w:color w:val="000000"/>
                <w:sz w:val="18"/>
                <w:szCs w:val="18"/>
              </w:rPr>
              <w:t>1,1</w:t>
            </w:r>
          </w:p>
        </w:tc>
        <w:tc>
          <w:tcPr>
            <w:tcW w:w="584" w:type="dxa"/>
            <w:tcBorders>
              <w:top w:val="nil"/>
              <w:left w:val="nil"/>
              <w:bottom w:val="nil"/>
              <w:right w:val="nil"/>
            </w:tcBorders>
            <w:shd w:val="clear" w:color="auto" w:fill="auto"/>
            <w:noWrap/>
            <w:hideMark/>
          </w:tcPr>
          <w:p w14:paraId="7220F458" w14:textId="77777777" w:rsidR="00BD53AF" w:rsidRPr="00D40162" w:rsidRDefault="00BD53AF" w:rsidP="00387AE5">
            <w:pPr>
              <w:jc w:val="center"/>
              <w:rPr>
                <w:rFonts w:cs="Times New Roman"/>
                <w:color w:val="000000"/>
                <w:sz w:val="16"/>
                <w:szCs w:val="16"/>
              </w:rPr>
            </w:pPr>
            <w:r>
              <w:rPr>
                <w:color w:val="000000"/>
                <w:sz w:val="18"/>
                <w:szCs w:val="18"/>
              </w:rPr>
              <w:t>1,0</w:t>
            </w:r>
          </w:p>
        </w:tc>
        <w:tc>
          <w:tcPr>
            <w:tcW w:w="583" w:type="dxa"/>
            <w:tcBorders>
              <w:top w:val="nil"/>
              <w:left w:val="nil"/>
              <w:bottom w:val="nil"/>
              <w:right w:val="single" w:sz="8" w:space="0" w:color="auto"/>
            </w:tcBorders>
            <w:shd w:val="clear" w:color="auto" w:fill="auto"/>
            <w:noWrap/>
            <w:hideMark/>
          </w:tcPr>
          <w:p w14:paraId="754ACD20" w14:textId="77777777" w:rsidR="00BD53AF" w:rsidRPr="00D40162" w:rsidRDefault="00BD53AF" w:rsidP="00387AE5">
            <w:pPr>
              <w:jc w:val="center"/>
              <w:rPr>
                <w:rFonts w:cs="Times New Roman"/>
                <w:color w:val="000000"/>
                <w:sz w:val="16"/>
                <w:szCs w:val="16"/>
              </w:rPr>
            </w:pPr>
            <w:r>
              <w:rPr>
                <w:color w:val="000000"/>
                <w:sz w:val="18"/>
                <w:szCs w:val="18"/>
              </w:rPr>
              <w:t>1,0</w:t>
            </w:r>
          </w:p>
        </w:tc>
        <w:tc>
          <w:tcPr>
            <w:tcW w:w="584" w:type="dxa"/>
            <w:tcBorders>
              <w:top w:val="nil"/>
              <w:left w:val="nil"/>
              <w:bottom w:val="nil"/>
              <w:right w:val="nil"/>
            </w:tcBorders>
            <w:shd w:val="clear" w:color="auto" w:fill="auto"/>
            <w:noWrap/>
            <w:hideMark/>
          </w:tcPr>
          <w:p w14:paraId="51AC39E3"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3" w:type="dxa"/>
            <w:tcBorders>
              <w:top w:val="nil"/>
              <w:left w:val="nil"/>
              <w:bottom w:val="nil"/>
              <w:right w:val="nil"/>
            </w:tcBorders>
            <w:shd w:val="clear" w:color="auto" w:fill="auto"/>
            <w:noWrap/>
            <w:hideMark/>
          </w:tcPr>
          <w:p w14:paraId="57359DA5"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4" w:type="dxa"/>
            <w:tcBorders>
              <w:top w:val="nil"/>
              <w:left w:val="nil"/>
              <w:bottom w:val="nil"/>
              <w:right w:val="nil"/>
            </w:tcBorders>
            <w:shd w:val="clear" w:color="auto" w:fill="auto"/>
            <w:noWrap/>
            <w:hideMark/>
          </w:tcPr>
          <w:p w14:paraId="3EED9729" w14:textId="77777777" w:rsidR="00BD53AF" w:rsidRPr="00D40162" w:rsidRDefault="00BD53AF" w:rsidP="00387AE5">
            <w:pPr>
              <w:jc w:val="center"/>
              <w:rPr>
                <w:rFonts w:cs="Times New Roman"/>
                <w:color w:val="000000"/>
                <w:sz w:val="16"/>
                <w:szCs w:val="16"/>
              </w:rPr>
            </w:pPr>
            <w:r>
              <w:rPr>
                <w:color w:val="000000"/>
                <w:sz w:val="18"/>
                <w:szCs w:val="18"/>
              </w:rPr>
              <w:t>0,0</w:t>
            </w:r>
          </w:p>
        </w:tc>
      </w:tr>
      <w:tr w:rsidR="00BD53AF" w:rsidRPr="00D67831" w14:paraId="716B33CF"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3DBB481B"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Celkové sociálne transfery</w:t>
            </w:r>
          </w:p>
        </w:tc>
        <w:tc>
          <w:tcPr>
            <w:tcW w:w="551" w:type="dxa"/>
            <w:tcBorders>
              <w:top w:val="nil"/>
              <w:left w:val="nil"/>
              <w:bottom w:val="nil"/>
              <w:right w:val="nil"/>
            </w:tcBorders>
            <w:shd w:val="clear" w:color="auto" w:fill="auto"/>
            <w:noWrap/>
            <w:hideMark/>
          </w:tcPr>
          <w:p w14:paraId="54CA0C4C" w14:textId="77777777" w:rsidR="00BD53AF" w:rsidRPr="00D40162" w:rsidRDefault="00BD53AF" w:rsidP="00387AE5">
            <w:pPr>
              <w:jc w:val="center"/>
              <w:rPr>
                <w:rFonts w:cs="Times New Roman"/>
                <w:color w:val="000000"/>
                <w:sz w:val="16"/>
                <w:szCs w:val="16"/>
              </w:rPr>
            </w:pPr>
            <w:r w:rsidRPr="00D40162">
              <w:rPr>
                <w:sz w:val="16"/>
                <w:szCs w:val="16"/>
              </w:rPr>
              <w:t>17,7</w:t>
            </w:r>
          </w:p>
        </w:tc>
        <w:tc>
          <w:tcPr>
            <w:tcW w:w="583" w:type="dxa"/>
            <w:tcBorders>
              <w:top w:val="nil"/>
              <w:left w:val="single" w:sz="8" w:space="0" w:color="auto"/>
              <w:bottom w:val="nil"/>
              <w:right w:val="nil"/>
            </w:tcBorders>
            <w:shd w:val="clear" w:color="auto" w:fill="auto"/>
            <w:noWrap/>
            <w:hideMark/>
          </w:tcPr>
          <w:p w14:paraId="6646AD4D" w14:textId="77777777" w:rsidR="00BD53AF" w:rsidRPr="00D40162" w:rsidRDefault="00BD53AF" w:rsidP="00387AE5">
            <w:pPr>
              <w:jc w:val="center"/>
              <w:rPr>
                <w:rFonts w:cs="Times New Roman"/>
                <w:color w:val="000000"/>
                <w:sz w:val="16"/>
                <w:szCs w:val="16"/>
              </w:rPr>
            </w:pPr>
            <w:r>
              <w:rPr>
                <w:color w:val="000000"/>
                <w:sz w:val="18"/>
                <w:szCs w:val="18"/>
              </w:rPr>
              <w:t>17,0</w:t>
            </w:r>
          </w:p>
        </w:tc>
        <w:tc>
          <w:tcPr>
            <w:tcW w:w="583" w:type="dxa"/>
            <w:tcBorders>
              <w:top w:val="nil"/>
              <w:left w:val="nil"/>
              <w:bottom w:val="nil"/>
              <w:right w:val="nil"/>
            </w:tcBorders>
            <w:shd w:val="clear" w:color="auto" w:fill="auto"/>
            <w:noWrap/>
            <w:hideMark/>
          </w:tcPr>
          <w:p w14:paraId="4073602E" w14:textId="77777777" w:rsidR="00BD53AF" w:rsidRPr="00D40162" w:rsidRDefault="00BD53AF" w:rsidP="00387AE5">
            <w:pPr>
              <w:jc w:val="center"/>
              <w:rPr>
                <w:rFonts w:cs="Times New Roman"/>
                <w:color w:val="000000"/>
                <w:sz w:val="16"/>
                <w:szCs w:val="16"/>
              </w:rPr>
            </w:pPr>
            <w:r>
              <w:rPr>
                <w:color w:val="000000"/>
                <w:sz w:val="18"/>
                <w:szCs w:val="18"/>
              </w:rPr>
              <w:t>16,7</w:t>
            </w:r>
          </w:p>
        </w:tc>
        <w:tc>
          <w:tcPr>
            <w:tcW w:w="584" w:type="dxa"/>
            <w:tcBorders>
              <w:top w:val="nil"/>
              <w:left w:val="nil"/>
              <w:bottom w:val="nil"/>
              <w:right w:val="single" w:sz="8" w:space="0" w:color="auto"/>
            </w:tcBorders>
            <w:shd w:val="clear" w:color="auto" w:fill="auto"/>
            <w:noWrap/>
            <w:hideMark/>
          </w:tcPr>
          <w:p w14:paraId="253D8C32" w14:textId="77777777" w:rsidR="00BD53AF" w:rsidRPr="00D40162" w:rsidRDefault="00BD53AF" w:rsidP="00387AE5">
            <w:pPr>
              <w:jc w:val="center"/>
              <w:rPr>
                <w:rFonts w:cs="Times New Roman"/>
                <w:color w:val="000000"/>
                <w:sz w:val="16"/>
                <w:szCs w:val="16"/>
              </w:rPr>
            </w:pPr>
            <w:r>
              <w:rPr>
                <w:color w:val="000000"/>
                <w:sz w:val="18"/>
                <w:szCs w:val="18"/>
              </w:rPr>
              <w:t>16,4</w:t>
            </w:r>
          </w:p>
        </w:tc>
        <w:tc>
          <w:tcPr>
            <w:tcW w:w="583" w:type="dxa"/>
            <w:tcBorders>
              <w:top w:val="nil"/>
              <w:left w:val="nil"/>
              <w:bottom w:val="nil"/>
              <w:right w:val="nil"/>
            </w:tcBorders>
            <w:shd w:val="clear" w:color="auto" w:fill="auto"/>
            <w:noWrap/>
            <w:hideMark/>
          </w:tcPr>
          <w:p w14:paraId="45381894" w14:textId="77777777" w:rsidR="00BD53AF" w:rsidRPr="00D40162" w:rsidRDefault="00BD53AF" w:rsidP="00387AE5">
            <w:pPr>
              <w:jc w:val="center"/>
              <w:rPr>
                <w:rFonts w:cs="Times New Roman"/>
                <w:color w:val="000000"/>
                <w:sz w:val="16"/>
                <w:szCs w:val="16"/>
              </w:rPr>
            </w:pPr>
            <w:r>
              <w:rPr>
                <w:color w:val="000000"/>
                <w:sz w:val="18"/>
                <w:szCs w:val="18"/>
              </w:rPr>
              <w:t>17,1</w:t>
            </w:r>
          </w:p>
        </w:tc>
        <w:tc>
          <w:tcPr>
            <w:tcW w:w="584" w:type="dxa"/>
            <w:tcBorders>
              <w:top w:val="nil"/>
              <w:left w:val="nil"/>
              <w:bottom w:val="nil"/>
              <w:right w:val="nil"/>
            </w:tcBorders>
            <w:shd w:val="clear" w:color="auto" w:fill="auto"/>
            <w:noWrap/>
            <w:hideMark/>
          </w:tcPr>
          <w:p w14:paraId="1413CB5F" w14:textId="77777777" w:rsidR="00BD53AF" w:rsidRPr="00D40162" w:rsidRDefault="00BD53AF" w:rsidP="00387AE5">
            <w:pPr>
              <w:jc w:val="center"/>
              <w:rPr>
                <w:rFonts w:cs="Times New Roman"/>
                <w:color w:val="000000"/>
                <w:sz w:val="16"/>
                <w:szCs w:val="16"/>
              </w:rPr>
            </w:pPr>
            <w:r>
              <w:rPr>
                <w:color w:val="000000"/>
                <w:sz w:val="18"/>
                <w:szCs w:val="18"/>
              </w:rPr>
              <w:t>16,8</w:t>
            </w:r>
          </w:p>
        </w:tc>
        <w:tc>
          <w:tcPr>
            <w:tcW w:w="583" w:type="dxa"/>
            <w:tcBorders>
              <w:top w:val="nil"/>
              <w:left w:val="nil"/>
              <w:bottom w:val="nil"/>
              <w:right w:val="single" w:sz="8" w:space="0" w:color="auto"/>
            </w:tcBorders>
            <w:shd w:val="clear" w:color="auto" w:fill="auto"/>
            <w:noWrap/>
            <w:hideMark/>
          </w:tcPr>
          <w:p w14:paraId="566DBAAD" w14:textId="77777777" w:rsidR="00BD53AF" w:rsidRPr="00D40162" w:rsidRDefault="00BD53AF" w:rsidP="00387AE5">
            <w:pPr>
              <w:jc w:val="center"/>
              <w:rPr>
                <w:rFonts w:cs="Times New Roman"/>
                <w:color w:val="000000"/>
                <w:sz w:val="16"/>
                <w:szCs w:val="16"/>
              </w:rPr>
            </w:pPr>
            <w:r>
              <w:rPr>
                <w:color w:val="000000"/>
                <w:sz w:val="18"/>
                <w:szCs w:val="18"/>
              </w:rPr>
              <w:t>16,5</w:t>
            </w:r>
          </w:p>
        </w:tc>
        <w:tc>
          <w:tcPr>
            <w:tcW w:w="584" w:type="dxa"/>
            <w:tcBorders>
              <w:top w:val="nil"/>
              <w:left w:val="nil"/>
              <w:bottom w:val="nil"/>
              <w:right w:val="nil"/>
            </w:tcBorders>
            <w:shd w:val="clear" w:color="auto" w:fill="auto"/>
            <w:noWrap/>
            <w:hideMark/>
          </w:tcPr>
          <w:p w14:paraId="4A9F5D68"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3" w:type="dxa"/>
            <w:tcBorders>
              <w:top w:val="nil"/>
              <w:left w:val="nil"/>
              <w:bottom w:val="nil"/>
              <w:right w:val="nil"/>
            </w:tcBorders>
            <w:shd w:val="clear" w:color="auto" w:fill="auto"/>
            <w:noWrap/>
            <w:hideMark/>
          </w:tcPr>
          <w:p w14:paraId="5ECF4176"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4" w:type="dxa"/>
            <w:tcBorders>
              <w:top w:val="nil"/>
              <w:left w:val="nil"/>
              <w:bottom w:val="nil"/>
              <w:right w:val="nil"/>
            </w:tcBorders>
            <w:shd w:val="clear" w:color="auto" w:fill="auto"/>
            <w:noWrap/>
            <w:hideMark/>
          </w:tcPr>
          <w:p w14:paraId="500F2E2C"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D67831" w14:paraId="1B874BD7" w14:textId="77777777" w:rsidTr="00387AE5">
        <w:trPr>
          <w:trHeight w:val="330"/>
        </w:trPr>
        <w:tc>
          <w:tcPr>
            <w:tcW w:w="3128" w:type="dxa"/>
            <w:tcBorders>
              <w:top w:val="nil"/>
              <w:left w:val="nil"/>
              <w:bottom w:val="nil"/>
              <w:right w:val="single" w:sz="8" w:space="0" w:color="auto"/>
            </w:tcBorders>
            <w:shd w:val="clear" w:color="auto" w:fill="auto"/>
            <w:noWrap/>
            <w:vAlign w:val="center"/>
            <w:hideMark/>
          </w:tcPr>
          <w:p w14:paraId="38AF86A2" w14:textId="77777777" w:rsidR="00BD53AF" w:rsidRPr="00D40162" w:rsidRDefault="00BD53AF" w:rsidP="00387AE5">
            <w:pPr>
              <w:ind w:left="170"/>
              <w:rPr>
                <w:rFonts w:cs="Times New Roman"/>
                <w:color w:val="000000"/>
                <w:sz w:val="16"/>
                <w:szCs w:val="16"/>
              </w:rPr>
            </w:pPr>
            <w:r w:rsidRPr="00D40162">
              <w:rPr>
                <w:rFonts w:cs="Times New Roman"/>
                <w:color w:val="000000"/>
                <w:sz w:val="16"/>
                <w:szCs w:val="16"/>
              </w:rPr>
              <w:t>- Sociálne dávky okrem naturálnych soc. transferov</w:t>
            </w:r>
          </w:p>
        </w:tc>
        <w:tc>
          <w:tcPr>
            <w:tcW w:w="551" w:type="dxa"/>
            <w:tcBorders>
              <w:top w:val="nil"/>
              <w:left w:val="nil"/>
              <w:bottom w:val="nil"/>
              <w:right w:val="nil"/>
            </w:tcBorders>
            <w:shd w:val="clear" w:color="auto" w:fill="auto"/>
            <w:noWrap/>
            <w:hideMark/>
          </w:tcPr>
          <w:p w14:paraId="40CCC733" w14:textId="77777777" w:rsidR="00BD53AF" w:rsidRPr="00D40162" w:rsidRDefault="00BD53AF" w:rsidP="00387AE5">
            <w:pPr>
              <w:jc w:val="center"/>
              <w:rPr>
                <w:rFonts w:cs="Times New Roman"/>
                <w:color w:val="000000"/>
                <w:sz w:val="16"/>
                <w:szCs w:val="16"/>
              </w:rPr>
            </w:pPr>
            <w:r w:rsidRPr="00D40162">
              <w:rPr>
                <w:sz w:val="16"/>
                <w:szCs w:val="16"/>
              </w:rPr>
              <w:t>12,8</w:t>
            </w:r>
          </w:p>
        </w:tc>
        <w:tc>
          <w:tcPr>
            <w:tcW w:w="583" w:type="dxa"/>
            <w:tcBorders>
              <w:top w:val="nil"/>
              <w:left w:val="single" w:sz="8" w:space="0" w:color="auto"/>
              <w:bottom w:val="nil"/>
              <w:right w:val="nil"/>
            </w:tcBorders>
            <w:shd w:val="clear" w:color="auto" w:fill="auto"/>
            <w:noWrap/>
            <w:hideMark/>
          </w:tcPr>
          <w:p w14:paraId="0B02BAE9" w14:textId="77777777" w:rsidR="00BD53AF" w:rsidRPr="00D40162" w:rsidRDefault="00BD53AF" w:rsidP="00387AE5">
            <w:pPr>
              <w:jc w:val="center"/>
              <w:rPr>
                <w:rFonts w:cs="Times New Roman"/>
                <w:color w:val="000000"/>
                <w:sz w:val="16"/>
                <w:szCs w:val="16"/>
              </w:rPr>
            </w:pPr>
            <w:r>
              <w:rPr>
                <w:color w:val="000000"/>
                <w:sz w:val="18"/>
                <w:szCs w:val="18"/>
              </w:rPr>
              <w:t>12,3</w:t>
            </w:r>
          </w:p>
        </w:tc>
        <w:tc>
          <w:tcPr>
            <w:tcW w:w="583" w:type="dxa"/>
            <w:tcBorders>
              <w:top w:val="nil"/>
              <w:left w:val="nil"/>
              <w:bottom w:val="nil"/>
              <w:right w:val="nil"/>
            </w:tcBorders>
            <w:shd w:val="clear" w:color="auto" w:fill="auto"/>
            <w:noWrap/>
            <w:hideMark/>
          </w:tcPr>
          <w:p w14:paraId="02C925C9" w14:textId="77777777" w:rsidR="00BD53AF" w:rsidRPr="00D40162" w:rsidRDefault="00BD53AF" w:rsidP="00387AE5">
            <w:pPr>
              <w:jc w:val="center"/>
              <w:rPr>
                <w:rFonts w:cs="Times New Roman"/>
                <w:color w:val="000000"/>
                <w:sz w:val="16"/>
                <w:szCs w:val="16"/>
              </w:rPr>
            </w:pPr>
            <w:r>
              <w:rPr>
                <w:color w:val="000000"/>
                <w:sz w:val="18"/>
                <w:szCs w:val="18"/>
              </w:rPr>
              <w:t>12,0</w:t>
            </w:r>
          </w:p>
        </w:tc>
        <w:tc>
          <w:tcPr>
            <w:tcW w:w="584" w:type="dxa"/>
            <w:tcBorders>
              <w:top w:val="nil"/>
              <w:left w:val="nil"/>
              <w:bottom w:val="nil"/>
              <w:right w:val="single" w:sz="8" w:space="0" w:color="auto"/>
            </w:tcBorders>
            <w:shd w:val="clear" w:color="auto" w:fill="auto"/>
            <w:noWrap/>
            <w:hideMark/>
          </w:tcPr>
          <w:p w14:paraId="79BB38C7" w14:textId="77777777" w:rsidR="00BD53AF" w:rsidRPr="00D40162" w:rsidRDefault="00BD53AF" w:rsidP="00387AE5">
            <w:pPr>
              <w:jc w:val="center"/>
              <w:rPr>
                <w:rFonts w:cs="Times New Roman"/>
                <w:color w:val="000000"/>
                <w:sz w:val="16"/>
                <w:szCs w:val="16"/>
              </w:rPr>
            </w:pPr>
            <w:r>
              <w:rPr>
                <w:color w:val="000000"/>
                <w:sz w:val="18"/>
                <w:szCs w:val="18"/>
              </w:rPr>
              <w:t>11,7</w:t>
            </w:r>
          </w:p>
        </w:tc>
        <w:tc>
          <w:tcPr>
            <w:tcW w:w="583" w:type="dxa"/>
            <w:tcBorders>
              <w:top w:val="nil"/>
              <w:left w:val="nil"/>
              <w:bottom w:val="nil"/>
              <w:right w:val="nil"/>
            </w:tcBorders>
            <w:shd w:val="clear" w:color="auto" w:fill="auto"/>
            <w:noWrap/>
            <w:hideMark/>
          </w:tcPr>
          <w:p w14:paraId="1E7E234F" w14:textId="77777777" w:rsidR="00BD53AF" w:rsidRPr="00D40162" w:rsidRDefault="00BD53AF" w:rsidP="00387AE5">
            <w:pPr>
              <w:jc w:val="center"/>
              <w:rPr>
                <w:rFonts w:cs="Times New Roman"/>
                <w:color w:val="000000"/>
                <w:sz w:val="16"/>
                <w:szCs w:val="16"/>
              </w:rPr>
            </w:pPr>
            <w:r>
              <w:rPr>
                <w:color w:val="000000"/>
                <w:sz w:val="18"/>
                <w:szCs w:val="18"/>
              </w:rPr>
              <w:t>12,3</w:t>
            </w:r>
          </w:p>
        </w:tc>
        <w:tc>
          <w:tcPr>
            <w:tcW w:w="584" w:type="dxa"/>
            <w:tcBorders>
              <w:top w:val="nil"/>
              <w:left w:val="nil"/>
              <w:bottom w:val="nil"/>
              <w:right w:val="nil"/>
            </w:tcBorders>
            <w:shd w:val="clear" w:color="auto" w:fill="auto"/>
            <w:noWrap/>
            <w:hideMark/>
          </w:tcPr>
          <w:p w14:paraId="681D3F3A" w14:textId="77777777" w:rsidR="00BD53AF" w:rsidRPr="00D40162" w:rsidRDefault="00BD53AF" w:rsidP="00387AE5">
            <w:pPr>
              <w:jc w:val="center"/>
              <w:rPr>
                <w:rFonts w:cs="Times New Roman"/>
                <w:color w:val="000000"/>
                <w:sz w:val="16"/>
                <w:szCs w:val="16"/>
              </w:rPr>
            </w:pPr>
            <w:r>
              <w:rPr>
                <w:color w:val="000000"/>
                <w:sz w:val="18"/>
                <w:szCs w:val="18"/>
              </w:rPr>
              <w:t>12,0</w:t>
            </w:r>
          </w:p>
        </w:tc>
        <w:tc>
          <w:tcPr>
            <w:tcW w:w="583" w:type="dxa"/>
            <w:tcBorders>
              <w:top w:val="nil"/>
              <w:left w:val="nil"/>
              <w:bottom w:val="nil"/>
              <w:right w:val="single" w:sz="8" w:space="0" w:color="auto"/>
            </w:tcBorders>
            <w:shd w:val="clear" w:color="auto" w:fill="auto"/>
            <w:noWrap/>
            <w:hideMark/>
          </w:tcPr>
          <w:p w14:paraId="450F7062" w14:textId="77777777" w:rsidR="00BD53AF" w:rsidRPr="00D40162" w:rsidRDefault="00BD53AF" w:rsidP="00387AE5">
            <w:pPr>
              <w:jc w:val="center"/>
              <w:rPr>
                <w:rFonts w:cs="Times New Roman"/>
                <w:color w:val="000000"/>
                <w:sz w:val="16"/>
                <w:szCs w:val="16"/>
              </w:rPr>
            </w:pPr>
            <w:r>
              <w:rPr>
                <w:color w:val="000000"/>
                <w:sz w:val="18"/>
                <w:szCs w:val="18"/>
              </w:rPr>
              <w:t>11,7</w:t>
            </w:r>
          </w:p>
        </w:tc>
        <w:tc>
          <w:tcPr>
            <w:tcW w:w="584" w:type="dxa"/>
            <w:tcBorders>
              <w:top w:val="nil"/>
              <w:left w:val="nil"/>
              <w:bottom w:val="nil"/>
              <w:right w:val="nil"/>
            </w:tcBorders>
            <w:shd w:val="clear" w:color="auto" w:fill="auto"/>
            <w:noWrap/>
            <w:hideMark/>
          </w:tcPr>
          <w:p w14:paraId="7C57310C"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3" w:type="dxa"/>
            <w:tcBorders>
              <w:top w:val="nil"/>
              <w:left w:val="nil"/>
              <w:bottom w:val="nil"/>
              <w:right w:val="nil"/>
            </w:tcBorders>
            <w:shd w:val="clear" w:color="auto" w:fill="auto"/>
            <w:noWrap/>
            <w:hideMark/>
          </w:tcPr>
          <w:p w14:paraId="38018435"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4" w:type="dxa"/>
            <w:tcBorders>
              <w:top w:val="nil"/>
              <w:left w:val="nil"/>
              <w:bottom w:val="nil"/>
              <w:right w:val="nil"/>
            </w:tcBorders>
            <w:shd w:val="clear" w:color="auto" w:fill="auto"/>
            <w:noWrap/>
            <w:hideMark/>
          </w:tcPr>
          <w:p w14:paraId="2D39BFFE" w14:textId="77777777" w:rsidR="00BD53AF" w:rsidRPr="00D40162" w:rsidRDefault="00BD53AF" w:rsidP="00387AE5">
            <w:pPr>
              <w:jc w:val="center"/>
              <w:rPr>
                <w:rFonts w:cs="Times New Roman"/>
                <w:color w:val="000000"/>
                <w:sz w:val="16"/>
                <w:szCs w:val="16"/>
              </w:rPr>
            </w:pPr>
            <w:r>
              <w:rPr>
                <w:color w:val="000000"/>
                <w:sz w:val="18"/>
                <w:szCs w:val="18"/>
              </w:rPr>
              <w:t>0,0</w:t>
            </w:r>
          </w:p>
        </w:tc>
      </w:tr>
      <w:tr w:rsidR="00BD53AF" w:rsidRPr="00D67831" w14:paraId="0A020DB2"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30754568"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 Naturálne sociálne transfery</w:t>
            </w:r>
          </w:p>
        </w:tc>
        <w:tc>
          <w:tcPr>
            <w:tcW w:w="551" w:type="dxa"/>
            <w:tcBorders>
              <w:top w:val="nil"/>
              <w:left w:val="nil"/>
              <w:bottom w:val="nil"/>
              <w:right w:val="nil"/>
            </w:tcBorders>
            <w:shd w:val="clear" w:color="auto" w:fill="auto"/>
            <w:noWrap/>
            <w:hideMark/>
          </w:tcPr>
          <w:p w14:paraId="1DF47981" w14:textId="77777777" w:rsidR="00BD53AF" w:rsidRPr="00D40162" w:rsidRDefault="00BD53AF" w:rsidP="00387AE5">
            <w:pPr>
              <w:jc w:val="center"/>
              <w:rPr>
                <w:rFonts w:cs="Times New Roman"/>
                <w:color w:val="000000"/>
                <w:sz w:val="16"/>
                <w:szCs w:val="16"/>
              </w:rPr>
            </w:pPr>
            <w:r w:rsidRPr="00D40162">
              <w:rPr>
                <w:sz w:val="16"/>
                <w:szCs w:val="16"/>
              </w:rPr>
              <w:t>4,9</w:t>
            </w:r>
          </w:p>
        </w:tc>
        <w:tc>
          <w:tcPr>
            <w:tcW w:w="583" w:type="dxa"/>
            <w:tcBorders>
              <w:top w:val="nil"/>
              <w:left w:val="single" w:sz="8" w:space="0" w:color="auto"/>
              <w:bottom w:val="nil"/>
              <w:right w:val="nil"/>
            </w:tcBorders>
            <w:shd w:val="clear" w:color="auto" w:fill="auto"/>
            <w:noWrap/>
            <w:hideMark/>
          </w:tcPr>
          <w:p w14:paraId="46E611B8" w14:textId="77777777" w:rsidR="00BD53AF" w:rsidRPr="00D40162" w:rsidRDefault="00BD53AF" w:rsidP="00387AE5">
            <w:pPr>
              <w:jc w:val="center"/>
              <w:rPr>
                <w:rFonts w:cs="Times New Roman"/>
                <w:color w:val="000000"/>
                <w:sz w:val="16"/>
                <w:szCs w:val="16"/>
              </w:rPr>
            </w:pPr>
            <w:r>
              <w:rPr>
                <w:color w:val="000000"/>
                <w:sz w:val="18"/>
                <w:szCs w:val="18"/>
              </w:rPr>
              <w:t>4,7</w:t>
            </w:r>
          </w:p>
        </w:tc>
        <w:tc>
          <w:tcPr>
            <w:tcW w:w="583" w:type="dxa"/>
            <w:tcBorders>
              <w:top w:val="nil"/>
              <w:left w:val="nil"/>
              <w:bottom w:val="nil"/>
              <w:right w:val="nil"/>
            </w:tcBorders>
            <w:shd w:val="clear" w:color="auto" w:fill="auto"/>
            <w:noWrap/>
            <w:hideMark/>
          </w:tcPr>
          <w:p w14:paraId="0342A11B" w14:textId="77777777" w:rsidR="00BD53AF" w:rsidRPr="00D40162" w:rsidRDefault="00BD53AF" w:rsidP="00387AE5">
            <w:pPr>
              <w:jc w:val="center"/>
              <w:rPr>
                <w:rFonts w:cs="Times New Roman"/>
                <w:color w:val="000000"/>
                <w:sz w:val="16"/>
                <w:szCs w:val="16"/>
              </w:rPr>
            </w:pPr>
            <w:r>
              <w:rPr>
                <w:color w:val="000000"/>
                <w:sz w:val="18"/>
                <w:szCs w:val="18"/>
              </w:rPr>
              <w:t>4,7</w:t>
            </w:r>
          </w:p>
        </w:tc>
        <w:tc>
          <w:tcPr>
            <w:tcW w:w="584" w:type="dxa"/>
            <w:tcBorders>
              <w:top w:val="nil"/>
              <w:left w:val="nil"/>
              <w:bottom w:val="nil"/>
              <w:right w:val="single" w:sz="8" w:space="0" w:color="auto"/>
            </w:tcBorders>
            <w:shd w:val="clear" w:color="auto" w:fill="auto"/>
            <w:noWrap/>
            <w:hideMark/>
          </w:tcPr>
          <w:p w14:paraId="2E2B3372" w14:textId="77777777" w:rsidR="00BD53AF" w:rsidRPr="00D40162" w:rsidRDefault="00BD53AF" w:rsidP="00387AE5">
            <w:pPr>
              <w:jc w:val="center"/>
              <w:rPr>
                <w:rFonts w:cs="Times New Roman"/>
                <w:color w:val="000000"/>
                <w:sz w:val="16"/>
                <w:szCs w:val="16"/>
              </w:rPr>
            </w:pPr>
            <w:r>
              <w:rPr>
                <w:color w:val="000000"/>
                <w:sz w:val="18"/>
                <w:szCs w:val="18"/>
              </w:rPr>
              <w:t>4,7</w:t>
            </w:r>
          </w:p>
        </w:tc>
        <w:tc>
          <w:tcPr>
            <w:tcW w:w="583" w:type="dxa"/>
            <w:tcBorders>
              <w:top w:val="nil"/>
              <w:left w:val="nil"/>
              <w:bottom w:val="nil"/>
              <w:right w:val="nil"/>
            </w:tcBorders>
            <w:shd w:val="clear" w:color="auto" w:fill="auto"/>
            <w:noWrap/>
            <w:hideMark/>
          </w:tcPr>
          <w:p w14:paraId="4A615D74" w14:textId="77777777" w:rsidR="00BD53AF" w:rsidRPr="00D40162" w:rsidRDefault="00BD53AF" w:rsidP="00387AE5">
            <w:pPr>
              <w:jc w:val="center"/>
              <w:rPr>
                <w:rFonts w:cs="Times New Roman"/>
                <w:color w:val="000000"/>
                <w:sz w:val="16"/>
                <w:szCs w:val="16"/>
              </w:rPr>
            </w:pPr>
            <w:r>
              <w:rPr>
                <w:color w:val="000000"/>
                <w:sz w:val="18"/>
                <w:szCs w:val="18"/>
              </w:rPr>
              <w:t>4,8</w:t>
            </w:r>
          </w:p>
        </w:tc>
        <w:tc>
          <w:tcPr>
            <w:tcW w:w="584" w:type="dxa"/>
            <w:tcBorders>
              <w:top w:val="nil"/>
              <w:left w:val="nil"/>
              <w:bottom w:val="nil"/>
              <w:right w:val="nil"/>
            </w:tcBorders>
            <w:shd w:val="clear" w:color="auto" w:fill="auto"/>
            <w:noWrap/>
            <w:hideMark/>
          </w:tcPr>
          <w:p w14:paraId="144B0F19" w14:textId="77777777" w:rsidR="00BD53AF" w:rsidRPr="00D40162" w:rsidRDefault="00BD53AF" w:rsidP="00387AE5">
            <w:pPr>
              <w:jc w:val="center"/>
              <w:rPr>
                <w:rFonts w:cs="Times New Roman"/>
                <w:color w:val="000000"/>
                <w:sz w:val="16"/>
                <w:szCs w:val="16"/>
              </w:rPr>
            </w:pPr>
            <w:r>
              <w:rPr>
                <w:color w:val="000000"/>
                <w:sz w:val="18"/>
                <w:szCs w:val="18"/>
              </w:rPr>
              <w:t>4,8</w:t>
            </w:r>
          </w:p>
        </w:tc>
        <w:tc>
          <w:tcPr>
            <w:tcW w:w="583" w:type="dxa"/>
            <w:tcBorders>
              <w:top w:val="nil"/>
              <w:left w:val="nil"/>
              <w:bottom w:val="nil"/>
              <w:right w:val="single" w:sz="8" w:space="0" w:color="auto"/>
            </w:tcBorders>
            <w:shd w:val="clear" w:color="auto" w:fill="auto"/>
            <w:noWrap/>
            <w:hideMark/>
          </w:tcPr>
          <w:p w14:paraId="1E8EF166" w14:textId="77777777" w:rsidR="00BD53AF" w:rsidRPr="00D40162" w:rsidRDefault="00BD53AF" w:rsidP="00387AE5">
            <w:pPr>
              <w:jc w:val="center"/>
              <w:rPr>
                <w:rFonts w:cs="Times New Roman"/>
                <w:color w:val="000000"/>
                <w:sz w:val="16"/>
                <w:szCs w:val="16"/>
              </w:rPr>
            </w:pPr>
            <w:r>
              <w:rPr>
                <w:color w:val="000000"/>
                <w:sz w:val="18"/>
                <w:szCs w:val="18"/>
              </w:rPr>
              <w:t>4,8</w:t>
            </w:r>
          </w:p>
        </w:tc>
        <w:tc>
          <w:tcPr>
            <w:tcW w:w="584" w:type="dxa"/>
            <w:tcBorders>
              <w:top w:val="nil"/>
              <w:left w:val="nil"/>
              <w:bottom w:val="nil"/>
              <w:right w:val="nil"/>
            </w:tcBorders>
            <w:shd w:val="clear" w:color="auto" w:fill="auto"/>
            <w:noWrap/>
            <w:hideMark/>
          </w:tcPr>
          <w:p w14:paraId="6CCF9C2F"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3" w:type="dxa"/>
            <w:tcBorders>
              <w:top w:val="nil"/>
              <w:left w:val="nil"/>
              <w:bottom w:val="nil"/>
              <w:right w:val="nil"/>
            </w:tcBorders>
            <w:shd w:val="clear" w:color="auto" w:fill="auto"/>
            <w:noWrap/>
            <w:hideMark/>
          </w:tcPr>
          <w:p w14:paraId="73A7B7E0"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4" w:type="dxa"/>
            <w:tcBorders>
              <w:top w:val="nil"/>
              <w:left w:val="nil"/>
              <w:bottom w:val="nil"/>
              <w:right w:val="nil"/>
            </w:tcBorders>
            <w:shd w:val="clear" w:color="auto" w:fill="auto"/>
            <w:noWrap/>
            <w:hideMark/>
          </w:tcPr>
          <w:p w14:paraId="0445EF82"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D67831" w14:paraId="06F5854A" w14:textId="77777777" w:rsidTr="00387AE5">
        <w:trPr>
          <w:trHeight w:val="285"/>
        </w:trPr>
        <w:tc>
          <w:tcPr>
            <w:tcW w:w="3128" w:type="dxa"/>
            <w:tcBorders>
              <w:top w:val="nil"/>
              <w:left w:val="nil"/>
              <w:bottom w:val="single" w:sz="8" w:space="0" w:color="auto"/>
              <w:right w:val="single" w:sz="8" w:space="0" w:color="auto"/>
            </w:tcBorders>
            <w:shd w:val="clear" w:color="auto" w:fill="auto"/>
            <w:noWrap/>
            <w:vAlign w:val="center"/>
            <w:hideMark/>
          </w:tcPr>
          <w:p w14:paraId="0BD41360"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Ostatné bežné transfery</w:t>
            </w:r>
          </w:p>
        </w:tc>
        <w:tc>
          <w:tcPr>
            <w:tcW w:w="551" w:type="dxa"/>
            <w:tcBorders>
              <w:top w:val="nil"/>
              <w:left w:val="nil"/>
              <w:bottom w:val="single" w:sz="8" w:space="0" w:color="auto"/>
              <w:right w:val="nil"/>
            </w:tcBorders>
            <w:shd w:val="clear" w:color="auto" w:fill="auto"/>
            <w:noWrap/>
            <w:hideMark/>
          </w:tcPr>
          <w:p w14:paraId="61F7F5B5" w14:textId="77777777" w:rsidR="00BD53AF" w:rsidRPr="00D40162" w:rsidRDefault="00BD53AF" w:rsidP="00387AE5">
            <w:pPr>
              <w:jc w:val="center"/>
              <w:rPr>
                <w:rFonts w:cs="Times New Roman"/>
                <w:color w:val="000000"/>
                <w:sz w:val="16"/>
                <w:szCs w:val="16"/>
              </w:rPr>
            </w:pPr>
            <w:r w:rsidRPr="00D40162">
              <w:rPr>
                <w:sz w:val="16"/>
                <w:szCs w:val="16"/>
              </w:rPr>
              <w:t>1,9</w:t>
            </w:r>
          </w:p>
        </w:tc>
        <w:tc>
          <w:tcPr>
            <w:tcW w:w="583" w:type="dxa"/>
            <w:tcBorders>
              <w:top w:val="nil"/>
              <w:left w:val="single" w:sz="8" w:space="0" w:color="auto"/>
              <w:bottom w:val="single" w:sz="8" w:space="0" w:color="auto"/>
              <w:right w:val="nil"/>
            </w:tcBorders>
            <w:shd w:val="clear" w:color="auto" w:fill="auto"/>
            <w:noWrap/>
            <w:hideMark/>
          </w:tcPr>
          <w:p w14:paraId="009A0490" w14:textId="77777777" w:rsidR="00BD53AF" w:rsidRPr="00D40162" w:rsidRDefault="00BD53AF" w:rsidP="00387AE5">
            <w:pPr>
              <w:jc w:val="center"/>
              <w:rPr>
                <w:rFonts w:cs="Times New Roman"/>
                <w:color w:val="000000"/>
                <w:sz w:val="16"/>
                <w:szCs w:val="16"/>
              </w:rPr>
            </w:pPr>
            <w:r>
              <w:rPr>
                <w:color w:val="000000"/>
                <w:sz w:val="18"/>
                <w:szCs w:val="18"/>
              </w:rPr>
              <w:t>2,2</w:t>
            </w:r>
          </w:p>
        </w:tc>
        <w:tc>
          <w:tcPr>
            <w:tcW w:w="583" w:type="dxa"/>
            <w:tcBorders>
              <w:top w:val="nil"/>
              <w:left w:val="nil"/>
              <w:bottom w:val="single" w:sz="8" w:space="0" w:color="auto"/>
              <w:right w:val="nil"/>
            </w:tcBorders>
            <w:shd w:val="clear" w:color="auto" w:fill="auto"/>
            <w:noWrap/>
            <w:hideMark/>
          </w:tcPr>
          <w:p w14:paraId="2FADB9B1" w14:textId="77777777" w:rsidR="00BD53AF" w:rsidRPr="00D40162" w:rsidRDefault="00BD53AF" w:rsidP="00387AE5">
            <w:pPr>
              <w:jc w:val="center"/>
              <w:rPr>
                <w:rFonts w:cs="Times New Roman"/>
                <w:color w:val="000000"/>
                <w:sz w:val="16"/>
                <w:szCs w:val="16"/>
              </w:rPr>
            </w:pPr>
            <w:r>
              <w:rPr>
                <w:color w:val="000000"/>
                <w:sz w:val="18"/>
                <w:szCs w:val="18"/>
              </w:rPr>
              <w:t>2,3</w:t>
            </w:r>
          </w:p>
        </w:tc>
        <w:tc>
          <w:tcPr>
            <w:tcW w:w="584" w:type="dxa"/>
            <w:tcBorders>
              <w:top w:val="nil"/>
              <w:left w:val="nil"/>
              <w:bottom w:val="single" w:sz="8" w:space="0" w:color="auto"/>
              <w:right w:val="single" w:sz="8" w:space="0" w:color="auto"/>
            </w:tcBorders>
            <w:shd w:val="clear" w:color="auto" w:fill="auto"/>
            <w:noWrap/>
            <w:hideMark/>
          </w:tcPr>
          <w:p w14:paraId="36B989AE" w14:textId="77777777" w:rsidR="00BD53AF" w:rsidRPr="00D40162" w:rsidRDefault="00BD53AF" w:rsidP="00387AE5">
            <w:pPr>
              <w:jc w:val="center"/>
              <w:rPr>
                <w:rFonts w:cs="Times New Roman"/>
                <w:color w:val="000000"/>
                <w:sz w:val="16"/>
                <w:szCs w:val="16"/>
              </w:rPr>
            </w:pPr>
            <w:r>
              <w:rPr>
                <w:color w:val="000000"/>
                <w:sz w:val="18"/>
                <w:szCs w:val="18"/>
              </w:rPr>
              <w:t>2,1</w:t>
            </w:r>
          </w:p>
        </w:tc>
        <w:tc>
          <w:tcPr>
            <w:tcW w:w="583" w:type="dxa"/>
            <w:tcBorders>
              <w:top w:val="nil"/>
              <w:left w:val="nil"/>
              <w:bottom w:val="single" w:sz="8" w:space="0" w:color="auto"/>
              <w:right w:val="nil"/>
            </w:tcBorders>
            <w:shd w:val="clear" w:color="auto" w:fill="auto"/>
            <w:noWrap/>
            <w:hideMark/>
          </w:tcPr>
          <w:p w14:paraId="06E3970B" w14:textId="77777777" w:rsidR="00BD53AF" w:rsidRPr="00D40162" w:rsidRDefault="00BD53AF" w:rsidP="00387AE5">
            <w:pPr>
              <w:jc w:val="center"/>
              <w:rPr>
                <w:rFonts w:cs="Times New Roman"/>
                <w:color w:val="000000"/>
                <w:sz w:val="16"/>
                <w:szCs w:val="16"/>
              </w:rPr>
            </w:pPr>
            <w:r>
              <w:rPr>
                <w:color w:val="000000"/>
                <w:sz w:val="18"/>
                <w:szCs w:val="18"/>
              </w:rPr>
              <w:t>2,2</w:t>
            </w:r>
          </w:p>
        </w:tc>
        <w:tc>
          <w:tcPr>
            <w:tcW w:w="584" w:type="dxa"/>
            <w:tcBorders>
              <w:top w:val="nil"/>
              <w:left w:val="nil"/>
              <w:bottom w:val="single" w:sz="8" w:space="0" w:color="auto"/>
              <w:right w:val="nil"/>
            </w:tcBorders>
            <w:shd w:val="clear" w:color="auto" w:fill="auto"/>
            <w:noWrap/>
            <w:hideMark/>
          </w:tcPr>
          <w:p w14:paraId="64262D0D" w14:textId="77777777" w:rsidR="00BD53AF" w:rsidRPr="00D40162" w:rsidRDefault="00BD53AF" w:rsidP="00387AE5">
            <w:pPr>
              <w:jc w:val="center"/>
              <w:rPr>
                <w:rFonts w:cs="Times New Roman"/>
                <w:color w:val="000000"/>
                <w:sz w:val="16"/>
                <w:szCs w:val="16"/>
              </w:rPr>
            </w:pPr>
            <w:r>
              <w:rPr>
                <w:color w:val="000000"/>
                <w:sz w:val="18"/>
                <w:szCs w:val="18"/>
              </w:rPr>
              <w:t>2,4</w:t>
            </w:r>
          </w:p>
        </w:tc>
        <w:tc>
          <w:tcPr>
            <w:tcW w:w="583" w:type="dxa"/>
            <w:tcBorders>
              <w:top w:val="nil"/>
              <w:left w:val="nil"/>
              <w:bottom w:val="single" w:sz="8" w:space="0" w:color="auto"/>
              <w:right w:val="single" w:sz="8" w:space="0" w:color="auto"/>
            </w:tcBorders>
            <w:shd w:val="clear" w:color="auto" w:fill="auto"/>
            <w:noWrap/>
            <w:hideMark/>
          </w:tcPr>
          <w:p w14:paraId="279B446F" w14:textId="77777777" w:rsidR="00BD53AF" w:rsidRPr="00D40162" w:rsidRDefault="00BD53AF" w:rsidP="00387AE5">
            <w:pPr>
              <w:jc w:val="center"/>
              <w:rPr>
                <w:rFonts w:cs="Times New Roman"/>
                <w:color w:val="000000"/>
                <w:sz w:val="16"/>
                <w:szCs w:val="16"/>
              </w:rPr>
            </w:pPr>
            <w:r>
              <w:rPr>
                <w:color w:val="000000"/>
                <w:sz w:val="18"/>
                <w:szCs w:val="18"/>
              </w:rPr>
              <w:t>2,2</w:t>
            </w:r>
          </w:p>
        </w:tc>
        <w:tc>
          <w:tcPr>
            <w:tcW w:w="584" w:type="dxa"/>
            <w:tcBorders>
              <w:top w:val="nil"/>
              <w:left w:val="nil"/>
              <w:bottom w:val="single" w:sz="8" w:space="0" w:color="auto"/>
              <w:right w:val="nil"/>
            </w:tcBorders>
            <w:shd w:val="clear" w:color="auto" w:fill="auto"/>
            <w:noWrap/>
            <w:hideMark/>
          </w:tcPr>
          <w:p w14:paraId="0A9D21B5"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3" w:type="dxa"/>
            <w:tcBorders>
              <w:top w:val="nil"/>
              <w:left w:val="nil"/>
              <w:bottom w:val="single" w:sz="8" w:space="0" w:color="auto"/>
              <w:right w:val="nil"/>
            </w:tcBorders>
            <w:shd w:val="clear" w:color="auto" w:fill="auto"/>
            <w:noWrap/>
            <w:hideMark/>
          </w:tcPr>
          <w:p w14:paraId="4922C5E4" w14:textId="77777777" w:rsidR="00BD53AF" w:rsidRPr="00D40162" w:rsidRDefault="00BD53AF" w:rsidP="00387AE5">
            <w:pPr>
              <w:jc w:val="center"/>
              <w:rPr>
                <w:rFonts w:cs="Times New Roman"/>
                <w:color w:val="000000"/>
                <w:sz w:val="16"/>
                <w:szCs w:val="16"/>
              </w:rPr>
            </w:pPr>
            <w:r>
              <w:rPr>
                <w:color w:val="000000"/>
                <w:sz w:val="18"/>
                <w:szCs w:val="18"/>
              </w:rPr>
              <w:t>0,0</w:t>
            </w:r>
          </w:p>
        </w:tc>
        <w:tc>
          <w:tcPr>
            <w:tcW w:w="584" w:type="dxa"/>
            <w:tcBorders>
              <w:top w:val="nil"/>
              <w:left w:val="nil"/>
              <w:bottom w:val="single" w:sz="8" w:space="0" w:color="auto"/>
              <w:right w:val="nil"/>
            </w:tcBorders>
            <w:shd w:val="clear" w:color="auto" w:fill="auto"/>
            <w:noWrap/>
            <w:hideMark/>
          </w:tcPr>
          <w:p w14:paraId="560E8AF4"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B645C6" w14:paraId="7E74B1D6"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140728C6" w14:textId="77777777" w:rsidR="00BD53AF" w:rsidRPr="00B645C6" w:rsidRDefault="00BD53AF" w:rsidP="00387AE5">
            <w:pPr>
              <w:rPr>
                <w:rFonts w:cs="Times New Roman"/>
                <w:b/>
                <w:bCs/>
                <w:color w:val="000000"/>
                <w:sz w:val="18"/>
                <w:szCs w:val="18"/>
              </w:rPr>
            </w:pPr>
            <w:r w:rsidRPr="00B645C6">
              <w:rPr>
                <w:rFonts w:cs="Times New Roman"/>
                <w:b/>
                <w:bCs/>
                <w:color w:val="000000"/>
                <w:sz w:val="18"/>
                <w:szCs w:val="18"/>
              </w:rPr>
              <w:t xml:space="preserve"> Kapitálové výdavky</w:t>
            </w:r>
          </w:p>
        </w:tc>
        <w:tc>
          <w:tcPr>
            <w:tcW w:w="551" w:type="dxa"/>
            <w:tcBorders>
              <w:top w:val="nil"/>
              <w:left w:val="nil"/>
              <w:bottom w:val="nil"/>
              <w:right w:val="nil"/>
            </w:tcBorders>
            <w:shd w:val="clear" w:color="auto" w:fill="auto"/>
            <w:noWrap/>
            <w:hideMark/>
          </w:tcPr>
          <w:p w14:paraId="71B3F2F1" w14:textId="77777777" w:rsidR="00BD53AF" w:rsidRPr="00B645C6" w:rsidRDefault="00BD53AF" w:rsidP="00387AE5">
            <w:pPr>
              <w:jc w:val="center"/>
              <w:rPr>
                <w:rFonts w:cs="Times New Roman"/>
                <w:b/>
                <w:color w:val="000000"/>
                <w:sz w:val="18"/>
                <w:szCs w:val="18"/>
              </w:rPr>
            </w:pPr>
            <w:r w:rsidRPr="00B645C6">
              <w:rPr>
                <w:b/>
                <w:sz w:val="18"/>
                <w:szCs w:val="18"/>
              </w:rPr>
              <w:t>2,9</w:t>
            </w:r>
          </w:p>
        </w:tc>
        <w:tc>
          <w:tcPr>
            <w:tcW w:w="583" w:type="dxa"/>
            <w:tcBorders>
              <w:top w:val="nil"/>
              <w:left w:val="single" w:sz="8" w:space="0" w:color="auto"/>
              <w:bottom w:val="nil"/>
              <w:right w:val="nil"/>
            </w:tcBorders>
            <w:shd w:val="clear" w:color="auto" w:fill="auto"/>
            <w:noWrap/>
            <w:hideMark/>
          </w:tcPr>
          <w:p w14:paraId="1F7BFE8A" w14:textId="77777777" w:rsidR="00BD53AF" w:rsidRPr="00B645C6" w:rsidRDefault="00BD53AF" w:rsidP="00387AE5">
            <w:pPr>
              <w:jc w:val="center"/>
              <w:rPr>
                <w:rFonts w:cs="Times New Roman"/>
                <w:b/>
                <w:color w:val="000000"/>
                <w:sz w:val="18"/>
                <w:szCs w:val="18"/>
              </w:rPr>
            </w:pPr>
            <w:r w:rsidRPr="00B645C6">
              <w:rPr>
                <w:b/>
                <w:color w:val="000000"/>
                <w:sz w:val="18"/>
                <w:szCs w:val="18"/>
              </w:rPr>
              <w:t>2,7</w:t>
            </w:r>
          </w:p>
        </w:tc>
        <w:tc>
          <w:tcPr>
            <w:tcW w:w="583" w:type="dxa"/>
            <w:tcBorders>
              <w:top w:val="nil"/>
              <w:left w:val="nil"/>
              <w:bottom w:val="nil"/>
              <w:right w:val="nil"/>
            </w:tcBorders>
            <w:shd w:val="clear" w:color="auto" w:fill="auto"/>
            <w:noWrap/>
            <w:hideMark/>
          </w:tcPr>
          <w:p w14:paraId="72E0B8B0" w14:textId="77777777" w:rsidR="00BD53AF" w:rsidRPr="00B645C6" w:rsidRDefault="00BD53AF" w:rsidP="00387AE5">
            <w:pPr>
              <w:jc w:val="center"/>
              <w:rPr>
                <w:rFonts w:cs="Times New Roman"/>
                <w:b/>
                <w:color w:val="000000"/>
                <w:sz w:val="18"/>
                <w:szCs w:val="18"/>
              </w:rPr>
            </w:pPr>
            <w:r w:rsidRPr="00B645C6">
              <w:rPr>
                <w:b/>
                <w:color w:val="000000"/>
                <w:sz w:val="18"/>
                <w:szCs w:val="18"/>
              </w:rPr>
              <w:t>2,8</w:t>
            </w:r>
          </w:p>
        </w:tc>
        <w:tc>
          <w:tcPr>
            <w:tcW w:w="584" w:type="dxa"/>
            <w:tcBorders>
              <w:top w:val="nil"/>
              <w:left w:val="nil"/>
              <w:bottom w:val="nil"/>
              <w:right w:val="single" w:sz="8" w:space="0" w:color="auto"/>
            </w:tcBorders>
            <w:shd w:val="clear" w:color="auto" w:fill="auto"/>
            <w:noWrap/>
            <w:hideMark/>
          </w:tcPr>
          <w:p w14:paraId="321A3FDC" w14:textId="77777777" w:rsidR="00BD53AF" w:rsidRPr="00B645C6" w:rsidRDefault="00BD53AF" w:rsidP="00387AE5">
            <w:pPr>
              <w:jc w:val="center"/>
              <w:rPr>
                <w:rFonts w:cs="Times New Roman"/>
                <w:b/>
                <w:color w:val="000000"/>
                <w:sz w:val="18"/>
                <w:szCs w:val="18"/>
              </w:rPr>
            </w:pPr>
            <w:r w:rsidRPr="00B645C6">
              <w:rPr>
                <w:b/>
                <w:color w:val="000000"/>
                <w:sz w:val="18"/>
                <w:szCs w:val="18"/>
              </w:rPr>
              <w:t>3,4</w:t>
            </w:r>
          </w:p>
        </w:tc>
        <w:tc>
          <w:tcPr>
            <w:tcW w:w="583" w:type="dxa"/>
            <w:tcBorders>
              <w:top w:val="nil"/>
              <w:left w:val="nil"/>
              <w:bottom w:val="nil"/>
              <w:right w:val="nil"/>
            </w:tcBorders>
            <w:shd w:val="clear" w:color="auto" w:fill="auto"/>
            <w:noWrap/>
            <w:hideMark/>
          </w:tcPr>
          <w:p w14:paraId="3410A195" w14:textId="77777777" w:rsidR="00BD53AF" w:rsidRPr="00B645C6" w:rsidRDefault="00BD53AF" w:rsidP="00387AE5">
            <w:pPr>
              <w:jc w:val="center"/>
              <w:rPr>
                <w:rFonts w:cs="Times New Roman"/>
                <w:b/>
                <w:color w:val="000000"/>
                <w:sz w:val="18"/>
                <w:szCs w:val="18"/>
              </w:rPr>
            </w:pPr>
            <w:r w:rsidRPr="00B645C6">
              <w:rPr>
                <w:b/>
                <w:color w:val="000000"/>
                <w:sz w:val="18"/>
                <w:szCs w:val="18"/>
              </w:rPr>
              <w:t>2,9</w:t>
            </w:r>
          </w:p>
        </w:tc>
        <w:tc>
          <w:tcPr>
            <w:tcW w:w="584" w:type="dxa"/>
            <w:tcBorders>
              <w:top w:val="nil"/>
              <w:left w:val="nil"/>
              <w:bottom w:val="nil"/>
              <w:right w:val="nil"/>
            </w:tcBorders>
            <w:shd w:val="clear" w:color="auto" w:fill="auto"/>
            <w:noWrap/>
            <w:hideMark/>
          </w:tcPr>
          <w:p w14:paraId="7D138F9E" w14:textId="77777777" w:rsidR="00BD53AF" w:rsidRPr="00B645C6" w:rsidRDefault="00BD53AF" w:rsidP="00387AE5">
            <w:pPr>
              <w:jc w:val="center"/>
              <w:rPr>
                <w:rFonts w:cs="Times New Roman"/>
                <w:b/>
                <w:color w:val="000000"/>
                <w:sz w:val="18"/>
                <w:szCs w:val="18"/>
              </w:rPr>
            </w:pPr>
            <w:r w:rsidRPr="00B645C6">
              <w:rPr>
                <w:b/>
                <w:color w:val="000000"/>
                <w:sz w:val="18"/>
                <w:szCs w:val="18"/>
              </w:rPr>
              <w:t>2,8</w:t>
            </w:r>
          </w:p>
        </w:tc>
        <w:tc>
          <w:tcPr>
            <w:tcW w:w="583" w:type="dxa"/>
            <w:tcBorders>
              <w:top w:val="nil"/>
              <w:left w:val="nil"/>
              <w:bottom w:val="nil"/>
              <w:right w:val="nil"/>
            </w:tcBorders>
            <w:shd w:val="clear" w:color="auto" w:fill="auto"/>
            <w:noWrap/>
            <w:hideMark/>
          </w:tcPr>
          <w:p w14:paraId="72798CF7" w14:textId="77777777" w:rsidR="00BD53AF" w:rsidRPr="00B645C6" w:rsidRDefault="00BD53AF" w:rsidP="00387AE5">
            <w:pPr>
              <w:jc w:val="center"/>
              <w:rPr>
                <w:rFonts w:cs="Times New Roman"/>
                <w:b/>
                <w:color w:val="000000"/>
                <w:sz w:val="18"/>
                <w:szCs w:val="18"/>
              </w:rPr>
            </w:pPr>
            <w:r w:rsidRPr="00B645C6">
              <w:rPr>
                <w:b/>
                <w:color w:val="000000"/>
                <w:sz w:val="18"/>
                <w:szCs w:val="18"/>
              </w:rPr>
              <w:t>3,4</w:t>
            </w:r>
          </w:p>
        </w:tc>
        <w:tc>
          <w:tcPr>
            <w:tcW w:w="584" w:type="dxa"/>
            <w:tcBorders>
              <w:top w:val="nil"/>
              <w:left w:val="single" w:sz="8" w:space="0" w:color="auto"/>
              <w:bottom w:val="nil"/>
              <w:right w:val="nil"/>
            </w:tcBorders>
            <w:shd w:val="clear" w:color="auto" w:fill="auto"/>
            <w:noWrap/>
            <w:hideMark/>
          </w:tcPr>
          <w:p w14:paraId="3C21E793" w14:textId="77777777" w:rsidR="00BD53AF" w:rsidRPr="00B645C6" w:rsidRDefault="00BD53AF" w:rsidP="00387AE5">
            <w:pPr>
              <w:jc w:val="center"/>
              <w:rPr>
                <w:rFonts w:cs="Times New Roman"/>
                <w:b/>
                <w:color w:val="000000"/>
                <w:sz w:val="18"/>
                <w:szCs w:val="18"/>
              </w:rPr>
            </w:pPr>
            <w:r w:rsidRPr="00B645C6">
              <w:rPr>
                <w:b/>
                <w:color w:val="000000"/>
                <w:sz w:val="18"/>
                <w:szCs w:val="18"/>
              </w:rPr>
              <w:t>0,1</w:t>
            </w:r>
          </w:p>
        </w:tc>
        <w:tc>
          <w:tcPr>
            <w:tcW w:w="583" w:type="dxa"/>
            <w:tcBorders>
              <w:top w:val="nil"/>
              <w:left w:val="nil"/>
              <w:bottom w:val="nil"/>
              <w:right w:val="nil"/>
            </w:tcBorders>
            <w:shd w:val="clear" w:color="auto" w:fill="auto"/>
            <w:noWrap/>
            <w:hideMark/>
          </w:tcPr>
          <w:p w14:paraId="7BBDD860" w14:textId="77777777" w:rsidR="00BD53AF" w:rsidRPr="00B645C6" w:rsidRDefault="00BD53AF" w:rsidP="00387AE5">
            <w:pPr>
              <w:jc w:val="center"/>
              <w:rPr>
                <w:rFonts w:cs="Times New Roman"/>
                <w:b/>
                <w:color w:val="000000"/>
                <w:sz w:val="18"/>
                <w:szCs w:val="18"/>
              </w:rPr>
            </w:pPr>
            <w:r w:rsidRPr="00B645C6">
              <w:rPr>
                <w:b/>
                <w:color w:val="000000"/>
                <w:sz w:val="18"/>
                <w:szCs w:val="18"/>
              </w:rPr>
              <w:t>0,1</w:t>
            </w:r>
          </w:p>
        </w:tc>
        <w:tc>
          <w:tcPr>
            <w:tcW w:w="584" w:type="dxa"/>
            <w:tcBorders>
              <w:top w:val="nil"/>
              <w:left w:val="nil"/>
              <w:bottom w:val="nil"/>
              <w:right w:val="nil"/>
            </w:tcBorders>
            <w:shd w:val="clear" w:color="auto" w:fill="auto"/>
            <w:noWrap/>
            <w:hideMark/>
          </w:tcPr>
          <w:p w14:paraId="3D22E33F" w14:textId="77777777" w:rsidR="00BD53AF" w:rsidRPr="00B645C6" w:rsidRDefault="00BD53AF" w:rsidP="00387AE5">
            <w:pPr>
              <w:jc w:val="center"/>
              <w:rPr>
                <w:rFonts w:cs="Times New Roman"/>
                <w:b/>
                <w:color w:val="000000"/>
                <w:sz w:val="18"/>
                <w:szCs w:val="18"/>
              </w:rPr>
            </w:pPr>
            <w:r w:rsidRPr="00B645C6">
              <w:rPr>
                <w:b/>
                <w:color w:val="000000"/>
                <w:sz w:val="18"/>
                <w:szCs w:val="18"/>
              </w:rPr>
              <w:t>0,0</w:t>
            </w:r>
          </w:p>
        </w:tc>
      </w:tr>
      <w:tr w:rsidR="00BD53AF" w:rsidRPr="00D67831" w14:paraId="342740B6"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5DD769A8"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Kapitálové investície</w:t>
            </w:r>
          </w:p>
        </w:tc>
        <w:tc>
          <w:tcPr>
            <w:tcW w:w="551" w:type="dxa"/>
            <w:tcBorders>
              <w:top w:val="nil"/>
              <w:left w:val="nil"/>
              <w:bottom w:val="nil"/>
              <w:right w:val="nil"/>
            </w:tcBorders>
            <w:shd w:val="clear" w:color="auto" w:fill="auto"/>
            <w:noWrap/>
            <w:hideMark/>
          </w:tcPr>
          <w:p w14:paraId="2BFD493E" w14:textId="77777777" w:rsidR="00BD53AF" w:rsidRPr="00D40162" w:rsidRDefault="00BD53AF" w:rsidP="00387AE5">
            <w:pPr>
              <w:jc w:val="center"/>
              <w:rPr>
                <w:rFonts w:cs="Times New Roman"/>
                <w:color w:val="000000"/>
                <w:sz w:val="16"/>
                <w:szCs w:val="16"/>
              </w:rPr>
            </w:pPr>
            <w:r w:rsidRPr="00D40162">
              <w:rPr>
                <w:sz w:val="16"/>
                <w:szCs w:val="16"/>
              </w:rPr>
              <w:t>2,7</w:t>
            </w:r>
          </w:p>
        </w:tc>
        <w:tc>
          <w:tcPr>
            <w:tcW w:w="583" w:type="dxa"/>
            <w:tcBorders>
              <w:top w:val="nil"/>
              <w:left w:val="single" w:sz="8" w:space="0" w:color="auto"/>
              <w:bottom w:val="nil"/>
              <w:right w:val="nil"/>
            </w:tcBorders>
            <w:shd w:val="clear" w:color="auto" w:fill="auto"/>
            <w:noWrap/>
            <w:hideMark/>
          </w:tcPr>
          <w:p w14:paraId="2EEFA8FD" w14:textId="77777777" w:rsidR="00BD53AF" w:rsidRPr="00D40162" w:rsidRDefault="00BD53AF" w:rsidP="00387AE5">
            <w:pPr>
              <w:jc w:val="center"/>
              <w:rPr>
                <w:rFonts w:cs="Times New Roman"/>
                <w:color w:val="000000"/>
                <w:sz w:val="16"/>
                <w:szCs w:val="16"/>
              </w:rPr>
            </w:pPr>
            <w:r>
              <w:rPr>
                <w:color w:val="000000"/>
                <w:sz w:val="18"/>
                <w:szCs w:val="18"/>
              </w:rPr>
              <w:t>2,5</w:t>
            </w:r>
          </w:p>
        </w:tc>
        <w:tc>
          <w:tcPr>
            <w:tcW w:w="583" w:type="dxa"/>
            <w:tcBorders>
              <w:top w:val="nil"/>
              <w:left w:val="nil"/>
              <w:bottom w:val="nil"/>
              <w:right w:val="nil"/>
            </w:tcBorders>
            <w:shd w:val="clear" w:color="auto" w:fill="auto"/>
            <w:noWrap/>
            <w:hideMark/>
          </w:tcPr>
          <w:p w14:paraId="3B32C71B" w14:textId="77777777" w:rsidR="00BD53AF" w:rsidRPr="00D40162" w:rsidRDefault="00BD53AF" w:rsidP="00387AE5">
            <w:pPr>
              <w:jc w:val="center"/>
              <w:rPr>
                <w:rFonts w:cs="Times New Roman"/>
                <w:color w:val="000000"/>
                <w:sz w:val="16"/>
                <w:szCs w:val="16"/>
              </w:rPr>
            </w:pPr>
            <w:r>
              <w:rPr>
                <w:color w:val="000000"/>
                <w:sz w:val="18"/>
                <w:szCs w:val="18"/>
              </w:rPr>
              <w:t>2,5</w:t>
            </w:r>
          </w:p>
        </w:tc>
        <w:tc>
          <w:tcPr>
            <w:tcW w:w="584" w:type="dxa"/>
            <w:tcBorders>
              <w:top w:val="nil"/>
              <w:left w:val="nil"/>
              <w:bottom w:val="nil"/>
              <w:right w:val="single" w:sz="8" w:space="0" w:color="auto"/>
            </w:tcBorders>
            <w:shd w:val="clear" w:color="auto" w:fill="auto"/>
            <w:noWrap/>
            <w:hideMark/>
          </w:tcPr>
          <w:p w14:paraId="260D1E71" w14:textId="77777777" w:rsidR="00BD53AF" w:rsidRPr="00D40162" w:rsidRDefault="00BD53AF" w:rsidP="00387AE5">
            <w:pPr>
              <w:jc w:val="center"/>
              <w:rPr>
                <w:rFonts w:cs="Times New Roman"/>
                <w:color w:val="000000"/>
                <w:sz w:val="16"/>
                <w:szCs w:val="16"/>
              </w:rPr>
            </w:pPr>
            <w:r>
              <w:rPr>
                <w:color w:val="000000"/>
                <w:sz w:val="18"/>
                <w:szCs w:val="18"/>
              </w:rPr>
              <w:t>3,2</w:t>
            </w:r>
          </w:p>
        </w:tc>
        <w:tc>
          <w:tcPr>
            <w:tcW w:w="583" w:type="dxa"/>
            <w:tcBorders>
              <w:top w:val="nil"/>
              <w:left w:val="nil"/>
              <w:bottom w:val="nil"/>
              <w:right w:val="nil"/>
            </w:tcBorders>
            <w:shd w:val="clear" w:color="auto" w:fill="auto"/>
            <w:noWrap/>
            <w:hideMark/>
          </w:tcPr>
          <w:p w14:paraId="6055A167" w14:textId="77777777" w:rsidR="00BD53AF" w:rsidRPr="00D40162" w:rsidRDefault="00BD53AF" w:rsidP="00387AE5">
            <w:pPr>
              <w:jc w:val="center"/>
              <w:rPr>
                <w:rFonts w:cs="Times New Roman"/>
                <w:color w:val="000000"/>
                <w:sz w:val="16"/>
                <w:szCs w:val="16"/>
              </w:rPr>
            </w:pPr>
            <w:r>
              <w:rPr>
                <w:color w:val="000000"/>
                <w:sz w:val="18"/>
                <w:szCs w:val="18"/>
              </w:rPr>
              <w:t>2,7</w:t>
            </w:r>
          </w:p>
        </w:tc>
        <w:tc>
          <w:tcPr>
            <w:tcW w:w="584" w:type="dxa"/>
            <w:tcBorders>
              <w:top w:val="nil"/>
              <w:left w:val="nil"/>
              <w:bottom w:val="nil"/>
              <w:right w:val="nil"/>
            </w:tcBorders>
            <w:shd w:val="clear" w:color="auto" w:fill="auto"/>
            <w:noWrap/>
            <w:hideMark/>
          </w:tcPr>
          <w:p w14:paraId="501DC9C7" w14:textId="77777777" w:rsidR="00BD53AF" w:rsidRPr="00D40162" w:rsidRDefault="00BD53AF" w:rsidP="00387AE5">
            <w:pPr>
              <w:jc w:val="center"/>
              <w:rPr>
                <w:rFonts w:cs="Times New Roman"/>
                <w:color w:val="000000"/>
                <w:sz w:val="16"/>
                <w:szCs w:val="16"/>
              </w:rPr>
            </w:pPr>
            <w:r>
              <w:rPr>
                <w:color w:val="000000"/>
                <w:sz w:val="18"/>
                <w:szCs w:val="18"/>
              </w:rPr>
              <w:t>2,7</w:t>
            </w:r>
          </w:p>
        </w:tc>
        <w:tc>
          <w:tcPr>
            <w:tcW w:w="583" w:type="dxa"/>
            <w:tcBorders>
              <w:top w:val="nil"/>
              <w:left w:val="nil"/>
              <w:bottom w:val="nil"/>
              <w:right w:val="nil"/>
            </w:tcBorders>
            <w:shd w:val="clear" w:color="auto" w:fill="auto"/>
            <w:noWrap/>
            <w:hideMark/>
          </w:tcPr>
          <w:p w14:paraId="21D2BD92" w14:textId="77777777" w:rsidR="00BD53AF" w:rsidRPr="00D40162" w:rsidRDefault="00BD53AF" w:rsidP="00387AE5">
            <w:pPr>
              <w:jc w:val="center"/>
              <w:rPr>
                <w:rFonts w:cs="Times New Roman"/>
                <w:color w:val="000000"/>
                <w:sz w:val="16"/>
                <w:szCs w:val="16"/>
              </w:rPr>
            </w:pPr>
            <w:r>
              <w:rPr>
                <w:color w:val="000000"/>
                <w:sz w:val="18"/>
                <w:szCs w:val="18"/>
              </w:rPr>
              <w:t>3,3</w:t>
            </w:r>
          </w:p>
        </w:tc>
        <w:tc>
          <w:tcPr>
            <w:tcW w:w="584" w:type="dxa"/>
            <w:tcBorders>
              <w:top w:val="nil"/>
              <w:left w:val="single" w:sz="8" w:space="0" w:color="auto"/>
              <w:bottom w:val="nil"/>
              <w:right w:val="nil"/>
            </w:tcBorders>
            <w:shd w:val="clear" w:color="auto" w:fill="auto"/>
            <w:noWrap/>
            <w:hideMark/>
          </w:tcPr>
          <w:p w14:paraId="2CBF618F" w14:textId="77777777" w:rsidR="00BD53AF" w:rsidRPr="00D40162" w:rsidRDefault="00BD53AF" w:rsidP="00387AE5">
            <w:pPr>
              <w:jc w:val="center"/>
              <w:rPr>
                <w:rFonts w:cs="Times New Roman"/>
                <w:color w:val="000000"/>
                <w:sz w:val="16"/>
                <w:szCs w:val="16"/>
              </w:rPr>
            </w:pPr>
            <w:r>
              <w:rPr>
                <w:color w:val="000000"/>
                <w:sz w:val="18"/>
                <w:szCs w:val="18"/>
              </w:rPr>
              <w:t>0,2</w:t>
            </w:r>
          </w:p>
        </w:tc>
        <w:tc>
          <w:tcPr>
            <w:tcW w:w="583" w:type="dxa"/>
            <w:tcBorders>
              <w:top w:val="nil"/>
              <w:left w:val="nil"/>
              <w:bottom w:val="nil"/>
              <w:right w:val="nil"/>
            </w:tcBorders>
            <w:shd w:val="clear" w:color="auto" w:fill="auto"/>
            <w:noWrap/>
            <w:hideMark/>
          </w:tcPr>
          <w:p w14:paraId="450E646B" w14:textId="77777777" w:rsidR="00BD53AF" w:rsidRPr="00D40162" w:rsidRDefault="00BD53AF" w:rsidP="00387AE5">
            <w:pPr>
              <w:jc w:val="center"/>
              <w:rPr>
                <w:rFonts w:cs="Times New Roman"/>
                <w:color w:val="000000"/>
                <w:sz w:val="16"/>
                <w:szCs w:val="16"/>
              </w:rPr>
            </w:pPr>
            <w:r>
              <w:rPr>
                <w:color w:val="000000"/>
                <w:sz w:val="18"/>
                <w:szCs w:val="18"/>
              </w:rPr>
              <w:t>0,2</w:t>
            </w:r>
          </w:p>
        </w:tc>
        <w:tc>
          <w:tcPr>
            <w:tcW w:w="584" w:type="dxa"/>
            <w:tcBorders>
              <w:top w:val="nil"/>
              <w:left w:val="nil"/>
              <w:bottom w:val="nil"/>
              <w:right w:val="nil"/>
            </w:tcBorders>
            <w:shd w:val="clear" w:color="auto" w:fill="auto"/>
            <w:noWrap/>
            <w:hideMark/>
          </w:tcPr>
          <w:p w14:paraId="542F42EC"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D67831" w14:paraId="3BBE010D" w14:textId="77777777" w:rsidTr="00387AE5">
        <w:trPr>
          <w:trHeight w:val="270"/>
        </w:trPr>
        <w:tc>
          <w:tcPr>
            <w:tcW w:w="3128" w:type="dxa"/>
            <w:tcBorders>
              <w:top w:val="nil"/>
              <w:left w:val="nil"/>
              <w:bottom w:val="nil"/>
              <w:right w:val="single" w:sz="8" w:space="0" w:color="auto"/>
            </w:tcBorders>
            <w:shd w:val="clear" w:color="auto" w:fill="auto"/>
            <w:noWrap/>
            <w:vAlign w:val="center"/>
            <w:hideMark/>
          </w:tcPr>
          <w:p w14:paraId="60EA4BF3"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 Tvorba hrubého fixného kapitálu</w:t>
            </w:r>
          </w:p>
        </w:tc>
        <w:tc>
          <w:tcPr>
            <w:tcW w:w="551" w:type="dxa"/>
            <w:tcBorders>
              <w:top w:val="nil"/>
              <w:left w:val="nil"/>
              <w:bottom w:val="nil"/>
              <w:right w:val="nil"/>
            </w:tcBorders>
            <w:shd w:val="clear" w:color="auto" w:fill="auto"/>
            <w:noWrap/>
            <w:hideMark/>
          </w:tcPr>
          <w:p w14:paraId="17708E35" w14:textId="77777777" w:rsidR="00BD53AF" w:rsidRPr="00D40162" w:rsidRDefault="00BD53AF" w:rsidP="00387AE5">
            <w:pPr>
              <w:jc w:val="center"/>
              <w:rPr>
                <w:rFonts w:cs="Times New Roman"/>
                <w:color w:val="000000"/>
                <w:sz w:val="16"/>
                <w:szCs w:val="16"/>
              </w:rPr>
            </w:pPr>
            <w:r w:rsidRPr="00D40162">
              <w:rPr>
                <w:sz w:val="16"/>
                <w:szCs w:val="16"/>
              </w:rPr>
              <w:t>2,7</w:t>
            </w:r>
          </w:p>
        </w:tc>
        <w:tc>
          <w:tcPr>
            <w:tcW w:w="583" w:type="dxa"/>
            <w:tcBorders>
              <w:top w:val="nil"/>
              <w:left w:val="single" w:sz="8" w:space="0" w:color="auto"/>
              <w:bottom w:val="nil"/>
              <w:right w:val="nil"/>
            </w:tcBorders>
            <w:shd w:val="clear" w:color="auto" w:fill="auto"/>
            <w:noWrap/>
            <w:hideMark/>
          </w:tcPr>
          <w:p w14:paraId="540C546E" w14:textId="77777777" w:rsidR="00BD53AF" w:rsidRPr="00D40162" w:rsidRDefault="00BD53AF" w:rsidP="00387AE5">
            <w:pPr>
              <w:jc w:val="center"/>
              <w:rPr>
                <w:rFonts w:cs="Times New Roman"/>
                <w:color w:val="000000"/>
                <w:sz w:val="16"/>
                <w:szCs w:val="16"/>
              </w:rPr>
            </w:pPr>
            <w:r>
              <w:rPr>
                <w:color w:val="000000"/>
                <w:sz w:val="18"/>
                <w:szCs w:val="18"/>
              </w:rPr>
              <w:t>2,4</w:t>
            </w:r>
          </w:p>
        </w:tc>
        <w:tc>
          <w:tcPr>
            <w:tcW w:w="583" w:type="dxa"/>
            <w:tcBorders>
              <w:top w:val="nil"/>
              <w:left w:val="nil"/>
              <w:bottom w:val="nil"/>
              <w:right w:val="nil"/>
            </w:tcBorders>
            <w:shd w:val="clear" w:color="auto" w:fill="auto"/>
            <w:noWrap/>
            <w:hideMark/>
          </w:tcPr>
          <w:p w14:paraId="780FDD3E" w14:textId="77777777" w:rsidR="00BD53AF" w:rsidRPr="00D40162" w:rsidRDefault="00BD53AF" w:rsidP="00387AE5">
            <w:pPr>
              <w:jc w:val="center"/>
              <w:rPr>
                <w:rFonts w:cs="Times New Roman"/>
                <w:color w:val="000000"/>
                <w:sz w:val="16"/>
                <w:szCs w:val="16"/>
              </w:rPr>
            </w:pPr>
            <w:r>
              <w:rPr>
                <w:color w:val="000000"/>
                <w:sz w:val="18"/>
                <w:szCs w:val="18"/>
              </w:rPr>
              <w:t>2,3</w:t>
            </w:r>
          </w:p>
        </w:tc>
        <w:tc>
          <w:tcPr>
            <w:tcW w:w="584" w:type="dxa"/>
            <w:tcBorders>
              <w:top w:val="nil"/>
              <w:left w:val="nil"/>
              <w:bottom w:val="nil"/>
              <w:right w:val="single" w:sz="8" w:space="0" w:color="auto"/>
            </w:tcBorders>
            <w:shd w:val="clear" w:color="auto" w:fill="auto"/>
            <w:noWrap/>
            <w:hideMark/>
          </w:tcPr>
          <w:p w14:paraId="13A79933" w14:textId="77777777" w:rsidR="00BD53AF" w:rsidRPr="00D40162" w:rsidRDefault="00BD53AF" w:rsidP="00387AE5">
            <w:pPr>
              <w:jc w:val="center"/>
              <w:rPr>
                <w:rFonts w:cs="Times New Roman"/>
                <w:color w:val="000000"/>
                <w:sz w:val="16"/>
                <w:szCs w:val="16"/>
              </w:rPr>
            </w:pPr>
            <w:r>
              <w:rPr>
                <w:color w:val="000000"/>
                <w:sz w:val="18"/>
                <w:szCs w:val="18"/>
              </w:rPr>
              <w:t>3,0</w:t>
            </w:r>
          </w:p>
        </w:tc>
        <w:tc>
          <w:tcPr>
            <w:tcW w:w="583" w:type="dxa"/>
            <w:tcBorders>
              <w:top w:val="nil"/>
              <w:left w:val="nil"/>
              <w:bottom w:val="nil"/>
              <w:right w:val="nil"/>
            </w:tcBorders>
            <w:shd w:val="clear" w:color="auto" w:fill="auto"/>
            <w:noWrap/>
            <w:hideMark/>
          </w:tcPr>
          <w:p w14:paraId="1FACEECE" w14:textId="77777777" w:rsidR="00BD53AF" w:rsidRPr="00D40162" w:rsidRDefault="00BD53AF" w:rsidP="00387AE5">
            <w:pPr>
              <w:jc w:val="center"/>
              <w:rPr>
                <w:rFonts w:cs="Times New Roman"/>
                <w:color w:val="000000"/>
                <w:sz w:val="16"/>
                <w:szCs w:val="16"/>
              </w:rPr>
            </w:pPr>
            <w:r>
              <w:rPr>
                <w:color w:val="000000"/>
                <w:sz w:val="18"/>
                <w:szCs w:val="18"/>
              </w:rPr>
              <w:t>2,7</w:t>
            </w:r>
          </w:p>
        </w:tc>
        <w:tc>
          <w:tcPr>
            <w:tcW w:w="584" w:type="dxa"/>
            <w:tcBorders>
              <w:top w:val="nil"/>
              <w:left w:val="nil"/>
              <w:bottom w:val="nil"/>
              <w:right w:val="nil"/>
            </w:tcBorders>
            <w:shd w:val="clear" w:color="auto" w:fill="auto"/>
            <w:noWrap/>
            <w:hideMark/>
          </w:tcPr>
          <w:p w14:paraId="48520DEE" w14:textId="77777777" w:rsidR="00BD53AF" w:rsidRPr="00D40162" w:rsidRDefault="00BD53AF" w:rsidP="00387AE5">
            <w:pPr>
              <w:jc w:val="center"/>
              <w:rPr>
                <w:rFonts w:cs="Times New Roman"/>
                <w:color w:val="000000"/>
                <w:sz w:val="16"/>
                <w:szCs w:val="16"/>
              </w:rPr>
            </w:pPr>
            <w:r>
              <w:rPr>
                <w:color w:val="000000"/>
                <w:sz w:val="18"/>
                <w:szCs w:val="18"/>
              </w:rPr>
              <w:t>2,5</w:t>
            </w:r>
          </w:p>
        </w:tc>
        <w:tc>
          <w:tcPr>
            <w:tcW w:w="583" w:type="dxa"/>
            <w:tcBorders>
              <w:top w:val="nil"/>
              <w:left w:val="nil"/>
              <w:bottom w:val="nil"/>
              <w:right w:val="nil"/>
            </w:tcBorders>
            <w:shd w:val="clear" w:color="auto" w:fill="auto"/>
            <w:noWrap/>
            <w:hideMark/>
          </w:tcPr>
          <w:p w14:paraId="0EED4D0A" w14:textId="77777777" w:rsidR="00BD53AF" w:rsidRPr="00D40162" w:rsidRDefault="00BD53AF" w:rsidP="00387AE5">
            <w:pPr>
              <w:jc w:val="center"/>
              <w:rPr>
                <w:rFonts w:cs="Times New Roman"/>
                <w:color w:val="000000"/>
                <w:sz w:val="16"/>
                <w:szCs w:val="16"/>
              </w:rPr>
            </w:pPr>
            <w:r>
              <w:rPr>
                <w:color w:val="000000"/>
                <w:sz w:val="18"/>
                <w:szCs w:val="18"/>
              </w:rPr>
              <w:t>3,1</w:t>
            </w:r>
          </w:p>
        </w:tc>
        <w:tc>
          <w:tcPr>
            <w:tcW w:w="584" w:type="dxa"/>
            <w:tcBorders>
              <w:top w:val="nil"/>
              <w:left w:val="single" w:sz="8" w:space="0" w:color="auto"/>
              <w:bottom w:val="nil"/>
              <w:right w:val="nil"/>
            </w:tcBorders>
            <w:shd w:val="clear" w:color="auto" w:fill="auto"/>
            <w:noWrap/>
            <w:hideMark/>
          </w:tcPr>
          <w:p w14:paraId="40B1297D" w14:textId="77777777" w:rsidR="00BD53AF" w:rsidRPr="00D40162" w:rsidRDefault="00BD53AF" w:rsidP="00387AE5">
            <w:pPr>
              <w:jc w:val="center"/>
              <w:rPr>
                <w:rFonts w:cs="Times New Roman"/>
                <w:color w:val="000000"/>
                <w:sz w:val="16"/>
                <w:szCs w:val="16"/>
              </w:rPr>
            </w:pPr>
            <w:r>
              <w:rPr>
                <w:color w:val="000000"/>
                <w:sz w:val="18"/>
                <w:szCs w:val="18"/>
              </w:rPr>
              <w:t>0,2</w:t>
            </w:r>
          </w:p>
        </w:tc>
        <w:tc>
          <w:tcPr>
            <w:tcW w:w="583" w:type="dxa"/>
            <w:tcBorders>
              <w:top w:val="nil"/>
              <w:left w:val="nil"/>
              <w:bottom w:val="nil"/>
              <w:right w:val="nil"/>
            </w:tcBorders>
            <w:shd w:val="clear" w:color="auto" w:fill="auto"/>
            <w:noWrap/>
            <w:hideMark/>
          </w:tcPr>
          <w:p w14:paraId="6791645E" w14:textId="77777777" w:rsidR="00BD53AF" w:rsidRPr="00D40162" w:rsidRDefault="00BD53AF" w:rsidP="00387AE5">
            <w:pPr>
              <w:jc w:val="center"/>
              <w:rPr>
                <w:rFonts w:cs="Times New Roman"/>
                <w:color w:val="000000"/>
                <w:sz w:val="16"/>
                <w:szCs w:val="16"/>
              </w:rPr>
            </w:pPr>
            <w:r>
              <w:rPr>
                <w:color w:val="000000"/>
                <w:sz w:val="18"/>
                <w:szCs w:val="18"/>
              </w:rPr>
              <w:t>0,2</w:t>
            </w:r>
          </w:p>
        </w:tc>
        <w:tc>
          <w:tcPr>
            <w:tcW w:w="584" w:type="dxa"/>
            <w:tcBorders>
              <w:top w:val="nil"/>
              <w:left w:val="nil"/>
              <w:bottom w:val="nil"/>
              <w:right w:val="nil"/>
            </w:tcBorders>
            <w:shd w:val="clear" w:color="auto" w:fill="auto"/>
            <w:noWrap/>
            <w:hideMark/>
          </w:tcPr>
          <w:p w14:paraId="4FC460AF"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D67831" w14:paraId="20370A78" w14:textId="77777777" w:rsidTr="002300C8">
        <w:trPr>
          <w:trHeight w:val="285"/>
        </w:trPr>
        <w:tc>
          <w:tcPr>
            <w:tcW w:w="3128" w:type="dxa"/>
            <w:tcBorders>
              <w:top w:val="nil"/>
              <w:left w:val="nil"/>
              <w:bottom w:val="single" w:sz="8" w:space="0" w:color="auto"/>
              <w:right w:val="single" w:sz="8" w:space="0" w:color="auto"/>
            </w:tcBorders>
            <w:shd w:val="clear" w:color="auto" w:fill="auto"/>
            <w:noWrap/>
            <w:vAlign w:val="center"/>
            <w:hideMark/>
          </w:tcPr>
          <w:p w14:paraId="033B23A5" w14:textId="77777777" w:rsidR="00BD53AF" w:rsidRPr="00D40162" w:rsidRDefault="00BD53AF" w:rsidP="00387AE5">
            <w:pPr>
              <w:rPr>
                <w:rFonts w:cs="Times New Roman"/>
                <w:color w:val="000000"/>
                <w:sz w:val="16"/>
                <w:szCs w:val="16"/>
              </w:rPr>
            </w:pPr>
            <w:r w:rsidRPr="00D40162">
              <w:rPr>
                <w:rFonts w:cs="Times New Roman"/>
                <w:color w:val="000000"/>
                <w:sz w:val="16"/>
                <w:szCs w:val="16"/>
              </w:rPr>
              <w:t xml:space="preserve">    Kapitálové transfery</w:t>
            </w:r>
          </w:p>
        </w:tc>
        <w:tc>
          <w:tcPr>
            <w:tcW w:w="551" w:type="dxa"/>
            <w:tcBorders>
              <w:top w:val="nil"/>
              <w:left w:val="nil"/>
              <w:bottom w:val="single" w:sz="8" w:space="0" w:color="auto"/>
              <w:right w:val="nil"/>
            </w:tcBorders>
            <w:shd w:val="clear" w:color="auto" w:fill="auto"/>
            <w:noWrap/>
            <w:hideMark/>
          </w:tcPr>
          <w:p w14:paraId="0ED33534" w14:textId="77777777" w:rsidR="00BD53AF" w:rsidRPr="00D40162" w:rsidRDefault="00BD53AF" w:rsidP="00387AE5">
            <w:pPr>
              <w:jc w:val="center"/>
              <w:rPr>
                <w:rFonts w:cs="Times New Roman"/>
                <w:color w:val="000000"/>
                <w:sz w:val="16"/>
                <w:szCs w:val="16"/>
              </w:rPr>
            </w:pPr>
            <w:r w:rsidRPr="00D40162">
              <w:rPr>
                <w:sz w:val="16"/>
                <w:szCs w:val="16"/>
              </w:rPr>
              <w:t>0,3</w:t>
            </w:r>
          </w:p>
        </w:tc>
        <w:tc>
          <w:tcPr>
            <w:tcW w:w="583" w:type="dxa"/>
            <w:tcBorders>
              <w:top w:val="nil"/>
              <w:left w:val="single" w:sz="8" w:space="0" w:color="auto"/>
              <w:bottom w:val="single" w:sz="8" w:space="0" w:color="auto"/>
              <w:right w:val="nil"/>
            </w:tcBorders>
            <w:shd w:val="clear" w:color="auto" w:fill="auto"/>
            <w:noWrap/>
            <w:hideMark/>
          </w:tcPr>
          <w:p w14:paraId="57ACD193" w14:textId="77777777" w:rsidR="00BD53AF" w:rsidRPr="00D40162" w:rsidRDefault="00BD53AF" w:rsidP="00387AE5">
            <w:pPr>
              <w:jc w:val="center"/>
              <w:rPr>
                <w:rFonts w:cs="Times New Roman"/>
                <w:color w:val="000000"/>
                <w:sz w:val="16"/>
                <w:szCs w:val="16"/>
              </w:rPr>
            </w:pPr>
            <w:r>
              <w:rPr>
                <w:color w:val="000000"/>
                <w:sz w:val="18"/>
                <w:szCs w:val="18"/>
              </w:rPr>
              <w:t>0,2</w:t>
            </w:r>
          </w:p>
        </w:tc>
        <w:tc>
          <w:tcPr>
            <w:tcW w:w="583" w:type="dxa"/>
            <w:tcBorders>
              <w:top w:val="nil"/>
              <w:left w:val="nil"/>
              <w:bottom w:val="single" w:sz="8" w:space="0" w:color="auto"/>
              <w:right w:val="nil"/>
            </w:tcBorders>
            <w:shd w:val="clear" w:color="auto" w:fill="auto"/>
            <w:noWrap/>
            <w:hideMark/>
          </w:tcPr>
          <w:p w14:paraId="1BF0E266" w14:textId="77777777" w:rsidR="00BD53AF" w:rsidRPr="00D40162" w:rsidRDefault="00BD53AF" w:rsidP="00387AE5">
            <w:pPr>
              <w:jc w:val="center"/>
              <w:rPr>
                <w:rFonts w:cs="Times New Roman"/>
                <w:color w:val="000000"/>
                <w:sz w:val="16"/>
                <w:szCs w:val="16"/>
              </w:rPr>
            </w:pPr>
            <w:r>
              <w:rPr>
                <w:color w:val="000000"/>
                <w:sz w:val="18"/>
                <w:szCs w:val="18"/>
              </w:rPr>
              <w:t>0,3</w:t>
            </w:r>
          </w:p>
        </w:tc>
        <w:tc>
          <w:tcPr>
            <w:tcW w:w="584" w:type="dxa"/>
            <w:tcBorders>
              <w:top w:val="nil"/>
              <w:left w:val="nil"/>
              <w:bottom w:val="single" w:sz="8" w:space="0" w:color="auto"/>
              <w:right w:val="single" w:sz="8" w:space="0" w:color="auto"/>
            </w:tcBorders>
            <w:shd w:val="clear" w:color="auto" w:fill="auto"/>
            <w:noWrap/>
            <w:hideMark/>
          </w:tcPr>
          <w:p w14:paraId="032A2F69" w14:textId="77777777" w:rsidR="00BD53AF" w:rsidRPr="00D40162" w:rsidRDefault="00BD53AF" w:rsidP="00387AE5">
            <w:pPr>
              <w:jc w:val="center"/>
              <w:rPr>
                <w:rFonts w:cs="Times New Roman"/>
                <w:color w:val="000000"/>
                <w:sz w:val="16"/>
                <w:szCs w:val="16"/>
              </w:rPr>
            </w:pPr>
            <w:r>
              <w:rPr>
                <w:color w:val="000000"/>
                <w:sz w:val="18"/>
                <w:szCs w:val="18"/>
              </w:rPr>
              <w:t>0,3</w:t>
            </w:r>
          </w:p>
        </w:tc>
        <w:tc>
          <w:tcPr>
            <w:tcW w:w="583" w:type="dxa"/>
            <w:tcBorders>
              <w:top w:val="nil"/>
              <w:left w:val="nil"/>
              <w:bottom w:val="single" w:sz="8" w:space="0" w:color="auto"/>
              <w:right w:val="nil"/>
            </w:tcBorders>
            <w:shd w:val="clear" w:color="auto" w:fill="auto"/>
            <w:noWrap/>
            <w:hideMark/>
          </w:tcPr>
          <w:p w14:paraId="04698625"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4" w:type="dxa"/>
            <w:tcBorders>
              <w:top w:val="nil"/>
              <w:left w:val="nil"/>
              <w:bottom w:val="single" w:sz="8" w:space="0" w:color="auto"/>
              <w:right w:val="nil"/>
            </w:tcBorders>
            <w:shd w:val="clear" w:color="auto" w:fill="auto"/>
            <w:noWrap/>
            <w:hideMark/>
          </w:tcPr>
          <w:p w14:paraId="5F4BF95B"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3" w:type="dxa"/>
            <w:tcBorders>
              <w:top w:val="nil"/>
              <w:left w:val="nil"/>
              <w:bottom w:val="single" w:sz="8" w:space="0" w:color="auto"/>
              <w:right w:val="nil"/>
            </w:tcBorders>
            <w:shd w:val="clear" w:color="auto" w:fill="auto"/>
            <w:noWrap/>
            <w:hideMark/>
          </w:tcPr>
          <w:p w14:paraId="00AA0693"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4" w:type="dxa"/>
            <w:tcBorders>
              <w:top w:val="nil"/>
              <w:left w:val="single" w:sz="8" w:space="0" w:color="auto"/>
              <w:bottom w:val="single" w:sz="8" w:space="0" w:color="auto"/>
              <w:right w:val="nil"/>
            </w:tcBorders>
            <w:shd w:val="clear" w:color="auto" w:fill="auto"/>
            <w:noWrap/>
            <w:hideMark/>
          </w:tcPr>
          <w:p w14:paraId="15CAD686" w14:textId="77777777" w:rsidR="00BD53AF" w:rsidRPr="00D40162" w:rsidRDefault="00BD53AF" w:rsidP="00387AE5">
            <w:pPr>
              <w:jc w:val="center"/>
              <w:rPr>
                <w:rFonts w:cs="Times New Roman"/>
                <w:color w:val="000000"/>
                <w:sz w:val="16"/>
                <w:szCs w:val="16"/>
              </w:rPr>
            </w:pPr>
            <w:r>
              <w:rPr>
                <w:color w:val="000000"/>
                <w:sz w:val="18"/>
                <w:szCs w:val="18"/>
              </w:rPr>
              <w:t>-0,1</w:t>
            </w:r>
          </w:p>
        </w:tc>
        <w:tc>
          <w:tcPr>
            <w:tcW w:w="583" w:type="dxa"/>
            <w:tcBorders>
              <w:top w:val="nil"/>
              <w:left w:val="nil"/>
              <w:bottom w:val="single" w:sz="8" w:space="0" w:color="auto"/>
              <w:right w:val="nil"/>
            </w:tcBorders>
            <w:shd w:val="clear" w:color="auto" w:fill="auto"/>
            <w:noWrap/>
            <w:hideMark/>
          </w:tcPr>
          <w:p w14:paraId="21949119" w14:textId="77777777" w:rsidR="00BD53AF" w:rsidRPr="00D40162" w:rsidRDefault="00BD53AF" w:rsidP="00387AE5">
            <w:pPr>
              <w:jc w:val="center"/>
              <w:rPr>
                <w:rFonts w:cs="Times New Roman"/>
                <w:color w:val="000000"/>
                <w:sz w:val="16"/>
                <w:szCs w:val="16"/>
              </w:rPr>
            </w:pPr>
            <w:r>
              <w:rPr>
                <w:color w:val="000000"/>
                <w:sz w:val="18"/>
                <w:szCs w:val="18"/>
              </w:rPr>
              <w:t>-0,2</w:t>
            </w:r>
          </w:p>
        </w:tc>
        <w:tc>
          <w:tcPr>
            <w:tcW w:w="584" w:type="dxa"/>
            <w:tcBorders>
              <w:top w:val="nil"/>
              <w:left w:val="nil"/>
              <w:bottom w:val="single" w:sz="8" w:space="0" w:color="auto"/>
              <w:right w:val="nil"/>
            </w:tcBorders>
            <w:shd w:val="clear" w:color="auto" w:fill="auto"/>
            <w:noWrap/>
            <w:hideMark/>
          </w:tcPr>
          <w:p w14:paraId="5B8F36D2" w14:textId="77777777" w:rsidR="00BD53AF" w:rsidRPr="00D40162" w:rsidRDefault="00BD53AF" w:rsidP="00387AE5">
            <w:pPr>
              <w:jc w:val="center"/>
              <w:rPr>
                <w:rFonts w:cs="Times New Roman"/>
                <w:color w:val="000000"/>
                <w:sz w:val="16"/>
                <w:szCs w:val="16"/>
              </w:rPr>
            </w:pPr>
            <w:r>
              <w:rPr>
                <w:color w:val="000000"/>
                <w:sz w:val="18"/>
                <w:szCs w:val="18"/>
              </w:rPr>
              <w:t>-0,1</w:t>
            </w:r>
          </w:p>
        </w:tc>
      </w:tr>
      <w:tr w:rsidR="00BD53AF" w:rsidRPr="00D40162" w14:paraId="39AEB852" w14:textId="77777777" w:rsidTr="002300C8">
        <w:trPr>
          <w:trHeight w:val="285"/>
        </w:trPr>
        <w:tc>
          <w:tcPr>
            <w:tcW w:w="3128" w:type="dxa"/>
            <w:tcBorders>
              <w:top w:val="single" w:sz="8" w:space="0" w:color="auto"/>
              <w:left w:val="nil"/>
              <w:bottom w:val="single" w:sz="4" w:space="0" w:color="auto"/>
              <w:right w:val="single" w:sz="8" w:space="0" w:color="auto"/>
            </w:tcBorders>
            <w:shd w:val="clear" w:color="auto" w:fill="auto"/>
            <w:noWrap/>
            <w:vAlign w:val="center"/>
            <w:hideMark/>
          </w:tcPr>
          <w:p w14:paraId="7A99563C" w14:textId="77777777" w:rsidR="00BD53AF" w:rsidRPr="00D40162" w:rsidRDefault="00BD53AF" w:rsidP="00387AE5">
            <w:pPr>
              <w:rPr>
                <w:rFonts w:cs="Times New Roman"/>
                <w:b/>
                <w:bCs/>
                <w:color w:val="000000"/>
                <w:sz w:val="18"/>
                <w:szCs w:val="18"/>
              </w:rPr>
            </w:pPr>
            <w:r w:rsidRPr="00D40162">
              <w:rPr>
                <w:rFonts w:cs="Times New Roman"/>
                <w:b/>
                <w:bCs/>
                <w:color w:val="000000"/>
                <w:sz w:val="18"/>
                <w:szCs w:val="18"/>
              </w:rPr>
              <w:t>3. Čisté pôžičky poskytnuté / prijaté</w:t>
            </w:r>
          </w:p>
        </w:tc>
        <w:tc>
          <w:tcPr>
            <w:tcW w:w="551" w:type="dxa"/>
            <w:tcBorders>
              <w:top w:val="single" w:sz="8" w:space="0" w:color="auto"/>
              <w:left w:val="nil"/>
              <w:bottom w:val="single" w:sz="4" w:space="0" w:color="auto"/>
              <w:right w:val="single" w:sz="4" w:space="0" w:color="auto"/>
            </w:tcBorders>
            <w:shd w:val="clear" w:color="auto" w:fill="auto"/>
            <w:noWrap/>
            <w:hideMark/>
          </w:tcPr>
          <w:p w14:paraId="678E4849" w14:textId="77777777" w:rsidR="00BD53AF" w:rsidRPr="00D40162" w:rsidRDefault="00BD53AF" w:rsidP="00387AE5">
            <w:pPr>
              <w:jc w:val="center"/>
              <w:rPr>
                <w:rFonts w:cs="Times New Roman"/>
                <w:b/>
                <w:bCs/>
                <w:color w:val="000000"/>
                <w:sz w:val="18"/>
                <w:szCs w:val="18"/>
              </w:rPr>
            </w:pPr>
            <w:r w:rsidRPr="00D40162">
              <w:rPr>
                <w:b/>
                <w:sz w:val="18"/>
                <w:szCs w:val="18"/>
              </w:rPr>
              <w:t>0,0</w:t>
            </w:r>
          </w:p>
        </w:tc>
        <w:tc>
          <w:tcPr>
            <w:tcW w:w="583" w:type="dxa"/>
            <w:tcBorders>
              <w:top w:val="single" w:sz="8" w:space="0" w:color="auto"/>
              <w:left w:val="single" w:sz="4" w:space="0" w:color="auto"/>
              <w:bottom w:val="single" w:sz="4" w:space="0" w:color="auto"/>
              <w:right w:val="nil"/>
            </w:tcBorders>
            <w:shd w:val="clear" w:color="auto" w:fill="auto"/>
            <w:noWrap/>
            <w:hideMark/>
          </w:tcPr>
          <w:p w14:paraId="58780889" w14:textId="77777777" w:rsidR="00BD53AF" w:rsidRPr="00D40162" w:rsidRDefault="00BD53AF" w:rsidP="00387AE5">
            <w:pPr>
              <w:jc w:val="center"/>
              <w:rPr>
                <w:rFonts w:cs="Times New Roman"/>
                <w:b/>
                <w:bCs/>
                <w:color w:val="000000"/>
                <w:sz w:val="18"/>
                <w:szCs w:val="18"/>
              </w:rPr>
            </w:pPr>
            <w:r>
              <w:rPr>
                <w:b/>
                <w:bCs/>
                <w:color w:val="000000"/>
                <w:sz w:val="18"/>
                <w:szCs w:val="18"/>
              </w:rPr>
              <w:t>0,4</w:t>
            </w:r>
          </w:p>
        </w:tc>
        <w:tc>
          <w:tcPr>
            <w:tcW w:w="583" w:type="dxa"/>
            <w:tcBorders>
              <w:top w:val="single" w:sz="8" w:space="0" w:color="auto"/>
              <w:left w:val="nil"/>
              <w:bottom w:val="single" w:sz="4" w:space="0" w:color="auto"/>
              <w:right w:val="nil"/>
            </w:tcBorders>
            <w:shd w:val="clear" w:color="auto" w:fill="auto"/>
            <w:noWrap/>
            <w:hideMark/>
          </w:tcPr>
          <w:p w14:paraId="0FEC5ED1" w14:textId="77777777" w:rsidR="00BD53AF" w:rsidRPr="00D40162" w:rsidRDefault="00BD53AF" w:rsidP="00387AE5">
            <w:pPr>
              <w:jc w:val="center"/>
              <w:rPr>
                <w:rFonts w:cs="Times New Roman"/>
                <w:b/>
                <w:bCs/>
                <w:color w:val="000000"/>
                <w:sz w:val="18"/>
                <w:szCs w:val="18"/>
              </w:rPr>
            </w:pPr>
            <w:r>
              <w:rPr>
                <w:b/>
                <w:bCs/>
                <w:color w:val="000000"/>
                <w:sz w:val="18"/>
                <w:szCs w:val="18"/>
              </w:rPr>
              <w:t>0,4</w:t>
            </w:r>
          </w:p>
        </w:tc>
        <w:tc>
          <w:tcPr>
            <w:tcW w:w="584" w:type="dxa"/>
            <w:tcBorders>
              <w:top w:val="single" w:sz="8" w:space="0" w:color="auto"/>
              <w:left w:val="nil"/>
              <w:bottom w:val="single" w:sz="4" w:space="0" w:color="auto"/>
              <w:right w:val="single" w:sz="8" w:space="0" w:color="auto"/>
            </w:tcBorders>
            <w:shd w:val="clear" w:color="auto" w:fill="auto"/>
            <w:noWrap/>
            <w:hideMark/>
          </w:tcPr>
          <w:p w14:paraId="79FE32BE" w14:textId="77777777" w:rsidR="00BD53AF" w:rsidRPr="00D40162" w:rsidRDefault="00BD53AF" w:rsidP="00387AE5">
            <w:pPr>
              <w:jc w:val="center"/>
              <w:rPr>
                <w:rFonts w:cs="Times New Roman"/>
                <w:b/>
                <w:bCs/>
                <w:color w:val="000000"/>
                <w:sz w:val="18"/>
                <w:szCs w:val="18"/>
              </w:rPr>
            </w:pPr>
            <w:r>
              <w:rPr>
                <w:b/>
                <w:bCs/>
                <w:color w:val="000000"/>
                <w:sz w:val="18"/>
                <w:szCs w:val="18"/>
              </w:rPr>
              <w:t>0,2</w:t>
            </w:r>
          </w:p>
        </w:tc>
        <w:tc>
          <w:tcPr>
            <w:tcW w:w="583" w:type="dxa"/>
            <w:tcBorders>
              <w:top w:val="single" w:sz="8" w:space="0" w:color="auto"/>
              <w:left w:val="nil"/>
              <w:bottom w:val="single" w:sz="4" w:space="0" w:color="auto"/>
              <w:right w:val="nil"/>
            </w:tcBorders>
            <w:shd w:val="clear" w:color="auto" w:fill="auto"/>
            <w:noWrap/>
            <w:hideMark/>
          </w:tcPr>
          <w:p w14:paraId="27ED936B" w14:textId="77777777" w:rsidR="00BD53AF" w:rsidRPr="00D40162" w:rsidRDefault="00BD53AF" w:rsidP="00387AE5">
            <w:pPr>
              <w:jc w:val="center"/>
              <w:rPr>
                <w:rFonts w:cs="Times New Roman"/>
                <w:b/>
                <w:bCs/>
                <w:color w:val="000000"/>
                <w:sz w:val="18"/>
                <w:szCs w:val="18"/>
              </w:rPr>
            </w:pPr>
            <w:r>
              <w:rPr>
                <w:b/>
                <w:bCs/>
                <w:color w:val="000000"/>
                <w:sz w:val="18"/>
                <w:szCs w:val="18"/>
              </w:rPr>
              <w:t>0,0</w:t>
            </w:r>
          </w:p>
        </w:tc>
        <w:tc>
          <w:tcPr>
            <w:tcW w:w="584" w:type="dxa"/>
            <w:tcBorders>
              <w:top w:val="single" w:sz="8" w:space="0" w:color="auto"/>
              <w:left w:val="nil"/>
              <w:bottom w:val="single" w:sz="4" w:space="0" w:color="auto"/>
              <w:right w:val="nil"/>
            </w:tcBorders>
            <w:shd w:val="clear" w:color="auto" w:fill="auto"/>
            <w:noWrap/>
            <w:hideMark/>
          </w:tcPr>
          <w:p w14:paraId="603D3507" w14:textId="77777777" w:rsidR="00BD53AF" w:rsidRPr="00D40162" w:rsidRDefault="00BD53AF" w:rsidP="00387AE5">
            <w:pPr>
              <w:jc w:val="center"/>
              <w:rPr>
                <w:rFonts w:cs="Times New Roman"/>
                <w:b/>
                <w:bCs/>
                <w:color w:val="000000"/>
                <w:sz w:val="18"/>
                <w:szCs w:val="18"/>
              </w:rPr>
            </w:pPr>
            <w:r>
              <w:rPr>
                <w:b/>
                <w:bCs/>
                <w:color w:val="000000"/>
                <w:sz w:val="18"/>
                <w:szCs w:val="18"/>
              </w:rPr>
              <w:t>0,0</w:t>
            </w:r>
          </w:p>
        </w:tc>
        <w:tc>
          <w:tcPr>
            <w:tcW w:w="583" w:type="dxa"/>
            <w:tcBorders>
              <w:top w:val="single" w:sz="8" w:space="0" w:color="auto"/>
              <w:left w:val="nil"/>
              <w:bottom w:val="single" w:sz="4" w:space="0" w:color="auto"/>
              <w:right w:val="single" w:sz="8" w:space="0" w:color="auto"/>
            </w:tcBorders>
            <w:shd w:val="clear" w:color="auto" w:fill="auto"/>
            <w:noWrap/>
            <w:hideMark/>
          </w:tcPr>
          <w:p w14:paraId="2728407C" w14:textId="77777777" w:rsidR="00BD53AF" w:rsidRPr="00D40162" w:rsidRDefault="00BD53AF" w:rsidP="00387AE5">
            <w:pPr>
              <w:jc w:val="center"/>
              <w:rPr>
                <w:rFonts w:cs="Times New Roman"/>
                <w:b/>
                <w:bCs/>
                <w:color w:val="000000"/>
                <w:sz w:val="18"/>
                <w:szCs w:val="18"/>
              </w:rPr>
            </w:pPr>
            <w:r>
              <w:rPr>
                <w:b/>
                <w:bCs/>
                <w:color w:val="000000"/>
                <w:sz w:val="18"/>
                <w:szCs w:val="18"/>
              </w:rPr>
              <w:t>0,0</w:t>
            </w:r>
          </w:p>
        </w:tc>
        <w:tc>
          <w:tcPr>
            <w:tcW w:w="584" w:type="dxa"/>
            <w:tcBorders>
              <w:top w:val="single" w:sz="8" w:space="0" w:color="auto"/>
              <w:left w:val="nil"/>
              <w:bottom w:val="single" w:sz="4" w:space="0" w:color="auto"/>
              <w:right w:val="nil"/>
            </w:tcBorders>
            <w:shd w:val="clear" w:color="auto" w:fill="auto"/>
            <w:noWrap/>
            <w:hideMark/>
          </w:tcPr>
          <w:p w14:paraId="4E3EA0F3" w14:textId="77777777" w:rsidR="00BD53AF" w:rsidRPr="00D40162" w:rsidRDefault="00BD53AF" w:rsidP="00387AE5">
            <w:pPr>
              <w:jc w:val="center"/>
              <w:rPr>
                <w:rFonts w:cs="Times New Roman"/>
                <w:b/>
                <w:bCs/>
                <w:color w:val="000000"/>
                <w:sz w:val="18"/>
                <w:szCs w:val="18"/>
              </w:rPr>
            </w:pPr>
            <w:r>
              <w:rPr>
                <w:b/>
                <w:bCs/>
                <w:color w:val="000000"/>
                <w:sz w:val="18"/>
                <w:szCs w:val="18"/>
              </w:rPr>
              <w:t>-0,4</w:t>
            </w:r>
          </w:p>
        </w:tc>
        <w:tc>
          <w:tcPr>
            <w:tcW w:w="583" w:type="dxa"/>
            <w:tcBorders>
              <w:top w:val="single" w:sz="8" w:space="0" w:color="auto"/>
              <w:left w:val="nil"/>
              <w:bottom w:val="single" w:sz="4" w:space="0" w:color="auto"/>
              <w:right w:val="nil"/>
            </w:tcBorders>
            <w:shd w:val="clear" w:color="auto" w:fill="auto"/>
            <w:noWrap/>
            <w:hideMark/>
          </w:tcPr>
          <w:p w14:paraId="53B16431" w14:textId="77777777" w:rsidR="00BD53AF" w:rsidRPr="00D40162" w:rsidRDefault="00BD53AF" w:rsidP="00387AE5">
            <w:pPr>
              <w:jc w:val="center"/>
              <w:rPr>
                <w:rFonts w:cs="Times New Roman"/>
                <w:b/>
                <w:bCs/>
                <w:color w:val="000000"/>
                <w:sz w:val="18"/>
                <w:szCs w:val="18"/>
              </w:rPr>
            </w:pPr>
            <w:r>
              <w:rPr>
                <w:b/>
                <w:bCs/>
                <w:color w:val="000000"/>
                <w:sz w:val="18"/>
                <w:szCs w:val="18"/>
              </w:rPr>
              <w:t>-0,4</w:t>
            </w:r>
          </w:p>
        </w:tc>
        <w:tc>
          <w:tcPr>
            <w:tcW w:w="584" w:type="dxa"/>
            <w:tcBorders>
              <w:top w:val="single" w:sz="8" w:space="0" w:color="auto"/>
              <w:left w:val="nil"/>
              <w:bottom w:val="single" w:sz="4" w:space="0" w:color="auto"/>
              <w:right w:val="nil"/>
            </w:tcBorders>
            <w:shd w:val="clear" w:color="auto" w:fill="auto"/>
            <w:noWrap/>
            <w:hideMark/>
          </w:tcPr>
          <w:p w14:paraId="575D8471" w14:textId="77777777" w:rsidR="00BD53AF" w:rsidRPr="00D40162" w:rsidRDefault="00BD53AF" w:rsidP="00387AE5">
            <w:pPr>
              <w:jc w:val="center"/>
              <w:rPr>
                <w:rFonts w:cs="Times New Roman"/>
                <w:b/>
                <w:bCs/>
                <w:color w:val="000000"/>
                <w:sz w:val="18"/>
                <w:szCs w:val="18"/>
              </w:rPr>
            </w:pPr>
            <w:r>
              <w:rPr>
                <w:b/>
                <w:bCs/>
                <w:color w:val="000000"/>
                <w:sz w:val="18"/>
                <w:szCs w:val="18"/>
              </w:rPr>
              <w:t>-0,2</w:t>
            </w:r>
          </w:p>
        </w:tc>
      </w:tr>
      <w:tr w:rsidR="00BD53AF" w:rsidRPr="004F1515" w14:paraId="3CCFF48F" w14:textId="77777777" w:rsidTr="002300C8">
        <w:trPr>
          <w:trHeight w:val="285"/>
        </w:trPr>
        <w:tc>
          <w:tcPr>
            <w:tcW w:w="8930" w:type="dxa"/>
            <w:gridSpan w:val="11"/>
            <w:tcBorders>
              <w:top w:val="single" w:sz="4" w:space="0" w:color="auto"/>
              <w:left w:val="nil"/>
            </w:tcBorders>
            <w:shd w:val="clear" w:color="auto" w:fill="auto"/>
            <w:noWrap/>
            <w:vAlign w:val="center"/>
          </w:tcPr>
          <w:p w14:paraId="7EE1F063" w14:textId="77777777" w:rsidR="00BD53AF" w:rsidRPr="004F1515" w:rsidRDefault="00BD53AF" w:rsidP="00387AE5">
            <w:pPr>
              <w:jc w:val="right"/>
              <w:rPr>
                <w:i/>
                <w:sz w:val="16"/>
                <w:szCs w:val="16"/>
              </w:rPr>
            </w:pPr>
            <w:r w:rsidRPr="004F1515">
              <w:rPr>
                <w:i/>
                <w:sz w:val="16"/>
                <w:szCs w:val="16"/>
              </w:rPr>
              <w:t>Zdroj: MF SR</w:t>
            </w:r>
          </w:p>
        </w:tc>
      </w:tr>
    </w:tbl>
    <w:p w14:paraId="10E5EFB0" w14:textId="77777777" w:rsidR="00BD53AF" w:rsidRPr="00566C51" w:rsidRDefault="00BD53AF" w:rsidP="004F1515">
      <w:pPr>
        <w:spacing w:before="240" w:after="120"/>
        <w:jc w:val="both"/>
        <w:rPr>
          <w:b/>
          <w:color w:val="2C9ADC"/>
          <w:sz w:val="24"/>
          <w:szCs w:val="24"/>
        </w:rPr>
      </w:pPr>
      <w:r w:rsidRPr="00566C51">
        <w:rPr>
          <w:b/>
          <w:color w:val="2C9ADC"/>
          <w:sz w:val="24"/>
          <w:szCs w:val="24"/>
        </w:rPr>
        <w:t>Vývoj na strane príjmov</w:t>
      </w:r>
    </w:p>
    <w:p w14:paraId="6028EF54" w14:textId="77777777" w:rsidR="00BD53AF" w:rsidRDefault="00BD53AF" w:rsidP="00BD53AF">
      <w:pPr>
        <w:jc w:val="both"/>
      </w:pPr>
      <w:r>
        <w:rPr>
          <w:b/>
        </w:rPr>
        <w:t>Nové</w:t>
      </w:r>
      <w:r w:rsidRPr="00566C51">
        <w:rPr>
          <w:b/>
        </w:rPr>
        <w:t xml:space="preserve"> príjmov</w:t>
      </w:r>
      <w:r>
        <w:rPr>
          <w:b/>
        </w:rPr>
        <w:t>é</w:t>
      </w:r>
      <w:r w:rsidRPr="00566C51">
        <w:rPr>
          <w:b/>
        </w:rPr>
        <w:t xml:space="preserve"> opatren</w:t>
      </w:r>
      <w:r>
        <w:rPr>
          <w:b/>
        </w:rPr>
        <w:t>ia</w:t>
      </w:r>
      <w:r w:rsidRPr="00566C51">
        <w:rPr>
          <w:b/>
        </w:rPr>
        <w:t xml:space="preserve"> pre roky 2020 až 2022 </w:t>
      </w:r>
      <w:r>
        <w:rPr>
          <w:b/>
        </w:rPr>
        <w:t>majú</w:t>
      </w:r>
      <w:r w:rsidRPr="00566C51">
        <w:rPr>
          <w:b/>
        </w:rPr>
        <w:t xml:space="preserve"> v porovnaní so scenárom NPC </w:t>
      </w:r>
      <w:r>
        <w:rPr>
          <w:b/>
        </w:rPr>
        <w:t>kladný vplyv na saldo VS</w:t>
      </w:r>
      <w:r w:rsidRPr="00566C51">
        <w:t xml:space="preserve">. </w:t>
      </w:r>
      <w:r>
        <w:t>Nové l</w:t>
      </w:r>
      <w:r w:rsidRPr="00566C51">
        <w:t>egislatívne opatrenia identifikované v oblasti daňových a odvodových príjmov majú mierne expanzívny charakter</w:t>
      </w:r>
      <w:r>
        <w:t>, ktorý však kompenzuje najmä nárast zdrojov v zdravotníckych zariadeniach nad rámec NPC scenára.</w:t>
      </w:r>
    </w:p>
    <w:p w14:paraId="1D7252CB" w14:textId="77777777" w:rsidR="00BD53AF" w:rsidRDefault="00BD53AF" w:rsidP="00BD53AF">
      <w:pPr>
        <w:jc w:val="both"/>
      </w:pPr>
    </w:p>
    <w:p w14:paraId="45DEF117" w14:textId="77777777" w:rsidR="00BD53AF" w:rsidRPr="00D40162" w:rsidRDefault="00BD53AF" w:rsidP="00BD53AF">
      <w:pPr>
        <w:pStyle w:val="Odsekzoznamu"/>
        <w:numPr>
          <w:ilvl w:val="0"/>
          <w:numId w:val="10"/>
        </w:numPr>
        <w:spacing w:after="200"/>
        <w:ind w:left="360"/>
        <w:jc w:val="both"/>
      </w:pPr>
      <w:r w:rsidRPr="00D40162">
        <w:rPr>
          <w:b/>
        </w:rPr>
        <w:t>Novela zákona upravujúceho poskytovanie 13. a 14. platu priniesla zníženie minimálnej výšky odmeny pre uplatnenie zvýhodnenia 13. platu na 500 eur.</w:t>
      </w:r>
      <w:r w:rsidRPr="00D40162">
        <w:t xml:space="preserve"> Táto zmena spôsobí v období rokov 2020 až 2022 dodatočný výpadok daňovo-odvodových príjmov o 30 až 50 mil. eur oproti </w:t>
      </w:r>
      <w:r>
        <w:t>predošlej</w:t>
      </w:r>
      <w:r w:rsidRPr="00D40162">
        <w:t xml:space="preserve"> legislatíve. </w:t>
      </w:r>
      <w:r>
        <w:t>Predošlé</w:t>
      </w:r>
      <w:r w:rsidRPr="00D40162">
        <w:t xml:space="preserve"> legislatívne znenie defin</w:t>
      </w:r>
      <w:r>
        <w:t>ovalo</w:t>
      </w:r>
      <w:r w:rsidRPr="00D40162">
        <w:t xml:space="preserve"> minimálnu výšku 13. platu ako priemernú mzdu zamestnanca za predchádzajúce 3 mesiace. Vzhľadom na vyšší počet osôb, ktoré si uplatnia 13. plat, sa zvýhodnenie dotkne aj počtu osôb s nárokom na zvýhodnenie 14. platu.</w:t>
      </w:r>
      <w:r w:rsidRPr="00D40162">
        <w:rPr>
          <w:rStyle w:val="Odkaznapoznmkupodiarou"/>
        </w:rPr>
        <w:footnoteReference w:id="31"/>
      </w:r>
    </w:p>
    <w:p w14:paraId="14D3D3CD" w14:textId="77777777" w:rsidR="00BD53AF" w:rsidRDefault="00BD53AF" w:rsidP="00BD53AF">
      <w:pPr>
        <w:pStyle w:val="Odsekzoznamu"/>
        <w:spacing w:after="200"/>
        <w:jc w:val="both"/>
      </w:pPr>
    </w:p>
    <w:p w14:paraId="1D712E26" w14:textId="77777777" w:rsidR="00BD53AF" w:rsidRPr="0067164D" w:rsidRDefault="00BD53AF" w:rsidP="00BD53AF">
      <w:pPr>
        <w:pStyle w:val="Odsekzoznamu"/>
        <w:numPr>
          <w:ilvl w:val="0"/>
          <w:numId w:val="10"/>
        </w:numPr>
        <w:spacing w:after="200"/>
        <w:ind w:left="360"/>
        <w:jc w:val="both"/>
        <w:rPr>
          <w:b/>
        </w:rPr>
      </w:pPr>
      <w:r w:rsidRPr="0067164D">
        <w:rPr>
          <w:b/>
        </w:rPr>
        <w:t xml:space="preserve">Od roku 2020 počíta fiškálny rámec </w:t>
      </w:r>
      <w:r>
        <w:rPr>
          <w:b/>
        </w:rPr>
        <w:t xml:space="preserve">s </w:t>
      </w:r>
      <w:r w:rsidRPr="0067164D">
        <w:rPr>
          <w:b/>
        </w:rPr>
        <w:t xml:space="preserve">dodatočným navýšením poplatku za správu núdzových zásob ropy a ropných </w:t>
      </w:r>
      <w:r>
        <w:rPr>
          <w:b/>
        </w:rPr>
        <w:t>výrobkov</w:t>
      </w:r>
      <w:r w:rsidRPr="0067164D">
        <w:rPr>
          <w:b/>
        </w:rPr>
        <w:t xml:space="preserve"> vo výške 3</w:t>
      </w:r>
      <w:r>
        <w:rPr>
          <w:b/>
        </w:rPr>
        <w:t>3</w:t>
      </w:r>
      <w:r w:rsidRPr="0067164D">
        <w:rPr>
          <w:b/>
        </w:rPr>
        <w:t xml:space="preserve"> mil. eur. </w:t>
      </w:r>
      <w:r>
        <w:t>Nárast príjmov</w:t>
      </w:r>
      <w:r w:rsidRPr="0067164D">
        <w:t xml:space="preserve"> vychádza z</w:t>
      </w:r>
      <w:r>
        <w:t> dodatočného</w:t>
      </w:r>
      <w:r w:rsidRPr="0067164D">
        <w:t xml:space="preserve"> zvýšenia poplatku o jeden </w:t>
      </w:r>
      <w:r>
        <w:t>euro</w:t>
      </w:r>
      <w:r w:rsidRPr="0067164D">
        <w:t>cent oproti súčasnosti</w:t>
      </w:r>
      <w:r>
        <w:t>.</w:t>
      </w:r>
    </w:p>
    <w:p w14:paraId="1A043702" w14:textId="77777777" w:rsidR="00BD53AF" w:rsidRDefault="00BD53AF" w:rsidP="00BD53AF">
      <w:pPr>
        <w:pStyle w:val="Odsekzoznamu"/>
      </w:pPr>
    </w:p>
    <w:p w14:paraId="2EBEFAFB" w14:textId="77777777" w:rsidR="00BD53AF" w:rsidRDefault="00BD53AF" w:rsidP="00BD53AF">
      <w:pPr>
        <w:pStyle w:val="Odsekzoznamu"/>
        <w:numPr>
          <w:ilvl w:val="0"/>
          <w:numId w:val="10"/>
        </w:numPr>
        <w:spacing w:after="200"/>
        <w:ind w:left="360"/>
        <w:jc w:val="both"/>
      </w:pPr>
      <w:r w:rsidRPr="00E33A67">
        <w:rPr>
          <w:b/>
        </w:rPr>
        <w:t xml:space="preserve">Nedaňové príjmy </w:t>
      </w:r>
      <w:r>
        <w:rPr>
          <w:b/>
        </w:rPr>
        <w:t>budú rásť skrz</w:t>
      </w:r>
      <w:r w:rsidRPr="00E33A67">
        <w:rPr>
          <w:b/>
        </w:rPr>
        <w:t xml:space="preserve"> vyššie príjmy zdravotníckych zariadení </w:t>
      </w:r>
      <w:r>
        <w:rPr>
          <w:b/>
        </w:rPr>
        <w:t>nad rámec</w:t>
      </w:r>
      <w:r w:rsidRPr="00E33A67">
        <w:rPr>
          <w:b/>
        </w:rPr>
        <w:t xml:space="preserve"> scenár</w:t>
      </w:r>
      <w:r>
        <w:rPr>
          <w:b/>
        </w:rPr>
        <w:t>a</w:t>
      </w:r>
      <w:r w:rsidRPr="00E33A67">
        <w:rPr>
          <w:b/>
        </w:rPr>
        <w:t xml:space="preserve"> NPC.</w:t>
      </w:r>
      <w:r w:rsidRPr="008B2C71">
        <w:t xml:space="preserve"> Tie vychádzajú zo silnejšieho rastu výdavkov v zdravotníctve v porovnaní s</w:t>
      </w:r>
      <w:r>
        <w:t xml:space="preserve"> predpokladmi </w:t>
      </w:r>
      <w:r w:rsidRPr="008B2C71">
        <w:t>NPC scenár</w:t>
      </w:r>
      <w:r>
        <w:t>a</w:t>
      </w:r>
      <w:r w:rsidRPr="008B2C71">
        <w:t xml:space="preserve">. </w:t>
      </w:r>
      <w:r>
        <w:t xml:space="preserve">Na celom horizonte to predstavuje priemerné navýšenie príjmov o 0,1 </w:t>
      </w:r>
      <w:r>
        <w:rPr>
          <w:lang w:val="en-US"/>
        </w:rPr>
        <w:t>% HDP</w:t>
      </w:r>
      <w:r>
        <w:t xml:space="preserve"> ročne.</w:t>
      </w:r>
    </w:p>
    <w:p w14:paraId="6FAF2BF3" w14:textId="77777777" w:rsidR="00BD53AF" w:rsidRPr="008D1935" w:rsidRDefault="00BD53AF" w:rsidP="004F1515">
      <w:pPr>
        <w:spacing w:before="240" w:after="120"/>
        <w:jc w:val="both"/>
        <w:rPr>
          <w:b/>
          <w:color w:val="2C9ADC"/>
          <w:sz w:val="24"/>
          <w:szCs w:val="24"/>
        </w:rPr>
      </w:pPr>
      <w:r w:rsidRPr="008D1935">
        <w:rPr>
          <w:b/>
          <w:color w:val="2C9ADC"/>
          <w:sz w:val="24"/>
          <w:szCs w:val="24"/>
        </w:rPr>
        <w:t xml:space="preserve">Vývoj na strane výdavkov </w:t>
      </w:r>
    </w:p>
    <w:p w14:paraId="2E35EF08" w14:textId="23584196" w:rsidR="00BD53AF" w:rsidRPr="00BF0053" w:rsidRDefault="009B73FF" w:rsidP="00BD53AF">
      <w:pPr>
        <w:spacing w:after="240"/>
        <w:jc w:val="both"/>
      </w:pPr>
      <w:r>
        <w:rPr>
          <w:b/>
        </w:rPr>
        <w:t>Program stability</w:t>
      </w:r>
      <w:r w:rsidR="00BD53AF" w:rsidRPr="00BF0053">
        <w:rPr>
          <w:b/>
        </w:rPr>
        <w:t xml:space="preserve"> predpokladá vyššie výdavky oproti NPC na celom horizonte v priemere o 0,4 % HDP. </w:t>
      </w:r>
      <w:r w:rsidR="00BD53AF" w:rsidRPr="00BF0053">
        <w:t>Rýchlejšie ako NPC rastú najmä kapitálové výdavky, kompenzácie a naturálne sociálne transfery.</w:t>
      </w:r>
    </w:p>
    <w:p w14:paraId="661FD328" w14:textId="0A8D1F18" w:rsidR="00BD53AF" w:rsidRDefault="009B73FF" w:rsidP="00BD53AF">
      <w:pPr>
        <w:pStyle w:val="Odsekzoznamu"/>
        <w:numPr>
          <w:ilvl w:val="0"/>
          <w:numId w:val="9"/>
        </w:numPr>
        <w:spacing w:after="240"/>
        <w:jc w:val="both"/>
      </w:pPr>
      <w:r>
        <w:rPr>
          <w:b/>
        </w:rPr>
        <w:t>Program stability</w:t>
      </w:r>
      <w:r w:rsidR="00BD53AF" w:rsidRPr="00C960CD">
        <w:rPr>
          <w:b/>
        </w:rPr>
        <w:t xml:space="preserve"> predpokladá </w:t>
      </w:r>
      <w:r w:rsidR="00BD53AF">
        <w:rPr>
          <w:b/>
        </w:rPr>
        <w:t xml:space="preserve">výdavky na </w:t>
      </w:r>
      <w:r w:rsidR="00BD53AF" w:rsidRPr="000604EF">
        <w:rPr>
          <w:b/>
        </w:rPr>
        <w:t>kompenzáci</w:t>
      </w:r>
      <w:r w:rsidR="00BD53AF">
        <w:rPr>
          <w:b/>
        </w:rPr>
        <w:t>e</w:t>
      </w:r>
      <w:r w:rsidR="00BD53AF" w:rsidRPr="000604EF">
        <w:rPr>
          <w:b/>
        </w:rPr>
        <w:t xml:space="preserve"> zamestnancov</w:t>
      </w:r>
      <w:r w:rsidR="00BD53AF" w:rsidRPr="00C960CD">
        <w:rPr>
          <w:b/>
        </w:rPr>
        <w:t xml:space="preserve"> nad úrovňou NPC</w:t>
      </w:r>
      <w:r w:rsidR="00BD53AF" w:rsidRPr="00BF0053">
        <w:t xml:space="preserve"> </w:t>
      </w:r>
      <w:r w:rsidR="00BD53AF" w:rsidRPr="000E1057">
        <w:rPr>
          <w:b/>
        </w:rPr>
        <w:t>na celom horizonte</w:t>
      </w:r>
      <w:r w:rsidR="00BD53AF">
        <w:t xml:space="preserve">. Strednodobý rámec uvažuje s ďalšou </w:t>
      </w:r>
      <w:r w:rsidR="00BD53AF" w:rsidRPr="00BF0053">
        <w:t>10 % valorizáciou platov zamestnancov verejnej správy v roku 2020</w:t>
      </w:r>
      <w:r w:rsidR="00BD53AF">
        <w:t xml:space="preserve"> (podobne ako v roku 2019</w:t>
      </w:r>
      <w:r w:rsidR="00BD53AF" w:rsidRPr="00BF0053">
        <w:t>.</w:t>
      </w:r>
      <w:r w:rsidR="00BD53AF">
        <w:t xml:space="preserve"> Ku koncu obdobia sa rozdiel oproti NPC znižuje, nakoľko strednodobý rámec počíta po roku 2020 s valorizáciou približne na úrovni 2 </w:t>
      </w:r>
      <w:r w:rsidR="00BD53AF">
        <w:rPr>
          <w:lang w:val="en-US"/>
        </w:rPr>
        <w:t>%</w:t>
      </w:r>
      <w:r w:rsidR="00BD53AF">
        <w:t>.</w:t>
      </w:r>
    </w:p>
    <w:p w14:paraId="6DF489C8" w14:textId="77777777" w:rsidR="00BD53AF" w:rsidRPr="00BF0053" w:rsidRDefault="00BD53AF" w:rsidP="00BD53AF">
      <w:pPr>
        <w:pStyle w:val="Odsekzoznamu"/>
        <w:spacing w:after="240"/>
        <w:ind w:left="360"/>
        <w:jc w:val="both"/>
      </w:pPr>
    </w:p>
    <w:p w14:paraId="5956BF35" w14:textId="77777777" w:rsidR="00BD53AF" w:rsidRDefault="00BD53AF" w:rsidP="00BD53AF">
      <w:pPr>
        <w:pStyle w:val="Odsekzoznamu"/>
        <w:numPr>
          <w:ilvl w:val="0"/>
          <w:numId w:val="8"/>
        </w:numPr>
        <w:spacing w:after="240"/>
        <w:ind w:left="360"/>
        <w:jc w:val="both"/>
      </w:pPr>
      <w:r w:rsidRPr="00C960CD">
        <w:rPr>
          <w:b/>
        </w:rPr>
        <w:lastRenderedPageBreak/>
        <w:t xml:space="preserve">Nepravidelný vývoj výdavkov na </w:t>
      </w:r>
      <w:r w:rsidRPr="000604EF">
        <w:rPr>
          <w:b/>
        </w:rPr>
        <w:t>medzispotrebu</w:t>
      </w:r>
      <w:r w:rsidRPr="00C960CD">
        <w:rPr>
          <w:b/>
        </w:rPr>
        <w:t xml:space="preserve"> oproti NPC</w:t>
      </w:r>
      <w:r w:rsidRPr="00BF0053">
        <w:t xml:space="preserve"> (nižšie výdavky v roku 2020 a vyššie výdavky v rokoch 2021 a 2022) je spôsobený </w:t>
      </w:r>
      <w:r>
        <w:t xml:space="preserve">nárastom </w:t>
      </w:r>
      <w:r w:rsidRPr="00BF0053">
        <w:t>výdavk</w:t>
      </w:r>
      <w:r>
        <w:t>ov</w:t>
      </w:r>
      <w:r w:rsidRPr="00BF0053">
        <w:t xml:space="preserve"> na modernizáciu obrany</w:t>
      </w:r>
      <w:r>
        <w:t>, ktoré sú čiastočne alokované aj na tejto položke</w:t>
      </w:r>
      <w:r w:rsidRPr="00BF0053">
        <w:t xml:space="preserve">. </w:t>
      </w:r>
    </w:p>
    <w:p w14:paraId="6FF23057" w14:textId="77777777" w:rsidR="00BD53AF" w:rsidRPr="00BF0053" w:rsidRDefault="00BD53AF" w:rsidP="00BD53AF">
      <w:pPr>
        <w:pStyle w:val="Odsekzoznamu"/>
        <w:spacing w:after="240"/>
        <w:ind w:left="360"/>
        <w:jc w:val="both"/>
      </w:pPr>
    </w:p>
    <w:p w14:paraId="39355C83" w14:textId="77777777" w:rsidR="00BD53AF" w:rsidRDefault="00BD53AF" w:rsidP="00BD53AF">
      <w:pPr>
        <w:pStyle w:val="Odsekzoznamu"/>
        <w:numPr>
          <w:ilvl w:val="0"/>
          <w:numId w:val="8"/>
        </w:numPr>
        <w:spacing w:after="240" w:line="259" w:lineRule="auto"/>
        <w:ind w:left="360"/>
        <w:jc w:val="both"/>
      </w:pPr>
      <w:r w:rsidRPr="00C960CD">
        <w:rPr>
          <w:b/>
        </w:rPr>
        <w:t xml:space="preserve">Nad rámec NPC sa uvažuje na celom horizonte s vyššími výdavkami na </w:t>
      </w:r>
      <w:r w:rsidRPr="000604EF">
        <w:rPr>
          <w:b/>
        </w:rPr>
        <w:t>n</w:t>
      </w:r>
      <w:r w:rsidRPr="000604EF">
        <w:rPr>
          <w:rFonts w:eastAsia="Calibri" w:cs="Times New Roman"/>
          <w:b/>
          <w:lang w:eastAsia="en-US"/>
        </w:rPr>
        <w:t>aturálne sociálne transfery</w:t>
      </w:r>
      <w:r w:rsidRPr="00BF0053">
        <w:rPr>
          <w:rFonts w:eastAsia="Calibri" w:cs="Times New Roman"/>
          <w:lang w:eastAsia="en-US"/>
        </w:rPr>
        <w:t xml:space="preserve"> </w:t>
      </w:r>
      <w:r>
        <w:rPr>
          <w:rFonts w:eastAsia="Calibri" w:cs="Times New Roman"/>
          <w:lang w:eastAsia="en-US"/>
        </w:rPr>
        <w:t xml:space="preserve">(najmä výdavky verejného zdravotníctva) </w:t>
      </w:r>
      <w:r w:rsidRPr="00BF0053">
        <w:t>z titulu vyšších príjmov zo zdravotných odvodov.</w:t>
      </w:r>
    </w:p>
    <w:p w14:paraId="4F2ADE70" w14:textId="77777777" w:rsidR="00BD53AF" w:rsidRPr="00BF0053" w:rsidRDefault="00BD53AF" w:rsidP="00BD53AF">
      <w:pPr>
        <w:pStyle w:val="Odsekzoznamu"/>
        <w:spacing w:after="240" w:line="259" w:lineRule="auto"/>
        <w:ind w:left="360"/>
        <w:jc w:val="both"/>
      </w:pPr>
    </w:p>
    <w:p w14:paraId="3AA44827" w14:textId="77777777" w:rsidR="00BD53AF" w:rsidRDefault="00BD53AF" w:rsidP="00BD53AF">
      <w:pPr>
        <w:pStyle w:val="Odsekzoznamu"/>
        <w:numPr>
          <w:ilvl w:val="0"/>
          <w:numId w:val="8"/>
        </w:numPr>
        <w:spacing w:after="240"/>
        <w:ind w:left="360"/>
        <w:jc w:val="both"/>
        <w:rPr>
          <w:b/>
        </w:rPr>
      </w:pPr>
      <w:r w:rsidRPr="00C960CD">
        <w:rPr>
          <w:b/>
        </w:rPr>
        <w:t xml:space="preserve">Za vyššími </w:t>
      </w:r>
      <w:r w:rsidRPr="000604EF">
        <w:rPr>
          <w:b/>
        </w:rPr>
        <w:t>bežnými transfermi</w:t>
      </w:r>
      <w:r w:rsidRPr="00C960CD">
        <w:rPr>
          <w:b/>
        </w:rPr>
        <w:t xml:space="preserve"> oproti NPC na konci horizontu sú prostriedky vyhradené na spolufinancovanie zatiaľ nealokovaných zdrojov z fondov EÚ. </w:t>
      </w:r>
    </w:p>
    <w:p w14:paraId="4B70D55C" w14:textId="77777777" w:rsidR="00BD53AF" w:rsidRDefault="00BD53AF" w:rsidP="00BD53AF">
      <w:pPr>
        <w:pStyle w:val="Odsekzoznamu"/>
        <w:spacing w:after="240"/>
        <w:ind w:left="360"/>
        <w:jc w:val="both"/>
        <w:rPr>
          <w:b/>
        </w:rPr>
      </w:pPr>
    </w:p>
    <w:p w14:paraId="42B6186B" w14:textId="714D7300" w:rsidR="00BD53AF" w:rsidRPr="00C960CD" w:rsidRDefault="00BD53AF" w:rsidP="00BD53AF">
      <w:pPr>
        <w:pStyle w:val="Odsekzoznamu"/>
        <w:numPr>
          <w:ilvl w:val="0"/>
          <w:numId w:val="8"/>
        </w:numPr>
        <w:spacing w:after="240"/>
        <w:ind w:left="360"/>
        <w:jc w:val="both"/>
        <w:rPr>
          <w:b/>
        </w:rPr>
      </w:pPr>
      <w:r>
        <w:rPr>
          <w:b/>
        </w:rPr>
        <w:t>Program stability</w:t>
      </w:r>
      <w:r w:rsidRPr="00C960CD">
        <w:rPr>
          <w:b/>
        </w:rPr>
        <w:t xml:space="preserve"> predpokladá </w:t>
      </w:r>
      <w:r>
        <w:rPr>
          <w:b/>
        </w:rPr>
        <w:t xml:space="preserve">vyššie </w:t>
      </w:r>
      <w:r w:rsidRPr="0058326F">
        <w:rPr>
          <w:b/>
        </w:rPr>
        <w:t>kapitálové výdavky</w:t>
      </w:r>
      <w:r w:rsidRPr="00C960CD">
        <w:rPr>
          <w:b/>
        </w:rPr>
        <w:t xml:space="preserve"> nad rámec NPC v rokoch 2020 a 2021</w:t>
      </w:r>
      <w:r w:rsidRPr="00BF0053">
        <w:t xml:space="preserve">. Dodatočné výdavky </w:t>
      </w:r>
      <w:r>
        <w:t xml:space="preserve">súvisia s </w:t>
      </w:r>
      <w:r w:rsidRPr="00BF0053">
        <w:t>modernizáci</w:t>
      </w:r>
      <w:r>
        <w:t>ou</w:t>
      </w:r>
      <w:r w:rsidRPr="00BF0053">
        <w:t xml:space="preserve"> obrany vyplývajúc</w:t>
      </w:r>
      <w:r>
        <w:t xml:space="preserve">ou </w:t>
      </w:r>
      <w:r w:rsidRPr="00BF0053">
        <w:t>z medzinárodných záväzkov, opatrenia</w:t>
      </w:r>
      <w:r w:rsidR="009B73FF">
        <w:t>mi</w:t>
      </w:r>
      <w:r w:rsidRPr="00BF0053">
        <w:t xml:space="preserve"> n</w:t>
      </w:r>
      <w:r w:rsidR="009B73FF">
        <w:t>a podporu rastu a zatiaľ bližšie</w:t>
      </w:r>
      <w:r w:rsidRPr="00BF0053">
        <w:t xml:space="preserve"> nešpecifikovan</w:t>
      </w:r>
      <w:r w:rsidR="009B73FF">
        <w:t>ými</w:t>
      </w:r>
      <w:r w:rsidRPr="00BF0053">
        <w:t xml:space="preserve"> opatrenia</w:t>
      </w:r>
      <w:r w:rsidR="009B73FF">
        <w:t>mi</w:t>
      </w:r>
      <w:r w:rsidRPr="00BF0053">
        <w:t xml:space="preserve"> vlády. V roku 2022 je pokles </w:t>
      </w:r>
      <w:r>
        <w:t xml:space="preserve">pod </w:t>
      </w:r>
      <w:r w:rsidRPr="00BF0053">
        <w:t>úroveň NPC zapríčinený pomalším rastom kapitálových transferov v porovnaní s rastom nominálneho HDP</w:t>
      </w:r>
      <w:r>
        <w:t>.</w:t>
      </w:r>
    </w:p>
    <w:p w14:paraId="5ED38D39" w14:textId="77777777" w:rsidR="00BD53AF" w:rsidRPr="0023725A" w:rsidRDefault="00BD53AF" w:rsidP="00BD53AF">
      <w:pPr>
        <w:pStyle w:val="Odsekzoznamu"/>
      </w:pPr>
    </w:p>
    <w:tbl>
      <w:tblPr>
        <w:tblW w:w="9214" w:type="dxa"/>
        <w:tblLayout w:type="fixed"/>
        <w:tblCellMar>
          <w:left w:w="70" w:type="dxa"/>
          <w:right w:w="70" w:type="dxa"/>
        </w:tblCellMar>
        <w:tblLook w:val="04A0" w:firstRow="1" w:lastRow="0" w:firstColumn="1" w:lastColumn="0" w:noHBand="0" w:noVBand="1"/>
      </w:tblPr>
      <w:tblGrid>
        <w:gridCol w:w="3261"/>
        <w:gridCol w:w="708"/>
        <w:gridCol w:w="993"/>
        <w:gridCol w:w="708"/>
        <w:gridCol w:w="709"/>
        <w:gridCol w:w="709"/>
        <w:gridCol w:w="709"/>
        <w:gridCol w:w="658"/>
        <w:gridCol w:w="759"/>
      </w:tblGrid>
      <w:tr w:rsidR="00BD53AF" w:rsidRPr="00807E43" w14:paraId="7578EF73" w14:textId="77777777" w:rsidTr="00387AE5">
        <w:trPr>
          <w:trHeight w:val="272"/>
        </w:trPr>
        <w:tc>
          <w:tcPr>
            <w:tcW w:w="9214" w:type="dxa"/>
            <w:gridSpan w:val="9"/>
            <w:tcBorders>
              <w:top w:val="nil"/>
              <w:left w:val="nil"/>
              <w:bottom w:val="single" w:sz="8" w:space="0" w:color="auto"/>
              <w:right w:val="nil"/>
            </w:tcBorders>
            <w:shd w:val="clear" w:color="auto" w:fill="auto"/>
            <w:noWrap/>
            <w:vAlign w:val="center"/>
            <w:hideMark/>
          </w:tcPr>
          <w:p w14:paraId="74DDA111" w14:textId="4AF8ACE8" w:rsidR="00BD53AF" w:rsidRPr="00807E43" w:rsidRDefault="00BD53AF" w:rsidP="00387AE5">
            <w:pPr>
              <w:rPr>
                <w:rFonts w:cs="Times New Roman"/>
                <w:b/>
                <w:bCs/>
                <w:color w:val="2C9ADC"/>
                <w:sz w:val="20"/>
                <w:szCs w:val="20"/>
              </w:rPr>
            </w:pPr>
            <w:bookmarkStart w:id="145" w:name="RANGE!A4"/>
            <w:bookmarkStart w:id="146" w:name="_Toc6314209"/>
            <w:r w:rsidRPr="00807E43">
              <w:rPr>
                <w:rFonts w:eastAsiaTheme="minorHAnsi" w:cs="Arial"/>
                <w:b/>
                <w:color w:val="2C9ADC"/>
                <w:sz w:val="20"/>
                <w:szCs w:val="26"/>
                <w:lang w:eastAsia="en-US"/>
              </w:rPr>
              <w:t xml:space="preserve">TABUĽKA </w:t>
            </w:r>
            <w:r w:rsidRPr="00807E43">
              <w:rPr>
                <w:rFonts w:eastAsiaTheme="minorHAnsi" w:cs="Arial"/>
                <w:b/>
                <w:color w:val="2C9ADC"/>
                <w:sz w:val="20"/>
                <w:szCs w:val="26"/>
                <w:lang w:eastAsia="en-US"/>
              </w:rPr>
              <w:fldChar w:fldCharType="begin"/>
            </w:r>
            <w:r w:rsidRPr="00807E43">
              <w:rPr>
                <w:rFonts w:eastAsiaTheme="minorHAnsi" w:cs="Arial"/>
                <w:b/>
                <w:color w:val="2C9ADC"/>
                <w:sz w:val="20"/>
                <w:szCs w:val="26"/>
                <w:lang w:eastAsia="en-US"/>
              </w:rPr>
              <w:instrText xml:space="preserve"> SEQ TABUĽKA \* ARABIC </w:instrText>
            </w:r>
            <w:r w:rsidRPr="00807E43">
              <w:rPr>
                <w:rFonts w:eastAsiaTheme="minorHAnsi" w:cs="Arial"/>
                <w:b/>
                <w:color w:val="2C9ADC"/>
                <w:sz w:val="20"/>
                <w:szCs w:val="26"/>
                <w:lang w:eastAsia="en-US"/>
              </w:rPr>
              <w:fldChar w:fldCharType="separate"/>
            </w:r>
            <w:r w:rsidR="00D5739E">
              <w:rPr>
                <w:rFonts w:eastAsiaTheme="minorHAnsi" w:cs="Arial"/>
                <w:b/>
                <w:noProof/>
                <w:color w:val="2C9ADC"/>
                <w:sz w:val="20"/>
                <w:szCs w:val="26"/>
                <w:lang w:eastAsia="en-US"/>
              </w:rPr>
              <w:t>10</w:t>
            </w:r>
            <w:r w:rsidRPr="00807E43">
              <w:rPr>
                <w:rFonts w:eastAsiaTheme="minorHAnsi" w:cs="Arial"/>
                <w:b/>
                <w:color w:val="2C9ADC"/>
                <w:sz w:val="20"/>
                <w:szCs w:val="26"/>
                <w:lang w:eastAsia="en-US"/>
              </w:rPr>
              <w:fldChar w:fldCharType="end"/>
            </w:r>
            <w:r w:rsidRPr="00807E43">
              <w:rPr>
                <w:rFonts w:eastAsiaTheme="minorHAnsi" w:cs="Arial"/>
                <w:b/>
                <w:color w:val="2C9ADC"/>
                <w:sz w:val="20"/>
                <w:szCs w:val="26"/>
                <w:lang w:eastAsia="en-US"/>
              </w:rPr>
              <w:t xml:space="preserve"> - </w:t>
            </w:r>
            <w:r w:rsidRPr="00807E43">
              <w:rPr>
                <w:rFonts w:cs="Times New Roman"/>
                <w:b/>
                <w:bCs/>
                <w:color w:val="2C9ADC"/>
                <w:sz w:val="20"/>
                <w:szCs w:val="20"/>
              </w:rPr>
              <w:t>Zoznam nových opatrení vo fiškálnom rámci na roky 2020 až 2022 (ESA 2010, vplyv na saldo)</w:t>
            </w:r>
            <w:bookmarkEnd w:id="145"/>
            <w:bookmarkEnd w:id="146"/>
          </w:p>
        </w:tc>
      </w:tr>
      <w:tr w:rsidR="00BD53AF" w:rsidRPr="008C5BDD" w14:paraId="4ED496EC" w14:textId="77777777" w:rsidTr="003C66E6">
        <w:trPr>
          <w:trHeight w:val="258"/>
        </w:trPr>
        <w:tc>
          <w:tcPr>
            <w:tcW w:w="3261" w:type="dxa"/>
            <w:tcBorders>
              <w:top w:val="nil"/>
              <w:left w:val="nil"/>
              <w:bottom w:val="nil"/>
              <w:right w:val="nil"/>
            </w:tcBorders>
            <w:shd w:val="clear" w:color="auto" w:fill="auto"/>
            <w:noWrap/>
            <w:vAlign w:val="center"/>
            <w:hideMark/>
          </w:tcPr>
          <w:p w14:paraId="3B870CBB" w14:textId="77777777" w:rsidR="00BD53AF" w:rsidRPr="0067498B" w:rsidRDefault="00BD53AF" w:rsidP="00387AE5">
            <w:pPr>
              <w:rPr>
                <w:rFonts w:cs="Times New Roman"/>
                <w:b/>
                <w:bCs/>
                <w:color w:val="2C9ADC"/>
                <w:sz w:val="18"/>
                <w:szCs w:val="18"/>
              </w:rPr>
            </w:pPr>
          </w:p>
        </w:tc>
        <w:tc>
          <w:tcPr>
            <w:tcW w:w="708" w:type="dxa"/>
            <w:tcBorders>
              <w:top w:val="nil"/>
              <w:left w:val="nil"/>
              <w:bottom w:val="nil"/>
              <w:right w:val="nil"/>
            </w:tcBorders>
            <w:shd w:val="clear" w:color="auto" w:fill="auto"/>
            <w:noWrap/>
            <w:vAlign w:val="center"/>
            <w:hideMark/>
          </w:tcPr>
          <w:p w14:paraId="470048CF" w14:textId="77777777" w:rsidR="00BD53AF" w:rsidRPr="0067498B" w:rsidRDefault="00BD53AF" w:rsidP="00387AE5">
            <w:pPr>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14:paraId="70F61619" w14:textId="77777777" w:rsidR="00BD53AF" w:rsidRPr="0067498B" w:rsidRDefault="00BD53AF" w:rsidP="00387AE5">
            <w:pPr>
              <w:rPr>
                <w:rFonts w:ascii="Times New Roman" w:hAnsi="Times New Roman" w:cs="Times New Roman"/>
                <w:sz w:val="20"/>
                <w:szCs w:val="20"/>
              </w:rPr>
            </w:pPr>
          </w:p>
        </w:tc>
        <w:tc>
          <w:tcPr>
            <w:tcW w:w="1417" w:type="dxa"/>
            <w:gridSpan w:val="2"/>
            <w:tcBorders>
              <w:top w:val="single" w:sz="8" w:space="0" w:color="auto"/>
              <w:left w:val="nil"/>
              <w:bottom w:val="nil"/>
              <w:right w:val="nil"/>
            </w:tcBorders>
            <w:shd w:val="clear" w:color="auto" w:fill="auto"/>
            <w:noWrap/>
            <w:vAlign w:val="center"/>
            <w:hideMark/>
          </w:tcPr>
          <w:p w14:paraId="2BBAA250" w14:textId="77777777" w:rsidR="00BD53AF" w:rsidRPr="0067498B" w:rsidRDefault="00BD53AF" w:rsidP="00387AE5">
            <w:pPr>
              <w:jc w:val="center"/>
              <w:rPr>
                <w:rFonts w:cs="Times New Roman"/>
                <w:b/>
                <w:bCs/>
                <w:color w:val="000000"/>
                <w:sz w:val="18"/>
                <w:szCs w:val="18"/>
              </w:rPr>
            </w:pPr>
            <w:r w:rsidRPr="0067498B">
              <w:rPr>
                <w:rFonts w:cs="Times New Roman"/>
                <w:b/>
                <w:bCs/>
                <w:color w:val="000000"/>
                <w:sz w:val="18"/>
                <w:szCs w:val="18"/>
              </w:rPr>
              <w:t>2020</w:t>
            </w:r>
          </w:p>
        </w:tc>
        <w:tc>
          <w:tcPr>
            <w:tcW w:w="1418" w:type="dxa"/>
            <w:gridSpan w:val="2"/>
            <w:tcBorders>
              <w:top w:val="single" w:sz="8" w:space="0" w:color="auto"/>
              <w:left w:val="nil"/>
              <w:bottom w:val="nil"/>
              <w:right w:val="nil"/>
            </w:tcBorders>
            <w:shd w:val="clear" w:color="auto" w:fill="auto"/>
            <w:noWrap/>
            <w:vAlign w:val="center"/>
            <w:hideMark/>
          </w:tcPr>
          <w:p w14:paraId="31F199D3" w14:textId="77777777" w:rsidR="00BD53AF" w:rsidRPr="0067498B" w:rsidRDefault="00BD53AF" w:rsidP="00387AE5">
            <w:pPr>
              <w:jc w:val="center"/>
              <w:rPr>
                <w:rFonts w:cs="Times New Roman"/>
                <w:b/>
                <w:bCs/>
                <w:color w:val="000000"/>
                <w:sz w:val="18"/>
                <w:szCs w:val="18"/>
              </w:rPr>
            </w:pPr>
            <w:r w:rsidRPr="0067498B">
              <w:rPr>
                <w:rFonts w:cs="Times New Roman"/>
                <w:b/>
                <w:bCs/>
                <w:color w:val="000000"/>
                <w:sz w:val="18"/>
                <w:szCs w:val="18"/>
              </w:rPr>
              <w:t>2021</w:t>
            </w:r>
          </w:p>
        </w:tc>
        <w:tc>
          <w:tcPr>
            <w:tcW w:w="1417" w:type="dxa"/>
            <w:gridSpan w:val="2"/>
            <w:tcBorders>
              <w:top w:val="single" w:sz="8" w:space="0" w:color="auto"/>
              <w:left w:val="nil"/>
              <w:bottom w:val="nil"/>
              <w:right w:val="nil"/>
            </w:tcBorders>
            <w:shd w:val="clear" w:color="auto" w:fill="auto"/>
            <w:noWrap/>
            <w:vAlign w:val="center"/>
            <w:hideMark/>
          </w:tcPr>
          <w:p w14:paraId="1CA7076D" w14:textId="77777777" w:rsidR="00BD53AF" w:rsidRPr="0067498B" w:rsidRDefault="00BD53AF" w:rsidP="00387AE5">
            <w:pPr>
              <w:jc w:val="center"/>
              <w:rPr>
                <w:rFonts w:cs="Times New Roman"/>
                <w:b/>
                <w:bCs/>
                <w:color w:val="000000"/>
                <w:sz w:val="18"/>
                <w:szCs w:val="18"/>
              </w:rPr>
            </w:pPr>
            <w:r w:rsidRPr="0067498B">
              <w:rPr>
                <w:rFonts w:cs="Times New Roman"/>
                <w:b/>
                <w:bCs/>
                <w:color w:val="000000"/>
                <w:sz w:val="18"/>
                <w:szCs w:val="18"/>
              </w:rPr>
              <w:t>2022</w:t>
            </w:r>
          </w:p>
        </w:tc>
      </w:tr>
      <w:tr w:rsidR="00BD53AF" w:rsidRPr="008C5BDD" w14:paraId="28D619A5" w14:textId="77777777" w:rsidTr="003C66E6">
        <w:trPr>
          <w:trHeight w:val="82"/>
        </w:trPr>
        <w:tc>
          <w:tcPr>
            <w:tcW w:w="3261" w:type="dxa"/>
            <w:tcBorders>
              <w:top w:val="nil"/>
              <w:left w:val="nil"/>
              <w:bottom w:val="single" w:sz="8" w:space="0" w:color="auto"/>
              <w:right w:val="nil"/>
            </w:tcBorders>
            <w:shd w:val="clear" w:color="auto" w:fill="auto"/>
            <w:noWrap/>
            <w:vAlign w:val="center"/>
            <w:hideMark/>
          </w:tcPr>
          <w:p w14:paraId="4CAEA9A9" w14:textId="77777777" w:rsidR="00BD53AF" w:rsidRPr="0067498B" w:rsidRDefault="00BD53AF" w:rsidP="00387AE5">
            <w:pPr>
              <w:rPr>
                <w:rFonts w:cs="Times New Roman"/>
                <w:b/>
                <w:bCs/>
                <w:color w:val="000000"/>
                <w:sz w:val="18"/>
                <w:szCs w:val="18"/>
              </w:rPr>
            </w:pPr>
            <w:r w:rsidRPr="0067498B">
              <w:rPr>
                <w:rFonts w:cs="Times New Roman"/>
                <w:b/>
                <w:bCs/>
                <w:color w:val="000000"/>
                <w:sz w:val="18"/>
                <w:szCs w:val="18"/>
              </w:rPr>
              <w:t>Opatrenie</w:t>
            </w:r>
          </w:p>
        </w:tc>
        <w:tc>
          <w:tcPr>
            <w:tcW w:w="708" w:type="dxa"/>
            <w:tcBorders>
              <w:top w:val="nil"/>
              <w:left w:val="nil"/>
              <w:bottom w:val="single" w:sz="8" w:space="0" w:color="auto"/>
              <w:right w:val="nil"/>
            </w:tcBorders>
            <w:shd w:val="clear" w:color="auto" w:fill="auto"/>
            <w:noWrap/>
            <w:vAlign w:val="center"/>
            <w:hideMark/>
          </w:tcPr>
          <w:p w14:paraId="63AF8EA3" w14:textId="27E8D4C1" w:rsidR="00BD53AF" w:rsidRPr="0067498B" w:rsidRDefault="00BD53AF" w:rsidP="003C66E6">
            <w:pPr>
              <w:jc w:val="center"/>
              <w:rPr>
                <w:rFonts w:cs="Times New Roman"/>
                <w:b/>
                <w:bCs/>
                <w:color w:val="000000"/>
                <w:sz w:val="18"/>
                <w:szCs w:val="18"/>
              </w:rPr>
            </w:pPr>
            <w:r w:rsidRPr="0067498B">
              <w:rPr>
                <w:rFonts w:cs="Times New Roman"/>
                <w:b/>
                <w:bCs/>
                <w:color w:val="000000"/>
                <w:sz w:val="18"/>
                <w:szCs w:val="18"/>
              </w:rPr>
              <w:t>Sub</w:t>
            </w:r>
            <w:r w:rsidR="003C66E6">
              <w:rPr>
                <w:rFonts w:cs="Times New Roman"/>
                <w:b/>
                <w:bCs/>
                <w:color w:val="000000"/>
                <w:sz w:val="18"/>
                <w:szCs w:val="18"/>
              </w:rPr>
              <w:t>-</w:t>
            </w:r>
            <w:r w:rsidRPr="0067498B">
              <w:rPr>
                <w:rFonts w:cs="Times New Roman"/>
                <w:b/>
                <w:bCs/>
                <w:color w:val="000000"/>
                <w:sz w:val="18"/>
                <w:szCs w:val="18"/>
              </w:rPr>
              <w:t>sektor</w:t>
            </w:r>
          </w:p>
        </w:tc>
        <w:tc>
          <w:tcPr>
            <w:tcW w:w="993" w:type="dxa"/>
            <w:tcBorders>
              <w:top w:val="nil"/>
              <w:left w:val="nil"/>
              <w:bottom w:val="single" w:sz="8" w:space="0" w:color="auto"/>
              <w:right w:val="nil"/>
            </w:tcBorders>
            <w:shd w:val="clear" w:color="auto" w:fill="auto"/>
            <w:noWrap/>
            <w:vAlign w:val="center"/>
            <w:hideMark/>
          </w:tcPr>
          <w:p w14:paraId="60FFDFAD" w14:textId="77777777" w:rsidR="00BD53AF" w:rsidRPr="0067498B" w:rsidRDefault="00BD53AF" w:rsidP="00387AE5">
            <w:pPr>
              <w:jc w:val="center"/>
              <w:rPr>
                <w:rFonts w:cs="Times New Roman"/>
                <w:b/>
                <w:bCs/>
                <w:color w:val="000000"/>
                <w:sz w:val="18"/>
                <w:szCs w:val="18"/>
              </w:rPr>
            </w:pPr>
            <w:r w:rsidRPr="0067498B">
              <w:rPr>
                <w:rFonts w:cs="Times New Roman"/>
                <w:b/>
                <w:bCs/>
                <w:color w:val="000000"/>
                <w:sz w:val="18"/>
                <w:szCs w:val="18"/>
              </w:rPr>
              <w:t>ESA</w:t>
            </w:r>
            <w:r>
              <w:rPr>
                <w:rFonts w:cs="Times New Roman"/>
                <w:b/>
                <w:bCs/>
                <w:color w:val="000000"/>
                <w:sz w:val="18"/>
                <w:szCs w:val="18"/>
              </w:rPr>
              <w:t xml:space="preserve"> </w:t>
            </w:r>
            <w:r w:rsidRPr="0067498B">
              <w:rPr>
                <w:rFonts w:cs="Times New Roman"/>
                <w:b/>
                <w:bCs/>
                <w:color w:val="000000"/>
                <w:sz w:val="18"/>
                <w:szCs w:val="18"/>
              </w:rPr>
              <w:t>2010</w:t>
            </w:r>
          </w:p>
        </w:tc>
        <w:tc>
          <w:tcPr>
            <w:tcW w:w="708" w:type="dxa"/>
            <w:tcBorders>
              <w:top w:val="nil"/>
              <w:left w:val="nil"/>
              <w:bottom w:val="single" w:sz="8" w:space="0" w:color="auto"/>
              <w:right w:val="nil"/>
            </w:tcBorders>
            <w:shd w:val="clear" w:color="auto" w:fill="auto"/>
            <w:noWrap/>
            <w:vAlign w:val="center"/>
            <w:hideMark/>
          </w:tcPr>
          <w:p w14:paraId="5334CF3B" w14:textId="77777777" w:rsidR="00BD53AF" w:rsidRPr="0067498B" w:rsidRDefault="00BD53AF" w:rsidP="00387AE5">
            <w:pPr>
              <w:jc w:val="center"/>
              <w:rPr>
                <w:rFonts w:cs="Times New Roman"/>
                <w:color w:val="000000"/>
                <w:sz w:val="18"/>
                <w:szCs w:val="18"/>
              </w:rPr>
            </w:pPr>
            <w:r w:rsidRPr="0067498B">
              <w:rPr>
                <w:rFonts w:cs="Times New Roman"/>
                <w:color w:val="000000"/>
                <w:sz w:val="18"/>
                <w:szCs w:val="18"/>
              </w:rPr>
              <w:t>mil. eur</w:t>
            </w:r>
          </w:p>
        </w:tc>
        <w:tc>
          <w:tcPr>
            <w:tcW w:w="709" w:type="dxa"/>
            <w:tcBorders>
              <w:top w:val="nil"/>
              <w:left w:val="nil"/>
              <w:bottom w:val="single" w:sz="8" w:space="0" w:color="auto"/>
              <w:right w:val="nil"/>
            </w:tcBorders>
            <w:shd w:val="clear" w:color="auto" w:fill="auto"/>
            <w:noWrap/>
            <w:vAlign w:val="center"/>
            <w:hideMark/>
          </w:tcPr>
          <w:p w14:paraId="2BFEED0A" w14:textId="77777777" w:rsidR="00BD53AF" w:rsidRPr="0067498B" w:rsidRDefault="00BD53AF" w:rsidP="00387AE5">
            <w:pPr>
              <w:jc w:val="center"/>
              <w:rPr>
                <w:rFonts w:cs="Times New Roman"/>
                <w:color w:val="000000"/>
                <w:sz w:val="18"/>
                <w:szCs w:val="18"/>
              </w:rPr>
            </w:pPr>
            <w:r w:rsidRPr="0067498B">
              <w:rPr>
                <w:rFonts w:cs="Times New Roman"/>
                <w:color w:val="000000"/>
                <w:sz w:val="18"/>
                <w:szCs w:val="18"/>
              </w:rPr>
              <w:t>% HDP</w:t>
            </w:r>
          </w:p>
        </w:tc>
        <w:tc>
          <w:tcPr>
            <w:tcW w:w="709" w:type="dxa"/>
            <w:tcBorders>
              <w:top w:val="nil"/>
              <w:left w:val="nil"/>
              <w:bottom w:val="single" w:sz="8" w:space="0" w:color="auto"/>
              <w:right w:val="nil"/>
            </w:tcBorders>
            <w:shd w:val="clear" w:color="auto" w:fill="auto"/>
            <w:noWrap/>
            <w:vAlign w:val="center"/>
            <w:hideMark/>
          </w:tcPr>
          <w:p w14:paraId="6DD873F8" w14:textId="77777777" w:rsidR="00BD53AF" w:rsidRPr="0067498B" w:rsidRDefault="00BD53AF" w:rsidP="00387AE5">
            <w:pPr>
              <w:jc w:val="center"/>
              <w:rPr>
                <w:rFonts w:cs="Times New Roman"/>
                <w:color w:val="000000"/>
                <w:sz w:val="18"/>
                <w:szCs w:val="18"/>
              </w:rPr>
            </w:pPr>
            <w:r w:rsidRPr="0067498B">
              <w:rPr>
                <w:rFonts w:cs="Times New Roman"/>
                <w:color w:val="000000"/>
                <w:sz w:val="18"/>
                <w:szCs w:val="18"/>
              </w:rPr>
              <w:t>mil. eur</w:t>
            </w:r>
          </w:p>
        </w:tc>
        <w:tc>
          <w:tcPr>
            <w:tcW w:w="709" w:type="dxa"/>
            <w:tcBorders>
              <w:top w:val="nil"/>
              <w:left w:val="nil"/>
              <w:bottom w:val="single" w:sz="8" w:space="0" w:color="auto"/>
              <w:right w:val="nil"/>
            </w:tcBorders>
            <w:shd w:val="clear" w:color="auto" w:fill="auto"/>
            <w:noWrap/>
            <w:vAlign w:val="center"/>
            <w:hideMark/>
          </w:tcPr>
          <w:p w14:paraId="23E5DB0B" w14:textId="77777777" w:rsidR="00BD53AF" w:rsidRPr="0067498B" w:rsidRDefault="00BD53AF" w:rsidP="00387AE5">
            <w:pPr>
              <w:jc w:val="center"/>
              <w:rPr>
                <w:rFonts w:cs="Times New Roman"/>
                <w:color w:val="000000"/>
                <w:sz w:val="18"/>
                <w:szCs w:val="18"/>
              </w:rPr>
            </w:pPr>
            <w:r w:rsidRPr="0067498B">
              <w:rPr>
                <w:rFonts w:cs="Times New Roman"/>
                <w:color w:val="000000"/>
                <w:sz w:val="18"/>
                <w:szCs w:val="18"/>
              </w:rPr>
              <w:t>% HDP</w:t>
            </w:r>
          </w:p>
        </w:tc>
        <w:tc>
          <w:tcPr>
            <w:tcW w:w="658" w:type="dxa"/>
            <w:tcBorders>
              <w:top w:val="nil"/>
              <w:left w:val="nil"/>
              <w:bottom w:val="single" w:sz="8" w:space="0" w:color="auto"/>
              <w:right w:val="nil"/>
            </w:tcBorders>
            <w:shd w:val="clear" w:color="auto" w:fill="auto"/>
            <w:noWrap/>
            <w:vAlign w:val="center"/>
            <w:hideMark/>
          </w:tcPr>
          <w:p w14:paraId="441108D7" w14:textId="77777777" w:rsidR="00BD53AF" w:rsidRPr="0067498B" w:rsidRDefault="00BD53AF" w:rsidP="00387AE5">
            <w:pPr>
              <w:jc w:val="center"/>
              <w:rPr>
                <w:rFonts w:cs="Times New Roman"/>
                <w:color w:val="000000"/>
                <w:sz w:val="18"/>
                <w:szCs w:val="18"/>
              </w:rPr>
            </w:pPr>
            <w:r w:rsidRPr="0067498B">
              <w:rPr>
                <w:rFonts w:cs="Times New Roman"/>
                <w:color w:val="000000"/>
                <w:sz w:val="18"/>
                <w:szCs w:val="18"/>
              </w:rPr>
              <w:t>mil. eur</w:t>
            </w:r>
          </w:p>
        </w:tc>
        <w:tc>
          <w:tcPr>
            <w:tcW w:w="759" w:type="dxa"/>
            <w:tcBorders>
              <w:top w:val="nil"/>
              <w:left w:val="nil"/>
              <w:bottom w:val="single" w:sz="8" w:space="0" w:color="auto"/>
              <w:right w:val="nil"/>
            </w:tcBorders>
            <w:shd w:val="clear" w:color="auto" w:fill="auto"/>
            <w:noWrap/>
            <w:vAlign w:val="center"/>
            <w:hideMark/>
          </w:tcPr>
          <w:p w14:paraId="5C8D03C2" w14:textId="77777777" w:rsidR="00BD53AF" w:rsidRPr="0067498B" w:rsidRDefault="00BD53AF" w:rsidP="00387AE5">
            <w:pPr>
              <w:jc w:val="center"/>
              <w:rPr>
                <w:rFonts w:cs="Times New Roman"/>
                <w:color w:val="000000"/>
                <w:sz w:val="18"/>
                <w:szCs w:val="18"/>
              </w:rPr>
            </w:pPr>
            <w:r w:rsidRPr="0067498B">
              <w:rPr>
                <w:rFonts w:cs="Times New Roman"/>
                <w:color w:val="000000"/>
                <w:sz w:val="18"/>
                <w:szCs w:val="18"/>
              </w:rPr>
              <w:t>% HDP</w:t>
            </w:r>
          </w:p>
        </w:tc>
      </w:tr>
      <w:tr w:rsidR="00BD53AF" w:rsidRPr="00BA5799" w14:paraId="45BA7618" w14:textId="77777777" w:rsidTr="003C66E6">
        <w:trPr>
          <w:trHeight w:val="258"/>
        </w:trPr>
        <w:tc>
          <w:tcPr>
            <w:tcW w:w="3261" w:type="dxa"/>
            <w:tcBorders>
              <w:top w:val="nil"/>
              <w:left w:val="nil"/>
              <w:bottom w:val="single" w:sz="4" w:space="0" w:color="auto"/>
              <w:right w:val="nil"/>
            </w:tcBorders>
            <w:shd w:val="clear" w:color="auto" w:fill="auto"/>
            <w:noWrap/>
            <w:vAlign w:val="center"/>
            <w:hideMark/>
          </w:tcPr>
          <w:p w14:paraId="38A2A58F" w14:textId="77777777" w:rsidR="00BD53AF" w:rsidRPr="00BA5799" w:rsidRDefault="00BD53AF" w:rsidP="00387AE5">
            <w:pPr>
              <w:rPr>
                <w:rFonts w:cs="Times New Roman"/>
                <w:b/>
                <w:bCs/>
                <w:color w:val="000000"/>
                <w:sz w:val="18"/>
                <w:szCs w:val="18"/>
              </w:rPr>
            </w:pPr>
            <w:r w:rsidRPr="00BA5799">
              <w:rPr>
                <w:rFonts w:cs="Times New Roman"/>
                <w:b/>
                <w:bCs/>
                <w:color w:val="000000"/>
                <w:sz w:val="18"/>
                <w:szCs w:val="18"/>
              </w:rPr>
              <w:t>Spolu príjmy (1+2+3+4)</w:t>
            </w:r>
          </w:p>
        </w:tc>
        <w:tc>
          <w:tcPr>
            <w:tcW w:w="708" w:type="dxa"/>
            <w:tcBorders>
              <w:top w:val="nil"/>
              <w:left w:val="nil"/>
              <w:bottom w:val="single" w:sz="4" w:space="0" w:color="auto"/>
              <w:right w:val="nil"/>
            </w:tcBorders>
            <w:shd w:val="clear" w:color="auto" w:fill="auto"/>
            <w:noWrap/>
            <w:vAlign w:val="center"/>
            <w:hideMark/>
          </w:tcPr>
          <w:p w14:paraId="52B637E3" w14:textId="77777777" w:rsidR="00BD53AF" w:rsidRPr="00BA5799" w:rsidRDefault="00BD53AF" w:rsidP="00387AE5">
            <w:pPr>
              <w:jc w:val="center"/>
              <w:rPr>
                <w:rFonts w:cs="Times New Roman"/>
                <w:b/>
                <w:bCs/>
                <w:color w:val="000000"/>
                <w:sz w:val="18"/>
                <w:szCs w:val="18"/>
              </w:rPr>
            </w:pPr>
          </w:p>
        </w:tc>
        <w:tc>
          <w:tcPr>
            <w:tcW w:w="993" w:type="dxa"/>
            <w:tcBorders>
              <w:top w:val="nil"/>
              <w:left w:val="nil"/>
              <w:bottom w:val="single" w:sz="4" w:space="0" w:color="auto"/>
              <w:right w:val="nil"/>
            </w:tcBorders>
            <w:shd w:val="clear" w:color="auto" w:fill="auto"/>
            <w:vAlign w:val="center"/>
            <w:hideMark/>
          </w:tcPr>
          <w:p w14:paraId="338AF09C" w14:textId="77777777" w:rsidR="00BD53AF" w:rsidRPr="00BA5799" w:rsidRDefault="00BD53AF" w:rsidP="00387AE5">
            <w:pPr>
              <w:jc w:val="center"/>
              <w:rPr>
                <w:rFonts w:cs="Times New Roman"/>
                <w:b/>
                <w:bCs/>
                <w:color w:val="000000"/>
                <w:sz w:val="18"/>
                <w:szCs w:val="18"/>
              </w:rPr>
            </w:pPr>
          </w:p>
        </w:tc>
        <w:tc>
          <w:tcPr>
            <w:tcW w:w="708" w:type="dxa"/>
            <w:tcBorders>
              <w:top w:val="nil"/>
              <w:left w:val="nil"/>
              <w:bottom w:val="single" w:sz="4" w:space="0" w:color="auto"/>
              <w:right w:val="nil"/>
            </w:tcBorders>
            <w:shd w:val="clear" w:color="auto" w:fill="auto"/>
            <w:vAlign w:val="center"/>
            <w:hideMark/>
          </w:tcPr>
          <w:p w14:paraId="743D4EC9" w14:textId="77777777" w:rsidR="00BD53AF" w:rsidRPr="00BA5799" w:rsidRDefault="00BD53AF" w:rsidP="00387AE5">
            <w:pPr>
              <w:jc w:val="center"/>
              <w:rPr>
                <w:rFonts w:cs="Times New Roman"/>
                <w:b/>
                <w:bCs/>
                <w:color w:val="000000"/>
                <w:sz w:val="18"/>
                <w:szCs w:val="18"/>
              </w:rPr>
            </w:pPr>
            <w:r w:rsidRPr="00BA5799">
              <w:rPr>
                <w:b/>
                <w:sz w:val="18"/>
                <w:szCs w:val="18"/>
              </w:rPr>
              <w:t>95</w:t>
            </w:r>
          </w:p>
        </w:tc>
        <w:tc>
          <w:tcPr>
            <w:tcW w:w="709" w:type="dxa"/>
            <w:tcBorders>
              <w:top w:val="nil"/>
              <w:left w:val="nil"/>
              <w:bottom w:val="single" w:sz="4" w:space="0" w:color="auto"/>
              <w:right w:val="nil"/>
            </w:tcBorders>
            <w:shd w:val="clear" w:color="auto" w:fill="auto"/>
            <w:vAlign w:val="center"/>
            <w:hideMark/>
          </w:tcPr>
          <w:p w14:paraId="6F04651C" w14:textId="77777777" w:rsidR="00BD53AF" w:rsidRPr="00BA5799" w:rsidRDefault="00BD53AF" w:rsidP="00387AE5">
            <w:pPr>
              <w:jc w:val="center"/>
              <w:rPr>
                <w:rFonts w:cs="Times New Roman"/>
                <w:b/>
                <w:bCs/>
                <w:color w:val="000000"/>
                <w:sz w:val="18"/>
                <w:szCs w:val="18"/>
              </w:rPr>
            </w:pPr>
            <w:r w:rsidRPr="00BA5799">
              <w:rPr>
                <w:b/>
                <w:sz w:val="18"/>
                <w:szCs w:val="18"/>
              </w:rPr>
              <w:t>0,09</w:t>
            </w:r>
          </w:p>
        </w:tc>
        <w:tc>
          <w:tcPr>
            <w:tcW w:w="709" w:type="dxa"/>
            <w:tcBorders>
              <w:top w:val="nil"/>
              <w:left w:val="nil"/>
              <w:bottom w:val="single" w:sz="4" w:space="0" w:color="auto"/>
              <w:right w:val="nil"/>
            </w:tcBorders>
            <w:shd w:val="clear" w:color="auto" w:fill="auto"/>
            <w:vAlign w:val="center"/>
            <w:hideMark/>
          </w:tcPr>
          <w:p w14:paraId="16A7D930" w14:textId="77777777" w:rsidR="00BD53AF" w:rsidRPr="00BA5799" w:rsidRDefault="00BD53AF" w:rsidP="00387AE5">
            <w:pPr>
              <w:jc w:val="center"/>
              <w:rPr>
                <w:rFonts w:cs="Times New Roman"/>
                <w:b/>
                <w:bCs/>
                <w:color w:val="000000"/>
                <w:sz w:val="18"/>
                <w:szCs w:val="18"/>
              </w:rPr>
            </w:pPr>
            <w:r w:rsidRPr="00BA5799">
              <w:rPr>
                <w:b/>
                <w:sz w:val="18"/>
                <w:szCs w:val="18"/>
              </w:rPr>
              <w:t>25</w:t>
            </w:r>
          </w:p>
        </w:tc>
        <w:tc>
          <w:tcPr>
            <w:tcW w:w="709" w:type="dxa"/>
            <w:tcBorders>
              <w:top w:val="nil"/>
              <w:left w:val="nil"/>
              <w:bottom w:val="single" w:sz="4" w:space="0" w:color="auto"/>
              <w:right w:val="nil"/>
            </w:tcBorders>
            <w:shd w:val="clear" w:color="auto" w:fill="auto"/>
            <w:vAlign w:val="center"/>
            <w:hideMark/>
          </w:tcPr>
          <w:p w14:paraId="4043BD36" w14:textId="77777777" w:rsidR="00BD53AF" w:rsidRPr="00BA5799" w:rsidRDefault="00BD53AF" w:rsidP="00387AE5">
            <w:pPr>
              <w:jc w:val="center"/>
              <w:rPr>
                <w:rFonts w:cs="Times New Roman"/>
                <w:b/>
                <w:bCs/>
                <w:color w:val="000000"/>
                <w:sz w:val="18"/>
                <w:szCs w:val="18"/>
              </w:rPr>
            </w:pPr>
            <w:r w:rsidRPr="00BA5799">
              <w:rPr>
                <w:b/>
                <w:sz w:val="18"/>
                <w:szCs w:val="18"/>
              </w:rPr>
              <w:t>0,02</w:t>
            </w:r>
          </w:p>
        </w:tc>
        <w:tc>
          <w:tcPr>
            <w:tcW w:w="658" w:type="dxa"/>
            <w:tcBorders>
              <w:top w:val="nil"/>
              <w:left w:val="nil"/>
              <w:bottom w:val="single" w:sz="4" w:space="0" w:color="auto"/>
              <w:right w:val="nil"/>
            </w:tcBorders>
            <w:shd w:val="clear" w:color="auto" w:fill="auto"/>
            <w:vAlign w:val="center"/>
            <w:hideMark/>
          </w:tcPr>
          <w:p w14:paraId="01BE91FE" w14:textId="77777777" w:rsidR="00BD53AF" w:rsidRPr="00BA5799" w:rsidRDefault="00BD53AF" w:rsidP="00387AE5">
            <w:pPr>
              <w:jc w:val="center"/>
              <w:rPr>
                <w:rFonts w:cs="Times New Roman"/>
                <w:b/>
                <w:bCs/>
                <w:color w:val="000000"/>
                <w:sz w:val="18"/>
                <w:szCs w:val="18"/>
              </w:rPr>
            </w:pPr>
            <w:r w:rsidRPr="00BA5799">
              <w:rPr>
                <w:b/>
                <w:sz w:val="18"/>
                <w:szCs w:val="18"/>
              </w:rPr>
              <w:t>60</w:t>
            </w:r>
          </w:p>
        </w:tc>
        <w:tc>
          <w:tcPr>
            <w:tcW w:w="759" w:type="dxa"/>
            <w:tcBorders>
              <w:top w:val="nil"/>
              <w:left w:val="nil"/>
              <w:bottom w:val="single" w:sz="4" w:space="0" w:color="auto"/>
              <w:right w:val="nil"/>
            </w:tcBorders>
            <w:shd w:val="clear" w:color="auto" w:fill="auto"/>
            <w:vAlign w:val="center"/>
            <w:hideMark/>
          </w:tcPr>
          <w:p w14:paraId="06F37ACB" w14:textId="77777777" w:rsidR="00BD53AF" w:rsidRPr="00BA5799" w:rsidRDefault="00BD53AF" w:rsidP="00387AE5">
            <w:pPr>
              <w:jc w:val="center"/>
              <w:rPr>
                <w:rFonts w:cs="Times New Roman"/>
                <w:b/>
                <w:bCs/>
                <w:color w:val="000000"/>
                <w:sz w:val="18"/>
                <w:szCs w:val="18"/>
              </w:rPr>
            </w:pPr>
            <w:r w:rsidRPr="00BA5799">
              <w:rPr>
                <w:b/>
                <w:sz w:val="18"/>
                <w:szCs w:val="18"/>
              </w:rPr>
              <w:t>0,05</w:t>
            </w:r>
          </w:p>
        </w:tc>
      </w:tr>
      <w:tr w:rsidR="00BD53AF" w:rsidRPr="00BA5799" w14:paraId="7F6E55D4" w14:textId="77777777" w:rsidTr="003C66E6">
        <w:trPr>
          <w:trHeight w:val="57"/>
        </w:trPr>
        <w:tc>
          <w:tcPr>
            <w:tcW w:w="3261" w:type="dxa"/>
            <w:tcBorders>
              <w:top w:val="nil"/>
              <w:left w:val="nil"/>
              <w:bottom w:val="nil"/>
              <w:right w:val="nil"/>
            </w:tcBorders>
            <w:shd w:val="clear" w:color="auto" w:fill="auto"/>
            <w:vAlign w:val="center"/>
            <w:hideMark/>
          </w:tcPr>
          <w:p w14:paraId="1D5157F8" w14:textId="77777777" w:rsidR="00BD53AF" w:rsidRPr="00BA5799" w:rsidRDefault="00BD53AF" w:rsidP="00387AE5">
            <w:pPr>
              <w:rPr>
                <w:rFonts w:cs="Times New Roman"/>
                <w:b/>
                <w:bCs/>
                <w:color w:val="000000"/>
                <w:sz w:val="18"/>
                <w:szCs w:val="18"/>
              </w:rPr>
            </w:pPr>
            <w:r w:rsidRPr="00BA5799">
              <w:rPr>
                <w:rFonts w:cs="Times New Roman"/>
                <w:b/>
                <w:bCs/>
                <w:color w:val="000000"/>
                <w:sz w:val="18"/>
                <w:szCs w:val="18"/>
              </w:rPr>
              <w:t>1.Daňové príjmy</w:t>
            </w:r>
          </w:p>
        </w:tc>
        <w:tc>
          <w:tcPr>
            <w:tcW w:w="708" w:type="dxa"/>
            <w:tcBorders>
              <w:top w:val="nil"/>
              <w:left w:val="nil"/>
              <w:bottom w:val="nil"/>
              <w:right w:val="nil"/>
            </w:tcBorders>
            <w:shd w:val="clear" w:color="auto" w:fill="auto"/>
            <w:noWrap/>
            <w:vAlign w:val="center"/>
            <w:hideMark/>
          </w:tcPr>
          <w:p w14:paraId="54A886CE" w14:textId="77777777" w:rsidR="00BD53AF" w:rsidRPr="00EE43EC" w:rsidRDefault="00BD53AF" w:rsidP="00387AE5">
            <w:pPr>
              <w:jc w:val="center"/>
              <w:rPr>
                <w:rFonts w:cs="Times New Roman"/>
                <w:color w:val="000000"/>
                <w:sz w:val="18"/>
                <w:szCs w:val="18"/>
              </w:rPr>
            </w:pPr>
            <w:r w:rsidRPr="00EE43EC">
              <w:rPr>
                <w:rFonts w:cs="Times New Roman"/>
                <w:color w:val="000000"/>
                <w:sz w:val="18"/>
                <w:szCs w:val="18"/>
              </w:rPr>
              <w:t>S13</w:t>
            </w:r>
          </w:p>
        </w:tc>
        <w:tc>
          <w:tcPr>
            <w:tcW w:w="993" w:type="dxa"/>
            <w:tcBorders>
              <w:top w:val="nil"/>
              <w:left w:val="nil"/>
              <w:bottom w:val="nil"/>
              <w:right w:val="nil"/>
            </w:tcBorders>
            <w:shd w:val="clear" w:color="auto" w:fill="auto"/>
            <w:vAlign w:val="center"/>
            <w:hideMark/>
          </w:tcPr>
          <w:p w14:paraId="60487223" w14:textId="77777777" w:rsidR="00BD53AF" w:rsidRPr="00BA5799" w:rsidRDefault="00BD53AF" w:rsidP="00387AE5">
            <w:pPr>
              <w:jc w:val="center"/>
              <w:rPr>
                <w:rFonts w:cs="Times New Roman"/>
                <w:color w:val="000000"/>
                <w:sz w:val="18"/>
                <w:szCs w:val="18"/>
              </w:rPr>
            </w:pPr>
            <w:r w:rsidRPr="00BA5799">
              <w:rPr>
                <w:sz w:val="18"/>
                <w:szCs w:val="18"/>
              </w:rPr>
              <w:t>D.2 + D.5 + D.91</w:t>
            </w:r>
          </w:p>
        </w:tc>
        <w:tc>
          <w:tcPr>
            <w:tcW w:w="708" w:type="dxa"/>
            <w:tcBorders>
              <w:top w:val="nil"/>
              <w:left w:val="nil"/>
              <w:bottom w:val="nil"/>
              <w:right w:val="nil"/>
            </w:tcBorders>
            <w:shd w:val="clear" w:color="auto" w:fill="auto"/>
            <w:vAlign w:val="center"/>
            <w:hideMark/>
          </w:tcPr>
          <w:p w14:paraId="564F98BB" w14:textId="77777777" w:rsidR="00BD53AF" w:rsidRPr="00BA5799" w:rsidRDefault="00BD53AF" w:rsidP="00387AE5">
            <w:pPr>
              <w:jc w:val="center"/>
              <w:rPr>
                <w:rFonts w:cs="Times New Roman"/>
                <w:color w:val="000000"/>
                <w:sz w:val="18"/>
                <w:szCs w:val="18"/>
              </w:rPr>
            </w:pPr>
            <w:r w:rsidRPr="00BA5799">
              <w:rPr>
                <w:sz w:val="18"/>
                <w:szCs w:val="18"/>
              </w:rPr>
              <w:t>17</w:t>
            </w:r>
          </w:p>
        </w:tc>
        <w:tc>
          <w:tcPr>
            <w:tcW w:w="709" w:type="dxa"/>
            <w:tcBorders>
              <w:top w:val="nil"/>
              <w:left w:val="nil"/>
              <w:bottom w:val="nil"/>
              <w:right w:val="nil"/>
            </w:tcBorders>
            <w:shd w:val="clear" w:color="auto" w:fill="auto"/>
            <w:vAlign w:val="center"/>
            <w:hideMark/>
          </w:tcPr>
          <w:p w14:paraId="46A32CFA" w14:textId="77777777" w:rsidR="00BD53AF" w:rsidRPr="00BA5799" w:rsidRDefault="00BD53AF" w:rsidP="00387AE5">
            <w:pPr>
              <w:jc w:val="center"/>
              <w:rPr>
                <w:rFonts w:cs="Times New Roman"/>
                <w:color w:val="000000"/>
                <w:sz w:val="18"/>
                <w:szCs w:val="18"/>
              </w:rPr>
            </w:pPr>
            <w:r w:rsidRPr="00BA5799">
              <w:rPr>
                <w:sz w:val="18"/>
                <w:szCs w:val="18"/>
              </w:rPr>
              <w:t>0,0</w:t>
            </w:r>
          </w:p>
        </w:tc>
        <w:tc>
          <w:tcPr>
            <w:tcW w:w="709" w:type="dxa"/>
            <w:tcBorders>
              <w:top w:val="nil"/>
              <w:left w:val="nil"/>
              <w:bottom w:val="nil"/>
              <w:right w:val="nil"/>
            </w:tcBorders>
            <w:shd w:val="clear" w:color="auto" w:fill="auto"/>
            <w:vAlign w:val="center"/>
            <w:hideMark/>
          </w:tcPr>
          <w:p w14:paraId="7D015400" w14:textId="77777777" w:rsidR="00BD53AF" w:rsidRPr="00BA5799" w:rsidRDefault="00BD53AF" w:rsidP="00387AE5">
            <w:pPr>
              <w:jc w:val="center"/>
              <w:rPr>
                <w:rFonts w:cs="Times New Roman"/>
                <w:color w:val="000000"/>
                <w:sz w:val="18"/>
                <w:szCs w:val="18"/>
              </w:rPr>
            </w:pPr>
            <w:r w:rsidRPr="00BA5799">
              <w:rPr>
                <w:sz w:val="18"/>
                <w:szCs w:val="18"/>
              </w:rPr>
              <w:t>17</w:t>
            </w:r>
          </w:p>
        </w:tc>
        <w:tc>
          <w:tcPr>
            <w:tcW w:w="709" w:type="dxa"/>
            <w:tcBorders>
              <w:top w:val="nil"/>
              <w:left w:val="nil"/>
              <w:bottom w:val="nil"/>
              <w:right w:val="nil"/>
            </w:tcBorders>
            <w:shd w:val="clear" w:color="auto" w:fill="auto"/>
            <w:vAlign w:val="center"/>
            <w:hideMark/>
          </w:tcPr>
          <w:p w14:paraId="37007465" w14:textId="77777777" w:rsidR="00BD53AF" w:rsidRPr="00BA5799" w:rsidRDefault="00BD53AF" w:rsidP="00387AE5">
            <w:pPr>
              <w:jc w:val="center"/>
              <w:rPr>
                <w:rFonts w:cs="Times New Roman"/>
                <w:color w:val="000000"/>
                <w:sz w:val="18"/>
                <w:szCs w:val="18"/>
              </w:rPr>
            </w:pPr>
            <w:r w:rsidRPr="00BA5799">
              <w:rPr>
                <w:sz w:val="18"/>
                <w:szCs w:val="18"/>
              </w:rPr>
              <w:t>0,0</w:t>
            </w:r>
          </w:p>
        </w:tc>
        <w:tc>
          <w:tcPr>
            <w:tcW w:w="658" w:type="dxa"/>
            <w:tcBorders>
              <w:top w:val="nil"/>
              <w:left w:val="nil"/>
              <w:bottom w:val="nil"/>
              <w:right w:val="nil"/>
            </w:tcBorders>
            <w:shd w:val="clear" w:color="auto" w:fill="auto"/>
            <w:vAlign w:val="center"/>
            <w:hideMark/>
          </w:tcPr>
          <w:p w14:paraId="277E0BDA" w14:textId="77777777" w:rsidR="00BD53AF" w:rsidRPr="00BA5799" w:rsidRDefault="00BD53AF" w:rsidP="00387AE5">
            <w:pPr>
              <w:jc w:val="center"/>
              <w:rPr>
                <w:rFonts w:cs="Times New Roman"/>
                <w:color w:val="000000"/>
                <w:sz w:val="18"/>
                <w:szCs w:val="18"/>
              </w:rPr>
            </w:pPr>
            <w:r w:rsidRPr="00BA5799">
              <w:rPr>
                <w:sz w:val="18"/>
                <w:szCs w:val="18"/>
              </w:rPr>
              <w:t>17</w:t>
            </w:r>
          </w:p>
        </w:tc>
        <w:tc>
          <w:tcPr>
            <w:tcW w:w="759" w:type="dxa"/>
            <w:tcBorders>
              <w:top w:val="nil"/>
              <w:left w:val="nil"/>
              <w:bottom w:val="nil"/>
              <w:right w:val="nil"/>
            </w:tcBorders>
            <w:shd w:val="clear" w:color="auto" w:fill="auto"/>
            <w:vAlign w:val="center"/>
            <w:hideMark/>
          </w:tcPr>
          <w:p w14:paraId="299976C6" w14:textId="77777777" w:rsidR="00BD53AF" w:rsidRPr="00BA5799" w:rsidRDefault="00BD53AF" w:rsidP="00387AE5">
            <w:pPr>
              <w:jc w:val="center"/>
              <w:rPr>
                <w:rFonts w:cs="Times New Roman"/>
                <w:color w:val="000000"/>
                <w:sz w:val="18"/>
                <w:szCs w:val="18"/>
              </w:rPr>
            </w:pPr>
            <w:r w:rsidRPr="00BA5799">
              <w:rPr>
                <w:sz w:val="18"/>
                <w:szCs w:val="18"/>
              </w:rPr>
              <w:t>0,0</w:t>
            </w:r>
          </w:p>
        </w:tc>
      </w:tr>
      <w:tr w:rsidR="00BD53AF" w:rsidRPr="00BA5799" w14:paraId="7E478A7E" w14:textId="77777777" w:rsidTr="003C66E6">
        <w:trPr>
          <w:trHeight w:val="57"/>
        </w:trPr>
        <w:tc>
          <w:tcPr>
            <w:tcW w:w="3261" w:type="dxa"/>
            <w:tcBorders>
              <w:top w:val="nil"/>
              <w:left w:val="nil"/>
              <w:bottom w:val="nil"/>
              <w:right w:val="nil"/>
            </w:tcBorders>
            <w:shd w:val="clear" w:color="auto" w:fill="auto"/>
            <w:vAlign w:val="center"/>
          </w:tcPr>
          <w:p w14:paraId="46DFA64B" w14:textId="77777777" w:rsidR="00BD53AF" w:rsidRPr="00BA5799" w:rsidRDefault="00BD53AF" w:rsidP="003C66E6">
            <w:pPr>
              <w:pStyle w:val="Odsekzoznamu"/>
              <w:numPr>
                <w:ilvl w:val="0"/>
                <w:numId w:val="11"/>
              </w:numPr>
              <w:ind w:left="214" w:hanging="142"/>
              <w:contextualSpacing w:val="0"/>
              <w:rPr>
                <w:rFonts w:cs="Times New Roman"/>
                <w:b/>
                <w:bCs/>
                <w:color w:val="000000"/>
                <w:sz w:val="18"/>
                <w:szCs w:val="18"/>
              </w:rPr>
            </w:pPr>
            <w:r w:rsidRPr="00BA5799">
              <w:rPr>
                <w:sz w:val="18"/>
                <w:szCs w:val="18"/>
              </w:rPr>
              <w:t>Zvýšenie poplatku za správu (EOSA)</w:t>
            </w:r>
          </w:p>
        </w:tc>
        <w:tc>
          <w:tcPr>
            <w:tcW w:w="708" w:type="dxa"/>
            <w:tcBorders>
              <w:top w:val="nil"/>
              <w:left w:val="nil"/>
              <w:bottom w:val="nil"/>
              <w:right w:val="nil"/>
            </w:tcBorders>
            <w:shd w:val="clear" w:color="auto" w:fill="auto"/>
            <w:noWrap/>
            <w:vAlign w:val="center"/>
          </w:tcPr>
          <w:p w14:paraId="0CFB63E4" w14:textId="77777777" w:rsidR="00BD53AF" w:rsidRPr="00EE43EC" w:rsidRDefault="00BD53AF" w:rsidP="00387AE5">
            <w:pPr>
              <w:jc w:val="center"/>
              <w:rPr>
                <w:rFonts w:cs="Times New Roman"/>
                <w:color w:val="000000"/>
                <w:sz w:val="18"/>
                <w:szCs w:val="18"/>
              </w:rPr>
            </w:pPr>
          </w:p>
        </w:tc>
        <w:tc>
          <w:tcPr>
            <w:tcW w:w="993" w:type="dxa"/>
            <w:tcBorders>
              <w:top w:val="nil"/>
              <w:left w:val="nil"/>
              <w:bottom w:val="nil"/>
              <w:right w:val="nil"/>
            </w:tcBorders>
            <w:shd w:val="clear" w:color="auto" w:fill="auto"/>
            <w:vAlign w:val="center"/>
          </w:tcPr>
          <w:p w14:paraId="2333D0BC" w14:textId="77777777" w:rsidR="00BD53AF" w:rsidRPr="00BA5799" w:rsidRDefault="00BD53AF" w:rsidP="00387AE5">
            <w:pPr>
              <w:jc w:val="center"/>
              <w:rPr>
                <w:sz w:val="18"/>
                <w:szCs w:val="18"/>
              </w:rPr>
            </w:pPr>
            <w:r w:rsidRPr="00BA5799">
              <w:rPr>
                <w:sz w:val="18"/>
                <w:szCs w:val="18"/>
              </w:rPr>
              <w:t>D.2</w:t>
            </w:r>
          </w:p>
        </w:tc>
        <w:tc>
          <w:tcPr>
            <w:tcW w:w="708" w:type="dxa"/>
            <w:tcBorders>
              <w:top w:val="nil"/>
              <w:left w:val="nil"/>
              <w:bottom w:val="nil"/>
              <w:right w:val="nil"/>
            </w:tcBorders>
            <w:shd w:val="clear" w:color="auto" w:fill="auto"/>
            <w:vAlign w:val="center"/>
          </w:tcPr>
          <w:p w14:paraId="15DB8AE6" w14:textId="77777777" w:rsidR="00BD53AF" w:rsidRPr="00BA5799" w:rsidRDefault="00BD53AF" w:rsidP="00387AE5">
            <w:pPr>
              <w:jc w:val="center"/>
              <w:rPr>
                <w:sz w:val="18"/>
                <w:szCs w:val="18"/>
              </w:rPr>
            </w:pPr>
            <w:r w:rsidRPr="00BA5799">
              <w:rPr>
                <w:sz w:val="18"/>
                <w:szCs w:val="18"/>
              </w:rPr>
              <w:t>33</w:t>
            </w:r>
          </w:p>
        </w:tc>
        <w:tc>
          <w:tcPr>
            <w:tcW w:w="709" w:type="dxa"/>
            <w:tcBorders>
              <w:top w:val="nil"/>
              <w:left w:val="nil"/>
              <w:bottom w:val="nil"/>
              <w:right w:val="nil"/>
            </w:tcBorders>
            <w:shd w:val="clear" w:color="auto" w:fill="auto"/>
            <w:vAlign w:val="center"/>
          </w:tcPr>
          <w:p w14:paraId="226C61CA" w14:textId="77777777" w:rsidR="00BD53AF" w:rsidRPr="00BA5799" w:rsidRDefault="00BD53AF" w:rsidP="00387AE5">
            <w:pPr>
              <w:jc w:val="center"/>
              <w:rPr>
                <w:sz w:val="18"/>
                <w:szCs w:val="18"/>
              </w:rPr>
            </w:pPr>
            <w:r w:rsidRPr="00BA5799">
              <w:rPr>
                <w:sz w:val="18"/>
                <w:szCs w:val="18"/>
              </w:rPr>
              <w:t>0,0</w:t>
            </w:r>
          </w:p>
        </w:tc>
        <w:tc>
          <w:tcPr>
            <w:tcW w:w="709" w:type="dxa"/>
            <w:tcBorders>
              <w:top w:val="nil"/>
              <w:left w:val="nil"/>
              <w:bottom w:val="nil"/>
              <w:right w:val="nil"/>
            </w:tcBorders>
            <w:shd w:val="clear" w:color="auto" w:fill="auto"/>
            <w:vAlign w:val="center"/>
          </w:tcPr>
          <w:p w14:paraId="32F039C2" w14:textId="77777777" w:rsidR="00BD53AF" w:rsidRPr="00BA5799" w:rsidRDefault="00BD53AF" w:rsidP="00387AE5">
            <w:pPr>
              <w:jc w:val="center"/>
              <w:rPr>
                <w:sz w:val="18"/>
                <w:szCs w:val="18"/>
              </w:rPr>
            </w:pPr>
            <w:r w:rsidRPr="00BA5799">
              <w:rPr>
                <w:sz w:val="18"/>
                <w:szCs w:val="18"/>
              </w:rPr>
              <w:t>33</w:t>
            </w:r>
          </w:p>
        </w:tc>
        <w:tc>
          <w:tcPr>
            <w:tcW w:w="709" w:type="dxa"/>
            <w:tcBorders>
              <w:top w:val="nil"/>
              <w:left w:val="nil"/>
              <w:bottom w:val="nil"/>
              <w:right w:val="nil"/>
            </w:tcBorders>
            <w:shd w:val="clear" w:color="auto" w:fill="auto"/>
            <w:vAlign w:val="center"/>
          </w:tcPr>
          <w:p w14:paraId="44E483DE" w14:textId="77777777" w:rsidR="00BD53AF" w:rsidRPr="00BA5799" w:rsidRDefault="00BD53AF" w:rsidP="00387AE5">
            <w:pPr>
              <w:jc w:val="center"/>
              <w:rPr>
                <w:sz w:val="18"/>
                <w:szCs w:val="18"/>
              </w:rPr>
            </w:pPr>
            <w:r w:rsidRPr="00BA5799">
              <w:rPr>
                <w:sz w:val="18"/>
                <w:szCs w:val="18"/>
              </w:rPr>
              <w:t>0,0</w:t>
            </w:r>
          </w:p>
        </w:tc>
        <w:tc>
          <w:tcPr>
            <w:tcW w:w="658" w:type="dxa"/>
            <w:tcBorders>
              <w:top w:val="nil"/>
              <w:left w:val="nil"/>
              <w:bottom w:val="nil"/>
              <w:right w:val="nil"/>
            </w:tcBorders>
            <w:shd w:val="clear" w:color="auto" w:fill="auto"/>
            <w:vAlign w:val="center"/>
          </w:tcPr>
          <w:p w14:paraId="0DA3C4ED" w14:textId="77777777" w:rsidR="00BD53AF" w:rsidRPr="00BA5799" w:rsidRDefault="00BD53AF" w:rsidP="00387AE5">
            <w:pPr>
              <w:jc w:val="center"/>
              <w:rPr>
                <w:sz w:val="18"/>
                <w:szCs w:val="18"/>
              </w:rPr>
            </w:pPr>
            <w:r w:rsidRPr="00BA5799">
              <w:rPr>
                <w:sz w:val="18"/>
                <w:szCs w:val="18"/>
              </w:rPr>
              <w:t>33</w:t>
            </w:r>
          </w:p>
        </w:tc>
        <w:tc>
          <w:tcPr>
            <w:tcW w:w="759" w:type="dxa"/>
            <w:tcBorders>
              <w:top w:val="nil"/>
              <w:left w:val="nil"/>
              <w:bottom w:val="nil"/>
              <w:right w:val="nil"/>
            </w:tcBorders>
            <w:shd w:val="clear" w:color="auto" w:fill="auto"/>
            <w:vAlign w:val="center"/>
          </w:tcPr>
          <w:p w14:paraId="5EC67370" w14:textId="77777777" w:rsidR="00BD53AF" w:rsidRPr="00BA5799" w:rsidRDefault="00BD53AF" w:rsidP="00387AE5">
            <w:pPr>
              <w:jc w:val="center"/>
              <w:rPr>
                <w:sz w:val="18"/>
                <w:szCs w:val="18"/>
              </w:rPr>
            </w:pPr>
            <w:r w:rsidRPr="00BA5799">
              <w:rPr>
                <w:sz w:val="18"/>
                <w:szCs w:val="18"/>
              </w:rPr>
              <w:t>0,0</w:t>
            </w:r>
          </w:p>
        </w:tc>
      </w:tr>
      <w:tr w:rsidR="00BD53AF" w:rsidRPr="00BA5799" w14:paraId="2B3B7E82" w14:textId="77777777" w:rsidTr="003C66E6">
        <w:trPr>
          <w:trHeight w:val="57"/>
        </w:trPr>
        <w:tc>
          <w:tcPr>
            <w:tcW w:w="3261" w:type="dxa"/>
            <w:tcBorders>
              <w:top w:val="nil"/>
              <w:left w:val="nil"/>
              <w:bottom w:val="nil"/>
              <w:right w:val="nil"/>
            </w:tcBorders>
            <w:shd w:val="clear" w:color="auto" w:fill="auto"/>
            <w:vAlign w:val="center"/>
          </w:tcPr>
          <w:p w14:paraId="1998F8D0" w14:textId="77777777" w:rsidR="00BD53AF" w:rsidRPr="00BA5799" w:rsidRDefault="00BD53AF" w:rsidP="003C66E6">
            <w:pPr>
              <w:pStyle w:val="Odsekzoznamu"/>
              <w:numPr>
                <w:ilvl w:val="0"/>
                <w:numId w:val="11"/>
              </w:numPr>
              <w:ind w:left="214" w:hanging="142"/>
              <w:contextualSpacing w:val="0"/>
              <w:rPr>
                <w:sz w:val="18"/>
                <w:szCs w:val="18"/>
              </w:rPr>
            </w:pPr>
            <w:r w:rsidRPr="00BA5799">
              <w:rPr>
                <w:sz w:val="18"/>
                <w:szCs w:val="18"/>
              </w:rPr>
              <w:t>13 a 14 plat - novela legislatívy</w:t>
            </w:r>
          </w:p>
        </w:tc>
        <w:tc>
          <w:tcPr>
            <w:tcW w:w="708" w:type="dxa"/>
            <w:tcBorders>
              <w:top w:val="nil"/>
              <w:left w:val="nil"/>
              <w:bottom w:val="nil"/>
              <w:right w:val="nil"/>
            </w:tcBorders>
            <w:shd w:val="clear" w:color="auto" w:fill="auto"/>
            <w:noWrap/>
            <w:vAlign w:val="center"/>
          </w:tcPr>
          <w:p w14:paraId="1C8E12EA" w14:textId="77777777" w:rsidR="00BD53AF" w:rsidRPr="00EE43EC" w:rsidRDefault="00BD53AF" w:rsidP="00387AE5">
            <w:pPr>
              <w:jc w:val="center"/>
              <w:rPr>
                <w:rFonts w:cs="Times New Roman"/>
                <w:color w:val="000000"/>
                <w:sz w:val="18"/>
                <w:szCs w:val="18"/>
              </w:rPr>
            </w:pPr>
          </w:p>
        </w:tc>
        <w:tc>
          <w:tcPr>
            <w:tcW w:w="993" w:type="dxa"/>
            <w:tcBorders>
              <w:top w:val="nil"/>
              <w:left w:val="nil"/>
              <w:bottom w:val="nil"/>
              <w:right w:val="nil"/>
            </w:tcBorders>
            <w:shd w:val="clear" w:color="auto" w:fill="auto"/>
            <w:vAlign w:val="center"/>
          </w:tcPr>
          <w:p w14:paraId="11785C33" w14:textId="77777777" w:rsidR="00BD53AF" w:rsidRPr="00BA5799" w:rsidRDefault="00BD53AF" w:rsidP="00387AE5">
            <w:pPr>
              <w:jc w:val="center"/>
              <w:rPr>
                <w:sz w:val="18"/>
                <w:szCs w:val="18"/>
              </w:rPr>
            </w:pPr>
            <w:r w:rsidRPr="00BA5799">
              <w:rPr>
                <w:sz w:val="18"/>
                <w:szCs w:val="18"/>
              </w:rPr>
              <w:t>D.5</w:t>
            </w:r>
          </w:p>
        </w:tc>
        <w:tc>
          <w:tcPr>
            <w:tcW w:w="708" w:type="dxa"/>
            <w:tcBorders>
              <w:top w:val="nil"/>
              <w:left w:val="nil"/>
              <w:bottom w:val="nil"/>
              <w:right w:val="nil"/>
            </w:tcBorders>
            <w:shd w:val="clear" w:color="auto" w:fill="auto"/>
            <w:vAlign w:val="center"/>
          </w:tcPr>
          <w:p w14:paraId="5175C50D" w14:textId="77777777" w:rsidR="00BD53AF" w:rsidRPr="00BA5799" w:rsidRDefault="00BD53AF" w:rsidP="00387AE5">
            <w:pPr>
              <w:jc w:val="center"/>
              <w:rPr>
                <w:sz w:val="18"/>
                <w:szCs w:val="18"/>
              </w:rPr>
            </w:pPr>
            <w:r w:rsidRPr="00BA5799">
              <w:rPr>
                <w:sz w:val="18"/>
                <w:szCs w:val="18"/>
              </w:rPr>
              <w:t>-15</w:t>
            </w:r>
          </w:p>
        </w:tc>
        <w:tc>
          <w:tcPr>
            <w:tcW w:w="709" w:type="dxa"/>
            <w:tcBorders>
              <w:top w:val="nil"/>
              <w:left w:val="nil"/>
              <w:bottom w:val="nil"/>
              <w:right w:val="nil"/>
            </w:tcBorders>
            <w:shd w:val="clear" w:color="auto" w:fill="auto"/>
            <w:vAlign w:val="center"/>
          </w:tcPr>
          <w:p w14:paraId="2E156A3A" w14:textId="77777777" w:rsidR="00BD53AF" w:rsidRPr="00BA5799" w:rsidRDefault="00BD53AF" w:rsidP="00387AE5">
            <w:pPr>
              <w:jc w:val="center"/>
              <w:rPr>
                <w:sz w:val="18"/>
                <w:szCs w:val="18"/>
              </w:rPr>
            </w:pPr>
            <w:r w:rsidRPr="00BA5799">
              <w:rPr>
                <w:sz w:val="18"/>
                <w:szCs w:val="18"/>
              </w:rPr>
              <w:t>0,0</w:t>
            </w:r>
          </w:p>
        </w:tc>
        <w:tc>
          <w:tcPr>
            <w:tcW w:w="709" w:type="dxa"/>
            <w:tcBorders>
              <w:top w:val="nil"/>
              <w:left w:val="nil"/>
              <w:bottom w:val="nil"/>
              <w:right w:val="nil"/>
            </w:tcBorders>
            <w:shd w:val="clear" w:color="auto" w:fill="auto"/>
            <w:vAlign w:val="center"/>
          </w:tcPr>
          <w:p w14:paraId="0698F922" w14:textId="77777777" w:rsidR="00BD53AF" w:rsidRPr="00BA5799" w:rsidRDefault="00BD53AF" w:rsidP="00387AE5">
            <w:pPr>
              <w:jc w:val="center"/>
              <w:rPr>
                <w:sz w:val="18"/>
                <w:szCs w:val="18"/>
              </w:rPr>
            </w:pPr>
            <w:r w:rsidRPr="00BA5799">
              <w:rPr>
                <w:sz w:val="18"/>
                <w:szCs w:val="18"/>
              </w:rPr>
              <w:t>-15</w:t>
            </w:r>
          </w:p>
        </w:tc>
        <w:tc>
          <w:tcPr>
            <w:tcW w:w="709" w:type="dxa"/>
            <w:tcBorders>
              <w:top w:val="nil"/>
              <w:left w:val="nil"/>
              <w:bottom w:val="nil"/>
              <w:right w:val="nil"/>
            </w:tcBorders>
            <w:shd w:val="clear" w:color="auto" w:fill="auto"/>
            <w:vAlign w:val="center"/>
          </w:tcPr>
          <w:p w14:paraId="359A3A76" w14:textId="77777777" w:rsidR="00BD53AF" w:rsidRPr="00BA5799" w:rsidRDefault="00BD53AF" w:rsidP="00387AE5">
            <w:pPr>
              <w:jc w:val="center"/>
              <w:rPr>
                <w:sz w:val="18"/>
                <w:szCs w:val="18"/>
              </w:rPr>
            </w:pPr>
            <w:r w:rsidRPr="00BA5799">
              <w:rPr>
                <w:sz w:val="18"/>
                <w:szCs w:val="18"/>
              </w:rPr>
              <w:t>0,0</w:t>
            </w:r>
          </w:p>
        </w:tc>
        <w:tc>
          <w:tcPr>
            <w:tcW w:w="658" w:type="dxa"/>
            <w:tcBorders>
              <w:top w:val="nil"/>
              <w:left w:val="nil"/>
              <w:bottom w:val="nil"/>
              <w:right w:val="nil"/>
            </w:tcBorders>
            <w:shd w:val="clear" w:color="auto" w:fill="auto"/>
            <w:vAlign w:val="center"/>
          </w:tcPr>
          <w:p w14:paraId="78C181AD" w14:textId="77777777" w:rsidR="00BD53AF" w:rsidRPr="00BA5799" w:rsidRDefault="00BD53AF" w:rsidP="00387AE5">
            <w:pPr>
              <w:jc w:val="center"/>
              <w:rPr>
                <w:sz w:val="18"/>
                <w:szCs w:val="18"/>
              </w:rPr>
            </w:pPr>
            <w:r w:rsidRPr="00BA5799">
              <w:rPr>
                <w:sz w:val="18"/>
                <w:szCs w:val="18"/>
              </w:rPr>
              <w:t>-15</w:t>
            </w:r>
          </w:p>
        </w:tc>
        <w:tc>
          <w:tcPr>
            <w:tcW w:w="759" w:type="dxa"/>
            <w:tcBorders>
              <w:top w:val="nil"/>
              <w:left w:val="nil"/>
              <w:bottom w:val="nil"/>
              <w:right w:val="nil"/>
            </w:tcBorders>
            <w:shd w:val="clear" w:color="auto" w:fill="auto"/>
            <w:vAlign w:val="center"/>
          </w:tcPr>
          <w:p w14:paraId="3298CE9F" w14:textId="77777777" w:rsidR="00BD53AF" w:rsidRPr="00BA5799" w:rsidRDefault="00BD53AF" w:rsidP="00387AE5">
            <w:pPr>
              <w:jc w:val="center"/>
              <w:rPr>
                <w:sz w:val="18"/>
                <w:szCs w:val="18"/>
              </w:rPr>
            </w:pPr>
            <w:r w:rsidRPr="00BA5799">
              <w:rPr>
                <w:sz w:val="18"/>
                <w:szCs w:val="18"/>
              </w:rPr>
              <w:t>0,0</w:t>
            </w:r>
          </w:p>
        </w:tc>
      </w:tr>
      <w:tr w:rsidR="00BD53AF" w:rsidRPr="00BA5799" w14:paraId="2E2A117E" w14:textId="77777777" w:rsidTr="003C66E6">
        <w:trPr>
          <w:trHeight w:val="57"/>
        </w:trPr>
        <w:tc>
          <w:tcPr>
            <w:tcW w:w="3261" w:type="dxa"/>
            <w:tcBorders>
              <w:top w:val="nil"/>
              <w:left w:val="nil"/>
              <w:bottom w:val="nil"/>
              <w:right w:val="nil"/>
            </w:tcBorders>
            <w:shd w:val="clear" w:color="auto" w:fill="auto"/>
            <w:vAlign w:val="center"/>
            <w:hideMark/>
          </w:tcPr>
          <w:p w14:paraId="2471056A" w14:textId="77777777" w:rsidR="00BD53AF" w:rsidRPr="00BA5799" w:rsidRDefault="00BD53AF" w:rsidP="00387AE5">
            <w:pPr>
              <w:rPr>
                <w:rFonts w:cs="Times New Roman"/>
                <w:b/>
                <w:bCs/>
                <w:color w:val="000000"/>
                <w:sz w:val="18"/>
                <w:szCs w:val="18"/>
              </w:rPr>
            </w:pPr>
            <w:r w:rsidRPr="00BA5799">
              <w:rPr>
                <w:rFonts w:cs="Times New Roman"/>
                <w:b/>
                <w:bCs/>
                <w:color w:val="000000"/>
                <w:sz w:val="18"/>
                <w:szCs w:val="18"/>
              </w:rPr>
              <w:t>2.Sociálne zabezpečenie</w:t>
            </w:r>
          </w:p>
        </w:tc>
        <w:tc>
          <w:tcPr>
            <w:tcW w:w="708" w:type="dxa"/>
            <w:tcBorders>
              <w:top w:val="nil"/>
              <w:left w:val="nil"/>
              <w:bottom w:val="nil"/>
              <w:right w:val="nil"/>
            </w:tcBorders>
            <w:shd w:val="clear" w:color="auto" w:fill="auto"/>
            <w:noWrap/>
            <w:vAlign w:val="center"/>
            <w:hideMark/>
          </w:tcPr>
          <w:p w14:paraId="1EE9723A" w14:textId="77777777" w:rsidR="00BD53AF" w:rsidRPr="00EE43EC" w:rsidRDefault="00BD53AF" w:rsidP="00387AE5">
            <w:pPr>
              <w:jc w:val="center"/>
              <w:rPr>
                <w:rFonts w:cs="Times New Roman"/>
                <w:color w:val="000000"/>
                <w:sz w:val="18"/>
                <w:szCs w:val="18"/>
              </w:rPr>
            </w:pPr>
            <w:r w:rsidRPr="00EE43EC">
              <w:rPr>
                <w:rFonts w:cs="Times New Roman"/>
                <w:color w:val="000000"/>
                <w:sz w:val="18"/>
                <w:szCs w:val="18"/>
              </w:rPr>
              <w:t>S13</w:t>
            </w:r>
          </w:p>
        </w:tc>
        <w:tc>
          <w:tcPr>
            <w:tcW w:w="993" w:type="dxa"/>
            <w:tcBorders>
              <w:top w:val="nil"/>
              <w:left w:val="nil"/>
              <w:bottom w:val="nil"/>
              <w:right w:val="nil"/>
            </w:tcBorders>
            <w:shd w:val="clear" w:color="auto" w:fill="auto"/>
            <w:vAlign w:val="center"/>
            <w:hideMark/>
          </w:tcPr>
          <w:p w14:paraId="7CCFCFD1" w14:textId="77777777" w:rsidR="00BD53AF" w:rsidRPr="00BA5799" w:rsidRDefault="00BD53AF" w:rsidP="00387AE5">
            <w:pPr>
              <w:jc w:val="center"/>
              <w:rPr>
                <w:rFonts w:cs="Times New Roman"/>
                <w:color w:val="000000"/>
                <w:sz w:val="18"/>
                <w:szCs w:val="18"/>
              </w:rPr>
            </w:pPr>
            <w:r w:rsidRPr="00BA5799">
              <w:rPr>
                <w:sz w:val="18"/>
                <w:szCs w:val="18"/>
              </w:rPr>
              <w:t>D.61</w:t>
            </w:r>
          </w:p>
        </w:tc>
        <w:tc>
          <w:tcPr>
            <w:tcW w:w="708" w:type="dxa"/>
            <w:tcBorders>
              <w:top w:val="nil"/>
              <w:left w:val="nil"/>
              <w:bottom w:val="nil"/>
              <w:right w:val="nil"/>
            </w:tcBorders>
            <w:shd w:val="clear" w:color="auto" w:fill="auto"/>
            <w:vAlign w:val="center"/>
            <w:hideMark/>
          </w:tcPr>
          <w:p w14:paraId="4B648055" w14:textId="77777777" w:rsidR="00BD53AF" w:rsidRPr="00BA5799" w:rsidRDefault="00BD53AF" w:rsidP="00387AE5">
            <w:pPr>
              <w:jc w:val="center"/>
              <w:rPr>
                <w:rFonts w:cs="Times New Roman"/>
                <w:color w:val="000000"/>
                <w:sz w:val="18"/>
                <w:szCs w:val="18"/>
              </w:rPr>
            </w:pPr>
            <w:r w:rsidRPr="00BA5799">
              <w:rPr>
                <w:sz w:val="18"/>
                <w:szCs w:val="18"/>
              </w:rPr>
              <w:t>-15</w:t>
            </w:r>
          </w:p>
        </w:tc>
        <w:tc>
          <w:tcPr>
            <w:tcW w:w="709" w:type="dxa"/>
            <w:tcBorders>
              <w:top w:val="nil"/>
              <w:left w:val="nil"/>
              <w:bottom w:val="nil"/>
              <w:right w:val="nil"/>
            </w:tcBorders>
            <w:shd w:val="clear" w:color="auto" w:fill="auto"/>
            <w:vAlign w:val="center"/>
            <w:hideMark/>
          </w:tcPr>
          <w:p w14:paraId="699C1D02" w14:textId="77777777" w:rsidR="00BD53AF" w:rsidRPr="00BA5799" w:rsidRDefault="00BD53AF" w:rsidP="00387AE5">
            <w:pPr>
              <w:jc w:val="center"/>
              <w:rPr>
                <w:rFonts w:cs="Times New Roman"/>
                <w:color w:val="000000"/>
                <w:sz w:val="18"/>
                <w:szCs w:val="18"/>
              </w:rPr>
            </w:pPr>
            <w:r w:rsidRPr="00BA5799">
              <w:rPr>
                <w:sz w:val="18"/>
                <w:szCs w:val="18"/>
              </w:rPr>
              <w:t>0,0</w:t>
            </w:r>
          </w:p>
        </w:tc>
        <w:tc>
          <w:tcPr>
            <w:tcW w:w="709" w:type="dxa"/>
            <w:tcBorders>
              <w:top w:val="nil"/>
              <w:left w:val="nil"/>
              <w:bottom w:val="nil"/>
              <w:right w:val="nil"/>
            </w:tcBorders>
            <w:shd w:val="clear" w:color="auto" w:fill="auto"/>
            <w:vAlign w:val="center"/>
            <w:hideMark/>
          </w:tcPr>
          <w:p w14:paraId="2511D7A7" w14:textId="77777777" w:rsidR="00BD53AF" w:rsidRPr="00BA5799" w:rsidRDefault="00BD53AF" w:rsidP="00387AE5">
            <w:pPr>
              <w:jc w:val="center"/>
              <w:rPr>
                <w:rFonts w:cs="Times New Roman"/>
                <w:color w:val="000000"/>
                <w:sz w:val="18"/>
                <w:szCs w:val="18"/>
              </w:rPr>
            </w:pPr>
            <w:r w:rsidRPr="00BA5799">
              <w:rPr>
                <w:sz w:val="18"/>
                <w:szCs w:val="18"/>
              </w:rPr>
              <w:t>-35</w:t>
            </w:r>
          </w:p>
        </w:tc>
        <w:tc>
          <w:tcPr>
            <w:tcW w:w="709" w:type="dxa"/>
            <w:tcBorders>
              <w:top w:val="nil"/>
              <w:left w:val="nil"/>
              <w:bottom w:val="nil"/>
              <w:right w:val="nil"/>
            </w:tcBorders>
            <w:shd w:val="clear" w:color="auto" w:fill="auto"/>
            <w:vAlign w:val="center"/>
            <w:hideMark/>
          </w:tcPr>
          <w:p w14:paraId="388AFA29" w14:textId="77777777" w:rsidR="00BD53AF" w:rsidRPr="00BA5799" w:rsidRDefault="00BD53AF" w:rsidP="00387AE5">
            <w:pPr>
              <w:jc w:val="center"/>
              <w:rPr>
                <w:rFonts w:cs="Times New Roman"/>
                <w:color w:val="000000"/>
                <w:sz w:val="18"/>
                <w:szCs w:val="18"/>
              </w:rPr>
            </w:pPr>
            <w:r w:rsidRPr="00BA5799">
              <w:rPr>
                <w:sz w:val="18"/>
                <w:szCs w:val="18"/>
              </w:rPr>
              <w:t>0,0</w:t>
            </w:r>
          </w:p>
        </w:tc>
        <w:tc>
          <w:tcPr>
            <w:tcW w:w="658" w:type="dxa"/>
            <w:tcBorders>
              <w:top w:val="nil"/>
              <w:left w:val="nil"/>
              <w:bottom w:val="nil"/>
              <w:right w:val="nil"/>
            </w:tcBorders>
            <w:shd w:val="clear" w:color="auto" w:fill="auto"/>
            <w:vAlign w:val="center"/>
            <w:hideMark/>
          </w:tcPr>
          <w:p w14:paraId="46ABBE3A" w14:textId="77777777" w:rsidR="00BD53AF" w:rsidRPr="00BA5799" w:rsidRDefault="00BD53AF" w:rsidP="00387AE5">
            <w:pPr>
              <w:jc w:val="center"/>
              <w:rPr>
                <w:rFonts w:cs="Times New Roman"/>
                <w:color w:val="000000"/>
                <w:sz w:val="18"/>
                <w:szCs w:val="18"/>
              </w:rPr>
            </w:pPr>
            <w:r w:rsidRPr="00BA5799">
              <w:rPr>
                <w:sz w:val="18"/>
                <w:szCs w:val="18"/>
              </w:rPr>
              <w:t>-35</w:t>
            </w:r>
          </w:p>
        </w:tc>
        <w:tc>
          <w:tcPr>
            <w:tcW w:w="759" w:type="dxa"/>
            <w:tcBorders>
              <w:top w:val="nil"/>
              <w:left w:val="nil"/>
              <w:bottom w:val="nil"/>
              <w:right w:val="nil"/>
            </w:tcBorders>
            <w:shd w:val="clear" w:color="auto" w:fill="auto"/>
            <w:vAlign w:val="center"/>
            <w:hideMark/>
          </w:tcPr>
          <w:p w14:paraId="45AD8DEA" w14:textId="77777777" w:rsidR="00BD53AF" w:rsidRPr="00BA5799" w:rsidRDefault="00BD53AF" w:rsidP="00387AE5">
            <w:pPr>
              <w:jc w:val="center"/>
              <w:rPr>
                <w:rFonts w:cs="Times New Roman"/>
                <w:color w:val="000000"/>
                <w:sz w:val="18"/>
                <w:szCs w:val="18"/>
              </w:rPr>
            </w:pPr>
            <w:r w:rsidRPr="00BA5799">
              <w:rPr>
                <w:sz w:val="18"/>
                <w:szCs w:val="18"/>
              </w:rPr>
              <w:t>0,0</w:t>
            </w:r>
          </w:p>
        </w:tc>
      </w:tr>
      <w:tr w:rsidR="00BD53AF" w:rsidRPr="00BA5799" w14:paraId="2FAC8B27" w14:textId="77777777" w:rsidTr="003C66E6">
        <w:trPr>
          <w:trHeight w:val="57"/>
        </w:trPr>
        <w:tc>
          <w:tcPr>
            <w:tcW w:w="3261" w:type="dxa"/>
            <w:tcBorders>
              <w:top w:val="nil"/>
              <w:left w:val="nil"/>
              <w:bottom w:val="nil"/>
              <w:right w:val="nil"/>
            </w:tcBorders>
            <w:shd w:val="clear" w:color="auto" w:fill="auto"/>
            <w:vAlign w:val="center"/>
          </w:tcPr>
          <w:p w14:paraId="1EEDCD31" w14:textId="77777777" w:rsidR="00BD53AF" w:rsidRPr="00BA5799" w:rsidRDefault="00BD53AF" w:rsidP="003C66E6">
            <w:pPr>
              <w:pStyle w:val="Odsekzoznamu"/>
              <w:numPr>
                <w:ilvl w:val="0"/>
                <w:numId w:val="11"/>
              </w:numPr>
              <w:tabs>
                <w:tab w:val="left" w:pos="215"/>
              </w:tabs>
              <w:ind w:left="214" w:hanging="141"/>
              <w:contextualSpacing w:val="0"/>
              <w:rPr>
                <w:rFonts w:cs="Times New Roman"/>
                <w:b/>
                <w:bCs/>
                <w:color w:val="000000"/>
                <w:sz w:val="18"/>
                <w:szCs w:val="18"/>
              </w:rPr>
            </w:pPr>
            <w:r w:rsidRPr="00BA5799">
              <w:rPr>
                <w:sz w:val="18"/>
                <w:szCs w:val="18"/>
              </w:rPr>
              <w:t>13 a 14 plat - novela legislatívy</w:t>
            </w:r>
          </w:p>
        </w:tc>
        <w:tc>
          <w:tcPr>
            <w:tcW w:w="708" w:type="dxa"/>
            <w:tcBorders>
              <w:top w:val="nil"/>
              <w:left w:val="nil"/>
              <w:bottom w:val="nil"/>
              <w:right w:val="nil"/>
            </w:tcBorders>
            <w:shd w:val="clear" w:color="auto" w:fill="auto"/>
            <w:noWrap/>
            <w:vAlign w:val="center"/>
          </w:tcPr>
          <w:p w14:paraId="23E5900B" w14:textId="77777777" w:rsidR="00BD53AF" w:rsidRPr="00EE43EC" w:rsidRDefault="00BD53AF" w:rsidP="00387AE5">
            <w:pPr>
              <w:jc w:val="center"/>
              <w:rPr>
                <w:rFonts w:cs="Times New Roman"/>
                <w:color w:val="000000"/>
                <w:sz w:val="18"/>
                <w:szCs w:val="18"/>
              </w:rPr>
            </w:pPr>
          </w:p>
        </w:tc>
        <w:tc>
          <w:tcPr>
            <w:tcW w:w="993" w:type="dxa"/>
            <w:tcBorders>
              <w:top w:val="nil"/>
              <w:left w:val="nil"/>
              <w:bottom w:val="nil"/>
              <w:right w:val="nil"/>
            </w:tcBorders>
            <w:shd w:val="clear" w:color="auto" w:fill="auto"/>
            <w:vAlign w:val="center"/>
          </w:tcPr>
          <w:p w14:paraId="38D3B529" w14:textId="77777777" w:rsidR="00BD53AF" w:rsidRPr="00BA5799" w:rsidRDefault="00BD53AF" w:rsidP="00387AE5">
            <w:pPr>
              <w:jc w:val="center"/>
              <w:rPr>
                <w:sz w:val="18"/>
                <w:szCs w:val="18"/>
              </w:rPr>
            </w:pPr>
            <w:r w:rsidRPr="00BA5799">
              <w:rPr>
                <w:sz w:val="18"/>
                <w:szCs w:val="18"/>
              </w:rPr>
              <w:t>D.61</w:t>
            </w:r>
          </w:p>
        </w:tc>
        <w:tc>
          <w:tcPr>
            <w:tcW w:w="708" w:type="dxa"/>
            <w:tcBorders>
              <w:top w:val="nil"/>
              <w:left w:val="nil"/>
              <w:bottom w:val="nil"/>
              <w:right w:val="nil"/>
            </w:tcBorders>
            <w:shd w:val="clear" w:color="auto" w:fill="auto"/>
            <w:vAlign w:val="center"/>
          </w:tcPr>
          <w:p w14:paraId="2CD9C475" w14:textId="77777777" w:rsidR="00BD53AF" w:rsidRPr="00BA5799" w:rsidRDefault="00BD53AF" w:rsidP="00387AE5">
            <w:pPr>
              <w:jc w:val="center"/>
              <w:rPr>
                <w:sz w:val="18"/>
                <w:szCs w:val="18"/>
              </w:rPr>
            </w:pPr>
            <w:r w:rsidRPr="00BA5799">
              <w:rPr>
                <w:sz w:val="18"/>
                <w:szCs w:val="18"/>
              </w:rPr>
              <w:t>-15</w:t>
            </w:r>
          </w:p>
        </w:tc>
        <w:tc>
          <w:tcPr>
            <w:tcW w:w="709" w:type="dxa"/>
            <w:tcBorders>
              <w:top w:val="nil"/>
              <w:left w:val="nil"/>
              <w:bottom w:val="nil"/>
              <w:right w:val="nil"/>
            </w:tcBorders>
            <w:shd w:val="clear" w:color="auto" w:fill="auto"/>
            <w:vAlign w:val="center"/>
          </w:tcPr>
          <w:p w14:paraId="395278D2" w14:textId="77777777" w:rsidR="00BD53AF" w:rsidRPr="00BA5799" w:rsidRDefault="00BD53AF" w:rsidP="00387AE5">
            <w:pPr>
              <w:jc w:val="center"/>
              <w:rPr>
                <w:sz w:val="18"/>
                <w:szCs w:val="18"/>
              </w:rPr>
            </w:pPr>
            <w:r w:rsidRPr="00BA5799">
              <w:rPr>
                <w:sz w:val="18"/>
                <w:szCs w:val="18"/>
              </w:rPr>
              <w:t>0,0</w:t>
            </w:r>
          </w:p>
        </w:tc>
        <w:tc>
          <w:tcPr>
            <w:tcW w:w="709" w:type="dxa"/>
            <w:tcBorders>
              <w:top w:val="nil"/>
              <w:left w:val="nil"/>
              <w:bottom w:val="nil"/>
              <w:right w:val="nil"/>
            </w:tcBorders>
            <w:shd w:val="clear" w:color="auto" w:fill="auto"/>
            <w:vAlign w:val="center"/>
          </w:tcPr>
          <w:p w14:paraId="2BF1F299" w14:textId="77777777" w:rsidR="00BD53AF" w:rsidRPr="00BA5799" w:rsidRDefault="00BD53AF" w:rsidP="00387AE5">
            <w:pPr>
              <w:jc w:val="center"/>
              <w:rPr>
                <w:sz w:val="18"/>
                <w:szCs w:val="18"/>
              </w:rPr>
            </w:pPr>
            <w:r w:rsidRPr="00BA5799">
              <w:rPr>
                <w:sz w:val="18"/>
                <w:szCs w:val="18"/>
              </w:rPr>
              <w:t>-35</w:t>
            </w:r>
          </w:p>
        </w:tc>
        <w:tc>
          <w:tcPr>
            <w:tcW w:w="709" w:type="dxa"/>
            <w:tcBorders>
              <w:top w:val="nil"/>
              <w:left w:val="nil"/>
              <w:bottom w:val="nil"/>
              <w:right w:val="nil"/>
            </w:tcBorders>
            <w:shd w:val="clear" w:color="auto" w:fill="auto"/>
            <w:vAlign w:val="center"/>
          </w:tcPr>
          <w:p w14:paraId="7BF4970B" w14:textId="77777777" w:rsidR="00BD53AF" w:rsidRPr="00BA5799" w:rsidRDefault="00BD53AF" w:rsidP="00387AE5">
            <w:pPr>
              <w:jc w:val="center"/>
              <w:rPr>
                <w:sz w:val="18"/>
                <w:szCs w:val="18"/>
              </w:rPr>
            </w:pPr>
            <w:r w:rsidRPr="00BA5799">
              <w:rPr>
                <w:sz w:val="18"/>
                <w:szCs w:val="18"/>
              </w:rPr>
              <w:t>0,0</w:t>
            </w:r>
          </w:p>
        </w:tc>
        <w:tc>
          <w:tcPr>
            <w:tcW w:w="658" w:type="dxa"/>
            <w:tcBorders>
              <w:top w:val="nil"/>
              <w:left w:val="nil"/>
              <w:bottom w:val="nil"/>
              <w:right w:val="nil"/>
            </w:tcBorders>
            <w:shd w:val="clear" w:color="auto" w:fill="auto"/>
            <w:vAlign w:val="center"/>
          </w:tcPr>
          <w:p w14:paraId="71537B6D" w14:textId="77777777" w:rsidR="00BD53AF" w:rsidRPr="00BA5799" w:rsidRDefault="00BD53AF" w:rsidP="00387AE5">
            <w:pPr>
              <w:jc w:val="center"/>
              <w:rPr>
                <w:sz w:val="18"/>
                <w:szCs w:val="18"/>
              </w:rPr>
            </w:pPr>
            <w:r w:rsidRPr="00BA5799">
              <w:rPr>
                <w:sz w:val="18"/>
                <w:szCs w:val="18"/>
              </w:rPr>
              <w:t>-35</w:t>
            </w:r>
          </w:p>
        </w:tc>
        <w:tc>
          <w:tcPr>
            <w:tcW w:w="759" w:type="dxa"/>
            <w:tcBorders>
              <w:top w:val="nil"/>
              <w:left w:val="nil"/>
              <w:bottom w:val="nil"/>
              <w:right w:val="nil"/>
            </w:tcBorders>
            <w:shd w:val="clear" w:color="auto" w:fill="auto"/>
            <w:vAlign w:val="center"/>
          </w:tcPr>
          <w:p w14:paraId="2AB2FD4F" w14:textId="77777777" w:rsidR="00BD53AF" w:rsidRPr="00BA5799" w:rsidRDefault="00BD53AF" w:rsidP="00387AE5">
            <w:pPr>
              <w:jc w:val="center"/>
              <w:rPr>
                <w:sz w:val="18"/>
                <w:szCs w:val="18"/>
              </w:rPr>
            </w:pPr>
            <w:r w:rsidRPr="00BA5799">
              <w:rPr>
                <w:sz w:val="18"/>
                <w:szCs w:val="18"/>
              </w:rPr>
              <w:t>0,0</w:t>
            </w:r>
          </w:p>
        </w:tc>
      </w:tr>
      <w:tr w:rsidR="00BD53AF" w:rsidRPr="00BA5799" w14:paraId="136803C8" w14:textId="77777777" w:rsidTr="003C66E6">
        <w:trPr>
          <w:trHeight w:val="57"/>
        </w:trPr>
        <w:tc>
          <w:tcPr>
            <w:tcW w:w="3261" w:type="dxa"/>
            <w:tcBorders>
              <w:top w:val="nil"/>
              <w:left w:val="nil"/>
              <w:bottom w:val="nil"/>
              <w:right w:val="nil"/>
            </w:tcBorders>
            <w:shd w:val="clear" w:color="auto" w:fill="auto"/>
            <w:vAlign w:val="center"/>
            <w:hideMark/>
          </w:tcPr>
          <w:p w14:paraId="09632DA4" w14:textId="77777777" w:rsidR="00BD53AF" w:rsidRPr="00BA5799" w:rsidRDefault="00BD53AF" w:rsidP="00387AE5">
            <w:pPr>
              <w:rPr>
                <w:rFonts w:cs="Times New Roman"/>
                <w:b/>
                <w:bCs/>
                <w:color w:val="000000"/>
                <w:sz w:val="18"/>
                <w:szCs w:val="18"/>
              </w:rPr>
            </w:pPr>
            <w:r w:rsidRPr="00BA5799">
              <w:rPr>
                <w:rFonts w:cs="Times New Roman"/>
                <w:b/>
                <w:bCs/>
                <w:color w:val="000000"/>
                <w:sz w:val="18"/>
                <w:szCs w:val="18"/>
              </w:rPr>
              <w:t>3.Nedaňové príjmy (P.11+P.12)</w:t>
            </w:r>
          </w:p>
        </w:tc>
        <w:tc>
          <w:tcPr>
            <w:tcW w:w="708" w:type="dxa"/>
            <w:tcBorders>
              <w:top w:val="nil"/>
              <w:left w:val="nil"/>
              <w:bottom w:val="nil"/>
              <w:right w:val="nil"/>
            </w:tcBorders>
            <w:shd w:val="clear" w:color="auto" w:fill="auto"/>
            <w:noWrap/>
            <w:vAlign w:val="center"/>
            <w:hideMark/>
          </w:tcPr>
          <w:p w14:paraId="3CDA9138" w14:textId="77777777" w:rsidR="00BD53AF" w:rsidRPr="00EE43EC" w:rsidRDefault="00BD53AF" w:rsidP="00387AE5">
            <w:pPr>
              <w:jc w:val="center"/>
              <w:rPr>
                <w:rFonts w:cs="Times New Roman"/>
                <w:color w:val="000000"/>
                <w:sz w:val="18"/>
                <w:szCs w:val="18"/>
              </w:rPr>
            </w:pPr>
            <w:r w:rsidRPr="00EE43EC">
              <w:rPr>
                <w:rFonts w:cs="Times New Roman"/>
                <w:color w:val="000000"/>
                <w:sz w:val="18"/>
                <w:szCs w:val="18"/>
              </w:rPr>
              <w:t>S13</w:t>
            </w:r>
          </w:p>
        </w:tc>
        <w:tc>
          <w:tcPr>
            <w:tcW w:w="993" w:type="dxa"/>
            <w:tcBorders>
              <w:top w:val="nil"/>
              <w:left w:val="nil"/>
              <w:bottom w:val="nil"/>
              <w:right w:val="nil"/>
            </w:tcBorders>
            <w:shd w:val="clear" w:color="auto" w:fill="auto"/>
            <w:vAlign w:val="center"/>
            <w:hideMark/>
          </w:tcPr>
          <w:p w14:paraId="2801E45E" w14:textId="77777777" w:rsidR="00BD53AF" w:rsidRPr="00BA5799" w:rsidRDefault="00BD53AF" w:rsidP="00387AE5">
            <w:pPr>
              <w:jc w:val="center"/>
              <w:rPr>
                <w:rFonts w:cs="Times New Roman"/>
                <w:color w:val="000000"/>
                <w:sz w:val="18"/>
                <w:szCs w:val="18"/>
              </w:rPr>
            </w:pPr>
            <w:r w:rsidRPr="00BA5799">
              <w:rPr>
                <w:sz w:val="18"/>
                <w:szCs w:val="18"/>
              </w:rPr>
              <w:t>P.11+P.12+P.131</w:t>
            </w:r>
          </w:p>
        </w:tc>
        <w:tc>
          <w:tcPr>
            <w:tcW w:w="708" w:type="dxa"/>
            <w:tcBorders>
              <w:top w:val="nil"/>
              <w:left w:val="nil"/>
              <w:bottom w:val="nil"/>
              <w:right w:val="nil"/>
            </w:tcBorders>
            <w:shd w:val="clear" w:color="auto" w:fill="auto"/>
            <w:vAlign w:val="center"/>
            <w:hideMark/>
          </w:tcPr>
          <w:p w14:paraId="6BA2A783" w14:textId="77777777" w:rsidR="00BD53AF" w:rsidRPr="00BA5799" w:rsidRDefault="00BD53AF" w:rsidP="00387AE5">
            <w:pPr>
              <w:jc w:val="center"/>
              <w:rPr>
                <w:rFonts w:cs="Times New Roman"/>
                <w:color w:val="000000"/>
                <w:sz w:val="18"/>
                <w:szCs w:val="18"/>
              </w:rPr>
            </w:pPr>
            <w:r w:rsidRPr="00BA5799">
              <w:rPr>
                <w:sz w:val="18"/>
                <w:szCs w:val="18"/>
              </w:rPr>
              <w:t>146</w:t>
            </w:r>
          </w:p>
        </w:tc>
        <w:tc>
          <w:tcPr>
            <w:tcW w:w="709" w:type="dxa"/>
            <w:tcBorders>
              <w:top w:val="nil"/>
              <w:left w:val="nil"/>
              <w:bottom w:val="nil"/>
              <w:right w:val="nil"/>
            </w:tcBorders>
            <w:shd w:val="clear" w:color="auto" w:fill="auto"/>
            <w:vAlign w:val="center"/>
            <w:hideMark/>
          </w:tcPr>
          <w:p w14:paraId="5A0143B9" w14:textId="77777777" w:rsidR="00BD53AF" w:rsidRPr="00BA5799" w:rsidRDefault="00BD53AF" w:rsidP="00387AE5">
            <w:pPr>
              <w:jc w:val="center"/>
              <w:rPr>
                <w:rFonts w:cs="Times New Roman"/>
                <w:color w:val="000000"/>
                <w:sz w:val="18"/>
                <w:szCs w:val="18"/>
              </w:rPr>
            </w:pPr>
            <w:r w:rsidRPr="00BA5799">
              <w:rPr>
                <w:sz w:val="18"/>
                <w:szCs w:val="18"/>
              </w:rPr>
              <w:t>0,1</w:t>
            </w:r>
          </w:p>
        </w:tc>
        <w:tc>
          <w:tcPr>
            <w:tcW w:w="709" w:type="dxa"/>
            <w:tcBorders>
              <w:top w:val="nil"/>
              <w:left w:val="nil"/>
              <w:bottom w:val="nil"/>
              <w:right w:val="nil"/>
            </w:tcBorders>
            <w:shd w:val="clear" w:color="auto" w:fill="auto"/>
            <w:vAlign w:val="center"/>
            <w:hideMark/>
          </w:tcPr>
          <w:p w14:paraId="7D900936" w14:textId="77777777" w:rsidR="00BD53AF" w:rsidRPr="00BA5799" w:rsidRDefault="00BD53AF" w:rsidP="00387AE5">
            <w:pPr>
              <w:jc w:val="center"/>
              <w:rPr>
                <w:rFonts w:cs="Times New Roman"/>
                <w:color w:val="000000"/>
                <w:sz w:val="18"/>
                <w:szCs w:val="18"/>
              </w:rPr>
            </w:pPr>
            <w:r w:rsidRPr="00BA5799">
              <w:rPr>
                <w:sz w:val="18"/>
                <w:szCs w:val="18"/>
              </w:rPr>
              <w:t>76</w:t>
            </w:r>
          </w:p>
        </w:tc>
        <w:tc>
          <w:tcPr>
            <w:tcW w:w="709" w:type="dxa"/>
            <w:tcBorders>
              <w:top w:val="nil"/>
              <w:left w:val="nil"/>
              <w:bottom w:val="nil"/>
              <w:right w:val="nil"/>
            </w:tcBorders>
            <w:shd w:val="clear" w:color="auto" w:fill="auto"/>
            <w:vAlign w:val="center"/>
            <w:hideMark/>
          </w:tcPr>
          <w:p w14:paraId="19BE6A3C" w14:textId="77777777" w:rsidR="00BD53AF" w:rsidRPr="00BA5799" w:rsidRDefault="00BD53AF" w:rsidP="00387AE5">
            <w:pPr>
              <w:jc w:val="center"/>
              <w:rPr>
                <w:rFonts w:cs="Times New Roman"/>
                <w:color w:val="000000"/>
                <w:sz w:val="18"/>
                <w:szCs w:val="18"/>
              </w:rPr>
            </w:pPr>
            <w:r w:rsidRPr="00BA5799">
              <w:rPr>
                <w:sz w:val="18"/>
                <w:szCs w:val="18"/>
              </w:rPr>
              <w:t>0,1</w:t>
            </w:r>
          </w:p>
        </w:tc>
        <w:tc>
          <w:tcPr>
            <w:tcW w:w="658" w:type="dxa"/>
            <w:tcBorders>
              <w:top w:val="nil"/>
              <w:left w:val="nil"/>
              <w:bottom w:val="nil"/>
              <w:right w:val="nil"/>
            </w:tcBorders>
            <w:shd w:val="clear" w:color="auto" w:fill="auto"/>
            <w:vAlign w:val="center"/>
            <w:hideMark/>
          </w:tcPr>
          <w:p w14:paraId="38FE3EF6" w14:textId="77777777" w:rsidR="00BD53AF" w:rsidRPr="00BA5799" w:rsidRDefault="00BD53AF" w:rsidP="00387AE5">
            <w:pPr>
              <w:jc w:val="center"/>
              <w:rPr>
                <w:rFonts w:cs="Times New Roman"/>
                <w:color w:val="000000"/>
                <w:sz w:val="18"/>
                <w:szCs w:val="18"/>
              </w:rPr>
            </w:pPr>
            <w:r w:rsidRPr="00BA5799">
              <w:rPr>
                <w:sz w:val="18"/>
                <w:szCs w:val="18"/>
              </w:rPr>
              <w:t>120</w:t>
            </w:r>
          </w:p>
        </w:tc>
        <w:tc>
          <w:tcPr>
            <w:tcW w:w="759" w:type="dxa"/>
            <w:tcBorders>
              <w:top w:val="nil"/>
              <w:left w:val="nil"/>
              <w:bottom w:val="nil"/>
              <w:right w:val="nil"/>
            </w:tcBorders>
            <w:shd w:val="clear" w:color="auto" w:fill="auto"/>
            <w:vAlign w:val="center"/>
            <w:hideMark/>
          </w:tcPr>
          <w:p w14:paraId="0CC241EE" w14:textId="77777777" w:rsidR="00BD53AF" w:rsidRPr="00BA5799" w:rsidRDefault="00BD53AF" w:rsidP="00387AE5">
            <w:pPr>
              <w:jc w:val="center"/>
              <w:rPr>
                <w:rFonts w:cs="Times New Roman"/>
                <w:color w:val="000000"/>
                <w:sz w:val="18"/>
                <w:szCs w:val="18"/>
              </w:rPr>
            </w:pPr>
            <w:r w:rsidRPr="00BA5799">
              <w:rPr>
                <w:sz w:val="18"/>
                <w:szCs w:val="18"/>
              </w:rPr>
              <w:t>0,1</w:t>
            </w:r>
          </w:p>
        </w:tc>
      </w:tr>
      <w:tr w:rsidR="00BD53AF" w:rsidRPr="00BA5799" w14:paraId="25A60E00" w14:textId="77777777" w:rsidTr="003C66E6">
        <w:trPr>
          <w:trHeight w:val="57"/>
        </w:trPr>
        <w:tc>
          <w:tcPr>
            <w:tcW w:w="3261" w:type="dxa"/>
            <w:tcBorders>
              <w:top w:val="nil"/>
              <w:left w:val="nil"/>
              <w:bottom w:val="nil"/>
              <w:right w:val="nil"/>
            </w:tcBorders>
            <w:shd w:val="clear" w:color="auto" w:fill="auto"/>
            <w:vAlign w:val="center"/>
          </w:tcPr>
          <w:p w14:paraId="1865CB9A" w14:textId="692808E0" w:rsidR="00BD53AF" w:rsidRPr="0019017B" w:rsidRDefault="00BD53AF" w:rsidP="003C66E6">
            <w:pPr>
              <w:pStyle w:val="Odsekzoznamu"/>
              <w:numPr>
                <w:ilvl w:val="0"/>
                <w:numId w:val="11"/>
              </w:numPr>
              <w:ind w:left="214" w:hanging="142"/>
              <w:contextualSpacing w:val="0"/>
              <w:rPr>
                <w:rFonts w:cs="Times New Roman"/>
                <w:b/>
                <w:bCs/>
                <w:color w:val="000000"/>
                <w:sz w:val="18"/>
                <w:szCs w:val="18"/>
              </w:rPr>
            </w:pPr>
            <w:r w:rsidRPr="0019017B">
              <w:rPr>
                <w:sz w:val="18"/>
                <w:szCs w:val="18"/>
              </w:rPr>
              <w:t>Vyššie tržby zdravotníckych zariadení</w:t>
            </w:r>
            <w:r w:rsidR="003C66E6">
              <w:rPr>
                <w:sz w:val="18"/>
                <w:szCs w:val="18"/>
              </w:rPr>
              <w:t xml:space="preserve"> (V</w:t>
            </w:r>
            <w:r w:rsidRPr="0019017B">
              <w:rPr>
                <w:sz w:val="18"/>
                <w:szCs w:val="18"/>
              </w:rPr>
              <w:t>ZP</w:t>
            </w:r>
            <w:r w:rsidR="003C66E6">
              <w:rPr>
                <w:sz w:val="18"/>
                <w:szCs w:val="18"/>
              </w:rPr>
              <w:t>)</w:t>
            </w:r>
          </w:p>
        </w:tc>
        <w:tc>
          <w:tcPr>
            <w:tcW w:w="708" w:type="dxa"/>
            <w:tcBorders>
              <w:top w:val="nil"/>
              <w:left w:val="nil"/>
              <w:bottom w:val="nil"/>
              <w:right w:val="nil"/>
            </w:tcBorders>
            <w:shd w:val="clear" w:color="auto" w:fill="auto"/>
            <w:noWrap/>
            <w:vAlign w:val="center"/>
          </w:tcPr>
          <w:p w14:paraId="1440926A" w14:textId="77777777" w:rsidR="00BD53AF" w:rsidRPr="00EE43EC" w:rsidRDefault="00BD53AF" w:rsidP="00387AE5">
            <w:pPr>
              <w:jc w:val="center"/>
              <w:rPr>
                <w:rFonts w:cs="Times New Roman"/>
                <w:color w:val="000000"/>
                <w:sz w:val="18"/>
                <w:szCs w:val="18"/>
              </w:rPr>
            </w:pPr>
          </w:p>
        </w:tc>
        <w:tc>
          <w:tcPr>
            <w:tcW w:w="993" w:type="dxa"/>
            <w:tcBorders>
              <w:top w:val="nil"/>
              <w:left w:val="nil"/>
              <w:bottom w:val="nil"/>
              <w:right w:val="nil"/>
            </w:tcBorders>
            <w:shd w:val="clear" w:color="auto" w:fill="auto"/>
            <w:vAlign w:val="center"/>
          </w:tcPr>
          <w:p w14:paraId="0C3D9A38" w14:textId="77777777" w:rsidR="00BD53AF" w:rsidRPr="00BA5799" w:rsidRDefault="00BD53AF" w:rsidP="00387AE5">
            <w:pPr>
              <w:jc w:val="center"/>
              <w:rPr>
                <w:sz w:val="18"/>
                <w:szCs w:val="18"/>
              </w:rPr>
            </w:pPr>
            <w:r w:rsidRPr="00BA5799">
              <w:rPr>
                <w:sz w:val="18"/>
                <w:szCs w:val="18"/>
              </w:rPr>
              <w:t>P.11+P.12</w:t>
            </w:r>
          </w:p>
        </w:tc>
        <w:tc>
          <w:tcPr>
            <w:tcW w:w="708" w:type="dxa"/>
            <w:tcBorders>
              <w:top w:val="nil"/>
              <w:left w:val="nil"/>
              <w:bottom w:val="nil"/>
              <w:right w:val="nil"/>
            </w:tcBorders>
            <w:shd w:val="clear" w:color="auto" w:fill="auto"/>
            <w:vAlign w:val="center"/>
          </w:tcPr>
          <w:p w14:paraId="3252022E" w14:textId="77777777" w:rsidR="00BD53AF" w:rsidRPr="00BA5799" w:rsidRDefault="00BD53AF" w:rsidP="00387AE5">
            <w:pPr>
              <w:jc w:val="center"/>
              <w:rPr>
                <w:sz w:val="18"/>
                <w:szCs w:val="18"/>
              </w:rPr>
            </w:pPr>
            <w:r w:rsidRPr="00BA5799">
              <w:rPr>
                <w:sz w:val="18"/>
                <w:szCs w:val="18"/>
              </w:rPr>
              <w:t>142</w:t>
            </w:r>
          </w:p>
        </w:tc>
        <w:tc>
          <w:tcPr>
            <w:tcW w:w="709" w:type="dxa"/>
            <w:tcBorders>
              <w:top w:val="nil"/>
              <w:left w:val="nil"/>
              <w:bottom w:val="nil"/>
              <w:right w:val="nil"/>
            </w:tcBorders>
            <w:shd w:val="clear" w:color="auto" w:fill="auto"/>
            <w:vAlign w:val="center"/>
          </w:tcPr>
          <w:p w14:paraId="0F2A5C28" w14:textId="77777777" w:rsidR="00BD53AF" w:rsidRPr="00BA5799" w:rsidRDefault="00BD53AF" w:rsidP="00387AE5">
            <w:pPr>
              <w:jc w:val="center"/>
              <w:rPr>
                <w:sz w:val="18"/>
                <w:szCs w:val="18"/>
              </w:rPr>
            </w:pPr>
            <w:r w:rsidRPr="00BA5799">
              <w:rPr>
                <w:sz w:val="18"/>
                <w:szCs w:val="18"/>
              </w:rPr>
              <w:t>0,1</w:t>
            </w:r>
          </w:p>
        </w:tc>
        <w:tc>
          <w:tcPr>
            <w:tcW w:w="709" w:type="dxa"/>
            <w:tcBorders>
              <w:top w:val="nil"/>
              <w:left w:val="nil"/>
              <w:bottom w:val="nil"/>
              <w:right w:val="nil"/>
            </w:tcBorders>
            <w:shd w:val="clear" w:color="auto" w:fill="auto"/>
            <w:vAlign w:val="center"/>
          </w:tcPr>
          <w:p w14:paraId="671E1BE8" w14:textId="77777777" w:rsidR="00BD53AF" w:rsidRPr="00BA5799" w:rsidRDefault="00BD53AF" w:rsidP="00387AE5">
            <w:pPr>
              <w:jc w:val="center"/>
              <w:rPr>
                <w:sz w:val="18"/>
                <w:szCs w:val="18"/>
              </w:rPr>
            </w:pPr>
            <w:r w:rsidRPr="00BA5799">
              <w:rPr>
                <w:sz w:val="18"/>
                <w:szCs w:val="18"/>
              </w:rPr>
              <w:t>65</w:t>
            </w:r>
          </w:p>
        </w:tc>
        <w:tc>
          <w:tcPr>
            <w:tcW w:w="709" w:type="dxa"/>
            <w:tcBorders>
              <w:top w:val="nil"/>
              <w:left w:val="nil"/>
              <w:bottom w:val="nil"/>
              <w:right w:val="nil"/>
            </w:tcBorders>
            <w:shd w:val="clear" w:color="auto" w:fill="auto"/>
            <w:vAlign w:val="center"/>
          </w:tcPr>
          <w:p w14:paraId="09218806" w14:textId="77777777" w:rsidR="00BD53AF" w:rsidRPr="00BA5799" w:rsidRDefault="00BD53AF" w:rsidP="00387AE5">
            <w:pPr>
              <w:jc w:val="center"/>
              <w:rPr>
                <w:sz w:val="18"/>
                <w:szCs w:val="18"/>
              </w:rPr>
            </w:pPr>
            <w:r w:rsidRPr="00BA5799">
              <w:rPr>
                <w:sz w:val="18"/>
                <w:szCs w:val="18"/>
              </w:rPr>
              <w:t>0,1</w:t>
            </w:r>
          </w:p>
        </w:tc>
        <w:tc>
          <w:tcPr>
            <w:tcW w:w="658" w:type="dxa"/>
            <w:tcBorders>
              <w:top w:val="nil"/>
              <w:left w:val="nil"/>
              <w:bottom w:val="nil"/>
              <w:right w:val="nil"/>
            </w:tcBorders>
            <w:shd w:val="clear" w:color="auto" w:fill="auto"/>
            <w:vAlign w:val="center"/>
          </w:tcPr>
          <w:p w14:paraId="666C0181" w14:textId="77777777" w:rsidR="00BD53AF" w:rsidRPr="00BA5799" w:rsidRDefault="00BD53AF" w:rsidP="00387AE5">
            <w:pPr>
              <w:jc w:val="center"/>
              <w:rPr>
                <w:sz w:val="18"/>
                <w:szCs w:val="18"/>
              </w:rPr>
            </w:pPr>
            <w:r w:rsidRPr="00BA5799">
              <w:rPr>
                <w:sz w:val="18"/>
                <w:szCs w:val="18"/>
              </w:rPr>
              <w:t>109</w:t>
            </w:r>
          </w:p>
        </w:tc>
        <w:tc>
          <w:tcPr>
            <w:tcW w:w="759" w:type="dxa"/>
            <w:tcBorders>
              <w:top w:val="nil"/>
              <w:left w:val="nil"/>
              <w:bottom w:val="nil"/>
              <w:right w:val="nil"/>
            </w:tcBorders>
            <w:shd w:val="clear" w:color="auto" w:fill="auto"/>
            <w:vAlign w:val="center"/>
          </w:tcPr>
          <w:p w14:paraId="58829BF6" w14:textId="77777777" w:rsidR="00BD53AF" w:rsidRPr="00BA5799" w:rsidRDefault="00BD53AF" w:rsidP="00387AE5">
            <w:pPr>
              <w:jc w:val="center"/>
              <w:rPr>
                <w:sz w:val="18"/>
                <w:szCs w:val="18"/>
              </w:rPr>
            </w:pPr>
            <w:r w:rsidRPr="00BA5799">
              <w:rPr>
                <w:sz w:val="18"/>
                <w:szCs w:val="18"/>
              </w:rPr>
              <w:t>0,1</w:t>
            </w:r>
          </w:p>
        </w:tc>
      </w:tr>
      <w:tr w:rsidR="00BD53AF" w:rsidRPr="00BA5799" w14:paraId="2B18BB4B" w14:textId="77777777" w:rsidTr="003C66E6">
        <w:trPr>
          <w:trHeight w:val="57"/>
        </w:trPr>
        <w:tc>
          <w:tcPr>
            <w:tcW w:w="3261" w:type="dxa"/>
            <w:tcBorders>
              <w:top w:val="nil"/>
              <w:left w:val="nil"/>
              <w:right w:val="nil"/>
            </w:tcBorders>
            <w:shd w:val="clear" w:color="auto" w:fill="auto"/>
            <w:vAlign w:val="center"/>
          </w:tcPr>
          <w:p w14:paraId="6E73E379" w14:textId="77777777" w:rsidR="00BD53AF" w:rsidRPr="00BA5799" w:rsidRDefault="00BD53AF" w:rsidP="003C66E6">
            <w:pPr>
              <w:pStyle w:val="Odsekzoznamu"/>
              <w:numPr>
                <w:ilvl w:val="0"/>
                <w:numId w:val="11"/>
              </w:numPr>
              <w:ind w:left="214" w:hanging="142"/>
              <w:contextualSpacing w:val="0"/>
              <w:rPr>
                <w:sz w:val="18"/>
                <w:szCs w:val="18"/>
              </w:rPr>
            </w:pPr>
            <w:r>
              <w:rPr>
                <w:sz w:val="18"/>
                <w:szCs w:val="18"/>
              </w:rPr>
              <w:t>Iné</w:t>
            </w:r>
          </w:p>
        </w:tc>
        <w:tc>
          <w:tcPr>
            <w:tcW w:w="708" w:type="dxa"/>
            <w:tcBorders>
              <w:top w:val="nil"/>
              <w:left w:val="nil"/>
              <w:right w:val="nil"/>
            </w:tcBorders>
            <w:shd w:val="clear" w:color="auto" w:fill="auto"/>
            <w:noWrap/>
            <w:vAlign w:val="center"/>
          </w:tcPr>
          <w:p w14:paraId="6EEA921D" w14:textId="77777777" w:rsidR="00BD53AF" w:rsidRPr="00EE43EC" w:rsidRDefault="00BD53AF" w:rsidP="00387AE5">
            <w:pPr>
              <w:jc w:val="center"/>
              <w:rPr>
                <w:rFonts w:cs="Times New Roman"/>
                <w:color w:val="000000"/>
                <w:sz w:val="18"/>
                <w:szCs w:val="18"/>
              </w:rPr>
            </w:pPr>
          </w:p>
        </w:tc>
        <w:tc>
          <w:tcPr>
            <w:tcW w:w="993" w:type="dxa"/>
            <w:tcBorders>
              <w:top w:val="nil"/>
              <w:left w:val="nil"/>
              <w:right w:val="nil"/>
            </w:tcBorders>
            <w:shd w:val="clear" w:color="auto" w:fill="auto"/>
            <w:vAlign w:val="center"/>
          </w:tcPr>
          <w:p w14:paraId="37F457CC" w14:textId="77777777" w:rsidR="00BD53AF" w:rsidRPr="00BA5799" w:rsidRDefault="00BD53AF" w:rsidP="00387AE5">
            <w:pPr>
              <w:jc w:val="center"/>
              <w:rPr>
                <w:sz w:val="18"/>
                <w:szCs w:val="18"/>
              </w:rPr>
            </w:pPr>
            <w:r w:rsidRPr="00BA5799">
              <w:rPr>
                <w:sz w:val="18"/>
                <w:szCs w:val="18"/>
              </w:rPr>
              <w:t>P.131</w:t>
            </w:r>
          </w:p>
        </w:tc>
        <w:tc>
          <w:tcPr>
            <w:tcW w:w="708" w:type="dxa"/>
            <w:tcBorders>
              <w:top w:val="nil"/>
              <w:left w:val="nil"/>
              <w:right w:val="nil"/>
            </w:tcBorders>
            <w:shd w:val="clear" w:color="auto" w:fill="auto"/>
            <w:vAlign w:val="center"/>
          </w:tcPr>
          <w:p w14:paraId="33D9114A" w14:textId="77777777" w:rsidR="00BD53AF" w:rsidRPr="00BA5799" w:rsidRDefault="00BD53AF" w:rsidP="00387AE5">
            <w:pPr>
              <w:jc w:val="center"/>
              <w:rPr>
                <w:sz w:val="18"/>
                <w:szCs w:val="18"/>
              </w:rPr>
            </w:pPr>
            <w:r>
              <w:rPr>
                <w:sz w:val="18"/>
                <w:szCs w:val="18"/>
              </w:rPr>
              <w:t>4</w:t>
            </w:r>
          </w:p>
        </w:tc>
        <w:tc>
          <w:tcPr>
            <w:tcW w:w="709" w:type="dxa"/>
            <w:tcBorders>
              <w:top w:val="nil"/>
              <w:left w:val="nil"/>
              <w:right w:val="nil"/>
            </w:tcBorders>
            <w:shd w:val="clear" w:color="auto" w:fill="auto"/>
            <w:vAlign w:val="center"/>
          </w:tcPr>
          <w:p w14:paraId="2979181B" w14:textId="77777777" w:rsidR="00BD53AF" w:rsidRPr="00BA5799" w:rsidRDefault="00BD53AF" w:rsidP="00387AE5">
            <w:pPr>
              <w:jc w:val="center"/>
              <w:rPr>
                <w:sz w:val="18"/>
                <w:szCs w:val="18"/>
              </w:rPr>
            </w:pPr>
            <w:r w:rsidRPr="00BA5799">
              <w:rPr>
                <w:sz w:val="18"/>
                <w:szCs w:val="18"/>
              </w:rPr>
              <w:t>0,0</w:t>
            </w:r>
          </w:p>
        </w:tc>
        <w:tc>
          <w:tcPr>
            <w:tcW w:w="709" w:type="dxa"/>
            <w:tcBorders>
              <w:top w:val="nil"/>
              <w:left w:val="nil"/>
              <w:right w:val="nil"/>
            </w:tcBorders>
            <w:shd w:val="clear" w:color="auto" w:fill="auto"/>
            <w:vAlign w:val="center"/>
          </w:tcPr>
          <w:p w14:paraId="259E7D95" w14:textId="77777777" w:rsidR="00BD53AF" w:rsidRPr="00BA5799" w:rsidRDefault="00BD53AF" w:rsidP="00387AE5">
            <w:pPr>
              <w:jc w:val="center"/>
              <w:rPr>
                <w:sz w:val="18"/>
                <w:szCs w:val="18"/>
              </w:rPr>
            </w:pPr>
            <w:r>
              <w:rPr>
                <w:sz w:val="18"/>
                <w:szCs w:val="18"/>
              </w:rPr>
              <w:t>11</w:t>
            </w:r>
          </w:p>
        </w:tc>
        <w:tc>
          <w:tcPr>
            <w:tcW w:w="709" w:type="dxa"/>
            <w:tcBorders>
              <w:top w:val="nil"/>
              <w:left w:val="nil"/>
              <w:right w:val="nil"/>
            </w:tcBorders>
            <w:shd w:val="clear" w:color="auto" w:fill="auto"/>
            <w:vAlign w:val="center"/>
          </w:tcPr>
          <w:p w14:paraId="4C447254" w14:textId="77777777" w:rsidR="00BD53AF" w:rsidRPr="00BA5799" w:rsidRDefault="00BD53AF" w:rsidP="00387AE5">
            <w:pPr>
              <w:jc w:val="center"/>
              <w:rPr>
                <w:sz w:val="18"/>
                <w:szCs w:val="18"/>
              </w:rPr>
            </w:pPr>
            <w:r w:rsidRPr="00BA5799">
              <w:rPr>
                <w:sz w:val="18"/>
                <w:szCs w:val="18"/>
              </w:rPr>
              <w:t>0,0</w:t>
            </w:r>
          </w:p>
        </w:tc>
        <w:tc>
          <w:tcPr>
            <w:tcW w:w="658" w:type="dxa"/>
            <w:tcBorders>
              <w:top w:val="nil"/>
              <w:left w:val="nil"/>
              <w:right w:val="nil"/>
            </w:tcBorders>
            <w:shd w:val="clear" w:color="auto" w:fill="auto"/>
            <w:vAlign w:val="center"/>
          </w:tcPr>
          <w:p w14:paraId="78E2D901" w14:textId="77777777" w:rsidR="00BD53AF" w:rsidRPr="00BA5799" w:rsidRDefault="00BD53AF" w:rsidP="00387AE5">
            <w:pPr>
              <w:jc w:val="center"/>
              <w:rPr>
                <w:sz w:val="18"/>
                <w:szCs w:val="18"/>
              </w:rPr>
            </w:pPr>
            <w:r>
              <w:rPr>
                <w:sz w:val="18"/>
                <w:szCs w:val="18"/>
              </w:rPr>
              <w:t>11</w:t>
            </w:r>
          </w:p>
        </w:tc>
        <w:tc>
          <w:tcPr>
            <w:tcW w:w="759" w:type="dxa"/>
            <w:tcBorders>
              <w:top w:val="nil"/>
              <w:left w:val="nil"/>
              <w:right w:val="nil"/>
            </w:tcBorders>
            <w:shd w:val="clear" w:color="auto" w:fill="auto"/>
            <w:vAlign w:val="center"/>
          </w:tcPr>
          <w:p w14:paraId="31ABE90F" w14:textId="77777777" w:rsidR="00BD53AF" w:rsidRPr="00BA5799" w:rsidRDefault="00BD53AF" w:rsidP="00387AE5">
            <w:pPr>
              <w:jc w:val="center"/>
              <w:rPr>
                <w:sz w:val="18"/>
                <w:szCs w:val="18"/>
              </w:rPr>
            </w:pPr>
            <w:r w:rsidRPr="00BA5799">
              <w:rPr>
                <w:sz w:val="18"/>
                <w:szCs w:val="18"/>
              </w:rPr>
              <w:t>0,0</w:t>
            </w:r>
          </w:p>
        </w:tc>
      </w:tr>
      <w:tr w:rsidR="00BD53AF" w:rsidRPr="00BA5799" w14:paraId="136359DF" w14:textId="77777777" w:rsidTr="003C66E6">
        <w:trPr>
          <w:trHeight w:val="57"/>
        </w:trPr>
        <w:tc>
          <w:tcPr>
            <w:tcW w:w="3261" w:type="dxa"/>
            <w:tcBorders>
              <w:top w:val="nil"/>
              <w:left w:val="nil"/>
              <w:right w:val="nil"/>
            </w:tcBorders>
            <w:shd w:val="clear" w:color="auto" w:fill="auto"/>
            <w:vAlign w:val="center"/>
            <w:hideMark/>
          </w:tcPr>
          <w:p w14:paraId="6ED5F3BA" w14:textId="77777777" w:rsidR="00BD53AF" w:rsidRPr="00BA5799" w:rsidRDefault="00BD53AF" w:rsidP="00387AE5">
            <w:pPr>
              <w:rPr>
                <w:rFonts w:cs="Times New Roman"/>
                <w:b/>
                <w:bCs/>
                <w:color w:val="000000"/>
                <w:sz w:val="18"/>
                <w:szCs w:val="18"/>
              </w:rPr>
            </w:pPr>
            <w:r w:rsidRPr="00BA5799">
              <w:rPr>
                <w:rFonts w:cs="Times New Roman"/>
                <w:b/>
                <w:bCs/>
                <w:color w:val="000000"/>
                <w:sz w:val="18"/>
                <w:szCs w:val="18"/>
              </w:rPr>
              <w:t>4.Granty a transfery (D.7R)</w:t>
            </w:r>
          </w:p>
        </w:tc>
        <w:tc>
          <w:tcPr>
            <w:tcW w:w="708" w:type="dxa"/>
            <w:tcBorders>
              <w:top w:val="nil"/>
              <w:left w:val="nil"/>
              <w:right w:val="nil"/>
            </w:tcBorders>
            <w:shd w:val="clear" w:color="auto" w:fill="auto"/>
            <w:noWrap/>
            <w:vAlign w:val="center"/>
            <w:hideMark/>
          </w:tcPr>
          <w:p w14:paraId="20F40B5A" w14:textId="77777777" w:rsidR="00BD53AF" w:rsidRPr="00EE43EC" w:rsidRDefault="00BD53AF" w:rsidP="00387AE5">
            <w:pPr>
              <w:jc w:val="center"/>
              <w:rPr>
                <w:rFonts w:cs="Times New Roman"/>
                <w:color w:val="000000"/>
                <w:sz w:val="18"/>
                <w:szCs w:val="18"/>
              </w:rPr>
            </w:pPr>
            <w:r w:rsidRPr="00EE43EC">
              <w:rPr>
                <w:rFonts w:cs="Times New Roman"/>
                <w:color w:val="000000"/>
                <w:sz w:val="18"/>
                <w:szCs w:val="18"/>
              </w:rPr>
              <w:t>S13</w:t>
            </w:r>
          </w:p>
        </w:tc>
        <w:tc>
          <w:tcPr>
            <w:tcW w:w="993" w:type="dxa"/>
            <w:tcBorders>
              <w:top w:val="nil"/>
              <w:left w:val="nil"/>
              <w:right w:val="nil"/>
            </w:tcBorders>
            <w:shd w:val="clear" w:color="auto" w:fill="auto"/>
            <w:vAlign w:val="center"/>
            <w:hideMark/>
          </w:tcPr>
          <w:p w14:paraId="4D643B02" w14:textId="77777777" w:rsidR="00BD53AF" w:rsidRPr="00BA5799" w:rsidRDefault="00BD53AF" w:rsidP="00387AE5">
            <w:pPr>
              <w:jc w:val="center"/>
              <w:rPr>
                <w:rFonts w:cs="Times New Roman"/>
                <w:color w:val="000000"/>
                <w:sz w:val="18"/>
                <w:szCs w:val="18"/>
              </w:rPr>
            </w:pPr>
            <w:r w:rsidRPr="00BA5799">
              <w:rPr>
                <w:sz w:val="18"/>
                <w:szCs w:val="18"/>
              </w:rPr>
              <w:t>D.39+D.7R+D.9R</w:t>
            </w:r>
          </w:p>
        </w:tc>
        <w:tc>
          <w:tcPr>
            <w:tcW w:w="708" w:type="dxa"/>
            <w:tcBorders>
              <w:top w:val="nil"/>
              <w:left w:val="nil"/>
              <w:right w:val="nil"/>
            </w:tcBorders>
            <w:shd w:val="clear" w:color="auto" w:fill="auto"/>
            <w:vAlign w:val="center"/>
            <w:hideMark/>
          </w:tcPr>
          <w:p w14:paraId="1938A83A" w14:textId="77777777" w:rsidR="00BD53AF" w:rsidRPr="00BA5799" w:rsidRDefault="00BD53AF" w:rsidP="00387AE5">
            <w:pPr>
              <w:jc w:val="center"/>
              <w:rPr>
                <w:rFonts w:cs="Times New Roman"/>
                <w:color w:val="000000"/>
                <w:sz w:val="18"/>
                <w:szCs w:val="18"/>
              </w:rPr>
            </w:pPr>
            <w:r w:rsidRPr="00BA5799">
              <w:rPr>
                <w:sz w:val="18"/>
                <w:szCs w:val="18"/>
              </w:rPr>
              <w:t>-53</w:t>
            </w:r>
          </w:p>
        </w:tc>
        <w:tc>
          <w:tcPr>
            <w:tcW w:w="709" w:type="dxa"/>
            <w:tcBorders>
              <w:top w:val="nil"/>
              <w:left w:val="nil"/>
              <w:right w:val="nil"/>
            </w:tcBorders>
            <w:shd w:val="clear" w:color="auto" w:fill="auto"/>
            <w:vAlign w:val="center"/>
            <w:hideMark/>
          </w:tcPr>
          <w:p w14:paraId="2D9A6D26" w14:textId="77777777" w:rsidR="00BD53AF" w:rsidRPr="00BA5799" w:rsidRDefault="00BD53AF" w:rsidP="00387AE5">
            <w:pPr>
              <w:jc w:val="center"/>
              <w:rPr>
                <w:rFonts w:cs="Times New Roman"/>
                <w:color w:val="000000"/>
                <w:sz w:val="18"/>
                <w:szCs w:val="18"/>
              </w:rPr>
            </w:pPr>
            <w:r w:rsidRPr="00BA5799">
              <w:rPr>
                <w:sz w:val="18"/>
                <w:szCs w:val="18"/>
              </w:rPr>
              <w:t>-0,1</w:t>
            </w:r>
          </w:p>
        </w:tc>
        <w:tc>
          <w:tcPr>
            <w:tcW w:w="709" w:type="dxa"/>
            <w:tcBorders>
              <w:top w:val="nil"/>
              <w:left w:val="nil"/>
              <w:right w:val="nil"/>
            </w:tcBorders>
            <w:shd w:val="clear" w:color="auto" w:fill="auto"/>
            <w:vAlign w:val="center"/>
            <w:hideMark/>
          </w:tcPr>
          <w:p w14:paraId="185A0780" w14:textId="77777777" w:rsidR="00BD53AF" w:rsidRPr="00BA5799" w:rsidRDefault="00BD53AF" w:rsidP="00387AE5">
            <w:pPr>
              <w:jc w:val="center"/>
              <w:rPr>
                <w:rFonts w:cs="Times New Roman"/>
                <w:color w:val="000000"/>
                <w:sz w:val="18"/>
                <w:szCs w:val="18"/>
              </w:rPr>
            </w:pPr>
            <w:r w:rsidRPr="00BA5799">
              <w:rPr>
                <w:sz w:val="18"/>
                <w:szCs w:val="18"/>
              </w:rPr>
              <w:t>-34</w:t>
            </w:r>
          </w:p>
        </w:tc>
        <w:tc>
          <w:tcPr>
            <w:tcW w:w="709" w:type="dxa"/>
            <w:tcBorders>
              <w:top w:val="nil"/>
              <w:left w:val="nil"/>
              <w:right w:val="nil"/>
            </w:tcBorders>
            <w:shd w:val="clear" w:color="auto" w:fill="auto"/>
            <w:vAlign w:val="center"/>
            <w:hideMark/>
          </w:tcPr>
          <w:p w14:paraId="50DE71EC" w14:textId="77777777" w:rsidR="00BD53AF" w:rsidRPr="00BA5799" w:rsidRDefault="00BD53AF" w:rsidP="00387AE5">
            <w:pPr>
              <w:jc w:val="center"/>
              <w:rPr>
                <w:rFonts w:cs="Times New Roman"/>
                <w:color w:val="000000"/>
                <w:sz w:val="18"/>
                <w:szCs w:val="18"/>
              </w:rPr>
            </w:pPr>
            <w:r w:rsidRPr="00BA5799">
              <w:rPr>
                <w:sz w:val="18"/>
                <w:szCs w:val="18"/>
              </w:rPr>
              <w:t>0,0</w:t>
            </w:r>
          </w:p>
        </w:tc>
        <w:tc>
          <w:tcPr>
            <w:tcW w:w="658" w:type="dxa"/>
            <w:tcBorders>
              <w:top w:val="nil"/>
              <w:left w:val="nil"/>
              <w:right w:val="nil"/>
            </w:tcBorders>
            <w:shd w:val="clear" w:color="auto" w:fill="auto"/>
            <w:vAlign w:val="center"/>
            <w:hideMark/>
          </w:tcPr>
          <w:p w14:paraId="00C53BF6" w14:textId="77777777" w:rsidR="00BD53AF" w:rsidRPr="00BA5799" w:rsidRDefault="00BD53AF" w:rsidP="00387AE5">
            <w:pPr>
              <w:jc w:val="center"/>
              <w:rPr>
                <w:rFonts w:cs="Times New Roman"/>
                <w:color w:val="000000"/>
                <w:sz w:val="18"/>
                <w:szCs w:val="18"/>
              </w:rPr>
            </w:pPr>
            <w:r w:rsidRPr="00BA5799">
              <w:rPr>
                <w:sz w:val="18"/>
                <w:szCs w:val="18"/>
              </w:rPr>
              <w:t>-43</w:t>
            </w:r>
          </w:p>
        </w:tc>
        <w:tc>
          <w:tcPr>
            <w:tcW w:w="759" w:type="dxa"/>
            <w:tcBorders>
              <w:top w:val="nil"/>
              <w:left w:val="nil"/>
              <w:right w:val="nil"/>
            </w:tcBorders>
            <w:shd w:val="clear" w:color="auto" w:fill="auto"/>
            <w:vAlign w:val="center"/>
            <w:hideMark/>
          </w:tcPr>
          <w:p w14:paraId="2999FBF3" w14:textId="77777777" w:rsidR="00BD53AF" w:rsidRPr="00BA5799" w:rsidRDefault="00BD53AF" w:rsidP="00387AE5">
            <w:pPr>
              <w:jc w:val="center"/>
              <w:rPr>
                <w:rFonts w:cs="Times New Roman"/>
                <w:color w:val="000000"/>
                <w:sz w:val="18"/>
                <w:szCs w:val="18"/>
              </w:rPr>
            </w:pPr>
            <w:r w:rsidRPr="00BA5799">
              <w:rPr>
                <w:sz w:val="18"/>
                <w:szCs w:val="18"/>
              </w:rPr>
              <w:t>0,0</w:t>
            </w:r>
          </w:p>
        </w:tc>
      </w:tr>
      <w:tr w:rsidR="00BD53AF" w:rsidRPr="00BA5799" w14:paraId="0B14587F" w14:textId="77777777" w:rsidTr="003C66E6">
        <w:trPr>
          <w:trHeight w:val="57"/>
        </w:trPr>
        <w:tc>
          <w:tcPr>
            <w:tcW w:w="3261" w:type="dxa"/>
            <w:tcBorders>
              <w:left w:val="nil"/>
              <w:bottom w:val="nil"/>
              <w:right w:val="nil"/>
            </w:tcBorders>
            <w:shd w:val="clear" w:color="auto" w:fill="auto"/>
            <w:vAlign w:val="center"/>
          </w:tcPr>
          <w:p w14:paraId="657B6EA7" w14:textId="77777777" w:rsidR="00BD53AF" w:rsidRPr="0067498B" w:rsidRDefault="00BD53AF" w:rsidP="003C66E6">
            <w:pPr>
              <w:pStyle w:val="Odsekzoznamu"/>
              <w:numPr>
                <w:ilvl w:val="0"/>
                <w:numId w:val="11"/>
              </w:numPr>
              <w:ind w:left="214" w:hanging="81"/>
              <w:contextualSpacing w:val="0"/>
              <w:rPr>
                <w:sz w:val="18"/>
                <w:szCs w:val="18"/>
              </w:rPr>
            </w:pPr>
            <w:r w:rsidRPr="0067498B">
              <w:rPr>
                <w:sz w:val="18"/>
                <w:szCs w:val="18"/>
              </w:rPr>
              <w:t>Iné</w:t>
            </w:r>
          </w:p>
        </w:tc>
        <w:tc>
          <w:tcPr>
            <w:tcW w:w="708" w:type="dxa"/>
            <w:tcBorders>
              <w:left w:val="nil"/>
              <w:bottom w:val="nil"/>
              <w:right w:val="nil"/>
            </w:tcBorders>
            <w:shd w:val="clear" w:color="auto" w:fill="auto"/>
            <w:noWrap/>
            <w:vAlign w:val="center"/>
          </w:tcPr>
          <w:p w14:paraId="4B50EC6C" w14:textId="77777777" w:rsidR="00BD53AF" w:rsidRPr="00EE43EC" w:rsidRDefault="00BD53AF" w:rsidP="00387AE5">
            <w:pPr>
              <w:jc w:val="center"/>
              <w:rPr>
                <w:rFonts w:cs="Times New Roman"/>
                <w:color w:val="000000"/>
                <w:sz w:val="18"/>
                <w:szCs w:val="18"/>
              </w:rPr>
            </w:pPr>
          </w:p>
        </w:tc>
        <w:tc>
          <w:tcPr>
            <w:tcW w:w="993" w:type="dxa"/>
            <w:tcBorders>
              <w:left w:val="nil"/>
              <w:bottom w:val="nil"/>
              <w:right w:val="nil"/>
            </w:tcBorders>
            <w:shd w:val="clear" w:color="auto" w:fill="auto"/>
            <w:vAlign w:val="center"/>
          </w:tcPr>
          <w:p w14:paraId="7A8AD508" w14:textId="77777777" w:rsidR="00BD53AF" w:rsidRPr="0067498B" w:rsidRDefault="00BD53AF" w:rsidP="00387AE5">
            <w:pPr>
              <w:jc w:val="center"/>
              <w:rPr>
                <w:sz w:val="18"/>
                <w:szCs w:val="18"/>
              </w:rPr>
            </w:pPr>
            <w:r w:rsidRPr="0067498B">
              <w:rPr>
                <w:sz w:val="18"/>
                <w:szCs w:val="18"/>
              </w:rPr>
              <w:t>D.7R</w:t>
            </w:r>
          </w:p>
        </w:tc>
        <w:tc>
          <w:tcPr>
            <w:tcW w:w="708" w:type="dxa"/>
            <w:tcBorders>
              <w:left w:val="nil"/>
              <w:bottom w:val="nil"/>
              <w:right w:val="nil"/>
            </w:tcBorders>
            <w:shd w:val="clear" w:color="auto" w:fill="auto"/>
            <w:vAlign w:val="center"/>
          </w:tcPr>
          <w:p w14:paraId="3B1B8007" w14:textId="77777777" w:rsidR="00BD53AF" w:rsidRPr="0067498B" w:rsidRDefault="00BD53AF" w:rsidP="00387AE5">
            <w:pPr>
              <w:jc w:val="center"/>
              <w:rPr>
                <w:sz w:val="18"/>
                <w:szCs w:val="18"/>
              </w:rPr>
            </w:pPr>
            <w:r w:rsidRPr="0067498B">
              <w:rPr>
                <w:sz w:val="18"/>
                <w:szCs w:val="18"/>
              </w:rPr>
              <w:t>-53</w:t>
            </w:r>
          </w:p>
        </w:tc>
        <w:tc>
          <w:tcPr>
            <w:tcW w:w="709" w:type="dxa"/>
            <w:tcBorders>
              <w:left w:val="nil"/>
              <w:bottom w:val="nil"/>
              <w:right w:val="nil"/>
            </w:tcBorders>
            <w:shd w:val="clear" w:color="auto" w:fill="auto"/>
            <w:vAlign w:val="center"/>
          </w:tcPr>
          <w:p w14:paraId="290B6A94" w14:textId="77777777" w:rsidR="00BD53AF" w:rsidRPr="0067498B" w:rsidRDefault="00BD53AF" w:rsidP="00387AE5">
            <w:pPr>
              <w:jc w:val="center"/>
              <w:rPr>
                <w:sz w:val="18"/>
                <w:szCs w:val="18"/>
              </w:rPr>
            </w:pPr>
            <w:r w:rsidRPr="0067498B">
              <w:rPr>
                <w:sz w:val="18"/>
                <w:szCs w:val="18"/>
              </w:rPr>
              <w:t>-0,1</w:t>
            </w:r>
          </w:p>
        </w:tc>
        <w:tc>
          <w:tcPr>
            <w:tcW w:w="709" w:type="dxa"/>
            <w:tcBorders>
              <w:left w:val="nil"/>
              <w:bottom w:val="nil"/>
              <w:right w:val="nil"/>
            </w:tcBorders>
            <w:shd w:val="clear" w:color="auto" w:fill="auto"/>
            <w:vAlign w:val="center"/>
          </w:tcPr>
          <w:p w14:paraId="36048808" w14:textId="77777777" w:rsidR="00BD53AF" w:rsidRPr="0067498B" w:rsidRDefault="00BD53AF" w:rsidP="00387AE5">
            <w:pPr>
              <w:jc w:val="center"/>
              <w:rPr>
                <w:sz w:val="18"/>
                <w:szCs w:val="18"/>
              </w:rPr>
            </w:pPr>
            <w:r w:rsidRPr="0067498B">
              <w:rPr>
                <w:sz w:val="18"/>
                <w:szCs w:val="18"/>
              </w:rPr>
              <w:t>-34</w:t>
            </w:r>
          </w:p>
        </w:tc>
        <w:tc>
          <w:tcPr>
            <w:tcW w:w="709" w:type="dxa"/>
            <w:tcBorders>
              <w:left w:val="nil"/>
              <w:bottom w:val="nil"/>
              <w:right w:val="nil"/>
            </w:tcBorders>
            <w:shd w:val="clear" w:color="auto" w:fill="auto"/>
            <w:vAlign w:val="center"/>
          </w:tcPr>
          <w:p w14:paraId="66E373B2" w14:textId="77777777" w:rsidR="00BD53AF" w:rsidRPr="0067498B" w:rsidRDefault="00BD53AF" w:rsidP="00387AE5">
            <w:pPr>
              <w:jc w:val="center"/>
              <w:rPr>
                <w:sz w:val="18"/>
                <w:szCs w:val="18"/>
              </w:rPr>
            </w:pPr>
            <w:r w:rsidRPr="0067498B">
              <w:rPr>
                <w:sz w:val="18"/>
                <w:szCs w:val="18"/>
              </w:rPr>
              <w:t>0,0</w:t>
            </w:r>
          </w:p>
        </w:tc>
        <w:tc>
          <w:tcPr>
            <w:tcW w:w="658" w:type="dxa"/>
            <w:tcBorders>
              <w:left w:val="nil"/>
              <w:bottom w:val="nil"/>
              <w:right w:val="nil"/>
            </w:tcBorders>
            <w:shd w:val="clear" w:color="auto" w:fill="auto"/>
            <w:vAlign w:val="center"/>
          </w:tcPr>
          <w:p w14:paraId="3EDA56DF" w14:textId="77777777" w:rsidR="00BD53AF" w:rsidRPr="0067498B" w:rsidRDefault="00BD53AF" w:rsidP="00387AE5">
            <w:pPr>
              <w:jc w:val="center"/>
              <w:rPr>
                <w:sz w:val="18"/>
                <w:szCs w:val="18"/>
              </w:rPr>
            </w:pPr>
            <w:r w:rsidRPr="0067498B">
              <w:rPr>
                <w:sz w:val="18"/>
                <w:szCs w:val="18"/>
              </w:rPr>
              <w:t>-43</w:t>
            </w:r>
          </w:p>
        </w:tc>
        <w:tc>
          <w:tcPr>
            <w:tcW w:w="759" w:type="dxa"/>
            <w:tcBorders>
              <w:left w:val="nil"/>
              <w:bottom w:val="nil"/>
              <w:right w:val="nil"/>
            </w:tcBorders>
            <w:shd w:val="clear" w:color="auto" w:fill="auto"/>
            <w:vAlign w:val="center"/>
          </w:tcPr>
          <w:p w14:paraId="59436F5E" w14:textId="77777777" w:rsidR="00BD53AF" w:rsidRPr="0067498B" w:rsidRDefault="00BD53AF" w:rsidP="00387AE5">
            <w:pPr>
              <w:jc w:val="center"/>
              <w:rPr>
                <w:sz w:val="18"/>
                <w:szCs w:val="18"/>
              </w:rPr>
            </w:pPr>
            <w:r w:rsidRPr="0067498B">
              <w:rPr>
                <w:sz w:val="18"/>
                <w:szCs w:val="18"/>
              </w:rPr>
              <w:t>0,0</w:t>
            </w:r>
          </w:p>
        </w:tc>
      </w:tr>
      <w:tr w:rsidR="00BD53AF" w:rsidRPr="00C735D9" w14:paraId="3751B45F" w14:textId="77777777" w:rsidTr="003C66E6">
        <w:trPr>
          <w:trHeight w:val="64"/>
        </w:trPr>
        <w:tc>
          <w:tcPr>
            <w:tcW w:w="3261" w:type="dxa"/>
            <w:tcBorders>
              <w:top w:val="single" w:sz="4" w:space="0" w:color="auto"/>
              <w:left w:val="nil"/>
              <w:bottom w:val="single" w:sz="4" w:space="0" w:color="auto"/>
              <w:right w:val="nil"/>
            </w:tcBorders>
            <w:shd w:val="clear" w:color="auto" w:fill="auto"/>
            <w:vAlign w:val="center"/>
            <w:hideMark/>
          </w:tcPr>
          <w:p w14:paraId="2693B078" w14:textId="77777777" w:rsidR="00BD53AF" w:rsidRPr="00DF233E" w:rsidRDefault="00BD53AF" w:rsidP="00387AE5">
            <w:pPr>
              <w:rPr>
                <w:rFonts w:cs="Times New Roman"/>
                <w:b/>
                <w:bCs/>
                <w:color w:val="000000"/>
                <w:sz w:val="18"/>
                <w:szCs w:val="18"/>
              </w:rPr>
            </w:pPr>
            <w:r w:rsidRPr="00DF233E">
              <w:rPr>
                <w:rFonts w:cs="Times New Roman"/>
                <w:b/>
                <w:bCs/>
                <w:color w:val="000000"/>
                <w:sz w:val="18"/>
                <w:szCs w:val="18"/>
              </w:rPr>
              <w:t>Výdavky spolu (5+6+7+8+9+10)</w:t>
            </w:r>
          </w:p>
        </w:tc>
        <w:tc>
          <w:tcPr>
            <w:tcW w:w="708" w:type="dxa"/>
            <w:tcBorders>
              <w:top w:val="single" w:sz="4" w:space="0" w:color="auto"/>
              <w:left w:val="nil"/>
              <w:bottom w:val="single" w:sz="4" w:space="0" w:color="auto"/>
              <w:right w:val="nil"/>
            </w:tcBorders>
            <w:shd w:val="clear" w:color="auto" w:fill="auto"/>
            <w:noWrap/>
            <w:vAlign w:val="center"/>
            <w:hideMark/>
          </w:tcPr>
          <w:p w14:paraId="0AE5A524" w14:textId="77777777" w:rsidR="00BD53AF" w:rsidRPr="0036790F" w:rsidRDefault="00BD53AF" w:rsidP="00387AE5">
            <w:pPr>
              <w:jc w:val="center"/>
              <w:rPr>
                <w:rFonts w:cs="Times New Roman"/>
                <w:color w:val="000000"/>
                <w:sz w:val="18"/>
                <w:szCs w:val="18"/>
              </w:rPr>
            </w:pPr>
          </w:p>
        </w:tc>
        <w:tc>
          <w:tcPr>
            <w:tcW w:w="993" w:type="dxa"/>
            <w:tcBorders>
              <w:top w:val="single" w:sz="4" w:space="0" w:color="auto"/>
              <w:left w:val="nil"/>
              <w:bottom w:val="single" w:sz="4" w:space="0" w:color="auto"/>
              <w:right w:val="nil"/>
            </w:tcBorders>
            <w:shd w:val="clear" w:color="auto" w:fill="auto"/>
            <w:vAlign w:val="center"/>
            <w:hideMark/>
          </w:tcPr>
          <w:p w14:paraId="26FD1CBD" w14:textId="77777777" w:rsidR="00BD53AF" w:rsidRPr="00DF233E" w:rsidRDefault="00BD53AF" w:rsidP="00387AE5">
            <w:pPr>
              <w:jc w:val="center"/>
              <w:rPr>
                <w:rFonts w:cs="Times New Roman"/>
                <w:color w:val="000000"/>
                <w:sz w:val="18"/>
                <w:szCs w:val="18"/>
              </w:rPr>
            </w:pPr>
          </w:p>
        </w:tc>
        <w:tc>
          <w:tcPr>
            <w:tcW w:w="708" w:type="dxa"/>
            <w:tcBorders>
              <w:top w:val="single" w:sz="4" w:space="0" w:color="auto"/>
              <w:left w:val="nil"/>
              <w:bottom w:val="single" w:sz="4" w:space="0" w:color="auto"/>
              <w:right w:val="nil"/>
            </w:tcBorders>
            <w:shd w:val="clear" w:color="auto" w:fill="auto"/>
            <w:vAlign w:val="center"/>
            <w:hideMark/>
          </w:tcPr>
          <w:p w14:paraId="57443D26" w14:textId="77777777" w:rsidR="00BD53AF" w:rsidRPr="00DF233E" w:rsidRDefault="00BD53AF" w:rsidP="00387AE5">
            <w:pPr>
              <w:jc w:val="center"/>
              <w:rPr>
                <w:rFonts w:cs="Times New Roman"/>
                <w:b/>
                <w:bCs/>
                <w:color w:val="000000"/>
                <w:sz w:val="18"/>
                <w:szCs w:val="18"/>
              </w:rPr>
            </w:pPr>
            <w:r w:rsidRPr="00DF233E">
              <w:rPr>
                <w:rFonts w:cs="Times New Roman"/>
                <w:b/>
                <w:bCs/>
                <w:color w:val="000000"/>
                <w:sz w:val="18"/>
                <w:szCs w:val="18"/>
              </w:rPr>
              <w:t>-505</w:t>
            </w:r>
          </w:p>
        </w:tc>
        <w:tc>
          <w:tcPr>
            <w:tcW w:w="709" w:type="dxa"/>
            <w:tcBorders>
              <w:top w:val="single" w:sz="4" w:space="0" w:color="auto"/>
              <w:left w:val="nil"/>
              <w:bottom w:val="single" w:sz="4" w:space="0" w:color="auto"/>
              <w:right w:val="nil"/>
            </w:tcBorders>
            <w:shd w:val="clear" w:color="auto" w:fill="auto"/>
            <w:vAlign w:val="center"/>
            <w:hideMark/>
          </w:tcPr>
          <w:p w14:paraId="6FEAC760" w14:textId="77777777" w:rsidR="00BD53AF" w:rsidRPr="00DF233E" w:rsidRDefault="00BD53AF" w:rsidP="00387AE5">
            <w:pPr>
              <w:jc w:val="center"/>
              <w:rPr>
                <w:rFonts w:cs="Times New Roman"/>
                <w:b/>
                <w:bCs/>
                <w:color w:val="000000"/>
                <w:sz w:val="18"/>
                <w:szCs w:val="18"/>
              </w:rPr>
            </w:pPr>
            <w:r w:rsidRPr="00DF233E">
              <w:rPr>
                <w:rFonts w:cs="Times New Roman"/>
                <w:b/>
                <w:bCs/>
                <w:color w:val="000000"/>
                <w:sz w:val="18"/>
                <w:szCs w:val="18"/>
              </w:rPr>
              <w:t>-0,49</w:t>
            </w:r>
          </w:p>
        </w:tc>
        <w:tc>
          <w:tcPr>
            <w:tcW w:w="709" w:type="dxa"/>
            <w:tcBorders>
              <w:top w:val="single" w:sz="4" w:space="0" w:color="auto"/>
              <w:left w:val="nil"/>
              <w:bottom w:val="single" w:sz="4" w:space="0" w:color="auto"/>
              <w:right w:val="nil"/>
            </w:tcBorders>
            <w:shd w:val="clear" w:color="auto" w:fill="auto"/>
            <w:vAlign w:val="center"/>
            <w:hideMark/>
          </w:tcPr>
          <w:p w14:paraId="1CEF8F49" w14:textId="77777777" w:rsidR="00BD53AF" w:rsidRPr="00DF233E" w:rsidRDefault="00BD53AF" w:rsidP="00387AE5">
            <w:pPr>
              <w:jc w:val="center"/>
              <w:rPr>
                <w:rFonts w:cs="Times New Roman"/>
                <w:b/>
                <w:bCs/>
                <w:color w:val="000000"/>
                <w:sz w:val="18"/>
                <w:szCs w:val="18"/>
              </w:rPr>
            </w:pPr>
            <w:r w:rsidRPr="00DF233E">
              <w:rPr>
                <w:rFonts w:cs="Times New Roman"/>
                <w:b/>
                <w:bCs/>
                <w:color w:val="000000"/>
                <w:sz w:val="18"/>
                <w:szCs w:val="18"/>
              </w:rPr>
              <w:t>-482</w:t>
            </w:r>
          </w:p>
        </w:tc>
        <w:tc>
          <w:tcPr>
            <w:tcW w:w="709" w:type="dxa"/>
            <w:tcBorders>
              <w:top w:val="single" w:sz="4" w:space="0" w:color="auto"/>
              <w:left w:val="nil"/>
              <w:bottom w:val="single" w:sz="4" w:space="0" w:color="auto"/>
              <w:right w:val="nil"/>
            </w:tcBorders>
            <w:shd w:val="clear" w:color="auto" w:fill="auto"/>
            <w:vAlign w:val="center"/>
            <w:hideMark/>
          </w:tcPr>
          <w:p w14:paraId="2D589C18" w14:textId="77777777" w:rsidR="00BD53AF" w:rsidRPr="00DF233E" w:rsidRDefault="00BD53AF" w:rsidP="00387AE5">
            <w:pPr>
              <w:jc w:val="center"/>
              <w:rPr>
                <w:rFonts w:cs="Times New Roman"/>
                <w:b/>
                <w:bCs/>
                <w:color w:val="000000"/>
                <w:sz w:val="18"/>
                <w:szCs w:val="18"/>
              </w:rPr>
            </w:pPr>
            <w:r w:rsidRPr="00DF233E">
              <w:rPr>
                <w:rFonts w:cs="Times New Roman"/>
                <w:b/>
                <w:bCs/>
                <w:color w:val="000000"/>
                <w:sz w:val="18"/>
                <w:szCs w:val="18"/>
              </w:rPr>
              <w:t>-0,45</w:t>
            </w:r>
          </w:p>
        </w:tc>
        <w:tc>
          <w:tcPr>
            <w:tcW w:w="658" w:type="dxa"/>
            <w:tcBorders>
              <w:top w:val="single" w:sz="4" w:space="0" w:color="auto"/>
              <w:left w:val="nil"/>
              <w:bottom w:val="single" w:sz="4" w:space="0" w:color="auto"/>
              <w:right w:val="nil"/>
            </w:tcBorders>
            <w:shd w:val="clear" w:color="auto" w:fill="auto"/>
            <w:vAlign w:val="center"/>
            <w:hideMark/>
          </w:tcPr>
          <w:p w14:paraId="3B68FD84" w14:textId="77777777" w:rsidR="00BD53AF" w:rsidRPr="00DF233E" w:rsidRDefault="00BD53AF" w:rsidP="00387AE5">
            <w:pPr>
              <w:jc w:val="center"/>
              <w:rPr>
                <w:rFonts w:cs="Times New Roman"/>
                <w:b/>
                <w:bCs/>
                <w:color w:val="000000"/>
                <w:sz w:val="18"/>
                <w:szCs w:val="18"/>
              </w:rPr>
            </w:pPr>
            <w:r w:rsidRPr="00DF233E">
              <w:rPr>
                <w:rFonts w:cs="Times New Roman"/>
                <w:b/>
                <w:bCs/>
                <w:color w:val="000000"/>
                <w:sz w:val="18"/>
                <w:szCs w:val="18"/>
              </w:rPr>
              <w:t>-241</w:t>
            </w:r>
          </w:p>
        </w:tc>
        <w:tc>
          <w:tcPr>
            <w:tcW w:w="759" w:type="dxa"/>
            <w:tcBorders>
              <w:top w:val="single" w:sz="4" w:space="0" w:color="auto"/>
              <w:left w:val="nil"/>
              <w:bottom w:val="single" w:sz="4" w:space="0" w:color="auto"/>
              <w:right w:val="nil"/>
            </w:tcBorders>
            <w:shd w:val="clear" w:color="auto" w:fill="auto"/>
            <w:vAlign w:val="center"/>
            <w:hideMark/>
          </w:tcPr>
          <w:p w14:paraId="45D27EA7" w14:textId="77777777" w:rsidR="00BD53AF" w:rsidRPr="00DF233E" w:rsidRDefault="00BD53AF" w:rsidP="00387AE5">
            <w:pPr>
              <w:jc w:val="center"/>
              <w:rPr>
                <w:rFonts w:cs="Times New Roman"/>
                <w:b/>
                <w:bCs/>
                <w:color w:val="000000"/>
                <w:sz w:val="18"/>
                <w:szCs w:val="18"/>
              </w:rPr>
            </w:pPr>
            <w:r w:rsidRPr="00DF233E">
              <w:rPr>
                <w:rFonts w:cs="Times New Roman"/>
                <w:b/>
                <w:bCs/>
                <w:color w:val="000000"/>
                <w:sz w:val="18"/>
                <w:szCs w:val="18"/>
              </w:rPr>
              <w:t>-0,21</w:t>
            </w:r>
          </w:p>
        </w:tc>
      </w:tr>
      <w:tr w:rsidR="00BD53AF" w:rsidRPr="00C735D9" w14:paraId="36C8375E" w14:textId="77777777" w:rsidTr="003C66E6">
        <w:trPr>
          <w:trHeight w:val="258"/>
        </w:trPr>
        <w:tc>
          <w:tcPr>
            <w:tcW w:w="3261" w:type="dxa"/>
            <w:tcBorders>
              <w:top w:val="nil"/>
              <w:left w:val="nil"/>
              <w:bottom w:val="nil"/>
              <w:right w:val="nil"/>
            </w:tcBorders>
            <w:shd w:val="clear" w:color="auto" w:fill="auto"/>
            <w:vAlign w:val="center"/>
            <w:hideMark/>
          </w:tcPr>
          <w:p w14:paraId="548162F9" w14:textId="1B7C6C0F" w:rsidR="00BD53AF" w:rsidRPr="00DF233E" w:rsidRDefault="00BD53AF" w:rsidP="00387AE5">
            <w:pPr>
              <w:rPr>
                <w:rFonts w:cs="Times New Roman"/>
                <w:b/>
                <w:bCs/>
                <w:color w:val="000000"/>
                <w:sz w:val="18"/>
                <w:szCs w:val="18"/>
              </w:rPr>
            </w:pPr>
            <w:r w:rsidRPr="00DF233E">
              <w:rPr>
                <w:rFonts w:cs="Times New Roman"/>
                <w:b/>
                <w:bCs/>
                <w:color w:val="000000"/>
                <w:sz w:val="18"/>
                <w:szCs w:val="18"/>
              </w:rPr>
              <w:t>5.Kompenzácie</w:t>
            </w:r>
            <w:r>
              <w:rPr>
                <w:rFonts w:cs="Times New Roman"/>
                <w:b/>
                <w:bCs/>
                <w:color w:val="000000"/>
                <w:sz w:val="18"/>
                <w:szCs w:val="18"/>
              </w:rPr>
              <w:t>, z</w:t>
            </w:r>
            <w:r w:rsidR="008D0AC1">
              <w:rPr>
                <w:rFonts w:cs="Times New Roman"/>
                <w:b/>
                <w:bCs/>
                <w:color w:val="000000"/>
                <w:sz w:val="18"/>
                <w:szCs w:val="18"/>
              </w:rPr>
              <w:t> </w:t>
            </w:r>
            <w:r>
              <w:rPr>
                <w:rFonts w:cs="Times New Roman"/>
                <w:b/>
                <w:bCs/>
                <w:color w:val="000000"/>
                <w:sz w:val="18"/>
                <w:szCs w:val="18"/>
              </w:rPr>
              <w:t>toho</w:t>
            </w:r>
          </w:p>
        </w:tc>
        <w:tc>
          <w:tcPr>
            <w:tcW w:w="708" w:type="dxa"/>
            <w:tcBorders>
              <w:top w:val="nil"/>
              <w:left w:val="nil"/>
              <w:bottom w:val="nil"/>
              <w:right w:val="nil"/>
            </w:tcBorders>
            <w:shd w:val="clear" w:color="auto" w:fill="auto"/>
            <w:vAlign w:val="center"/>
            <w:hideMark/>
          </w:tcPr>
          <w:p w14:paraId="02BEC8B9" w14:textId="77777777" w:rsidR="00BD53AF" w:rsidRPr="00EE43EC" w:rsidRDefault="00BD53AF" w:rsidP="00387AE5">
            <w:pPr>
              <w:jc w:val="center"/>
              <w:rPr>
                <w:rFonts w:cs="Times New Roman"/>
                <w:bCs/>
                <w:color w:val="000000"/>
                <w:sz w:val="18"/>
                <w:szCs w:val="18"/>
              </w:rPr>
            </w:pPr>
            <w:r w:rsidRPr="00EE43EC">
              <w:rPr>
                <w:rFonts w:cs="Times New Roman"/>
                <w:bCs/>
                <w:color w:val="000000"/>
                <w:sz w:val="18"/>
                <w:szCs w:val="18"/>
              </w:rPr>
              <w:t>S.13</w:t>
            </w:r>
          </w:p>
        </w:tc>
        <w:tc>
          <w:tcPr>
            <w:tcW w:w="993" w:type="dxa"/>
            <w:tcBorders>
              <w:top w:val="nil"/>
              <w:left w:val="nil"/>
              <w:bottom w:val="nil"/>
              <w:right w:val="nil"/>
            </w:tcBorders>
            <w:shd w:val="clear" w:color="auto" w:fill="auto"/>
            <w:vAlign w:val="center"/>
            <w:hideMark/>
          </w:tcPr>
          <w:p w14:paraId="6C2701A6" w14:textId="77777777" w:rsidR="00BD53AF" w:rsidRPr="00DF233E" w:rsidRDefault="00BD53AF" w:rsidP="00387AE5">
            <w:pPr>
              <w:jc w:val="center"/>
              <w:rPr>
                <w:rFonts w:cs="Times New Roman"/>
                <w:color w:val="000000"/>
                <w:sz w:val="18"/>
                <w:szCs w:val="18"/>
              </w:rPr>
            </w:pPr>
            <w:r w:rsidRPr="00DF233E">
              <w:rPr>
                <w:rFonts w:cs="Times New Roman"/>
                <w:color w:val="000000"/>
                <w:sz w:val="18"/>
                <w:szCs w:val="18"/>
              </w:rPr>
              <w:t>D.1</w:t>
            </w:r>
          </w:p>
        </w:tc>
        <w:tc>
          <w:tcPr>
            <w:tcW w:w="708" w:type="dxa"/>
            <w:tcBorders>
              <w:top w:val="nil"/>
              <w:left w:val="nil"/>
              <w:bottom w:val="nil"/>
              <w:right w:val="nil"/>
            </w:tcBorders>
            <w:shd w:val="clear" w:color="auto" w:fill="auto"/>
            <w:vAlign w:val="center"/>
          </w:tcPr>
          <w:p w14:paraId="2F773019" w14:textId="77777777" w:rsidR="00BD53AF" w:rsidRPr="0067498B" w:rsidRDefault="00BD53AF" w:rsidP="00387AE5">
            <w:pPr>
              <w:jc w:val="center"/>
              <w:rPr>
                <w:rFonts w:cs="Times New Roman"/>
                <w:color w:val="000000"/>
                <w:sz w:val="18"/>
                <w:szCs w:val="18"/>
                <w:highlight w:val="yellow"/>
              </w:rPr>
            </w:pPr>
            <w:r w:rsidRPr="00DF233E">
              <w:rPr>
                <w:rFonts w:cs="Times New Roman"/>
                <w:color w:val="000000"/>
                <w:sz w:val="18"/>
                <w:szCs w:val="18"/>
              </w:rPr>
              <w:t>-338</w:t>
            </w:r>
          </w:p>
        </w:tc>
        <w:tc>
          <w:tcPr>
            <w:tcW w:w="709" w:type="dxa"/>
            <w:tcBorders>
              <w:top w:val="nil"/>
              <w:left w:val="nil"/>
              <w:bottom w:val="nil"/>
              <w:right w:val="nil"/>
            </w:tcBorders>
            <w:shd w:val="clear" w:color="auto" w:fill="auto"/>
            <w:vAlign w:val="center"/>
          </w:tcPr>
          <w:p w14:paraId="0A7D0421" w14:textId="77777777" w:rsidR="00BD53AF" w:rsidRPr="0067498B" w:rsidRDefault="00BD53AF" w:rsidP="00387AE5">
            <w:pPr>
              <w:jc w:val="center"/>
              <w:rPr>
                <w:rFonts w:cs="Times New Roman"/>
                <w:color w:val="000000"/>
                <w:sz w:val="18"/>
                <w:szCs w:val="18"/>
                <w:highlight w:val="yellow"/>
              </w:rPr>
            </w:pPr>
            <w:r>
              <w:rPr>
                <w:rFonts w:cs="Times New Roman"/>
                <w:color w:val="000000"/>
                <w:sz w:val="18"/>
                <w:szCs w:val="18"/>
              </w:rPr>
              <w:t>-0,33</w:t>
            </w:r>
          </w:p>
        </w:tc>
        <w:tc>
          <w:tcPr>
            <w:tcW w:w="709" w:type="dxa"/>
            <w:tcBorders>
              <w:top w:val="nil"/>
              <w:left w:val="nil"/>
              <w:bottom w:val="nil"/>
              <w:right w:val="nil"/>
            </w:tcBorders>
            <w:shd w:val="clear" w:color="auto" w:fill="auto"/>
            <w:vAlign w:val="center"/>
          </w:tcPr>
          <w:p w14:paraId="79141FAE" w14:textId="77777777" w:rsidR="00BD53AF" w:rsidRPr="0067498B" w:rsidRDefault="00BD53AF" w:rsidP="00387AE5">
            <w:pPr>
              <w:jc w:val="center"/>
              <w:rPr>
                <w:rFonts w:cs="Times New Roman"/>
                <w:color w:val="000000"/>
                <w:sz w:val="18"/>
                <w:szCs w:val="18"/>
                <w:highlight w:val="yellow"/>
              </w:rPr>
            </w:pPr>
            <w:r>
              <w:rPr>
                <w:rFonts w:cs="Times New Roman"/>
                <w:color w:val="000000"/>
                <w:sz w:val="18"/>
                <w:szCs w:val="18"/>
              </w:rPr>
              <w:t>-158</w:t>
            </w:r>
          </w:p>
        </w:tc>
        <w:tc>
          <w:tcPr>
            <w:tcW w:w="709" w:type="dxa"/>
            <w:tcBorders>
              <w:top w:val="nil"/>
              <w:left w:val="nil"/>
              <w:bottom w:val="nil"/>
              <w:right w:val="nil"/>
            </w:tcBorders>
            <w:shd w:val="clear" w:color="auto" w:fill="auto"/>
            <w:vAlign w:val="center"/>
          </w:tcPr>
          <w:p w14:paraId="1410512C" w14:textId="77777777" w:rsidR="00BD53AF" w:rsidRPr="0067498B" w:rsidRDefault="00BD53AF" w:rsidP="00387AE5">
            <w:pPr>
              <w:jc w:val="center"/>
              <w:rPr>
                <w:rFonts w:cs="Times New Roman"/>
                <w:color w:val="000000"/>
                <w:sz w:val="18"/>
                <w:szCs w:val="18"/>
                <w:highlight w:val="yellow"/>
              </w:rPr>
            </w:pPr>
            <w:r>
              <w:rPr>
                <w:rFonts w:cs="Times New Roman"/>
                <w:color w:val="000000"/>
                <w:sz w:val="18"/>
                <w:szCs w:val="18"/>
              </w:rPr>
              <w:t>-0,15</w:t>
            </w:r>
          </w:p>
        </w:tc>
        <w:tc>
          <w:tcPr>
            <w:tcW w:w="658" w:type="dxa"/>
            <w:tcBorders>
              <w:top w:val="nil"/>
              <w:left w:val="nil"/>
              <w:bottom w:val="nil"/>
              <w:right w:val="nil"/>
            </w:tcBorders>
            <w:shd w:val="clear" w:color="auto" w:fill="auto"/>
            <w:vAlign w:val="center"/>
          </w:tcPr>
          <w:p w14:paraId="5106BB4F" w14:textId="77777777" w:rsidR="00BD53AF" w:rsidRPr="0067498B" w:rsidRDefault="00BD53AF" w:rsidP="00387AE5">
            <w:pPr>
              <w:jc w:val="center"/>
              <w:rPr>
                <w:rFonts w:cs="Times New Roman"/>
                <w:color w:val="000000"/>
                <w:sz w:val="18"/>
                <w:szCs w:val="18"/>
                <w:highlight w:val="yellow"/>
              </w:rPr>
            </w:pPr>
            <w:r>
              <w:rPr>
                <w:rFonts w:cs="Times New Roman"/>
                <w:color w:val="000000"/>
                <w:sz w:val="18"/>
                <w:szCs w:val="18"/>
              </w:rPr>
              <w:t>40</w:t>
            </w:r>
          </w:p>
        </w:tc>
        <w:tc>
          <w:tcPr>
            <w:tcW w:w="759" w:type="dxa"/>
            <w:tcBorders>
              <w:top w:val="nil"/>
              <w:left w:val="nil"/>
              <w:bottom w:val="nil"/>
              <w:right w:val="nil"/>
            </w:tcBorders>
            <w:shd w:val="clear" w:color="auto" w:fill="auto"/>
            <w:vAlign w:val="center"/>
          </w:tcPr>
          <w:p w14:paraId="0A4C93A1" w14:textId="77777777" w:rsidR="00BD53AF" w:rsidRPr="0067498B" w:rsidRDefault="00BD53AF" w:rsidP="00387AE5">
            <w:pPr>
              <w:jc w:val="center"/>
              <w:rPr>
                <w:rFonts w:cs="Times New Roman"/>
                <w:color w:val="000000"/>
                <w:sz w:val="18"/>
                <w:szCs w:val="18"/>
                <w:highlight w:val="yellow"/>
              </w:rPr>
            </w:pPr>
            <w:r>
              <w:rPr>
                <w:rFonts w:cs="Times New Roman"/>
                <w:color w:val="000000"/>
                <w:sz w:val="18"/>
                <w:szCs w:val="18"/>
              </w:rPr>
              <w:t>-0,04</w:t>
            </w:r>
          </w:p>
        </w:tc>
      </w:tr>
      <w:tr w:rsidR="00BD53AF" w:rsidRPr="00C735D9" w14:paraId="1EC33EDA" w14:textId="77777777" w:rsidTr="003C66E6">
        <w:trPr>
          <w:trHeight w:val="258"/>
        </w:trPr>
        <w:tc>
          <w:tcPr>
            <w:tcW w:w="3261" w:type="dxa"/>
            <w:tcBorders>
              <w:top w:val="nil"/>
              <w:left w:val="nil"/>
              <w:bottom w:val="nil"/>
              <w:right w:val="nil"/>
            </w:tcBorders>
            <w:shd w:val="clear" w:color="auto" w:fill="auto"/>
            <w:vAlign w:val="center"/>
          </w:tcPr>
          <w:p w14:paraId="3A00ED9C" w14:textId="77777777" w:rsidR="00BD53AF" w:rsidRPr="00DF233E" w:rsidRDefault="00BD53AF" w:rsidP="003C66E6">
            <w:pPr>
              <w:ind w:left="214" w:hanging="142"/>
              <w:rPr>
                <w:rFonts w:cs="Times New Roman"/>
                <w:b/>
                <w:bCs/>
                <w:color w:val="000000"/>
                <w:sz w:val="18"/>
                <w:szCs w:val="18"/>
              </w:rPr>
            </w:pPr>
            <w:r w:rsidRPr="00DF233E">
              <w:rPr>
                <w:rFonts w:cs="Times New Roman"/>
                <w:sz w:val="18"/>
                <w:szCs w:val="18"/>
              </w:rPr>
              <w:t>- valorizácia platov zamestnancov VS</w:t>
            </w:r>
            <w:r>
              <w:rPr>
                <w:rFonts w:cs="Times New Roman"/>
                <w:sz w:val="18"/>
                <w:szCs w:val="18"/>
              </w:rPr>
              <w:t xml:space="preserve"> v 2020 na úrovni 10 %</w:t>
            </w:r>
          </w:p>
        </w:tc>
        <w:tc>
          <w:tcPr>
            <w:tcW w:w="708" w:type="dxa"/>
            <w:tcBorders>
              <w:top w:val="nil"/>
              <w:left w:val="nil"/>
              <w:bottom w:val="nil"/>
              <w:right w:val="nil"/>
            </w:tcBorders>
            <w:shd w:val="clear" w:color="auto" w:fill="auto"/>
            <w:vAlign w:val="center"/>
          </w:tcPr>
          <w:p w14:paraId="50A8590E" w14:textId="77777777" w:rsidR="00BD53AF" w:rsidRPr="00EE43EC" w:rsidRDefault="00BD53AF" w:rsidP="00387AE5">
            <w:pPr>
              <w:jc w:val="center"/>
              <w:rPr>
                <w:rFonts w:cs="Times New Roman"/>
                <w:bCs/>
                <w:color w:val="000000"/>
                <w:sz w:val="18"/>
                <w:szCs w:val="18"/>
              </w:rPr>
            </w:pPr>
          </w:p>
        </w:tc>
        <w:tc>
          <w:tcPr>
            <w:tcW w:w="993" w:type="dxa"/>
            <w:tcBorders>
              <w:top w:val="nil"/>
              <w:left w:val="nil"/>
              <w:bottom w:val="nil"/>
              <w:right w:val="nil"/>
            </w:tcBorders>
            <w:shd w:val="clear" w:color="auto" w:fill="auto"/>
            <w:vAlign w:val="center"/>
          </w:tcPr>
          <w:p w14:paraId="656D50B1" w14:textId="77777777" w:rsidR="00BD53AF" w:rsidRPr="00DF233E" w:rsidRDefault="00BD53AF" w:rsidP="00387AE5">
            <w:pPr>
              <w:jc w:val="center"/>
              <w:rPr>
                <w:rFonts w:cs="Times New Roman"/>
                <w:color w:val="000000"/>
                <w:sz w:val="18"/>
                <w:szCs w:val="18"/>
              </w:rPr>
            </w:pPr>
          </w:p>
        </w:tc>
        <w:tc>
          <w:tcPr>
            <w:tcW w:w="708" w:type="dxa"/>
            <w:tcBorders>
              <w:top w:val="nil"/>
              <w:left w:val="nil"/>
              <w:bottom w:val="nil"/>
              <w:right w:val="nil"/>
            </w:tcBorders>
            <w:shd w:val="clear" w:color="auto" w:fill="auto"/>
            <w:vAlign w:val="center"/>
          </w:tcPr>
          <w:p w14:paraId="2DBD71A4" w14:textId="77777777" w:rsidR="00BD53AF" w:rsidRPr="00DF233E" w:rsidRDefault="00BD53AF" w:rsidP="00387AE5">
            <w:pPr>
              <w:jc w:val="center"/>
              <w:rPr>
                <w:rFonts w:cs="Times New Roman"/>
                <w:color w:val="000000"/>
                <w:sz w:val="18"/>
                <w:szCs w:val="18"/>
              </w:rPr>
            </w:pPr>
            <w:r w:rsidRPr="00DF233E">
              <w:rPr>
                <w:rFonts w:cs="Times New Roman"/>
                <w:color w:val="000000"/>
                <w:sz w:val="18"/>
                <w:szCs w:val="18"/>
              </w:rPr>
              <w:t>-338</w:t>
            </w:r>
          </w:p>
        </w:tc>
        <w:tc>
          <w:tcPr>
            <w:tcW w:w="709" w:type="dxa"/>
            <w:tcBorders>
              <w:top w:val="nil"/>
              <w:left w:val="nil"/>
              <w:bottom w:val="nil"/>
              <w:right w:val="nil"/>
            </w:tcBorders>
            <w:shd w:val="clear" w:color="auto" w:fill="auto"/>
            <w:vAlign w:val="center"/>
          </w:tcPr>
          <w:p w14:paraId="57BD642A" w14:textId="77777777" w:rsidR="00BD53AF" w:rsidRPr="00DF233E" w:rsidRDefault="00BD53AF" w:rsidP="00387AE5">
            <w:pPr>
              <w:jc w:val="center"/>
              <w:rPr>
                <w:rFonts w:cs="Times New Roman"/>
                <w:color w:val="000000"/>
                <w:sz w:val="18"/>
                <w:szCs w:val="18"/>
              </w:rPr>
            </w:pPr>
            <w:r>
              <w:rPr>
                <w:rFonts w:cs="Times New Roman"/>
                <w:color w:val="000000"/>
                <w:sz w:val="18"/>
                <w:szCs w:val="18"/>
              </w:rPr>
              <w:t>-0,33</w:t>
            </w:r>
          </w:p>
        </w:tc>
        <w:tc>
          <w:tcPr>
            <w:tcW w:w="709" w:type="dxa"/>
            <w:tcBorders>
              <w:top w:val="nil"/>
              <w:left w:val="nil"/>
              <w:bottom w:val="nil"/>
              <w:right w:val="nil"/>
            </w:tcBorders>
            <w:shd w:val="clear" w:color="auto" w:fill="auto"/>
            <w:vAlign w:val="center"/>
          </w:tcPr>
          <w:p w14:paraId="17B872F5" w14:textId="77777777" w:rsidR="00BD53AF" w:rsidRPr="00DF233E" w:rsidRDefault="00BD53AF" w:rsidP="00387AE5">
            <w:pPr>
              <w:jc w:val="center"/>
              <w:rPr>
                <w:rFonts w:cs="Times New Roman"/>
                <w:color w:val="000000"/>
                <w:sz w:val="18"/>
                <w:szCs w:val="18"/>
              </w:rPr>
            </w:pPr>
            <w:r w:rsidRPr="00DF233E">
              <w:rPr>
                <w:rFonts w:cs="Times New Roman"/>
                <w:color w:val="000000"/>
                <w:sz w:val="18"/>
                <w:szCs w:val="18"/>
              </w:rPr>
              <w:t>-338</w:t>
            </w:r>
          </w:p>
        </w:tc>
        <w:tc>
          <w:tcPr>
            <w:tcW w:w="709" w:type="dxa"/>
            <w:tcBorders>
              <w:top w:val="nil"/>
              <w:left w:val="nil"/>
              <w:bottom w:val="nil"/>
              <w:right w:val="nil"/>
            </w:tcBorders>
            <w:shd w:val="clear" w:color="auto" w:fill="auto"/>
            <w:vAlign w:val="center"/>
          </w:tcPr>
          <w:p w14:paraId="1A1ED05C" w14:textId="77777777" w:rsidR="00BD53AF" w:rsidRPr="00DF233E" w:rsidRDefault="00BD53AF" w:rsidP="00387AE5">
            <w:pPr>
              <w:jc w:val="center"/>
              <w:rPr>
                <w:rFonts w:cs="Times New Roman"/>
                <w:color w:val="000000"/>
                <w:sz w:val="18"/>
                <w:szCs w:val="18"/>
              </w:rPr>
            </w:pPr>
            <w:r>
              <w:rPr>
                <w:rFonts w:cs="Times New Roman"/>
                <w:color w:val="000000"/>
                <w:sz w:val="18"/>
                <w:szCs w:val="18"/>
              </w:rPr>
              <w:t>-0,31</w:t>
            </w:r>
          </w:p>
        </w:tc>
        <w:tc>
          <w:tcPr>
            <w:tcW w:w="658" w:type="dxa"/>
            <w:tcBorders>
              <w:top w:val="nil"/>
              <w:left w:val="nil"/>
              <w:bottom w:val="nil"/>
              <w:right w:val="nil"/>
            </w:tcBorders>
            <w:shd w:val="clear" w:color="auto" w:fill="auto"/>
            <w:vAlign w:val="center"/>
          </w:tcPr>
          <w:p w14:paraId="2B2C2B78" w14:textId="77777777" w:rsidR="00BD53AF" w:rsidRPr="00DF233E" w:rsidRDefault="00BD53AF" w:rsidP="00387AE5">
            <w:pPr>
              <w:jc w:val="center"/>
              <w:rPr>
                <w:rFonts w:cs="Times New Roman"/>
                <w:color w:val="000000"/>
                <w:sz w:val="18"/>
                <w:szCs w:val="18"/>
              </w:rPr>
            </w:pPr>
            <w:r w:rsidRPr="00DF233E">
              <w:rPr>
                <w:rFonts w:cs="Times New Roman"/>
                <w:color w:val="000000"/>
                <w:sz w:val="18"/>
                <w:szCs w:val="18"/>
              </w:rPr>
              <w:t>-338</w:t>
            </w:r>
          </w:p>
        </w:tc>
        <w:tc>
          <w:tcPr>
            <w:tcW w:w="759" w:type="dxa"/>
            <w:tcBorders>
              <w:top w:val="nil"/>
              <w:left w:val="nil"/>
              <w:bottom w:val="nil"/>
              <w:right w:val="nil"/>
            </w:tcBorders>
            <w:shd w:val="clear" w:color="auto" w:fill="auto"/>
            <w:vAlign w:val="center"/>
          </w:tcPr>
          <w:p w14:paraId="588C7076" w14:textId="77777777" w:rsidR="00BD53AF" w:rsidRPr="00DF233E" w:rsidRDefault="00BD53AF" w:rsidP="00387AE5">
            <w:pPr>
              <w:jc w:val="center"/>
              <w:rPr>
                <w:rFonts w:cs="Times New Roman"/>
                <w:color w:val="000000"/>
                <w:sz w:val="18"/>
                <w:szCs w:val="18"/>
              </w:rPr>
            </w:pPr>
            <w:r>
              <w:rPr>
                <w:rFonts w:cs="Times New Roman"/>
                <w:color w:val="000000"/>
                <w:sz w:val="18"/>
                <w:szCs w:val="18"/>
              </w:rPr>
              <w:t>-0,3</w:t>
            </w:r>
          </w:p>
        </w:tc>
      </w:tr>
      <w:tr w:rsidR="00BD53AF" w:rsidRPr="00C735D9" w14:paraId="6673EA1E" w14:textId="77777777" w:rsidTr="003C66E6">
        <w:trPr>
          <w:trHeight w:val="258"/>
        </w:trPr>
        <w:tc>
          <w:tcPr>
            <w:tcW w:w="3261" w:type="dxa"/>
            <w:tcBorders>
              <w:top w:val="nil"/>
              <w:left w:val="nil"/>
              <w:bottom w:val="nil"/>
              <w:right w:val="nil"/>
            </w:tcBorders>
            <w:shd w:val="clear" w:color="auto" w:fill="auto"/>
            <w:vAlign w:val="center"/>
            <w:hideMark/>
          </w:tcPr>
          <w:p w14:paraId="434EFED2" w14:textId="77777777" w:rsidR="00BD53AF" w:rsidRPr="00DF233E" w:rsidRDefault="00BD53AF" w:rsidP="00387AE5">
            <w:pPr>
              <w:rPr>
                <w:rFonts w:cs="Times New Roman"/>
                <w:b/>
                <w:bCs/>
                <w:color w:val="000000"/>
                <w:sz w:val="18"/>
                <w:szCs w:val="18"/>
              </w:rPr>
            </w:pPr>
            <w:r>
              <w:rPr>
                <w:rFonts w:cs="Times New Roman"/>
                <w:b/>
                <w:bCs/>
                <w:color w:val="000000"/>
                <w:sz w:val="18"/>
                <w:szCs w:val="18"/>
              </w:rPr>
              <w:t>6.Medzispotreba</w:t>
            </w:r>
          </w:p>
        </w:tc>
        <w:tc>
          <w:tcPr>
            <w:tcW w:w="708" w:type="dxa"/>
            <w:tcBorders>
              <w:top w:val="nil"/>
              <w:left w:val="nil"/>
              <w:bottom w:val="nil"/>
              <w:right w:val="nil"/>
            </w:tcBorders>
            <w:shd w:val="clear" w:color="auto" w:fill="auto"/>
            <w:vAlign w:val="center"/>
            <w:hideMark/>
          </w:tcPr>
          <w:p w14:paraId="48929F05" w14:textId="77777777" w:rsidR="00BD53AF" w:rsidRPr="00EE43EC" w:rsidRDefault="00BD53AF" w:rsidP="00387AE5">
            <w:pPr>
              <w:jc w:val="center"/>
              <w:rPr>
                <w:rFonts w:cs="Times New Roman"/>
                <w:bCs/>
                <w:color w:val="000000"/>
                <w:sz w:val="18"/>
                <w:szCs w:val="18"/>
              </w:rPr>
            </w:pPr>
            <w:r w:rsidRPr="00EE43EC">
              <w:rPr>
                <w:rFonts w:cs="Times New Roman"/>
                <w:bCs/>
                <w:color w:val="000000"/>
                <w:sz w:val="18"/>
                <w:szCs w:val="18"/>
              </w:rPr>
              <w:t>S.13</w:t>
            </w:r>
          </w:p>
        </w:tc>
        <w:tc>
          <w:tcPr>
            <w:tcW w:w="993" w:type="dxa"/>
            <w:tcBorders>
              <w:top w:val="nil"/>
              <w:left w:val="nil"/>
              <w:bottom w:val="nil"/>
              <w:right w:val="nil"/>
            </w:tcBorders>
            <w:shd w:val="clear" w:color="auto" w:fill="auto"/>
            <w:vAlign w:val="center"/>
            <w:hideMark/>
          </w:tcPr>
          <w:p w14:paraId="3BEB6FC3" w14:textId="77777777" w:rsidR="00BD53AF" w:rsidRPr="00DF233E" w:rsidRDefault="00BD53AF" w:rsidP="00387AE5">
            <w:pPr>
              <w:jc w:val="center"/>
              <w:rPr>
                <w:rFonts w:cs="Times New Roman"/>
                <w:color w:val="000000"/>
                <w:sz w:val="18"/>
                <w:szCs w:val="18"/>
              </w:rPr>
            </w:pPr>
            <w:r w:rsidRPr="00DF233E">
              <w:rPr>
                <w:rFonts w:cs="Times New Roman"/>
                <w:color w:val="000000"/>
                <w:sz w:val="18"/>
                <w:szCs w:val="18"/>
              </w:rPr>
              <w:t>P.2</w:t>
            </w:r>
          </w:p>
        </w:tc>
        <w:tc>
          <w:tcPr>
            <w:tcW w:w="708" w:type="dxa"/>
            <w:tcBorders>
              <w:top w:val="nil"/>
              <w:left w:val="nil"/>
              <w:bottom w:val="nil"/>
              <w:right w:val="nil"/>
            </w:tcBorders>
            <w:shd w:val="clear" w:color="auto" w:fill="auto"/>
            <w:vAlign w:val="center"/>
            <w:hideMark/>
          </w:tcPr>
          <w:p w14:paraId="522B69B9" w14:textId="77777777" w:rsidR="00BD53AF" w:rsidRPr="0067498B" w:rsidRDefault="00BD53AF" w:rsidP="00387AE5">
            <w:pPr>
              <w:jc w:val="center"/>
              <w:rPr>
                <w:rFonts w:cs="Times New Roman"/>
                <w:color w:val="000000"/>
                <w:sz w:val="18"/>
                <w:szCs w:val="18"/>
                <w:highlight w:val="yellow"/>
              </w:rPr>
            </w:pPr>
            <w:r w:rsidRPr="00F87BFA">
              <w:rPr>
                <w:rFonts w:cs="Times New Roman"/>
                <w:color w:val="000000"/>
                <w:sz w:val="18"/>
                <w:szCs w:val="18"/>
              </w:rPr>
              <w:t>62</w:t>
            </w:r>
          </w:p>
        </w:tc>
        <w:tc>
          <w:tcPr>
            <w:tcW w:w="709" w:type="dxa"/>
            <w:tcBorders>
              <w:top w:val="nil"/>
              <w:left w:val="nil"/>
              <w:bottom w:val="nil"/>
              <w:right w:val="nil"/>
            </w:tcBorders>
            <w:shd w:val="clear" w:color="auto" w:fill="auto"/>
            <w:vAlign w:val="center"/>
          </w:tcPr>
          <w:p w14:paraId="6683CEE6" w14:textId="77777777" w:rsidR="00BD53AF" w:rsidRPr="00F87BFA" w:rsidRDefault="00BD53AF" w:rsidP="00387AE5">
            <w:pPr>
              <w:jc w:val="center"/>
              <w:rPr>
                <w:rFonts w:cs="Times New Roman"/>
                <w:color w:val="000000"/>
                <w:sz w:val="18"/>
                <w:szCs w:val="18"/>
              </w:rPr>
            </w:pPr>
            <w:r w:rsidRPr="00F87BFA">
              <w:rPr>
                <w:rFonts w:cs="Times New Roman"/>
                <w:color w:val="000000"/>
                <w:sz w:val="18"/>
                <w:szCs w:val="18"/>
              </w:rPr>
              <w:t>0,06</w:t>
            </w:r>
          </w:p>
        </w:tc>
        <w:tc>
          <w:tcPr>
            <w:tcW w:w="709" w:type="dxa"/>
            <w:tcBorders>
              <w:top w:val="nil"/>
              <w:left w:val="nil"/>
              <w:bottom w:val="nil"/>
              <w:right w:val="nil"/>
            </w:tcBorders>
            <w:shd w:val="clear" w:color="auto" w:fill="auto"/>
            <w:vAlign w:val="center"/>
          </w:tcPr>
          <w:p w14:paraId="69A52E96" w14:textId="77777777" w:rsidR="00BD53AF" w:rsidRPr="00F87BFA" w:rsidRDefault="00BD53AF" w:rsidP="00387AE5">
            <w:pPr>
              <w:jc w:val="center"/>
              <w:rPr>
                <w:rFonts w:cs="Times New Roman"/>
                <w:color w:val="000000"/>
                <w:sz w:val="18"/>
                <w:szCs w:val="18"/>
              </w:rPr>
            </w:pPr>
            <w:r>
              <w:rPr>
                <w:rFonts w:cs="Times New Roman"/>
                <w:color w:val="000000"/>
                <w:sz w:val="18"/>
                <w:szCs w:val="18"/>
              </w:rPr>
              <w:t>-161</w:t>
            </w:r>
          </w:p>
        </w:tc>
        <w:tc>
          <w:tcPr>
            <w:tcW w:w="709" w:type="dxa"/>
            <w:tcBorders>
              <w:top w:val="nil"/>
              <w:left w:val="nil"/>
              <w:bottom w:val="nil"/>
              <w:right w:val="nil"/>
            </w:tcBorders>
            <w:shd w:val="clear" w:color="auto" w:fill="auto"/>
            <w:vAlign w:val="center"/>
          </w:tcPr>
          <w:p w14:paraId="00F912F4" w14:textId="77777777" w:rsidR="00BD53AF" w:rsidRPr="00F87BFA" w:rsidRDefault="00BD53AF" w:rsidP="00387AE5">
            <w:pPr>
              <w:jc w:val="center"/>
              <w:rPr>
                <w:rFonts w:cs="Times New Roman"/>
                <w:color w:val="000000"/>
                <w:sz w:val="18"/>
                <w:szCs w:val="18"/>
              </w:rPr>
            </w:pPr>
            <w:r>
              <w:rPr>
                <w:rFonts w:cs="Times New Roman"/>
                <w:color w:val="000000"/>
                <w:sz w:val="18"/>
                <w:szCs w:val="18"/>
              </w:rPr>
              <w:t>-0,15</w:t>
            </w:r>
          </w:p>
        </w:tc>
        <w:tc>
          <w:tcPr>
            <w:tcW w:w="658" w:type="dxa"/>
            <w:tcBorders>
              <w:top w:val="nil"/>
              <w:left w:val="nil"/>
              <w:bottom w:val="nil"/>
              <w:right w:val="nil"/>
            </w:tcBorders>
            <w:shd w:val="clear" w:color="auto" w:fill="auto"/>
            <w:vAlign w:val="center"/>
          </w:tcPr>
          <w:p w14:paraId="6E58C1AD" w14:textId="77777777" w:rsidR="00BD53AF" w:rsidRPr="00F87BFA" w:rsidRDefault="00BD53AF" w:rsidP="00387AE5">
            <w:pPr>
              <w:jc w:val="center"/>
              <w:rPr>
                <w:rFonts w:cs="Times New Roman"/>
                <w:color w:val="000000"/>
                <w:sz w:val="18"/>
                <w:szCs w:val="18"/>
              </w:rPr>
            </w:pPr>
            <w:r>
              <w:rPr>
                <w:rFonts w:cs="Times New Roman"/>
                <w:color w:val="000000"/>
                <w:sz w:val="18"/>
                <w:szCs w:val="18"/>
              </w:rPr>
              <w:t>-95</w:t>
            </w:r>
          </w:p>
        </w:tc>
        <w:tc>
          <w:tcPr>
            <w:tcW w:w="759" w:type="dxa"/>
            <w:tcBorders>
              <w:top w:val="nil"/>
              <w:left w:val="nil"/>
              <w:bottom w:val="nil"/>
              <w:right w:val="nil"/>
            </w:tcBorders>
            <w:shd w:val="clear" w:color="auto" w:fill="auto"/>
            <w:vAlign w:val="center"/>
          </w:tcPr>
          <w:p w14:paraId="5E0AFC0A"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r>
      <w:tr w:rsidR="00BD53AF" w:rsidRPr="00C735D9" w14:paraId="6AAC15D3" w14:textId="77777777" w:rsidTr="003C66E6">
        <w:trPr>
          <w:trHeight w:val="258"/>
        </w:trPr>
        <w:tc>
          <w:tcPr>
            <w:tcW w:w="3261" w:type="dxa"/>
            <w:tcBorders>
              <w:top w:val="single" w:sz="4" w:space="0" w:color="auto"/>
              <w:left w:val="nil"/>
              <w:bottom w:val="single" w:sz="4" w:space="0" w:color="auto"/>
              <w:right w:val="nil"/>
            </w:tcBorders>
            <w:shd w:val="clear" w:color="auto" w:fill="auto"/>
            <w:vAlign w:val="center"/>
            <w:hideMark/>
          </w:tcPr>
          <w:p w14:paraId="07E95C9D" w14:textId="77777777" w:rsidR="00BD53AF" w:rsidRPr="00F87BFA" w:rsidRDefault="00BD53AF" w:rsidP="00387AE5">
            <w:pPr>
              <w:rPr>
                <w:rFonts w:cs="Times New Roman"/>
                <w:b/>
                <w:bCs/>
                <w:color w:val="000000"/>
                <w:sz w:val="18"/>
                <w:szCs w:val="18"/>
              </w:rPr>
            </w:pPr>
            <w:r w:rsidRPr="00F87BFA">
              <w:rPr>
                <w:rFonts w:cs="Times New Roman"/>
                <w:b/>
                <w:bCs/>
                <w:color w:val="000000"/>
                <w:sz w:val="18"/>
                <w:szCs w:val="18"/>
              </w:rPr>
              <w:t>7.Subvencie</w:t>
            </w:r>
          </w:p>
        </w:tc>
        <w:tc>
          <w:tcPr>
            <w:tcW w:w="708" w:type="dxa"/>
            <w:tcBorders>
              <w:top w:val="single" w:sz="4" w:space="0" w:color="auto"/>
              <w:left w:val="nil"/>
              <w:bottom w:val="single" w:sz="4" w:space="0" w:color="auto"/>
              <w:right w:val="nil"/>
            </w:tcBorders>
            <w:shd w:val="clear" w:color="auto" w:fill="auto"/>
            <w:vAlign w:val="center"/>
            <w:hideMark/>
          </w:tcPr>
          <w:p w14:paraId="1E92B31A" w14:textId="77777777" w:rsidR="00BD53AF" w:rsidRPr="0036790F" w:rsidRDefault="00BD53AF" w:rsidP="00387AE5">
            <w:pPr>
              <w:jc w:val="center"/>
              <w:rPr>
                <w:rFonts w:cs="Times New Roman"/>
                <w:color w:val="000000"/>
                <w:sz w:val="18"/>
                <w:szCs w:val="18"/>
              </w:rPr>
            </w:pPr>
            <w:r w:rsidRPr="0036790F">
              <w:rPr>
                <w:rFonts w:cs="Times New Roman"/>
                <w:color w:val="000000"/>
                <w:sz w:val="18"/>
                <w:szCs w:val="18"/>
              </w:rPr>
              <w:t>S.13</w:t>
            </w:r>
          </w:p>
        </w:tc>
        <w:tc>
          <w:tcPr>
            <w:tcW w:w="993" w:type="dxa"/>
            <w:tcBorders>
              <w:top w:val="single" w:sz="4" w:space="0" w:color="auto"/>
              <w:left w:val="nil"/>
              <w:bottom w:val="single" w:sz="4" w:space="0" w:color="auto"/>
              <w:right w:val="nil"/>
            </w:tcBorders>
            <w:shd w:val="clear" w:color="auto" w:fill="auto"/>
            <w:vAlign w:val="center"/>
            <w:hideMark/>
          </w:tcPr>
          <w:p w14:paraId="7CEDAB88" w14:textId="77777777" w:rsidR="00BD53AF" w:rsidRPr="00F87BFA" w:rsidRDefault="00BD53AF" w:rsidP="00387AE5">
            <w:pPr>
              <w:jc w:val="center"/>
              <w:rPr>
                <w:rFonts w:cs="Times New Roman"/>
                <w:color w:val="000000"/>
                <w:sz w:val="18"/>
                <w:szCs w:val="18"/>
              </w:rPr>
            </w:pPr>
            <w:r w:rsidRPr="00F87BFA">
              <w:rPr>
                <w:rFonts w:cs="Times New Roman"/>
                <w:color w:val="000000"/>
                <w:sz w:val="18"/>
                <w:szCs w:val="18"/>
              </w:rPr>
              <w:t>D.3p</w:t>
            </w:r>
          </w:p>
        </w:tc>
        <w:tc>
          <w:tcPr>
            <w:tcW w:w="708" w:type="dxa"/>
            <w:tcBorders>
              <w:top w:val="single" w:sz="4" w:space="0" w:color="auto"/>
              <w:left w:val="nil"/>
              <w:bottom w:val="single" w:sz="4" w:space="0" w:color="auto"/>
              <w:right w:val="nil"/>
            </w:tcBorders>
            <w:shd w:val="clear" w:color="auto" w:fill="auto"/>
            <w:vAlign w:val="center"/>
          </w:tcPr>
          <w:p w14:paraId="44DA7E5C" w14:textId="77777777" w:rsidR="00BD53AF" w:rsidRPr="00F87BFA" w:rsidRDefault="00BD53AF" w:rsidP="00387AE5">
            <w:pPr>
              <w:jc w:val="center"/>
              <w:rPr>
                <w:rFonts w:cs="Times New Roman"/>
                <w:color w:val="000000"/>
                <w:sz w:val="18"/>
                <w:szCs w:val="18"/>
              </w:rPr>
            </w:pPr>
            <w:r>
              <w:rPr>
                <w:rFonts w:cs="Times New Roman"/>
                <w:color w:val="000000"/>
                <w:sz w:val="18"/>
                <w:szCs w:val="18"/>
              </w:rPr>
              <w:t>4</w:t>
            </w:r>
          </w:p>
        </w:tc>
        <w:tc>
          <w:tcPr>
            <w:tcW w:w="709" w:type="dxa"/>
            <w:tcBorders>
              <w:top w:val="single" w:sz="4" w:space="0" w:color="auto"/>
              <w:left w:val="nil"/>
              <w:bottom w:val="single" w:sz="4" w:space="0" w:color="auto"/>
              <w:right w:val="nil"/>
            </w:tcBorders>
            <w:shd w:val="clear" w:color="auto" w:fill="auto"/>
            <w:vAlign w:val="center"/>
          </w:tcPr>
          <w:p w14:paraId="0D2E764D" w14:textId="77777777" w:rsidR="00BD53AF" w:rsidRPr="00F87BFA" w:rsidRDefault="00BD53AF" w:rsidP="00387AE5">
            <w:pPr>
              <w:jc w:val="center"/>
              <w:rPr>
                <w:rFonts w:cs="Times New Roman"/>
                <w:color w:val="000000"/>
                <w:sz w:val="18"/>
                <w:szCs w:val="18"/>
              </w:rPr>
            </w:pPr>
            <w:r>
              <w:rPr>
                <w:rFonts w:cs="Times New Roman"/>
                <w:color w:val="000000"/>
                <w:sz w:val="18"/>
                <w:szCs w:val="18"/>
              </w:rPr>
              <w:t>0,0</w:t>
            </w:r>
          </w:p>
        </w:tc>
        <w:tc>
          <w:tcPr>
            <w:tcW w:w="709" w:type="dxa"/>
            <w:tcBorders>
              <w:top w:val="single" w:sz="4" w:space="0" w:color="auto"/>
              <w:left w:val="nil"/>
              <w:bottom w:val="single" w:sz="4" w:space="0" w:color="auto"/>
              <w:right w:val="nil"/>
            </w:tcBorders>
            <w:shd w:val="clear" w:color="auto" w:fill="auto"/>
            <w:vAlign w:val="center"/>
          </w:tcPr>
          <w:p w14:paraId="4A7D2A82" w14:textId="77777777" w:rsidR="00BD53AF" w:rsidRPr="00F87BFA" w:rsidRDefault="00BD53AF" w:rsidP="00387AE5">
            <w:pPr>
              <w:jc w:val="center"/>
              <w:rPr>
                <w:rFonts w:cs="Times New Roman"/>
                <w:color w:val="000000"/>
                <w:sz w:val="18"/>
                <w:szCs w:val="18"/>
              </w:rPr>
            </w:pPr>
            <w:r>
              <w:rPr>
                <w:rFonts w:cs="Times New Roman"/>
                <w:color w:val="000000"/>
                <w:sz w:val="18"/>
                <w:szCs w:val="18"/>
              </w:rPr>
              <w:t>8</w:t>
            </w:r>
          </w:p>
        </w:tc>
        <w:tc>
          <w:tcPr>
            <w:tcW w:w="709" w:type="dxa"/>
            <w:tcBorders>
              <w:top w:val="single" w:sz="4" w:space="0" w:color="auto"/>
              <w:left w:val="nil"/>
              <w:bottom w:val="single" w:sz="4" w:space="0" w:color="auto"/>
              <w:right w:val="nil"/>
            </w:tcBorders>
            <w:shd w:val="clear" w:color="auto" w:fill="auto"/>
            <w:vAlign w:val="center"/>
          </w:tcPr>
          <w:p w14:paraId="3ED4A275" w14:textId="77777777" w:rsidR="00BD53AF" w:rsidRPr="00F87BFA" w:rsidRDefault="00BD53AF" w:rsidP="00387AE5">
            <w:pPr>
              <w:jc w:val="center"/>
              <w:rPr>
                <w:rFonts w:cs="Times New Roman"/>
                <w:color w:val="000000"/>
                <w:sz w:val="18"/>
                <w:szCs w:val="18"/>
              </w:rPr>
            </w:pPr>
            <w:r>
              <w:rPr>
                <w:rFonts w:cs="Times New Roman"/>
                <w:color w:val="000000"/>
                <w:sz w:val="18"/>
                <w:szCs w:val="18"/>
              </w:rPr>
              <w:t>0,01</w:t>
            </w:r>
          </w:p>
        </w:tc>
        <w:tc>
          <w:tcPr>
            <w:tcW w:w="658" w:type="dxa"/>
            <w:tcBorders>
              <w:top w:val="single" w:sz="4" w:space="0" w:color="auto"/>
              <w:left w:val="nil"/>
              <w:bottom w:val="single" w:sz="4" w:space="0" w:color="auto"/>
              <w:right w:val="nil"/>
            </w:tcBorders>
            <w:shd w:val="clear" w:color="auto" w:fill="auto"/>
            <w:vAlign w:val="center"/>
          </w:tcPr>
          <w:p w14:paraId="7E692530" w14:textId="77777777" w:rsidR="00BD53AF" w:rsidRPr="00F87BFA" w:rsidRDefault="00BD53AF" w:rsidP="00387AE5">
            <w:pPr>
              <w:jc w:val="center"/>
              <w:rPr>
                <w:rFonts w:cs="Times New Roman"/>
                <w:color w:val="000000"/>
                <w:sz w:val="18"/>
                <w:szCs w:val="18"/>
              </w:rPr>
            </w:pPr>
            <w:r>
              <w:rPr>
                <w:rFonts w:cs="Times New Roman"/>
                <w:color w:val="000000"/>
                <w:sz w:val="18"/>
                <w:szCs w:val="18"/>
              </w:rPr>
              <w:t>13</w:t>
            </w:r>
          </w:p>
        </w:tc>
        <w:tc>
          <w:tcPr>
            <w:tcW w:w="759" w:type="dxa"/>
            <w:tcBorders>
              <w:top w:val="single" w:sz="4" w:space="0" w:color="auto"/>
              <w:left w:val="nil"/>
              <w:bottom w:val="single" w:sz="4" w:space="0" w:color="auto"/>
              <w:right w:val="nil"/>
            </w:tcBorders>
            <w:shd w:val="clear" w:color="auto" w:fill="auto"/>
            <w:vAlign w:val="center"/>
          </w:tcPr>
          <w:p w14:paraId="22C4959B" w14:textId="77777777" w:rsidR="00BD53AF" w:rsidRPr="00F87BFA" w:rsidRDefault="00BD53AF" w:rsidP="00387AE5">
            <w:pPr>
              <w:jc w:val="center"/>
              <w:rPr>
                <w:rFonts w:cs="Times New Roman"/>
                <w:color w:val="000000"/>
                <w:sz w:val="18"/>
                <w:szCs w:val="18"/>
              </w:rPr>
            </w:pPr>
            <w:r>
              <w:rPr>
                <w:rFonts w:cs="Times New Roman"/>
                <w:color w:val="000000"/>
                <w:sz w:val="18"/>
                <w:szCs w:val="18"/>
              </w:rPr>
              <w:t>0,01</w:t>
            </w:r>
          </w:p>
        </w:tc>
      </w:tr>
      <w:tr w:rsidR="00BD53AF" w:rsidRPr="00C735D9" w14:paraId="26FDA8A3" w14:textId="77777777" w:rsidTr="003C66E6">
        <w:trPr>
          <w:trHeight w:val="258"/>
        </w:trPr>
        <w:tc>
          <w:tcPr>
            <w:tcW w:w="3261" w:type="dxa"/>
            <w:tcBorders>
              <w:top w:val="nil"/>
              <w:left w:val="nil"/>
              <w:bottom w:val="nil"/>
              <w:right w:val="nil"/>
            </w:tcBorders>
            <w:shd w:val="clear" w:color="auto" w:fill="auto"/>
            <w:vAlign w:val="center"/>
            <w:hideMark/>
          </w:tcPr>
          <w:p w14:paraId="66CE3A88" w14:textId="2D755A92" w:rsidR="00BD53AF" w:rsidRPr="00F87BFA" w:rsidRDefault="00BD53AF" w:rsidP="00387AE5">
            <w:pPr>
              <w:rPr>
                <w:rFonts w:cs="Times New Roman"/>
                <w:b/>
                <w:bCs/>
                <w:color w:val="000000"/>
                <w:sz w:val="18"/>
                <w:szCs w:val="18"/>
              </w:rPr>
            </w:pPr>
            <w:r w:rsidRPr="00F87BFA">
              <w:rPr>
                <w:rFonts w:cs="Times New Roman"/>
                <w:b/>
                <w:bCs/>
                <w:color w:val="000000"/>
                <w:sz w:val="18"/>
                <w:szCs w:val="18"/>
              </w:rPr>
              <w:t>8.Sociálne transfery, z</w:t>
            </w:r>
            <w:r w:rsidR="008D0AC1">
              <w:rPr>
                <w:rFonts w:cs="Times New Roman"/>
                <w:b/>
                <w:bCs/>
                <w:color w:val="000000"/>
                <w:sz w:val="18"/>
                <w:szCs w:val="18"/>
              </w:rPr>
              <w:t> </w:t>
            </w:r>
            <w:r w:rsidRPr="00F87BFA">
              <w:rPr>
                <w:rFonts w:cs="Times New Roman"/>
                <w:b/>
                <w:bCs/>
                <w:color w:val="000000"/>
                <w:sz w:val="18"/>
                <w:szCs w:val="18"/>
              </w:rPr>
              <w:t>toho</w:t>
            </w:r>
          </w:p>
        </w:tc>
        <w:tc>
          <w:tcPr>
            <w:tcW w:w="708" w:type="dxa"/>
            <w:tcBorders>
              <w:top w:val="nil"/>
              <w:left w:val="nil"/>
              <w:bottom w:val="nil"/>
              <w:right w:val="nil"/>
            </w:tcBorders>
            <w:shd w:val="clear" w:color="auto" w:fill="auto"/>
            <w:vAlign w:val="center"/>
            <w:hideMark/>
          </w:tcPr>
          <w:p w14:paraId="10A86F6A" w14:textId="77777777" w:rsidR="00BD53AF" w:rsidRPr="00EE43EC" w:rsidRDefault="00BD53AF" w:rsidP="00387AE5">
            <w:pPr>
              <w:jc w:val="center"/>
              <w:rPr>
                <w:rFonts w:cs="Times New Roman"/>
                <w:bCs/>
                <w:color w:val="000000"/>
                <w:sz w:val="18"/>
                <w:szCs w:val="18"/>
              </w:rPr>
            </w:pPr>
            <w:r w:rsidRPr="00EE43EC">
              <w:rPr>
                <w:rFonts w:cs="Times New Roman"/>
                <w:bCs/>
                <w:color w:val="000000"/>
                <w:sz w:val="18"/>
                <w:szCs w:val="18"/>
              </w:rPr>
              <w:t>S.13</w:t>
            </w:r>
          </w:p>
        </w:tc>
        <w:tc>
          <w:tcPr>
            <w:tcW w:w="993" w:type="dxa"/>
            <w:tcBorders>
              <w:top w:val="nil"/>
              <w:left w:val="nil"/>
              <w:bottom w:val="nil"/>
              <w:right w:val="nil"/>
            </w:tcBorders>
            <w:shd w:val="clear" w:color="auto" w:fill="auto"/>
            <w:vAlign w:val="center"/>
            <w:hideMark/>
          </w:tcPr>
          <w:p w14:paraId="28C70096" w14:textId="77777777" w:rsidR="00BD53AF" w:rsidRPr="00F87BFA" w:rsidRDefault="00BD53AF" w:rsidP="00387AE5">
            <w:pPr>
              <w:jc w:val="center"/>
              <w:rPr>
                <w:rFonts w:cs="Times New Roman"/>
                <w:color w:val="000000"/>
                <w:sz w:val="18"/>
                <w:szCs w:val="18"/>
              </w:rPr>
            </w:pPr>
            <w:r w:rsidRPr="00F87BFA">
              <w:rPr>
                <w:rFonts w:cs="Times New Roman"/>
                <w:color w:val="000000"/>
                <w:sz w:val="18"/>
                <w:szCs w:val="18"/>
              </w:rPr>
              <w:t>D.6P</w:t>
            </w:r>
          </w:p>
        </w:tc>
        <w:tc>
          <w:tcPr>
            <w:tcW w:w="708" w:type="dxa"/>
            <w:tcBorders>
              <w:top w:val="nil"/>
              <w:left w:val="nil"/>
              <w:bottom w:val="nil"/>
              <w:right w:val="nil"/>
            </w:tcBorders>
            <w:shd w:val="clear" w:color="auto" w:fill="auto"/>
            <w:vAlign w:val="center"/>
          </w:tcPr>
          <w:p w14:paraId="756E547A" w14:textId="77777777" w:rsidR="00BD53AF" w:rsidRPr="00F87BFA" w:rsidRDefault="00BD53AF" w:rsidP="00387AE5">
            <w:pPr>
              <w:jc w:val="center"/>
              <w:rPr>
                <w:rFonts w:cs="Times New Roman"/>
                <w:color w:val="000000"/>
                <w:sz w:val="18"/>
                <w:szCs w:val="18"/>
              </w:rPr>
            </w:pPr>
            <w:r>
              <w:rPr>
                <w:rFonts w:cs="Times New Roman"/>
                <w:color w:val="000000"/>
                <w:sz w:val="18"/>
                <w:szCs w:val="18"/>
              </w:rPr>
              <w:t>-90</w:t>
            </w:r>
          </w:p>
        </w:tc>
        <w:tc>
          <w:tcPr>
            <w:tcW w:w="709" w:type="dxa"/>
            <w:tcBorders>
              <w:top w:val="nil"/>
              <w:left w:val="nil"/>
              <w:bottom w:val="nil"/>
              <w:right w:val="nil"/>
            </w:tcBorders>
            <w:shd w:val="clear" w:color="auto" w:fill="auto"/>
            <w:vAlign w:val="center"/>
          </w:tcPr>
          <w:p w14:paraId="24ABD24B"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c>
          <w:tcPr>
            <w:tcW w:w="709" w:type="dxa"/>
            <w:tcBorders>
              <w:top w:val="nil"/>
              <w:left w:val="nil"/>
              <w:bottom w:val="nil"/>
              <w:right w:val="nil"/>
            </w:tcBorders>
            <w:shd w:val="clear" w:color="auto" w:fill="auto"/>
            <w:vAlign w:val="center"/>
          </w:tcPr>
          <w:p w14:paraId="6EAF5864" w14:textId="77777777" w:rsidR="00BD53AF" w:rsidRPr="00F87BFA" w:rsidRDefault="00BD53AF" w:rsidP="00387AE5">
            <w:pPr>
              <w:jc w:val="center"/>
              <w:rPr>
                <w:rFonts w:cs="Times New Roman"/>
                <w:color w:val="000000"/>
                <w:sz w:val="18"/>
                <w:szCs w:val="18"/>
              </w:rPr>
            </w:pPr>
            <w:r>
              <w:rPr>
                <w:rFonts w:cs="Times New Roman"/>
                <w:color w:val="000000"/>
                <w:sz w:val="18"/>
                <w:szCs w:val="18"/>
              </w:rPr>
              <w:t>-90</w:t>
            </w:r>
          </w:p>
        </w:tc>
        <w:tc>
          <w:tcPr>
            <w:tcW w:w="709" w:type="dxa"/>
            <w:tcBorders>
              <w:top w:val="nil"/>
              <w:left w:val="nil"/>
              <w:bottom w:val="nil"/>
              <w:right w:val="nil"/>
            </w:tcBorders>
            <w:shd w:val="clear" w:color="auto" w:fill="auto"/>
            <w:vAlign w:val="center"/>
          </w:tcPr>
          <w:p w14:paraId="57DEE9AA"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c>
          <w:tcPr>
            <w:tcW w:w="658" w:type="dxa"/>
            <w:tcBorders>
              <w:top w:val="nil"/>
              <w:left w:val="nil"/>
              <w:bottom w:val="nil"/>
              <w:right w:val="nil"/>
            </w:tcBorders>
            <w:shd w:val="clear" w:color="auto" w:fill="auto"/>
            <w:vAlign w:val="center"/>
          </w:tcPr>
          <w:p w14:paraId="1DB709FC" w14:textId="77777777" w:rsidR="00BD53AF" w:rsidRPr="00F87BFA" w:rsidRDefault="00BD53AF" w:rsidP="00387AE5">
            <w:pPr>
              <w:jc w:val="center"/>
              <w:rPr>
                <w:rFonts w:cs="Times New Roman"/>
                <w:color w:val="000000"/>
                <w:sz w:val="18"/>
                <w:szCs w:val="18"/>
              </w:rPr>
            </w:pPr>
            <w:r>
              <w:rPr>
                <w:rFonts w:cs="Times New Roman"/>
                <w:color w:val="000000"/>
                <w:sz w:val="18"/>
                <w:szCs w:val="18"/>
              </w:rPr>
              <w:t>-103</w:t>
            </w:r>
          </w:p>
        </w:tc>
        <w:tc>
          <w:tcPr>
            <w:tcW w:w="759" w:type="dxa"/>
            <w:tcBorders>
              <w:top w:val="nil"/>
              <w:left w:val="nil"/>
              <w:bottom w:val="nil"/>
              <w:right w:val="nil"/>
            </w:tcBorders>
            <w:shd w:val="clear" w:color="auto" w:fill="auto"/>
            <w:vAlign w:val="center"/>
          </w:tcPr>
          <w:p w14:paraId="1206B941"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r>
      <w:tr w:rsidR="00BD53AF" w:rsidRPr="00C735D9" w14:paraId="5E85ED99" w14:textId="77777777" w:rsidTr="003C66E6">
        <w:trPr>
          <w:trHeight w:val="258"/>
        </w:trPr>
        <w:tc>
          <w:tcPr>
            <w:tcW w:w="3261" w:type="dxa"/>
            <w:tcBorders>
              <w:top w:val="nil"/>
              <w:left w:val="nil"/>
              <w:bottom w:val="nil"/>
              <w:right w:val="nil"/>
            </w:tcBorders>
            <w:shd w:val="clear" w:color="auto" w:fill="auto"/>
            <w:noWrap/>
            <w:vAlign w:val="center"/>
            <w:hideMark/>
          </w:tcPr>
          <w:p w14:paraId="6C3B4DA1" w14:textId="77777777" w:rsidR="00BD53AF" w:rsidRPr="00F87BFA" w:rsidRDefault="00BD53AF" w:rsidP="003C66E6">
            <w:pPr>
              <w:ind w:leftChars="33" w:left="213" w:hangingChars="78" w:hanging="140"/>
              <w:rPr>
                <w:rFonts w:cs="Times New Roman"/>
                <w:sz w:val="18"/>
                <w:szCs w:val="18"/>
              </w:rPr>
            </w:pPr>
            <w:r w:rsidRPr="00F87BFA">
              <w:rPr>
                <w:rFonts w:cs="Times New Roman"/>
                <w:sz w:val="18"/>
                <w:szCs w:val="18"/>
              </w:rPr>
              <w:t>- Naturálne sociálne transfery</w:t>
            </w:r>
          </w:p>
        </w:tc>
        <w:tc>
          <w:tcPr>
            <w:tcW w:w="708" w:type="dxa"/>
            <w:tcBorders>
              <w:top w:val="nil"/>
              <w:left w:val="nil"/>
              <w:bottom w:val="nil"/>
              <w:right w:val="nil"/>
            </w:tcBorders>
            <w:shd w:val="clear" w:color="auto" w:fill="auto"/>
            <w:vAlign w:val="center"/>
            <w:hideMark/>
          </w:tcPr>
          <w:p w14:paraId="3A1E0037" w14:textId="77777777" w:rsidR="00BD53AF" w:rsidRPr="0036790F" w:rsidRDefault="00BD53AF" w:rsidP="00387AE5">
            <w:pPr>
              <w:ind w:firstLineChars="200" w:firstLine="360"/>
              <w:jc w:val="center"/>
              <w:rPr>
                <w:rFonts w:cs="Times New Roman"/>
                <w:sz w:val="18"/>
                <w:szCs w:val="18"/>
              </w:rPr>
            </w:pPr>
          </w:p>
        </w:tc>
        <w:tc>
          <w:tcPr>
            <w:tcW w:w="993" w:type="dxa"/>
            <w:tcBorders>
              <w:top w:val="nil"/>
              <w:left w:val="nil"/>
              <w:bottom w:val="nil"/>
              <w:right w:val="nil"/>
            </w:tcBorders>
            <w:shd w:val="clear" w:color="auto" w:fill="auto"/>
            <w:vAlign w:val="center"/>
            <w:hideMark/>
          </w:tcPr>
          <w:p w14:paraId="2BFB1905" w14:textId="77777777" w:rsidR="00BD53AF" w:rsidRPr="00F87BFA" w:rsidRDefault="00BD53AF" w:rsidP="00387AE5">
            <w:pPr>
              <w:jc w:val="center"/>
              <w:rPr>
                <w:rFonts w:cs="Times New Roman"/>
                <w:color w:val="000000"/>
                <w:sz w:val="18"/>
                <w:szCs w:val="18"/>
              </w:rPr>
            </w:pPr>
            <w:r w:rsidRPr="00F87BFA">
              <w:rPr>
                <w:rFonts w:cs="Times New Roman"/>
                <w:color w:val="000000"/>
                <w:sz w:val="18"/>
                <w:szCs w:val="18"/>
              </w:rPr>
              <w:t>D.632</w:t>
            </w:r>
          </w:p>
        </w:tc>
        <w:tc>
          <w:tcPr>
            <w:tcW w:w="708" w:type="dxa"/>
            <w:tcBorders>
              <w:top w:val="nil"/>
              <w:left w:val="nil"/>
              <w:bottom w:val="nil"/>
              <w:right w:val="nil"/>
            </w:tcBorders>
            <w:shd w:val="clear" w:color="auto" w:fill="auto"/>
            <w:vAlign w:val="center"/>
          </w:tcPr>
          <w:p w14:paraId="5AFBA2E4" w14:textId="77777777" w:rsidR="00BD53AF" w:rsidRPr="00F87BFA" w:rsidRDefault="00BD53AF" w:rsidP="00387AE5">
            <w:pPr>
              <w:jc w:val="center"/>
              <w:rPr>
                <w:rFonts w:cs="Times New Roman"/>
                <w:color w:val="000000"/>
                <w:sz w:val="18"/>
                <w:szCs w:val="18"/>
              </w:rPr>
            </w:pPr>
            <w:r>
              <w:rPr>
                <w:rFonts w:cs="Times New Roman"/>
                <w:color w:val="000000"/>
                <w:sz w:val="18"/>
                <w:szCs w:val="18"/>
              </w:rPr>
              <w:t>-90</w:t>
            </w:r>
          </w:p>
        </w:tc>
        <w:tc>
          <w:tcPr>
            <w:tcW w:w="709" w:type="dxa"/>
            <w:tcBorders>
              <w:top w:val="nil"/>
              <w:left w:val="nil"/>
              <w:bottom w:val="nil"/>
              <w:right w:val="nil"/>
            </w:tcBorders>
            <w:shd w:val="clear" w:color="auto" w:fill="auto"/>
            <w:vAlign w:val="center"/>
          </w:tcPr>
          <w:p w14:paraId="02A4E903"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c>
          <w:tcPr>
            <w:tcW w:w="709" w:type="dxa"/>
            <w:tcBorders>
              <w:top w:val="nil"/>
              <w:left w:val="nil"/>
              <w:bottom w:val="nil"/>
              <w:right w:val="nil"/>
            </w:tcBorders>
            <w:shd w:val="clear" w:color="auto" w:fill="auto"/>
            <w:vAlign w:val="center"/>
          </w:tcPr>
          <w:p w14:paraId="0B8BC5F3" w14:textId="77777777" w:rsidR="00BD53AF" w:rsidRPr="00F87BFA" w:rsidRDefault="00BD53AF" w:rsidP="00387AE5">
            <w:pPr>
              <w:jc w:val="center"/>
              <w:rPr>
                <w:rFonts w:cs="Times New Roman"/>
                <w:color w:val="000000"/>
                <w:sz w:val="18"/>
                <w:szCs w:val="18"/>
              </w:rPr>
            </w:pPr>
            <w:r>
              <w:rPr>
                <w:rFonts w:cs="Times New Roman"/>
                <w:color w:val="000000"/>
                <w:sz w:val="18"/>
                <w:szCs w:val="18"/>
              </w:rPr>
              <w:t>-90</w:t>
            </w:r>
          </w:p>
        </w:tc>
        <w:tc>
          <w:tcPr>
            <w:tcW w:w="709" w:type="dxa"/>
            <w:tcBorders>
              <w:top w:val="nil"/>
              <w:left w:val="nil"/>
              <w:bottom w:val="nil"/>
              <w:right w:val="nil"/>
            </w:tcBorders>
            <w:shd w:val="clear" w:color="auto" w:fill="auto"/>
            <w:vAlign w:val="center"/>
          </w:tcPr>
          <w:p w14:paraId="0C35B50E"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c>
          <w:tcPr>
            <w:tcW w:w="658" w:type="dxa"/>
            <w:tcBorders>
              <w:top w:val="nil"/>
              <w:left w:val="nil"/>
              <w:bottom w:val="nil"/>
              <w:right w:val="nil"/>
            </w:tcBorders>
            <w:shd w:val="clear" w:color="auto" w:fill="auto"/>
            <w:vAlign w:val="center"/>
          </w:tcPr>
          <w:p w14:paraId="036F7FEB" w14:textId="77777777" w:rsidR="00BD53AF" w:rsidRPr="00F87BFA" w:rsidRDefault="00BD53AF" w:rsidP="00387AE5">
            <w:pPr>
              <w:jc w:val="center"/>
              <w:rPr>
                <w:rFonts w:cs="Times New Roman"/>
                <w:color w:val="000000"/>
                <w:sz w:val="18"/>
                <w:szCs w:val="18"/>
              </w:rPr>
            </w:pPr>
            <w:r>
              <w:rPr>
                <w:rFonts w:cs="Times New Roman"/>
                <w:color w:val="000000"/>
                <w:sz w:val="18"/>
                <w:szCs w:val="18"/>
              </w:rPr>
              <w:t>-103</w:t>
            </w:r>
          </w:p>
        </w:tc>
        <w:tc>
          <w:tcPr>
            <w:tcW w:w="759" w:type="dxa"/>
            <w:tcBorders>
              <w:top w:val="nil"/>
              <w:left w:val="nil"/>
              <w:bottom w:val="nil"/>
              <w:right w:val="nil"/>
            </w:tcBorders>
            <w:shd w:val="clear" w:color="auto" w:fill="auto"/>
            <w:vAlign w:val="center"/>
          </w:tcPr>
          <w:p w14:paraId="678B1A89" w14:textId="77777777" w:rsidR="00BD53AF" w:rsidRPr="00F87BFA" w:rsidRDefault="00BD53AF" w:rsidP="00387AE5">
            <w:pPr>
              <w:jc w:val="center"/>
              <w:rPr>
                <w:rFonts w:cs="Times New Roman"/>
                <w:color w:val="000000"/>
                <w:sz w:val="18"/>
                <w:szCs w:val="18"/>
              </w:rPr>
            </w:pPr>
            <w:r>
              <w:rPr>
                <w:rFonts w:cs="Times New Roman"/>
                <w:color w:val="000000"/>
                <w:sz w:val="18"/>
                <w:szCs w:val="18"/>
              </w:rPr>
              <w:t>-0,1</w:t>
            </w:r>
          </w:p>
        </w:tc>
      </w:tr>
      <w:tr w:rsidR="00BD53AF" w:rsidRPr="00C735D9" w14:paraId="77F08741" w14:textId="77777777" w:rsidTr="003C66E6">
        <w:trPr>
          <w:trHeight w:val="258"/>
        </w:trPr>
        <w:tc>
          <w:tcPr>
            <w:tcW w:w="3261" w:type="dxa"/>
            <w:tcBorders>
              <w:top w:val="single" w:sz="4" w:space="0" w:color="auto"/>
              <w:left w:val="nil"/>
              <w:bottom w:val="single" w:sz="4" w:space="0" w:color="auto"/>
              <w:right w:val="nil"/>
            </w:tcBorders>
            <w:shd w:val="clear" w:color="auto" w:fill="auto"/>
            <w:vAlign w:val="center"/>
            <w:hideMark/>
          </w:tcPr>
          <w:p w14:paraId="52F8F074" w14:textId="77777777" w:rsidR="00BD53AF" w:rsidRPr="00F87BFA" w:rsidRDefault="00BD53AF" w:rsidP="00387AE5">
            <w:pPr>
              <w:rPr>
                <w:rFonts w:cs="Times New Roman"/>
                <w:b/>
                <w:bCs/>
                <w:color w:val="000000"/>
                <w:sz w:val="18"/>
                <w:szCs w:val="18"/>
              </w:rPr>
            </w:pPr>
            <w:r w:rsidRPr="00F87BFA">
              <w:rPr>
                <w:rFonts w:cs="Times New Roman"/>
                <w:b/>
                <w:bCs/>
                <w:color w:val="000000"/>
                <w:sz w:val="18"/>
                <w:szCs w:val="18"/>
              </w:rPr>
              <w:t>9.Ostatné bežné transfery</w:t>
            </w:r>
          </w:p>
        </w:tc>
        <w:tc>
          <w:tcPr>
            <w:tcW w:w="708" w:type="dxa"/>
            <w:tcBorders>
              <w:top w:val="single" w:sz="4" w:space="0" w:color="auto"/>
              <w:left w:val="nil"/>
              <w:bottom w:val="single" w:sz="4" w:space="0" w:color="auto"/>
              <w:right w:val="nil"/>
            </w:tcBorders>
            <w:shd w:val="clear" w:color="auto" w:fill="auto"/>
            <w:vAlign w:val="center"/>
            <w:hideMark/>
          </w:tcPr>
          <w:p w14:paraId="332D853B" w14:textId="77777777" w:rsidR="00BD53AF" w:rsidRPr="00EE43EC" w:rsidRDefault="00BD53AF" w:rsidP="00387AE5">
            <w:pPr>
              <w:jc w:val="center"/>
              <w:rPr>
                <w:rFonts w:cs="Times New Roman"/>
                <w:bCs/>
                <w:color w:val="000000"/>
                <w:sz w:val="18"/>
                <w:szCs w:val="18"/>
              </w:rPr>
            </w:pPr>
            <w:r w:rsidRPr="00EE43EC">
              <w:rPr>
                <w:rFonts w:cs="Times New Roman"/>
                <w:bCs/>
                <w:color w:val="000000"/>
                <w:sz w:val="18"/>
                <w:szCs w:val="18"/>
              </w:rPr>
              <w:t>S.13</w:t>
            </w:r>
          </w:p>
        </w:tc>
        <w:tc>
          <w:tcPr>
            <w:tcW w:w="993" w:type="dxa"/>
            <w:tcBorders>
              <w:top w:val="single" w:sz="4" w:space="0" w:color="auto"/>
              <w:left w:val="nil"/>
              <w:bottom w:val="single" w:sz="4" w:space="0" w:color="auto"/>
              <w:right w:val="nil"/>
            </w:tcBorders>
            <w:shd w:val="clear" w:color="auto" w:fill="auto"/>
            <w:vAlign w:val="center"/>
            <w:hideMark/>
          </w:tcPr>
          <w:p w14:paraId="745D0245" w14:textId="77777777" w:rsidR="00BD53AF" w:rsidRPr="00F87BFA" w:rsidRDefault="00BD53AF" w:rsidP="00387AE5">
            <w:pPr>
              <w:jc w:val="center"/>
              <w:rPr>
                <w:rFonts w:cs="Times New Roman"/>
                <w:color w:val="000000"/>
                <w:sz w:val="18"/>
                <w:szCs w:val="18"/>
              </w:rPr>
            </w:pPr>
            <w:r w:rsidRPr="00F87BFA">
              <w:rPr>
                <w:rFonts w:cs="Times New Roman"/>
                <w:color w:val="000000"/>
                <w:sz w:val="18"/>
                <w:szCs w:val="18"/>
              </w:rPr>
              <w:t>D.7P</w:t>
            </w:r>
          </w:p>
        </w:tc>
        <w:tc>
          <w:tcPr>
            <w:tcW w:w="708" w:type="dxa"/>
            <w:tcBorders>
              <w:top w:val="single" w:sz="4" w:space="0" w:color="auto"/>
              <w:left w:val="nil"/>
              <w:bottom w:val="single" w:sz="4" w:space="0" w:color="auto"/>
              <w:right w:val="nil"/>
            </w:tcBorders>
            <w:shd w:val="clear" w:color="auto" w:fill="auto"/>
            <w:vAlign w:val="center"/>
          </w:tcPr>
          <w:p w14:paraId="2F2D091A" w14:textId="77777777" w:rsidR="00BD53AF" w:rsidRPr="00F87BFA" w:rsidRDefault="00BD53AF" w:rsidP="00387AE5">
            <w:pPr>
              <w:jc w:val="center"/>
              <w:rPr>
                <w:rFonts w:cs="Times New Roman"/>
                <w:color w:val="000000"/>
                <w:sz w:val="18"/>
                <w:szCs w:val="18"/>
              </w:rPr>
            </w:pPr>
            <w:r>
              <w:rPr>
                <w:rFonts w:cs="Times New Roman"/>
                <w:color w:val="000000"/>
                <w:sz w:val="18"/>
                <w:szCs w:val="18"/>
              </w:rPr>
              <w:t>-13</w:t>
            </w:r>
          </w:p>
        </w:tc>
        <w:tc>
          <w:tcPr>
            <w:tcW w:w="709" w:type="dxa"/>
            <w:tcBorders>
              <w:top w:val="single" w:sz="4" w:space="0" w:color="auto"/>
              <w:left w:val="nil"/>
              <w:bottom w:val="single" w:sz="4" w:space="0" w:color="auto"/>
              <w:right w:val="nil"/>
            </w:tcBorders>
            <w:shd w:val="clear" w:color="auto" w:fill="auto"/>
            <w:vAlign w:val="center"/>
          </w:tcPr>
          <w:p w14:paraId="6DC303FB" w14:textId="77777777" w:rsidR="00BD53AF" w:rsidRPr="00F87BFA" w:rsidRDefault="00BD53AF" w:rsidP="00387AE5">
            <w:pPr>
              <w:jc w:val="center"/>
              <w:rPr>
                <w:rFonts w:cs="Times New Roman"/>
                <w:color w:val="000000"/>
                <w:sz w:val="18"/>
                <w:szCs w:val="18"/>
              </w:rPr>
            </w:pPr>
            <w:r>
              <w:rPr>
                <w:rFonts w:cs="Times New Roman"/>
                <w:color w:val="000000"/>
                <w:sz w:val="18"/>
                <w:szCs w:val="18"/>
              </w:rPr>
              <w:t>-0,01</w:t>
            </w:r>
          </w:p>
        </w:tc>
        <w:tc>
          <w:tcPr>
            <w:tcW w:w="709" w:type="dxa"/>
            <w:tcBorders>
              <w:top w:val="single" w:sz="4" w:space="0" w:color="auto"/>
              <w:left w:val="nil"/>
              <w:bottom w:val="single" w:sz="4" w:space="0" w:color="auto"/>
              <w:right w:val="nil"/>
            </w:tcBorders>
            <w:shd w:val="clear" w:color="auto" w:fill="auto"/>
            <w:vAlign w:val="center"/>
          </w:tcPr>
          <w:p w14:paraId="6D7CB6B5" w14:textId="77777777" w:rsidR="00BD53AF" w:rsidRPr="00F87BFA" w:rsidRDefault="00BD53AF" w:rsidP="00387AE5">
            <w:pPr>
              <w:jc w:val="center"/>
              <w:rPr>
                <w:rFonts w:cs="Times New Roman"/>
                <w:color w:val="000000"/>
                <w:sz w:val="18"/>
                <w:szCs w:val="18"/>
              </w:rPr>
            </w:pPr>
            <w:r>
              <w:rPr>
                <w:rFonts w:cs="Times New Roman"/>
                <w:color w:val="000000"/>
                <w:sz w:val="18"/>
                <w:szCs w:val="18"/>
              </w:rPr>
              <w:t>-24</w:t>
            </w:r>
          </w:p>
        </w:tc>
        <w:tc>
          <w:tcPr>
            <w:tcW w:w="709" w:type="dxa"/>
            <w:tcBorders>
              <w:top w:val="single" w:sz="4" w:space="0" w:color="auto"/>
              <w:left w:val="nil"/>
              <w:bottom w:val="single" w:sz="4" w:space="0" w:color="auto"/>
              <w:right w:val="nil"/>
            </w:tcBorders>
            <w:shd w:val="clear" w:color="auto" w:fill="auto"/>
            <w:vAlign w:val="center"/>
          </w:tcPr>
          <w:p w14:paraId="647A27C7" w14:textId="77777777" w:rsidR="00BD53AF" w:rsidRPr="00F87BFA" w:rsidRDefault="00BD53AF" w:rsidP="00387AE5">
            <w:pPr>
              <w:jc w:val="center"/>
              <w:rPr>
                <w:rFonts w:cs="Times New Roman"/>
                <w:color w:val="000000"/>
                <w:sz w:val="18"/>
                <w:szCs w:val="18"/>
              </w:rPr>
            </w:pPr>
            <w:r>
              <w:rPr>
                <w:rFonts w:cs="Times New Roman"/>
                <w:color w:val="000000"/>
                <w:sz w:val="18"/>
                <w:szCs w:val="18"/>
              </w:rPr>
              <w:t>-0,02</w:t>
            </w:r>
          </w:p>
        </w:tc>
        <w:tc>
          <w:tcPr>
            <w:tcW w:w="658" w:type="dxa"/>
            <w:tcBorders>
              <w:top w:val="single" w:sz="4" w:space="0" w:color="auto"/>
              <w:left w:val="nil"/>
              <w:bottom w:val="single" w:sz="4" w:space="0" w:color="auto"/>
              <w:right w:val="nil"/>
            </w:tcBorders>
            <w:shd w:val="clear" w:color="auto" w:fill="auto"/>
            <w:vAlign w:val="center"/>
          </w:tcPr>
          <w:p w14:paraId="3D54D808" w14:textId="77777777" w:rsidR="00BD53AF" w:rsidRPr="00F87BFA" w:rsidRDefault="00BD53AF" w:rsidP="00387AE5">
            <w:pPr>
              <w:jc w:val="center"/>
              <w:rPr>
                <w:rFonts w:cs="Times New Roman"/>
                <w:color w:val="000000"/>
                <w:sz w:val="18"/>
                <w:szCs w:val="18"/>
              </w:rPr>
            </w:pPr>
            <w:r>
              <w:rPr>
                <w:rFonts w:cs="Times New Roman"/>
                <w:color w:val="000000"/>
                <w:sz w:val="18"/>
                <w:szCs w:val="18"/>
              </w:rPr>
              <w:t>-57</w:t>
            </w:r>
          </w:p>
        </w:tc>
        <w:tc>
          <w:tcPr>
            <w:tcW w:w="759" w:type="dxa"/>
            <w:tcBorders>
              <w:top w:val="single" w:sz="4" w:space="0" w:color="auto"/>
              <w:left w:val="nil"/>
              <w:bottom w:val="single" w:sz="4" w:space="0" w:color="auto"/>
              <w:right w:val="nil"/>
            </w:tcBorders>
            <w:shd w:val="clear" w:color="auto" w:fill="auto"/>
            <w:vAlign w:val="center"/>
          </w:tcPr>
          <w:p w14:paraId="7AF08378" w14:textId="77777777" w:rsidR="00BD53AF" w:rsidRPr="00F87BFA" w:rsidRDefault="00BD53AF" w:rsidP="00387AE5">
            <w:pPr>
              <w:jc w:val="center"/>
              <w:rPr>
                <w:rFonts w:cs="Times New Roman"/>
                <w:color w:val="000000"/>
                <w:sz w:val="18"/>
                <w:szCs w:val="18"/>
              </w:rPr>
            </w:pPr>
            <w:r>
              <w:rPr>
                <w:rFonts w:cs="Times New Roman"/>
                <w:color w:val="000000"/>
                <w:sz w:val="18"/>
                <w:szCs w:val="18"/>
              </w:rPr>
              <w:t>-0,05</w:t>
            </w:r>
          </w:p>
        </w:tc>
      </w:tr>
      <w:tr w:rsidR="00BD53AF" w:rsidRPr="00C735D9" w14:paraId="0E1C4BD7" w14:textId="77777777" w:rsidTr="003C66E6">
        <w:trPr>
          <w:trHeight w:val="258"/>
        </w:trPr>
        <w:tc>
          <w:tcPr>
            <w:tcW w:w="3261" w:type="dxa"/>
            <w:tcBorders>
              <w:top w:val="nil"/>
              <w:left w:val="nil"/>
              <w:bottom w:val="nil"/>
              <w:right w:val="nil"/>
            </w:tcBorders>
            <w:shd w:val="clear" w:color="auto" w:fill="auto"/>
            <w:vAlign w:val="center"/>
            <w:hideMark/>
          </w:tcPr>
          <w:p w14:paraId="6181C1C5" w14:textId="77777777" w:rsidR="00BD53AF" w:rsidRPr="00F87BFA" w:rsidRDefault="00BD53AF" w:rsidP="00387AE5">
            <w:pPr>
              <w:rPr>
                <w:rFonts w:cs="Times New Roman"/>
                <w:b/>
                <w:bCs/>
                <w:color w:val="000000"/>
                <w:sz w:val="18"/>
                <w:szCs w:val="18"/>
              </w:rPr>
            </w:pPr>
            <w:r>
              <w:rPr>
                <w:rFonts w:cs="Times New Roman"/>
                <w:b/>
                <w:bCs/>
                <w:color w:val="000000"/>
                <w:sz w:val="18"/>
                <w:szCs w:val="18"/>
              </w:rPr>
              <w:t>10.Kapitálové výdavky</w:t>
            </w:r>
          </w:p>
        </w:tc>
        <w:tc>
          <w:tcPr>
            <w:tcW w:w="708" w:type="dxa"/>
            <w:tcBorders>
              <w:top w:val="nil"/>
              <w:left w:val="nil"/>
              <w:bottom w:val="nil"/>
              <w:right w:val="nil"/>
            </w:tcBorders>
            <w:shd w:val="clear" w:color="auto" w:fill="auto"/>
            <w:vAlign w:val="center"/>
            <w:hideMark/>
          </w:tcPr>
          <w:p w14:paraId="49F397D4" w14:textId="77777777" w:rsidR="00BD53AF" w:rsidRPr="00EE43EC" w:rsidRDefault="00BD53AF" w:rsidP="00387AE5">
            <w:pPr>
              <w:jc w:val="center"/>
              <w:rPr>
                <w:rFonts w:cs="Times New Roman"/>
                <w:bCs/>
                <w:color w:val="000000"/>
                <w:sz w:val="18"/>
                <w:szCs w:val="18"/>
              </w:rPr>
            </w:pPr>
            <w:r w:rsidRPr="00EE43EC">
              <w:rPr>
                <w:rFonts w:cs="Times New Roman"/>
                <w:bCs/>
                <w:color w:val="000000"/>
                <w:sz w:val="18"/>
                <w:szCs w:val="18"/>
              </w:rPr>
              <w:t>S.13</w:t>
            </w:r>
          </w:p>
        </w:tc>
        <w:tc>
          <w:tcPr>
            <w:tcW w:w="993" w:type="dxa"/>
            <w:tcBorders>
              <w:top w:val="nil"/>
              <w:left w:val="nil"/>
              <w:bottom w:val="nil"/>
              <w:right w:val="nil"/>
            </w:tcBorders>
            <w:shd w:val="clear" w:color="auto" w:fill="auto"/>
            <w:vAlign w:val="center"/>
            <w:hideMark/>
          </w:tcPr>
          <w:p w14:paraId="2114841F" w14:textId="77777777" w:rsidR="00BD53AF" w:rsidRPr="00F87BFA" w:rsidRDefault="00BD53AF" w:rsidP="00387AE5">
            <w:pPr>
              <w:jc w:val="center"/>
              <w:rPr>
                <w:rFonts w:cs="Times New Roman"/>
                <w:color w:val="000000"/>
                <w:sz w:val="18"/>
                <w:szCs w:val="18"/>
              </w:rPr>
            </w:pPr>
            <w:r w:rsidRPr="00F87BFA">
              <w:rPr>
                <w:rFonts w:cs="Times New Roman"/>
                <w:color w:val="000000"/>
                <w:sz w:val="18"/>
                <w:szCs w:val="18"/>
              </w:rPr>
              <w:t>P.5+D.9P</w:t>
            </w:r>
          </w:p>
        </w:tc>
        <w:tc>
          <w:tcPr>
            <w:tcW w:w="708" w:type="dxa"/>
            <w:tcBorders>
              <w:top w:val="nil"/>
              <w:left w:val="nil"/>
              <w:bottom w:val="nil"/>
              <w:right w:val="nil"/>
            </w:tcBorders>
            <w:shd w:val="clear" w:color="auto" w:fill="auto"/>
            <w:vAlign w:val="center"/>
          </w:tcPr>
          <w:p w14:paraId="2B1D6684" w14:textId="77777777" w:rsidR="00BD53AF" w:rsidRPr="00F87BFA" w:rsidRDefault="00BD53AF" w:rsidP="00387AE5">
            <w:pPr>
              <w:jc w:val="center"/>
              <w:rPr>
                <w:rFonts w:cs="Times New Roman"/>
                <w:color w:val="000000"/>
                <w:sz w:val="18"/>
                <w:szCs w:val="18"/>
              </w:rPr>
            </w:pPr>
            <w:r>
              <w:rPr>
                <w:rFonts w:cs="Times New Roman"/>
                <w:color w:val="000000"/>
                <w:sz w:val="18"/>
                <w:szCs w:val="18"/>
              </w:rPr>
              <w:t>-132</w:t>
            </w:r>
          </w:p>
        </w:tc>
        <w:tc>
          <w:tcPr>
            <w:tcW w:w="709" w:type="dxa"/>
            <w:tcBorders>
              <w:top w:val="nil"/>
              <w:left w:val="nil"/>
              <w:bottom w:val="nil"/>
              <w:right w:val="nil"/>
            </w:tcBorders>
            <w:shd w:val="clear" w:color="auto" w:fill="auto"/>
            <w:vAlign w:val="center"/>
          </w:tcPr>
          <w:p w14:paraId="21F293D9" w14:textId="77777777" w:rsidR="00BD53AF" w:rsidRPr="00F87BFA" w:rsidRDefault="00BD53AF" w:rsidP="00387AE5">
            <w:pPr>
              <w:jc w:val="center"/>
              <w:rPr>
                <w:rFonts w:cs="Times New Roman"/>
                <w:color w:val="000000"/>
                <w:sz w:val="18"/>
                <w:szCs w:val="18"/>
              </w:rPr>
            </w:pPr>
            <w:r>
              <w:rPr>
                <w:rFonts w:cs="Times New Roman"/>
                <w:color w:val="000000"/>
                <w:sz w:val="18"/>
                <w:szCs w:val="18"/>
              </w:rPr>
              <w:t>-0,13</w:t>
            </w:r>
          </w:p>
        </w:tc>
        <w:tc>
          <w:tcPr>
            <w:tcW w:w="709" w:type="dxa"/>
            <w:tcBorders>
              <w:top w:val="nil"/>
              <w:left w:val="nil"/>
              <w:bottom w:val="nil"/>
              <w:right w:val="nil"/>
            </w:tcBorders>
            <w:shd w:val="clear" w:color="auto" w:fill="auto"/>
            <w:vAlign w:val="center"/>
          </w:tcPr>
          <w:p w14:paraId="721EA0A7" w14:textId="77777777" w:rsidR="00BD53AF" w:rsidRPr="00F87BFA" w:rsidRDefault="00BD53AF" w:rsidP="00387AE5">
            <w:pPr>
              <w:jc w:val="center"/>
              <w:rPr>
                <w:rFonts w:cs="Times New Roman"/>
                <w:color w:val="000000"/>
                <w:sz w:val="18"/>
                <w:szCs w:val="18"/>
              </w:rPr>
            </w:pPr>
            <w:r>
              <w:rPr>
                <w:rFonts w:cs="Times New Roman"/>
                <w:color w:val="000000"/>
                <w:sz w:val="18"/>
                <w:szCs w:val="18"/>
              </w:rPr>
              <w:t>-57</w:t>
            </w:r>
          </w:p>
        </w:tc>
        <w:tc>
          <w:tcPr>
            <w:tcW w:w="709" w:type="dxa"/>
            <w:tcBorders>
              <w:top w:val="nil"/>
              <w:left w:val="nil"/>
              <w:bottom w:val="nil"/>
              <w:right w:val="nil"/>
            </w:tcBorders>
            <w:shd w:val="clear" w:color="auto" w:fill="auto"/>
            <w:vAlign w:val="center"/>
          </w:tcPr>
          <w:p w14:paraId="1C06290C" w14:textId="77777777" w:rsidR="00BD53AF" w:rsidRPr="00F87BFA" w:rsidRDefault="00BD53AF" w:rsidP="00387AE5">
            <w:pPr>
              <w:jc w:val="center"/>
              <w:rPr>
                <w:rFonts w:cs="Times New Roman"/>
                <w:color w:val="000000"/>
                <w:sz w:val="18"/>
                <w:szCs w:val="18"/>
              </w:rPr>
            </w:pPr>
            <w:r>
              <w:rPr>
                <w:rFonts w:cs="Times New Roman"/>
                <w:color w:val="000000"/>
                <w:sz w:val="18"/>
                <w:szCs w:val="18"/>
              </w:rPr>
              <w:t>-0,05</w:t>
            </w:r>
          </w:p>
        </w:tc>
        <w:tc>
          <w:tcPr>
            <w:tcW w:w="658" w:type="dxa"/>
            <w:tcBorders>
              <w:top w:val="nil"/>
              <w:left w:val="nil"/>
              <w:bottom w:val="nil"/>
              <w:right w:val="nil"/>
            </w:tcBorders>
            <w:shd w:val="clear" w:color="auto" w:fill="auto"/>
            <w:vAlign w:val="center"/>
          </w:tcPr>
          <w:p w14:paraId="336166EF" w14:textId="77777777" w:rsidR="00BD53AF" w:rsidRPr="00F87BFA" w:rsidRDefault="00BD53AF" w:rsidP="00387AE5">
            <w:pPr>
              <w:jc w:val="center"/>
              <w:rPr>
                <w:rFonts w:cs="Times New Roman"/>
                <w:color w:val="000000"/>
                <w:sz w:val="18"/>
                <w:szCs w:val="18"/>
              </w:rPr>
            </w:pPr>
            <w:r>
              <w:rPr>
                <w:rFonts w:cs="Times New Roman"/>
                <w:color w:val="000000"/>
                <w:sz w:val="18"/>
                <w:szCs w:val="18"/>
              </w:rPr>
              <w:t>42</w:t>
            </w:r>
          </w:p>
        </w:tc>
        <w:tc>
          <w:tcPr>
            <w:tcW w:w="759" w:type="dxa"/>
            <w:tcBorders>
              <w:top w:val="nil"/>
              <w:left w:val="nil"/>
              <w:bottom w:val="nil"/>
              <w:right w:val="nil"/>
            </w:tcBorders>
            <w:shd w:val="clear" w:color="auto" w:fill="auto"/>
            <w:vAlign w:val="center"/>
          </w:tcPr>
          <w:p w14:paraId="3AB6B3CB" w14:textId="77777777" w:rsidR="00BD53AF" w:rsidRPr="00F87BFA" w:rsidRDefault="00BD53AF" w:rsidP="00387AE5">
            <w:pPr>
              <w:jc w:val="center"/>
              <w:rPr>
                <w:rFonts w:cs="Times New Roman"/>
                <w:color w:val="000000"/>
                <w:sz w:val="18"/>
                <w:szCs w:val="18"/>
              </w:rPr>
            </w:pPr>
            <w:r>
              <w:rPr>
                <w:rFonts w:cs="Times New Roman"/>
                <w:color w:val="000000"/>
                <w:sz w:val="18"/>
                <w:szCs w:val="18"/>
              </w:rPr>
              <w:t>0,04</w:t>
            </w:r>
          </w:p>
        </w:tc>
      </w:tr>
      <w:tr w:rsidR="00BD53AF" w:rsidRPr="00C735D9" w14:paraId="790F4938" w14:textId="77777777" w:rsidTr="003C66E6">
        <w:trPr>
          <w:trHeight w:val="272"/>
        </w:trPr>
        <w:tc>
          <w:tcPr>
            <w:tcW w:w="3261" w:type="dxa"/>
            <w:tcBorders>
              <w:top w:val="single" w:sz="8" w:space="0" w:color="auto"/>
              <w:left w:val="nil"/>
              <w:bottom w:val="single" w:sz="8" w:space="0" w:color="auto"/>
              <w:right w:val="nil"/>
            </w:tcBorders>
            <w:shd w:val="clear" w:color="auto" w:fill="auto"/>
            <w:noWrap/>
            <w:vAlign w:val="center"/>
            <w:hideMark/>
          </w:tcPr>
          <w:p w14:paraId="6E962974" w14:textId="77777777" w:rsidR="00BD53AF" w:rsidRPr="00F87BFA" w:rsidRDefault="00BD53AF" w:rsidP="00387AE5">
            <w:pPr>
              <w:rPr>
                <w:rFonts w:cs="Times New Roman"/>
                <w:b/>
                <w:bCs/>
                <w:color w:val="000000"/>
                <w:sz w:val="18"/>
                <w:szCs w:val="18"/>
              </w:rPr>
            </w:pPr>
            <w:r w:rsidRPr="00F87BFA">
              <w:rPr>
                <w:rFonts w:cs="Times New Roman"/>
                <w:b/>
                <w:bCs/>
                <w:color w:val="000000"/>
                <w:sz w:val="18"/>
                <w:szCs w:val="18"/>
              </w:rPr>
              <w:t>Spolu (objem konsolidácie/stimulu oproti NPC)</w:t>
            </w:r>
          </w:p>
        </w:tc>
        <w:tc>
          <w:tcPr>
            <w:tcW w:w="708" w:type="dxa"/>
            <w:tcBorders>
              <w:top w:val="single" w:sz="8" w:space="0" w:color="auto"/>
              <w:left w:val="nil"/>
              <w:bottom w:val="single" w:sz="8" w:space="0" w:color="auto"/>
              <w:right w:val="nil"/>
            </w:tcBorders>
            <w:shd w:val="clear" w:color="auto" w:fill="auto"/>
            <w:vAlign w:val="center"/>
            <w:hideMark/>
          </w:tcPr>
          <w:p w14:paraId="11C149BE" w14:textId="77777777" w:rsidR="00BD53AF" w:rsidRPr="00EE43EC" w:rsidRDefault="00BD53AF" w:rsidP="00387AE5">
            <w:pPr>
              <w:jc w:val="center"/>
              <w:rPr>
                <w:rFonts w:cs="Times New Roman"/>
                <w:bCs/>
                <w:color w:val="000000"/>
                <w:sz w:val="18"/>
                <w:szCs w:val="18"/>
              </w:rPr>
            </w:pPr>
            <w:r w:rsidRPr="00EE43EC">
              <w:rPr>
                <w:rFonts w:cs="Times New Roman"/>
                <w:bCs/>
                <w:color w:val="000000"/>
                <w:sz w:val="18"/>
                <w:szCs w:val="18"/>
              </w:rPr>
              <w:t>-</w:t>
            </w:r>
          </w:p>
        </w:tc>
        <w:tc>
          <w:tcPr>
            <w:tcW w:w="993" w:type="dxa"/>
            <w:tcBorders>
              <w:top w:val="single" w:sz="8" w:space="0" w:color="auto"/>
              <w:left w:val="nil"/>
              <w:bottom w:val="single" w:sz="8" w:space="0" w:color="auto"/>
              <w:right w:val="nil"/>
            </w:tcBorders>
            <w:shd w:val="clear" w:color="auto" w:fill="auto"/>
            <w:vAlign w:val="center"/>
            <w:hideMark/>
          </w:tcPr>
          <w:p w14:paraId="3F36C894" w14:textId="77777777" w:rsidR="00BD53AF" w:rsidRPr="00F87BFA" w:rsidRDefault="00BD53AF" w:rsidP="00387AE5">
            <w:pPr>
              <w:jc w:val="center"/>
              <w:rPr>
                <w:rFonts w:cs="Times New Roman"/>
                <w:b/>
                <w:bCs/>
                <w:color w:val="000000"/>
                <w:sz w:val="18"/>
                <w:szCs w:val="18"/>
              </w:rPr>
            </w:pPr>
            <w:r w:rsidRPr="00F87BFA">
              <w:rPr>
                <w:rFonts w:cs="Times New Roman"/>
                <w:b/>
                <w:bCs/>
                <w:color w:val="000000"/>
                <w:sz w:val="18"/>
                <w:szCs w:val="18"/>
              </w:rPr>
              <w:t>-</w:t>
            </w:r>
          </w:p>
        </w:tc>
        <w:tc>
          <w:tcPr>
            <w:tcW w:w="708" w:type="dxa"/>
            <w:tcBorders>
              <w:top w:val="single" w:sz="8" w:space="0" w:color="auto"/>
              <w:left w:val="nil"/>
              <w:bottom w:val="single" w:sz="8" w:space="0" w:color="auto"/>
              <w:right w:val="nil"/>
            </w:tcBorders>
            <w:shd w:val="clear" w:color="auto" w:fill="auto"/>
            <w:noWrap/>
            <w:vAlign w:val="center"/>
          </w:tcPr>
          <w:p w14:paraId="33B9A557" w14:textId="77777777" w:rsidR="00BD53AF" w:rsidRPr="00F87BFA" w:rsidRDefault="00BD53AF" w:rsidP="00387AE5">
            <w:pPr>
              <w:jc w:val="center"/>
              <w:rPr>
                <w:rFonts w:cs="Times New Roman"/>
                <w:b/>
                <w:bCs/>
                <w:color w:val="000000"/>
                <w:sz w:val="18"/>
                <w:szCs w:val="18"/>
              </w:rPr>
            </w:pPr>
            <w:r>
              <w:rPr>
                <w:rFonts w:cs="Times New Roman"/>
                <w:b/>
                <w:bCs/>
                <w:color w:val="000000"/>
                <w:sz w:val="18"/>
                <w:szCs w:val="18"/>
              </w:rPr>
              <w:t>-411</w:t>
            </w:r>
          </w:p>
        </w:tc>
        <w:tc>
          <w:tcPr>
            <w:tcW w:w="709" w:type="dxa"/>
            <w:tcBorders>
              <w:top w:val="single" w:sz="8" w:space="0" w:color="auto"/>
              <w:left w:val="nil"/>
              <w:bottom w:val="single" w:sz="8" w:space="0" w:color="auto"/>
              <w:right w:val="nil"/>
            </w:tcBorders>
            <w:shd w:val="clear" w:color="auto" w:fill="auto"/>
            <w:noWrap/>
            <w:vAlign w:val="center"/>
          </w:tcPr>
          <w:p w14:paraId="7408D0B2" w14:textId="77777777" w:rsidR="00BD53AF" w:rsidRPr="00F87BFA" w:rsidRDefault="00BD53AF" w:rsidP="00387AE5">
            <w:pPr>
              <w:jc w:val="center"/>
              <w:rPr>
                <w:rFonts w:cs="Times New Roman"/>
                <w:b/>
                <w:bCs/>
                <w:color w:val="000000"/>
                <w:sz w:val="18"/>
                <w:szCs w:val="18"/>
              </w:rPr>
            </w:pPr>
            <w:r>
              <w:rPr>
                <w:rFonts w:cs="Times New Roman"/>
                <w:b/>
                <w:bCs/>
                <w:color w:val="000000"/>
                <w:sz w:val="18"/>
                <w:szCs w:val="18"/>
              </w:rPr>
              <w:t>-0,4</w:t>
            </w:r>
          </w:p>
        </w:tc>
        <w:tc>
          <w:tcPr>
            <w:tcW w:w="709" w:type="dxa"/>
            <w:tcBorders>
              <w:top w:val="single" w:sz="8" w:space="0" w:color="auto"/>
              <w:left w:val="nil"/>
              <w:bottom w:val="single" w:sz="8" w:space="0" w:color="auto"/>
              <w:right w:val="nil"/>
            </w:tcBorders>
            <w:shd w:val="clear" w:color="auto" w:fill="auto"/>
            <w:noWrap/>
            <w:vAlign w:val="center"/>
          </w:tcPr>
          <w:p w14:paraId="113B318E" w14:textId="77777777" w:rsidR="00BD53AF" w:rsidRPr="00F87BFA" w:rsidRDefault="00BD53AF" w:rsidP="00387AE5">
            <w:pPr>
              <w:jc w:val="center"/>
              <w:rPr>
                <w:rFonts w:cs="Times New Roman"/>
                <w:b/>
                <w:bCs/>
                <w:color w:val="000000"/>
                <w:sz w:val="18"/>
                <w:szCs w:val="18"/>
              </w:rPr>
            </w:pPr>
            <w:r>
              <w:rPr>
                <w:rFonts w:cs="Times New Roman"/>
                <w:b/>
                <w:bCs/>
                <w:color w:val="000000"/>
                <w:sz w:val="18"/>
                <w:szCs w:val="18"/>
              </w:rPr>
              <w:t>-458</w:t>
            </w:r>
          </w:p>
        </w:tc>
        <w:tc>
          <w:tcPr>
            <w:tcW w:w="709" w:type="dxa"/>
            <w:tcBorders>
              <w:top w:val="single" w:sz="8" w:space="0" w:color="auto"/>
              <w:left w:val="nil"/>
              <w:bottom w:val="single" w:sz="8" w:space="0" w:color="auto"/>
              <w:right w:val="nil"/>
            </w:tcBorders>
            <w:shd w:val="clear" w:color="auto" w:fill="auto"/>
            <w:noWrap/>
            <w:vAlign w:val="center"/>
          </w:tcPr>
          <w:p w14:paraId="26E8D5DA" w14:textId="77777777" w:rsidR="00BD53AF" w:rsidRPr="00F87BFA" w:rsidRDefault="00BD53AF" w:rsidP="00387AE5">
            <w:pPr>
              <w:jc w:val="center"/>
              <w:rPr>
                <w:rFonts w:cs="Times New Roman"/>
                <w:b/>
                <w:bCs/>
                <w:color w:val="000000"/>
                <w:sz w:val="18"/>
                <w:szCs w:val="18"/>
              </w:rPr>
            </w:pPr>
            <w:r>
              <w:rPr>
                <w:rFonts w:cs="Times New Roman"/>
                <w:b/>
                <w:bCs/>
                <w:color w:val="000000"/>
                <w:sz w:val="18"/>
                <w:szCs w:val="18"/>
              </w:rPr>
              <w:t>-0,42</w:t>
            </w:r>
          </w:p>
        </w:tc>
        <w:tc>
          <w:tcPr>
            <w:tcW w:w="658" w:type="dxa"/>
            <w:tcBorders>
              <w:top w:val="single" w:sz="8" w:space="0" w:color="auto"/>
              <w:left w:val="nil"/>
              <w:bottom w:val="single" w:sz="8" w:space="0" w:color="auto"/>
              <w:right w:val="nil"/>
            </w:tcBorders>
            <w:shd w:val="clear" w:color="auto" w:fill="auto"/>
            <w:noWrap/>
            <w:vAlign w:val="center"/>
          </w:tcPr>
          <w:p w14:paraId="4D60C7B0" w14:textId="77777777" w:rsidR="00BD53AF" w:rsidRPr="00F87BFA" w:rsidRDefault="00BD53AF" w:rsidP="00387AE5">
            <w:pPr>
              <w:jc w:val="center"/>
              <w:rPr>
                <w:rFonts w:cs="Times New Roman"/>
                <w:b/>
                <w:bCs/>
                <w:color w:val="000000"/>
                <w:sz w:val="18"/>
                <w:szCs w:val="18"/>
              </w:rPr>
            </w:pPr>
            <w:r>
              <w:rPr>
                <w:rFonts w:cs="Times New Roman"/>
                <w:b/>
                <w:bCs/>
                <w:color w:val="000000"/>
                <w:sz w:val="18"/>
                <w:szCs w:val="18"/>
              </w:rPr>
              <w:t>-181</w:t>
            </w:r>
          </w:p>
        </w:tc>
        <w:tc>
          <w:tcPr>
            <w:tcW w:w="759" w:type="dxa"/>
            <w:tcBorders>
              <w:top w:val="single" w:sz="8" w:space="0" w:color="auto"/>
              <w:left w:val="nil"/>
              <w:bottom w:val="single" w:sz="8" w:space="0" w:color="auto"/>
              <w:right w:val="nil"/>
            </w:tcBorders>
            <w:shd w:val="clear" w:color="auto" w:fill="auto"/>
            <w:noWrap/>
            <w:vAlign w:val="center"/>
          </w:tcPr>
          <w:p w14:paraId="14D98D52" w14:textId="77777777" w:rsidR="00BD53AF" w:rsidRPr="00F87BFA" w:rsidRDefault="00BD53AF" w:rsidP="00387AE5">
            <w:pPr>
              <w:jc w:val="center"/>
              <w:rPr>
                <w:rFonts w:cs="Times New Roman"/>
                <w:b/>
                <w:bCs/>
                <w:color w:val="000000"/>
                <w:sz w:val="18"/>
                <w:szCs w:val="18"/>
              </w:rPr>
            </w:pPr>
            <w:r>
              <w:rPr>
                <w:rFonts w:cs="Times New Roman"/>
                <w:b/>
                <w:bCs/>
                <w:color w:val="000000"/>
                <w:sz w:val="18"/>
                <w:szCs w:val="18"/>
              </w:rPr>
              <w:t>-0,16</w:t>
            </w:r>
          </w:p>
        </w:tc>
      </w:tr>
      <w:tr w:rsidR="00BD53AF" w:rsidRPr="00C735D9" w14:paraId="52DF917D" w14:textId="77777777" w:rsidTr="00387AE5">
        <w:trPr>
          <w:trHeight w:val="258"/>
        </w:trPr>
        <w:tc>
          <w:tcPr>
            <w:tcW w:w="6379" w:type="dxa"/>
            <w:gridSpan w:val="5"/>
            <w:tcBorders>
              <w:top w:val="nil"/>
              <w:left w:val="nil"/>
              <w:bottom w:val="nil"/>
              <w:right w:val="nil"/>
            </w:tcBorders>
            <w:shd w:val="clear" w:color="auto" w:fill="auto"/>
            <w:noWrap/>
            <w:vAlign w:val="bottom"/>
            <w:hideMark/>
          </w:tcPr>
          <w:p w14:paraId="5A78DFA7" w14:textId="77777777" w:rsidR="00BD53AF" w:rsidRPr="0067498B" w:rsidRDefault="00BD53AF" w:rsidP="00387AE5">
            <w:pPr>
              <w:rPr>
                <w:rFonts w:ascii="Times New Roman" w:hAnsi="Times New Roman" w:cs="Times New Roman"/>
                <w:sz w:val="20"/>
                <w:szCs w:val="20"/>
              </w:rPr>
            </w:pPr>
            <w:r w:rsidRPr="0067498B">
              <w:rPr>
                <w:rFonts w:cs="Times New Roman"/>
                <w:color w:val="000000"/>
                <w:sz w:val="18"/>
                <w:szCs w:val="18"/>
              </w:rPr>
              <w:t xml:space="preserve">Pozn. (+) zvýšenie príjmov </w:t>
            </w:r>
            <w:r>
              <w:rPr>
                <w:rFonts w:cs="Times New Roman"/>
                <w:color w:val="000000"/>
                <w:sz w:val="18"/>
                <w:szCs w:val="18"/>
              </w:rPr>
              <w:t>resp.</w:t>
            </w:r>
            <w:r w:rsidRPr="0067498B">
              <w:rPr>
                <w:rFonts w:cs="Times New Roman"/>
                <w:color w:val="000000"/>
                <w:sz w:val="18"/>
                <w:szCs w:val="18"/>
              </w:rPr>
              <w:t xml:space="preserve"> zníženie výdavkov voči NPC scenáru.</w:t>
            </w:r>
          </w:p>
        </w:tc>
        <w:tc>
          <w:tcPr>
            <w:tcW w:w="709" w:type="dxa"/>
            <w:tcBorders>
              <w:top w:val="nil"/>
              <w:left w:val="nil"/>
              <w:bottom w:val="nil"/>
              <w:right w:val="nil"/>
            </w:tcBorders>
            <w:shd w:val="clear" w:color="auto" w:fill="auto"/>
            <w:noWrap/>
            <w:vAlign w:val="bottom"/>
            <w:hideMark/>
          </w:tcPr>
          <w:p w14:paraId="6A2902AD" w14:textId="77777777" w:rsidR="00BD53AF" w:rsidRPr="0067498B" w:rsidRDefault="00BD53AF" w:rsidP="00387AE5">
            <w:pPr>
              <w:jc w:val="both"/>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14:paraId="42588E19" w14:textId="77777777" w:rsidR="00BD53AF" w:rsidRPr="0067498B" w:rsidRDefault="00BD53AF" w:rsidP="00387AE5">
            <w:pPr>
              <w:rPr>
                <w:rFonts w:ascii="Times New Roman" w:hAnsi="Times New Roman" w:cs="Times New Roman"/>
                <w:sz w:val="20"/>
                <w:szCs w:val="20"/>
              </w:rPr>
            </w:pPr>
          </w:p>
        </w:tc>
        <w:tc>
          <w:tcPr>
            <w:tcW w:w="1417" w:type="dxa"/>
            <w:gridSpan w:val="2"/>
            <w:tcBorders>
              <w:top w:val="nil"/>
              <w:left w:val="nil"/>
              <w:bottom w:val="nil"/>
              <w:right w:val="nil"/>
            </w:tcBorders>
            <w:shd w:val="clear" w:color="auto" w:fill="auto"/>
            <w:vAlign w:val="center"/>
            <w:hideMark/>
          </w:tcPr>
          <w:p w14:paraId="5A503A75" w14:textId="77777777" w:rsidR="00BD53AF" w:rsidRPr="0067498B" w:rsidRDefault="00BD53AF" w:rsidP="00387AE5">
            <w:pPr>
              <w:jc w:val="right"/>
              <w:rPr>
                <w:rFonts w:cs="Times New Roman"/>
                <w:i/>
                <w:iCs/>
                <w:color w:val="000000"/>
                <w:sz w:val="18"/>
                <w:szCs w:val="18"/>
              </w:rPr>
            </w:pPr>
            <w:r w:rsidRPr="0067498B">
              <w:rPr>
                <w:rFonts w:cs="Times New Roman"/>
                <w:i/>
                <w:iCs/>
                <w:color w:val="000000"/>
                <w:sz w:val="18"/>
                <w:szCs w:val="18"/>
              </w:rPr>
              <w:t>Zdroj: MF SR</w:t>
            </w:r>
          </w:p>
        </w:tc>
      </w:tr>
      <w:bookmarkEnd w:id="142"/>
      <w:bookmarkEnd w:id="143"/>
    </w:tbl>
    <w:p w14:paraId="65DD5355" w14:textId="77777777" w:rsidR="00BD53AF" w:rsidRDefault="00BD53AF" w:rsidP="00BD53AF">
      <w:pPr>
        <w:jc w:val="both"/>
        <w:rPr>
          <w:b/>
          <w:color w:val="2C9ADC"/>
          <w:sz w:val="20"/>
          <w:szCs w:val="24"/>
          <w:highlight w:val="yellow"/>
        </w:rPr>
      </w:pPr>
    </w:p>
    <w:p w14:paraId="552A4EAC" w14:textId="77777777" w:rsidR="004F1515" w:rsidRDefault="004F1515">
      <w:pPr>
        <w:rPr>
          <w:b/>
          <w:color w:val="2C9ADC"/>
          <w:sz w:val="24"/>
          <w:szCs w:val="24"/>
        </w:rPr>
      </w:pPr>
      <w:r>
        <w:rPr>
          <w:b/>
          <w:color w:val="2C9ADC"/>
          <w:szCs w:val="24"/>
        </w:rPr>
        <w:br w:type="page"/>
      </w:r>
    </w:p>
    <w:p w14:paraId="76D2C56F" w14:textId="72C0452A" w:rsidR="00BD53AF" w:rsidRPr="008C5BDD" w:rsidRDefault="00BD53AF" w:rsidP="004F1515">
      <w:pPr>
        <w:pStyle w:val="Nadpis2"/>
        <w:keepLines/>
        <w:numPr>
          <w:ilvl w:val="1"/>
          <w:numId w:val="2"/>
        </w:numPr>
        <w:spacing w:before="240" w:after="120"/>
        <w:rPr>
          <w:b/>
          <w:color w:val="2C9ADC"/>
          <w:szCs w:val="24"/>
        </w:rPr>
      </w:pPr>
      <w:bookmarkStart w:id="147" w:name="_Toc5869387"/>
      <w:r w:rsidRPr="008C5BDD">
        <w:rPr>
          <w:b/>
          <w:color w:val="2C9ADC"/>
          <w:szCs w:val="24"/>
        </w:rPr>
        <w:lastRenderedPageBreak/>
        <w:t>Verejný dlh</w:t>
      </w:r>
      <w:bookmarkEnd w:id="129"/>
      <w:bookmarkEnd w:id="130"/>
      <w:bookmarkEnd w:id="131"/>
      <w:bookmarkEnd w:id="132"/>
      <w:bookmarkEnd w:id="147"/>
    </w:p>
    <w:p w14:paraId="0EED2033" w14:textId="77777777" w:rsidR="00BD53AF" w:rsidRPr="00521E02" w:rsidRDefault="00BD53AF" w:rsidP="004F1515">
      <w:pPr>
        <w:spacing w:before="240" w:after="120"/>
        <w:jc w:val="both"/>
        <w:rPr>
          <w:b/>
          <w:color w:val="2C9ADC" w:themeColor="accent1"/>
        </w:rPr>
      </w:pPr>
      <w:r w:rsidRPr="00521E02">
        <w:rPr>
          <w:b/>
          <w:color w:val="2C9ADC" w:themeColor="accent1"/>
        </w:rPr>
        <w:t>Hrubý dlh</w:t>
      </w:r>
    </w:p>
    <w:p w14:paraId="39F8F528" w14:textId="46846D6E" w:rsidR="00BD53AF" w:rsidRPr="0019108B" w:rsidRDefault="00BD53AF" w:rsidP="00BD53AF">
      <w:pPr>
        <w:spacing w:before="240" w:after="120"/>
        <w:jc w:val="both"/>
        <w:rPr>
          <w:rFonts w:cs="Times New Roman"/>
        </w:rPr>
      </w:pPr>
      <w:r w:rsidRPr="00463A9E">
        <w:rPr>
          <w:b/>
        </w:rPr>
        <w:t xml:space="preserve">Hrubý dlh verejnej správy dosiahol ku koncu roka 2018 </w:t>
      </w:r>
      <w:r w:rsidRPr="0019108B">
        <w:rPr>
          <w:b/>
        </w:rPr>
        <w:t>výšku 48,9 % HDP</w:t>
      </w:r>
      <w:r w:rsidRPr="0019108B">
        <w:rPr>
          <w:rStyle w:val="Odkaznapoznmkupodiarou"/>
          <w:b/>
        </w:rPr>
        <w:footnoteReference w:id="32"/>
      </w:r>
      <w:r w:rsidRPr="0019108B">
        <w:rPr>
          <w:rFonts w:cs="Times New Roman"/>
          <w:b/>
        </w:rPr>
        <w:t xml:space="preserve"> a klesol mimo sankčné pásma dlhovej brzdy</w:t>
      </w:r>
      <w:r w:rsidR="009F722B" w:rsidRPr="0019108B">
        <w:rPr>
          <w:rStyle w:val="Odkaznapoznmkupodiarou"/>
          <w:b/>
        </w:rPr>
        <w:footnoteReference w:id="33"/>
      </w:r>
      <w:r w:rsidRPr="0019108B">
        <w:rPr>
          <w:rFonts w:cs="Times New Roman"/>
        </w:rPr>
        <w:t>. Medziročne sa podiel dlhu znížil o 2,0 p. b., čo predstavuje najväčší pokles od roku 2006</w:t>
      </w:r>
      <w:r w:rsidRPr="0019108B">
        <w:rPr>
          <w:rStyle w:val="Odkaznapoznmkupodiarou"/>
        </w:rPr>
        <w:footnoteReference w:id="34"/>
      </w:r>
      <w:r w:rsidRPr="0019108B">
        <w:rPr>
          <w:rFonts w:cs="Times New Roman"/>
        </w:rPr>
        <w:t>.</w:t>
      </w:r>
      <w:r w:rsidRPr="0019108B">
        <w:rPr>
          <w:rStyle w:val="Odkaznapoznmkupodiarou"/>
        </w:rPr>
        <w:t xml:space="preserve"> </w:t>
      </w:r>
      <w:r w:rsidRPr="0019108B">
        <w:rPr>
          <w:rFonts w:cs="Times New Roman"/>
        </w:rPr>
        <w:t>Spolu so silným rastom ekonomiky, podporeným inflačným vývojom nad 2 %, prispelo k zníženiu aj dosahovanie primárneho prebytku</w:t>
      </w:r>
      <w:r w:rsidRPr="0019108B">
        <w:rPr>
          <w:rStyle w:val="Odkaznapoznmkupodiarou"/>
        </w:rPr>
        <w:footnoteReference w:id="35"/>
      </w:r>
      <w:r w:rsidRPr="0019108B">
        <w:rPr>
          <w:rFonts w:cs="Times New Roman"/>
        </w:rPr>
        <w:t xml:space="preserve"> vo výške 0,5 </w:t>
      </w:r>
      <w:r w:rsidRPr="0019108B">
        <w:rPr>
          <w:rFonts w:cs="Times New Roman"/>
          <w:lang w:val="en-US"/>
        </w:rPr>
        <w:t>% HDP</w:t>
      </w:r>
      <w:r w:rsidRPr="0019108B">
        <w:rPr>
          <w:rFonts w:cs="Times New Roman"/>
        </w:rPr>
        <w:t>. Od kulminácie dlhu v roku 2013 kleslo zadlženie verej</w:t>
      </w:r>
      <w:r w:rsidR="0008307D">
        <w:rPr>
          <w:rFonts w:cs="Times New Roman"/>
        </w:rPr>
        <w:t>nej správy už piaty rok po sebe, celkovo takmer o 6 p.b. HDP.</w:t>
      </w:r>
    </w:p>
    <w:p w14:paraId="1EE1D4F4" w14:textId="161C4337" w:rsidR="00BD53AF" w:rsidRDefault="00BD53AF" w:rsidP="00BD53AF">
      <w:pPr>
        <w:spacing w:before="240" w:after="120"/>
        <w:jc w:val="both"/>
        <w:rPr>
          <w:rFonts w:cs="Times New Roman"/>
        </w:rPr>
      </w:pPr>
      <w:r w:rsidRPr="0019108B">
        <w:rPr>
          <w:rFonts w:cs="Times New Roman"/>
          <w:b/>
        </w:rPr>
        <w:t>Celková zadlženosť sa v roku 2019 zníži na 47,5 % HDP a udrží sa aj naďalej mimo sankčných pásiem dlhovej brzdy</w:t>
      </w:r>
      <w:r w:rsidRPr="0019108B">
        <w:rPr>
          <w:rFonts w:cs="Times New Roman"/>
        </w:rPr>
        <w:t>. Hlavným faktorom medziročného poklesu dlhu o 1,4 p. b. bude</w:t>
      </w:r>
      <w:r>
        <w:rPr>
          <w:rFonts w:cs="Times New Roman"/>
        </w:rPr>
        <w:t xml:space="preserve"> naďalej rast ekonomiky </w:t>
      </w:r>
      <w:r w:rsidRPr="00463A9E">
        <w:rPr>
          <w:rFonts w:cs="Times New Roman"/>
        </w:rPr>
        <w:t>(</w:t>
      </w:r>
      <w:r w:rsidR="00BA4D62" w:rsidRPr="00BA4D62">
        <w:rPr>
          <w:rFonts w:cs="Times New Roman"/>
          <w:color w:val="2C9ADC" w:themeColor="accent1"/>
        </w:rPr>
        <w:t>GRAF 19</w:t>
      </w:r>
      <w:r w:rsidRPr="00463A9E">
        <w:rPr>
          <w:rFonts w:cs="Times New Roman"/>
        </w:rPr>
        <w:t>), ktorý sa bude pohybovať vysoko nad úrokovými sadzbami (</w:t>
      </w:r>
      <w:r w:rsidR="00BA4D62" w:rsidRPr="00BA4D62">
        <w:rPr>
          <w:rFonts w:cs="Times New Roman"/>
          <w:color w:val="2C9ADC" w:themeColor="accent1"/>
        </w:rPr>
        <w:t>GRAF 20</w:t>
      </w:r>
      <w:r w:rsidRPr="00463A9E">
        <w:rPr>
          <w:rFonts w:cs="Times New Roman"/>
        </w:rPr>
        <w:t>). K zníženiu dlhu prispeje aj narastajúci primárny prebytok hospodárenia verejnej správy nad 1 % HDP. Pomalší pokles dlhu oproti minulému roku vysvetľuje rozdiel medzi hotovostnými a akruálnymi výsledkami hospodárenia verejnej správy a </w:t>
      </w:r>
      <w:r>
        <w:rPr>
          <w:rFonts w:cs="Times New Roman"/>
        </w:rPr>
        <w:t>opätovný</w:t>
      </w:r>
      <w:r w:rsidRPr="00463A9E">
        <w:rPr>
          <w:rFonts w:cs="Times New Roman"/>
        </w:rPr>
        <w:t xml:space="preserve"> nárast</w:t>
      </w:r>
      <w:r w:rsidRPr="00AA3D60">
        <w:rPr>
          <w:rFonts w:cs="Times New Roman"/>
        </w:rPr>
        <w:t xml:space="preserve"> </w:t>
      </w:r>
      <w:r>
        <w:rPr>
          <w:rFonts w:cs="Times New Roman"/>
        </w:rPr>
        <w:t xml:space="preserve">celkového stavu </w:t>
      </w:r>
      <w:r w:rsidRPr="00AA3D60">
        <w:rPr>
          <w:rFonts w:cs="Times New Roman"/>
        </w:rPr>
        <w:t>hotovosti z hospodárenia verejnej správy</w:t>
      </w:r>
      <w:r>
        <w:rPr>
          <w:rFonts w:cs="Times New Roman"/>
        </w:rPr>
        <w:t xml:space="preserve"> (</w:t>
      </w:r>
      <w:r w:rsidRPr="00AA3D60">
        <w:rPr>
          <w:rFonts w:cs="Times New Roman"/>
        </w:rPr>
        <w:t xml:space="preserve">tzv. zosúladenie dlhu a deficitu, anglicky tzv. „stock-flow adjustment“ – </w:t>
      </w:r>
      <w:r w:rsidR="00BA4D62" w:rsidRPr="00BA4D62">
        <w:rPr>
          <w:rFonts w:cs="Times New Roman"/>
          <w:color w:val="2C9ADC" w:themeColor="accent1"/>
        </w:rPr>
        <w:t>BOX 4</w:t>
      </w:r>
      <w:r w:rsidRPr="00AA3D60">
        <w:rPr>
          <w:rFonts w:cs="Times New Roman"/>
        </w:rPr>
        <w:t>)</w:t>
      </w:r>
      <w:r w:rsidRPr="00AA3D60">
        <w:rPr>
          <w:rStyle w:val="Odkaznapoznmkupodiarou"/>
        </w:rPr>
        <w:footnoteReference w:id="36"/>
      </w:r>
      <w:r w:rsidRPr="00AA3D60">
        <w:rPr>
          <w:rFonts w:cs="Times New Roman"/>
        </w:rPr>
        <w:t>.</w:t>
      </w:r>
      <w:r>
        <w:rPr>
          <w:rFonts w:cs="Times New Roman"/>
        </w:rPr>
        <w:t xml:space="preserve"> Oba faktory budú prevládať aj v ďalších rokoch prognózy. </w:t>
      </w:r>
    </w:p>
    <w:tbl>
      <w:tblPr>
        <w:tblW w:w="5000" w:type="pct"/>
        <w:jc w:val="center"/>
        <w:tblCellMar>
          <w:left w:w="70" w:type="dxa"/>
          <w:right w:w="70" w:type="dxa"/>
        </w:tblCellMar>
        <w:tblLook w:val="0000" w:firstRow="0" w:lastRow="0" w:firstColumn="0" w:lastColumn="0" w:noHBand="0" w:noVBand="0"/>
      </w:tblPr>
      <w:tblGrid>
        <w:gridCol w:w="9070"/>
      </w:tblGrid>
      <w:tr w:rsidR="00BD53AF" w:rsidRPr="009B1FA2" w14:paraId="7149F3E9" w14:textId="77777777" w:rsidTr="00387AE5">
        <w:trPr>
          <w:trHeight w:val="221"/>
          <w:jc w:val="center"/>
        </w:trPr>
        <w:tc>
          <w:tcPr>
            <w:tcW w:w="5000" w:type="pct"/>
            <w:tcBorders>
              <w:top w:val="nil"/>
              <w:left w:val="nil"/>
              <w:bottom w:val="single" w:sz="4" w:space="0" w:color="auto"/>
              <w:right w:val="nil"/>
            </w:tcBorders>
            <w:shd w:val="clear" w:color="auto" w:fill="auto"/>
            <w:vAlign w:val="center"/>
          </w:tcPr>
          <w:p w14:paraId="58B34AD0" w14:textId="2C724881" w:rsidR="00BD53AF" w:rsidRPr="009B1FA2" w:rsidRDefault="00BD53AF" w:rsidP="00387AE5">
            <w:pPr>
              <w:pStyle w:val="Nadpis3"/>
              <w:spacing w:before="120"/>
              <w:rPr>
                <w:rFonts w:eastAsiaTheme="minorHAnsi"/>
                <w:color w:val="2C9ADC"/>
                <w:lang w:eastAsia="en-US"/>
              </w:rPr>
            </w:pPr>
            <w:bookmarkStart w:id="148" w:name="_Toc526783522"/>
            <w:bookmarkStart w:id="149" w:name="_Toc6314261"/>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18</w:t>
            </w:r>
            <w:r w:rsidRPr="002E43AF">
              <w:rPr>
                <w:rFonts w:eastAsiaTheme="minorHAnsi"/>
                <w:color w:val="2C9ADC"/>
                <w:lang w:eastAsia="en-US"/>
              </w:rPr>
              <w:fldChar w:fldCharType="end"/>
            </w:r>
            <w:r w:rsidRPr="009B1FA2">
              <w:rPr>
                <w:rFonts w:eastAsiaTheme="minorHAnsi"/>
                <w:color w:val="2C9ADC"/>
                <w:lang w:eastAsia="en-US"/>
              </w:rPr>
              <w:t xml:space="preserve"> - Hrubý dlh verejnej správy (% HDP)</w:t>
            </w:r>
            <w:bookmarkEnd w:id="148"/>
            <w:bookmarkEnd w:id="149"/>
          </w:p>
        </w:tc>
      </w:tr>
      <w:tr w:rsidR="00BD53AF" w:rsidRPr="00AA3D60" w14:paraId="717A5B8F" w14:textId="77777777" w:rsidTr="00387AE5">
        <w:trPr>
          <w:trHeight w:val="2239"/>
          <w:jc w:val="center"/>
        </w:trPr>
        <w:tc>
          <w:tcPr>
            <w:tcW w:w="5000" w:type="pct"/>
            <w:tcBorders>
              <w:top w:val="single" w:sz="4" w:space="0" w:color="auto"/>
              <w:left w:val="nil"/>
              <w:bottom w:val="single" w:sz="4" w:space="0" w:color="auto"/>
              <w:right w:val="nil"/>
            </w:tcBorders>
            <w:shd w:val="clear" w:color="auto" w:fill="auto"/>
          </w:tcPr>
          <w:p w14:paraId="3D1F367E" w14:textId="77777777" w:rsidR="00BD53AF" w:rsidRPr="00AA3D60" w:rsidRDefault="00BD53AF" w:rsidP="00387AE5">
            <w:pPr>
              <w:jc w:val="center"/>
              <w:rPr>
                <w:rFonts w:cs="Arial"/>
                <w:b/>
                <w:bCs/>
                <w:sz w:val="16"/>
                <w:szCs w:val="16"/>
                <w:highlight w:val="yellow"/>
              </w:rPr>
            </w:pPr>
            <w:r>
              <w:rPr>
                <w:noProof/>
              </w:rPr>
              <w:drawing>
                <wp:inline distT="0" distB="0" distL="0" distR="0" wp14:anchorId="6298F4CB" wp14:editId="207E656E">
                  <wp:extent cx="5622877" cy="271399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BD53AF" w:rsidRPr="00AA3D60" w14:paraId="6357934C" w14:textId="77777777" w:rsidTr="00387AE5">
        <w:trPr>
          <w:trHeight w:val="44"/>
          <w:jc w:val="center"/>
        </w:trPr>
        <w:tc>
          <w:tcPr>
            <w:tcW w:w="5000" w:type="pct"/>
            <w:tcBorders>
              <w:top w:val="single" w:sz="4" w:space="0" w:color="auto"/>
              <w:left w:val="nil"/>
              <w:bottom w:val="nil"/>
              <w:right w:val="nil"/>
            </w:tcBorders>
            <w:shd w:val="clear" w:color="auto" w:fill="auto"/>
          </w:tcPr>
          <w:p w14:paraId="7E176A57" w14:textId="77777777" w:rsidR="00BD53AF" w:rsidRPr="00AA3D60" w:rsidRDefault="00BD53AF" w:rsidP="00387AE5">
            <w:pPr>
              <w:ind w:left="360"/>
              <w:jc w:val="right"/>
              <w:rPr>
                <w:rFonts w:cs="Arial"/>
                <w:i/>
                <w:iCs/>
                <w:sz w:val="16"/>
                <w:szCs w:val="16"/>
              </w:rPr>
            </w:pPr>
            <w:r w:rsidRPr="00AA3D60">
              <w:rPr>
                <w:rFonts w:cs="Times New Roman"/>
                <w:i/>
                <w:sz w:val="16"/>
                <w:szCs w:val="14"/>
              </w:rPr>
              <w:t>Zdroj: MF SR</w:t>
            </w:r>
            <w:r w:rsidRPr="00AA3D60">
              <w:rPr>
                <w:rFonts w:cs="Arial"/>
                <w:i/>
                <w:iCs/>
                <w:sz w:val="16"/>
                <w:szCs w:val="16"/>
              </w:rPr>
              <w:t xml:space="preserve"> </w:t>
            </w:r>
          </w:p>
        </w:tc>
      </w:tr>
      <w:tr w:rsidR="00BD53AF" w:rsidRPr="00AA3D60" w14:paraId="61EB875B" w14:textId="77777777" w:rsidTr="00387AE5">
        <w:trPr>
          <w:trHeight w:val="44"/>
          <w:jc w:val="center"/>
        </w:trPr>
        <w:tc>
          <w:tcPr>
            <w:tcW w:w="5000" w:type="pct"/>
            <w:tcBorders>
              <w:left w:val="nil"/>
              <w:bottom w:val="nil"/>
              <w:right w:val="nil"/>
            </w:tcBorders>
            <w:shd w:val="clear" w:color="auto" w:fill="auto"/>
          </w:tcPr>
          <w:p w14:paraId="31BAC904" w14:textId="77777777" w:rsidR="00BD53AF" w:rsidRDefault="00BD53AF" w:rsidP="00387AE5">
            <w:pPr>
              <w:jc w:val="both"/>
              <w:rPr>
                <w:rFonts w:cs="Times New Roman"/>
                <w:b/>
              </w:rPr>
            </w:pPr>
          </w:p>
          <w:p w14:paraId="65BE6256" w14:textId="501B7831" w:rsidR="00BD53AF" w:rsidRPr="002300C8" w:rsidRDefault="00BD53AF" w:rsidP="00387AE5">
            <w:pPr>
              <w:jc w:val="both"/>
              <w:rPr>
                <w:rFonts w:cs="Arial Narrow"/>
                <w:b/>
              </w:rPr>
            </w:pPr>
            <w:r w:rsidRPr="002300C8">
              <w:rPr>
                <w:rFonts w:cs="Times New Roman"/>
                <w:b/>
              </w:rPr>
              <w:t>Pokles hrubého dlhu zaznamená počas rokov 2020 až 2022 viac než 3 p. b. a dostane sa pod úroveň 45 % HDP (najnižšie sankčné pásmo dlhovej brzdy v roku 2022</w:t>
            </w:r>
            <w:r w:rsidR="0008307D">
              <w:rPr>
                <w:rStyle w:val="Odkaznapoznmkupodiarou"/>
                <w:b/>
              </w:rPr>
              <w:footnoteReference w:id="37"/>
            </w:r>
            <w:r w:rsidRPr="002300C8">
              <w:rPr>
                <w:rFonts w:cs="Times New Roman"/>
                <w:b/>
              </w:rPr>
              <w:t>).</w:t>
            </w:r>
            <w:r w:rsidRPr="002300C8">
              <w:rPr>
                <w:rFonts w:cs="Times New Roman"/>
              </w:rPr>
              <w:t xml:space="preserve"> Dynamika poklesu dlhu začne mierne spomaľovať kvôli zvoľneniu ekonomického rastu smerom k svojmu potenciálu. Nominálny rast ekonomiky bude aj v tomto období naďalej výrazne nad úrokovými sadzbami a pomôže tak k zníženiu dlhu v pomere k HDP cez efekt tzv. snehovej gule</w:t>
            </w:r>
            <w:r w:rsidRPr="002300C8">
              <w:rPr>
                <w:rStyle w:val="Odkaznapoznmkupodiarou"/>
              </w:rPr>
              <w:footnoteReference w:id="38"/>
            </w:r>
            <w:r w:rsidR="007557B3" w:rsidRPr="002300C8">
              <w:rPr>
                <w:rFonts w:cs="Times New Roman"/>
              </w:rPr>
              <w:t>.</w:t>
            </w:r>
            <w:r w:rsidRPr="002300C8">
              <w:rPr>
                <w:rFonts w:cs="Times New Roman"/>
              </w:rPr>
              <w:t xml:space="preserve"> Od roku 2020 sa primárny prebytok ustáli okolo 1 % HDP, hoci na dynamiku dlhu bude naďalej pôsobiť hotovostný výsledok štátneho rozpočtu. Samotný štátny rozpočet bude hospodáriť hotovostne s deficitom 2</w:t>
            </w:r>
            <w:r w:rsidR="009C5BB2" w:rsidRPr="002300C8">
              <w:rPr>
                <w:rFonts w:cs="Times New Roman"/>
              </w:rPr>
              <w:t>,1</w:t>
            </w:r>
            <w:r w:rsidRPr="002300C8">
              <w:rPr>
                <w:rFonts w:cs="Times New Roman"/>
              </w:rPr>
              <w:t> % HDP, pri plánov</w:t>
            </w:r>
            <w:r w:rsidR="009C5BB2" w:rsidRPr="002300C8">
              <w:rPr>
                <w:rFonts w:cs="Times New Roman"/>
              </w:rPr>
              <w:t>anom poklese na 1,2</w:t>
            </w:r>
            <w:r w:rsidRPr="002300C8">
              <w:rPr>
                <w:rFonts w:cs="Times New Roman"/>
              </w:rPr>
              <w:t xml:space="preserve"> % HDP v roku 2022. K rozdielu hospodárenia na akruálnej </w:t>
            </w:r>
            <w:r w:rsidRPr="002300C8">
              <w:rPr>
                <w:rFonts w:cs="Times New Roman"/>
              </w:rPr>
              <w:lastRenderedPageBreak/>
              <w:t>a hotovostnej báze prispeje okrem výdavkov na obranu</w:t>
            </w:r>
            <w:r w:rsidRPr="002300C8">
              <w:rPr>
                <w:rStyle w:val="Odkaznapoznmkupodiarou"/>
              </w:rPr>
              <w:footnoteReference w:id="39"/>
            </w:r>
            <w:r w:rsidRPr="002300C8">
              <w:rPr>
                <w:rFonts w:cs="Times New Roman"/>
              </w:rPr>
              <w:t xml:space="preserve"> a iných faktorov aj jednorazový vklad SR do Európskeho stabilizačného mechanizmu v roku 2020</w:t>
            </w:r>
            <w:r w:rsidRPr="002300C8">
              <w:rPr>
                <w:rStyle w:val="Odkaznapoznmkupodiarou"/>
                <w:lang w:val="sk-SK"/>
              </w:rPr>
              <w:footnoteReference w:id="40"/>
            </w:r>
            <w:r w:rsidRPr="002300C8">
              <w:rPr>
                <w:rFonts w:cs="Times New Roman"/>
              </w:rPr>
              <w:t xml:space="preserve">. Podiel dlhu tvorený </w:t>
            </w:r>
            <w:r w:rsidRPr="002300C8">
              <w:t>záväzkami SR v európskych stabilizačných mechanizmoch bude aj naďalej tvoriť vyše 2 p. b. HDP.</w:t>
            </w:r>
            <w:r w:rsidRPr="002300C8">
              <w:rPr>
                <w:rStyle w:val="Odkaznapoznmkupodiarou"/>
                <w:lang w:val="sk-SK"/>
              </w:rPr>
              <w:t xml:space="preserve"> </w:t>
            </w:r>
            <w:r w:rsidRPr="002300C8">
              <w:rPr>
                <w:rFonts w:cs="Times New Roman"/>
              </w:rPr>
              <w:t>Medziročné spomalenie poklesu dlhu ku koncu prognózy (na úroveň 44,4 % HDP v roku 2022) pramení z výraznejšieho nárastu hotovosti na účtoch viacerých subjektov verejnej správy, ktoré nie je využité na pokles záväzkov. Dlh by sa mal v rokoch 2020 až 2022 nachádzať v priemere 0,9 p. b. pod dolným sankčným pásmom dlhovej brzdy.</w:t>
            </w:r>
          </w:p>
          <w:p w14:paraId="53CF6CCF" w14:textId="77777777" w:rsidR="00BD53AF" w:rsidRPr="002300C8" w:rsidRDefault="00BD53AF" w:rsidP="00387AE5">
            <w:pPr>
              <w:jc w:val="both"/>
              <w:rPr>
                <w:rFonts w:cs="Arial Narrow"/>
                <w:b/>
              </w:rPr>
            </w:pPr>
          </w:p>
          <w:tbl>
            <w:tblPr>
              <w:tblW w:w="893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4610"/>
              <w:gridCol w:w="157"/>
              <w:gridCol w:w="4165"/>
            </w:tblGrid>
            <w:tr w:rsidR="00623BE5" w:rsidRPr="002300C8" w14:paraId="394125F6" w14:textId="77777777" w:rsidTr="00623BE5">
              <w:trPr>
                <w:trHeight w:val="1968"/>
                <w:jc w:val="center"/>
              </w:trPr>
              <w:tc>
                <w:tcPr>
                  <w:tcW w:w="4610" w:type="dxa"/>
                  <w:tcBorders>
                    <w:top w:val="nil"/>
                    <w:left w:val="nil"/>
                    <w:bottom w:val="single" w:sz="4" w:space="0" w:color="auto"/>
                    <w:right w:val="nil"/>
                  </w:tcBorders>
                  <w:vAlign w:val="center"/>
                </w:tcPr>
                <w:p w14:paraId="578E2CCC" w14:textId="412EE873" w:rsidR="00BD53AF" w:rsidRPr="002300C8" w:rsidRDefault="00BD53AF" w:rsidP="00387AE5">
                  <w:pPr>
                    <w:pStyle w:val="Nadpis3"/>
                    <w:pBdr>
                      <w:bottom w:val="single" w:sz="4" w:space="1" w:color="auto"/>
                    </w:pBdr>
                    <w:rPr>
                      <w:rFonts w:eastAsiaTheme="minorHAnsi"/>
                      <w:color w:val="2C9ADC"/>
                      <w:lang w:eastAsia="en-US"/>
                    </w:rPr>
                  </w:pPr>
                  <w:bookmarkStart w:id="150" w:name="_Ref5285269"/>
                  <w:bookmarkStart w:id="151" w:name="_Toc6314262"/>
                  <w:r w:rsidRPr="002300C8">
                    <w:rPr>
                      <w:rFonts w:eastAsiaTheme="minorHAnsi"/>
                      <w:color w:val="2C9ADC"/>
                      <w:lang w:eastAsia="en-US"/>
                    </w:rPr>
                    <w:t xml:space="preserve">GRAF </w:t>
                  </w:r>
                  <w:r w:rsidRPr="002300C8">
                    <w:rPr>
                      <w:rFonts w:eastAsiaTheme="minorHAnsi"/>
                      <w:color w:val="2C9ADC"/>
                      <w:lang w:eastAsia="en-US"/>
                    </w:rPr>
                    <w:fldChar w:fldCharType="begin"/>
                  </w:r>
                  <w:r w:rsidRPr="002300C8">
                    <w:rPr>
                      <w:rFonts w:eastAsiaTheme="minorHAnsi"/>
                      <w:color w:val="2C9ADC"/>
                      <w:lang w:eastAsia="en-US"/>
                    </w:rPr>
                    <w:instrText xml:space="preserve"> SEQ GRAF \* ARABIC </w:instrText>
                  </w:r>
                  <w:r w:rsidRPr="002300C8">
                    <w:rPr>
                      <w:rFonts w:eastAsiaTheme="minorHAnsi"/>
                      <w:color w:val="2C9ADC"/>
                      <w:lang w:eastAsia="en-US"/>
                    </w:rPr>
                    <w:fldChar w:fldCharType="separate"/>
                  </w:r>
                  <w:r w:rsidR="00D5739E">
                    <w:rPr>
                      <w:rFonts w:eastAsiaTheme="minorHAnsi"/>
                      <w:noProof/>
                      <w:color w:val="2C9ADC"/>
                      <w:lang w:eastAsia="en-US"/>
                    </w:rPr>
                    <w:t>19</w:t>
                  </w:r>
                  <w:r w:rsidRPr="002300C8">
                    <w:rPr>
                      <w:rFonts w:eastAsiaTheme="minorHAnsi"/>
                      <w:color w:val="2C9ADC"/>
                      <w:lang w:eastAsia="en-US"/>
                    </w:rPr>
                    <w:fldChar w:fldCharType="end"/>
                  </w:r>
                  <w:r w:rsidRPr="002300C8">
                    <w:rPr>
                      <w:rFonts w:eastAsiaTheme="minorHAnsi"/>
                      <w:color w:val="2C9ADC"/>
                      <w:lang w:eastAsia="en-US"/>
                    </w:rPr>
                    <w:t xml:space="preserve"> - Príspevky faktorov k medziročnej zmene hrubého dlhu (% HDP)</w:t>
                  </w:r>
                  <w:bookmarkEnd w:id="150"/>
                  <w:bookmarkEnd w:id="151"/>
                </w:p>
                <w:p w14:paraId="045961A9" w14:textId="7C4FDE24" w:rsidR="00BD53AF" w:rsidRPr="002300C8" w:rsidRDefault="00623BE5" w:rsidP="00387AE5">
                  <w:pPr>
                    <w:spacing w:before="40" w:after="40"/>
                    <w:jc w:val="center"/>
                    <w:rPr>
                      <w:rFonts w:cs="Arial"/>
                      <w:b/>
                      <w:sz w:val="20"/>
                      <w:szCs w:val="20"/>
                    </w:rPr>
                  </w:pPr>
                  <w:r w:rsidRPr="002300C8">
                    <w:rPr>
                      <w:noProof/>
                    </w:rPr>
                    <w:drawing>
                      <wp:inline distT="0" distB="0" distL="0" distR="0" wp14:anchorId="1F09F780" wp14:editId="79202CBF">
                        <wp:extent cx="2838090" cy="2078966"/>
                        <wp:effectExtent l="0" t="0" r="63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57" w:type="dxa"/>
                  <w:tcBorders>
                    <w:top w:val="nil"/>
                    <w:left w:val="nil"/>
                    <w:bottom w:val="nil"/>
                    <w:right w:val="nil"/>
                  </w:tcBorders>
                  <w:vAlign w:val="center"/>
                </w:tcPr>
                <w:p w14:paraId="740431CF" w14:textId="77777777" w:rsidR="00BD53AF" w:rsidRPr="002300C8" w:rsidRDefault="00BD53AF" w:rsidP="00387AE5">
                  <w:pPr>
                    <w:spacing w:before="40" w:after="40"/>
                    <w:jc w:val="center"/>
                    <w:rPr>
                      <w:rFonts w:cs="Arial"/>
                      <w:b/>
                      <w:sz w:val="20"/>
                      <w:szCs w:val="20"/>
                    </w:rPr>
                  </w:pPr>
                </w:p>
              </w:tc>
              <w:tc>
                <w:tcPr>
                  <w:tcW w:w="4165" w:type="dxa"/>
                  <w:tcBorders>
                    <w:top w:val="nil"/>
                    <w:left w:val="nil"/>
                    <w:bottom w:val="single" w:sz="4" w:space="0" w:color="auto"/>
                    <w:right w:val="nil"/>
                  </w:tcBorders>
                  <w:vAlign w:val="center"/>
                </w:tcPr>
                <w:p w14:paraId="5FF7D2D9" w14:textId="7A6F2000" w:rsidR="00BD53AF" w:rsidRPr="002300C8" w:rsidRDefault="00BD53AF" w:rsidP="00387AE5">
                  <w:pPr>
                    <w:pStyle w:val="Nadpis3"/>
                    <w:pBdr>
                      <w:bottom w:val="single" w:sz="4" w:space="1" w:color="auto"/>
                    </w:pBdr>
                    <w:rPr>
                      <w:rFonts w:eastAsiaTheme="minorHAnsi"/>
                      <w:color w:val="2C9ADC"/>
                      <w:lang w:eastAsia="en-US"/>
                    </w:rPr>
                  </w:pPr>
                  <w:bookmarkStart w:id="152" w:name="_Ref5285285"/>
                  <w:bookmarkStart w:id="153" w:name="_Toc6314263"/>
                  <w:r w:rsidRPr="002300C8">
                    <w:rPr>
                      <w:rFonts w:eastAsiaTheme="minorHAnsi"/>
                      <w:color w:val="2C9ADC"/>
                      <w:lang w:eastAsia="en-US"/>
                    </w:rPr>
                    <w:t xml:space="preserve">GRAF </w:t>
                  </w:r>
                  <w:r w:rsidRPr="002300C8">
                    <w:rPr>
                      <w:rFonts w:eastAsiaTheme="minorHAnsi"/>
                      <w:color w:val="2C9ADC"/>
                      <w:lang w:eastAsia="en-US"/>
                    </w:rPr>
                    <w:fldChar w:fldCharType="begin"/>
                  </w:r>
                  <w:r w:rsidRPr="002300C8">
                    <w:rPr>
                      <w:rFonts w:eastAsiaTheme="minorHAnsi"/>
                      <w:color w:val="2C9ADC"/>
                      <w:lang w:eastAsia="en-US"/>
                    </w:rPr>
                    <w:instrText xml:space="preserve"> SEQ GRAF \* ARABIC </w:instrText>
                  </w:r>
                  <w:r w:rsidRPr="002300C8">
                    <w:rPr>
                      <w:rFonts w:eastAsiaTheme="minorHAnsi"/>
                      <w:color w:val="2C9ADC"/>
                      <w:lang w:eastAsia="en-US"/>
                    </w:rPr>
                    <w:fldChar w:fldCharType="separate"/>
                  </w:r>
                  <w:r w:rsidR="00D5739E">
                    <w:rPr>
                      <w:rFonts w:eastAsiaTheme="minorHAnsi"/>
                      <w:noProof/>
                      <w:color w:val="2C9ADC"/>
                      <w:lang w:eastAsia="en-US"/>
                    </w:rPr>
                    <w:t>20</w:t>
                  </w:r>
                  <w:r w:rsidRPr="002300C8">
                    <w:rPr>
                      <w:rFonts w:eastAsiaTheme="minorHAnsi"/>
                      <w:color w:val="2C9ADC"/>
                      <w:lang w:eastAsia="en-US"/>
                    </w:rPr>
                    <w:fldChar w:fldCharType="end"/>
                  </w:r>
                  <w:r w:rsidR="00F961A8">
                    <w:rPr>
                      <w:rFonts w:eastAsiaTheme="minorHAnsi"/>
                      <w:color w:val="2C9ADC"/>
                      <w:lang w:eastAsia="en-US"/>
                    </w:rPr>
                    <w:t xml:space="preserve"> -</w:t>
                  </w:r>
                  <w:r w:rsidRPr="002300C8">
                    <w:rPr>
                      <w:rFonts w:eastAsiaTheme="minorHAnsi"/>
                      <w:color w:val="2C9ADC"/>
                      <w:lang w:eastAsia="en-US"/>
                    </w:rPr>
                    <w:t xml:space="preserve"> Rozdiel medzi nominálnym rastom HDP a úrokovými sadzbami (% medziročné rasty)</w:t>
                  </w:r>
                  <w:bookmarkEnd w:id="152"/>
                  <w:bookmarkEnd w:id="153"/>
                </w:p>
                <w:p w14:paraId="4160CA64" w14:textId="77777777" w:rsidR="00BD53AF" w:rsidRPr="002300C8" w:rsidRDefault="00BD53AF" w:rsidP="00387AE5">
                  <w:pPr>
                    <w:spacing w:before="40" w:after="40"/>
                    <w:jc w:val="center"/>
                    <w:rPr>
                      <w:rFonts w:cs="Arial"/>
                      <w:b/>
                      <w:sz w:val="20"/>
                      <w:szCs w:val="20"/>
                    </w:rPr>
                  </w:pPr>
                  <w:r w:rsidRPr="002300C8">
                    <w:rPr>
                      <w:noProof/>
                    </w:rPr>
                    <w:drawing>
                      <wp:inline distT="0" distB="0" distL="0" distR="0" wp14:anchorId="0F404214" wp14:editId="06D940B8">
                        <wp:extent cx="2555875" cy="2097405"/>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623BE5" w:rsidRPr="008E1719" w14:paraId="74600823" w14:textId="77777777" w:rsidTr="00145689">
              <w:trPr>
                <w:trHeight w:val="106"/>
                <w:jc w:val="center"/>
              </w:trPr>
              <w:tc>
                <w:tcPr>
                  <w:tcW w:w="4610" w:type="dxa"/>
                  <w:tcBorders>
                    <w:top w:val="single" w:sz="4" w:space="0" w:color="auto"/>
                    <w:left w:val="nil"/>
                    <w:bottom w:val="nil"/>
                    <w:right w:val="nil"/>
                  </w:tcBorders>
                  <w:vAlign w:val="center"/>
                </w:tcPr>
                <w:p w14:paraId="135A1AB9" w14:textId="77777777" w:rsidR="00BD53AF" w:rsidRPr="002300C8" w:rsidRDefault="00BD53AF" w:rsidP="00387AE5">
                  <w:pPr>
                    <w:pStyle w:val="poznmka"/>
                  </w:pPr>
                  <w:r w:rsidRPr="002300C8">
                    <w:t>Zdroj: ŠÚ SR, MF SR</w:t>
                  </w:r>
                </w:p>
              </w:tc>
              <w:tc>
                <w:tcPr>
                  <w:tcW w:w="157" w:type="dxa"/>
                  <w:tcBorders>
                    <w:top w:val="nil"/>
                    <w:left w:val="nil"/>
                    <w:bottom w:val="nil"/>
                    <w:right w:val="nil"/>
                  </w:tcBorders>
                  <w:vAlign w:val="center"/>
                </w:tcPr>
                <w:p w14:paraId="02BFE235" w14:textId="77777777" w:rsidR="00BD53AF" w:rsidRPr="002300C8" w:rsidRDefault="00BD53AF" w:rsidP="00387AE5">
                  <w:pPr>
                    <w:pStyle w:val="poznmka"/>
                  </w:pPr>
                </w:p>
              </w:tc>
              <w:tc>
                <w:tcPr>
                  <w:tcW w:w="4165" w:type="dxa"/>
                  <w:tcBorders>
                    <w:top w:val="single" w:sz="4" w:space="0" w:color="auto"/>
                    <w:left w:val="nil"/>
                    <w:bottom w:val="nil"/>
                    <w:right w:val="nil"/>
                  </w:tcBorders>
                  <w:vAlign w:val="center"/>
                </w:tcPr>
                <w:p w14:paraId="1655CB2C" w14:textId="77777777" w:rsidR="00BD53AF" w:rsidRPr="008E1719" w:rsidRDefault="00BD53AF" w:rsidP="00387AE5">
                  <w:pPr>
                    <w:pStyle w:val="poznmka"/>
                  </w:pPr>
                  <w:r w:rsidRPr="002300C8">
                    <w:t>Zdroj: ŠÚ SR, MF SR</w:t>
                  </w:r>
                </w:p>
              </w:tc>
            </w:tr>
          </w:tbl>
          <w:p w14:paraId="23251D8E" w14:textId="77777777" w:rsidR="00BD53AF" w:rsidRPr="002740CE" w:rsidRDefault="00BD53AF" w:rsidP="00387AE5">
            <w:pPr>
              <w:jc w:val="both"/>
            </w:pPr>
          </w:p>
        </w:tc>
      </w:tr>
    </w:tbl>
    <w:p w14:paraId="23B4A5CC" w14:textId="77777777" w:rsidR="00BD53AF" w:rsidRPr="00521E02" w:rsidRDefault="00BD53AF" w:rsidP="004F1515">
      <w:pPr>
        <w:spacing w:before="240" w:after="120"/>
        <w:jc w:val="both"/>
        <w:rPr>
          <w:rFonts w:cstheme="minorBidi"/>
          <w:b/>
          <w:color w:val="2C9ADC" w:themeColor="accent1"/>
        </w:rPr>
      </w:pPr>
      <w:r w:rsidRPr="00521E02">
        <w:rPr>
          <w:rFonts w:cstheme="minorBidi"/>
          <w:b/>
          <w:color w:val="2C9ADC" w:themeColor="accent1"/>
        </w:rPr>
        <w:lastRenderedPageBreak/>
        <w:t>Čistý dlh</w:t>
      </w:r>
    </w:p>
    <w:p w14:paraId="644940A0" w14:textId="77777777" w:rsidR="00BD53AF" w:rsidRDefault="00BD53AF" w:rsidP="00BD53AF">
      <w:pPr>
        <w:spacing w:after="240"/>
        <w:jc w:val="both"/>
        <w:rPr>
          <w:rFonts w:cs="Arial Narrow"/>
        </w:rPr>
      </w:pPr>
      <w:r w:rsidRPr="0019108B">
        <w:rPr>
          <w:rFonts w:cs="Arial Narrow"/>
          <w:b/>
        </w:rPr>
        <w:t>Čistý dlh</w:t>
      </w:r>
      <w:r w:rsidRPr="0019108B">
        <w:rPr>
          <w:rStyle w:val="Odkaznapoznmkupodiarou"/>
        </w:rPr>
        <w:footnoteReference w:id="41"/>
      </w:r>
      <w:r w:rsidRPr="0019108B">
        <w:rPr>
          <w:rFonts w:cs="Arial Narrow"/>
          <w:b/>
        </w:rPr>
        <w:t xml:space="preserve"> klesol v roku 2018 na úroveň 43 % HDP, čím prekonal dynamiku poklesu hrubého dlhu o 0,3 p. b.</w:t>
      </w:r>
      <w:r w:rsidRPr="0019108B">
        <w:rPr>
          <w:rFonts w:cs="Arial Narrow"/>
        </w:rPr>
        <w:t>. Dôvodom je najmä navýšenie stavu finančných aktív z hotovostných prebytkov jednotlivých subjektov VS. Zatiaľ čo v prípade hrubého dlhu nevyužitie nárastu hotovosti na krytie finančných potrieb tempo jeho poklesu spomaľuje, čistý dlh je o nárast aktív očistený.</w:t>
      </w:r>
    </w:p>
    <w:p w14:paraId="694118D5" w14:textId="18BD8E70" w:rsidR="000032FE" w:rsidRDefault="00BD53AF" w:rsidP="00BD53AF">
      <w:pPr>
        <w:spacing w:after="240"/>
        <w:jc w:val="both"/>
      </w:pPr>
      <w:r>
        <w:rPr>
          <w:b/>
        </w:rPr>
        <w:t>A</w:t>
      </w:r>
      <w:r w:rsidRPr="00AA3D60">
        <w:rPr>
          <w:b/>
        </w:rPr>
        <w:t>j na horizonte prognózy</w:t>
      </w:r>
      <w:r>
        <w:rPr>
          <w:b/>
        </w:rPr>
        <w:t xml:space="preserve"> </w:t>
      </w:r>
      <w:r w:rsidRPr="00AA3D60">
        <w:rPr>
          <w:b/>
        </w:rPr>
        <w:t xml:space="preserve">bude </w:t>
      </w:r>
      <w:r>
        <w:rPr>
          <w:b/>
        </w:rPr>
        <w:t>č</w:t>
      </w:r>
      <w:r w:rsidRPr="00AA3D60">
        <w:rPr>
          <w:b/>
        </w:rPr>
        <w:t>istý dlh klesať rýchlejšie ako hrubý dlh</w:t>
      </w:r>
      <w:r>
        <w:rPr>
          <w:rFonts w:cs="Arial Narrow"/>
          <w:b/>
        </w:rPr>
        <w:t xml:space="preserve"> a do konca roka 2022 dosiahne úroveň 37,1 % HDP. </w:t>
      </w:r>
      <w:r w:rsidRPr="00AA3D60">
        <w:t xml:space="preserve">Dôvodom je </w:t>
      </w:r>
      <w:r>
        <w:t>opäť kumulovanie</w:t>
      </w:r>
      <w:r w:rsidRPr="00AA3D60">
        <w:t xml:space="preserve"> hotovosti na účtoch VS z</w:t>
      </w:r>
      <w:r>
        <w:t> očakávaných</w:t>
      </w:r>
      <w:r w:rsidRPr="00AA3D60">
        <w:t xml:space="preserve"> prebytkov </w:t>
      </w:r>
      <w:r>
        <w:t xml:space="preserve">viacerých subjektov </w:t>
      </w:r>
      <w:r w:rsidRPr="00AA3D60">
        <w:t xml:space="preserve">(najmä </w:t>
      </w:r>
      <w:r>
        <w:t>štátnych fondov, Sociálnej poisťovni a samospráv</w:t>
      </w:r>
      <w:r w:rsidRPr="00AA3D60">
        <w:t>) a z</w:t>
      </w:r>
      <w:r>
        <w:t xml:space="preserve"> vyššej miery predfinancovania sa likviditou v roku 2022 </w:t>
      </w:r>
      <w:r w:rsidRPr="00AA3D60">
        <w:t xml:space="preserve">na </w:t>
      </w:r>
      <w:r>
        <w:t>nadchádzajúce</w:t>
      </w:r>
      <w:r w:rsidRPr="00AA3D60">
        <w:t xml:space="preserve"> </w:t>
      </w:r>
      <w:r w:rsidRPr="0090725C">
        <w:t>obdobie (</w:t>
      </w:r>
      <w:r w:rsidR="00BA4D62" w:rsidRPr="00BA4D62">
        <w:rPr>
          <w:color w:val="2C9ADC" w:themeColor="accent1"/>
        </w:rPr>
        <w:t>GRAF 22</w:t>
      </w:r>
      <w:r w:rsidRPr="0090725C">
        <w:t>). Likvidné</w:t>
      </w:r>
      <w:r w:rsidRPr="00AA3D60">
        <w:t xml:space="preserve"> finančné aktíva verejnej správy tak do konca prognózy stúpnu z</w:t>
      </w:r>
      <w:r>
        <w:t xml:space="preserve"> 6,0 </w:t>
      </w:r>
      <w:r>
        <w:rPr>
          <w:lang w:val="en-US"/>
        </w:rPr>
        <w:t>% HDP</w:t>
      </w:r>
      <w:r w:rsidRPr="00AA3D60">
        <w:t xml:space="preserve"> v roku 2018 na </w:t>
      </w:r>
      <w:r>
        <w:t>7,2</w:t>
      </w:r>
      <w:r w:rsidRPr="00AA3D60">
        <w:t xml:space="preserve"> % HDP v roku 2022.</w:t>
      </w:r>
    </w:p>
    <w:p w14:paraId="6545AE09" w14:textId="77777777" w:rsidR="000032FE" w:rsidRDefault="000032FE">
      <w:r>
        <w:br w:type="page"/>
      </w:r>
    </w:p>
    <w:tbl>
      <w:tblPr>
        <w:tblpPr w:leftFromText="141" w:rightFromText="141" w:vertAnchor="text" w:horzAnchor="margin" w:tblpXSpec="center" w:tblpY="136"/>
        <w:tblOverlap w:val="never"/>
        <w:tblW w:w="93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481"/>
        <w:gridCol w:w="188"/>
        <w:gridCol w:w="4661"/>
      </w:tblGrid>
      <w:tr w:rsidR="00BD53AF" w:rsidRPr="00B9299D" w14:paraId="0EB4B6CD" w14:textId="77777777" w:rsidTr="00387AE5">
        <w:trPr>
          <w:trHeight w:val="297"/>
        </w:trPr>
        <w:tc>
          <w:tcPr>
            <w:tcW w:w="2401" w:type="pct"/>
            <w:tcBorders>
              <w:top w:val="nil"/>
              <w:left w:val="nil"/>
              <w:bottom w:val="single" w:sz="4" w:space="0" w:color="auto"/>
              <w:right w:val="nil"/>
            </w:tcBorders>
            <w:shd w:val="clear" w:color="auto" w:fill="auto"/>
            <w:vAlign w:val="center"/>
          </w:tcPr>
          <w:p w14:paraId="01629400" w14:textId="3CA0787A" w:rsidR="00BD53AF" w:rsidRPr="00807E43" w:rsidRDefault="00BD53AF" w:rsidP="00387AE5">
            <w:pPr>
              <w:pStyle w:val="Nadpis3"/>
              <w:rPr>
                <w:b w:val="0"/>
                <w:color w:val="2C9ADC"/>
                <w:szCs w:val="20"/>
                <w:lang w:val="en-US"/>
              </w:rPr>
            </w:pPr>
            <w:bookmarkStart w:id="154" w:name="_Toc6314264"/>
            <w:r w:rsidRPr="009B1FA2">
              <w:rPr>
                <w:rFonts w:eastAsiaTheme="minorHAnsi"/>
                <w:color w:val="2C9ADC"/>
                <w:lang w:eastAsia="en-US"/>
              </w:rPr>
              <w:lastRenderedPageBreak/>
              <w:t xml:space="preserve">GRAF </w:t>
            </w:r>
            <w:r w:rsidRPr="009B1FA2">
              <w:rPr>
                <w:rFonts w:eastAsiaTheme="minorHAnsi"/>
                <w:color w:val="2C9ADC"/>
                <w:lang w:eastAsia="en-US"/>
              </w:rPr>
              <w:fldChar w:fldCharType="begin"/>
            </w:r>
            <w:r w:rsidRPr="009B1FA2">
              <w:rPr>
                <w:rFonts w:eastAsiaTheme="minorHAnsi"/>
                <w:color w:val="2C9ADC"/>
                <w:lang w:eastAsia="en-US"/>
              </w:rPr>
              <w:instrText xml:space="preserve"> SEQ GRAF \* ARABIC </w:instrText>
            </w:r>
            <w:r w:rsidRPr="009B1FA2">
              <w:rPr>
                <w:rFonts w:eastAsiaTheme="minorHAnsi"/>
                <w:color w:val="2C9ADC"/>
                <w:lang w:eastAsia="en-US"/>
              </w:rPr>
              <w:fldChar w:fldCharType="separate"/>
            </w:r>
            <w:r w:rsidR="00D5739E">
              <w:rPr>
                <w:rFonts w:eastAsiaTheme="minorHAnsi"/>
                <w:noProof/>
                <w:color w:val="2C9ADC"/>
                <w:lang w:eastAsia="en-US"/>
              </w:rPr>
              <w:t>21</w:t>
            </w:r>
            <w:r w:rsidRPr="009B1FA2">
              <w:rPr>
                <w:rFonts w:eastAsiaTheme="minorHAnsi"/>
                <w:color w:val="2C9ADC"/>
                <w:lang w:eastAsia="en-US"/>
              </w:rPr>
              <w:fldChar w:fldCharType="end"/>
            </w:r>
            <w:r w:rsidRPr="009B1FA2">
              <w:rPr>
                <w:rFonts w:eastAsiaTheme="minorHAnsi"/>
                <w:color w:val="2C9ADC"/>
                <w:lang w:eastAsia="en-US"/>
              </w:rPr>
              <w:t xml:space="preserve"> - Čistý dlh (% HDP)</w:t>
            </w:r>
            <w:bookmarkEnd w:id="154"/>
          </w:p>
        </w:tc>
        <w:tc>
          <w:tcPr>
            <w:tcW w:w="101" w:type="pct"/>
            <w:tcBorders>
              <w:top w:val="nil"/>
              <w:left w:val="nil"/>
              <w:bottom w:val="nil"/>
              <w:right w:val="nil"/>
            </w:tcBorders>
            <w:shd w:val="clear" w:color="auto" w:fill="auto"/>
            <w:vAlign w:val="center"/>
          </w:tcPr>
          <w:p w14:paraId="3DD477B3" w14:textId="77777777" w:rsidR="00BD53AF" w:rsidRPr="00807E43" w:rsidRDefault="00BD53AF" w:rsidP="00387AE5">
            <w:pPr>
              <w:spacing w:before="60" w:after="60"/>
              <w:rPr>
                <w:rFonts w:cs="Arial"/>
                <w:b/>
                <w:color w:val="2C9ADC"/>
                <w:sz w:val="20"/>
                <w:szCs w:val="20"/>
              </w:rPr>
            </w:pPr>
          </w:p>
        </w:tc>
        <w:tc>
          <w:tcPr>
            <w:tcW w:w="2498" w:type="pct"/>
            <w:tcBorders>
              <w:top w:val="nil"/>
              <w:left w:val="nil"/>
              <w:bottom w:val="single" w:sz="4" w:space="0" w:color="auto"/>
              <w:right w:val="nil"/>
            </w:tcBorders>
            <w:shd w:val="clear" w:color="auto" w:fill="auto"/>
            <w:vAlign w:val="center"/>
          </w:tcPr>
          <w:p w14:paraId="1B00F49C" w14:textId="459456CB" w:rsidR="00BD53AF" w:rsidRPr="00807E43" w:rsidRDefault="00BD53AF" w:rsidP="00387AE5">
            <w:pPr>
              <w:pStyle w:val="Nadpis3"/>
              <w:rPr>
                <w:b w:val="0"/>
                <w:color w:val="2C9ADC"/>
                <w:szCs w:val="20"/>
                <w:lang w:val="en-US"/>
              </w:rPr>
            </w:pPr>
            <w:bookmarkStart w:id="155" w:name="_Ref5285397"/>
            <w:bookmarkStart w:id="156" w:name="_Toc6314265"/>
            <w:r w:rsidRPr="009B1FA2">
              <w:rPr>
                <w:rFonts w:eastAsiaTheme="minorHAnsi"/>
                <w:color w:val="2C9ADC"/>
                <w:lang w:eastAsia="en-US"/>
              </w:rPr>
              <w:t xml:space="preserve">GRAF </w:t>
            </w:r>
            <w:r w:rsidRPr="009B1FA2">
              <w:rPr>
                <w:rFonts w:eastAsiaTheme="minorHAnsi"/>
                <w:color w:val="2C9ADC"/>
                <w:lang w:eastAsia="en-US"/>
              </w:rPr>
              <w:fldChar w:fldCharType="begin"/>
            </w:r>
            <w:r w:rsidRPr="009B1FA2">
              <w:rPr>
                <w:rFonts w:eastAsiaTheme="minorHAnsi"/>
                <w:color w:val="2C9ADC"/>
                <w:lang w:eastAsia="en-US"/>
              </w:rPr>
              <w:instrText xml:space="preserve"> SEQ GRAF \* ARABIC </w:instrText>
            </w:r>
            <w:r w:rsidRPr="009B1FA2">
              <w:rPr>
                <w:rFonts w:eastAsiaTheme="minorHAnsi"/>
                <w:color w:val="2C9ADC"/>
                <w:lang w:eastAsia="en-US"/>
              </w:rPr>
              <w:fldChar w:fldCharType="separate"/>
            </w:r>
            <w:r w:rsidR="00D5739E">
              <w:rPr>
                <w:rFonts w:eastAsiaTheme="minorHAnsi"/>
                <w:noProof/>
                <w:color w:val="2C9ADC"/>
                <w:lang w:eastAsia="en-US"/>
              </w:rPr>
              <w:t>22</w:t>
            </w:r>
            <w:r w:rsidRPr="009B1FA2">
              <w:rPr>
                <w:rFonts w:eastAsiaTheme="minorHAnsi"/>
                <w:color w:val="2C9ADC"/>
                <w:lang w:eastAsia="en-US"/>
              </w:rPr>
              <w:fldChar w:fldCharType="end"/>
            </w:r>
            <w:r w:rsidRPr="009B1FA2">
              <w:rPr>
                <w:rFonts w:eastAsiaTheme="minorHAnsi"/>
                <w:color w:val="2C9ADC"/>
                <w:lang w:eastAsia="en-US"/>
              </w:rPr>
              <w:t xml:space="preserve"> - Predpoklady emisného plánu (% HDP)</w:t>
            </w:r>
            <w:bookmarkEnd w:id="155"/>
            <w:bookmarkEnd w:id="156"/>
          </w:p>
        </w:tc>
      </w:tr>
      <w:tr w:rsidR="00BD53AF" w:rsidRPr="00B9299D" w14:paraId="0866CB15" w14:textId="77777777" w:rsidTr="00387AE5">
        <w:trPr>
          <w:trHeight w:val="3012"/>
        </w:trPr>
        <w:tc>
          <w:tcPr>
            <w:tcW w:w="2401" w:type="pct"/>
            <w:tcBorders>
              <w:top w:val="single" w:sz="4" w:space="0" w:color="auto"/>
              <w:left w:val="nil"/>
              <w:bottom w:val="single" w:sz="4" w:space="0" w:color="auto"/>
              <w:right w:val="nil"/>
            </w:tcBorders>
            <w:shd w:val="clear" w:color="auto" w:fill="auto"/>
            <w:vAlign w:val="center"/>
          </w:tcPr>
          <w:p w14:paraId="45D59DCE" w14:textId="77777777" w:rsidR="00BD53AF" w:rsidRPr="00B9299D" w:rsidRDefault="00BD53AF" w:rsidP="00387AE5">
            <w:pPr>
              <w:spacing w:before="40" w:after="40"/>
              <w:rPr>
                <w:rFonts w:cs="Arial"/>
                <w:b/>
                <w:sz w:val="20"/>
                <w:szCs w:val="20"/>
              </w:rPr>
            </w:pPr>
            <w:r>
              <w:rPr>
                <w:noProof/>
              </w:rPr>
              <w:drawing>
                <wp:inline distT="0" distB="0" distL="0" distR="0" wp14:anchorId="6C1DAAB4" wp14:editId="38AE2A48">
                  <wp:extent cx="2706370" cy="2141626"/>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101" w:type="pct"/>
            <w:tcBorders>
              <w:top w:val="nil"/>
              <w:left w:val="nil"/>
              <w:bottom w:val="nil"/>
              <w:right w:val="nil"/>
            </w:tcBorders>
            <w:shd w:val="clear" w:color="auto" w:fill="auto"/>
            <w:vAlign w:val="center"/>
          </w:tcPr>
          <w:p w14:paraId="2F13BEAE" w14:textId="77777777" w:rsidR="00BD53AF" w:rsidRPr="00B9299D" w:rsidRDefault="00BD53AF" w:rsidP="00387AE5">
            <w:pPr>
              <w:spacing w:before="40" w:after="40"/>
              <w:jc w:val="center"/>
              <w:rPr>
                <w:rFonts w:cs="Arial"/>
                <w:b/>
                <w:sz w:val="20"/>
                <w:szCs w:val="20"/>
              </w:rPr>
            </w:pPr>
          </w:p>
        </w:tc>
        <w:tc>
          <w:tcPr>
            <w:tcW w:w="2498" w:type="pct"/>
            <w:tcBorders>
              <w:top w:val="single" w:sz="4" w:space="0" w:color="auto"/>
              <w:left w:val="nil"/>
              <w:bottom w:val="single" w:sz="4" w:space="0" w:color="auto"/>
              <w:right w:val="nil"/>
            </w:tcBorders>
            <w:shd w:val="clear" w:color="auto" w:fill="auto"/>
            <w:vAlign w:val="center"/>
          </w:tcPr>
          <w:p w14:paraId="2386E0B2" w14:textId="77777777" w:rsidR="00BD53AF" w:rsidRPr="00B9299D" w:rsidRDefault="00BD53AF" w:rsidP="00387AE5">
            <w:pPr>
              <w:spacing w:before="40" w:after="40"/>
              <w:rPr>
                <w:rFonts w:cs="Arial"/>
                <w:b/>
                <w:sz w:val="20"/>
                <w:szCs w:val="20"/>
              </w:rPr>
            </w:pPr>
            <w:r>
              <w:rPr>
                <w:noProof/>
              </w:rPr>
              <w:drawing>
                <wp:inline distT="0" distB="0" distL="0" distR="0" wp14:anchorId="0380552E" wp14:editId="02BAE705">
                  <wp:extent cx="2818765" cy="2124075"/>
                  <wp:effectExtent l="0" t="0" r="635"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D53AF" w:rsidRPr="00B9299D" w14:paraId="20606EAD" w14:textId="77777777" w:rsidTr="00387AE5">
        <w:trPr>
          <w:trHeight w:val="58"/>
        </w:trPr>
        <w:tc>
          <w:tcPr>
            <w:tcW w:w="2401" w:type="pct"/>
            <w:tcBorders>
              <w:top w:val="single" w:sz="4" w:space="0" w:color="auto"/>
              <w:left w:val="nil"/>
              <w:bottom w:val="nil"/>
              <w:right w:val="nil"/>
            </w:tcBorders>
            <w:shd w:val="clear" w:color="auto" w:fill="auto"/>
          </w:tcPr>
          <w:p w14:paraId="6A89A3DE" w14:textId="77777777" w:rsidR="00BD53AF" w:rsidRPr="00B9299D" w:rsidRDefault="00BD53AF" w:rsidP="00387AE5">
            <w:pPr>
              <w:spacing w:before="40" w:after="40"/>
              <w:jc w:val="right"/>
              <w:rPr>
                <w:rFonts w:cs="Arial"/>
                <w:i/>
                <w:sz w:val="16"/>
                <w:szCs w:val="16"/>
              </w:rPr>
            </w:pPr>
            <w:r w:rsidRPr="00B9299D">
              <w:rPr>
                <w:rFonts w:cs="Arial"/>
                <w:i/>
                <w:sz w:val="16"/>
                <w:szCs w:val="16"/>
              </w:rPr>
              <w:t>Zdroj: MF SR</w:t>
            </w:r>
          </w:p>
        </w:tc>
        <w:tc>
          <w:tcPr>
            <w:tcW w:w="101" w:type="pct"/>
            <w:tcBorders>
              <w:top w:val="nil"/>
              <w:left w:val="nil"/>
              <w:bottom w:val="nil"/>
              <w:right w:val="nil"/>
            </w:tcBorders>
            <w:shd w:val="clear" w:color="auto" w:fill="auto"/>
          </w:tcPr>
          <w:p w14:paraId="3D60612D" w14:textId="77777777" w:rsidR="00BD53AF" w:rsidRPr="00B9299D" w:rsidRDefault="00BD53AF" w:rsidP="00387AE5">
            <w:pPr>
              <w:jc w:val="right"/>
              <w:rPr>
                <w:rFonts w:cs="Arial"/>
                <w:i/>
                <w:sz w:val="16"/>
                <w:szCs w:val="16"/>
              </w:rPr>
            </w:pPr>
          </w:p>
        </w:tc>
        <w:tc>
          <w:tcPr>
            <w:tcW w:w="2498" w:type="pct"/>
            <w:tcBorders>
              <w:top w:val="single" w:sz="4" w:space="0" w:color="auto"/>
              <w:left w:val="nil"/>
              <w:bottom w:val="nil"/>
              <w:right w:val="nil"/>
            </w:tcBorders>
            <w:shd w:val="clear" w:color="auto" w:fill="auto"/>
          </w:tcPr>
          <w:p w14:paraId="357CD9E8" w14:textId="77777777" w:rsidR="00BD53AF" w:rsidRDefault="00BD53AF" w:rsidP="00387AE5">
            <w:pPr>
              <w:spacing w:before="40" w:after="40"/>
              <w:jc w:val="right"/>
              <w:rPr>
                <w:rFonts w:cs="Arial"/>
                <w:i/>
                <w:sz w:val="16"/>
                <w:szCs w:val="16"/>
              </w:rPr>
            </w:pPr>
            <w:r w:rsidRPr="00B9299D">
              <w:rPr>
                <w:rFonts w:cs="Arial"/>
                <w:i/>
                <w:sz w:val="16"/>
                <w:szCs w:val="16"/>
              </w:rPr>
              <w:t>Zdroj: MF SR</w:t>
            </w:r>
          </w:p>
          <w:p w14:paraId="11C07BF7" w14:textId="77777777" w:rsidR="00BD53AF" w:rsidRPr="00B9299D" w:rsidRDefault="00BD53AF" w:rsidP="00387AE5">
            <w:pPr>
              <w:spacing w:before="40" w:after="40"/>
              <w:rPr>
                <w:rFonts w:cs="Arial"/>
                <w:i/>
                <w:sz w:val="16"/>
                <w:szCs w:val="16"/>
              </w:rPr>
            </w:pPr>
            <w:r>
              <w:rPr>
                <w:rFonts w:cs="Arial"/>
                <w:i/>
                <w:sz w:val="16"/>
                <w:szCs w:val="16"/>
              </w:rPr>
              <w:t>* čistá finančná pozícia znázorňuje rozdiel medzi získanými zdrojmi emisiou dlhopisov, ŠPP a úverov a celkovými potrebami financovania (súčet objemu splatnosti úverov a dlhu a hotovostného deficitu štátneho rozpočtu)</w:t>
            </w:r>
            <w:r w:rsidRPr="00B9299D">
              <w:rPr>
                <w:rFonts w:cs="Arial"/>
                <w:i/>
                <w:sz w:val="16"/>
                <w:szCs w:val="16"/>
              </w:rPr>
              <w:t xml:space="preserve"> </w:t>
            </w:r>
          </w:p>
        </w:tc>
      </w:tr>
    </w:tbl>
    <w:p w14:paraId="2E82A250" w14:textId="77777777" w:rsidR="00BD53AF" w:rsidRPr="001778D8" w:rsidRDefault="00BD53AF" w:rsidP="00BD53AF">
      <w:pPr>
        <w:jc w:val="both"/>
        <w:rPr>
          <w:b/>
        </w:rPr>
      </w:pPr>
      <w:r>
        <w:rPr>
          <w:b/>
        </w:rPr>
        <w:t xml:space="preserve"> </w:t>
      </w:r>
    </w:p>
    <w:tbl>
      <w:tblPr>
        <w:tblpPr w:leftFromText="141" w:rightFromText="141" w:bottomFromText="160" w:vertAnchor="text" w:tblpXSpec="center" w:tblpY="1"/>
        <w:tblOverlap w:val="never"/>
        <w:tblW w:w="9075" w:type="dxa"/>
        <w:shd w:val="clear" w:color="auto" w:fill="AAD3F2"/>
        <w:tblLayout w:type="fixed"/>
        <w:tblLook w:val="01E0" w:firstRow="1" w:lastRow="1" w:firstColumn="1" w:lastColumn="1" w:noHBand="0" w:noVBand="0"/>
      </w:tblPr>
      <w:tblGrid>
        <w:gridCol w:w="9075"/>
      </w:tblGrid>
      <w:tr w:rsidR="00BD53AF" w:rsidRPr="00AA3D60" w14:paraId="5D28DC4C" w14:textId="77777777" w:rsidTr="00387AE5">
        <w:trPr>
          <w:trHeight w:val="426"/>
        </w:trPr>
        <w:tc>
          <w:tcPr>
            <w:tcW w:w="9075" w:type="dxa"/>
            <w:shd w:val="clear" w:color="auto" w:fill="AAD3F2"/>
          </w:tcPr>
          <w:p w14:paraId="6499AB21" w14:textId="0F8DC3D4" w:rsidR="00BD53AF" w:rsidRPr="00A42910" w:rsidRDefault="00BD53AF" w:rsidP="00387AE5">
            <w:pPr>
              <w:pStyle w:val="Nadpis3"/>
              <w:spacing w:before="240" w:after="240"/>
              <w:rPr>
                <w:b w:val="0"/>
                <w:color w:val="2C9ADC" w:themeColor="accent1"/>
                <w:sz w:val="22"/>
                <w:szCs w:val="22"/>
              </w:rPr>
            </w:pPr>
            <w:bookmarkStart w:id="157" w:name="_Toc480444031"/>
            <w:bookmarkStart w:id="158" w:name="_Toc480444536"/>
            <w:bookmarkStart w:id="159" w:name="_Ref5285325"/>
            <w:bookmarkStart w:id="160" w:name="_Toc6314058"/>
            <w:r w:rsidRPr="00A42910">
              <w:rPr>
                <w:color w:val="2C9ADC" w:themeColor="accent1"/>
                <w:sz w:val="22"/>
                <w:szCs w:val="22"/>
              </w:rPr>
              <w:t xml:space="preserve">BOX </w:t>
            </w:r>
            <w:r w:rsidRPr="00A42910">
              <w:rPr>
                <w:b w:val="0"/>
                <w:color w:val="2C9ADC" w:themeColor="accent1"/>
                <w:sz w:val="22"/>
                <w:szCs w:val="22"/>
              </w:rPr>
              <w:fldChar w:fldCharType="begin"/>
            </w:r>
            <w:r w:rsidRPr="00A42910">
              <w:rPr>
                <w:color w:val="2C9ADC" w:themeColor="accent1"/>
                <w:sz w:val="22"/>
                <w:szCs w:val="22"/>
              </w:rPr>
              <w:instrText xml:space="preserve"> SEQ BOX \* ARABIC </w:instrText>
            </w:r>
            <w:r w:rsidRPr="00A42910">
              <w:rPr>
                <w:b w:val="0"/>
                <w:color w:val="2C9ADC" w:themeColor="accent1"/>
                <w:sz w:val="22"/>
                <w:szCs w:val="22"/>
              </w:rPr>
              <w:fldChar w:fldCharType="separate"/>
            </w:r>
            <w:r w:rsidR="00D5739E">
              <w:rPr>
                <w:noProof/>
                <w:color w:val="2C9ADC" w:themeColor="accent1"/>
                <w:sz w:val="22"/>
                <w:szCs w:val="22"/>
              </w:rPr>
              <w:t>4</w:t>
            </w:r>
            <w:r w:rsidRPr="00A42910">
              <w:rPr>
                <w:b w:val="0"/>
                <w:color w:val="2C9ADC" w:themeColor="accent1"/>
                <w:sz w:val="22"/>
                <w:szCs w:val="22"/>
              </w:rPr>
              <w:fldChar w:fldCharType="end"/>
            </w:r>
            <w:r w:rsidRPr="00A42910">
              <w:rPr>
                <w:color w:val="2C9ADC" w:themeColor="accent1"/>
                <w:sz w:val="22"/>
                <w:szCs w:val="22"/>
              </w:rPr>
              <w:t xml:space="preserve"> - Zosúladenie dlhu a deficitu </w:t>
            </w:r>
            <w:bookmarkEnd w:id="157"/>
            <w:bookmarkEnd w:id="158"/>
            <w:r>
              <w:rPr>
                <w:color w:val="2C9ADC" w:themeColor="accent1"/>
                <w:sz w:val="22"/>
                <w:szCs w:val="22"/>
              </w:rPr>
              <w:t>(tzv. stock - flow adjustment)</w:t>
            </w:r>
            <w:bookmarkEnd w:id="159"/>
            <w:bookmarkEnd w:id="160"/>
          </w:p>
          <w:p w14:paraId="7647098B" w14:textId="77777777" w:rsidR="00BD53AF" w:rsidRPr="00AA3D60" w:rsidRDefault="00BD53AF" w:rsidP="00387AE5">
            <w:pPr>
              <w:spacing w:after="240"/>
              <w:jc w:val="both"/>
              <w:rPr>
                <w:color w:val="000000" w:themeColor="text1"/>
                <w:sz w:val="20"/>
                <w:szCs w:val="20"/>
              </w:rPr>
            </w:pPr>
            <w:r w:rsidRPr="00AA3D60">
              <w:rPr>
                <w:b/>
                <w:color w:val="000000" w:themeColor="text1"/>
                <w:sz w:val="20"/>
                <w:szCs w:val="20"/>
              </w:rPr>
              <w:t>Zosúladenie dlhu a deficitu (SFA) vyjadruje hodnotu nesúladu medzi skutočnou (resp. očakávanou) medziročnou zmenou hrubého dlhu VS a dosiahnutým (resp. očakávaným) deficitom za celú VS v akruálnom vyjadrení</w:t>
            </w:r>
            <w:r w:rsidRPr="00AA3D60">
              <w:rPr>
                <w:color w:val="000000" w:themeColor="text1"/>
                <w:sz w:val="20"/>
                <w:szCs w:val="20"/>
              </w:rPr>
              <w:t>. Hlavnými príčinami sú odlišné metodiky výpočtu. Saldo verejnej správy je založené na akruálnych údajoch, kým výšku dlhu primárne determinujú hotovostné toky bilancie VS. Zároveň, saldo verejnej správy vychádza z čistého konceptu (príjmy znížené o výdavky), kým dlh predstavuje hrubý koncept, neznížený o aktíva. Ich využite resp. nadobudnutie ovplyvňuje výšku dlhu ale nie saldo VS.</w:t>
            </w:r>
          </w:p>
          <w:p w14:paraId="1E4623AB" w14:textId="77777777" w:rsidR="00BD53AF" w:rsidRPr="00AA3D60" w:rsidRDefault="00BD53AF" w:rsidP="00387AE5">
            <w:pPr>
              <w:spacing w:after="240"/>
              <w:jc w:val="both"/>
              <w:rPr>
                <w:color w:val="000000" w:themeColor="text1"/>
                <w:sz w:val="20"/>
                <w:szCs w:val="20"/>
              </w:rPr>
            </w:pPr>
            <w:r w:rsidRPr="00AA3D60">
              <w:rPr>
                <w:b/>
                <w:color w:val="000000" w:themeColor="text1"/>
                <w:sz w:val="20"/>
                <w:szCs w:val="20"/>
              </w:rPr>
              <w:t>V roku 2018 prispievalo SFA k medziročnej zmene hrubého dlhu negatívne</w:t>
            </w:r>
            <w:r w:rsidRPr="00AA3D60">
              <w:rPr>
                <w:color w:val="000000" w:themeColor="text1"/>
                <w:sz w:val="20"/>
                <w:szCs w:val="20"/>
              </w:rPr>
              <w:t xml:space="preserve">. Hlavným dôvodom </w:t>
            </w:r>
            <w:r>
              <w:rPr>
                <w:color w:val="000000" w:themeColor="text1"/>
                <w:sz w:val="20"/>
                <w:szCs w:val="20"/>
              </w:rPr>
              <w:t>bol</w:t>
            </w:r>
            <w:r w:rsidRPr="00AA3D60">
              <w:rPr>
                <w:color w:val="000000" w:themeColor="text1"/>
                <w:sz w:val="20"/>
                <w:szCs w:val="20"/>
              </w:rPr>
              <w:t xml:space="preserve"> rast zostatku hotovosti na účtoch VS. Predovšetkým ostatné subjekty VS </w:t>
            </w:r>
            <w:r w:rsidRPr="00EE4D71">
              <w:rPr>
                <w:color w:val="000000" w:themeColor="text1"/>
                <w:sz w:val="20"/>
                <w:szCs w:val="20"/>
              </w:rPr>
              <w:t>(samospráva, štátne fondy a pod.)</w:t>
            </w:r>
            <w:r w:rsidRPr="00AA3D60">
              <w:rPr>
                <w:color w:val="000000" w:themeColor="text1"/>
                <w:sz w:val="20"/>
                <w:szCs w:val="20"/>
              </w:rPr>
              <w:t xml:space="preserve"> opätovane kumulovali peňažnú likviditu, ktorá nebola v plnej miere využitá na znižovanie ich vlastných záväzkov.</w:t>
            </w:r>
          </w:p>
          <w:p w14:paraId="03D30881" w14:textId="77777777" w:rsidR="00BD53AF" w:rsidRPr="00AA3D60" w:rsidRDefault="00BD53AF" w:rsidP="00387AE5">
            <w:pPr>
              <w:spacing w:after="240"/>
              <w:jc w:val="both"/>
              <w:rPr>
                <w:color w:val="000000" w:themeColor="text1"/>
                <w:sz w:val="20"/>
                <w:szCs w:val="20"/>
              </w:rPr>
            </w:pPr>
            <w:r w:rsidRPr="008A20DE">
              <w:rPr>
                <w:b/>
                <w:color w:val="000000" w:themeColor="text1"/>
                <w:sz w:val="20"/>
                <w:szCs w:val="20"/>
              </w:rPr>
              <w:t>Aj v rokoch 2019 až 2022 bude položka SFA naďalej pôsobiť na zmenu dlhu negatívne</w:t>
            </w:r>
            <w:r w:rsidRPr="008A20DE">
              <w:rPr>
                <w:color w:val="000000" w:themeColor="text1"/>
                <w:sz w:val="20"/>
                <w:szCs w:val="20"/>
              </w:rPr>
              <w:t>. V priemere bude SFA spomaľovať pokles dlhu o 1,5 p.b</w:t>
            </w:r>
            <w:r>
              <w:rPr>
                <w:color w:val="000000" w:themeColor="text1"/>
                <w:sz w:val="20"/>
                <w:szCs w:val="20"/>
              </w:rPr>
              <w:t>. HDP.</w:t>
            </w:r>
            <w:r w:rsidRPr="00AA3D60">
              <w:rPr>
                <w:color w:val="000000" w:themeColor="text1"/>
                <w:sz w:val="20"/>
                <w:szCs w:val="20"/>
              </w:rPr>
              <w:t xml:space="preserve"> Hlavnými faktormi tohto vývoja by mal</w:t>
            </w:r>
            <w:r>
              <w:rPr>
                <w:color w:val="000000" w:themeColor="text1"/>
                <w:sz w:val="20"/>
                <w:szCs w:val="20"/>
              </w:rPr>
              <w:t>a</w:t>
            </w:r>
            <w:r w:rsidRPr="00AA3D60">
              <w:rPr>
                <w:color w:val="000000" w:themeColor="text1"/>
                <w:sz w:val="20"/>
                <w:szCs w:val="20"/>
              </w:rPr>
              <w:t xml:space="preserve"> byť pozitívna medzera medzi akruálnym a hotovostným saldom VS</w:t>
            </w:r>
            <w:r>
              <w:rPr>
                <w:color w:val="000000" w:themeColor="text1"/>
                <w:sz w:val="20"/>
                <w:szCs w:val="20"/>
              </w:rPr>
              <w:t xml:space="preserve">. Tú vysvetľuje najmä </w:t>
            </w:r>
            <w:r w:rsidRPr="00AA3D60">
              <w:rPr>
                <w:color w:val="000000" w:themeColor="text1"/>
                <w:sz w:val="20"/>
                <w:szCs w:val="20"/>
              </w:rPr>
              <w:t>nákup vojenskej techniky</w:t>
            </w:r>
            <w:r>
              <w:rPr>
                <w:color w:val="000000" w:themeColor="text1"/>
                <w:sz w:val="20"/>
                <w:szCs w:val="20"/>
              </w:rPr>
              <w:t>, ktorý ovplyvňuje hotovostný schodok najmä v rokoch 2019 až 2021, pričom akruálne je vplyv zaznamenaný až v roku 2022. Na rozdiel medzi akruálnymi a hotovostnými tokmi vplýva aj</w:t>
            </w:r>
            <w:r w:rsidRPr="00AA3D60">
              <w:rPr>
                <w:color w:val="000000" w:themeColor="text1"/>
                <w:sz w:val="20"/>
                <w:szCs w:val="20"/>
              </w:rPr>
              <w:t> časov</w:t>
            </w:r>
            <w:r>
              <w:rPr>
                <w:color w:val="000000" w:themeColor="text1"/>
                <w:sz w:val="20"/>
                <w:szCs w:val="20"/>
              </w:rPr>
              <w:t>é</w:t>
            </w:r>
            <w:r w:rsidRPr="00AA3D60">
              <w:rPr>
                <w:color w:val="000000" w:themeColor="text1"/>
                <w:sz w:val="20"/>
                <w:szCs w:val="20"/>
              </w:rPr>
              <w:t xml:space="preserve"> rozlíšen</w:t>
            </w:r>
            <w:r>
              <w:rPr>
                <w:color w:val="000000" w:themeColor="text1"/>
                <w:sz w:val="20"/>
                <w:szCs w:val="20"/>
              </w:rPr>
              <w:t>ie</w:t>
            </w:r>
            <w:r w:rsidRPr="00AA3D60">
              <w:rPr>
                <w:color w:val="000000" w:themeColor="text1"/>
                <w:sz w:val="20"/>
                <w:szCs w:val="20"/>
              </w:rPr>
              <w:t xml:space="preserve"> daňových </w:t>
            </w:r>
            <w:r>
              <w:rPr>
                <w:color w:val="000000" w:themeColor="text1"/>
                <w:sz w:val="20"/>
                <w:szCs w:val="20"/>
              </w:rPr>
              <w:t xml:space="preserve">príjmov </w:t>
            </w:r>
            <w:r w:rsidRPr="00AA3D60">
              <w:rPr>
                <w:color w:val="000000" w:themeColor="text1"/>
                <w:sz w:val="20"/>
                <w:szCs w:val="20"/>
              </w:rPr>
              <w:t xml:space="preserve">a úrokových </w:t>
            </w:r>
            <w:r>
              <w:rPr>
                <w:color w:val="000000" w:themeColor="text1"/>
                <w:sz w:val="20"/>
                <w:szCs w:val="20"/>
              </w:rPr>
              <w:t>nákladov. Aj v rokoch 2019 až 2021 bude hrubý dlh klesať pomalšie z titulu</w:t>
            </w:r>
            <w:r w:rsidRPr="00AA3D60">
              <w:rPr>
                <w:color w:val="000000" w:themeColor="text1"/>
                <w:sz w:val="20"/>
                <w:szCs w:val="20"/>
              </w:rPr>
              <w:t xml:space="preserve"> kumuláci</w:t>
            </w:r>
            <w:r>
              <w:rPr>
                <w:color w:val="000000" w:themeColor="text1"/>
                <w:sz w:val="20"/>
                <w:szCs w:val="20"/>
              </w:rPr>
              <w:t>e</w:t>
            </w:r>
            <w:r w:rsidRPr="00AA3D60">
              <w:rPr>
                <w:color w:val="000000" w:themeColor="text1"/>
                <w:sz w:val="20"/>
                <w:szCs w:val="20"/>
              </w:rPr>
              <w:t xml:space="preserve"> likvidných zostatkov VS.</w:t>
            </w:r>
            <w:r>
              <w:rPr>
                <w:color w:val="000000" w:themeColor="text1"/>
                <w:sz w:val="20"/>
                <w:szCs w:val="20"/>
              </w:rPr>
              <w:t xml:space="preserve"> V menšej miere bude</w:t>
            </w:r>
            <w:r w:rsidRPr="00521E02">
              <w:rPr>
                <w:rFonts w:cstheme="minorBidi"/>
                <w:color w:val="000000" w:themeColor="text1"/>
                <w:sz w:val="20"/>
                <w:szCs w:val="20"/>
              </w:rPr>
              <w:t xml:space="preserve"> brzdiť dynamiku poklesu dlhu aj vplyv emisného diskontu na 30 a 50 ročných dlhopisoch </w:t>
            </w:r>
            <w:r>
              <w:rPr>
                <w:rFonts w:cstheme="minorBidi"/>
                <w:color w:val="000000" w:themeColor="text1"/>
                <w:sz w:val="20"/>
                <w:szCs w:val="20"/>
              </w:rPr>
              <w:t xml:space="preserve">s vplyvom </w:t>
            </w:r>
            <w:r w:rsidRPr="00521E02">
              <w:rPr>
                <w:rFonts w:cstheme="minorBidi"/>
                <w:color w:val="000000" w:themeColor="text1"/>
                <w:sz w:val="20"/>
                <w:szCs w:val="20"/>
              </w:rPr>
              <w:t>od roku 2020.</w:t>
            </w:r>
          </w:p>
          <w:tbl>
            <w:tblPr>
              <w:tblW w:w="8819" w:type="dxa"/>
              <w:jc w:val="center"/>
              <w:tblLayout w:type="fixed"/>
              <w:tblCellMar>
                <w:left w:w="70" w:type="dxa"/>
                <w:right w:w="70" w:type="dxa"/>
              </w:tblCellMar>
              <w:tblLook w:val="04A0" w:firstRow="1" w:lastRow="0" w:firstColumn="1" w:lastColumn="0" w:noHBand="0" w:noVBand="1"/>
            </w:tblPr>
            <w:tblGrid>
              <w:gridCol w:w="4941"/>
              <w:gridCol w:w="643"/>
              <w:gridCol w:w="645"/>
              <w:gridCol w:w="645"/>
              <w:gridCol w:w="645"/>
              <w:gridCol w:w="645"/>
              <w:gridCol w:w="56"/>
              <w:gridCol w:w="599"/>
            </w:tblGrid>
            <w:tr w:rsidR="00BD53AF" w:rsidRPr="00AA3D60" w14:paraId="555632E9" w14:textId="77777777" w:rsidTr="001D5457">
              <w:trPr>
                <w:trHeight w:val="12"/>
                <w:jc w:val="center"/>
              </w:trPr>
              <w:tc>
                <w:tcPr>
                  <w:tcW w:w="8220" w:type="dxa"/>
                  <w:gridSpan w:val="7"/>
                  <w:tcBorders>
                    <w:top w:val="nil"/>
                    <w:left w:val="nil"/>
                    <w:bottom w:val="single" w:sz="8" w:space="0" w:color="auto"/>
                    <w:right w:val="nil"/>
                  </w:tcBorders>
                  <w:shd w:val="clear" w:color="auto" w:fill="auto"/>
                  <w:noWrap/>
                  <w:vAlign w:val="center"/>
                  <w:hideMark/>
                </w:tcPr>
                <w:p w14:paraId="51F9E4E0" w14:textId="580D3434" w:rsidR="00BD53AF" w:rsidRPr="00AA3D60" w:rsidRDefault="00BD53AF" w:rsidP="003A4E18">
                  <w:pPr>
                    <w:pStyle w:val="Popis"/>
                    <w:keepNext/>
                    <w:framePr w:hSpace="141" w:wrap="around" w:vAnchor="text" w:hAnchor="text" w:xAlign="center" w:y="1"/>
                    <w:spacing w:after="0"/>
                    <w:suppressOverlap/>
                    <w:jc w:val="both"/>
                    <w:rPr>
                      <w:color w:val="000000" w:themeColor="text1"/>
                      <w:sz w:val="20"/>
                      <w:szCs w:val="20"/>
                    </w:rPr>
                  </w:pPr>
                  <w:bookmarkStart w:id="161" w:name="_Toc6314210"/>
                  <w:r w:rsidRPr="003C66E6">
                    <w:rPr>
                      <w:rFonts w:eastAsiaTheme="minorHAnsi" w:cs="Arial"/>
                      <w:sz w:val="20"/>
                      <w:szCs w:val="26"/>
                      <w:lang w:eastAsia="en-US"/>
                    </w:rPr>
                    <w:t xml:space="preserve">TABUĽKA </w:t>
                  </w:r>
                  <w:r w:rsidRPr="003C66E6">
                    <w:rPr>
                      <w:rFonts w:eastAsiaTheme="minorHAnsi" w:cs="Arial"/>
                      <w:sz w:val="20"/>
                      <w:szCs w:val="26"/>
                      <w:lang w:eastAsia="en-US"/>
                    </w:rPr>
                    <w:fldChar w:fldCharType="begin"/>
                  </w:r>
                  <w:r w:rsidRPr="003C66E6">
                    <w:rPr>
                      <w:rFonts w:eastAsiaTheme="minorHAnsi" w:cs="Arial"/>
                      <w:sz w:val="20"/>
                      <w:szCs w:val="26"/>
                      <w:lang w:eastAsia="en-US"/>
                    </w:rPr>
                    <w:instrText xml:space="preserve"> SEQ TABUĽKA \* ARABIC </w:instrText>
                  </w:r>
                  <w:r w:rsidRPr="003C66E6">
                    <w:rPr>
                      <w:rFonts w:eastAsiaTheme="minorHAnsi" w:cs="Arial"/>
                      <w:sz w:val="20"/>
                      <w:szCs w:val="26"/>
                      <w:lang w:eastAsia="en-US"/>
                    </w:rPr>
                    <w:fldChar w:fldCharType="separate"/>
                  </w:r>
                  <w:r w:rsidR="00D5739E">
                    <w:rPr>
                      <w:rFonts w:eastAsiaTheme="minorHAnsi" w:cs="Arial"/>
                      <w:noProof/>
                      <w:sz w:val="20"/>
                      <w:szCs w:val="26"/>
                      <w:lang w:eastAsia="en-US"/>
                    </w:rPr>
                    <w:t>11</w:t>
                  </w:r>
                  <w:r w:rsidRPr="003C66E6">
                    <w:rPr>
                      <w:rFonts w:eastAsiaTheme="minorHAnsi" w:cs="Arial"/>
                      <w:sz w:val="20"/>
                      <w:szCs w:val="26"/>
                      <w:lang w:eastAsia="en-US"/>
                    </w:rPr>
                    <w:fldChar w:fldCharType="end"/>
                  </w:r>
                  <w:r w:rsidRPr="003C66E6">
                    <w:rPr>
                      <w:rFonts w:eastAsiaTheme="minorHAnsi" w:cs="Arial"/>
                      <w:sz w:val="20"/>
                      <w:szCs w:val="26"/>
                      <w:lang w:eastAsia="en-US"/>
                    </w:rPr>
                    <w:t xml:space="preserve"> - </w:t>
                  </w:r>
                  <w:r w:rsidRPr="003C66E6">
                    <w:rPr>
                      <w:sz w:val="20"/>
                      <w:szCs w:val="20"/>
                    </w:rPr>
                    <w:t>Zosúladenie dlhu a deficitu (% HDP)</w:t>
                  </w:r>
                  <w:bookmarkEnd w:id="161"/>
                </w:p>
              </w:tc>
              <w:tc>
                <w:tcPr>
                  <w:tcW w:w="599" w:type="dxa"/>
                  <w:tcBorders>
                    <w:top w:val="nil"/>
                    <w:left w:val="nil"/>
                    <w:bottom w:val="single" w:sz="8" w:space="0" w:color="auto"/>
                    <w:right w:val="nil"/>
                  </w:tcBorders>
                </w:tcPr>
                <w:p w14:paraId="7ACE3F10" w14:textId="77777777" w:rsidR="00BD53AF" w:rsidRPr="00AA3D60" w:rsidRDefault="00BD53AF" w:rsidP="003A4E18">
                  <w:pPr>
                    <w:pStyle w:val="Popis"/>
                    <w:keepNext/>
                    <w:framePr w:hSpace="141" w:wrap="around" w:vAnchor="text" w:hAnchor="text" w:xAlign="center" w:y="1"/>
                    <w:spacing w:after="0"/>
                    <w:suppressOverlap/>
                    <w:jc w:val="both"/>
                    <w:rPr>
                      <w:color w:val="000000" w:themeColor="text1"/>
                      <w:sz w:val="20"/>
                      <w:szCs w:val="20"/>
                    </w:rPr>
                  </w:pPr>
                </w:p>
              </w:tc>
            </w:tr>
            <w:tr w:rsidR="00BD53AF" w:rsidRPr="00AA3D60" w14:paraId="32470153" w14:textId="77777777" w:rsidTr="001D5457">
              <w:trPr>
                <w:trHeight w:val="132"/>
                <w:jc w:val="center"/>
              </w:trPr>
              <w:tc>
                <w:tcPr>
                  <w:tcW w:w="4941" w:type="dxa"/>
                  <w:tcBorders>
                    <w:top w:val="single" w:sz="8" w:space="0" w:color="auto"/>
                    <w:left w:val="nil"/>
                    <w:bottom w:val="single" w:sz="6" w:space="0" w:color="auto"/>
                    <w:right w:val="nil"/>
                  </w:tcBorders>
                  <w:shd w:val="clear" w:color="auto" w:fill="auto"/>
                  <w:noWrap/>
                  <w:vAlign w:val="center"/>
                  <w:hideMark/>
                </w:tcPr>
                <w:p w14:paraId="66EBF646" w14:textId="77777777" w:rsidR="00BD53AF" w:rsidRPr="00AA3D60" w:rsidRDefault="00BD53AF" w:rsidP="003A4E18">
                  <w:pPr>
                    <w:framePr w:hSpace="141" w:wrap="around" w:vAnchor="text" w:hAnchor="text" w:xAlign="center" w:y="1"/>
                    <w:suppressOverlap/>
                    <w:jc w:val="center"/>
                    <w:rPr>
                      <w:rFonts w:cs="Arial"/>
                      <w:b/>
                      <w:bCs/>
                      <w:color w:val="000000" w:themeColor="text1"/>
                      <w:sz w:val="20"/>
                      <w:szCs w:val="20"/>
                    </w:rPr>
                  </w:pPr>
                  <w:r w:rsidRPr="00AA3D60">
                    <w:rPr>
                      <w:rFonts w:cs="Arial"/>
                      <w:b/>
                      <w:bCs/>
                      <w:color w:val="000000" w:themeColor="text1"/>
                      <w:sz w:val="20"/>
                      <w:szCs w:val="20"/>
                    </w:rPr>
                    <w:t> </w:t>
                  </w:r>
                </w:p>
              </w:tc>
              <w:tc>
                <w:tcPr>
                  <w:tcW w:w="643" w:type="dxa"/>
                  <w:tcBorders>
                    <w:top w:val="single" w:sz="8" w:space="0" w:color="auto"/>
                    <w:left w:val="nil"/>
                    <w:bottom w:val="single" w:sz="6" w:space="0" w:color="auto"/>
                    <w:right w:val="nil"/>
                  </w:tcBorders>
                  <w:shd w:val="clear" w:color="auto" w:fill="auto"/>
                  <w:noWrap/>
                  <w:vAlign w:val="center"/>
                  <w:hideMark/>
                </w:tcPr>
                <w:p w14:paraId="0553CF46"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rFonts w:cs="Arial"/>
                      <w:b/>
                      <w:bCs/>
                      <w:color w:val="000000" w:themeColor="text1"/>
                      <w:sz w:val="20"/>
                      <w:szCs w:val="20"/>
                    </w:rPr>
                    <w:t>2017</w:t>
                  </w:r>
                </w:p>
              </w:tc>
              <w:tc>
                <w:tcPr>
                  <w:tcW w:w="645" w:type="dxa"/>
                  <w:tcBorders>
                    <w:top w:val="single" w:sz="8" w:space="0" w:color="auto"/>
                    <w:left w:val="nil"/>
                    <w:bottom w:val="single" w:sz="6" w:space="0" w:color="auto"/>
                    <w:right w:val="nil"/>
                  </w:tcBorders>
                  <w:shd w:val="clear" w:color="auto" w:fill="auto"/>
                  <w:noWrap/>
                  <w:vAlign w:val="center"/>
                  <w:hideMark/>
                </w:tcPr>
                <w:p w14:paraId="7B435CDC"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rFonts w:cs="Arial"/>
                      <w:b/>
                      <w:bCs/>
                      <w:color w:val="000000" w:themeColor="text1"/>
                      <w:sz w:val="20"/>
                      <w:szCs w:val="20"/>
                    </w:rPr>
                    <w:t>2018</w:t>
                  </w:r>
                </w:p>
              </w:tc>
              <w:tc>
                <w:tcPr>
                  <w:tcW w:w="645" w:type="dxa"/>
                  <w:tcBorders>
                    <w:top w:val="single" w:sz="8" w:space="0" w:color="auto"/>
                    <w:left w:val="nil"/>
                    <w:bottom w:val="single" w:sz="6" w:space="0" w:color="auto"/>
                    <w:right w:val="nil"/>
                  </w:tcBorders>
                  <w:shd w:val="clear" w:color="auto" w:fill="auto"/>
                  <w:noWrap/>
                  <w:vAlign w:val="center"/>
                  <w:hideMark/>
                </w:tcPr>
                <w:p w14:paraId="624E591C" w14:textId="77777777" w:rsidR="00BD53AF" w:rsidRPr="00AA3D60" w:rsidRDefault="00BD53AF" w:rsidP="003A4E18">
                  <w:pPr>
                    <w:framePr w:hSpace="141" w:wrap="around" w:vAnchor="text" w:hAnchor="text" w:xAlign="center" w:y="1"/>
                    <w:suppressOverlap/>
                    <w:jc w:val="center"/>
                    <w:rPr>
                      <w:rFonts w:cs="Arial"/>
                      <w:b/>
                      <w:bCs/>
                      <w:color w:val="000000" w:themeColor="text1"/>
                      <w:sz w:val="20"/>
                      <w:szCs w:val="20"/>
                    </w:rPr>
                  </w:pPr>
                  <w:r w:rsidRPr="00AA3D60">
                    <w:rPr>
                      <w:rFonts w:cs="Arial"/>
                      <w:b/>
                      <w:bCs/>
                      <w:color w:val="000000" w:themeColor="text1"/>
                      <w:sz w:val="20"/>
                      <w:szCs w:val="20"/>
                    </w:rPr>
                    <w:t>2019</w:t>
                  </w:r>
                </w:p>
              </w:tc>
              <w:tc>
                <w:tcPr>
                  <w:tcW w:w="645" w:type="dxa"/>
                  <w:tcBorders>
                    <w:top w:val="single" w:sz="8" w:space="0" w:color="auto"/>
                    <w:left w:val="nil"/>
                    <w:bottom w:val="single" w:sz="6" w:space="0" w:color="auto"/>
                    <w:right w:val="nil"/>
                  </w:tcBorders>
                  <w:vAlign w:val="center"/>
                </w:tcPr>
                <w:p w14:paraId="72BD644E" w14:textId="77777777" w:rsidR="00BD53AF" w:rsidRPr="00AA3D60" w:rsidRDefault="00BD53AF" w:rsidP="003A4E18">
                  <w:pPr>
                    <w:framePr w:hSpace="141" w:wrap="around" w:vAnchor="text" w:hAnchor="text" w:xAlign="center" w:y="1"/>
                    <w:suppressOverlap/>
                    <w:jc w:val="center"/>
                    <w:rPr>
                      <w:rFonts w:cs="Arial"/>
                      <w:b/>
                      <w:bCs/>
                      <w:color w:val="000000" w:themeColor="text1"/>
                      <w:sz w:val="20"/>
                      <w:szCs w:val="20"/>
                    </w:rPr>
                  </w:pPr>
                  <w:r w:rsidRPr="00AA3D60">
                    <w:rPr>
                      <w:rFonts w:cs="Arial"/>
                      <w:b/>
                      <w:bCs/>
                      <w:color w:val="000000" w:themeColor="text1"/>
                      <w:sz w:val="20"/>
                      <w:szCs w:val="20"/>
                    </w:rPr>
                    <w:t>2020</w:t>
                  </w:r>
                </w:p>
              </w:tc>
              <w:tc>
                <w:tcPr>
                  <w:tcW w:w="645" w:type="dxa"/>
                  <w:tcBorders>
                    <w:top w:val="single" w:sz="8" w:space="0" w:color="auto"/>
                    <w:left w:val="nil"/>
                    <w:bottom w:val="single" w:sz="6" w:space="0" w:color="auto"/>
                    <w:right w:val="nil"/>
                  </w:tcBorders>
                  <w:vAlign w:val="center"/>
                </w:tcPr>
                <w:p w14:paraId="66BDFC12" w14:textId="77777777" w:rsidR="00BD53AF" w:rsidRPr="00AA3D60" w:rsidRDefault="00BD53AF" w:rsidP="003A4E18">
                  <w:pPr>
                    <w:framePr w:hSpace="141" w:wrap="around" w:vAnchor="text" w:hAnchor="text" w:xAlign="center" w:y="1"/>
                    <w:suppressOverlap/>
                    <w:jc w:val="center"/>
                    <w:rPr>
                      <w:rFonts w:cs="Arial"/>
                      <w:b/>
                      <w:bCs/>
                      <w:color w:val="000000" w:themeColor="text1"/>
                      <w:sz w:val="20"/>
                      <w:szCs w:val="20"/>
                    </w:rPr>
                  </w:pPr>
                  <w:r w:rsidRPr="00AA3D60">
                    <w:rPr>
                      <w:rFonts w:cs="Arial"/>
                      <w:b/>
                      <w:bCs/>
                      <w:color w:val="000000" w:themeColor="text1"/>
                      <w:sz w:val="20"/>
                      <w:szCs w:val="20"/>
                    </w:rPr>
                    <w:t>2021</w:t>
                  </w:r>
                </w:p>
              </w:tc>
              <w:tc>
                <w:tcPr>
                  <w:tcW w:w="651" w:type="dxa"/>
                  <w:gridSpan w:val="2"/>
                  <w:tcBorders>
                    <w:top w:val="single" w:sz="8" w:space="0" w:color="auto"/>
                    <w:left w:val="nil"/>
                    <w:bottom w:val="single" w:sz="6" w:space="0" w:color="auto"/>
                    <w:right w:val="nil"/>
                  </w:tcBorders>
                  <w:vAlign w:val="center"/>
                </w:tcPr>
                <w:p w14:paraId="217C2292" w14:textId="77777777" w:rsidR="00BD53AF" w:rsidRPr="00AA3D60" w:rsidRDefault="00BD53AF" w:rsidP="003A4E18">
                  <w:pPr>
                    <w:framePr w:hSpace="141" w:wrap="around" w:vAnchor="text" w:hAnchor="text" w:xAlign="center" w:y="1"/>
                    <w:suppressOverlap/>
                    <w:jc w:val="center"/>
                    <w:rPr>
                      <w:rFonts w:cs="Arial"/>
                      <w:b/>
                      <w:bCs/>
                      <w:color w:val="000000" w:themeColor="text1"/>
                      <w:sz w:val="20"/>
                      <w:szCs w:val="20"/>
                    </w:rPr>
                  </w:pPr>
                  <w:r w:rsidRPr="00AA3D60">
                    <w:rPr>
                      <w:rFonts w:cs="Arial"/>
                      <w:b/>
                      <w:bCs/>
                      <w:color w:val="000000" w:themeColor="text1"/>
                      <w:sz w:val="20"/>
                      <w:szCs w:val="20"/>
                    </w:rPr>
                    <w:t>2022</w:t>
                  </w:r>
                </w:p>
              </w:tc>
            </w:tr>
            <w:tr w:rsidR="00BD53AF" w:rsidRPr="0064613A" w14:paraId="30DF74C5" w14:textId="77777777" w:rsidTr="001D5457">
              <w:trPr>
                <w:trHeight w:val="132"/>
                <w:jc w:val="center"/>
              </w:trPr>
              <w:tc>
                <w:tcPr>
                  <w:tcW w:w="4941" w:type="dxa"/>
                  <w:tcBorders>
                    <w:top w:val="single" w:sz="6" w:space="0" w:color="auto"/>
                    <w:left w:val="nil"/>
                    <w:bottom w:val="nil"/>
                    <w:right w:val="nil"/>
                  </w:tcBorders>
                  <w:shd w:val="clear" w:color="auto" w:fill="auto"/>
                  <w:noWrap/>
                  <w:vAlign w:val="center"/>
                  <w:hideMark/>
                </w:tcPr>
                <w:p w14:paraId="690A8F29" w14:textId="77777777" w:rsidR="00BD53AF" w:rsidRPr="008A20DE" w:rsidRDefault="00BD53AF" w:rsidP="003A4E18">
                  <w:pPr>
                    <w:framePr w:hSpace="141" w:wrap="around" w:vAnchor="text" w:hAnchor="text" w:xAlign="center" w:y="1"/>
                    <w:suppressOverlap/>
                    <w:rPr>
                      <w:rFonts w:cs="Arial"/>
                      <w:b/>
                      <w:bCs/>
                      <w:color w:val="000000" w:themeColor="text1"/>
                      <w:sz w:val="20"/>
                      <w:szCs w:val="20"/>
                    </w:rPr>
                  </w:pPr>
                  <w:r w:rsidRPr="008A20DE">
                    <w:rPr>
                      <w:rFonts w:cs="Arial"/>
                      <w:b/>
                      <w:bCs/>
                      <w:color w:val="000000" w:themeColor="text1"/>
                      <w:sz w:val="20"/>
                      <w:szCs w:val="20"/>
                    </w:rPr>
                    <w:t>Zosúladenie dlhu a deficitu (1+2+3+4+5)</w:t>
                  </w:r>
                  <w:r w:rsidRPr="008A20DE">
                    <w:rPr>
                      <w:rStyle w:val="Odkaznapoznmkupodiarou"/>
                      <w:rFonts w:cs="Arial"/>
                      <w:b/>
                      <w:bCs/>
                      <w:color w:val="000000" w:themeColor="text1"/>
                      <w:sz w:val="20"/>
                      <w:szCs w:val="20"/>
                    </w:rPr>
                    <w:t>*</w:t>
                  </w:r>
                </w:p>
              </w:tc>
              <w:tc>
                <w:tcPr>
                  <w:tcW w:w="643" w:type="dxa"/>
                  <w:tcBorders>
                    <w:top w:val="single" w:sz="4" w:space="0" w:color="auto"/>
                    <w:left w:val="nil"/>
                    <w:bottom w:val="nil"/>
                    <w:right w:val="nil"/>
                  </w:tcBorders>
                  <w:shd w:val="clear" w:color="auto" w:fill="auto"/>
                  <w:noWrap/>
                </w:tcPr>
                <w:p w14:paraId="55231912"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0,6</w:t>
                  </w:r>
                </w:p>
              </w:tc>
              <w:tc>
                <w:tcPr>
                  <w:tcW w:w="645" w:type="dxa"/>
                  <w:tcBorders>
                    <w:top w:val="nil"/>
                    <w:left w:val="nil"/>
                    <w:bottom w:val="nil"/>
                    <w:right w:val="nil"/>
                  </w:tcBorders>
                  <w:shd w:val="clear" w:color="auto" w:fill="auto"/>
                  <w:noWrap/>
                  <w:hideMark/>
                </w:tcPr>
                <w:p w14:paraId="3E85A713"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highlight w:val="yellow"/>
                    </w:rPr>
                  </w:pPr>
                  <w:r w:rsidRPr="008A20DE">
                    <w:rPr>
                      <w:b/>
                      <w:sz w:val="20"/>
                      <w:szCs w:val="20"/>
                    </w:rPr>
                    <w:t>0,</w:t>
                  </w:r>
                  <w:r>
                    <w:rPr>
                      <w:b/>
                      <w:sz w:val="20"/>
                      <w:szCs w:val="20"/>
                    </w:rPr>
                    <w:t>3</w:t>
                  </w:r>
                </w:p>
              </w:tc>
              <w:tc>
                <w:tcPr>
                  <w:tcW w:w="645" w:type="dxa"/>
                  <w:tcBorders>
                    <w:top w:val="nil"/>
                    <w:left w:val="nil"/>
                    <w:bottom w:val="nil"/>
                    <w:right w:val="nil"/>
                  </w:tcBorders>
                  <w:shd w:val="clear" w:color="auto" w:fill="auto"/>
                  <w:noWrap/>
                  <w:hideMark/>
                </w:tcPr>
                <w:p w14:paraId="28674E15"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1,7</w:t>
                  </w:r>
                </w:p>
              </w:tc>
              <w:tc>
                <w:tcPr>
                  <w:tcW w:w="645" w:type="dxa"/>
                  <w:tcBorders>
                    <w:top w:val="nil"/>
                    <w:left w:val="nil"/>
                    <w:bottom w:val="nil"/>
                    <w:right w:val="nil"/>
                  </w:tcBorders>
                </w:tcPr>
                <w:p w14:paraId="1E2B4EBA"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1,2</w:t>
                  </w:r>
                </w:p>
              </w:tc>
              <w:tc>
                <w:tcPr>
                  <w:tcW w:w="645" w:type="dxa"/>
                  <w:tcBorders>
                    <w:top w:val="nil"/>
                    <w:left w:val="nil"/>
                    <w:bottom w:val="nil"/>
                    <w:right w:val="nil"/>
                  </w:tcBorders>
                </w:tcPr>
                <w:p w14:paraId="7E77F9E7"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1,5</w:t>
                  </w:r>
                </w:p>
              </w:tc>
              <w:tc>
                <w:tcPr>
                  <w:tcW w:w="651" w:type="dxa"/>
                  <w:gridSpan w:val="2"/>
                  <w:tcBorders>
                    <w:top w:val="nil"/>
                    <w:left w:val="nil"/>
                    <w:bottom w:val="nil"/>
                    <w:right w:val="nil"/>
                  </w:tcBorders>
                </w:tcPr>
                <w:p w14:paraId="5BBB05EE"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1,6</w:t>
                  </w:r>
                </w:p>
              </w:tc>
            </w:tr>
            <w:tr w:rsidR="00BD53AF" w:rsidRPr="0064613A" w14:paraId="0DA944D1" w14:textId="77777777" w:rsidTr="001D5457">
              <w:trPr>
                <w:trHeight w:val="132"/>
                <w:jc w:val="center"/>
              </w:trPr>
              <w:tc>
                <w:tcPr>
                  <w:tcW w:w="4941" w:type="dxa"/>
                  <w:tcBorders>
                    <w:top w:val="nil"/>
                    <w:left w:val="nil"/>
                    <w:bottom w:val="nil"/>
                    <w:right w:val="nil"/>
                  </w:tcBorders>
                  <w:shd w:val="clear" w:color="auto" w:fill="auto"/>
                  <w:noWrap/>
                  <w:vAlign w:val="center"/>
                  <w:hideMark/>
                </w:tcPr>
                <w:p w14:paraId="078F8655" w14:textId="77777777" w:rsidR="00BD53AF" w:rsidRPr="008A20DE" w:rsidRDefault="00BD53AF" w:rsidP="003A4E18">
                  <w:pPr>
                    <w:framePr w:hSpace="141" w:wrap="around" w:vAnchor="text" w:hAnchor="text" w:xAlign="center" w:y="1"/>
                    <w:suppressOverlap/>
                    <w:rPr>
                      <w:rFonts w:cs="Arial"/>
                      <w:b/>
                      <w:bCs/>
                      <w:color w:val="000000" w:themeColor="text1"/>
                      <w:sz w:val="20"/>
                      <w:szCs w:val="20"/>
                    </w:rPr>
                  </w:pPr>
                  <w:r w:rsidRPr="008A20DE">
                    <w:rPr>
                      <w:rFonts w:cs="Arial"/>
                      <w:b/>
                      <w:bCs/>
                      <w:color w:val="000000" w:themeColor="text1"/>
                      <w:sz w:val="20"/>
                      <w:szCs w:val="20"/>
                    </w:rPr>
                    <w:t>1. Rozdiel medzi akruálnymi a hotovostnými údajmi</w:t>
                  </w:r>
                </w:p>
              </w:tc>
              <w:tc>
                <w:tcPr>
                  <w:tcW w:w="643" w:type="dxa"/>
                  <w:tcBorders>
                    <w:top w:val="nil"/>
                    <w:left w:val="nil"/>
                    <w:bottom w:val="nil"/>
                    <w:right w:val="nil"/>
                  </w:tcBorders>
                  <w:shd w:val="clear" w:color="auto" w:fill="auto"/>
                  <w:noWrap/>
                </w:tcPr>
                <w:p w14:paraId="28211969" w14:textId="77777777" w:rsidR="00BD53AF" w:rsidRPr="008A20DE" w:rsidRDefault="00BD53AF" w:rsidP="003A4E18">
                  <w:pPr>
                    <w:framePr w:hSpace="141" w:wrap="around" w:vAnchor="text" w:hAnchor="text" w:xAlign="center" w:y="1"/>
                    <w:suppressOverlap/>
                    <w:jc w:val="center"/>
                    <w:rPr>
                      <w:b/>
                      <w:bCs/>
                      <w:color w:val="000000" w:themeColor="text1"/>
                      <w:sz w:val="20"/>
                      <w:szCs w:val="20"/>
                    </w:rPr>
                  </w:pPr>
                  <w:r w:rsidRPr="008A20DE">
                    <w:rPr>
                      <w:b/>
                      <w:sz w:val="20"/>
                      <w:szCs w:val="20"/>
                    </w:rPr>
                    <w:t>0,0</w:t>
                  </w:r>
                </w:p>
              </w:tc>
              <w:tc>
                <w:tcPr>
                  <w:tcW w:w="645" w:type="dxa"/>
                  <w:tcBorders>
                    <w:top w:val="nil"/>
                    <w:left w:val="nil"/>
                    <w:bottom w:val="nil"/>
                    <w:right w:val="nil"/>
                  </w:tcBorders>
                  <w:shd w:val="clear" w:color="auto" w:fill="auto"/>
                  <w:noWrap/>
                  <w:hideMark/>
                </w:tcPr>
                <w:p w14:paraId="18D8A345"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highlight w:val="yellow"/>
                    </w:rPr>
                  </w:pPr>
                  <w:r w:rsidRPr="008A20DE">
                    <w:rPr>
                      <w:b/>
                      <w:sz w:val="20"/>
                      <w:szCs w:val="20"/>
                    </w:rPr>
                    <w:t>-0,3</w:t>
                  </w:r>
                </w:p>
              </w:tc>
              <w:tc>
                <w:tcPr>
                  <w:tcW w:w="645" w:type="dxa"/>
                  <w:tcBorders>
                    <w:top w:val="nil"/>
                    <w:left w:val="nil"/>
                    <w:bottom w:val="nil"/>
                    <w:right w:val="nil"/>
                  </w:tcBorders>
                  <w:shd w:val="clear" w:color="auto" w:fill="auto"/>
                  <w:noWrap/>
                  <w:hideMark/>
                </w:tcPr>
                <w:p w14:paraId="49FC448A"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1,2</w:t>
                  </w:r>
                </w:p>
              </w:tc>
              <w:tc>
                <w:tcPr>
                  <w:tcW w:w="645" w:type="dxa"/>
                  <w:tcBorders>
                    <w:top w:val="nil"/>
                    <w:left w:val="nil"/>
                    <w:bottom w:val="nil"/>
                    <w:right w:val="nil"/>
                  </w:tcBorders>
                </w:tcPr>
                <w:p w14:paraId="6DDE3DFE"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1,0</w:t>
                  </w:r>
                </w:p>
              </w:tc>
              <w:tc>
                <w:tcPr>
                  <w:tcW w:w="645" w:type="dxa"/>
                  <w:tcBorders>
                    <w:top w:val="nil"/>
                    <w:left w:val="nil"/>
                    <w:bottom w:val="nil"/>
                    <w:right w:val="nil"/>
                  </w:tcBorders>
                </w:tcPr>
                <w:p w14:paraId="01FD2DA4"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0,7</w:t>
                  </w:r>
                </w:p>
              </w:tc>
              <w:tc>
                <w:tcPr>
                  <w:tcW w:w="651" w:type="dxa"/>
                  <w:gridSpan w:val="2"/>
                  <w:tcBorders>
                    <w:top w:val="nil"/>
                    <w:left w:val="nil"/>
                    <w:bottom w:val="nil"/>
                    <w:right w:val="nil"/>
                  </w:tcBorders>
                </w:tcPr>
                <w:p w14:paraId="68CCA380"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0,1</w:t>
                  </w:r>
                </w:p>
              </w:tc>
            </w:tr>
            <w:tr w:rsidR="00BD53AF" w:rsidRPr="0064613A" w14:paraId="3402BC8E" w14:textId="77777777" w:rsidTr="001D5457">
              <w:trPr>
                <w:trHeight w:val="132"/>
                <w:jc w:val="center"/>
              </w:trPr>
              <w:tc>
                <w:tcPr>
                  <w:tcW w:w="4941" w:type="dxa"/>
                  <w:tcBorders>
                    <w:top w:val="nil"/>
                    <w:left w:val="nil"/>
                    <w:bottom w:val="nil"/>
                    <w:right w:val="nil"/>
                  </w:tcBorders>
                  <w:shd w:val="clear" w:color="auto" w:fill="auto"/>
                  <w:noWrap/>
                  <w:vAlign w:val="center"/>
                  <w:hideMark/>
                </w:tcPr>
                <w:p w14:paraId="31C1ABD7" w14:textId="77777777" w:rsidR="00BD53AF" w:rsidRPr="008A20DE" w:rsidRDefault="00BD53AF" w:rsidP="003A4E18">
                  <w:pPr>
                    <w:framePr w:hSpace="141" w:wrap="around" w:vAnchor="text" w:hAnchor="text" w:xAlign="center" w:y="1"/>
                    <w:suppressOverlap/>
                    <w:rPr>
                      <w:rFonts w:cs="Arial"/>
                      <w:b/>
                      <w:bCs/>
                      <w:color w:val="000000" w:themeColor="text1"/>
                      <w:sz w:val="20"/>
                      <w:szCs w:val="20"/>
                    </w:rPr>
                  </w:pPr>
                  <w:r w:rsidRPr="008A20DE">
                    <w:rPr>
                      <w:rFonts w:cs="Arial"/>
                      <w:b/>
                      <w:bCs/>
                      <w:color w:val="000000" w:themeColor="text1"/>
                      <w:sz w:val="20"/>
                      <w:szCs w:val="20"/>
                    </w:rPr>
                    <w:t>2. Zmena stavu finančných aktív</w:t>
                  </w:r>
                </w:p>
              </w:tc>
              <w:tc>
                <w:tcPr>
                  <w:tcW w:w="643" w:type="dxa"/>
                  <w:tcBorders>
                    <w:top w:val="nil"/>
                    <w:left w:val="nil"/>
                    <w:bottom w:val="nil"/>
                    <w:right w:val="nil"/>
                  </w:tcBorders>
                  <w:shd w:val="clear" w:color="auto" w:fill="auto"/>
                  <w:noWrap/>
                </w:tcPr>
                <w:p w14:paraId="6DEA2D7F" w14:textId="77777777" w:rsidR="00BD53AF" w:rsidRPr="008A20DE" w:rsidRDefault="00BD53AF" w:rsidP="003A4E18">
                  <w:pPr>
                    <w:framePr w:hSpace="141" w:wrap="around" w:vAnchor="text" w:hAnchor="text" w:xAlign="center" w:y="1"/>
                    <w:suppressOverlap/>
                    <w:jc w:val="center"/>
                    <w:rPr>
                      <w:b/>
                      <w:bCs/>
                      <w:color w:val="000000" w:themeColor="text1"/>
                      <w:sz w:val="20"/>
                      <w:szCs w:val="20"/>
                    </w:rPr>
                  </w:pPr>
                  <w:r w:rsidRPr="008A20DE">
                    <w:rPr>
                      <w:b/>
                      <w:sz w:val="20"/>
                      <w:szCs w:val="20"/>
                    </w:rPr>
                    <w:t>0,7</w:t>
                  </w:r>
                </w:p>
              </w:tc>
              <w:tc>
                <w:tcPr>
                  <w:tcW w:w="645" w:type="dxa"/>
                  <w:tcBorders>
                    <w:top w:val="nil"/>
                    <w:left w:val="nil"/>
                    <w:bottom w:val="nil"/>
                    <w:right w:val="nil"/>
                  </w:tcBorders>
                  <w:shd w:val="clear" w:color="auto" w:fill="auto"/>
                  <w:noWrap/>
                  <w:hideMark/>
                </w:tcPr>
                <w:p w14:paraId="4BE04B89"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highlight w:val="yellow"/>
                    </w:rPr>
                  </w:pPr>
                  <w:r w:rsidRPr="008A20DE">
                    <w:rPr>
                      <w:b/>
                      <w:sz w:val="20"/>
                      <w:szCs w:val="20"/>
                    </w:rPr>
                    <w:t>0,7</w:t>
                  </w:r>
                </w:p>
              </w:tc>
              <w:tc>
                <w:tcPr>
                  <w:tcW w:w="645" w:type="dxa"/>
                  <w:tcBorders>
                    <w:top w:val="nil"/>
                    <w:left w:val="nil"/>
                    <w:bottom w:val="nil"/>
                    <w:right w:val="nil"/>
                  </w:tcBorders>
                  <w:shd w:val="clear" w:color="auto" w:fill="auto"/>
                  <w:noWrap/>
                  <w:hideMark/>
                </w:tcPr>
                <w:p w14:paraId="76BE9DE8"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0,7</w:t>
                  </w:r>
                </w:p>
              </w:tc>
              <w:tc>
                <w:tcPr>
                  <w:tcW w:w="645" w:type="dxa"/>
                  <w:tcBorders>
                    <w:top w:val="nil"/>
                    <w:left w:val="nil"/>
                    <w:bottom w:val="nil"/>
                    <w:right w:val="nil"/>
                  </w:tcBorders>
                </w:tcPr>
                <w:p w14:paraId="09BCD701"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0,3</w:t>
                  </w:r>
                </w:p>
              </w:tc>
              <w:tc>
                <w:tcPr>
                  <w:tcW w:w="645" w:type="dxa"/>
                  <w:tcBorders>
                    <w:top w:val="nil"/>
                    <w:left w:val="nil"/>
                    <w:bottom w:val="nil"/>
                    <w:right w:val="nil"/>
                  </w:tcBorders>
                </w:tcPr>
                <w:p w14:paraId="2C90EF72"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0,6</w:t>
                  </w:r>
                </w:p>
              </w:tc>
              <w:tc>
                <w:tcPr>
                  <w:tcW w:w="651" w:type="dxa"/>
                  <w:gridSpan w:val="2"/>
                  <w:tcBorders>
                    <w:top w:val="nil"/>
                    <w:left w:val="nil"/>
                    <w:bottom w:val="nil"/>
                    <w:right w:val="nil"/>
                  </w:tcBorders>
                </w:tcPr>
                <w:p w14:paraId="4F3EB717"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1,2</w:t>
                  </w:r>
                </w:p>
              </w:tc>
            </w:tr>
            <w:tr w:rsidR="00BD53AF" w:rsidRPr="0064613A" w14:paraId="46B9A373" w14:textId="77777777" w:rsidTr="001D5457">
              <w:trPr>
                <w:trHeight w:val="132"/>
                <w:jc w:val="center"/>
              </w:trPr>
              <w:tc>
                <w:tcPr>
                  <w:tcW w:w="4941" w:type="dxa"/>
                  <w:tcBorders>
                    <w:top w:val="nil"/>
                    <w:left w:val="nil"/>
                    <w:bottom w:val="nil"/>
                    <w:right w:val="nil"/>
                  </w:tcBorders>
                  <w:shd w:val="clear" w:color="auto" w:fill="auto"/>
                  <w:noWrap/>
                  <w:vAlign w:val="center"/>
                  <w:hideMark/>
                </w:tcPr>
                <w:p w14:paraId="68086D33" w14:textId="77777777" w:rsidR="00BD53AF" w:rsidRPr="008A20DE" w:rsidRDefault="00BD53AF" w:rsidP="003A4E18">
                  <w:pPr>
                    <w:framePr w:hSpace="141" w:wrap="around" w:vAnchor="text" w:hAnchor="text" w:xAlign="center" w:y="1"/>
                    <w:ind w:firstLineChars="100" w:firstLine="200"/>
                    <w:suppressOverlap/>
                    <w:rPr>
                      <w:rFonts w:cs="Arial"/>
                      <w:color w:val="000000" w:themeColor="text1"/>
                      <w:sz w:val="20"/>
                      <w:szCs w:val="20"/>
                    </w:rPr>
                  </w:pPr>
                  <w:r w:rsidRPr="008A20DE">
                    <w:rPr>
                      <w:rFonts w:cs="Arial"/>
                      <w:color w:val="000000" w:themeColor="text1"/>
                      <w:sz w:val="20"/>
                      <w:szCs w:val="20"/>
                    </w:rPr>
                    <w:t>Zmena hotovosti VS</w:t>
                  </w:r>
                </w:p>
              </w:tc>
              <w:tc>
                <w:tcPr>
                  <w:tcW w:w="643" w:type="dxa"/>
                  <w:tcBorders>
                    <w:top w:val="nil"/>
                    <w:left w:val="nil"/>
                    <w:bottom w:val="nil"/>
                    <w:right w:val="nil"/>
                  </w:tcBorders>
                  <w:shd w:val="clear" w:color="auto" w:fill="auto"/>
                  <w:noWrap/>
                </w:tcPr>
                <w:p w14:paraId="265220A9" w14:textId="77777777" w:rsidR="00BD53AF" w:rsidRPr="008A20DE" w:rsidRDefault="00BD53AF" w:rsidP="003A4E18">
                  <w:pPr>
                    <w:framePr w:hSpace="141" w:wrap="around" w:vAnchor="text" w:hAnchor="text" w:xAlign="center" w:y="1"/>
                    <w:suppressOverlap/>
                    <w:jc w:val="center"/>
                    <w:rPr>
                      <w:color w:val="000000" w:themeColor="text1"/>
                      <w:sz w:val="20"/>
                      <w:szCs w:val="20"/>
                    </w:rPr>
                  </w:pPr>
                  <w:r w:rsidRPr="008A20DE">
                    <w:rPr>
                      <w:sz w:val="20"/>
                      <w:szCs w:val="20"/>
                    </w:rPr>
                    <w:t>0,7</w:t>
                  </w:r>
                </w:p>
              </w:tc>
              <w:tc>
                <w:tcPr>
                  <w:tcW w:w="645" w:type="dxa"/>
                  <w:tcBorders>
                    <w:top w:val="nil"/>
                    <w:left w:val="nil"/>
                    <w:bottom w:val="nil"/>
                    <w:right w:val="nil"/>
                  </w:tcBorders>
                  <w:shd w:val="clear" w:color="auto" w:fill="auto"/>
                  <w:noWrap/>
                  <w:hideMark/>
                </w:tcPr>
                <w:p w14:paraId="37BBB2C9"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highlight w:val="yellow"/>
                    </w:rPr>
                  </w:pPr>
                  <w:r w:rsidRPr="008A20DE">
                    <w:rPr>
                      <w:sz w:val="20"/>
                      <w:szCs w:val="20"/>
                    </w:rPr>
                    <w:t>0,8</w:t>
                  </w:r>
                </w:p>
              </w:tc>
              <w:tc>
                <w:tcPr>
                  <w:tcW w:w="645" w:type="dxa"/>
                  <w:tcBorders>
                    <w:top w:val="nil"/>
                    <w:left w:val="nil"/>
                    <w:bottom w:val="nil"/>
                    <w:right w:val="nil"/>
                  </w:tcBorders>
                  <w:shd w:val="clear" w:color="auto" w:fill="auto"/>
                  <w:noWrap/>
                  <w:hideMark/>
                </w:tcPr>
                <w:p w14:paraId="36C6961F"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0,7</w:t>
                  </w:r>
                </w:p>
              </w:tc>
              <w:tc>
                <w:tcPr>
                  <w:tcW w:w="645" w:type="dxa"/>
                  <w:tcBorders>
                    <w:top w:val="nil"/>
                    <w:left w:val="nil"/>
                    <w:bottom w:val="nil"/>
                    <w:right w:val="nil"/>
                  </w:tcBorders>
                </w:tcPr>
                <w:p w14:paraId="7B79F993"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0,2</w:t>
                  </w:r>
                </w:p>
              </w:tc>
              <w:tc>
                <w:tcPr>
                  <w:tcW w:w="645" w:type="dxa"/>
                  <w:tcBorders>
                    <w:top w:val="nil"/>
                    <w:left w:val="nil"/>
                    <w:bottom w:val="nil"/>
                    <w:right w:val="nil"/>
                  </w:tcBorders>
                </w:tcPr>
                <w:p w14:paraId="11688633"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0,6</w:t>
                  </w:r>
                </w:p>
              </w:tc>
              <w:tc>
                <w:tcPr>
                  <w:tcW w:w="651" w:type="dxa"/>
                  <w:gridSpan w:val="2"/>
                  <w:tcBorders>
                    <w:top w:val="nil"/>
                    <w:left w:val="nil"/>
                    <w:bottom w:val="nil"/>
                    <w:right w:val="nil"/>
                  </w:tcBorders>
                </w:tcPr>
                <w:p w14:paraId="71F10780"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1,2</w:t>
                  </w:r>
                </w:p>
              </w:tc>
            </w:tr>
            <w:tr w:rsidR="00BD53AF" w:rsidRPr="0064613A" w14:paraId="4B752E85" w14:textId="77777777" w:rsidTr="001D5457">
              <w:trPr>
                <w:trHeight w:val="132"/>
                <w:jc w:val="center"/>
              </w:trPr>
              <w:tc>
                <w:tcPr>
                  <w:tcW w:w="4941" w:type="dxa"/>
                  <w:tcBorders>
                    <w:top w:val="nil"/>
                    <w:left w:val="nil"/>
                    <w:bottom w:val="nil"/>
                    <w:right w:val="nil"/>
                  </w:tcBorders>
                  <w:shd w:val="clear" w:color="auto" w:fill="auto"/>
                  <w:noWrap/>
                  <w:vAlign w:val="center"/>
                  <w:hideMark/>
                </w:tcPr>
                <w:p w14:paraId="5AC0469F" w14:textId="77777777" w:rsidR="00BD53AF" w:rsidRPr="008A20DE" w:rsidRDefault="00BD53AF" w:rsidP="003A4E18">
                  <w:pPr>
                    <w:framePr w:hSpace="141" w:wrap="around" w:vAnchor="text" w:hAnchor="text" w:xAlign="center" w:y="1"/>
                    <w:ind w:firstLineChars="100" w:firstLine="200"/>
                    <w:suppressOverlap/>
                    <w:rPr>
                      <w:rFonts w:cs="Arial"/>
                      <w:color w:val="000000" w:themeColor="text1"/>
                      <w:sz w:val="20"/>
                      <w:szCs w:val="20"/>
                    </w:rPr>
                  </w:pPr>
                  <w:r w:rsidRPr="008A20DE">
                    <w:rPr>
                      <w:rFonts w:cs="Arial"/>
                      <w:color w:val="000000" w:themeColor="text1"/>
                      <w:sz w:val="20"/>
                      <w:szCs w:val="20"/>
                    </w:rPr>
                    <w:t>Zmena iných aktív (stav pohľadávok)</w:t>
                  </w:r>
                </w:p>
              </w:tc>
              <w:tc>
                <w:tcPr>
                  <w:tcW w:w="643" w:type="dxa"/>
                  <w:tcBorders>
                    <w:top w:val="nil"/>
                    <w:left w:val="nil"/>
                    <w:bottom w:val="nil"/>
                    <w:right w:val="nil"/>
                  </w:tcBorders>
                  <w:shd w:val="clear" w:color="auto" w:fill="auto"/>
                  <w:noWrap/>
                </w:tcPr>
                <w:p w14:paraId="1D62256B" w14:textId="77777777" w:rsidR="00BD53AF" w:rsidRPr="008A20DE" w:rsidRDefault="00BD53AF" w:rsidP="003A4E18">
                  <w:pPr>
                    <w:framePr w:hSpace="141" w:wrap="around" w:vAnchor="text" w:hAnchor="text" w:xAlign="center" w:y="1"/>
                    <w:suppressOverlap/>
                    <w:jc w:val="center"/>
                    <w:rPr>
                      <w:color w:val="000000" w:themeColor="text1"/>
                      <w:sz w:val="20"/>
                      <w:szCs w:val="20"/>
                    </w:rPr>
                  </w:pPr>
                  <w:r w:rsidRPr="008A20DE">
                    <w:rPr>
                      <w:sz w:val="20"/>
                      <w:szCs w:val="20"/>
                    </w:rPr>
                    <w:t>0,0</w:t>
                  </w:r>
                </w:p>
              </w:tc>
              <w:tc>
                <w:tcPr>
                  <w:tcW w:w="645" w:type="dxa"/>
                  <w:tcBorders>
                    <w:top w:val="nil"/>
                    <w:left w:val="nil"/>
                    <w:bottom w:val="nil"/>
                    <w:right w:val="nil"/>
                  </w:tcBorders>
                  <w:shd w:val="clear" w:color="auto" w:fill="auto"/>
                  <w:noWrap/>
                  <w:hideMark/>
                </w:tcPr>
                <w:p w14:paraId="594243AD"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highlight w:val="yellow"/>
                    </w:rPr>
                  </w:pPr>
                  <w:r w:rsidRPr="008A20DE">
                    <w:rPr>
                      <w:sz w:val="20"/>
                      <w:szCs w:val="20"/>
                    </w:rPr>
                    <w:t>-0,1</w:t>
                  </w:r>
                </w:p>
              </w:tc>
              <w:tc>
                <w:tcPr>
                  <w:tcW w:w="645" w:type="dxa"/>
                  <w:tcBorders>
                    <w:top w:val="nil"/>
                    <w:left w:val="nil"/>
                    <w:bottom w:val="nil"/>
                    <w:right w:val="nil"/>
                  </w:tcBorders>
                  <w:shd w:val="clear" w:color="auto" w:fill="auto"/>
                  <w:noWrap/>
                  <w:hideMark/>
                </w:tcPr>
                <w:p w14:paraId="5E2B1A77"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0,0</w:t>
                  </w:r>
                </w:p>
              </w:tc>
              <w:tc>
                <w:tcPr>
                  <w:tcW w:w="645" w:type="dxa"/>
                  <w:tcBorders>
                    <w:top w:val="nil"/>
                    <w:left w:val="nil"/>
                    <w:bottom w:val="nil"/>
                    <w:right w:val="nil"/>
                  </w:tcBorders>
                </w:tcPr>
                <w:p w14:paraId="36A3202C"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0,0</w:t>
                  </w:r>
                </w:p>
              </w:tc>
              <w:tc>
                <w:tcPr>
                  <w:tcW w:w="645" w:type="dxa"/>
                  <w:tcBorders>
                    <w:top w:val="nil"/>
                    <w:left w:val="nil"/>
                    <w:bottom w:val="nil"/>
                    <w:right w:val="nil"/>
                  </w:tcBorders>
                </w:tcPr>
                <w:p w14:paraId="2B1602C4"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0,0</w:t>
                  </w:r>
                </w:p>
              </w:tc>
              <w:tc>
                <w:tcPr>
                  <w:tcW w:w="651" w:type="dxa"/>
                  <w:gridSpan w:val="2"/>
                  <w:tcBorders>
                    <w:top w:val="nil"/>
                    <w:left w:val="nil"/>
                    <w:bottom w:val="nil"/>
                    <w:right w:val="nil"/>
                  </w:tcBorders>
                </w:tcPr>
                <w:p w14:paraId="0674D753" w14:textId="77777777" w:rsidR="00BD53AF" w:rsidRPr="008A20DE" w:rsidRDefault="00BD53AF" w:rsidP="003A4E18">
                  <w:pPr>
                    <w:framePr w:hSpace="141" w:wrap="around" w:vAnchor="text" w:hAnchor="text" w:xAlign="center" w:y="1"/>
                    <w:suppressOverlap/>
                    <w:jc w:val="center"/>
                    <w:rPr>
                      <w:rFonts w:cs="Arial"/>
                      <w:bCs/>
                      <w:color w:val="000000" w:themeColor="text1"/>
                      <w:sz w:val="20"/>
                      <w:szCs w:val="20"/>
                    </w:rPr>
                  </w:pPr>
                  <w:r w:rsidRPr="008A20DE">
                    <w:rPr>
                      <w:sz w:val="20"/>
                      <w:szCs w:val="20"/>
                    </w:rPr>
                    <w:t>0,0</w:t>
                  </w:r>
                </w:p>
              </w:tc>
            </w:tr>
            <w:tr w:rsidR="00BD53AF" w:rsidRPr="0064613A" w14:paraId="1E98C0E4" w14:textId="77777777" w:rsidTr="001D5457">
              <w:trPr>
                <w:trHeight w:val="132"/>
                <w:jc w:val="center"/>
              </w:trPr>
              <w:tc>
                <w:tcPr>
                  <w:tcW w:w="4941" w:type="dxa"/>
                  <w:tcBorders>
                    <w:top w:val="nil"/>
                    <w:left w:val="nil"/>
                    <w:bottom w:val="nil"/>
                    <w:right w:val="nil"/>
                  </w:tcBorders>
                  <w:shd w:val="clear" w:color="auto" w:fill="auto"/>
                  <w:noWrap/>
                  <w:vAlign w:val="center"/>
                  <w:hideMark/>
                </w:tcPr>
                <w:p w14:paraId="698673F7" w14:textId="77777777" w:rsidR="00BD53AF" w:rsidRPr="008A20DE" w:rsidRDefault="00BD53AF" w:rsidP="003A4E18">
                  <w:pPr>
                    <w:framePr w:hSpace="141" w:wrap="around" w:vAnchor="text" w:hAnchor="text" w:xAlign="center" w:y="1"/>
                    <w:suppressOverlap/>
                    <w:rPr>
                      <w:rFonts w:cs="Arial"/>
                      <w:b/>
                      <w:bCs/>
                      <w:color w:val="000000" w:themeColor="text1"/>
                      <w:sz w:val="20"/>
                      <w:szCs w:val="20"/>
                    </w:rPr>
                  </w:pPr>
                  <w:r w:rsidRPr="008A20DE">
                    <w:rPr>
                      <w:rFonts w:cs="Arial"/>
                      <w:b/>
                      <w:bCs/>
                      <w:color w:val="000000" w:themeColor="text1"/>
                      <w:sz w:val="20"/>
                      <w:szCs w:val="20"/>
                    </w:rPr>
                    <w:t>3. Diskont pri emisii dlhopisov</w:t>
                  </w:r>
                </w:p>
              </w:tc>
              <w:tc>
                <w:tcPr>
                  <w:tcW w:w="643" w:type="dxa"/>
                  <w:tcBorders>
                    <w:top w:val="nil"/>
                    <w:left w:val="nil"/>
                    <w:bottom w:val="nil"/>
                    <w:right w:val="nil"/>
                  </w:tcBorders>
                  <w:shd w:val="clear" w:color="auto" w:fill="auto"/>
                  <w:noWrap/>
                </w:tcPr>
                <w:p w14:paraId="661BA7CA" w14:textId="77777777" w:rsidR="00BD53AF" w:rsidRPr="008A20DE" w:rsidRDefault="00BD53AF" w:rsidP="003A4E18">
                  <w:pPr>
                    <w:framePr w:hSpace="141" w:wrap="around" w:vAnchor="text" w:hAnchor="text" w:xAlign="center" w:y="1"/>
                    <w:suppressOverlap/>
                    <w:jc w:val="center"/>
                    <w:rPr>
                      <w:b/>
                      <w:bCs/>
                      <w:color w:val="000000" w:themeColor="text1"/>
                      <w:sz w:val="20"/>
                      <w:szCs w:val="20"/>
                    </w:rPr>
                  </w:pPr>
                  <w:r w:rsidRPr="008A20DE">
                    <w:rPr>
                      <w:b/>
                      <w:sz w:val="20"/>
                      <w:szCs w:val="20"/>
                    </w:rPr>
                    <w:t>-0,2</w:t>
                  </w:r>
                </w:p>
              </w:tc>
              <w:tc>
                <w:tcPr>
                  <w:tcW w:w="645" w:type="dxa"/>
                  <w:tcBorders>
                    <w:top w:val="nil"/>
                    <w:left w:val="nil"/>
                    <w:bottom w:val="nil"/>
                    <w:right w:val="nil"/>
                  </w:tcBorders>
                  <w:shd w:val="clear" w:color="auto" w:fill="auto"/>
                  <w:noWrap/>
                  <w:hideMark/>
                </w:tcPr>
                <w:p w14:paraId="4E00E126"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highlight w:val="yellow"/>
                    </w:rPr>
                  </w:pPr>
                  <w:r w:rsidRPr="008A20DE">
                    <w:rPr>
                      <w:b/>
                      <w:sz w:val="20"/>
                      <w:szCs w:val="20"/>
                    </w:rPr>
                    <w:t>0,0</w:t>
                  </w:r>
                </w:p>
              </w:tc>
              <w:tc>
                <w:tcPr>
                  <w:tcW w:w="645" w:type="dxa"/>
                  <w:tcBorders>
                    <w:top w:val="nil"/>
                    <w:left w:val="nil"/>
                    <w:bottom w:val="nil"/>
                    <w:right w:val="nil"/>
                  </w:tcBorders>
                  <w:shd w:val="clear" w:color="auto" w:fill="auto"/>
                  <w:noWrap/>
                  <w:hideMark/>
                </w:tcPr>
                <w:p w14:paraId="12CA56CF"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0,0</w:t>
                  </w:r>
                </w:p>
              </w:tc>
              <w:tc>
                <w:tcPr>
                  <w:tcW w:w="645" w:type="dxa"/>
                  <w:tcBorders>
                    <w:top w:val="nil"/>
                    <w:left w:val="nil"/>
                    <w:bottom w:val="nil"/>
                    <w:right w:val="nil"/>
                  </w:tcBorders>
                </w:tcPr>
                <w:p w14:paraId="7770FB2B"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0,2</w:t>
                  </w:r>
                </w:p>
              </w:tc>
              <w:tc>
                <w:tcPr>
                  <w:tcW w:w="645" w:type="dxa"/>
                  <w:tcBorders>
                    <w:top w:val="nil"/>
                    <w:left w:val="nil"/>
                    <w:bottom w:val="nil"/>
                    <w:right w:val="nil"/>
                  </w:tcBorders>
                </w:tcPr>
                <w:p w14:paraId="446094C3"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0,2</w:t>
                  </w:r>
                </w:p>
              </w:tc>
              <w:tc>
                <w:tcPr>
                  <w:tcW w:w="651" w:type="dxa"/>
                  <w:gridSpan w:val="2"/>
                  <w:tcBorders>
                    <w:top w:val="nil"/>
                    <w:left w:val="nil"/>
                    <w:bottom w:val="nil"/>
                    <w:right w:val="nil"/>
                  </w:tcBorders>
                </w:tcPr>
                <w:p w14:paraId="4837C54C"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0,3</w:t>
                  </w:r>
                </w:p>
              </w:tc>
            </w:tr>
            <w:tr w:rsidR="00BD53AF" w:rsidRPr="0064613A" w14:paraId="1A4300B7" w14:textId="77777777" w:rsidTr="001D5457">
              <w:trPr>
                <w:trHeight w:val="132"/>
                <w:jc w:val="center"/>
              </w:trPr>
              <w:tc>
                <w:tcPr>
                  <w:tcW w:w="4941" w:type="dxa"/>
                  <w:tcBorders>
                    <w:top w:val="nil"/>
                    <w:left w:val="nil"/>
                    <w:bottom w:val="nil"/>
                    <w:right w:val="nil"/>
                  </w:tcBorders>
                  <w:shd w:val="clear" w:color="auto" w:fill="auto"/>
                  <w:noWrap/>
                  <w:vAlign w:val="center"/>
                  <w:hideMark/>
                </w:tcPr>
                <w:p w14:paraId="652C9ADB" w14:textId="77777777" w:rsidR="00BD53AF" w:rsidRPr="008A20DE" w:rsidRDefault="00BD53AF" w:rsidP="003A4E18">
                  <w:pPr>
                    <w:framePr w:hSpace="141" w:wrap="around" w:vAnchor="text" w:hAnchor="text" w:xAlign="center" w:y="1"/>
                    <w:suppressOverlap/>
                    <w:rPr>
                      <w:rFonts w:cs="Arial"/>
                      <w:b/>
                      <w:bCs/>
                      <w:color w:val="000000" w:themeColor="text1"/>
                      <w:sz w:val="20"/>
                      <w:szCs w:val="20"/>
                    </w:rPr>
                  </w:pPr>
                  <w:r w:rsidRPr="008A20DE">
                    <w:rPr>
                      <w:rFonts w:cs="Arial"/>
                      <w:b/>
                      <w:bCs/>
                      <w:color w:val="000000" w:themeColor="text1"/>
                      <w:sz w:val="20"/>
                      <w:szCs w:val="20"/>
                    </w:rPr>
                    <w:t>4. Diskont pri splácaní dlhopisov</w:t>
                  </w:r>
                </w:p>
              </w:tc>
              <w:tc>
                <w:tcPr>
                  <w:tcW w:w="643" w:type="dxa"/>
                  <w:tcBorders>
                    <w:top w:val="nil"/>
                    <w:left w:val="nil"/>
                    <w:right w:val="nil"/>
                  </w:tcBorders>
                  <w:shd w:val="clear" w:color="auto" w:fill="auto"/>
                  <w:noWrap/>
                </w:tcPr>
                <w:p w14:paraId="7B3DADF4" w14:textId="77777777" w:rsidR="00BD53AF" w:rsidRPr="008A20DE" w:rsidRDefault="00BD53AF" w:rsidP="003A4E18">
                  <w:pPr>
                    <w:framePr w:hSpace="141" w:wrap="around" w:vAnchor="text" w:hAnchor="text" w:xAlign="center" w:y="1"/>
                    <w:suppressOverlap/>
                    <w:jc w:val="center"/>
                    <w:rPr>
                      <w:b/>
                      <w:bCs/>
                      <w:color w:val="000000" w:themeColor="text1"/>
                      <w:sz w:val="20"/>
                      <w:szCs w:val="20"/>
                    </w:rPr>
                  </w:pPr>
                  <w:r w:rsidRPr="008A20DE">
                    <w:rPr>
                      <w:b/>
                      <w:sz w:val="20"/>
                      <w:szCs w:val="20"/>
                    </w:rPr>
                    <w:t>0,0</w:t>
                  </w:r>
                </w:p>
              </w:tc>
              <w:tc>
                <w:tcPr>
                  <w:tcW w:w="645" w:type="dxa"/>
                  <w:tcBorders>
                    <w:top w:val="nil"/>
                    <w:left w:val="nil"/>
                    <w:bottom w:val="nil"/>
                    <w:right w:val="nil"/>
                  </w:tcBorders>
                  <w:shd w:val="clear" w:color="auto" w:fill="auto"/>
                  <w:noWrap/>
                  <w:hideMark/>
                </w:tcPr>
                <w:p w14:paraId="08476726"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highlight w:val="yellow"/>
                    </w:rPr>
                  </w:pPr>
                  <w:r w:rsidRPr="008A20DE">
                    <w:rPr>
                      <w:b/>
                      <w:sz w:val="20"/>
                      <w:szCs w:val="20"/>
                    </w:rPr>
                    <w:t>0,0</w:t>
                  </w:r>
                </w:p>
              </w:tc>
              <w:tc>
                <w:tcPr>
                  <w:tcW w:w="645" w:type="dxa"/>
                  <w:tcBorders>
                    <w:top w:val="nil"/>
                    <w:left w:val="nil"/>
                    <w:bottom w:val="nil"/>
                    <w:right w:val="nil"/>
                  </w:tcBorders>
                  <w:shd w:val="clear" w:color="auto" w:fill="auto"/>
                  <w:noWrap/>
                  <w:hideMark/>
                </w:tcPr>
                <w:p w14:paraId="364CD9DF"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0,0</w:t>
                  </w:r>
                </w:p>
              </w:tc>
              <w:tc>
                <w:tcPr>
                  <w:tcW w:w="645" w:type="dxa"/>
                  <w:tcBorders>
                    <w:top w:val="nil"/>
                    <w:left w:val="nil"/>
                    <w:bottom w:val="nil"/>
                    <w:right w:val="nil"/>
                  </w:tcBorders>
                </w:tcPr>
                <w:p w14:paraId="3D4F1B46"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-0,1</w:t>
                  </w:r>
                </w:p>
              </w:tc>
              <w:tc>
                <w:tcPr>
                  <w:tcW w:w="645" w:type="dxa"/>
                  <w:tcBorders>
                    <w:top w:val="nil"/>
                    <w:left w:val="nil"/>
                    <w:bottom w:val="nil"/>
                    <w:right w:val="nil"/>
                  </w:tcBorders>
                </w:tcPr>
                <w:p w14:paraId="1ED62F6A"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0,0</w:t>
                  </w:r>
                </w:p>
              </w:tc>
              <w:tc>
                <w:tcPr>
                  <w:tcW w:w="651" w:type="dxa"/>
                  <w:gridSpan w:val="2"/>
                  <w:tcBorders>
                    <w:top w:val="nil"/>
                    <w:left w:val="nil"/>
                    <w:bottom w:val="nil"/>
                    <w:right w:val="nil"/>
                  </w:tcBorders>
                </w:tcPr>
                <w:p w14:paraId="19E5A6F7"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0,0</w:t>
                  </w:r>
                </w:p>
              </w:tc>
            </w:tr>
            <w:tr w:rsidR="00BD53AF" w:rsidRPr="0064613A" w14:paraId="77C11522" w14:textId="77777777" w:rsidTr="001D5457">
              <w:trPr>
                <w:trHeight w:val="132"/>
                <w:jc w:val="center"/>
              </w:trPr>
              <w:tc>
                <w:tcPr>
                  <w:tcW w:w="4941" w:type="dxa"/>
                  <w:tcBorders>
                    <w:top w:val="nil"/>
                    <w:left w:val="nil"/>
                    <w:bottom w:val="single" w:sz="8" w:space="0" w:color="auto"/>
                    <w:right w:val="nil"/>
                  </w:tcBorders>
                  <w:shd w:val="clear" w:color="auto" w:fill="auto"/>
                  <w:noWrap/>
                  <w:vAlign w:val="center"/>
                  <w:hideMark/>
                </w:tcPr>
                <w:p w14:paraId="177F1BB0" w14:textId="77777777" w:rsidR="00BD53AF" w:rsidRPr="008A20DE" w:rsidRDefault="00BD53AF" w:rsidP="003A4E18">
                  <w:pPr>
                    <w:framePr w:hSpace="141" w:wrap="around" w:vAnchor="text" w:hAnchor="text" w:xAlign="center" w:y="1"/>
                    <w:suppressOverlap/>
                    <w:rPr>
                      <w:rFonts w:cs="Arial"/>
                      <w:b/>
                      <w:bCs/>
                      <w:color w:val="000000" w:themeColor="text1"/>
                      <w:sz w:val="20"/>
                      <w:szCs w:val="20"/>
                    </w:rPr>
                  </w:pPr>
                  <w:r w:rsidRPr="008A20DE">
                    <w:rPr>
                      <w:rFonts w:cs="Arial"/>
                      <w:b/>
                      <w:bCs/>
                      <w:color w:val="000000" w:themeColor="text1"/>
                      <w:sz w:val="20"/>
                      <w:szCs w:val="20"/>
                    </w:rPr>
                    <w:t xml:space="preserve">5. Ostatné </w:t>
                  </w:r>
                </w:p>
              </w:tc>
              <w:tc>
                <w:tcPr>
                  <w:tcW w:w="643" w:type="dxa"/>
                  <w:tcBorders>
                    <w:top w:val="nil"/>
                    <w:left w:val="nil"/>
                    <w:bottom w:val="single" w:sz="4" w:space="0" w:color="auto"/>
                    <w:right w:val="nil"/>
                  </w:tcBorders>
                  <w:shd w:val="clear" w:color="auto" w:fill="auto"/>
                  <w:noWrap/>
                </w:tcPr>
                <w:p w14:paraId="0255F30D" w14:textId="77777777" w:rsidR="00BD53AF" w:rsidRPr="008A20DE" w:rsidRDefault="00BD53AF" w:rsidP="003A4E18">
                  <w:pPr>
                    <w:framePr w:hSpace="141" w:wrap="around" w:vAnchor="text" w:hAnchor="text" w:xAlign="center" w:y="1"/>
                    <w:suppressOverlap/>
                    <w:jc w:val="center"/>
                    <w:rPr>
                      <w:b/>
                      <w:bCs/>
                      <w:color w:val="000000" w:themeColor="text1"/>
                      <w:sz w:val="20"/>
                      <w:szCs w:val="20"/>
                    </w:rPr>
                  </w:pPr>
                  <w:r w:rsidRPr="008A20DE">
                    <w:rPr>
                      <w:b/>
                      <w:sz w:val="20"/>
                      <w:szCs w:val="20"/>
                    </w:rPr>
                    <w:t>0,2</w:t>
                  </w:r>
                </w:p>
              </w:tc>
              <w:tc>
                <w:tcPr>
                  <w:tcW w:w="645" w:type="dxa"/>
                  <w:tcBorders>
                    <w:top w:val="nil"/>
                    <w:left w:val="nil"/>
                    <w:bottom w:val="single" w:sz="8" w:space="0" w:color="auto"/>
                    <w:right w:val="nil"/>
                  </w:tcBorders>
                  <w:shd w:val="clear" w:color="auto" w:fill="auto"/>
                  <w:noWrap/>
                  <w:hideMark/>
                </w:tcPr>
                <w:p w14:paraId="3659F178"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highlight w:val="yellow"/>
                    </w:rPr>
                  </w:pPr>
                  <w:r>
                    <w:rPr>
                      <w:b/>
                      <w:sz w:val="20"/>
                      <w:szCs w:val="20"/>
                    </w:rPr>
                    <w:t>-</w:t>
                  </w:r>
                  <w:r w:rsidRPr="008A20DE">
                    <w:rPr>
                      <w:b/>
                      <w:sz w:val="20"/>
                      <w:szCs w:val="20"/>
                    </w:rPr>
                    <w:t>0,</w:t>
                  </w:r>
                  <w:r>
                    <w:rPr>
                      <w:b/>
                      <w:sz w:val="20"/>
                      <w:szCs w:val="20"/>
                    </w:rPr>
                    <w:t>1</w:t>
                  </w:r>
                </w:p>
              </w:tc>
              <w:tc>
                <w:tcPr>
                  <w:tcW w:w="645" w:type="dxa"/>
                  <w:tcBorders>
                    <w:top w:val="nil"/>
                    <w:left w:val="nil"/>
                    <w:bottom w:val="single" w:sz="8" w:space="0" w:color="auto"/>
                    <w:right w:val="nil"/>
                  </w:tcBorders>
                  <w:shd w:val="clear" w:color="auto" w:fill="auto"/>
                  <w:noWrap/>
                  <w:hideMark/>
                </w:tcPr>
                <w:p w14:paraId="339167D5"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-0,2</w:t>
                  </w:r>
                </w:p>
              </w:tc>
              <w:tc>
                <w:tcPr>
                  <w:tcW w:w="645" w:type="dxa"/>
                  <w:tcBorders>
                    <w:top w:val="nil"/>
                    <w:left w:val="nil"/>
                    <w:bottom w:val="single" w:sz="8" w:space="0" w:color="auto"/>
                    <w:right w:val="nil"/>
                  </w:tcBorders>
                </w:tcPr>
                <w:p w14:paraId="6C491BAF"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-0,2</w:t>
                  </w:r>
                </w:p>
              </w:tc>
              <w:tc>
                <w:tcPr>
                  <w:tcW w:w="645" w:type="dxa"/>
                  <w:tcBorders>
                    <w:top w:val="nil"/>
                    <w:left w:val="nil"/>
                    <w:bottom w:val="single" w:sz="8" w:space="0" w:color="auto"/>
                    <w:right w:val="nil"/>
                  </w:tcBorders>
                </w:tcPr>
                <w:p w14:paraId="4BB80973"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-0,1</w:t>
                  </w:r>
                </w:p>
              </w:tc>
              <w:tc>
                <w:tcPr>
                  <w:tcW w:w="651" w:type="dxa"/>
                  <w:gridSpan w:val="2"/>
                  <w:tcBorders>
                    <w:top w:val="nil"/>
                    <w:left w:val="nil"/>
                    <w:bottom w:val="single" w:sz="8" w:space="0" w:color="auto"/>
                    <w:right w:val="nil"/>
                  </w:tcBorders>
                </w:tcPr>
                <w:p w14:paraId="6E4F6ACC" w14:textId="77777777" w:rsidR="00BD53AF" w:rsidRPr="008A20DE" w:rsidRDefault="00BD53AF" w:rsidP="003A4E18">
                  <w:pPr>
                    <w:framePr w:hSpace="141" w:wrap="around" w:vAnchor="text" w:hAnchor="text" w:xAlign="center" w:y="1"/>
                    <w:suppressOverlap/>
                    <w:jc w:val="center"/>
                    <w:rPr>
                      <w:rFonts w:cs="Arial"/>
                      <w:b/>
                      <w:bCs/>
                      <w:color w:val="000000" w:themeColor="text1"/>
                      <w:sz w:val="20"/>
                      <w:szCs w:val="20"/>
                    </w:rPr>
                  </w:pPr>
                  <w:r w:rsidRPr="008A20DE">
                    <w:rPr>
                      <w:b/>
                      <w:sz w:val="20"/>
                      <w:szCs w:val="20"/>
                    </w:rPr>
                    <w:t>0,0</w:t>
                  </w:r>
                </w:p>
              </w:tc>
            </w:tr>
          </w:tbl>
          <w:p w14:paraId="4554B176" w14:textId="77777777" w:rsidR="00BD53AF" w:rsidRPr="00AA3D60" w:rsidRDefault="00BD53AF" w:rsidP="00387AE5">
            <w:pPr>
              <w:jc w:val="both"/>
              <w:rPr>
                <w:b/>
                <w:color w:val="000000" w:themeColor="text1"/>
                <w:sz w:val="16"/>
                <w:szCs w:val="16"/>
              </w:rPr>
            </w:pPr>
            <w:r w:rsidRPr="00AA3D60">
              <w:rPr>
                <w:color w:val="000000" w:themeColor="text1"/>
                <w:sz w:val="16"/>
                <w:szCs w:val="16"/>
              </w:rPr>
              <w:t xml:space="preserve">* Pozitívne SFA znamená, že dlh nominálne rastie rýchlejším tempom ako deficit resp. sa znižuje pomalšie ako by predpokladala hodnota dosiahnutého prebytku. Záporné SFA znamená, že nárast hrubého dlhu je v porovnaní s vykázaným deficitom pomalší. </w:t>
            </w:r>
          </w:p>
        </w:tc>
      </w:tr>
    </w:tbl>
    <w:p w14:paraId="14FD89C7" w14:textId="0F1D4827" w:rsidR="00BD53AF" w:rsidRDefault="00BD53AF"/>
    <w:p w14:paraId="7165B178" w14:textId="77777777" w:rsidR="00BD53AF" w:rsidRDefault="00BD53AF">
      <w:r>
        <w:br w:type="page"/>
      </w:r>
    </w:p>
    <w:p w14:paraId="1B5E9F38" w14:textId="77777777" w:rsidR="00BD53AF" w:rsidRPr="001538D7" w:rsidRDefault="00BD53AF" w:rsidP="000032FE">
      <w:pPr>
        <w:pStyle w:val="Nadpis1"/>
        <w:numPr>
          <w:ilvl w:val="0"/>
          <w:numId w:val="2"/>
        </w:numPr>
        <w:spacing w:before="240" w:after="240"/>
        <w:ind w:left="357" w:hanging="357"/>
        <w:rPr>
          <w:color w:val="2C9ADC"/>
          <w:szCs w:val="28"/>
        </w:rPr>
      </w:pPr>
      <w:bookmarkStart w:id="162" w:name="_Toc5869388"/>
      <w:r w:rsidRPr="001538D7">
        <w:rPr>
          <w:color w:val="2C9ADC"/>
          <w:szCs w:val="28"/>
        </w:rPr>
        <w:lastRenderedPageBreak/>
        <w:t>ANALÝZY SENZITIVITY A POROVNANIE S PREDCHÁDZAJÚCOU AKTUALIZÁCIOU</w:t>
      </w:r>
      <w:bookmarkEnd w:id="162"/>
      <w:r w:rsidRPr="001538D7">
        <w:rPr>
          <w:color w:val="2C9ADC"/>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BD53AF" w:rsidRPr="000D1A09" w14:paraId="1199462A" w14:textId="77777777" w:rsidTr="00387AE5">
        <w:tc>
          <w:tcPr>
            <w:tcW w:w="9072" w:type="dxa"/>
          </w:tcPr>
          <w:p w14:paraId="180EF9FE" w14:textId="77777777" w:rsidR="00BD53AF" w:rsidRPr="000D1A09" w:rsidRDefault="00BD53AF" w:rsidP="00387AE5">
            <w:pPr>
              <w:pStyle w:val="odsekzatabukou"/>
              <w:spacing w:before="120" w:after="120"/>
              <w:rPr>
                <w:i/>
                <w:highlight w:val="yellow"/>
              </w:rPr>
            </w:pPr>
            <w:r>
              <w:rPr>
                <w:i/>
              </w:rPr>
              <w:t xml:space="preserve">Nad rámec základného scenára ekonomického vývoja obsiahnutého v ostatných častiach Programu stability existujú dodatočné riziká, ktorých realizácia by mala vplyv aj na verejné financie. </w:t>
            </w:r>
            <w:r w:rsidRPr="003A15B8">
              <w:rPr>
                <w:i/>
              </w:rPr>
              <w:t xml:space="preserve">Najväčšie riziko plynie zo scenára tvrdého Brexitu, ktorý by výraznejšie </w:t>
            </w:r>
            <w:r>
              <w:rPr>
                <w:i/>
              </w:rPr>
              <w:t xml:space="preserve">a dlhodobejšie </w:t>
            </w:r>
            <w:r w:rsidRPr="003A15B8">
              <w:rPr>
                <w:i/>
              </w:rPr>
              <w:t xml:space="preserve">zasiahol ekonomiku a verejné financie. Stagnácia eurozóny v prvom polroku 2019 alebo vyššie americké clá na automobily </w:t>
            </w:r>
            <w:r>
              <w:rPr>
                <w:i/>
              </w:rPr>
              <w:t>by priniesli</w:t>
            </w:r>
            <w:r w:rsidRPr="003A15B8">
              <w:rPr>
                <w:i/>
              </w:rPr>
              <w:t xml:space="preserve"> v strednodobom horizonte síce miernejší, ale naďalej nezanedbateľný vplyv na ekonomiku.</w:t>
            </w:r>
            <w:r>
              <w:rPr>
                <w:i/>
              </w:rPr>
              <w:t xml:space="preserve"> Pri všetkých rizikových scenároch by sa však hrubé zadlženie v pomere k HDP znižovalo smerom k 45 % HDP, teda k dolnému sankčnému pásmu ústavného zákona o rozpočtovej zodpovednosti.</w:t>
            </w:r>
          </w:p>
        </w:tc>
      </w:tr>
    </w:tbl>
    <w:p w14:paraId="40257846" w14:textId="77777777" w:rsidR="00BD53AF" w:rsidRDefault="00BD53AF" w:rsidP="00BD53AF">
      <w:pPr>
        <w:jc w:val="both"/>
      </w:pPr>
      <w:bookmarkStart w:id="163" w:name="_Toc251855801"/>
      <w:bookmarkStart w:id="164" w:name="_Toc323117609"/>
      <w:bookmarkStart w:id="165" w:name="_Toc385764226"/>
      <w:bookmarkStart w:id="166" w:name="_Toc449430172"/>
    </w:p>
    <w:p w14:paraId="7883E60D" w14:textId="77777777" w:rsidR="00BD53AF" w:rsidRPr="00FD63F1" w:rsidRDefault="00BD53AF" w:rsidP="00BD53AF">
      <w:pPr>
        <w:jc w:val="both"/>
      </w:pPr>
      <w:r w:rsidRPr="00FD63F1">
        <w:t>Program stability SR je postavený na základnom scenári ekonomického vývoja s exogénnymi predpokladmi o vývoji externého prostredia tak, ako bolo popísané v kapitole 1. V tejto časti sú prezentované vybrané rizikové scenáre, ktoré sú založené na modelových simuláciách predpokladajúcich ekonomickú stagnáciu v krajinách eurozóny v prvom polroku 2019, tvrdý Brexit a zvýšenie amerických ciel na dovoz áut z Európy na 25 %.</w:t>
      </w:r>
    </w:p>
    <w:p w14:paraId="771D6BA4" w14:textId="77777777" w:rsidR="00BD53AF" w:rsidRPr="00FD63F1" w:rsidRDefault="00BD53AF" w:rsidP="000032FE">
      <w:pPr>
        <w:pStyle w:val="Nadpis2"/>
        <w:keepLines/>
        <w:numPr>
          <w:ilvl w:val="1"/>
          <w:numId w:val="2"/>
        </w:numPr>
        <w:spacing w:before="240" w:after="120" w:line="276" w:lineRule="auto"/>
        <w:rPr>
          <w:b/>
          <w:color w:val="2C9ADC"/>
          <w:szCs w:val="28"/>
        </w:rPr>
      </w:pPr>
      <w:bookmarkStart w:id="167" w:name="_Toc5869389"/>
      <w:r w:rsidRPr="00FD63F1">
        <w:rPr>
          <w:b/>
          <w:color w:val="2C9ADC"/>
          <w:szCs w:val="28"/>
        </w:rPr>
        <w:t>Rizikové scenáre vývoja</w:t>
      </w:r>
      <w:bookmarkEnd w:id="163"/>
      <w:bookmarkEnd w:id="164"/>
      <w:bookmarkEnd w:id="165"/>
      <w:bookmarkEnd w:id="166"/>
      <w:bookmarkEnd w:id="167"/>
    </w:p>
    <w:p w14:paraId="3EB77A93" w14:textId="35A27A6D" w:rsidR="00BD53AF" w:rsidRPr="00FD63F1" w:rsidRDefault="00BD53AF" w:rsidP="00BD53AF">
      <w:pPr>
        <w:jc w:val="both"/>
      </w:pPr>
      <w:r w:rsidRPr="00FD63F1">
        <w:rPr>
          <w:b/>
        </w:rPr>
        <w:t xml:space="preserve">Simulácia vybraných rizikových scenárov nenaznačuje výraznejšie odchýlenie prognózy hrubého dlhu a deficitu VS od svojho základného scenára. </w:t>
      </w:r>
      <w:r w:rsidRPr="00FD63F1">
        <w:t xml:space="preserve">Základný scenár vychádza pri oboch fiškálnych ukazovateľoch z aktuálnej prognózy MF SR a z aktuálnych rozpočtových cieľov vlády na roky 2020 až 2022. MF SR predpokladá v základnom scenári dosiahnutie vyrovnaného rozpočtu v roku 2019 a následne jeho udržiavanie. Zotrvanie hrubého dlhu VS pod sankčnými pásmami ústavného zákona o rozpočtovej zodpovednosti predpokladá základný scenár </w:t>
      </w:r>
      <w:r>
        <w:t xml:space="preserve">prognózy </w:t>
      </w:r>
      <w:r w:rsidRPr="00FD63F1">
        <w:t>vo všetkých rokoch. Hrubý dlh by klesal obdobnou dynamikou aj v prípade rizikových scenárov, avšak jeho hodnota by oscilovala približne okolo hranice dolného sankčného pásma v závislosti od konkrétneho scenára. Najrizikovejším</w:t>
      </w:r>
      <w:r w:rsidR="006C6BBD">
        <w:t>i sa v tomto ohľade javí</w:t>
      </w:r>
      <w:r w:rsidRPr="00FD63F1">
        <w:t xml:space="preserve"> byť scenár „tvrdého brexitu“</w:t>
      </w:r>
      <w:r>
        <w:t>(podrobnejšie nižšie</w:t>
      </w:r>
      <w:r w:rsidR="006C6BBD">
        <w:t>), pri ktorom</w:t>
      </w:r>
      <w:r w:rsidRPr="00FD63F1">
        <w:t xml:space="preserve"> by hrubý dlh VS</w:t>
      </w:r>
      <w:r w:rsidR="006C6BBD">
        <w:t xml:space="preserve"> od roku 2021</w:t>
      </w:r>
      <w:r w:rsidRPr="00FD63F1">
        <w:t xml:space="preserve"> </w:t>
      </w:r>
      <w:r>
        <w:t xml:space="preserve">prekročil </w:t>
      </w:r>
      <w:r w:rsidRPr="00FD63F1">
        <w:t>úrov</w:t>
      </w:r>
      <w:r>
        <w:t>eň</w:t>
      </w:r>
      <w:r w:rsidRPr="00FD63F1">
        <w:t xml:space="preserve"> dolného sankčného pásma.</w:t>
      </w:r>
    </w:p>
    <w:p w14:paraId="1FE626F5" w14:textId="77777777" w:rsidR="00BD53AF" w:rsidRPr="00FD63F1" w:rsidRDefault="00BD53AF" w:rsidP="00BD53AF">
      <w:pPr>
        <w:rPr>
          <w:sz w:val="18"/>
        </w:rPr>
      </w:pPr>
    </w:p>
    <w:tbl>
      <w:tblPr>
        <w:tblW w:w="5099"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387"/>
        <w:gridCol w:w="245"/>
        <w:gridCol w:w="4618"/>
      </w:tblGrid>
      <w:tr w:rsidR="00BD53AF" w:rsidRPr="000D1A09" w14:paraId="00DB4FF9" w14:textId="77777777" w:rsidTr="00BF6E0A">
        <w:trPr>
          <w:trHeight w:val="1030"/>
          <w:jc w:val="center"/>
        </w:trPr>
        <w:tc>
          <w:tcPr>
            <w:tcW w:w="4387" w:type="dxa"/>
            <w:tcBorders>
              <w:top w:val="nil"/>
              <w:left w:val="nil"/>
              <w:bottom w:val="single" w:sz="4" w:space="0" w:color="auto"/>
              <w:right w:val="nil"/>
            </w:tcBorders>
            <w:vAlign w:val="center"/>
          </w:tcPr>
          <w:p w14:paraId="5B713867" w14:textId="69DB8EFB" w:rsidR="00BD53AF" w:rsidRPr="00FD63F1" w:rsidRDefault="00BD53AF" w:rsidP="00387AE5">
            <w:pPr>
              <w:pStyle w:val="Nadpis3"/>
              <w:pBdr>
                <w:bottom w:val="single" w:sz="4" w:space="1" w:color="auto"/>
              </w:pBdr>
              <w:rPr>
                <w:rFonts w:eastAsiaTheme="minorHAnsi"/>
                <w:color w:val="2C9ADC"/>
                <w:lang w:eastAsia="en-US"/>
              </w:rPr>
            </w:pPr>
            <w:bookmarkStart w:id="168" w:name="_Toc6314266"/>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23</w:t>
            </w:r>
            <w:r w:rsidRPr="00BE4732">
              <w:rPr>
                <w:rFonts w:eastAsiaTheme="minorHAnsi"/>
                <w:color w:val="2C9ADC"/>
                <w:szCs w:val="20"/>
                <w:lang w:eastAsia="en-US"/>
              </w:rPr>
              <w:fldChar w:fldCharType="end"/>
            </w:r>
            <w:r w:rsidR="00F961A8">
              <w:rPr>
                <w:rFonts w:eastAsiaTheme="minorHAnsi"/>
                <w:color w:val="2C9ADC"/>
                <w:lang w:eastAsia="en-US"/>
              </w:rPr>
              <w:t xml:space="preserve"> -</w:t>
            </w:r>
            <w:r w:rsidRPr="00FD63F1">
              <w:rPr>
                <w:rFonts w:eastAsiaTheme="minorHAnsi"/>
                <w:color w:val="2C9ADC"/>
                <w:lang w:eastAsia="en-US"/>
              </w:rPr>
              <w:t xml:space="preserve"> Saldo VS v základnom a rizikových scenároch (% HDP)</w:t>
            </w:r>
            <w:bookmarkEnd w:id="168"/>
          </w:p>
          <w:p w14:paraId="218DB87D" w14:textId="236F510F" w:rsidR="00BD53AF" w:rsidRPr="00FD63F1" w:rsidRDefault="00D074ED" w:rsidP="00387AE5">
            <w:pPr>
              <w:spacing w:before="40" w:after="40"/>
              <w:rPr>
                <w:rFonts w:eastAsiaTheme="minorHAnsi" w:cs="Arial"/>
                <w:b/>
                <w:bCs/>
                <w:color w:val="2C9ADC"/>
                <w:sz w:val="20"/>
                <w:szCs w:val="26"/>
                <w:lang w:eastAsia="en-US"/>
              </w:rPr>
            </w:pPr>
            <w:r>
              <w:rPr>
                <w:noProof/>
              </w:rPr>
              <w:drawing>
                <wp:inline distT="0" distB="0" distL="0" distR="0" wp14:anchorId="008570CA" wp14:editId="0BDF98F8">
                  <wp:extent cx="2696845" cy="2019383"/>
                  <wp:effectExtent l="0" t="0" r="8255"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45" w:type="dxa"/>
            <w:tcBorders>
              <w:top w:val="nil"/>
              <w:left w:val="nil"/>
              <w:bottom w:val="nil"/>
              <w:right w:val="nil"/>
            </w:tcBorders>
            <w:vAlign w:val="center"/>
          </w:tcPr>
          <w:p w14:paraId="54EB4A8E" w14:textId="77777777" w:rsidR="00BD53AF" w:rsidRPr="00FD63F1" w:rsidRDefault="00BD53AF" w:rsidP="00387AE5">
            <w:pPr>
              <w:spacing w:before="40" w:after="40"/>
              <w:jc w:val="center"/>
              <w:rPr>
                <w:rFonts w:cs="Arial"/>
                <w:b/>
                <w:sz w:val="20"/>
                <w:szCs w:val="20"/>
              </w:rPr>
            </w:pPr>
          </w:p>
        </w:tc>
        <w:tc>
          <w:tcPr>
            <w:tcW w:w="4618" w:type="dxa"/>
            <w:tcBorders>
              <w:top w:val="nil"/>
              <w:left w:val="nil"/>
              <w:bottom w:val="single" w:sz="4" w:space="0" w:color="auto"/>
              <w:right w:val="nil"/>
            </w:tcBorders>
            <w:vAlign w:val="center"/>
          </w:tcPr>
          <w:p w14:paraId="61981DCC" w14:textId="2558E1E8" w:rsidR="00BD53AF" w:rsidRPr="00FD63F1" w:rsidRDefault="00BD53AF" w:rsidP="00387AE5">
            <w:pPr>
              <w:pStyle w:val="Nadpis3"/>
              <w:pBdr>
                <w:bottom w:val="single" w:sz="4" w:space="1" w:color="auto"/>
              </w:pBdr>
              <w:rPr>
                <w:rFonts w:eastAsiaTheme="minorHAnsi"/>
                <w:color w:val="2C9ADC"/>
                <w:lang w:eastAsia="en-US"/>
              </w:rPr>
            </w:pPr>
            <w:bookmarkStart w:id="169" w:name="_Toc6314267"/>
            <w:r w:rsidRPr="00BE4732">
              <w:rPr>
                <w:rFonts w:eastAsiaTheme="minorHAnsi"/>
                <w:color w:val="2C9ADC"/>
                <w:szCs w:val="20"/>
                <w:lang w:eastAsia="en-US"/>
              </w:rPr>
              <w:t xml:space="preserve">GRAF </w:t>
            </w:r>
            <w:r w:rsidRPr="00BE4732">
              <w:rPr>
                <w:rFonts w:eastAsiaTheme="minorHAnsi"/>
                <w:color w:val="2C9ADC"/>
                <w:szCs w:val="20"/>
                <w:lang w:eastAsia="en-US"/>
              </w:rPr>
              <w:fldChar w:fldCharType="begin"/>
            </w:r>
            <w:r w:rsidRPr="00BE4732">
              <w:rPr>
                <w:rFonts w:eastAsiaTheme="minorHAnsi"/>
                <w:color w:val="2C9ADC"/>
                <w:szCs w:val="20"/>
                <w:lang w:eastAsia="en-US"/>
              </w:rPr>
              <w:instrText xml:space="preserve"> SEQ GRAF \* ARABIC </w:instrText>
            </w:r>
            <w:r w:rsidRPr="00BE4732">
              <w:rPr>
                <w:rFonts w:eastAsiaTheme="minorHAnsi"/>
                <w:color w:val="2C9ADC"/>
                <w:szCs w:val="20"/>
                <w:lang w:eastAsia="en-US"/>
              </w:rPr>
              <w:fldChar w:fldCharType="separate"/>
            </w:r>
            <w:r w:rsidR="00D5739E">
              <w:rPr>
                <w:rFonts w:eastAsiaTheme="minorHAnsi"/>
                <w:noProof/>
                <w:color w:val="2C9ADC"/>
                <w:szCs w:val="20"/>
                <w:lang w:eastAsia="en-US"/>
              </w:rPr>
              <w:t>24</w:t>
            </w:r>
            <w:r w:rsidRPr="00BE4732">
              <w:rPr>
                <w:rFonts w:eastAsiaTheme="minorHAnsi"/>
                <w:color w:val="2C9ADC"/>
                <w:szCs w:val="20"/>
                <w:lang w:eastAsia="en-US"/>
              </w:rPr>
              <w:fldChar w:fldCharType="end"/>
            </w:r>
            <w:r w:rsidR="00F961A8">
              <w:rPr>
                <w:rFonts w:eastAsiaTheme="minorHAnsi"/>
                <w:color w:val="2C9ADC"/>
                <w:lang w:eastAsia="en-US"/>
              </w:rPr>
              <w:t xml:space="preserve"> -</w:t>
            </w:r>
            <w:r w:rsidRPr="00FD63F1">
              <w:rPr>
                <w:rFonts w:eastAsiaTheme="minorHAnsi"/>
                <w:color w:val="2C9ADC"/>
                <w:lang w:eastAsia="en-US"/>
              </w:rPr>
              <w:t xml:space="preserve"> Hrubý dlh VS v základnom a rizikových scenároch (% HDP)</w:t>
            </w:r>
            <w:bookmarkEnd w:id="169"/>
          </w:p>
          <w:p w14:paraId="23BC10C0" w14:textId="03C6E018" w:rsidR="00BD53AF" w:rsidRPr="00FD63F1" w:rsidRDefault="00BF6E0A" w:rsidP="00387AE5">
            <w:pPr>
              <w:spacing w:before="40" w:after="40"/>
              <w:jc w:val="center"/>
              <w:rPr>
                <w:rFonts w:eastAsiaTheme="minorHAnsi" w:cs="Arial"/>
                <w:b/>
                <w:bCs/>
                <w:color w:val="2C9ADC"/>
                <w:sz w:val="20"/>
                <w:szCs w:val="26"/>
                <w:lang w:eastAsia="en-US"/>
              </w:rPr>
            </w:pPr>
            <w:r>
              <w:rPr>
                <w:noProof/>
              </w:rPr>
              <w:drawing>
                <wp:inline distT="0" distB="0" distL="0" distR="0" wp14:anchorId="7F8F98DC" wp14:editId="022B13F2">
                  <wp:extent cx="2843530" cy="2003563"/>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D53AF" w:rsidRPr="000D1A09" w14:paraId="185AB04B" w14:textId="77777777" w:rsidTr="00D074ED">
        <w:trPr>
          <w:trHeight w:val="208"/>
          <w:jc w:val="center"/>
        </w:trPr>
        <w:tc>
          <w:tcPr>
            <w:tcW w:w="4387" w:type="dxa"/>
            <w:tcBorders>
              <w:top w:val="single" w:sz="4" w:space="0" w:color="auto"/>
              <w:left w:val="nil"/>
              <w:bottom w:val="nil"/>
              <w:right w:val="nil"/>
            </w:tcBorders>
            <w:vAlign w:val="center"/>
          </w:tcPr>
          <w:p w14:paraId="7897BC1A" w14:textId="77777777" w:rsidR="00BD53AF" w:rsidRPr="00FD63F1" w:rsidRDefault="00BD53AF" w:rsidP="00387AE5">
            <w:pPr>
              <w:pStyle w:val="poznmka"/>
            </w:pPr>
            <w:r w:rsidRPr="00FD63F1">
              <w:t>Zdroj: MF SR</w:t>
            </w:r>
          </w:p>
        </w:tc>
        <w:tc>
          <w:tcPr>
            <w:tcW w:w="245" w:type="dxa"/>
            <w:tcBorders>
              <w:top w:val="nil"/>
              <w:left w:val="nil"/>
              <w:bottom w:val="nil"/>
              <w:right w:val="nil"/>
            </w:tcBorders>
            <w:vAlign w:val="center"/>
          </w:tcPr>
          <w:p w14:paraId="70181792" w14:textId="77777777" w:rsidR="00BD53AF" w:rsidRPr="00FD63F1" w:rsidRDefault="00BD53AF" w:rsidP="00387AE5">
            <w:pPr>
              <w:pStyle w:val="poznmka"/>
            </w:pPr>
          </w:p>
        </w:tc>
        <w:tc>
          <w:tcPr>
            <w:tcW w:w="4618" w:type="dxa"/>
            <w:tcBorders>
              <w:top w:val="single" w:sz="4" w:space="0" w:color="auto"/>
              <w:left w:val="nil"/>
              <w:bottom w:val="nil"/>
              <w:right w:val="nil"/>
            </w:tcBorders>
            <w:vAlign w:val="center"/>
          </w:tcPr>
          <w:p w14:paraId="674D3798" w14:textId="77777777" w:rsidR="00BD53AF" w:rsidRPr="00FD63F1" w:rsidRDefault="00BD53AF" w:rsidP="00387AE5">
            <w:pPr>
              <w:pStyle w:val="poznmka"/>
            </w:pPr>
            <w:r w:rsidRPr="00FD63F1">
              <w:t>Zdroj:  MF SR</w:t>
            </w:r>
          </w:p>
        </w:tc>
      </w:tr>
    </w:tbl>
    <w:p w14:paraId="6A29DA33" w14:textId="77777777" w:rsidR="00BD53AF" w:rsidRPr="00FB1287" w:rsidRDefault="00BD53AF" w:rsidP="000032FE">
      <w:pPr>
        <w:pStyle w:val="odsekzatabukou"/>
        <w:spacing w:after="120"/>
        <w:rPr>
          <w:b/>
          <w:i/>
          <w:color w:val="2C9ADC" w:themeColor="accent1"/>
        </w:rPr>
      </w:pPr>
      <w:r w:rsidRPr="00FB1287">
        <w:rPr>
          <w:b/>
          <w:i/>
          <w:color w:val="2C9ADC" w:themeColor="accent1"/>
        </w:rPr>
        <w:t xml:space="preserve">Scenár </w:t>
      </w:r>
      <w:r>
        <w:rPr>
          <w:b/>
          <w:i/>
          <w:color w:val="2C9ADC" w:themeColor="accent1"/>
        </w:rPr>
        <w:t>1</w:t>
      </w:r>
      <w:r w:rsidRPr="00FB1287">
        <w:rPr>
          <w:b/>
          <w:i/>
          <w:color w:val="2C9ADC" w:themeColor="accent1"/>
        </w:rPr>
        <w:t>: Tvrdý Brexit</w:t>
      </w:r>
    </w:p>
    <w:p w14:paraId="62A4D621" w14:textId="5A31ACE2" w:rsidR="00BD53AF" w:rsidRPr="000D1A09" w:rsidRDefault="00BD53AF" w:rsidP="00BD53AF">
      <w:pPr>
        <w:pStyle w:val="Odsek"/>
        <w:rPr>
          <w:highlight w:val="yellow"/>
        </w:rPr>
      </w:pPr>
      <w:r w:rsidRPr="005C5266">
        <w:rPr>
          <w:b/>
        </w:rPr>
        <w:t>V </w:t>
      </w:r>
      <w:r>
        <w:rPr>
          <w:b/>
        </w:rPr>
        <w:t>prvom</w:t>
      </w:r>
      <w:r w:rsidRPr="005C5266">
        <w:rPr>
          <w:b/>
        </w:rPr>
        <w:t xml:space="preserve"> scenári skúmame vplyv tvrdého Brexitu. </w:t>
      </w:r>
      <w:r w:rsidRPr="0036201F">
        <w:t>Prognóza MF SR identifikovala tvrdý Brexit ako hlavné negatívne riziko</w:t>
      </w:r>
      <w:r>
        <w:rPr>
          <w:rStyle w:val="Odkaznapoznmkupodiarou"/>
        </w:rPr>
        <w:footnoteReference w:id="42"/>
      </w:r>
      <w:r>
        <w:t>. V simulácii predpokladáme vystúpenie Veľkej Británie z EÚ v</w:t>
      </w:r>
      <w:r w:rsidR="003605C8">
        <w:t>o štvrtom štvrťroku</w:t>
      </w:r>
      <w:r w:rsidR="000E64DB">
        <w:t xml:space="preserve"> </w:t>
      </w:r>
      <w:r>
        <w:t xml:space="preserve">2019 bez dohody. Predpokladáme vplyv najmä na export Slovenska, a to priamo aj nepriamo prostredníctvom našich hlavných obchodných partnerov. Šok očakávame aj do výmenného kurzu EUR/USD, kde predpokladáme podobnú reakciu ako v čase ohlásenia výsledkov britského referenda. V prípade úrokových sadzieb sme simulovali reakciu ECB v podobe odkladu zvyšovania úrokovej sadzby o štyri štvrťroky. </w:t>
      </w:r>
    </w:p>
    <w:p w14:paraId="68B796A3" w14:textId="61CE1C33" w:rsidR="00BD53AF" w:rsidRPr="00B11604" w:rsidRDefault="00BD53AF" w:rsidP="00BD53AF">
      <w:pPr>
        <w:pStyle w:val="Odsek"/>
        <w:rPr>
          <w:b/>
        </w:rPr>
      </w:pPr>
      <w:r>
        <w:rPr>
          <w:b/>
        </w:rPr>
        <w:lastRenderedPageBreak/>
        <w:t>Tvrdý Brexit</w:t>
      </w:r>
      <w:r w:rsidRPr="00E617F3">
        <w:rPr>
          <w:b/>
        </w:rPr>
        <w:t xml:space="preserve"> by </w:t>
      </w:r>
      <w:r>
        <w:rPr>
          <w:b/>
        </w:rPr>
        <w:t>znížil reálne</w:t>
      </w:r>
      <w:r w:rsidRPr="00E617F3">
        <w:rPr>
          <w:b/>
        </w:rPr>
        <w:t xml:space="preserve"> HDP Slovenska </w:t>
      </w:r>
      <w:r>
        <w:rPr>
          <w:b/>
        </w:rPr>
        <w:t>na horizonte prognózy</w:t>
      </w:r>
      <w:r w:rsidRPr="00E617F3">
        <w:rPr>
          <w:b/>
        </w:rPr>
        <w:t xml:space="preserve"> </w:t>
      </w:r>
      <w:r>
        <w:rPr>
          <w:b/>
        </w:rPr>
        <w:t xml:space="preserve">kumulatívne </w:t>
      </w:r>
      <w:r w:rsidRPr="00E617F3">
        <w:rPr>
          <w:b/>
        </w:rPr>
        <w:t>o</w:t>
      </w:r>
      <w:r>
        <w:rPr>
          <w:b/>
        </w:rPr>
        <w:t> </w:t>
      </w:r>
      <w:r w:rsidR="003605C8">
        <w:rPr>
          <w:b/>
        </w:rPr>
        <w:t>1,0</w:t>
      </w:r>
      <w:r w:rsidRPr="00E617F3">
        <w:rPr>
          <w:b/>
        </w:rPr>
        <w:t xml:space="preserve"> p.</w:t>
      </w:r>
      <w:r>
        <w:rPr>
          <w:b/>
        </w:rPr>
        <w:t xml:space="preserve"> b.</w:t>
      </w:r>
      <w:r w:rsidRPr="00E617F3">
        <w:t xml:space="preserve"> </w:t>
      </w:r>
      <w:r>
        <w:t>Prichádza ku kumulácii tranzitívneho šoku spojeného s poklesom ekonomického sentimentu a štrukturálneho šoku spojeného s dlhodobým poklesom exportov do krajiny, ktorá patrí k našim významným obchodným partnerom</w:t>
      </w:r>
      <w:r>
        <w:rPr>
          <w:rStyle w:val="Odkaznapoznmkupodiarou"/>
        </w:rPr>
        <w:footnoteReference w:id="43"/>
      </w:r>
      <w:r>
        <w:t>.</w:t>
      </w:r>
      <w:r w:rsidRPr="00E617F3">
        <w:t xml:space="preserve"> </w:t>
      </w:r>
      <w:r>
        <w:t>V reakcii na nižší dopyt firmy pristúpia k prehodnoteniu ďalších investícií a mzdových nákladov.</w:t>
      </w:r>
      <w:r w:rsidRPr="00E617F3">
        <w:t xml:space="preserve"> Spomalenie agregátneho domáceho dopytu </w:t>
      </w:r>
      <w:r>
        <w:t xml:space="preserve">výrazne </w:t>
      </w:r>
      <w:r w:rsidRPr="00E617F3">
        <w:t>zníži inflačné tlaky v </w:t>
      </w:r>
      <w:r w:rsidRPr="00616696">
        <w:t xml:space="preserve">ekonomike. Zníženie ekonomickej aktivity, pomalší rast cien a miezd ako aj vyššia miera nezamestnanosti by viedli k </w:t>
      </w:r>
      <w:r>
        <w:rPr>
          <w:b/>
        </w:rPr>
        <w:t>zhoršeniu</w:t>
      </w:r>
      <w:r w:rsidRPr="00616696">
        <w:rPr>
          <w:b/>
        </w:rPr>
        <w:t xml:space="preserve"> salda verejnej správy kumulatívne o 0,2</w:t>
      </w:r>
      <w:r>
        <w:rPr>
          <w:b/>
        </w:rPr>
        <w:t> </w:t>
      </w:r>
      <w:r w:rsidRPr="00616696">
        <w:rPr>
          <w:b/>
        </w:rPr>
        <w:t>%</w:t>
      </w:r>
      <w:r>
        <w:rPr>
          <w:b/>
        </w:rPr>
        <w:t> </w:t>
      </w:r>
      <w:r w:rsidRPr="00616696">
        <w:rPr>
          <w:b/>
        </w:rPr>
        <w:t>HDP do roku 2022.</w:t>
      </w:r>
      <w:r w:rsidRPr="00616696">
        <w:t xml:space="preserve"> </w:t>
      </w:r>
      <w:r w:rsidRPr="00616696">
        <w:rPr>
          <w:b/>
        </w:rPr>
        <w:t>Hrubý</w:t>
      </w:r>
      <w:r w:rsidRPr="00616696">
        <w:t xml:space="preserve"> </w:t>
      </w:r>
      <w:r w:rsidRPr="00616696">
        <w:rPr>
          <w:b/>
        </w:rPr>
        <w:t xml:space="preserve">dlh verejnej správy by bol na konci </w:t>
      </w:r>
      <w:r>
        <w:rPr>
          <w:b/>
        </w:rPr>
        <w:t>obdobia kumulatívne vyšší o 1,</w:t>
      </w:r>
      <w:r w:rsidR="00D074ED">
        <w:rPr>
          <w:b/>
        </w:rPr>
        <w:t>4</w:t>
      </w:r>
      <w:r>
        <w:rPr>
          <w:b/>
        </w:rPr>
        <w:t> p.b. </w:t>
      </w:r>
      <w:r w:rsidRPr="00616696">
        <w:rPr>
          <w:b/>
        </w:rPr>
        <w:t xml:space="preserve">HDP. </w:t>
      </w:r>
    </w:p>
    <w:tbl>
      <w:tblPr>
        <w:tblW w:w="9072" w:type="dxa"/>
        <w:tblLook w:val="04A0" w:firstRow="1" w:lastRow="0" w:firstColumn="1" w:lastColumn="0" w:noHBand="0" w:noVBand="1"/>
      </w:tblPr>
      <w:tblGrid>
        <w:gridCol w:w="540"/>
        <w:gridCol w:w="1286"/>
        <w:gridCol w:w="1183"/>
        <w:gridCol w:w="789"/>
        <w:gridCol w:w="256"/>
        <w:gridCol w:w="1005"/>
        <w:gridCol w:w="1125"/>
        <w:gridCol w:w="1124"/>
        <w:gridCol w:w="940"/>
        <w:gridCol w:w="824"/>
      </w:tblGrid>
      <w:tr w:rsidR="00BD53AF" w:rsidRPr="000D1A09" w14:paraId="30E603A2" w14:textId="77777777" w:rsidTr="00387AE5">
        <w:trPr>
          <w:trHeight w:val="248"/>
        </w:trPr>
        <w:tc>
          <w:tcPr>
            <w:tcW w:w="9072" w:type="dxa"/>
            <w:gridSpan w:val="10"/>
            <w:tcBorders>
              <w:top w:val="nil"/>
              <w:left w:val="nil"/>
              <w:bottom w:val="single" w:sz="8" w:space="0" w:color="auto"/>
              <w:right w:val="nil"/>
            </w:tcBorders>
            <w:shd w:val="clear" w:color="auto" w:fill="auto"/>
            <w:noWrap/>
            <w:vAlign w:val="center"/>
            <w:hideMark/>
          </w:tcPr>
          <w:p w14:paraId="661AE592" w14:textId="6D3F506C" w:rsidR="00BD53AF" w:rsidRPr="008A0015" w:rsidRDefault="00BD53AF" w:rsidP="00387AE5">
            <w:pPr>
              <w:pStyle w:val="Nadpis3"/>
              <w:rPr>
                <w:rFonts w:cs="Book Antiqua"/>
                <w:b w:val="0"/>
                <w:bCs w:val="0"/>
                <w:color w:val="1F497D" w:themeColor="text2"/>
                <w:sz w:val="18"/>
                <w:szCs w:val="18"/>
              </w:rPr>
            </w:pPr>
            <w:bookmarkStart w:id="170" w:name="_Toc6314211"/>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12</w:t>
            </w:r>
            <w:r w:rsidRPr="00BE4732">
              <w:rPr>
                <w:rFonts w:eastAsiaTheme="minorHAnsi"/>
                <w:color w:val="2C9ADC" w:themeColor="accent1"/>
                <w:lang w:eastAsia="en-US"/>
              </w:rPr>
              <w:fldChar w:fldCharType="end"/>
            </w:r>
            <w:r>
              <w:rPr>
                <w:rFonts w:eastAsiaTheme="minorHAnsi"/>
                <w:color w:val="2C9ADC" w:themeColor="accent1"/>
                <w:lang w:eastAsia="en-US"/>
              </w:rPr>
              <w:t xml:space="preserve"> </w:t>
            </w:r>
            <w:r w:rsidRPr="008A0015">
              <w:rPr>
                <w:rFonts w:eastAsiaTheme="minorHAnsi"/>
                <w:color w:val="2C9ADC"/>
                <w:lang w:eastAsia="en-US"/>
              </w:rPr>
              <w:t xml:space="preserve">- Scenár </w:t>
            </w:r>
            <w:r>
              <w:rPr>
                <w:rFonts w:eastAsiaTheme="minorHAnsi"/>
                <w:color w:val="2C9ADC"/>
                <w:lang w:eastAsia="en-US"/>
              </w:rPr>
              <w:t>1</w:t>
            </w:r>
            <w:r w:rsidRPr="008A0015">
              <w:rPr>
                <w:rFonts w:eastAsiaTheme="minorHAnsi"/>
                <w:color w:val="2C9ADC"/>
                <w:lang w:eastAsia="en-US"/>
              </w:rPr>
              <w:t xml:space="preserve">: </w:t>
            </w:r>
            <w:r>
              <w:rPr>
                <w:rFonts w:eastAsiaTheme="minorHAnsi"/>
                <w:color w:val="2C9ADC"/>
                <w:lang w:eastAsia="en-US"/>
              </w:rPr>
              <w:t>T</w:t>
            </w:r>
            <w:r w:rsidRPr="008A0015">
              <w:rPr>
                <w:rFonts w:eastAsiaTheme="minorHAnsi"/>
                <w:color w:val="2C9ADC"/>
                <w:lang w:eastAsia="en-US"/>
              </w:rPr>
              <w:t>vrdý Brexit</w:t>
            </w:r>
            <w:bookmarkEnd w:id="170"/>
            <w:r w:rsidRPr="008A0015">
              <w:rPr>
                <w:rFonts w:eastAsiaTheme="minorHAnsi"/>
                <w:color w:val="2C9ADC"/>
                <w:lang w:eastAsia="en-US"/>
              </w:rPr>
              <w:t xml:space="preserve"> </w:t>
            </w:r>
          </w:p>
        </w:tc>
      </w:tr>
      <w:tr w:rsidR="00BD53AF" w:rsidRPr="000D1A09" w14:paraId="688FFCDF" w14:textId="77777777" w:rsidTr="00387AE5">
        <w:trPr>
          <w:trHeight w:val="248"/>
        </w:trPr>
        <w:tc>
          <w:tcPr>
            <w:tcW w:w="9072" w:type="dxa"/>
            <w:gridSpan w:val="10"/>
            <w:tcBorders>
              <w:top w:val="single" w:sz="8" w:space="0" w:color="auto"/>
              <w:left w:val="nil"/>
              <w:bottom w:val="single" w:sz="8" w:space="0" w:color="auto"/>
              <w:right w:val="nil"/>
            </w:tcBorders>
            <w:shd w:val="clear" w:color="auto" w:fill="auto"/>
            <w:noWrap/>
            <w:vAlign w:val="center"/>
            <w:hideMark/>
          </w:tcPr>
          <w:p w14:paraId="03261F6B" w14:textId="77777777" w:rsidR="00BD53AF" w:rsidRPr="008A0015" w:rsidRDefault="00BD53AF" w:rsidP="00387AE5">
            <w:pPr>
              <w:rPr>
                <w:rFonts w:cs="Times New Roman"/>
                <w:color w:val="000000"/>
                <w:sz w:val="16"/>
                <w:szCs w:val="16"/>
                <w:lang w:eastAsia="en-US"/>
              </w:rPr>
            </w:pPr>
            <w:r w:rsidRPr="008A0015">
              <w:rPr>
                <w:rFonts w:cs="Times New Roman"/>
                <w:color w:val="000000"/>
                <w:sz w:val="16"/>
                <w:szCs w:val="16"/>
                <w:lang w:eastAsia="en-US"/>
              </w:rPr>
              <w:t>Kumulatívna zmena hodnoty jednotlivých premenných oproti základnému scenáru je v p. b.</w:t>
            </w:r>
          </w:p>
        </w:tc>
      </w:tr>
      <w:tr w:rsidR="00BD53AF" w:rsidRPr="000D1A09" w14:paraId="1FCB08D0" w14:textId="77777777" w:rsidTr="00387AE5">
        <w:trPr>
          <w:trHeight w:val="236"/>
        </w:trPr>
        <w:tc>
          <w:tcPr>
            <w:tcW w:w="540" w:type="dxa"/>
            <w:vMerge w:val="restart"/>
            <w:tcBorders>
              <w:top w:val="nil"/>
              <w:left w:val="nil"/>
              <w:bottom w:val="single" w:sz="12" w:space="0" w:color="000000"/>
              <w:right w:val="nil"/>
            </w:tcBorders>
            <w:shd w:val="clear" w:color="auto" w:fill="auto"/>
            <w:noWrap/>
            <w:vAlign w:val="center"/>
            <w:hideMark/>
          </w:tcPr>
          <w:p w14:paraId="76E4EF45" w14:textId="77777777" w:rsidR="00BD53AF" w:rsidRDefault="00BD53AF" w:rsidP="00387AE5">
            <w:pPr>
              <w:rPr>
                <w:rFonts w:ascii="Times New Roman" w:hAnsi="Times New Roman" w:cs="Times New Roman"/>
                <w:lang w:eastAsia="en-US"/>
              </w:rPr>
            </w:pPr>
          </w:p>
        </w:tc>
        <w:tc>
          <w:tcPr>
            <w:tcW w:w="1286" w:type="dxa"/>
            <w:vMerge w:val="restart"/>
            <w:tcBorders>
              <w:top w:val="nil"/>
              <w:left w:val="nil"/>
              <w:bottom w:val="single" w:sz="12" w:space="0" w:color="000000"/>
              <w:right w:val="nil"/>
            </w:tcBorders>
            <w:shd w:val="clear" w:color="auto" w:fill="auto"/>
            <w:vAlign w:val="center"/>
            <w:hideMark/>
          </w:tcPr>
          <w:p w14:paraId="47BC2F5D" w14:textId="77777777" w:rsidR="00BD53AF" w:rsidRDefault="00BD53AF" w:rsidP="00387AE5">
            <w:pPr>
              <w:jc w:val="center"/>
              <w:rPr>
                <w:rFonts w:cs="Arial"/>
                <w:b/>
                <w:bCs/>
                <w:color w:val="000000"/>
                <w:sz w:val="16"/>
                <w:szCs w:val="16"/>
                <w:lang w:eastAsia="en-US"/>
              </w:rPr>
            </w:pPr>
            <w:r>
              <w:rPr>
                <w:rFonts w:cs="Arial"/>
                <w:b/>
                <w:bCs/>
                <w:color w:val="000000"/>
                <w:sz w:val="16"/>
                <w:szCs w:val="16"/>
              </w:rPr>
              <w:t>HDP (reálne)</w:t>
            </w:r>
          </w:p>
        </w:tc>
        <w:tc>
          <w:tcPr>
            <w:tcW w:w="1183" w:type="dxa"/>
            <w:vMerge w:val="restart"/>
            <w:tcBorders>
              <w:top w:val="nil"/>
              <w:left w:val="nil"/>
              <w:bottom w:val="single" w:sz="12" w:space="0" w:color="000000"/>
              <w:right w:val="nil"/>
            </w:tcBorders>
            <w:shd w:val="clear" w:color="auto" w:fill="auto"/>
            <w:vAlign w:val="center"/>
            <w:hideMark/>
          </w:tcPr>
          <w:p w14:paraId="1971E206" w14:textId="77777777" w:rsidR="00BD53AF" w:rsidRDefault="00BD53AF" w:rsidP="00387AE5">
            <w:pPr>
              <w:jc w:val="center"/>
              <w:rPr>
                <w:rFonts w:cs="Arial"/>
                <w:b/>
                <w:bCs/>
                <w:color w:val="000000"/>
                <w:sz w:val="16"/>
                <w:szCs w:val="16"/>
              </w:rPr>
            </w:pPr>
            <w:r>
              <w:rPr>
                <w:rFonts w:cs="Arial"/>
                <w:b/>
                <w:bCs/>
                <w:color w:val="000000"/>
                <w:sz w:val="16"/>
                <w:szCs w:val="16"/>
              </w:rPr>
              <w:t>CPI</w:t>
            </w:r>
          </w:p>
        </w:tc>
        <w:tc>
          <w:tcPr>
            <w:tcW w:w="789" w:type="dxa"/>
            <w:vMerge w:val="restart"/>
            <w:tcBorders>
              <w:top w:val="nil"/>
              <w:left w:val="nil"/>
              <w:bottom w:val="single" w:sz="12" w:space="0" w:color="000000"/>
              <w:right w:val="nil"/>
            </w:tcBorders>
            <w:shd w:val="clear" w:color="auto" w:fill="auto"/>
            <w:vAlign w:val="center"/>
            <w:hideMark/>
          </w:tcPr>
          <w:p w14:paraId="40F8AE7C" w14:textId="77777777" w:rsidR="00BD53AF" w:rsidRDefault="00BD53AF" w:rsidP="00387AE5">
            <w:pPr>
              <w:jc w:val="center"/>
              <w:rPr>
                <w:rFonts w:cs="Arial"/>
                <w:b/>
                <w:bCs/>
                <w:color w:val="000000"/>
                <w:sz w:val="16"/>
                <w:szCs w:val="16"/>
              </w:rPr>
            </w:pPr>
            <w:r>
              <w:rPr>
                <w:rFonts w:cs="Arial"/>
                <w:b/>
                <w:bCs/>
                <w:color w:val="000000"/>
                <w:sz w:val="16"/>
                <w:szCs w:val="16"/>
              </w:rPr>
              <w:t>Spotreba dom. (reálna)</w:t>
            </w:r>
          </w:p>
        </w:tc>
        <w:tc>
          <w:tcPr>
            <w:tcW w:w="1261" w:type="dxa"/>
            <w:gridSpan w:val="2"/>
            <w:vMerge w:val="restart"/>
            <w:tcBorders>
              <w:top w:val="nil"/>
              <w:left w:val="nil"/>
              <w:bottom w:val="single" w:sz="12" w:space="0" w:color="000000"/>
              <w:right w:val="nil"/>
            </w:tcBorders>
            <w:shd w:val="clear" w:color="auto" w:fill="auto"/>
            <w:vAlign w:val="center"/>
            <w:hideMark/>
          </w:tcPr>
          <w:p w14:paraId="1F4AAEA1" w14:textId="77777777" w:rsidR="00BD53AF" w:rsidRDefault="00BD53AF" w:rsidP="00387AE5">
            <w:pPr>
              <w:jc w:val="center"/>
              <w:rPr>
                <w:rFonts w:cs="Arial"/>
                <w:b/>
                <w:bCs/>
                <w:color w:val="000000"/>
                <w:sz w:val="16"/>
                <w:szCs w:val="16"/>
              </w:rPr>
            </w:pPr>
            <w:r>
              <w:rPr>
                <w:rFonts w:cs="Arial"/>
                <w:b/>
                <w:bCs/>
                <w:color w:val="000000"/>
                <w:sz w:val="16"/>
                <w:szCs w:val="16"/>
              </w:rPr>
              <w:t>Export (reálny)</w:t>
            </w:r>
          </w:p>
        </w:tc>
        <w:tc>
          <w:tcPr>
            <w:tcW w:w="1125" w:type="dxa"/>
            <w:vMerge w:val="restart"/>
            <w:tcBorders>
              <w:top w:val="nil"/>
              <w:left w:val="nil"/>
              <w:bottom w:val="single" w:sz="12" w:space="0" w:color="000000"/>
              <w:right w:val="nil"/>
            </w:tcBorders>
            <w:shd w:val="clear" w:color="auto" w:fill="auto"/>
            <w:vAlign w:val="center"/>
            <w:hideMark/>
          </w:tcPr>
          <w:p w14:paraId="0F1A1954" w14:textId="77777777" w:rsidR="00BD53AF" w:rsidRDefault="00BD53AF" w:rsidP="00387AE5">
            <w:pPr>
              <w:jc w:val="center"/>
              <w:rPr>
                <w:rFonts w:cs="Arial"/>
                <w:b/>
                <w:bCs/>
                <w:color w:val="000000"/>
                <w:sz w:val="16"/>
                <w:szCs w:val="16"/>
              </w:rPr>
            </w:pPr>
            <w:r>
              <w:rPr>
                <w:rFonts w:cs="Arial"/>
                <w:b/>
                <w:bCs/>
                <w:color w:val="000000"/>
                <w:sz w:val="16"/>
                <w:szCs w:val="16"/>
              </w:rPr>
              <w:t>Zamestnanosť</w:t>
            </w:r>
          </w:p>
        </w:tc>
        <w:tc>
          <w:tcPr>
            <w:tcW w:w="1124" w:type="dxa"/>
            <w:vMerge w:val="restart"/>
            <w:tcBorders>
              <w:top w:val="nil"/>
              <w:left w:val="nil"/>
              <w:bottom w:val="single" w:sz="12" w:space="0" w:color="000000"/>
              <w:right w:val="nil"/>
            </w:tcBorders>
            <w:shd w:val="clear" w:color="auto" w:fill="auto"/>
            <w:vAlign w:val="center"/>
            <w:hideMark/>
          </w:tcPr>
          <w:p w14:paraId="774A5FE3" w14:textId="77777777" w:rsidR="00BD53AF" w:rsidRDefault="00BD53AF" w:rsidP="00387AE5">
            <w:pPr>
              <w:jc w:val="center"/>
              <w:rPr>
                <w:rFonts w:cs="Arial"/>
                <w:b/>
                <w:bCs/>
                <w:color w:val="000000"/>
                <w:sz w:val="16"/>
                <w:szCs w:val="16"/>
              </w:rPr>
            </w:pPr>
            <w:r>
              <w:rPr>
                <w:rFonts w:cs="Arial"/>
                <w:b/>
                <w:bCs/>
                <w:color w:val="000000"/>
                <w:sz w:val="16"/>
                <w:szCs w:val="16"/>
              </w:rPr>
              <w:t>Mzdy (nominálne)</w:t>
            </w:r>
          </w:p>
        </w:tc>
        <w:tc>
          <w:tcPr>
            <w:tcW w:w="940" w:type="dxa"/>
            <w:tcBorders>
              <w:top w:val="nil"/>
              <w:left w:val="nil"/>
              <w:bottom w:val="nil"/>
              <w:right w:val="nil"/>
            </w:tcBorders>
            <w:shd w:val="clear" w:color="auto" w:fill="auto"/>
            <w:noWrap/>
            <w:vAlign w:val="center"/>
            <w:hideMark/>
          </w:tcPr>
          <w:p w14:paraId="7B4D8664" w14:textId="77777777" w:rsidR="00BD53AF" w:rsidRDefault="00BD53AF" w:rsidP="00387AE5">
            <w:pPr>
              <w:jc w:val="center"/>
              <w:rPr>
                <w:rFonts w:cs="Arial"/>
                <w:b/>
                <w:bCs/>
                <w:color w:val="000000"/>
                <w:sz w:val="16"/>
                <w:szCs w:val="16"/>
              </w:rPr>
            </w:pPr>
            <w:r>
              <w:rPr>
                <w:rFonts w:cs="Arial"/>
                <w:b/>
                <w:bCs/>
                <w:color w:val="000000"/>
                <w:sz w:val="16"/>
                <w:szCs w:val="16"/>
              </w:rPr>
              <w:t>Saldo VS</w:t>
            </w:r>
          </w:p>
        </w:tc>
        <w:tc>
          <w:tcPr>
            <w:tcW w:w="824" w:type="dxa"/>
            <w:tcBorders>
              <w:top w:val="nil"/>
              <w:left w:val="nil"/>
              <w:bottom w:val="nil"/>
              <w:right w:val="nil"/>
            </w:tcBorders>
            <w:shd w:val="clear" w:color="auto" w:fill="auto"/>
            <w:vAlign w:val="center"/>
            <w:hideMark/>
          </w:tcPr>
          <w:p w14:paraId="68299F24" w14:textId="77777777" w:rsidR="00BD53AF" w:rsidRDefault="00BD53AF" w:rsidP="00387AE5">
            <w:pPr>
              <w:jc w:val="center"/>
              <w:rPr>
                <w:rFonts w:cs="Arial"/>
                <w:b/>
                <w:bCs/>
                <w:color w:val="000000"/>
                <w:sz w:val="16"/>
                <w:szCs w:val="16"/>
              </w:rPr>
            </w:pPr>
            <w:r>
              <w:rPr>
                <w:rFonts w:cs="Arial"/>
                <w:b/>
                <w:bCs/>
                <w:color w:val="000000"/>
                <w:sz w:val="16"/>
                <w:szCs w:val="16"/>
              </w:rPr>
              <w:t>Dlh VS</w:t>
            </w:r>
          </w:p>
        </w:tc>
      </w:tr>
      <w:tr w:rsidR="00BD53AF" w:rsidRPr="00616696" w14:paraId="50B521CA" w14:textId="77777777" w:rsidTr="00387AE5">
        <w:trPr>
          <w:trHeight w:val="248"/>
        </w:trPr>
        <w:tc>
          <w:tcPr>
            <w:tcW w:w="540" w:type="dxa"/>
            <w:vMerge/>
            <w:tcBorders>
              <w:top w:val="nil"/>
              <w:left w:val="nil"/>
              <w:bottom w:val="single" w:sz="12" w:space="0" w:color="000000"/>
              <w:right w:val="nil"/>
            </w:tcBorders>
            <w:vAlign w:val="center"/>
            <w:hideMark/>
          </w:tcPr>
          <w:p w14:paraId="4B1DDA25" w14:textId="77777777" w:rsidR="00BD53AF" w:rsidRPr="000D1A09" w:rsidRDefault="00BD53AF" w:rsidP="00387AE5">
            <w:pPr>
              <w:rPr>
                <w:rFonts w:cs="Times New Roman"/>
                <w:color w:val="000000"/>
                <w:sz w:val="16"/>
                <w:szCs w:val="16"/>
                <w:highlight w:val="yellow"/>
                <w:lang w:eastAsia="en-US"/>
              </w:rPr>
            </w:pPr>
          </w:p>
        </w:tc>
        <w:tc>
          <w:tcPr>
            <w:tcW w:w="1286" w:type="dxa"/>
            <w:vMerge/>
            <w:tcBorders>
              <w:top w:val="nil"/>
              <w:left w:val="nil"/>
              <w:bottom w:val="single" w:sz="12" w:space="0" w:color="000000"/>
              <w:right w:val="nil"/>
            </w:tcBorders>
            <w:vAlign w:val="center"/>
            <w:hideMark/>
          </w:tcPr>
          <w:p w14:paraId="53469B53" w14:textId="77777777" w:rsidR="00BD53AF" w:rsidRPr="008A0015" w:rsidRDefault="00BD53AF" w:rsidP="00387AE5">
            <w:pPr>
              <w:rPr>
                <w:rFonts w:cs="Times New Roman"/>
                <w:b/>
                <w:bCs/>
                <w:color w:val="000000"/>
                <w:sz w:val="16"/>
                <w:szCs w:val="16"/>
                <w:lang w:eastAsia="en-US"/>
              </w:rPr>
            </w:pPr>
          </w:p>
        </w:tc>
        <w:tc>
          <w:tcPr>
            <w:tcW w:w="1183" w:type="dxa"/>
            <w:vMerge/>
            <w:tcBorders>
              <w:top w:val="nil"/>
              <w:left w:val="nil"/>
              <w:bottom w:val="single" w:sz="12" w:space="0" w:color="000000"/>
              <w:right w:val="nil"/>
            </w:tcBorders>
            <w:vAlign w:val="center"/>
            <w:hideMark/>
          </w:tcPr>
          <w:p w14:paraId="56C1AFD8" w14:textId="77777777" w:rsidR="00BD53AF" w:rsidRPr="000D1A09" w:rsidRDefault="00BD53AF" w:rsidP="00387AE5">
            <w:pPr>
              <w:rPr>
                <w:rFonts w:cs="Times New Roman"/>
                <w:b/>
                <w:bCs/>
                <w:color w:val="000000"/>
                <w:sz w:val="16"/>
                <w:szCs w:val="16"/>
                <w:highlight w:val="yellow"/>
                <w:lang w:eastAsia="en-US"/>
              </w:rPr>
            </w:pPr>
          </w:p>
        </w:tc>
        <w:tc>
          <w:tcPr>
            <w:tcW w:w="789" w:type="dxa"/>
            <w:vMerge/>
            <w:tcBorders>
              <w:top w:val="nil"/>
              <w:left w:val="nil"/>
              <w:bottom w:val="single" w:sz="12" w:space="0" w:color="000000"/>
              <w:right w:val="nil"/>
            </w:tcBorders>
            <w:vAlign w:val="center"/>
            <w:hideMark/>
          </w:tcPr>
          <w:p w14:paraId="5F83D280" w14:textId="77777777" w:rsidR="00BD53AF" w:rsidRPr="000D1A09" w:rsidRDefault="00BD53AF" w:rsidP="00387AE5">
            <w:pPr>
              <w:rPr>
                <w:rFonts w:cs="Times New Roman"/>
                <w:b/>
                <w:bCs/>
                <w:color w:val="000000"/>
                <w:sz w:val="16"/>
                <w:szCs w:val="16"/>
                <w:highlight w:val="yellow"/>
                <w:lang w:eastAsia="en-US"/>
              </w:rPr>
            </w:pPr>
          </w:p>
        </w:tc>
        <w:tc>
          <w:tcPr>
            <w:tcW w:w="1261" w:type="dxa"/>
            <w:gridSpan w:val="2"/>
            <w:vMerge/>
            <w:tcBorders>
              <w:top w:val="nil"/>
              <w:left w:val="nil"/>
              <w:bottom w:val="single" w:sz="12" w:space="0" w:color="000000"/>
              <w:right w:val="nil"/>
            </w:tcBorders>
            <w:vAlign w:val="center"/>
            <w:hideMark/>
          </w:tcPr>
          <w:p w14:paraId="5F2F5AF4" w14:textId="77777777" w:rsidR="00BD53AF" w:rsidRPr="000D1A09" w:rsidRDefault="00BD53AF" w:rsidP="00387AE5">
            <w:pPr>
              <w:rPr>
                <w:rFonts w:cs="Times New Roman"/>
                <w:b/>
                <w:bCs/>
                <w:color w:val="000000"/>
                <w:sz w:val="16"/>
                <w:szCs w:val="16"/>
                <w:highlight w:val="yellow"/>
                <w:lang w:eastAsia="en-US"/>
              </w:rPr>
            </w:pPr>
          </w:p>
        </w:tc>
        <w:tc>
          <w:tcPr>
            <w:tcW w:w="1125" w:type="dxa"/>
            <w:vMerge/>
            <w:tcBorders>
              <w:top w:val="nil"/>
              <w:left w:val="nil"/>
              <w:bottom w:val="single" w:sz="12" w:space="0" w:color="000000"/>
              <w:right w:val="nil"/>
            </w:tcBorders>
            <w:vAlign w:val="center"/>
            <w:hideMark/>
          </w:tcPr>
          <w:p w14:paraId="36C13668" w14:textId="77777777" w:rsidR="00BD53AF" w:rsidRPr="000D1A09" w:rsidRDefault="00BD53AF" w:rsidP="00387AE5">
            <w:pPr>
              <w:rPr>
                <w:rFonts w:cs="Times New Roman"/>
                <w:b/>
                <w:bCs/>
                <w:color w:val="000000"/>
                <w:sz w:val="16"/>
                <w:szCs w:val="16"/>
                <w:highlight w:val="yellow"/>
                <w:lang w:eastAsia="en-US"/>
              </w:rPr>
            </w:pPr>
          </w:p>
        </w:tc>
        <w:tc>
          <w:tcPr>
            <w:tcW w:w="1124" w:type="dxa"/>
            <w:vMerge/>
            <w:tcBorders>
              <w:top w:val="nil"/>
              <w:left w:val="nil"/>
              <w:bottom w:val="single" w:sz="12" w:space="0" w:color="000000"/>
              <w:right w:val="nil"/>
            </w:tcBorders>
            <w:vAlign w:val="center"/>
            <w:hideMark/>
          </w:tcPr>
          <w:p w14:paraId="2D50FF9C" w14:textId="77777777" w:rsidR="00BD53AF" w:rsidRPr="000D1A09" w:rsidRDefault="00BD53AF" w:rsidP="00387AE5">
            <w:pPr>
              <w:rPr>
                <w:rFonts w:cs="Times New Roman"/>
                <w:b/>
                <w:bCs/>
                <w:color w:val="000000"/>
                <w:sz w:val="16"/>
                <w:szCs w:val="16"/>
                <w:highlight w:val="yellow"/>
                <w:lang w:eastAsia="en-US"/>
              </w:rPr>
            </w:pPr>
          </w:p>
        </w:tc>
        <w:tc>
          <w:tcPr>
            <w:tcW w:w="940" w:type="dxa"/>
            <w:tcBorders>
              <w:top w:val="nil"/>
              <w:left w:val="nil"/>
              <w:bottom w:val="single" w:sz="12" w:space="0" w:color="auto"/>
              <w:right w:val="nil"/>
            </w:tcBorders>
            <w:shd w:val="clear" w:color="auto" w:fill="auto"/>
            <w:noWrap/>
            <w:vAlign w:val="center"/>
            <w:hideMark/>
          </w:tcPr>
          <w:p w14:paraId="176AD69F" w14:textId="77777777" w:rsidR="00BD53AF" w:rsidRPr="00616696" w:rsidRDefault="00BD53AF" w:rsidP="00387AE5">
            <w:pPr>
              <w:jc w:val="center"/>
              <w:rPr>
                <w:rFonts w:cs="Times New Roman"/>
                <w:color w:val="000000"/>
                <w:sz w:val="16"/>
                <w:szCs w:val="16"/>
                <w:lang w:eastAsia="en-US"/>
              </w:rPr>
            </w:pPr>
            <w:r w:rsidRPr="00616696">
              <w:rPr>
                <w:rFonts w:cs="Arial"/>
                <w:color w:val="000000"/>
                <w:sz w:val="16"/>
                <w:szCs w:val="16"/>
              </w:rPr>
              <w:t>(% HDP)</w:t>
            </w:r>
          </w:p>
        </w:tc>
        <w:tc>
          <w:tcPr>
            <w:tcW w:w="824" w:type="dxa"/>
            <w:tcBorders>
              <w:top w:val="nil"/>
              <w:left w:val="nil"/>
              <w:bottom w:val="single" w:sz="12" w:space="0" w:color="auto"/>
              <w:right w:val="nil"/>
            </w:tcBorders>
            <w:shd w:val="clear" w:color="auto" w:fill="auto"/>
            <w:vAlign w:val="center"/>
            <w:hideMark/>
          </w:tcPr>
          <w:p w14:paraId="78B84828" w14:textId="77777777" w:rsidR="00BD53AF" w:rsidRPr="00616696" w:rsidRDefault="00BD53AF" w:rsidP="00387AE5">
            <w:pPr>
              <w:jc w:val="center"/>
              <w:rPr>
                <w:rFonts w:cs="Times New Roman"/>
                <w:color w:val="000000"/>
                <w:sz w:val="16"/>
                <w:szCs w:val="16"/>
                <w:lang w:eastAsia="en-US"/>
              </w:rPr>
            </w:pPr>
            <w:r w:rsidRPr="00616696">
              <w:rPr>
                <w:rFonts w:cs="Arial"/>
                <w:color w:val="000000"/>
                <w:sz w:val="16"/>
                <w:szCs w:val="16"/>
              </w:rPr>
              <w:t>(% HDP)</w:t>
            </w:r>
          </w:p>
        </w:tc>
      </w:tr>
      <w:tr w:rsidR="003605C8" w:rsidRPr="00616696" w14:paraId="56F93BC2" w14:textId="77777777" w:rsidTr="00387AE5">
        <w:trPr>
          <w:trHeight w:val="248"/>
        </w:trPr>
        <w:tc>
          <w:tcPr>
            <w:tcW w:w="540" w:type="dxa"/>
            <w:tcBorders>
              <w:top w:val="nil"/>
              <w:left w:val="nil"/>
              <w:bottom w:val="nil"/>
              <w:right w:val="nil"/>
            </w:tcBorders>
            <w:shd w:val="clear" w:color="auto" w:fill="auto"/>
            <w:noWrap/>
            <w:vAlign w:val="center"/>
            <w:hideMark/>
          </w:tcPr>
          <w:p w14:paraId="4FDE1494" w14:textId="77777777" w:rsidR="003605C8" w:rsidRPr="008A0015" w:rsidRDefault="003605C8" w:rsidP="003605C8">
            <w:pPr>
              <w:jc w:val="center"/>
              <w:rPr>
                <w:rFonts w:cs="Arial"/>
                <w:color w:val="000000"/>
                <w:sz w:val="16"/>
                <w:szCs w:val="16"/>
              </w:rPr>
            </w:pPr>
            <w:r w:rsidRPr="008A0015">
              <w:rPr>
                <w:rFonts w:cs="Arial"/>
                <w:color w:val="000000"/>
                <w:sz w:val="16"/>
                <w:szCs w:val="16"/>
              </w:rPr>
              <w:t>2019</w:t>
            </w:r>
          </w:p>
        </w:tc>
        <w:tc>
          <w:tcPr>
            <w:tcW w:w="1286" w:type="dxa"/>
            <w:tcBorders>
              <w:top w:val="nil"/>
              <w:left w:val="nil"/>
              <w:bottom w:val="nil"/>
              <w:right w:val="nil"/>
            </w:tcBorders>
            <w:shd w:val="clear" w:color="auto" w:fill="auto"/>
            <w:noWrap/>
            <w:vAlign w:val="center"/>
            <w:hideMark/>
          </w:tcPr>
          <w:p w14:paraId="15C85593" w14:textId="787E3BF2" w:rsidR="003605C8" w:rsidRPr="0093171C" w:rsidRDefault="003605C8" w:rsidP="003605C8">
            <w:pPr>
              <w:jc w:val="center"/>
              <w:rPr>
                <w:rFonts w:cs="Times New Roman"/>
                <w:color w:val="000000"/>
                <w:sz w:val="16"/>
                <w:szCs w:val="18"/>
                <w:lang w:eastAsia="en-US"/>
              </w:rPr>
            </w:pPr>
            <w:r>
              <w:rPr>
                <w:rFonts w:cs="Arial"/>
                <w:color w:val="000000"/>
                <w:sz w:val="16"/>
                <w:szCs w:val="16"/>
              </w:rPr>
              <w:t>-0,1</w:t>
            </w:r>
          </w:p>
        </w:tc>
        <w:tc>
          <w:tcPr>
            <w:tcW w:w="1183" w:type="dxa"/>
            <w:tcBorders>
              <w:top w:val="nil"/>
              <w:left w:val="nil"/>
              <w:bottom w:val="nil"/>
              <w:right w:val="nil"/>
            </w:tcBorders>
            <w:shd w:val="clear" w:color="auto" w:fill="auto"/>
            <w:noWrap/>
            <w:vAlign w:val="center"/>
            <w:hideMark/>
          </w:tcPr>
          <w:p w14:paraId="418799C8" w14:textId="7BE72A4B" w:rsidR="003605C8" w:rsidRPr="0093171C" w:rsidRDefault="003605C8" w:rsidP="003605C8">
            <w:pPr>
              <w:jc w:val="center"/>
              <w:rPr>
                <w:color w:val="000000"/>
                <w:sz w:val="16"/>
                <w:szCs w:val="18"/>
              </w:rPr>
            </w:pPr>
            <w:r>
              <w:rPr>
                <w:rFonts w:cs="Arial"/>
                <w:color w:val="000000"/>
                <w:sz w:val="16"/>
                <w:szCs w:val="16"/>
              </w:rPr>
              <w:t>0,0</w:t>
            </w:r>
          </w:p>
        </w:tc>
        <w:tc>
          <w:tcPr>
            <w:tcW w:w="789" w:type="dxa"/>
            <w:tcBorders>
              <w:top w:val="nil"/>
              <w:left w:val="nil"/>
              <w:bottom w:val="nil"/>
              <w:right w:val="nil"/>
            </w:tcBorders>
            <w:shd w:val="clear" w:color="auto" w:fill="auto"/>
            <w:noWrap/>
            <w:vAlign w:val="center"/>
            <w:hideMark/>
          </w:tcPr>
          <w:p w14:paraId="0A235C09" w14:textId="137C5D01" w:rsidR="003605C8" w:rsidRPr="0093171C" w:rsidRDefault="003605C8" w:rsidP="003605C8">
            <w:pPr>
              <w:jc w:val="center"/>
              <w:rPr>
                <w:color w:val="000000"/>
                <w:sz w:val="16"/>
                <w:szCs w:val="18"/>
              </w:rPr>
            </w:pPr>
            <w:r>
              <w:rPr>
                <w:rFonts w:cs="Arial"/>
                <w:color w:val="000000"/>
                <w:sz w:val="16"/>
                <w:szCs w:val="16"/>
              </w:rPr>
              <w:t>0,0</w:t>
            </w:r>
          </w:p>
        </w:tc>
        <w:tc>
          <w:tcPr>
            <w:tcW w:w="1261" w:type="dxa"/>
            <w:gridSpan w:val="2"/>
            <w:tcBorders>
              <w:top w:val="nil"/>
              <w:left w:val="nil"/>
              <w:bottom w:val="nil"/>
              <w:right w:val="nil"/>
            </w:tcBorders>
            <w:shd w:val="clear" w:color="auto" w:fill="auto"/>
            <w:noWrap/>
            <w:vAlign w:val="center"/>
            <w:hideMark/>
          </w:tcPr>
          <w:p w14:paraId="098E7899" w14:textId="337F214A" w:rsidR="003605C8" w:rsidRPr="0093171C" w:rsidRDefault="003605C8" w:rsidP="003605C8">
            <w:pPr>
              <w:jc w:val="center"/>
              <w:rPr>
                <w:color w:val="000000"/>
                <w:sz w:val="16"/>
                <w:szCs w:val="18"/>
              </w:rPr>
            </w:pPr>
            <w:r>
              <w:rPr>
                <w:rFonts w:cs="Arial"/>
                <w:color w:val="000000"/>
                <w:sz w:val="16"/>
                <w:szCs w:val="16"/>
              </w:rPr>
              <w:t>-0,3</w:t>
            </w:r>
          </w:p>
        </w:tc>
        <w:tc>
          <w:tcPr>
            <w:tcW w:w="1125" w:type="dxa"/>
            <w:tcBorders>
              <w:top w:val="nil"/>
              <w:left w:val="nil"/>
              <w:bottom w:val="nil"/>
              <w:right w:val="nil"/>
            </w:tcBorders>
            <w:shd w:val="clear" w:color="auto" w:fill="auto"/>
            <w:noWrap/>
            <w:vAlign w:val="center"/>
            <w:hideMark/>
          </w:tcPr>
          <w:p w14:paraId="39B54951" w14:textId="06FF000D" w:rsidR="003605C8" w:rsidRPr="0093171C" w:rsidRDefault="003605C8" w:rsidP="003605C8">
            <w:pPr>
              <w:jc w:val="center"/>
              <w:rPr>
                <w:color w:val="000000"/>
                <w:sz w:val="16"/>
                <w:szCs w:val="18"/>
              </w:rPr>
            </w:pPr>
            <w:r>
              <w:rPr>
                <w:rFonts w:cs="Arial"/>
                <w:color w:val="000000"/>
                <w:sz w:val="16"/>
                <w:szCs w:val="16"/>
              </w:rPr>
              <w:t>0,0</w:t>
            </w:r>
          </w:p>
        </w:tc>
        <w:tc>
          <w:tcPr>
            <w:tcW w:w="1124" w:type="dxa"/>
            <w:tcBorders>
              <w:top w:val="nil"/>
              <w:left w:val="nil"/>
              <w:bottom w:val="nil"/>
              <w:right w:val="nil"/>
            </w:tcBorders>
            <w:shd w:val="clear" w:color="auto" w:fill="auto"/>
            <w:noWrap/>
            <w:vAlign w:val="center"/>
            <w:hideMark/>
          </w:tcPr>
          <w:p w14:paraId="7ACA8A0E" w14:textId="1D4AC92D" w:rsidR="003605C8" w:rsidRPr="0093171C" w:rsidRDefault="003605C8" w:rsidP="003605C8">
            <w:pPr>
              <w:jc w:val="center"/>
              <w:rPr>
                <w:color w:val="000000"/>
                <w:sz w:val="16"/>
                <w:szCs w:val="18"/>
              </w:rPr>
            </w:pPr>
            <w:r>
              <w:rPr>
                <w:rFonts w:cs="Arial"/>
                <w:color w:val="000000"/>
                <w:sz w:val="16"/>
                <w:szCs w:val="16"/>
              </w:rPr>
              <w:t>-0,1</w:t>
            </w:r>
          </w:p>
        </w:tc>
        <w:tc>
          <w:tcPr>
            <w:tcW w:w="940" w:type="dxa"/>
            <w:tcBorders>
              <w:top w:val="nil"/>
              <w:left w:val="nil"/>
              <w:bottom w:val="nil"/>
              <w:right w:val="nil"/>
            </w:tcBorders>
            <w:shd w:val="clear" w:color="auto" w:fill="auto"/>
            <w:noWrap/>
            <w:vAlign w:val="center"/>
            <w:hideMark/>
          </w:tcPr>
          <w:p w14:paraId="471F2EED" w14:textId="77777777" w:rsidR="003605C8" w:rsidRPr="00616696" w:rsidRDefault="003605C8" w:rsidP="003605C8">
            <w:pPr>
              <w:jc w:val="center"/>
              <w:rPr>
                <w:color w:val="000000"/>
                <w:sz w:val="16"/>
                <w:szCs w:val="18"/>
              </w:rPr>
            </w:pPr>
            <w:r>
              <w:rPr>
                <w:color w:val="000000"/>
                <w:sz w:val="16"/>
                <w:szCs w:val="18"/>
              </w:rPr>
              <w:t>-0,</w:t>
            </w:r>
            <w:r w:rsidRPr="00616696">
              <w:rPr>
                <w:color w:val="000000"/>
                <w:sz w:val="16"/>
                <w:szCs w:val="18"/>
              </w:rPr>
              <w:t>1</w:t>
            </w:r>
          </w:p>
        </w:tc>
        <w:tc>
          <w:tcPr>
            <w:tcW w:w="824" w:type="dxa"/>
            <w:tcBorders>
              <w:top w:val="nil"/>
              <w:left w:val="nil"/>
              <w:bottom w:val="nil"/>
              <w:right w:val="nil"/>
            </w:tcBorders>
            <w:shd w:val="clear" w:color="auto" w:fill="auto"/>
            <w:vAlign w:val="center"/>
            <w:hideMark/>
          </w:tcPr>
          <w:p w14:paraId="12580D0C" w14:textId="464B636B" w:rsidR="003605C8" w:rsidRPr="00616696" w:rsidRDefault="003605C8" w:rsidP="003605C8">
            <w:pPr>
              <w:jc w:val="center"/>
              <w:rPr>
                <w:rFonts w:cs="Arial"/>
                <w:color w:val="000000"/>
                <w:sz w:val="16"/>
                <w:szCs w:val="16"/>
              </w:rPr>
            </w:pPr>
            <w:r>
              <w:rPr>
                <w:rFonts w:cs="Arial"/>
                <w:color w:val="000000"/>
                <w:sz w:val="16"/>
                <w:szCs w:val="18"/>
              </w:rPr>
              <w:t>0,</w:t>
            </w:r>
            <w:r w:rsidR="00D074ED">
              <w:rPr>
                <w:rFonts w:cs="Arial"/>
                <w:color w:val="000000"/>
                <w:sz w:val="16"/>
                <w:szCs w:val="18"/>
              </w:rPr>
              <w:t>1</w:t>
            </w:r>
          </w:p>
        </w:tc>
      </w:tr>
      <w:tr w:rsidR="003605C8" w:rsidRPr="00616696" w14:paraId="3EF3AD0B" w14:textId="77777777" w:rsidTr="00387AE5">
        <w:trPr>
          <w:trHeight w:val="236"/>
        </w:trPr>
        <w:tc>
          <w:tcPr>
            <w:tcW w:w="540" w:type="dxa"/>
            <w:tcBorders>
              <w:top w:val="nil"/>
              <w:left w:val="nil"/>
              <w:bottom w:val="nil"/>
              <w:right w:val="nil"/>
            </w:tcBorders>
            <w:shd w:val="clear" w:color="auto" w:fill="auto"/>
            <w:noWrap/>
            <w:vAlign w:val="center"/>
            <w:hideMark/>
          </w:tcPr>
          <w:p w14:paraId="3276565F" w14:textId="77777777" w:rsidR="003605C8" w:rsidRPr="008A0015" w:rsidRDefault="003605C8" w:rsidP="003605C8">
            <w:pPr>
              <w:jc w:val="center"/>
              <w:rPr>
                <w:rFonts w:cs="Arial"/>
                <w:color w:val="000000"/>
                <w:sz w:val="16"/>
                <w:szCs w:val="16"/>
              </w:rPr>
            </w:pPr>
            <w:r w:rsidRPr="008A0015">
              <w:rPr>
                <w:rFonts w:cs="Arial"/>
                <w:color w:val="000000"/>
                <w:sz w:val="16"/>
                <w:szCs w:val="16"/>
              </w:rPr>
              <w:t>2020</w:t>
            </w:r>
          </w:p>
        </w:tc>
        <w:tc>
          <w:tcPr>
            <w:tcW w:w="1286" w:type="dxa"/>
            <w:tcBorders>
              <w:top w:val="nil"/>
              <w:left w:val="nil"/>
              <w:bottom w:val="nil"/>
              <w:right w:val="nil"/>
            </w:tcBorders>
            <w:shd w:val="clear" w:color="auto" w:fill="auto"/>
            <w:noWrap/>
            <w:vAlign w:val="center"/>
            <w:hideMark/>
          </w:tcPr>
          <w:p w14:paraId="00DC4CA3" w14:textId="1A4CAAC6" w:rsidR="003605C8" w:rsidRPr="0093171C" w:rsidRDefault="003605C8" w:rsidP="003605C8">
            <w:pPr>
              <w:jc w:val="center"/>
              <w:rPr>
                <w:color w:val="000000"/>
                <w:sz w:val="16"/>
                <w:szCs w:val="18"/>
              </w:rPr>
            </w:pPr>
            <w:r>
              <w:rPr>
                <w:rFonts w:cs="Arial"/>
                <w:color w:val="000000"/>
                <w:sz w:val="16"/>
                <w:szCs w:val="16"/>
              </w:rPr>
              <w:t>-1,0</w:t>
            </w:r>
          </w:p>
        </w:tc>
        <w:tc>
          <w:tcPr>
            <w:tcW w:w="1183" w:type="dxa"/>
            <w:tcBorders>
              <w:top w:val="nil"/>
              <w:left w:val="nil"/>
              <w:bottom w:val="nil"/>
              <w:right w:val="nil"/>
            </w:tcBorders>
            <w:shd w:val="clear" w:color="auto" w:fill="auto"/>
            <w:noWrap/>
            <w:vAlign w:val="center"/>
            <w:hideMark/>
          </w:tcPr>
          <w:p w14:paraId="1E74BFB1" w14:textId="3A55468D" w:rsidR="003605C8" w:rsidRPr="0093171C" w:rsidRDefault="003605C8" w:rsidP="003605C8">
            <w:pPr>
              <w:jc w:val="center"/>
              <w:rPr>
                <w:color w:val="000000"/>
                <w:sz w:val="16"/>
                <w:szCs w:val="18"/>
              </w:rPr>
            </w:pPr>
            <w:r>
              <w:rPr>
                <w:rFonts w:cs="Arial"/>
                <w:color w:val="000000"/>
                <w:sz w:val="16"/>
                <w:szCs w:val="16"/>
              </w:rPr>
              <w:t>-0,2</w:t>
            </w:r>
          </w:p>
        </w:tc>
        <w:tc>
          <w:tcPr>
            <w:tcW w:w="789" w:type="dxa"/>
            <w:tcBorders>
              <w:top w:val="nil"/>
              <w:left w:val="nil"/>
              <w:bottom w:val="nil"/>
              <w:right w:val="nil"/>
            </w:tcBorders>
            <w:shd w:val="clear" w:color="auto" w:fill="auto"/>
            <w:noWrap/>
            <w:vAlign w:val="center"/>
            <w:hideMark/>
          </w:tcPr>
          <w:p w14:paraId="7FEA9ECC" w14:textId="5334AB3D" w:rsidR="003605C8" w:rsidRPr="0093171C" w:rsidRDefault="003605C8" w:rsidP="003605C8">
            <w:pPr>
              <w:jc w:val="center"/>
              <w:rPr>
                <w:color w:val="000000"/>
                <w:sz w:val="16"/>
                <w:szCs w:val="18"/>
              </w:rPr>
            </w:pPr>
            <w:r>
              <w:rPr>
                <w:rFonts w:cs="Arial"/>
                <w:color w:val="000000"/>
                <w:sz w:val="16"/>
                <w:szCs w:val="16"/>
              </w:rPr>
              <w:t>-0,4</w:t>
            </w:r>
          </w:p>
        </w:tc>
        <w:tc>
          <w:tcPr>
            <w:tcW w:w="1261" w:type="dxa"/>
            <w:gridSpan w:val="2"/>
            <w:tcBorders>
              <w:top w:val="nil"/>
              <w:left w:val="nil"/>
              <w:bottom w:val="nil"/>
              <w:right w:val="nil"/>
            </w:tcBorders>
            <w:shd w:val="clear" w:color="auto" w:fill="auto"/>
            <w:noWrap/>
            <w:vAlign w:val="center"/>
            <w:hideMark/>
          </w:tcPr>
          <w:p w14:paraId="66DAF7F9" w14:textId="6AF7B16F" w:rsidR="003605C8" w:rsidRPr="0093171C" w:rsidRDefault="003605C8" w:rsidP="003605C8">
            <w:pPr>
              <w:jc w:val="center"/>
              <w:rPr>
                <w:color w:val="000000"/>
                <w:sz w:val="16"/>
                <w:szCs w:val="18"/>
              </w:rPr>
            </w:pPr>
            <w:r>
              <w:rPr>
                <w:rFonts w:cs="Arial"/>
                <w:color w:val="000000"/>
                <w:sz w:val="16"/>
                <w:szCs w:val="16"/>
              </w:rPr>
              <w:t>-2,2</w:t>
            </w:r>
          </w:p>
        </w:tc>
        <w:tc>
          <w:tcPr>
            <w:tcW w:w="1125" w:type="dxa"/>
            <w:tcBorders>
              <w:top w:val="nil"/>
              <w:left w:val="nil"/>
              <w:bottom w:val="nil"/>
              <w:right w:val="nil"/>
            </w:tcBorders>
            <w:shd w:val="clear" w:color="auto" w:fill="auto"/>
            <w:noWrap/>
            <w:vAlign w:val="center"/>
            <w:hideMark/>
          </w:tcPr>
          <w:p w14:paraId="7967F76D" w14:textId="64380097" w:rsidR="003605C8" w:rsidRPr="0093171C" w:rsidRDefault="003605C8" w:rsidP="003605C8">
            <w:pPr>
              <w:jc w:val="center"/>
              <w:rPr>
                <w:color w:val="000000"/>
                <w:sz w:val="16"/>
                <w:szCs w:val="18"/>
              </w:rPr>
            </w:pPr>
            <w:r>
              <w:rPr>
                <w:rFonts w:cs="Arial"/>
                <w:color w:val="000000"/>
                <w:sz w:val="16"/>
                <w:szCs w:val="16"/>
              </w:rPr>
              <w:t>-0,2</w:t>
            </w:r>
          </w:p>
        </w:tc>
        <w:tc>
          <w:tcPr>
            <w:tcW w:w="1124" w:type="dxa"/>
            <w:tcBorders>
              <w:top w:val="nil"/>
              <w:left w:val="nil"/>
              <w:bottom w:val="nil"/>
              <w:right w:val="nil"/>
            </w:tcBorders>
            <w:shd w:val="clear" w:color="auto" w:fill="auto"/>
            <w:noWrap/>
            <w:vAlign w:val="center"/>
            <w:hideMark/>
          </w:tcPr>
          <w:p w14:paraId="248C06FD" w14:textId="08696289" w:rsidR="003605C8" w:rsidRPr="0093171C" w:rsidRDefault="003605C8" w:rsidP="003605C8">
            <w:pPr>
              <w:jc w:val="center"/>
              <w:rPr>
                <w:color w:val="000000"/>
                <w:sz w:val="16"/>
                <w:szCs w:val="18"/>
              </w:rPr>
            </w:pPr>
            <w:r>
              <w:rPr>
                <w:rFonts w:cs="Arial"/>
                <w:color w:val="000000"/>
                <w:sz w:val="16"/>
                <w:szCs w:val="16"/>
              </w:rPr>
              <w:t>-0,3</w:t>
            </w:r>
          </w:p>
        </w:tc>
        <w:tc>
          <w:tcPr>
            <w:tcW w:w="940" w:type="dxa"/>
            <w:tcBorders>
              <w:top w:val="nil"/>
              <w:left w:val="nil"/>
              <w:bottom w:val="nil"/>
              <w:right w:val="nil"/>
            </w:tcBorders>
            <w:shd w:val="clear" w:color="auto" w:fill="auto"/>
            <w:noWrap/>
            <w:vAlign w:val="center"/>
            <w:hideMark/>
          </w:tcPr>
          <w:p w14:paraId="2AF4CB16" w14:textId="77777777" w:rsidR="003605C8" w:rsidRPr="00616696" w:rsidRDefault="003605C8" w:rsidP="003605C8">
            <w:pPr>
              <w:jc w:val="center"/>
              <w:rPr>
                <w:color w:val="000000"/>
                <w:sz w:val="16"/>
                <w:szCs w:val="18"/>
              </w:rPr>
            </w:pPr>
            <w:r>
              <w:rPr>
                <w:color w:val="000000"/>
                <w:sz w:val="16"/>
                <w:szCs w:val="18"/>
              </w:rPr>
              <w:t>-0,</w:t>
            </w:r>
            <w:r w:rsidRPr="00616696">
              <w:rPr>
                <w:color w:val="000000"/>
                <w:sz w:val="16"/>
                <w:szCs w:val="18"/>
              </w:rPr>
              <w:t>2</w:t>
            </w:r>
          </w:p>
        </w:tc>
        <w:tc>
          <w:tcPr>
            <w:tcW w:w="824" w:type="dxa"/>
            <w:tcBorders>
              <w:top w:val="nil"/>
              <w:left w:val="nil"/>
              <w:bottom w:val="nil"/>
              <w:right w:val="nil"/>
            </w:tcBorders>
            <w:shd w:val="clear" w:color="auto" w:fill="auto"/>
            <w:vAlign w:val="center"/>
            <w:hideMark/>
          </w:tcPr>
          <w:p w14:paraId="0C1FE728" w14:textId="6FED59BE" w:rsidR="003605C8" w:rsidRPr="00616696" w:rsidRDefault="003605C8" w:rsidP="003605C8">
            <w:pPr>
              <w:jc w:val="center"/>
              <w:rPr>
                <w:rFonts w:cs="Arial"/>
                <w:color w:val="000000"/>
                <w:sz w:val="16"/>
                <w:szCs w:val="16"/>
              </w:rPr>
            </w:pPr>
            <w:r>
              <w:rPr>
                <w:rFonts w:cs="Arial"/>
                <w:color w:val="000000"/>
                <w:sz w:val="16"/>
                <w:szCs w:val="18"/>
              </w:rPr>
              <w:t>0,</w:t>
            </w:r>
            <w:r w:rsidR="00D074ED">
              <w:rPr>
                <w:rFonts w:cs="Arial"/>
                <w:color w:val="000000"/>
                <w:sz w:val="16"/>
                <w:szCs w:val="18"/>
              </w:rPr>
              <w:t>7</w:t>
            </w:r>
          </w:p>
        </w:tc>
      </w:tr>
      <w:tr w:rsidR="003605C8" w:rsidRPr="00616696" w14:paraId="4EDD7E48" w14:textId="77777777" w:rsidTr="00387AE5">
        <w:trPr>
          <w:trHeight w:val="236"/>
        </w:trPr>
        <w:tc>
          <w:tcPr>
            <w:tcW w:w="540" w:type="dxa"/>
            <w:tcBorders>
              <w:top w:val="nil"/>
              <w:left w:val="nil"/>
              <w:bottom w:val="nil"/>
              <w:right w:val="nil"/>
            </w:tcBorders>
            <w:shd w:val="clear" w:color="auto" w:fill="auto"/>
            <w:noWrap/>
            <w:vAlign w:val="center"/>
            <w:hideMark/>
          </w:tcPr>
          <w:p w14:paraId="25424BBA" w14:textId="77777777" w:rsidR="003605C8" w:rsidRPr="008A0015" w:rsidRDefault="003605C8" w:rsidP="003605C8">
            <w:pPr>
              <w:jc w:val="center"/>
              <w:rPr>
                <w:rFonts w:cs="Arial"/>
                <w:color w:val="000000"/>
                <w:sz w:val="16"/>
                <w:szCs w:val="16"/>
              </w:rPr>
            </w:pPr>
            <w:r w:rsidRPr="008A0015">
              <w:rPr>
                <w:rFonts w:cs="Arial"/>
                <w:color w:val="000000"/>
                <w:sz w:val="16"/>
                <w:szCs w:val="16"/>
              </w:rPr>
              <w:t>2021</w:t>
            </w:r>
          </w:p>
        </w:tc>
        <w:tc>
          <w:tcPr>
            <w:tcW w:w="1286" w:type="dxa"/>
            <w:tcBorders>
              <w:top w:val="nil"/>
              <w:left w:val="nil"/>
              <w:bottom w:val="nil"/>
              <w:right w:val="nil"/>
            </w:tcBorders>
            <w:shd w:val="clear" w:color="auto" w:fill="auto"/>
            <w:noWrap/>
            <w:vAlign w:val="center"/>
            <w:hideMark/>
          </w:tcPr>
          <w:p w14:paraId="7B5FD20B" w14:textId="2001D6ED" w:rsidR="003605C8" w:rsidRPr="0093171C" w:rsidRDefault="003605C8" w:rsidP="003605C8">
            <w:pPr>
              <w:jc w:val="center"/>
              <w:rPr>
                <w:color w:val="000000"/>
                <w:sz w:val="16"/>
                <w:szCs w:val="18"/>
              </w:rPr>
            </w:pPr>
            <w:r>
              <w:rPr>
                <w:rFonts w:cs="Arial"/>
                <w:color w:val="000000"/>
                <w:sz w:val="16"/>
                <w:szCs w:val="16"/>
              </w:rPr>
              <w:t>-1,1</w:t>
            </w:r>
          </w:p>
        </w:tc>
        <w:tc>
          <w:tcPr>
            <w:tcW w:w="1183" w:type="dxa"/>
            <w:tcBorders>
              <w:top w:val="nil"/>
              <w:left w:val="nil"/>
              <w:bottom w:val="nil"/>
              <w:right w:val="nil"/>
            </w:tcBorders>
            <w:shd w:val="clear" w:color="auto" w:fill="auto"/>
            <w:noWrap/>
            <w:vAlign w:val="center"/>
            <w:hideMark/>
          </w:tcPr>
          <w:p w14:paraId="2609E808" w14:textId="47892A85" w:rsidR="003605C8" w:rsidRPr="0093171C" w:rsidRDefault="003605C8" w:rsidP="003605C8">
            <w:pPr>
              <w:jc w:val="center"/>
              <w:rPr>
                <w:color w:val="000000"/>
                <w:sz w:val="16"/>
                <w:szCs w:val="18"/>
              </w:rPr>
            </w:pPr>
            <w:r>
              <w:rPr>
                <w:rFonts w:cs="Arial"/>
                <w:color w:val="000000"/>
                <w:sz w:val="16"/>
                <w:szCs w:val="16"/>
              </w:rPr>
              <w:t>-0,5</w:t>
            </w:r>
          </w:p>
        </w:tc>
        <w:tc>
          <w:tcPr>
            <w:tcW w:w="789" w:type="dxa"/>
            <w:tcBorders>
              <w:top w:val="nil"/>
              <w:left w:val="nil"/>
              <w:bottom w:val="nil"/>
              <w:right w:val="nil"/>
            </w:tcBorders>
            <w:shd w:val="clear" w:color="auto" w:fill="auto"/>
            <w:noWrap/>
            <w:vAlign w:val="center"/>
            <w:hideMark/>
          </w:tcPr>
          <w:p w14:paraId="65175472" w14:textId="5D30DF4B" w:rsidR="003605C8" w:rsidRPr="0093171C" w:rsidRDefault="003605C8" w:rsidP="003605C8">
            <w:pPr>
              <w:jc w:val="center"/>
              <w:rPr>
                <w:color w:val="000000"/>
                <w:sz w:val="16"/>
                <w:szCs w:val="18"/>
              </w:rPr>
            </w:pPr>
            <w:r>
              <w:rPr>
                <w:rFonts w:cs="Arial"/>
                <w:color w:val="000000"/>
                <w:sz w:val="16"/>
                <w:szCs w:val="16"/>
              </w:rPr>
              <w:t>-0,5</w:t>
            </w:r>
          </w:p>
        </w:tc>
        <w:tc>
          <w:tcPr>
            <w:tcW w:w="1261" w:type="dxa"/>
            <w:gridSpan w:val="2"/>
            <w:tcBorders>
              <w:top w:val="nil"/>
              <w:left w:val="nil"/>
              <w:bottom w:val="nil"/>
              <w:right w:val="nil"/>
            </w:tcBorders>
            <w:shd w:val="clear" w:color="auto" w:fill="auto"/>
            <w:noWrap/>
            <w:vAlign w:val="center"/>
            <w:hideMark/>
          </w:tcPr>
          <w:p w14:paraId="4B0F7593" w14:textId="3BFDBF2A" w:rsidR="003605C8" w:rsidRPr="0093171C" w:rsidRDefault="003605C8" w:rsidP="003605C8">
            <w:pPr>
              <w:jc w:val="center"/>
              <w:rPr>
                <w:color w:val="000000"/>
                <w:sz w:val="16"/>
                <w:szCs w:val="18"/>
              </w:rPr>
            </w:pPr>
            <w:r>
              <w:rPr>
                <w:rFonts w:cs="Arial"/>
                <w:color w:val="000000"/>
                <w:sz w:val="16"/>
                <w:szCs w:val="16"/>
              </w:rPr>
              <w:t>-2,5</w:t>
            </w:r>
          </w:p>
        </w:tc>
        <w:tc>
          <w:tcPr>
            <w:tcW w:w="1125" w:type="dxa"/>
            <w:tcBorders>
              <w:top w:val="nil"/>
              <w:left w:val="nil"/>
              <w:bottom w:val="nil"/>
              <w:right w:val="nil"/>
            </w:tcBorders>
            <w:shd w:val="clear" w:color="auto" w:fill="auto"/>
            <w:noWrap/>
            <w:vAlign w:val="center"/>
            <w:hideMark/>
          </w:tcPr>
          <w:p w14:paraId="2B1E7247" w14:textId="346C7B4D" w:rsidR="003605C8" w:rsidRPr="0093171C" w:rsidRDefault="003605C8" w:rsidP="003605C8">
            <w:pPr>
              <w:jc w:val="center"/>
              <w:rPr>
                <w:color w:val="000000"/>
                <w:sz w:val="16"/>
                <w:szCs w:val="18"/>
              </w:rPr>
            </w:pPr>
            <w:r>
              <w:rPr>
                <w:rFonts w:cs="Arial"/>
                <w:color w:val="000000"/>
                <w:sz w:val="16"/>
                <w:szCs w:val="16"/>
              </w:rPr>
              <w:t>-0,3</w:t>
            </w:r>
          </w:p>
        </w:tc>
        <w:tc>
          <w:tcPr>
            <w:tcW w:w="1124" w:type="dxa"/>
            <w:tcBorders>
              <w:top w:val="nil"/>
              <w:left w:val="nil"/>
              <w:bottom w:val="nil"/>
              <w:right w:val="nil"/>
            </w:tcBorders>
            <w:shd w:val="clear" w:color="auto" w:fill="auto"/>
            <w:noWrap/>
            <w:vAlign w:val="center"/>
            <w:hideMark/>
          </w:tcPr>
          <w:p w14:paraId="4A12DA85" w14:textId="0BE228C8" w:rsidR="003605C8" w:rsidRPr="0093171C" w:rsidRDefault="003605C8" w:rsidP="003605C8">
            <w:pPr>
              <w:jc w:val="center"/>
              <w:rPr>
                <w:color w:val="000000"/>
                <w:sz w:val="16"/>
                <w:szCs w:val="18"/>
              </w:rPr>
            </w:pPr>
            <w:r>
              <w:rPr>
                <w:rFonts w:cs="Arial"/>
                <w:color w:val="000000"/>
                <w:sz w:val="16"/>
                <w:szCs w:val="16"/>
              </w:rPr>
              <w:t>-0,4</w:t>
            </w:r>
          </w:p>
        </w:tc>
        <w:tc>
          <w:tcPr>
            <w:tcW w:w="940" w:type="dxa"/>
            <w:tcBorders>
              <w:top w:val="nil"/>
              <w:left w:val="nil"/>
              <w:bottom w:val="nil"/>
              <w:right w:val="nil"/>
            </w:tcBorders>
            <w:shd w:val="clear" w:color="auto" w:fill="auto"/>
            <w:noWrap/>
            <w:vAlign w:val="center"/>
            <w:hideMark/>
          </w:tcPr>
          <w:p w14:paraId="5055FA28" w14:textId="77777777" w:rsidR="003605C8" w:rsidRPr="00616696" w:rsidRDefault="003605C8" w:rsidP="003605C8">
            <w:pPr>
              <w:jc w:val="center"/>
              <w:rPr>
                <w:color w:val="000000"/>
                <w:sz w:val="16"/>
                <w:szCs w:val="18"/>
              </w:rPr>
            </w:pPr>
            <w:r>
              <w:rPr>
                <w:color w:val="000000"/>
                <w:sz w:val="16"/>
                <w:szCs w:val="18"/>
              </w:rPr>
              <w:t>-0,</w:t>
            </w:r>
            <w:r w:rsidRPr="00616696">
              <w:rPr>
                <w:color w:val="000000"/>
                <w:sz w:val="16"/>
                <w:szCs w:val="18"/>
              </w:rPr>
              <w:t>2</w:t>
            </w:r>
          </w:p>
        </w:tc>
        <w:tc>
          <w:tcPr>
            <w:tcW w:w="824" w:type="dxa"/>
            <w:tcBorders>
              <w:top w:val="nil"/>
              <w:left w:val="nil"/>
              <w:bottom w:val="nil"/>
              <w:right w:val="nil"/>
            </w:tcBorders>
            <w:shd w:val="clear" w:color="auto" w:fill="auto"/>
            <w:vAlign w:val="center"/>
            <w:hideMark/>
          </w:tcPr>
          <w:p w14:paraId="0D6AA235" w14:textId="6EEB7466" w:rsidR="003605C8" w:rsidRPr="00616696" w:rsidRDefault="00D074ED" w:rsidP="003605C8">
            <w:pPr>
              <w:jc w:val="center"/>
              <w:rPr>
                <w:rFonts w:cs="Arial"/>
                <w:color w:val="000000"/>
                <w:sz w:val="16"/>
                <w:szCs w:val="16"/>
              </w:rPr>
            </w:pPr>
            <w:r>
              <w:rPr>
                <w:rFonts w:cs="Arial"/>
                <w:color w:val="000000"/>
                <w:sz w:val="16"/>
                <w:szCs w:val="18"/>
              </w:rPr>
              <w:t>1</w:t>
            </w:r>
            <w:r w:rsidR="003605C8">
              <w:rPr>
                <w:rFonts w:cs="Arial"/>
                <w:color w:val="000000"/>
                <w:sz w:val="16"/>
                <w:szCs w:val="18"/>
              </w:rPr>
              <w:t>,</w:t>
            </w:r>
            <w:r>
              <w:rPr>
                <w:rFonts w:cs="Arial"/>
                <w:color w:val="000000"/>
                <w:sz w:val="16"/>
                <w:szCs w:val="18"/>
              </w:rPr>
              <w:t>1</w:t>
            </w:r>
          </w:p>
        </w:tc>
      </w:tr>
      <w:tr w:rsidR="003605C8" w:rsidRPr="00616696" w14:paraId="78E800B3" w14:textId="77777777" w:rsidTr="00387AE5">
        <w:trPr>
          <w:trHeight w:val="248"/>
        </w:trPr>
        <w:tc>
          <w:tcPr>
            <w:tcW w:w="540" w:type="dxa"/>
            <w:tcBorders>
              <w:top w:val="nil"/>
              <w:left w:val="nil"/>
              <w:bottom w:val="nil"/>
              <w:right w:val="nil"/>
            </w:tcBorders>
            <w:shd w:val="clear" w:color="auto" w:fill="auto"/>
            <w:noWrap/>
            <w:vAlign w:val="center"/>
            <w:hideMark/>
          </w:tcPr>
          <w:p w14:paraId="22425E62" w14:textId="77777777" w:rsidR="003605C8" w:rsidRPr="008A0015" w:rsidRDefault="003605C8" w:rsidP="003605C8">
            <w:pPr>
              <w:jc w:val="center"/>
              <w:rPr>
                <w:rFonts w:cs="Arial"/>
                <w:color w:val="000000"/>
                <w:sz w:val="16"/>
                <w:szCs w:val="16"/>
              </w:rPr>
            </w:pPr>
            <w:r w:rsidRPr="008A0015">
              <w:rPr>
                <w:rFonts w:cs="Arial"/>
                <w:color w:val="000000"/>
                <w:sz w:val="16"/>
                <w:szCs w:val="16"/>
              </w:rPr>
              <w:t>2022</w:t>
            </w:r>
          </w:p>
        </w:tc>
        <w:tc>
          <w:tcPr>
            <w:tcW w:w="1286" w:type="dxa"/>
            <w:tcBorders>
              <w:top w:val="nil"/>
              <w:left w:val="nil"/>
              <w:bottom w:val="nil"/>
              <w:right w:val="nil"/>
            </w:tcBorders>
            <w:shd w:val="clear" w:color="auto" w:fill="auto"/>
            <w:noWrap/>
            <w:vAlign w:val="center"/>
            <w:hideMark/>
          </w:tcPr>
          <w:p w14:paraId="672BA15A" w14:textId="66095E62" w:rsidR="003605C8" w:rsidRPr="0093171C" w:rsidRDefault="003605C8" w:rsidP="003605C8">
            <w:pPr>
              <w:jc w:val="center"/>
              <w:rPr>
                <w:color w:val="000000"/>
                <w:sz w:val="16"/>
                <w:szCs w:val="18"/>
              </w:rPr>
            </w:pPr>
            <w:r>
              <w:rPr>
                <w:rFonts w:cs="Arial"/>
                <w:color w:val="000000"/>
                <w:sz w:val="16"/>
                <w:szCs w:val="16"/>
              </w:rPr>
              <w:t>-1,0</w:t>
            </w:r>
          </w:p>
        </w:tc>
        <w:tc>
          <w:tcPr>
            <w:tcW w:w="1183" w:type="dxa"/>
            <w:tcBorders>
              <w:top w:val="nil"/>
              <w:left w:val="nil"/>
              <w:bottom w:val="nil"/>
              <w:right w:val="nil"/>
            </w:tcBorders>
            <w:shd w:val="clear" w:color="auto" w:fill="auto"/>
            <w:noWrap/>
            <w:vAlign w:val="center"/>
            <w:hideMark/>
          </w:tcPr>
          <w:p w14:paraId="0FD9EC0A" w14:textId="78E0160A" w:rsidR="003605C8" w:rsidRPr="0093171C" w:rsidRDefault="003605C8" w:rsidP="003605C8">
            <w:pPr>
              <w:jc w:val="center"/>
              <w:rPr>
                <w:color w:val="000000"/>
                <w:sz w:val="16"/>
                <w:szCs w:val="18"/>
              </w:rPr>
            </w:pPr>
            <w:r>
              <w:rPr>
                <w:rFonts w:cs="Arial"/>
                <w:color w:val="000000"/>
                <w:sz w:val="16"/>
                <w:szCs w:val="16"/>
              </w:rPr>
              <w:t>-0,8</w:t>
            </w:r>
          </w:p>
        </w:tc>
        <w:tc>
          <w:tcPr>
            <w:tcW w:w="789" w:type="dxa"/>
            <w:tcBorders>
              <w:top w:val="nil"/>
              <w:left w:val="nil"/>
              <w:bottom w:val="nil"/>
              <w:right w:val="nil"/>
            </w:tcBorders>
            <w:shd w:val="clear" w:color="auto" w:fill="auto"/>
            <w:noWrap/>
            <w:vAlign w:val="center"/>
            <w:hideMark/>
          </w:tcPr>
          <w:p w14:paraId="3640F627" w14:textId="35210BB7" w:rsidR="003605C8" w:rsidRPr="0093171C" w:rsidRDefault="003605C8" w:rsidP="003605C8">
            <w:pPr>
              <w:jc w:val="center"/>
              <w:rPr>
                <w:color w:val="000000"/>
                <w:sz w:val="16"/>
                <w:szCs w:val="18"/>
              </w:rPr>
            </w:pPr>
            <w:r>
              <w:rPr>
                <w:rFonts w:cs="Arial"/>
                <w:color w:val="000000"/>
                <w:sz w:val="16"/>
                <w:szCs w:val="16"/>
              </w:rPr>
              <w:t>-0,3</w:t>
            </w:r>
          </w:p>
        </w:tc>
        <w:tc>
          <w:tcPr>
            <w:tcW w:w="1261" w:type="dxa"/>
            <w:gridSpan w:val="2"/>
            <w:tcBorders>
              <w:top w:val="nil"/>
              <w:left w:val="nil"/>
              <w:bottom w:val="nil"/>
              <w:right w:val="nil"/>
            </w:tcBorders>
            <w:shd w:val="clear" w:color="auto" w:fill="auto"/>
            <w:noWrap/>
            <w:vAlign w:val="center"/>
            <w:hideMark/>
          </w:tcPr>
          <w:p w14:paraId="75300AAF" w14:textId="6DBDB7B8" w:rsidR="003605C8" w:rsidRPr="0093171C" w:rsidRDefault="003605C8" w:rsidP="003605C8">
            <w:pPr>
              <w:jc w:val="center"/>
              <w:rPr>
                <w:color w:val="000000"/>
                <w:sz w:val="16"/>
                <w:szCs w:val="18"/>
              </w:rPr>
            </w:pPr>
            <w:r>
              <w:rPr>
                <w:rFonts w:cs="Arial"/>
                <w:color w:val="000000"/>
                <w:sz w:val="16"/>
                <w:szCs w:val="16"/>
              </w:rPr>
              <w:t>-2,5</w:t>
            </w:r>
          </w:p>
        </w:tc>
        <w:tc>
          <w:tcPr>
            <w:tcW w:w="1125" w:type="dxa"/>
            <w:tcBorders>
              <w:top w:val="nil"/>
              <w:left w:val="nil"/>
              <w:bottom w:val="nil"/>
              <w:right w:val="nil"/>
            </w:tcBorders>
            <w:shd w:val="clear" w:color="auto" w:fill="auto"/>
            <w:noWrap/>
            <w:vAlign w:val="center"/>
            <w:hideMark/>
          </w:tcPr>
          <w:p w14:paraId="4F16D794" w14:textId="7A2E964A" w:rsidR="003605C8" w:rsidRPr="0093171C" w:rsidRDefault="003605C8" w:rsidP="003605C8">
            <w:pPr>
              <w:jc w:val="center"/>
              <w:rPr>
                <w:color w:val="000000"/>
                <w:sz w:val="16"/>
                <w:szCs w:val="18"/>
              </w:rPr>
            </w:pPr>
            <w:r>
              <w:rPr>
                <w:rFonts w:cs="Arial"/>
                <w:color w:val="000000"/>
                <w:sz w:val="16"/>
                <w:szCs w:val="16"/>
              </w:rPr>
              <w:t>-0,4</w:t>
            </w:r>
          </w:p>
        </w:tc>
        <w:tc>
          <w:tcPr>
            <w:tcW w:w="1124" w:type="dxa"/>
            <w:tcBorders>
              <w:top w:val="nil"/>
              <w:left w:val="nil"/>
              <w:bottom w:val="nil"/>
              <w:right w:val="nil"/>
            </w:tcBorders>
            <w:shd w:val="clear" w:color="auto" w:fill="auto"/>
            <w:noWrap/>
            <w:vAlign w:val="center"/>
            <w:hideMark/>
          </w:tcPr>
          <w:p w14:paraId="3A593A48" w14:textId="4EB441C9" w:rsidR="003605C8" w:rsidRPr="0093171C" w:rsidRDefault="003605C8" w:rsidP="003605C8">
            <w:pPr>
              <w:jc w:val="center"/>
              <w:rPr>
                <w:color w:val="000000"/>
                <w:sz w:val="16"/>
                <w:szCs w:val="18"/>
              </w:rPr>
            </w:pPr>
            <w:r>
              <w:rPr>
                <w:rFonts w:cs="Arial"/>
                <w:color w:val="000000"/>
                <w:sz w:val="16"/>
                <w:szCs w:val="16"/>
              </w:rPr>
              <w:t>-0,6</w:t>
            </w:r>
          </w:p>
        </w:tc>
        <w:tc>
          <w:tcPr>
            <w:tcW w:w="940" w:type="dxa"/>
            <w:tcBorders>
              <w:top w:val="nil"/>
              <w:left w:val="nil"/>
              <w:bottom w:val="nil"/>
              <w:right w:val="nil"/>
            </w:tcBorders>
            <w:shd w:val="clear" w:color="auto" w:fill="auto"/>
            <w:noWrap/>
            <w:vAlign w:val="center"/>
            <w:hideMark/>
          </w:tcPr>
          <w:p w14:paraId="0C1DBD1E" w14:textId="77777777" w:rsidR="003605C8" w:rsidRPr="00616696" w:rsidRDefault="003605C8" w:rsidP="003605C8">
            <w:pPr>
              <w:jc w:val="center"/>
              <w:rPr>
                <w:color w:val="000000"/>
                <w:sz w:val="16"/>
                <w:szCs w:val="18"/>
              </w:rPr>
            </w:pPr>
            <w:r>
              <w:rPr>
                <w:color w:val="000000"/>
                <w:sz w:val="16"/>
                <w:szCs w:val="18"/>
              </w:rPr>
              <w:t>-0,</w:t>
            </w:r>
            <w:r w:rsidRPr="00616696">
              <w:rPr>
                <w:color w:val="000000"/>
                <w:sz w:val="16"/>
                <w:szCs w:val="18"/>
              </w:rPr>
              <w:t>2</w:t>
            </w:r>
          </w:p>
        </w:tc>
        <w:tc>
          <w:tcPr>
            <w:tcW w:w="824" w:type="dxa"/>
            <w:tcBorders>
              <w:top w:val="nil"/>
              <w:left w:val="nil"/>
              <w:bottom w:val="nil"/>
              <w:right w:val="nil"/>
            </w:tcBorders>
            <w:shd w:val="clear" w:color="auto" w:fill="auto"/>
            <w:vAlign w:val="center"/>
            <w:hideMark/>
          </w:tcPr>
          <w:p w14:paraId="6BECDD05" w14:textId="1430F1CB" w:rsidR="003605C8" w:rsidRPr="00616696" w:rsidRDefault="003605C8">
            <w:pPr>
              <w:jc w:val="center"/>
              <w:rPr>
                <w:rFonts w:cs="Arial"/>
                <w:color w:val="000000"/>
                <w:sz w:val="16"/>
                <w:szCs w:val="16"/>
              </w:rPr>
            </w:pPr>
            <w:r w:rsidRPr="00616696">
              <w:rPr>
                <w:rFonts w:cs="Arial"/>
                <w:color w:val="000000"/>
                <w:sz w:val="16"/>
                <w:szCs w:val="18"/>
              </w:rPr>
              <w:t>1</w:t>
            </w:r>
            <w:r>
              <w:rPr>
                <w:rFonts w:cs="Arial"/>
                <w:color w:val="000000"/>
                <w:sz w:val="16"/>
                <w:szCs w:val="18"/>
              </w:rPr>
              <w:t>,</w:t>
            </w:r>
            <w:r w:rsidR="00D074ED">
              <w:rPr>
                <w:rFonts w:cs="Arial"/>
                <w:color w:val="000000"/>
                <w:sz w:val="16"/>
                <w:szCs w:val="18"/>
              </w:rPr>
              <w:t>4</w:t>
            </w:r>
          </w:p>
        </w:tc>
      </w:tr>
      <w:tr w:rsidR="00BD53AF" w:rsidRPr="00616696" w14:paraId="36CC6A23" w14:textId="77777777" w:rsidTr="00387AE5">
        <w:trPr>
          <w:trHeight w:val="283"/>
        </w:trPr>
        <w:tc>
          <w:tcPr>
            <w:tcW w:w="4054" w:type="dxa"/>
            <w:gridSpan w:val="5"/>
            <w:tcBorders>
              <w:top w:val="single" w:sz="12" w:space="0" w:color="auto"/>
              <w:left w:val="nil"/>
              <w:bottom w:val="nil"/>
              <w:right w:val="nil"/>
            </w:tcBorders>
            <w:shd w:val="clear" w:color="auto" w:fill="auto"/>
            <w:noWrap/>
            <w:vAlign w:val="center"/>
            <w:hideMark/>
          </w:tcPr>
          <w:p w14:paraId="776FC4D7" w14:textId="77777777" w:rsidR="00BD53AF" w:rsidRPr="008A0015" w:rsidRDefault="00BD53AF" w:rsidP="00387AE5">
            <w:pPr>
              <w:pStyle w:val="poznmka"/>
              <w:jc w:val="left"/>
            </w:pPr>
          </w:p>
        </w:tc>
        <w:tc>
          <w:tcPr>
            <w:tcW w:w="5018" w:type="dxa"/>
            <w:gridSpan w:val="5"/>
            <w:tcBorders>
              <w:top w:val="single" w:sz="12" w:space="0" w:color="auto"/>
              <w:left w:val="nil"/>
              <w:bottom w:val="nil"/>
              <w:right w:val="nil"/>
            </w:tcBorders>
            <w:shd w:val="clear" w:color="auto" w:fill="auto"/>
            <w:vAlign w:val="center"/>
          </w:tcPr>
          <w:p w14:paraId="15DF6904" w14:textId="77777777" w:rsidR="00BD53AF" w:rsidRPr="00616696" w:rsidRDefault="00BD53AF" w:rsidP="00387AE5">
            <w:pPr>
              <w:pStyle w:val="poznmka"/>
            </w:pPr>
            <w:r w:rsidRPr="00616696">
              <w:t>Zdroj: MF SR</w:t>
            </w:r>
          </w:p>
        </w:tc>
      </w:tr>
    </w:tbl>
    <w:p w14:paraId="5B109695" w14:textId="77777777" w:rsidR="00BD53AF" w:rsidRPr="00474E78" w:rsidRDefault="00BD53AF" w:rsidP="000032FE">
      <w:pPr>
        <w:spacing w:before="240" w:after="120"/>
        <w:jc w:val="both"/>
        <w:rPr>
          <w:rFonts w:cs="Arial Narrow"/>
          <w:b/>
          <w:i/>
          <w:color w:val="2C9ADC" w:themeColor="accent1"/>
        </w:rPr>
      </w:pPr>
      <w:r w:rsidRPr="00474E78">
        <w:rPr>
          <w:rFonts w:cs="Arial Narrow"/>
          <w:b/>
          <w:i/>
          <w:color w:val="2C9ADC" w:themeColor="accent1"/>
        </w:rPr>
        <w:t xml:space="preserve">Scenár </w:t>
      </w:r>
      <w:r>
        <w:rPr>
          <w:rFonts w:cs="Arial Narrow"/>
          <w:b/>
          <w:i/>
          <w:color w:val="2C9ADC" w:themeColor="accent1"/>
        </w:rPr>
        <w:t>2</w:t>
      </w:r>
      <w:r w:rsidRPr="00474E78">
        <w:rPr>
          <w:rFonts w:cs="Arial Narrow"/>
          <w:b/>
          <w:i/>
          <w:color w:val="2C9ADC" w:themeColor="accent1"/>
        </w:rPr>
        <w:t>: Stagnácia eurozóny v prvom polroku 2019</w:t>
      </w:r>
    </w:p>
    <w:p w14:paraId="266DB21D" w14:textId="77777777" w:rsidR="00BD53AF" w:rsidRPr="00474E78" w:rsidRDefault="00BD53AF" w:rsidP="00BD53AF">
      <w:pPr>
        <w:pStyle w:val="odsekzatabukou"/>
        <w:spacing w:before="120"/>
      </w:pPr>
      <w:r>
        <w:rPr>
          <w:b/>
        </w:rPr>
        <w:t>Druhý</w:t>
      </w:r>
      <w:r w:rsidRPr="00474E78">
        <w:rPr>
          <w:b/>
        </w:rPr>
        <w:t xml:space="preserve"> scenár simuluje vplyv ekonomickej stagnácie krajín eurozóny v prvom polroku 2019.</w:t>
      </w:r>
      <w:r w:rsidRPr="00474E78">
        <w:t xml:space="preserve"> Najnovšia prognóza MF SR predpokladá v krátkodobom a strednodobom horizonte </w:t>
      </w:r>
      <w:r>
        <w:t xml:space="preserve">len </w:t>
      </w:r>
      <w:r w:rsidRPr="00474E78">
        <w:t>postupné znižovanie tempa ekonomického rastu u hlavných exportných partnerov. Pokračujúci nep</w:t>
      </w:r>
      <w:r>
        <w:t>riaznivý vývoj mesačných indikátorov</w:t>
      </w:r>
      <w:r w:rsidRPr="00474E78">
        <w:t xml:space="preserve"> </w:t>
      </w:r>
      <w:r>
        <w:t xml:space="preserve">eurozóny však </w:t>
      </w:r>
      <w:r w:rsidRPr="00474E78">
        <w:t>zvyšuje obavy, že spomaľovanie eurozóny zo záveru predchádzajúceho roka môže viesť k</w:t>
      </w:r>
      <w:r>
        <w:t> stagnácii v</w:t>
      </w:r>
      <w:r w:rsidRPr="00C63C8B">
        <w:t xml:space="preserve"> </w:t>
      </w:r>
      <w:r>
        <w:t>prvých dvoch kvartáloch</w:t>
      </w:r>
      <w:r w:rsidRPr="00474E78">
        <w:t xml:space="preserve"> </w:t>
      </w:r>
      <w:r>
        <w:t xml:space="preserve">roku </w:t>
      </w:r>
      <w:r w:rsidRPr="00474E78">
        <w:t xml:space="preserve">2019. </w:t>
      </w:r>
      <w:r>
        <w:t>V modeli predpokladáme nielen spomínané spomalenie zahraničného dopytu, ale aj pokles výmenného kurzu EUR/USD a reakciu ECB v podobe dočasného mierneho poklesu krátkodobých úrokových mier po dobu štyroch štvrťrokov.</w:t>
      </w:r>
    </w:p>
    <w:p w14:paraId="5956D029" w14:textId="3BB756CD" w:rsidR="00BD53AF" w:rsidRPr="000D1A09" w:rsidRDefault="00BD53AF" w:rsidP="00BD53AF">
      <w:pPr>
        <w:pStyle w:val="Odsek"/>
        <w:rPr>
          <w:b/>
          <w:highlight w:val="yellow"/>
        </w:rPr>
      </w:pPr>
      <w:r w:rsidRPr="00E617F3">
        <w:rPr>
          <w:b/>
        </w:rPr>
        <w:t>Výpadok v zahraničnom</w:t>
      </w:r>
      <w:r>
        <w:rPr>
          <w:b/>
        </w:rPr>
        <w:t xml:space="preserve"> dopyte by spôsobil kumulatívne zníženie </w:t>
      </w:r>
      <w:r w:rsidRPr="00E617F3">
        <w:rPr>
          <w:b/>
        </w:rPr>
        <w:t>reá</w:t>
      </w:r>
      <w:r>
        <w:rPr>
          <w:b/>
        </w:rPr>
        <w:t>lneho HDP Slovenska do roku 2022</w:t>
      </w:r>
      <w:r w:rsidRPr="00E617F3">
        <w:rPr>
          <w:b/>
        </w:rPr>
        <w:t xml:space="preserve"> o</w:t>
      </w:r>
      <w:r>
        <w:rPr>
          <w:b/>
        </w:rPr>
        <w:t> 0,6</w:t>
      </w:r>
      <w:r w:rsidRPr="00E617F3">
        <w:rPr>
          <w:b/>
        </w:rPr>
        <w:t xml:space="preserve"> p.</w:t>
      </w:r>
      <w:r>
        <w:rPr>
          <w:b/>
        </w:rPr>
        <w:t xml:space="preserve"> </w:t>
      </w:r>
      <w:r w:rsidRPr="00E617F3">
        <w:rPr>
          <w:b/>
        </w:rPr>
        <w:t>b..</w:t>
      </w:r>
      <w:r w:rsidRPr="00E617F3">
        <w:t xml:space="preserve"> Simulovaný šok sa odrazí v znížení produkcie exportne orientovaných podnikov a dôjde k okamžitému spomaleniu rastu vývozu SR. V dôsledku nižších tržieb a ziskovosti budú podniky nútené znižovať mzdové náklady a utlmiť investičnú aktivitu oproti základnému scenáru. Nižšie mzdy a nižšie využitie výrobných kapacít exportujúcich podnikov sa zároveň preleje aj do domácej ekonomiky a vyústi do nižšej spotreby a</w:t>
      </w:r>
      <w:r>
        <w:t> stagnácie na trhu práce</w:t>
      </w:r>
      <w:r w:rsidRPr="00E617F3">
        <w:t xml:space="preserve">. Spomalenie </w:t>
      </w:r>
      <w:r w:rsidRPr="00616696">
        <w:t>agregátneho domáceho dopytu zníži inflačné tlaky v ekonomike. Pokles nominálneho rastu HDP, nominálnej spotreby a mzdovej bázy</w:t>
      </w:r>
      <w:r w:rsidRPr="00616696">
        <w:rPr>
          <w:b/>
        </w:rPr>
        <w:t xml:space="preserve"> by viedol vzhľadom na nižšie daňové príjmy k</w:t>
      </w:r>
      <w:r>
        <w:rPr>
          <w:b/>
        </w:rPr>
        <w:t xml:space="preserve"> zhoršeniu salda verejných financií </w:t>
      </w:r>
      <w:r w:rsidRPr="00616696">
        <w:rPr>
          <w:b/>
        </w:rPr>
        <w:t>o 0,1 % HDP. Tento efekt by sa preniesol aj do vývoja hrubého dlhu, ktorý by oproti základnej prognóze narástol ku koncu horizontu kumulatívne o</w:t>
      </w:r>
      <w:r w:rsidR="00D074ED">
        <w:rPr>
          <w:b/>
        </w:rPr>
        <w:t> 0,7</w:t>
      </w:r>
      <w:r w:rsidRPr="00616696">
        <w:rPr>
          <w:b/>
        </w:rPr>
        <w:t xml:space="preserve"> </w:t>
      </w:r>
      <w:r>
        <w:rPr>
          <w:b/>
        </w:rPr>
        <w:t>p.b.</w:t>
      </w:r>
      <w:r w:rsidRPr="00616696">
        <w:rPr>
          <w:b/>
        </w:rPr>
        <w:t xml:space="preserve"> HDP.</w:t>
      </w:r>
    </w:p>
    <w:tbl>
      <w:tblPr>
        <w:tblW w:w="9072" w:type="dxa"/>
        <w:tblLook w:val="04A0" w:firstRow="1" w:lastRow="0" w:firstColumn="1" w:lastColumn="0" w:noHBand="0" w:noVBand="1"/>
      </w:tblPr>
      <w:tblGrid>
        <w:gridCol w:w="520"/>
        <w:gridCol w:w="1023"/>
        <w:gridCol w:w="862"/>
        <w:gridCol w:w="1139"/>
        <w:gridCol w:w="992"/>
        <w:gridCol w:w="1134"/>
        <w:gridCol w:w="1134"/>
        <w:gridCol w:w="1134"/>
        <w:gridCol w:w="1134"/>
      </w:tblGrid>
      <w:tr w:rsidR="00BD53AF" w:rsidRPr="000D1A09" w14:paraId="30850812" w14:textId="77777777" w:rsidTr="00387AE5">
        <w:trPr>
          <w:trHeight w:val="255"/>
        </w:trPr>
        <w:tc>
          <w:tcPr>
            <w:tcW w:w="9072" w:type="dxa"/>
            <w:gridSpan w:val="9"/>
            <w:tcBorders>
              <w:top w:val="nil"/>
              <w:left w:val="nil"/>
              <w:bottom w:val="single" w:sz="8" w:space="0" w:color="auto"/>
              <w:right w:val="nil"/>
            </w:tcBorders>
            <w:shd w:val="clear" w:color="auto" w:fill="auto"/>
            <w:noWrap/>
            <w:vAlign w:val="center"/>
            <w:hideMark/>
          </w:tcPr>
          <w:p w14:paraId="727C95A0" w14:textId="264D7BBA" w:rsidR="00BD53AF" w:rsidRPr="00A00FBF" w:rsidRDefault="00BD53AF" w:rsidP="00387AE5">
            <w:pPr>
              <w:pStyle w:val="Nadpis3"/>
              <w:rPr>
                <w:rFonts w:eastAsiaTheme="minorHAnsi"/>
                <w:color w:val="2C9ADC"/>
                <w:lang w:eastAsia="en-US"/>
              </w:rPr>
            </w:pPr>
            <w:r w:rsidRPr="00A00FBF">
              <w:rPr>
                <w:rFonts w:eastAsiaTheme="minorHAnsi"/>
                <w:color w:val="2C9ADC"/>
                <w:lang w:eastAsia="en-US"/>
              </w:rPr>
              <w:t xml:space="preserve"> </w:t>
            </w:r>
            <w:bookmarkStart w:id="171" w:name="_Toc6314212"/>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13</w:t>
            </w:r>
            <w:r w:rsidRPr="00BE4732">
              <w:rPr>
                <w:rFonts w:eastAsiaTheme="minorHAnsi"/>
                <w:color w:val="2C9ADC" w:themeColor="accent1"/>
                <w:lang w:eastAsia="en-US"/>
              </w:rPr>
              <w:fldChar w:fldCharType="end"/>
            </w:r>
            <w:r w:rsidRPr="00A00FBF">
              <w:rPr>
                <w:rFonts w:eastAsiaTheme="minorHAnsi"/>
                <w:color w:val="2C9ADC"/>
                <w:lang w:eastAsia="en-US"/>
              </w:rPr>
              <w:t xml:space="preserve"> - Scenár </w:t>
            </w:r>
            <w:r>
              <w:rPr>
                <w:rFonts w:eastAsiaTheme="minorHAnsi"/>
                <w:color w:val="2C9ADC"/>
                <w:lang w:eastAsia="en-US"/>
              </w:rPr>
              <w:t>2</w:t>
            </w:r>
            <w:r w:rsidRPr="00A00FBF">
              <w:rPr>
                <w:rFonts w:eastAsiaTheme="minorHAnsi"/>
                <w:color w:val="2C9ADC"/>
                <w:lang w:eastAsia="en-US"/>
              </w:rPr>
              <w:t>: Stagnácia eurozóny v prvom polroku 2019</w:t>
            </w:r>
            <w:bookmarkEnd w:id="171"/>
          </w:p>
        </w:tc>
      </w:tr>
      <w:tr w:rsidR="00BD53AF" w:rsidRPr="000D1A09" w14:paraId="068577AC" w14:textId="77777777" w:rsidTr="00387AE5">
        <w:trPr>
          <w:trHeight w:val="352"/>
        </w:trPr>
        <w:tc>
          <w:tcPr>
            <w:tcW w:w="9072" w:type="dxa"/>
            <w:gridSpan w:val="9"/>
            <w:tcBorders>
              <w:top w:val="single" w:sz="8" w:space="0" w:color="auto"/>
              <w:left w:val="nil"/>
              <w:bottom w:val="single" w:sz="8" w:space="0" w:color="auto"/>
              <w:right w:val="nil"/>
            </w:tcBorders>
            <w:shd w:val="clear" w:color="auto" w:fill="auto"/>
            <w:noWrap/>
            <w:vAlign w:val="center"/>
            <w:hideMark/>
          </w:tcPr>
          <w:p w14:paraId="7A937892" w14:textId="77777777" w:rsidR="00BD53AF" w:rsidRPr="00A00FBF" w:rsidRDefault="00BD53AF" w:rsidP="00387AE5">
            <w:pPr>
              <w:rPr>
                <w:rFonts w:cs="Times New Roman"/>
                <w:color w:val="000000"/>
                <w:sz w:val="16"/>
                <w:szCs w:val="16"/>
                <w:lang w:eastAsia="en-US"/>
              </w:rPr>
            </w:pPr>
            <w:r w:rsidRPr="00A00FBF">
              <w:rPr>
                <w:rFonts w:cs="Times New Roman"/>
                <w:color w:val="000000"/>
                <w:sz w:val="16"/>
                <w:szCs w:val="16"/>
                <w:lang w:eastAsia="en-US"/>
              </w:rPr>
              <w:t>Kumulatívna zmena hodnoty jednotlivých premenných oproti základnému scenáru je v p. b.</w:t>
            </w:r>
          </w:p>
        </w:tc>
      </w:tr>
      <w:tr w:rsidR="00BD53AF" w:rsidRPr="00616696" w14:paraId="1AC92B17" w14:textId="77777777" w:rsidTr="00387AE5">
        <w:trPr>
          <w:trHeight w:val="243"/>
        </w:trPr>
        <w:tc>
          <w:tcPr>
            <w:tcW w:w="520" w:type="dxa"/>
            <w:vMerge w:val="restart"/>
            <w:tcBorders>
              <w:top w:val="nil"/>
              <w:left w:val="nil"/>
              <w:bottom w:val="single" w:sz="12" w:space="0" w:color="000000"/>
              <w:right w:val="nil"/>
            </w:tcBorders>
            <w:shd w:val="clear" w:color="auto" w:fill="auto"/>
            <w:noWrap/>
            <w:vAlign w:val="center"/>
            <w:hideMark/>
          </w:tcPr>
          <w:p w14:paraId="494CB410" w14:textId="77777777" w:rsidR="00BD53AF" w:rsidRDefault="00BD53AF" w:rsidP="00387AE5">
            <w:pPr>
              <w:rPr>
                <w:rFonts w:ascii="Times New Roman" w:hAnsi="Times New Roman" w:cs="Times New Roman"/>
                <w:lang w:eastAsia="en-US"/>
              </w:rPr>
            </w:pPr>
          </w:p>
        </w:tc>
        <w:tc>
          <w:tcPr>
            <w:tcW w:w="1023" w:type="dxa"/>
            <w:vMerge w:val="restart"/>
            <w:tcBorders>
              <w:top w:val="nil"/>
              <w:left w:val="nil"/>
              <w:bottom w:val="single" w:sz="12" w:space="0" w:color="000000"/>
              <w:right w:val="nil"/>
            </w:tcBorders>
            <w:shd w:val="clear" w:color="auto" w:fill="auto"/>
            <w:vAlign w:val="center"/>
            <w:hideMark/>
          </w:tcPr>
          <w:p w14:paraId="1EA49498" w14:textId="77777777" w:rsidR="00BD53AF" w:rsidRPr="00616696" w:rsidRDefault="00BD53AF" w:rsidP="00387AE5">
            <w:pPr>
              <w:jc w:val="center"/>
              <w:rPr>
                <w:rFonts w:cs="Arial"/>
                <w:b/>
                <w:bCs/>
                <w:color w:val="000000"/>
                <w:sz w:val="16"/>
                <w:szCs w:val="16"/>
                <w:lang w:eastAsia="en-US"/>
              </w:rPr>
            </w:pPr>
            <w:r w:rsidRPr="00616696">
              <w:rPr>
                <w:rFonts w:cs="Arial"/>
                <w:b/>
                <w:bCs/>
                <w:color w:val="000000"/>
                <w:sz w:val="16"/>
                <w:szCs w:val="16"/>
              </w:rPr>
              <w:t>HDP (reálne)</w:t>
            </w:r>
          </w:p>
        </w:tc>
        <w:tc>
          <w:tcPr>
            <w:tcW w:w="862" w:type="dxa"/>
            <w:vMerge w:val="restart"/>
            <w:tcBorders>
              <w:top w:val="nil"/>
              <w:left w:val="nil"/>
              <w:bottom w:val="single" w:sz="12" w:space="0" w:color="000000"/>
              <w:right w:val="nil"/>
            </w:tcBorders>
            <w:shd w:val="clear" w:color="auto" w:fill="auto"/>
            <w:vAlign w:val="center"/>
            <w:hideMark/>
          </w:tcPr>
          <w:p w14:paraId="2AE54956"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CPI</w:t>
            </w:r>
          </w:p>
        </w:tc>
        <w:tc>
          <w:tcPr>
            <w:tcW w:w="1139" w:type="dxa"/>
            <w:vMerge w:val="restart"/>
            <w:tcBorders>
              <w:top w:val="nil"/>
              <w:left w:val="nil"/>
              <w:bottom w:val="single" w:sz="12" w:space="0" w:color="000000"/>
              <w:right w:val="nil"/>
            </w:tcBorders>
            <w:shd w:val="clear" w:color="auto" w:fill="auto"/>
            <w:vAlign w:val="center"/>
            <w:hideMark/>
          </w:tcPr>
          <w:p w14:paraId="393B31F9"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Spotreba dom. (reálna)</w:t>
            </w:r>
          </w:p>
        </w:tc>
        <w:tc>
          <w:tcPr>
            <w:tcW w:w="992" w:type="dxa"/>
            <w:vMerge w:val="restart"/>
            <w:tcBorders>
              <w:top w:val="nil"/>
              <w:left w:val="nil"/>
              <w:bottom w:val="single" w:sz="12" w:space="0" w:color="000000"/>
              <w:right w:val="nil"/>
            </w:tcBorders>
            <w:shd w:val="clear" w:color="auto" w:fill="auto"/>
            <w:vAlign w:val="center"/>
            <w:hideMark/>
          </w:tcPr>
          <w:p w14:paraId="2EF8ED1B"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Export (reálny)</w:t>
            </w:r>
          </w:p>
        </w:tc>
        <w:tc>
          <w:tcPr>
            <w:tcW w:w="1134" w:type="dxa"/>
            <w:vMerge w:val="restart"/>
            <w:tcBorders>
              <w:top w:val="nil"/>
              <w:left w:val="nil"/>
              <w:bottom w:val="single" w:sz="12" w:space="0" w:color="000000"/>
              <w:right w:val="nil"/>
            </w:tcBorders>
            <w:shd w:val="clear" w:color="auto" w:fill="auto"/>
            <w:vAlign w:val="center"/>
            <w:hideMark/>
          </w:tcPr>
          <w:p w14:paraId="1EAD01DF"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Zamestnanosť</w:t>
            </w:r>
          </w:p>
        </w:tc>
        <w:tc>
          <w:tcPr>
            <w:tcW w:w="1134" w:type="dxa"/>
            <w:vMerge w:val="restart"/>
            <w:tcBorders>
              <w:top w:val="nil"/>
              <w:left w:val="nil"/>
              <w:bottom w:val="single" w:sz="12" w:space="0" w:color="000000"/>
              <w:right w:val="nil"/>
            </w:tcBorders>
            <w:shd w:val="clear" w:color="auto" w:fill="auto"/>
            <w:vAlign w:val="center"/>
            <w:hideMark/>
          </w:tcPr>
          <w:p w14:paraId="6E2D926A"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Mzdy (nominálne)</w:t>
            </w:r>
          </w:p>
        </w:tc>
        <w:tc>
          <w:tcPr>
            <w:tcW w:w="1134" w:type="dxa"/>
            <w:tcBorders>
              <w:top w:val="nil"/>
              <w:left w:val="nil"/>
              <w:bottom w:val="nil"/>
              <w:right w:val="nil"/>
            </w:tcBorders>
            <w:shd w:val="clear" w:color="auto" w:fill="auto"/>
            <w:noWrap/>
            <w:vAlign w:val="center"/>
            <w:hideMark/>
          </w:tcPr>
          <w:p w14:paraId="6556D482"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Saldo VS</w:t>
            </w:r>
          </w:p>
        </w:tc>
        <w:tc>
          <w:tcPr>
            <w:tcW w:w="1134" w:type="dxa"/>
            <w:tcBorders>
              <w:top w:val="nil"/>
              <w:left w:val="nil"/>
              <w:bottom w:val="nil"/>
              <w:right w:val="nil"/>
            </w:tcBorders>
            <w:shd w:val="clear" w:color="auto" w:fill="auto"/>
            <w:vAlign w:val="center"/>
            <w:hideMark/>
          </w:tcPr>
          <w:p w14:paraId="4F235D90"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Dlh VS</w:t>
            </w:r>
          </w:p>
        </w:tc>
      </w:tr>
      <w:tr w:rsidR="00BD53AF" w:rsidRPr="00616696" w14:paraId="4C76B4FF" w14:textId="77777777" w:rsidTr="00387AE5">
        <w:trPr>
          <w:trHeight w:val="255"/>
        </w:trPr>
        <w:tc>
          <w:tcPr>
            <w:tcW w:w="520" w:type="dxa"/>
            <w:vMerge/>
            <w:tcBorders>
              <w:top w:val="nil"/>
              <w:left w:val="nil"/>
              <w:bottom w:val="single" w:sz="12" w:space="0" w:color="000000"/>
              <w:right w:val="nil"/>
            </w:tcBorders>
            <w:vAlign w:val="center"/>
            <w:hideMark/>
          </w:tcPr>
          <w:p w14:paraId="3286D9AA" w14:textId="77777777" w:rsidR="00BD53AF" w:rsidRPr="00616696" w:rsidRDefault="00BD53AF" w:rsidP="00387AE5">
            <w:pPr>
              <w:rPr>
                <w:rFonts w:cs="Times New Roman"/>
                <w:color w:val="000000"/>
                <w:sz w:val="16"/>
                <w:szCs w:val="16"/>
                <w:lang w:eastAsia="en-US"/>
              </w:rPr>
            </w:pPr>
          </w:p>
        </w:tc>
        <w:tc>
          <w:tcPr>
            <w:tcW w:w="1023" w:type="dxa"/>
            <w:vMerge/>
            <w:tcBorders>
              <w:top w:val="nil"/>
              <w:left w:val="nil"/>
              <w:bottom w:val="single" w:sz="12" w:space="0" w:color="000000"/>
              <w:right w:val="nil"/>
            </w:tcBorders>
            <w:vAlign w:val="center"/>
            <w:hideMark/>
          </w:tcPr>
          <w:p w14:paraId="7A590D18" w14:textId="77777777" w:rsidR="00BD53AF" w:rsidRPr="00616696" w:rsidRDefault="00BD53AF" w:rsidP="00387AE5">
            <w:pPr>
              <w:rPr>
                <w:rFonts w:cs="Times New Roman"/>
                <w:b/>
                <w:bCs/>
                <w:color w:val="000000"/>
                <w:sz w:val="16"/>
                <w:szCs w:val="16"/>
                <w:lang w:eastAsia="en-US"/>
              </w:rPr>
            </w:pPr>
          </w:p>
        </w:tc>
        <w:tc>
          <w:tcPr>
            <w:tcW w:w="862" w:type="dxa"/>
            <w:vMerge/>
            <w:tcBorders>
              <w:top w:val="nil"/>
              <w:left w:val="nil"/>
              <w:bottom w:val="single" w:sz="12" w:space="0" w:color="000000"/>
              <w:right w:val="nil"/>
            </w:tcBorders>
            <w:vAlign w:val="center"/>
            <w:hideMark/>
          </w:tcPr>
          <w:p w14:paraId="455856B7" w14:textId="77777777" w:rsidR="00BD53AF" w:rsidRPr="00616696" w:rsidRDefault="00BD53AF" w:rsidP="00387AE5">
            <w:pPr>
              <w:rPr>
                <w:rFonts w:cs="Times New Roman"/>
                <w:b/>
                <w:bCs/>
                <w:color w:val="000000"/>
                <w:sz w:val="16"/>
                <w:szCs w:val="16"/>
                <w:lang w:eastAsia="en-US"/>
              </w:rPr>
            </w:pPr>
          </w:p>
        </w:tc>
        <w:tc>
          <w:tcPr>
            <w:tcW w:w="1139" w:type="dxa"/>
            <w:vMerge/>
            <w:tcBorders>
              <w:top w:val="nil"/>
              <w:left w:val="nil"/>
              <w:bottom w:val="single" w:sz="12" w:space="0" w:color="000000"/>
              <w:right w:val="nil"/>
            </w:tcBorders>
            <w:vAlign w:val="center"/>
            <w:hideMark/>
          </w:tcPr>
          <w:p w14:paraId="69039434" w14:textId="77777777" w:rsidR="00BD53AF" w:rsidRPr="00616696" w:rsidRDefault="00BD53AF" w:rsidP="00387AE5">
            <w:pPr>
              <w:rPr>
                <w:rFonts w:cs="Times New Roman"/>
                <w:b/>
                <w:bCs/>
                <w:color w:val="000000"/>
                <w:sz w:val="16"/>
                <w:szCs w:val="16"/>
                <w:lang w:eastAsia="en-US"/>
              </w:rPr>
            </w:pPr>
          </w:p>
        </w:tc>
        <w:tc>
          <w:tcPr>
            <w:tcW w:w="992" w:type="dxa"/>
            <w:vMerge/>
            <w:tcBorders>
              <w:top w:val="nil"/>
              <w:left w:val="nil"/>
              <w:bottom w:val="single" w:sz="12" w:space="0" w:color="000000"/>
              <w:right w:val="nil"/>
            </w:tcBorders>
            <w:vAlign w:val="center"/>
            <w:hideMark/>
          </w:tcPr>
          <w:p w14:paraId="4959740B" w14:textId="77777777" w:rsidR="00BD53AF" w:rsidRPr="00616696" w:rsidRDefault="00BD53AF" w:rsidP="00387AE5">
            <w:pPr>
              <w:rPr>
                <w:rFonts w:cs="Times New Roman"/>
                <w:b/>
                <w:bCs/>
                <w:color w:val="000000"/>
                <w:sz w:val="16"/>
                <w:szCs w:val="16"/>
                <w:lang w:eastAsia="en-US"/>
              </w:rPr>
            </w:pPr>
          </w:p>
        </w:tc>
        <w:tc>
          <w:tcPr>
            <w:tcW w:w="1134" w:type="dxa"/>
            <w:vMerge/>
            <w:tcBorders>
              <w:top w:val="nil"/>
              <w:left w:val="nil"/>
              <w:bottom w:val="single" w:sz="12" w:space="0" w:color="000000"/>
              <w:right w:val="nil"/>
            </w:tcBorders>
            <w:vAlign w:val="center"/>
            <w:hideMark/>
          </w:tcPr>
          <w:p w14:paraId="07C5AC15" w14:textId="77777777" w:rsidR="00BD53AF" w:rsidRPr="00616696" w:rsidRDefault="00BD53AF" w:rsidP="00387AE5">
            <w:pPr>
              <w:rPr>
                <w:rFonts w:cs="Times New Roman"/>
                <w:b/>
                <w:bCs/>
                <w:color w:val="000000"/>
                <w:sz w:val="16"/>
                <w:szCs w:val="16"/>
                <w:lang w:eastAsia="en-US"/>
              </w:rPr>
            </w:pPr>
          </w:p>
        </w:tc>
        <w:tc>
          <w:tcPr>
            <w:tcW w:w="1134" w:type="dxa"/>
            <w:vMerge/>
            <w:tcBorders>
              <w:top w:val="nil"/>
              <w:left w:val="nil"/>
              <w:bottom w:val="single" w:sz="12" w:space="0" w:color="000000"/>
              <w:right w:val="nil"/>
            </w:tcBorders>
            <w:vAlign w:val="center"/>
            <w:hideMark/>
          </w:tcPr>
          <w:p w14:paraId="45674C30" w14:textId="77777777" w:rsidR="00BD53AF" w:rsidRPr="00616696" w:rsidRDefault="00BD53AF" w:rsidP="00387AE5">
            <w:pPr>
              <w:rPr>
                <w:rFonts w:cs="Times New Roman"/>
                <w:b/>
                <w:bCs/>
                <w:color w:val="000000"/>
                <w:sz w:val="16"/>
                <w:szCs w:val="16"/>
                <w:lang w:eastAsia="en-US"/>
              </w:rPr>
            </w:pPr>
          </w:p>
        </w:tc>
        <w:tc>
          <w:tcPr>
            <w:tcW w:w="1134" w:type="dxa"/>
            <w:tcBorders>
              <w:top w:val="nil"/>
              <w:left w:val="nil"/>
              <w:bottom w:val="single" w:sz="12" w:space="0" w:color="auto"/>
              <w:right w:val="nil"/>
            </w:tcBorders>
            <w:shd w:val="clear" w:color="auto" w:fill="auto"/>
            <w:noWrap/>
            <w:vAlign w:val="center"/>
            <w:hideMark/>
          </w:tcPr>
          <w:p w14:paraId="26E2ADDF" w14:textId="77777777" w:rsidR="00BD53AF" w:rsidRPr="00616696" w:rsidRDefault="00BD53AF" w:rsidP="00387AE5">
            <w:pPr>
              <w:jc w:val="center"/>
              <w:rPr>
                <w:rFonts w:cs="Times New Roman"/>
                <w:color w:val="000000"/>
                <w:sz w:val="16"/>
                <w:szCs w:val="16"/>
                <w:lang w:eastAsia="en-US"/>
              </w:rPr>
            </w:pPr>
            <w:r w:rsidRPr="00616696">
              <w:rPr>
                <w:rFonts w:cs="Arial"/>
                <w:color w:val="000000"/>
                <w:sz w:val="16"/>
                <w:szCs w:val="16"/>
              </w:rPr>
              <w:t>(% HDP)</w:t>
            </w:r>
          </w:p>
        </w:tc>
        <w:tc>
          <w:tcPr>
            <w:tcW w:w="1134" w:type="dxa"/>
            <w:tcBorders>
              <w:top w:val="nil"/>
              <w:left w:val="nil"/>
              <w:bottom w:val="single" w:sz="12" w:space="0" w:color="auto"/>
              <w:right w:val="nil"/>
            </w:tcBorders>
            <w:shd w:val="clear" w:color="auto" w:fill="auto"/>
            <w:vAlign w:val="center"/>
            <w:hideMark/>
          </w:tcPr>
          <w:p w14:paraId="61351515" w14:textId="77777777" w:rsidR="00BD53AF" w:rsidRPr="00616696" w:rsidRDefault="00BD53AF" w:rsidP="00387AE5">
            <w:pPr>
              <w:jc w:val="center"/>
              <w:rPr>
                <w:rFonts w:cs="Times New Roman"/>
                <w:color w:val="000000"/>
                <w:sz w:val="16"/>
                <w:szCs w:val="16"/>
                <w:lang w:eastAsia="en-US"/>
              </w:rPr>
            </w:pPr>
            <w:r w:rsidRPr="00616696">
              <w:rPr>
                <w:rFonts w:cs="Arial"/>
                <w:color w:val="000000"/>
                <w:sz w:val="16"/>
                <w:szCs w:val="16"/>
              </w:rPr>
              <w:t>(% HDP)</w:t>
            </w:r>
          </w:p>
        </w:tc>
      </w:tr>
      <w:tr w:rsidR="00BD53AF" w:rsidRPr="00616696" w14:paraId="17FDBB2E" w14:textId="77777777" w:rsidTr="00387AE5">
        <w:trPr>
          <w:trHeight w:val="255"/>
        </w:trPr>
        <w:tc>
          <w:tcPr>
            <w:tcW w:w="520" w:type="dxa"/>
            <w:tcBorders>
              <w:top w:val="nil"/>
              <w:left w:val="nil"/>
              <w:bottom w:val="nil"/>
              <w:right w:val="nil"/>
            </w:tcBorders>
            <w:shd w:val="clear" w:color="auto" w:fill="auto"/>
            <w:noWrap/>
            <w:vAlign w:val="center"/>
            <w:hideMark/>
          </w:tcPr>
          <w:p w14:paraId="010A89D6" w14:textId="77777777" w:rsidR="00BD53AF" w:rsidRPr="00616696" w:rsidRDefault="00BD53AF" w:rsidP="00387AE5">
            <w:pPr>
              <w:jc w:val="center"/>
              <w:rPr>
                <w:rFonts w:cs="Arial"/>
                <w:color w:val="000000"/>
                <w:sz w:val="16"/>
                <w:szCs w:val="16"/>
              </w:rPr>
            </w:pPr>
            <w:r w:rsidRPr="00616696">
              <w:rPr>
                <w:rFonts w:cs="Arial"/>
                <w:color w:val="000000"/>
                <w:sz w:val="16"/>
                <w:szCs w:val="16"/>
              </w:rPr>
              <w:t>2019</w:t>
            </w:r>
          </w:p>
        </w:tc>
        <w:tc>
          <w:tcPr>
            <w:tcW w:w="1023" w:type="dxa"/>
            <w:tcBorders>
              <w:top w:val="nil"/>
              <w:left w:val="nil"/>
              <w:bottom w:val="nil"/>
              <w:right w:val="nil"/>
            </w:tcBorders>
            <w:shd w:val="clear" w:color="auto" w:fill="auto"/>
            <w:noWrap/>
            <w:vAlign w:val="center"/>
            <w:hideMark/>
          </w:tcPr>
          <w:p w14:paraId="0C567923" w14:textId="77777777" w:rsidR="00BD53AF" w:rsidRPr="00616696" w:rsidRDefault="00BD53AF" w:rsidP="00387AE5">
            <w:pPr>
              <w:jc w:val="center"/>
              <w:rPr>
                <w:rFonts w:cs="Times New Roman"/>
                <w:color w:val="000000"/>
                <w:sz w:val="16"/>
                <w:szCs w:val="18"/>
                <w:lang w:eastAsia="en-US"/>
              </w:rPr>
            </w:pPr>
            <w:r>
              <w:rPr>
                <w:color w:val="000000"/>
                <w:sz w:val="16"/>
                <w:szCs w:val="18"/>
              </w:rPr>
              <w:t>-0,</w:t>
            </w:r>
            <w:r w:rsidRPr="00616696">
              <w:rPr>
                <w:color w:val="000000"/>
                <w:sz w:val="16"/>
                <w:szCs w:val="18"/>
              </w:rPr>
              <w:t>6</w:t>
            </w:r>
          </w:p>
        </w:tc>
        <w:tc>
          <w:tcPr>
            <w:tcW w:w="862" w:type="dxa"/>
            <w:tcBorders>
              <w:top w:val="nil"/>
              <w:left w:val="nil"/>
              <w:bottom w:val="nil"/>
              <w:right w:val="nil"/>
            </w:tcBorders>
            <w:shd w:val="clear" w:color="auto" w:fill="auto"/>
            <w:noWrap/>
            <w:vAlign w:val="center"/>
            <w:hideMark/>
          </w:tcPr>
          <w:p w14:paraId="6C71F580" w14:textId="77777777" w:rsidR="00BD53AF" w:rsidRPr="00616696" w:rsidRDefault="00BD53AF" w:rsidP="00387AE5">
            <w:pPr>
              <w:jc w:val="center"/>
              <w:rPr>
                <w:color w:val="000000"/>
                <w:sz w:val="16"/>
                <w:szCs w:val="18"/>
              </w:rPr>
            </w:pPr>
            <w:r w:rsidRPr="00616696">
              <w:rPr>
                <w:color w:val="000000"/>
                <w:sz w:val="16"/>
                <w:szCs w:val="18"/>
              </w:rPr>
              <w:t>0</w:t>
            </w:r>
            <w:r>
              <w:rPr>
                <w:color w:val="000000"/>
                <w:sz w:val="16"/>
                <w:szCs w:val="18"/>
              </w:rPr>
              <w:t>,</w:t>
            </w:r>
            <w:r w:rsidRPr="00616696">
              <w:rPr>
                <w:color w:val="000000"/>
                <w:sz w:val="16"/>
                <w:szCs w:val="18"/>
              </w:rPr>
              <w:t>0</w:t>
            </w:r>
          </w:p>
        </w:tc>
        <w:tc>
          <w:tcPr>
            <w:tcW w:w="1139" w:type="dxa"/>
            <w:tcBorders>
              <w:top w:val="nil"/>
              <w:left w:val="nil"/>
              <w:bottom w:val="nil"/>
              <w:right w:val="nil"/>
            </w:tcBorders>
            <w:shd w:val="clear" w:color="auto" w:fill="auto"/>
            <w:noWrap/>
            <w:vAlign w:val="center"/>
            <w:hideMark/>
          </w:tcPr>
          <w:p w14:paraId="6AE42745" w14:textId="77777777" w:rsidR="00BD53AF" w:rsidRPr="00616696" w:rsidRDefault="00BD53AF" w:rsidP="00387AE5">
            <w:pPr>
              <w:jc w:val="center"/>
              <w:rPr>
                <w:color w:val="000000"/>
                <w:sz w:val="16"/>
                <w:szCs w:val="18"/>
              </w:rPr>
            </w:pPr>
            <w:r w:rsidRPr="00616696">
              <w:rPr>
                <w:color w:val="000000"/>
                <w:sz w:val="16"/>
                <w:szCs w:val="18"/>
              </w:rPr>
              <w:t>-</w:t>
            </w:r>
            <w:r>
              <w:rPr>
                <w:color w:val="000000"/>
                <w:sz w:val="16"/>
                <w:szCs w:val="18"/>
              </w:rPr>
              <w:t>0,</w:t>
            </w:r>
            <w:r w:rsidRPr="00616696">
              <w:rPr>
                <w:color w:val="000000"/>
                <w:sz w:val="16"/>
                <w:szCs w:val="18"/>
              </w:rPr>
              <w:t>2</w:t>
            </w:r>
          </w:p>
        </w:tc>
        <w:tc>
          <w:tcPr>
            <w:tcW w:w="992" w:type="dxa"/>
            <w:tcBorders>
              <w:top w:val="nil"/>
              <w:left w:val="nil"/>
              <w:bottom w:val="nil"/>
              <w:right w:val="nil"/>
            </w:tcBorders>
            <w:shd w:val="clear" w:color="auto" w:fill="auto"/>
            <w:noWrap/>
            <w:vAlign w:val="center"/>
            <w:hideMark/>
          </w:tcPr>
          <w:p w14:paraId="4DC37CB9" w14:textId="77777777" w:rsidR="00BD53AF" w:rsidRPr="00616696" w:rsidRDefault="00BD53AF" w:rsidP="00387AE5">
            <w:pPr>
              <w:jc w:val="center"/>
              <w:rPr>
                <w:color w:val="000000"/>
                <w:sz w:val="16"/>
                <w:szCs w:val="18"/>
              </w:rPr>
            </w:pPr>
            <w:r>
              <w:rPr>
                <w:color w:val="000000"/>
                <w:sz w:val="16"/>
                <w:szCs w:val="18"/>
              </w:rPr>
              <w:t>-1,</w:t>
            </w:r>
            <w:r w:rsidRPr="00616696">
              <w:rPr>
                <w:color w:val="000000"/>
                <w:sz w:val="16"/>
                <w:szCs w:val="18"/>
              </w:rPr>
              <w:t>3</w:t>
            </w:r>
          </w:p>
        </w:tc>
        <w:tc>
          <w:tcPr>
            <w:tcW w:w="1134" w:type="dxa"/>
            <w:tcBorders>
              <w:top w:val="nil"/>
              <w:left w:val="nil"/>
              <w:bottom w:val="nil"/>
              <w:right w:val="nil"/>
            </w:tcBorders>
            <w:shd w:val="clear" w:color="auto" w:fill="auto"/>
            <w:noWrap/>
            <w:vAlign w:val="center"/>
            <w:hideMark/>
          </w:tcPr>
          <w:p w14:paraId="5F94AC62"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1</w:t>
            </w:r>
          </w:p>
        </w:tc>
        <w:tc>
          <w:tcPr>
            <w:tcW w:w="1134" w:type="dxa"/>
            <w:tcBorders>
              <w:top w:val="nil"/>
              <w:left w:val="nil"/>
              <w:bottom w:val="nil"/>
              <w:right w:val="nil"/>
            </w:tcBorders>
            <w:shd w:val="clear" w:color="auto" w:fill="auto"/>
            <w:noWrap/>
            <w:vAlign w:val="center"/>
            <w:hideMark/>
          </w:tcPr>
          <w:p w14:paraId="65A60A02"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2</w:t>
            </w:r>
          </w:p>
        </w:tc>
        <w:tc>
          <w:tcPr>
            <w:tcW w:w="1134" w:type="dxa"/>
            <w:tcBorders>
              <w:top w:val="nil"/>
              <w:left w:val="nil"/>
              <w:bottom w:val="nil"/>
              <w:right w:val="nil"/>
            </w:tcBorders>
            <w:shd w:val="clear" w:color="auto" w:fill="auto"/>
            <w:noWrap/>
            <w:vAlign w:val="center"/>
            <w:hideMark/>
          </w:tcPr>
          <w:p w14:paraId="2DDAE9D6" w14:textId="77777777" w:rsidR="00BD53AF" w:rsidRPr="00616696" w:rsidRDefault="00BD53AF" w:rsidP="00387AE5">
            <w:pPr>
              <w:jc w:val="center"/>
              <w:rPr>
                <w:rFonts w:cs="Arial"/>
                <w:color w:val="000000"/>
                <w:sz w:val="16"/>
                <w:szCs w:val="16"/>
                <w:lang w:eastAsia="en-US"/>
              </w:rPr>
            </w:pPr>
            <w:r>
              <w:rPr>
                <w:rFonts w:cs="Arial"/>
                <w:color w:val="000000"/>
                <w:sz w:val="16"/>
                <w:szCs w:val="16"/>
              </w:rPr>
              <w:t>-0,</w:t>
            </w:r>
            <w:r w:rsidRPr="00616696">
              <w:rPr>
                <w:rFonts w:cs="Arial"/>
                <w:color w:val="000000"/>
                <w:sz w:val="16"/>
                <w:szCs w:val="16"/>
              </w:rPr>
              <w:t>1</w:t>
            </w:r>
          </w:p>
        </w:tc>
        <w:tc>
          <w:tcPr>
            <w:tcW w:w="1134" w:type="dxa"/>
            <w:tcBorders>
              <w:top w:val="nil"/>
              <w:left w:val="nil"/>
              <w:bottom w:val="nil"/>
              <w:right w:val="nil"/>
            </w:tcBorders>
            <w:shd w:val="clear" w:color="auto" w:fill="auto"/>
            <w:vAlign w:val="center"/>
            <w:hideMark/>
          </w:tcPr>
          <w:p w14:paraId="42497AED" w14:textId="5B91FEE0" w:rsidR="00BD53AF" w:rsidRPr="00616696" w:rsidRDefault="00BD53AF" w:rsidP="00387AE5">
            <w:pPr>
              <w:jc w:val="center"/>
              <w:rPr>
                <w:rFonts w:cs="Arial"/>
                <w:color w:val="000000"/>
                <w:sz w:val="16"/>
                <w:szCs w:val="16"/>
              </w:rPr>
            </w:pPr>
            <w:r>
              <w:rPr>
                <w:rFonts w:cs="Arial"/>
                <w:color w:val="000000"/>
                <w:sz w:val="16"/>
                <w:szCs w:val="18"/>
              </w:rPr>
              <w:t>0,</w:t>
            </w:r>
            <w:r w:rsidR="00D074ED">
              <w:rPr>
                <w:rFonts w:cs="Arial"/>
                <w:color w:val="000000"/>
                <w:sz w:val="16"/>
                <w:szCs w:val="18"/>
              </w:rPr>
              <w:t>4</w:t>
            </w:r>
          </w:p>
        </w:tc>
      </w:tr>
      <w:tr w:rsidR="00BD53AF" w:rsidRPr="00616696" w14:paraId="399D8203" w14:textId="77777777" w:rsidTr="00387AE5">
        <w:trPr>
          <w:trHeight w:val="243"/>
        </w:trPr>
        <w:tc>
          <w:tcPr>
            <w:tcW w:w="520" w:type="dxa"/>
            <w:tcBorders>
              <w:top w:val="nil"/>
              <w:left w:val="nil"/>
              <w:bottom w:val="nil"/>
              <w:right w:val="nil"/>
            </w:tcBorders>
            <w:shd w:val="clear" w:color="auto" w:fill="auto"/>
            <w:noWrap/>
            <w:vAlign w:val="center"/>
            <w:hideMark/>
          </w:tcPr>
          <w:p w14:paraId="7C028875" w14:textId="77777777" w:rsidR="00BD53AF" w:rsidRPr="00616696" w:rsidRDefault="00BD53AF" w:rsidP="00387AE5">
            <w:pPr>
              <w:jc w:val="center"/>
              <w:rPr>
                <w:rFonts w:cs="Arial"/>
                <w:color w:val="000000"/>
                <w:sz w:val="16"/>
                <w:szCs w:val="16"/>
              </w:rPr>
            </w:pPr>
            <w:r w:rsidRPr="00616696">
              <w:rPr>
                <w:rFonts w:cs="Arial"/>
                <w:color w:val="000000"/>
                <w:sz w:val="16"/>
                <w:szCs w:val="16"/>
              </w:rPr>
              <w:t>2020</w:t>
            </w:r>
          </w:p>
        </w:tc>
        <w:tc>
          <w:tcPr>
            <w:tcW w:w="1023" w:type="dxa"/>
            <w:tcBorders>
              <w:top w:val="nil"/>
              <w:left w:val="nil"/>
              <w:bottom w:val="nil"/>
              <w:right w:val="nil"/>
            </w:tcBorders>
            <w:shd w:val="clear" w:color="auto" w:fill="auto"/>
            <w:noWrap/>
            <w:vAlign w:val="center"/>
            <w:hideMark/>
          </w:tcPr>
          <w:p w14:paraId="0839EBEA"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8</w:t>
            </w:r>
          </w:p>
        </w:tc>
        <w:tc>
          <w:tcPr>
            <w:tcW w:w="862" w:type="dxa"/>
            <w:tcBorders>
              <w:top w:val="nil"/>
              <w:left w:val="nil"/>
              <w:bottom w:val="nil"/>
              <w:right w:val="nil"/>
            </w:tcBorders>
            <w:shd w:val="clear" w:color="auto" w:fill="auto"/>
            <w:noWrap/>
            <w:vAlign w:val="center"/>
            <w:hideMark/>
          </w:tcPr>
          <w:p w14:paraId="311C29C7"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1</w:t>
            </w:r>
          </w:p>
        </w:tc>
        <w:tc>
          <w:tcPr>
            <w:tcW w:w="1139" w:type="dxa"/>
            <w:tcBorders>
              <w:top w:val="nil"/>
              <w:left w:val="nil"/>
              <w:bottom w:val="nil"/>
              <w:right w:val="nil"/>
            </w:tcBorders>
            <w:shd w:val="clear" w:color="auto" w:fill="auto"/>
            <w:noWrap/>
            <w:vAlign w:val="center"/>
            <w:hideMark/>
          </w:tcPr>
          <w:p w14:paraId="207B92DC"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3</w:t>
            </w:r>
          </w:p>
        </w:tc>
        <w:tc>
          <w:tcPr>
            <w:tcW w:w="992" w:type="dxa"/>
            <w:tcBorders>
              <w:top w:val="nil"/>
              <w:left w:val="nil"/>
              <w:bottom w:val="nil"/>
              <w:right w:val="nil"/>
            </w:tcBorders>
            <w:shd w:val="clear" w:color="auto" w:fill="auto"/>
            <w:noWrap/>
            <w:vAlign w:val="center"/>
            <w:hideMark/>
          </w:tcPr>
          <w:p w14:paraId="3FBDB40D" w14:textId="77777777" w:rsidR="00BD53AF" w:rsidRPr="00616696" w:rsidRDefault="00BD53AF" w:rsidP="00387AE5">
            <w:pPr>
              <w:jc w:val="center"/>
              <w:rPr>
                <w:color w:val="000000"/>
                <w:sz w:val="16"/>
                <w:szCs w:val="18"/>
              </w:rPr>
            </w:pPr>
            <w:r>
              <w:rPr>
                <w:color w:val="000000"/>
                <w:sz w:val="16"/>
                <w:szCs w:val="18"/>
              </w:rPr>
              <w:t>-1,</w:t>
            </w:r>
            <w:r w:rsidRPr="00616696">
              <w:rPr>
                <w:color w:val="000000"/>
                <w:sz w:val="16"/>
                <w:szCs w:val="18"/>
              </w:rPr>
              <w:t>8</w:t>
            </w:r>
          </w:p>
        </w:tc>
        <w:tc>
          <w:tcPr>
            <w:tcW w:w="1134" w:type="dxa"/>
            <w:tcBorders>
              <w:top w:val="nil"/>
              <w:left w:val="nil"/>
              <w:bottom w:val="nil"/>
              <w:right w:val="nil"/>
            </w:tcBorders>
            <w:shd w:val="clear" w:color="auto" w:fill="auto"/>
            <w:noWrap/>
            <w:vAlign w:val="center"/>
            <w:hideMark/>
          </w:tcPr>
          <w:p w14:paraId="6BB11E0D"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2</w:t>
            </w:r>
          </w:p>
        </w:tc>
        <w:tc>
          <w:tcPr>
            <w:tcW w:w="1134" w:type="dxa"/>
            <w:tcBorders>
              <w:top w:val="nil"/>
              <w:left w:val="nil"/>
              <w:bottom w:val="nil"/>
              <w:right w:val="nil"/>
            </w:tcBorders>
            <w:shd w:val="clear" w:color="auto" w:fill="auto"/>
            <w:noWrap/>
            <w:vAlign w:val="center"/>
            <w:hideMark/>
          </w:tcPr>
          <w:p w14:paraId="04DAD5EF"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1</w:t>
            </w:r>
          </w:p>
        </w:tc>
        <w:tc>
          <w:tcPr>
            <w:tcW w:w="1134" w:type="dxa"/>
            <w:tcBorders>
              <w:top w:val="nil"/>
              <w:left w:val="nil"/>
              <w:bottom w:val="nil"/>
              <w:right w:val="nil"/>
            </w:tcBorders>
            <w:shd w:val="clear" w:color="auto" w:fill="auto"/>
            <w:noWrap/>
            <w:vAlign w:val="center"/>
            <w:hideMark/>
          </w:tcPr>
          <w:p w14:paraId="5A4DD304" w14:textId="77777777" w:rsidR="00BD53AF" w:rsidRPr="00616696" w:rsidRDefault="00BD53AF" w:rsidP="00387AE5">
            <w:pPr>
              <w:jc w:val="center"/>
              <w:rPr>
                <w:rFonts w:cs="Arial"/>
                <w:color w:val="000000"/>
                <w:sz w:val="16"/>
                <w:szCs w:val="16"/>
              </w:rPr>
            </w:pPr>
            <w:r>
              <w:rPr>
                <w:rFonts w:cs="Arial"/>
                <w:color w:val="000000"/>
                <w:sz w:val="16"/>
                <w:szCs w:val="16"/>
              </w:rPr>
              <w:t>-0,</w:t>
            </w:r>
            <w:r w:rsidRPr="00616696">
              <w:rPr>
                <w:rFonts w:cs="Arial"/>
                <w:color w:val="000000"/>
                <w:sz w:val="16"/>
                <w:szCs w:val="16"/>
              </w:rPr>
              <w:t>1</w:t>
            </w:r>
          </w:p>
        </w:tc>
        <w:tc>
          <w:tcPr>
            <w:tcW w:w="1134" w:type="dxa"/>
            <w:tcBorders>
              <w:top w:val="nil"/>
              <w:left w:val="nil"/>
              <w:bottom w:val="nil"/>
              <w:right w:val="nil"/>
            </w:tcBorders>
            <w:shd w:val="clear" w:color="auto" w:fill="auto"/>
            <w:vAlign w:val="center"/>
            <w:hideMark/>
          </w:tcPr>
          <w:p w14:paraId="76A52C32" w14:textId="17347E69" w:rsidR="00BD53AF" w:rsidRPr="00616696" w:rsidRDefault="00BD53AF" w:rsidP="00387AE5">
            <w:pPr>
              <w:jc w:val="center"/>
              <w:rPr>
                <w:rFonts w:cs="Arial"/>
                <w:color w:val="000000"/>
                <w:sz w:val="16"/>
                <w:szCs w:val="16"/>
              </w:rPr>
            </w:pPr>
            <w:r>
              <w:rPr>
                <w:rFonts w:cs="Arial"/>
                <w:color w:val="000000"/>
                <w:sz w:val="16"/>
                <w:szCs w:val="18"/>
              </w:rPr>
              <w:t>0,</w:t>
            </w:r>
            <w:r w:rsidR="00D074ED">
              <w:rPr>
                <w:rFonts w:cs="Arial"/>
                <w:color w:val="000000"/>
                <w:sz w:val="16"/>
                <w:szCs w:val="18"/>
              </w:rPr>
              <w:t>6</w:t>
            </w:r>
          </w:p>
        </w:tc>
      </w:tr>
      <w:tr w:rsidR="00BD53AF" w:rsidRPr="00616696" w14:paraId="5FBE9BC1" w14:textId="77777777" w:rsidTr="00387AE5">
        <w:trPr>
          <w:trHeight w:val="243"/>
        </w:trPr>
        <w:tc>
          <w:tcPr>
            <w:tcW w:w="520" w:type="dxa"/>
            <w:tcBorders>
              <w:top w:val="nil"/>
              <w:left w:val="nil"/>
              <w:bottom w:val="nil"/>
              <w:right w:val="nil"/>
            </w:tcBorders>
            <w:shd w:val="clear" w:color="auto" w:fill="auto"/>
            <w:noWrap/>
            <w:vAlign w:val="center"/>
            <w:hideMark/>
          </w:tcPr>
          <w:p w14:paraId="6A916CB4" w14:textId="77777777" w:rsidR="00BD53AF" w:rsidRPr="00616696" w:rsidRDefault="00BD53AF" w:rsidP="00387AE5">
            <w:pPr>
              <w:jc w:val="center"/>
              <w:rPr>
                <w:rFonts w:cs="Arial"/>
                <w:color w:val="000000"/>
                <w:sz w:val="16"/>
                <w:szCs w:val="16"/>
              </w:rPr>
            </w:pPr>
            <w:r w:rsidRPr="00616696">
              <w:rPr>
                <w:rFonts w:cs="Arial"/>
                <w:color w:val="000000"/>
                <w:sz w:val="16"/>
                <w:szCs w:val="16"/>
              </w:rPr>
              <w:t>2021</w:t>
            </w:r>
          </w:p>
        </w:tc>
        <w:tc>
          <w:tcPr>
            <w:tcW w:w="1023" w:type="dxa"/>
            <w:tcBorders>
              <w:top w:val="nil"/>
              <w:left w:val="nil"/>
              <w:bottom w:val="nil"/>
              <w:right w:val="nil"/>
            </w:tcBorders>
            <w:shd w:val="clear" w:color="auto" w:fill="auto"/>
            <w:noWrap/>
            <w:vAlign w:val="center"/>
            <w:hideMark/>
          </w:tcPr>
          <w:p w14:paraId="68041765"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7</w:t>
            </w:r>
          </w:p>
        </w:tc>
        <w:tc>
          <w:tcPr>
            <w:tcW w:w="862" w:type="dxa"/>
            <w:tcBorders>
              <w:top w:val="nil"/>
              <w:left w:val="nil"/>
              <w:bottom w:val="nil"/>
              <w:right w:val="nil"/>
            </w:tcBorders>
            <w:shd w:val="clear" w:color="auto" w:fill="auto"/>
            <w:noWrap/>
            <w:vAlign w:val="center"/>
            <w:hideMark/>
          </w:tcPr>
          <w:p w14:paraId="00026E03"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2</w:t>
            </w:r>
          </w:p>
        </w:tc>
        <w:tc>
          <w:tcPr>
            <w:tcW w:w="1139" w:type="dxa"/>
            <w:tcBorders>
              <w:top w:val="nil"/>
              <w:left w:val="nil"/>
              <w:bottom w:val="nil"/>
              <w:right w:val="nil"/>
            </w:tcBorders>
            <w:shd w:val="clear" w:color="auto" w:fill="auto"/>
            <w:noWrap/>
            <w:vAlign w:val="center"/>
            <w:hideMark/>
          </w:tcPr>
          <w:p w14:paraId="78432747"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2</w:t>
            </w:r>
          </w:p>
        </w:tc>
        <w:tc>
          <w:tcPr>
            <w:tcW w:w="992" w:type="dxa"/>
            <w:tcBorders>
              <w:top w:val="nil"/>
              <w:left w:val="nil"/>
              <w:bottom w:val="nil"/>
              <w:right w:val="nil"/>
            </w:tcBorders>
            <w:shd w:val="clear" w:color="auto" w:fill="auto"/>
            <w:noWrap/>
            <w:vAlign w:val="center"/>
            <w:hideMark/>
          </w:tcPr>
          <w:p w14:paraId="4346C5DB" w14:textId="77777777" w:rsidR="00BD53AF" w:rsidRPr="00616696" w:rsidRDefault="00BD53AF" w:rsidP="00387AE5">
            <w:pPr>
              <w:jc w:val="center"/>
              <w:rPr>
                <w:color w:val="000000"/>
                <w:sz w:val="16"/>
                <w:szCs w:val="18"/>
              </w:rPr>
            </w:pPr>
            <w:r w:rsidRPr="00616696">
              <w:rPr>
                <w:color w:val="000000"/>
                <w:sz w:val="16"/>
                <w:szCs w:val="18"/>
              </w:rPr>
              <w:t>-1</w:t>
            </w:r>
            <w:r>
              <w:rPr>
                <w:color w:val="000000"/>
                <w:sz w:val="16"/>
                <w:szCs w:val="18"/>
              </w:rPr>
              <w:t>,</w:t>
            </w:r>
            <w:r w:rsidRPr="00616696">
              <w:rPr>
                <w:color w:val="000000"/>
                <w:sz w:val="16"/>
                <w:szCs w:val="18"/>
              </w:rPr>
              <w:t>8</w:t>
            </w:r>
          </w:p>
        </w:tc>
        <w:tc>
          <w:tcPr>
            <w:tcW w:w="1134" w:type="dxa"/>
            <w:tcBorders>
              <w:top w:val="nil"/>
              <w:left w:val="nil"/>
              <w:bottom w:val="nil"/>
              <w:right w:val="nil"/>
            </w:tcBorders>
            <w:shd w:val="clear" w:color="auto" w:fill="auto"/>
            <w:noWrap/>
            <w:vAlign w:val="center"/>
            <w:hideMark/>
          </w:tcPr>
          <w:p w14:paraId="0D213BF4" w14:textId="77777777" w:rsidR="00BD53AF" w:rsidRPr="00616696" w:rsidRDefault="00BD53AF" w:rsidP="00387AE5">
            <w:pPr>
              <w:jc w:val="center"/>
              <w:rPr>
                <w:color w:val="000000"/>
                <w:sz w:val="16"/>
                <w:szCs w:val="18"/>
              </w:rPr>
            </w:pPr>
            <w:r w:rsidRPr="00616696">
              <w:rPr>
                <w:color w:val="000000"/>
                <w:sz w:val="16"/>
                <w:szCs w:val="18"/>
              </w:rPr>
              <w:t>-</w:t>
            </w:r>
            <w:r>
              <w:rPr>
                <w:color w:val="000000"/>
                <w:sz w:val="16"/>
                <w:szCs w:val="18"/>
              </w:rPr>
              <w:t>0,</w:t>
            </w:r>
            <w:r w:rsidRPr="00616696">
              <w:rPr>
                <w:color w:val="000000"/>
                <w:sz w:val="16"/>
                <w:szCs w:val="18"/>
              </w:rPr>
              <w:t>3</w:t>
            </w:r>
          </w:p>
        </w:tc>
        <w:tc>
          <w:tcPr>
            <w:tcW w:w="1134" w:type="dxa"/>
            <w:tcBorders>
              <w:top w:val="nil"/>
              <w:left w:val="nil"/>
              <w:bottom w:val="nil"/>
              <w:right w:val="nil"/>
            </w:tcBorders>
            <w:shd w:val="clear" w:color="auto" w:fill="auto"/>
            <w:noWrap/>
            <w:vAlign w:val="center"/>
            <w:hideMark/>
          </w:tcPr>
          <w:p w14:paraId="4F05A780"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1</w:t>
            </w:r>
          </w:p>
        </w:tc>
        <w:tc>
          <w:tcPr>
            <w:tcW w:w="1134" w:type="dxa"/>
            <w:tcBorders>
              <w:top w:val="nil"/>
              <w:left w:val="nil"/>
              <w:bottom w:val="nil"/>
              <w:right w:val="nil"/>
            </w:tcBorders>
            <w:shd w:val="clear" w:color="auto" w:fill="auto"/>
            <w:noWrap/>
            <w:vAlign w:val="center"/>
            <w:hideMark/>
          </w:tcPr>
          <w:p w14:paraId="26F7CB9E" w14:textId="77777777" w:rsidR="00BD53AF" w:rsidRPr="00616696" w:rsidRDefault="00BD53AF" w:rsidP="00387AE5">
            <w:pPr>
              <w:jc w:val="center"/>
              <w:rPr>
                <w:rFonts w:cs="Arial"/>
                <w:color w:val="000000"/>
                <w:sz w:val="16"/>
                <w:szCs w:val="16"/>
              </w:rPr>
            </w:pPr>
            <w:r>
              <w:rPr>
                <w:rFonts w:cs="Arial"/>
                <w:color w:val="000000"/>
                <w:sz w:val="16"/>
                <w:szCs w:val="16"/>
              </w:rPr>
              <w:t>-0,</w:t>
            </w:r>
            <w:r w:rsidRPr="00616696">
              <w:rPr>
                <w:rFonts w:cs="Arial"/>
                <w:color w:val="000000"/>
                <w:sz w:val="16"/>
                <w:szCs w:val="16"/>
              </w:rPr>
              <w:t>1</w:t>
            </w:r>
          </w:p>
        </w:tc>
        <w:tc>
          <w:tcPr>
            <w:tcW w:w="1134" w:type="dxa"/>
            <w:tcBorders>
              <w:top w:val="nil"/>
              <w:left w:val="nil"/>
              <w:bottom w:val="nil"/>
              <w:right w:val="nil"/>
            </w:tcBorders>
            <w:shd w:val="clear" w:color="auto" w:fill="auto"/>
            <w:vAlign w:val="center"/>
            <w:hideMark/>
          </w:tcPr>
          <w:p w14:paraId="0B4B3861" w14:textId="096AB62F" w:rsidR="00BD53AF" w:rsidRPr="00616696" w:rsidRDefault="00BD53AF" w:rsidP="00387AE5">
            <w:pPr>
              <w:jc w:val="center"/>
              <w:rPr>
                <w:rFonts w:cs="Arial"/>
                <w:color w:val="000000"/>
                <w:sz w:val="16"/>
                <w:szCs w:val="16"/>
              </w:rPr>
            </w:pPr>
            <w:r>
              <w:rPr>
                <w:rFonts w:cs="Arial"/>
                <w:color w:val="000000"/>
                <w:sz w:val="16"/>
                <w:szCs w:val="18"/>
              </w:rPr>
              <w:t>0,</w:t>
            </w:r>
            <w:r w:rsidR="00D074ED">
              <w:rPr>
                <w:rFonts w:cs="Arial"/>
                <w:color w:val="000000"/>
                <w:sz w:val="16"/>
                <w:szCs w:val="18"/>
              </w:rPr>
              <w:t>6</w:t>
            </w:r>
          </w:p>
        </w:tc>
      </w:tr>
      <w:tr w:rsidR="00BD53AF" w:rsidRPr="00616696" w14:paraId="48651EA1" w14:textId="77777777" w:rsidTr="00387AE5">
        <w:trPr>
          <w:trHeight w:val="255"/>
        </w:trPr>
        <w:tc>
          <w:tcPr>
            <w:tcW w:w="520" w:type="dxa"/>
            <w:tcBorders>
              <w:top w:val="nil"/>
              <w:left w:val="nil"/>
              <w:bottom w:val="nil"/>
              <w:right w:val="nil"/>
            </w:tcBorders>
            <w:shd w:val="clear" w:color="auto" w:fill="auto"/>
            <w:noWrap/>
            <w:vAlign w:val="center"/>
            <w:hideMark/>
          </w:tcPr>
          <w:p w14:paraId="2E6A35FF" w14:textId="77777777" w:rsidR="00BD53AF" w:rsidRPr="00616696" w:rsidRDefault="00BD53AF" w:rsidP="00387AE5">
            <w:pPr>
              <w:jc w:val="center"/>
              <w:rPr>
                <w:rFonts w:cs="Arial"/>
                <w:color w:val="000000"/>
                <w:sz w:val="16"/>
                <w:szCs w:val="16"/>
              </w:rPr>
            </w:pPr>
            <w:r w:rsidRPr="00616696">
              <w:rPr>
                <w:rFonts w:cs="Arial"/>
                <w:color w:val="000000"/>
                <w:sz w:val="16"/>
                <w:szCs w:val="16"/>
              </w:rPr>
              <w:t>2022</w:t>
            </w:r>
          </w:p>
        </w:tc>
        <w:tc>
          <w:tcPr>
            <w:tcW w:w="1023" w:type="dxa"/>
            <w:tcBorders>
              <w:top w:val="nil"/>
              <w:left w:val="nil"/>
              <w:bottom w:val="nil"/>
              <w:right w:val="nil"/>
            </w:tcBorders>
            <w:shd w:val="clear" w:color="auto" w:fill="auto"/>
            <w:noWrap/>
            <w:vAlign w:val="center"/>
            <w:hideMark/>
          </w:tcPr>
          <w:p w14:paraId="3BA64D48" w14:textId="77777777" w:rsidR="00BD53AF" w:rsidRPr="00616696" w:rsidRDefault="00BD53AF" w:rsidP="00387AE5">
            <w:pPr>
              <w:jc w:val="center"/>
              <w:rPr>
                <w:color w:val="000000"/>
                <w:sz w:val="16"/>
                <w:szCs w:val="18"/>
              </w:rPr>
            </w:pPr>
            <w:r w:rsidRPr="00616696">
              <w:rPr>
                <w:color w:val="000000"/>
                <w:sz w:val="16"/>
                <w:szCs w:val="18"/>
              </w:rPr>
              <w:t>-</w:t>
            </w:r>
            <w:r>
              <w:rPr>
                <w:color w:val="000000"/>
                <w:sz w:val="16"/>
                <w:szCs w:val="18"/>
              </w:rPr>
              <w:t>0,</w:t>
            </w:r>
            <w:r w:rsidRPr="00616696">
              <w:rPr>
                <w:color w:val="000000"/>
                <w:sz w:val="16"/>
                <w:szCs w:val="18"/>
              </w:rPr>
              <w:t>6</w:t>
            </w:r>
          </w:p>
        </w:tc>
        <w:tc>
          <w:tcPr>
            <w:tcW w:w="862" w:type="dxa"/>
            <w:tcBorders>
              <w:top w:val="nil"/>
              <w:left w:val="nil"/>
              <w:bottom w:val="nil"/>
              <w:right w:val="nil"/>
            </w:tcBorders>
            <w:shd w:val="clear" w:color="auto" w:fill="auto"/>
            <w:noWrap/>
            <w:vAlign w:val="center"/>
            <w:hideMark/>
          </w:tcPr>
          <w:p w14:paraId="75EF8E3B"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3</w:t>
            </w:r>
          </w:p>
        </w:tc>
        <w:tc>
          <w:tcPr>
            <w:tcW w:w="1139" w:type="dxa"/>
            <w:tcBorders>
              <w:top w:val="nil"/>
              <w:left w:val="nil"/>
              <w:bottom w:val="nil"/>
              <w:right w:val="nil"/>
            </w:tcBorders>
            <w:shd w:val="clear" w:color="auto" w:fill="auto"/>
            <w:noWrap/>
            <w:vAlign w:val="center"/>
            <w:hideMark/>
          </w:tcPr>
          <w:p w14:paraId="02306DCA"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1</w:t>
            </w:r>
          </w:p>
        </w:tc>
        <w:tc>
          <w:tcPr>
            <w:tcW w:w="992" w:type="dxa"/>
            <w:tcBorders>
              <w:top w:val="nil"/>
              <w:left w:val="nil"/>
              <w:bottom w:val="nil"/>
              <w:right w:val="nil"/>
            </w:tcBorders>
            <w:shd w:val="clear" w:color="auto" w:fill="auto"/>
            <w:noWrap/>
            <w:vAlign w:val="center"/>
            <w:hideMark/>
          </w:tcPr>
          <w:p w14:paraId="16F097B5" w14:textId="77777777" w:rsidR="00BD53AF" w:rsidRPr="00616696" w:rsidRDefault="00BD53AF" w:rsidP="00387AE5">
            <w:pPr>
              <w:jc w:val="center"/>
              <w:rPr>
                <w:color w:val="000000"/>
                <w:sz w:val="16"/>
                <w:szCs w:val="18"/>
              </w:rPr>
            </w:pPr>
            <w:r>
              <w:rPr>
                <w:color w:val="000000"/>
                <w:sz w:val="16"/>
                <w:szCs w:val="18"/>
              </w:rPr>
              <w:t>-1,</w:t>
            </w:r>
            <w:r w:rsidRPr="00616696">
              <w:rPr>
                <w:color w:val="000000"/>
                <w:sz w:val="16"/>
                <w:szCs w:val="18"/>
              </w:rPr>
              <w:t>8</w:t>
            </w:r>
          </w:p>
        </w:tc>
        <w:tc>
          <w:tcPr>
            <w:tcW w:w="1134" w:type="dxa"/>
            <w:tcBorders>
              <w:top w:val="nil"/>
              <w:left w:val="nil"/>
              <w:bottom w:val="nil"/>
              <w:right w:val="nil"/>
            </w:tcBorders>
            <w:shd w:val="clear" w:color="auto" w:fill="auto"/>
            <w:noWrap/>
            <w:vAlign w:val="center"/>
            <w:hideMark/>
          </w:tcPr>
          <w:p w14:paraId="26F8AC83"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3</w:t>
            </w:r>
          </w:p>
        </w:tc>
        <w:tc>
          <w:tcPr>
            <w:tcW w:w="1134" w:type="dxa"/>
            <w:tcBorders>
              <w:top w:val="nil"/>
              <w:left w:val="nil"/>
              <w:bottom w:val="nil"/>
              <w:right w:val="nil"/>
            </w:tcBorders>
            <w:shd w:val="clear" w:color="auto" w:fill="auto"/>
            <w:noWrap/>
            <w:vAlign w:val="center"/>
            <w:hideMark/>
          </w:tcPr>
          <w:p w14:paraId="2CFED916" w14:textId="77777777" w:rsidR="00BD53AF" w:rsidRPr="00616696" w:rsidRDefault="00BD53AF" w:rsidP="00387AE5">
            <w:pPr>
              <w:jc w:val="center"/>
              <w:rPr>
                <w:color w:val="000000"/>
                <w:sz w:val="16"/>
                <w:szCs w:val="18"/>
              </w:rPr>
            </w:pPr>
            <w:r>
              <w:rPr>
                <w:color w:val="000000"/>
                <w:sz w:val="16"/>
                <w:szCs w:val="18"/>
              </w:rPr>
              <w:t>-0,</w:t>
            </w:r>
            <w:r w:rsidRPr="00616696">
              <w:rPr>
                <w:color w:val="000000"/>
                <w:sz w:val="16"/>
                <w:szCs w:val="18"/>
              </w:rPr>
              <w:t>1</w:t>
            </w:r>
          </w:p>
        </w:tc>
        <w:tc>
          <w:tcPr>
            <w:tcW w:w="1134" w:type="dxa"/>
            <w:tcBorders>
              <w:top w:val="nil"/>
              <w:left w:val="nil"/>
              <w:bottom w:val="nil"/>
              <w:right w:val="nil"/>
            </w:tcBorders>
            <w:shd w:val="clear" w:color="auto" w:fill="auto"/>
            <w:noWrap/>
            <w:vAlign w:val="center"/>
            <w:hideMark/>
          </w:tcPr>
          <w:p w14:paraId="47DADD02" w14:textId="77777777" w:rsidR="00BD53AF" w:rsidRPr="00616696" w:rsidRDefault="00BD53AF" w:rsidP="00387AE5">
            <w:pPr>
              <w:jc w:val="center"/>
              <w:rPr>
                <w:rFonts w:cs="Arial"/>
                <w:color w:val="000000"/>
                <w:sz w:val="16"/>
                <w:szCs w:val="16"/>
              </w:rPr>
            </w:pPr>
            <w:r>
              <w:rPr>
                <w:rFonts w:cs="Arial"/>
                <w:color w:val="000000"/>
                <w:sz w:val="16"/>
                <w:szCs w:val="16"/>
              </w:rPr>
              <w:t>-0,</w:t>
            </w:r>
            <w:r w:rsidRPr="00616696">
              <w:rPr>
                <w:rFonts w:cs="Arial"/>
                <w:color w:val="000000"/>
                <w:sz w:val="16"/>
                <w:szCs w:val="16"/>
              </w:rPr>
              <w:t>1</w:t>
            </w:r>
          </w:p>
        </w:tc>
        <w:tc>
          <w:tcPr>
            <w:tcW w:w="1134" w:type="dxa"/>
            <w:tcBorders>
              <w:top w:val="nil"/>
              <w:left w:val="nil"/>
              <w:bottom w:val="nil"/>
              <w:right w:val="nil"/>
            </w:tcBorders>
            <w:shd w:val="clear" w:color="auto" w:fill="auto"/>
            <w:vAlign w:val="center"/>
            <w:hideMark/>
          </w:tcPr>
          <w:p w14:paraId="325D8286" w14:textId="7BAD0E68" w:rsidR="00BD53AF" w:rsidRPr="00616696" w:rsidRDefault="00D074ED" w:rsidP="00387AE5">
            <w:pPr>
              <w:jc w:val="center"/>
              <w:rPr>
                <w:rFonts w:cs="Arial"/>
                <w:color w:val="000000"/>
                <w:sz w:val="16"/>
                <w:szCs w:val="16"/>
              </w:rPr>
            </w:pPr>
            <w:r>
              <w:rPr>
                <w:rFonts w:cs="Arial"/>
                <w:color w:val="000000"/>
                <w:sz w:val="16"/>
                <w:szCs w:val="18"/>
              </w:rPr>
              <w:t>0</w:t>
            </w:r>
            <w:r w:rsidR="00BD53AF">
              <w:rPr>
                <w:rFonts w:cs="Arial"/>
                <w:color w:val="000000"/>
                <w:sz w:val="16"/>
                <w:szCs w:val="18"/>
              </w:rPr>
              <w:t>,</w:t>
            </w:r>
            <w:r>
              <w:rPr>
                <w:rFonts w:cs="Arial"/>
                <w:color w:val="000000"/>
                <w:sz w:val="16"/>
                <w:szCs w:val="18"/>
              </w:rPr>
              <w:t>7</w:t>
            </w:r>
          </w:p>
        </w:tc>
      </w:tr>
      <w:tr w:rsidR="00BD53AF" w:rsidRPr="00616696" w14:paraId="712FFAC1" w14:textId="77777777" w:rsidTr="00387AE5">
        <w:trPr>
          <w:trHeight w:val="283"/>
        </w:trPr>
        <w:tc>
          <w:tcPr>
            <w:tcW w:w="1543" w:type="dxa"/>
            <w:gridSpan w:val="2"/>
            <w:tcBorders>
              <w:top w:val="single" w:sz="12" w:space="0" w:color="auto"/>
              <w:left w:val="nil"/>
              <w:bottom w:val="nil"/>
              <w:right w:val="nil"/>
            </w:tcBorders>
            <w:shd w:val="clear" w:color="auto" w:fill="auto"/>
            <w:noWrap/>
            <w:vAlign w:val="center"/>
            <w:hideMark/>
          </w:tcPr>
          <w:p w14:paraId="6A54D90F" w14:textId="77777777" w:rsidR="00BD53AF" w:rsidRPr="00616696" w:rsidRDefault="00BD53AF" w:rsidP="00387AE5">
            <w:pPr>
              <w:pStyle w:val="poznmka"/>
              <w:jc w:val="left"/>
              <w:rPr>
                <w:rFonts w:cs="Times New Roman"/>
                <w:i w:val="0"/>
                <w:iCs w:val="0"/>
                <w:color w:val="000000"/>
                <w:lang w:eastAsia="en-US"/>
              </w:rPr>
            </w:pPr>
          </w:p>
        </w:tc>
        <w:tc>
          <w:tcPr>
            <w:tcW w:w="862" w:type="dxa"/>
            <w:tcBorders>
              <w:top w:val="single" w:sz="12" w:space="0" w:color="auto"/>
              <w:left w:val="nil"/>
              <w:bottom w:val="nil"/>
              <w:right w:val="nil"/>
            </w:tcBorders>
            <w:shd w:val="clear" w:color="auto" w:fill="auto"/>
            <w:noWrap/>
            <w:vAlign w:val="center"/>
            <w:hideMark/>
          </w:tcPr>
          <w:p w14:paraId="5417F4BB" w14:textId="77777777" w:rsidR="00BD53AF" w:rsidRPr="00616696" w:rsidRDefault="00BD53AF" w:rsidP="00387AE5">
            <w:pPr>
              <w:rPr>
                <w:rFonts w:cs="Times New Roman"/>
                <w:i/>
                <w:iCs/>
                <w:color w:val="000000"/>
                <w:sz w:val="16"/>
                <w:szCs w:val="16"/>
                <w:lang w:eastAsia="en-US"/>
              </w:rPr>
            </w:pPr>
            <w:r w:rsidRPr="00616696">
              <w:rPr>
                <w:rFonts w:cs="Times New Roman"/>
                <w:i/>
                <w:iCs/>
                <w:color w:val="000000"/>
                <w:sz w:val="16"/>
                <w:szCs w:val="16"/>
                <w:lang w:eastAsia="en-US"/>
              </w:rPr>
              <w:t> </w:t>
            </w:r>
          </w:p>
        </w:tc>
        <w:tc>
          <w:tcPr>
            <w:tcW w:w="1139" w:type="dxa"/>
            <w:tcBorders>
              <w:top w:val="single" w:sz="12" w:space="0" w:color="auto"/>
              <w:left w:val="nil"/>
              <w:bottom w:val="nil"/>
              <w:right w:val="nil"/>
            </w:tcBorders>
            <w:shd w:val="clear" w:color="auto" w:fill="auto"/>
            <w:noWrap/>
            <w:vAlign w:val="center"/>
            <w:hideMark/>
          </w:tcPr>
          <w:p w14:paraId="3614936F" w14:textId="77777777" w:rsidR="00BD53AF" w:rsidRPr="00616696" w:rsidRDefault="00BD53AF" w:rsidP="00387AE5">
            <w:pPr>
              <w:rPr>
                <w:rFonts w:cs="Times New Roman"/>
                <w:i/>
                <w:iCs/>
                <w:color w:val="000000"/>
                <w:sz w:val="16"/>
                <w:szCs w:val="16"/>
                <w:lang w:eastAsia="en-US"/>
              </w:rPr>
            </w:pPr>
            <w:r w:rsidRPr="00616696">
              <w:rPr>
                <w:rFonts w:cs="Times New Roman"/>
                <w:i/>
                <w:iCs/>
                <w:color w:val="000000"/>
                <w:sz w:val="16"/>
                <w:szCs w:val="16"/>
                <w:lang w:eastAsia="en-US"/>
              </w:rPr>
              <w:t> </w:t>
            </w:r>
          </w:p>
        </w:tc>
        <w:tc>
          <w:tcPr>
            <w:tcW w:w="992" w:type="dxa"/>
            <w:tcBorders>
              <w:top w:val="single" w:sz="12" w:space="0" w:color="auto"/>
              <w:left w:val="nil"/>
              <w:bottom w:val="nil"/>
              <w:right w:val="nil"/>
            </w:tcBorders>
            <w:shd w:val="clear" w:color="auto" w:fill="auto"/>
            <w:noWrap/>
            <w:vAlign w:val="center"/>
            <w:hideMark/>
          </w:tcPr>
          <w:p w14:paraId="4E68D992" w14:textId="77777777" w:rsidR="00BD53AF" w:rsidRPr="00616696" w:rsidRDefault="00BD53AF" w:rsidP="00387AE5">
            <w:pPr>
              <w:rPr>
                <w:rFonts w:cs="Times New Roman"/>
                <w:i/>
                <w:iCs/>
                <w:color w:val="000000"/>
                <w:sz w:val="16"/>
                <w:szCs w:val="16"/>
                <w:lang w:eastAsia="en-US"/>
              </w:rPr>
            </w:pPr>
            <w:r w:rsidRPr="00616696">
              <w:rPr>
                <w:rFonts w:cs="Times New Roman"/>
                <w:i/>
                <w:iCs/>
                <w:color w:val="000000"/>
                <w:sz w:val="16"/>
                <w:szCs w:val="16"/>
                <w:lang w:eastAsia="en-US"/>
              </w:rPr>
              <w:t> </w:t>
            </w:r>
          </w:p>
        </w:tc>
        <w:tc>
          <w:tcPr>
            <w:tcW w:w="1134" w:type="dxa"/>
            <w:tcBorders>
              <w:top w:val="single" w:sz="12" w:space="0" w:color="auto"/>
              <w:left w:val="nil"/>
              <w:bottom w:val="nil"/>
              <w:right w:val="nil"/>
            </w:tcBorders>
            <w:shd w:val="clear" w:color="auto" w:fill="auto"/>
            <w:noWrap/>
            <w:vAlign w:val="center"/>
            <w:hideMark/>
          </w:tcPr>
          <w:p w14:paraId="276FA47C" w14:textId="77777777" w:rsidR="00BD53AF" w:rsidRPr="00616696" w:rsidRDefault="00BD53AF" w:rsidP="00387AE5">
            <w:pPr>
              <w:rPr>
                <w:rFonts w:cs="Times New Roman"/>
                <w:i/>
                <w:iCs/>
                <w:color w:val="000000"/>
                <w:sz w:val="16"/>
                <w:szCs w:val="16"/>
                <w:lang w:eastAsia="en-US"/>
              </w:rPr>
            </w:pPr>
            <w:r w:rsidRPr="00616696">
              <w:rPr>
                <w:rFonts w:cs="Times New Roman"/>
                <w:i/>
                <w:iCs/>
                <w:color w:val="000000"/>
                <w:sz w:val="16"/>
                <w:szCs w:val="16"/>
                <w:lang w:eastAsia="en-US"/>
              </w:rPr>
              <w:t> </w:t>
            </w:r>
          </w:p>
        </w:tc>
        <w:tc>
          <w:tcPr>
            <w:tcW w:w="1134" w:type="dxa"/>
            <w:tcBorders>
              <w:top w:val="single" w:sz="12" w:space="0" w:color="auto"/>
              <w:left w:val="nil"/>
              <w:bottom w:val="nil"/>
              <w:right w:val="nil"/>
            </w:tcBorders>
            <w:shd w:val="clear" w:color="auto" w:fill="auto"/>
            <w:noWrap/>
            <w:vAlign w:val="center"/>
            <w:hideMark/>
          </w:tcPr>
          <w:p w14:paraId="0105F8DA" w14:textId="77777777" w:rsidR="00BD53AF" w:rsidRPr="00616696" w:rsidRDefault="00BD53AF" w:rsidP="00387AE5">
            <w:pPr>
              <w:rPr>
                <w:rFonts w:cs="Times New Roman"/>
                <w:i/>
                <w:iCs/>
                <w:color w:val="000000"/>
                <w:sz w:val="16"/>
                <w:szCs w:val="16"/>
                <w:lang w:eastAsia="en-US"/>
              </w:rPr>
            </w:pPr>
            <w:r w:rsidRPr="00616696">
              <w:rPr>
                <w:rFonts w:cs="Times New Roman"/>
                <w:i/>
                <w:iCs/>
                <w:color w:val="000000"/>
                <w:sz w:val="16"/>
                <w:szCs w:val="16"/>
                <w:lang w:eastAsia="en-US"/>
              </w:rPr>
              <w:t> </w:t>
            </w:r>
          </w:p>
        </w:tc>
        <w:tc>
          <w:tcPr>
            <w:tcW w:w="2268" w:type="dxa"/>
            <w:gridSpan w:val="2"/>
            <w:tcBorders>
              <w:top w:val="single" w:sz="12" w:space="0" w:color="auto"/>
              <w:left w:val="nil"/>
              <w:bottom w:val="nil"/>
              <w:right w:val="nil"/>
            </w:tcBorders>
            <w:shd w:val="clear" w:color="auto" w:fill="auto"/>
            <w:vAlign w:val="center"/>
            <w:hideMark/>
          </w:tcPr>
          <w:p w14:paraId="5D286177" w14:textId="77777777" w:rsidR="00BD53AF" w:rsidRPr="00616696" w:rsidRDefault="00BD53AF" w:rsidP="00387AE5">
            <w:pPr>
              <w:pStyle w:val="poznmka"/>
            </w:pPr>
            <w:r w:rsidRPr="00616696">
              <w:t>Zdroj: MF SR</w:t>
            </w:r>
          </w:p>
        </w:tc>
      </w:tr>
    </w:tbl>
    <w:p w14:paraId="758790A7" w14:textId="77777777" w:rsidR="0005796F" w:rsidRDefault="0005796F" w:rsidP="000032FE">
      <w:pPr>
        <w:autoSpaceDE w:val="0"/>
        <w:autoSpaceDN w:val="0"/>
        <w:adjustRightInd w:val="0"/>
        <w:spacing w:before="240" w:after="120"/>
        <w:jc w:val="both"/>
        <w:rPr>
          <w:rFonts w:cs="Arial Narrow"/>
          <w:b/>
          <w:i/>
          <w:color w:val="2C9ADC" w:themeColor="accent1"/>
        </w:rPr>
      </w:pPr>
    </w:p>
    <w:p w14:paraId="175BDA65" w14:textId="77777777" w:rsidR="0005796F" w:rsidRDefault="0005796F" w:rsidP="000032FE">
      <w:pPr>
        <w:autoSpaceDE w:val="0"/>
        <w:autoSpaceDN w:val="0"/>
        <w:adjustRightInd w:val="0"/>
        <w:spacing w:before="240" w:after="120"/>
        <w:jc w:val="both"/>
        <w:rPr>
          <w:rFonts w:cs="Arial Narrow"/>
          <w:b/>
          <w:i/>
          <w:color w:val="2C9ADC" w:themeColor="accent1"/>
        </w:rPr>
      </w:pPr>
    </w:p>
    <w:p w14:paraId="00CD0FDE" w14:textId="77777777" w:rsidR="00BD53AF" w:rsidRPr="005E01A1" w:rsidRDefault="00BD53AF" w:rsidP="000032FE">
      <w:pPr>
        <w:autoSpaceDE w:val="0"/>
        <w:autoSpaceDN w:val="0"/>
        <w:adjustRightInd w:val="0"/>
        <w:spacing w:before="240" w:after="120"/>
        <w:jc w:val="both"/>
        <w:rPr>
          <w:rFonts w:cs="Arial Narrow"/>
          <w:b/>
          <w:i/>
          <w:color w:val="2C9ADC" w:themeColor="accent1"/>
        </w:rPr>
      </w:pPr>
      <w:r w:rsidRPr="005E01A1">
        <w:rPr>
          <w:rFonts w:cs="Arial Narrow"/>
          <w:b/>
          <w:i/>
          <w:color w:val="2C9ADC" w:themeColor="accent1"/>
        </w:rPr>
        <w:lastRenderedPageBreak/>
        <w:t>Scenár 3: Americké clo na európske autá vo výške 25 %</w:t>
      </w:r>
    </w:p>
    <w:p w14:paraId="55E678D6" w14:textId="77777777" w:rsidR="00BD53AF" w:rsidRPr="00474E78" w:rsidRDefault="00BD53AF" w:rsidP="00BD53AF">
      <w:pPr>
        <w:pStyle w:val="odsekzatabukou"/>
      </w:pPr>
      <w:r>
        <w:rPr>
          <w:b/>
        </w:rPr>
        <w:t>Tretí</w:t>
      </w:r>
      <w:r w:rsidRPr="00474E78">
        <w:rPr>
          <w:b/>
        </w:rPr>
        <w:t xml:space="preserve"> scenár </w:t>
      </w:r>
      <w:r>
        <w:rPr>
          <w:b/>
        </w:rPr>
        <w:t>predpokladá</w:t>
      </w:r>
      <w:r w:rsidRPr="00474E78">
        <w:rPr>
          <w:b/>
        </w:rPr>
        <w:t xml:space="preserve"> </w:t>
      </w:r>
      <w:r>
        <w:rPr>
          <w:b/>
        </w:rPr>
        <w:t>zvýšenie amerických ciel na dovoz áut z Európy z 2,5 % na 25 % s účinnosťou od júla 2019</w:t>
      </w:r>
      <w:r w:rsidRPr="00474E78">
        <w:rPr>
          <w:b/>
        </w:rPr>
        <w:t>.</w:t>
      </w:r>
      <w:r w:rsidRPr="00474E78">
        <w:t xml:space="preserve"> </w:t>
      </w:r>
      <w:r>
        <w:t xml:space="preserve">Z pohľadu exportu automobilov do USA je </w:t>
      </w:r>
      <w:r w:rsidRPr="00474E78">
        <w:t xml:space="preserve">Slovensko </w:t>
      </w:r>
      <w:r>
        <w:t>potenciálne najviac ohrozenou ekonomikou EÚ, keďže export automobilov dosahuje až 1,7 % HDP Slovenska</w:t>
      </w:r>
      <w:r w:rsidRPr="00474E78">
        <w:t>.</w:t>
      </w:r>
      <w:r>
        <w:t xml:space="preserve"> Relatívne významné sú aj nepriame vplyvy vzhľadom na to, že druhou a treťou najviac vystavenou krajinou sú Nemecko a Maďarsko. Obe sú najdôležitejšími obchodnými partnermi Slovenska, s ktorými spolupracujeme v rámci toho istého automobilového klastra.</w:t>
      </w:r>
      <w:r w:rsidRPr="00474E78">
        <w:t xml:space="preserve"> </w:t>
      </w:r>
      <w:r>
        <w:t>V modeli simulujeme nielen šok do zahraničného dopytu, ale aj pokles výmenného kurzu EUR/USD, a to v podobnom rozsahu aký zaznamenali trhy pri prvom oznámení o možnom zavedení ciel. Modelujeme tiež predĺženie obdobia súčasných nižších sadzieb o dobu štyroch štvrťrokov.</w:t>
      </w:r>
    </w:p>
    <w:p w14:paraId="05B684A3" w14:textId="77777777" w:rsidR="00BD53AF" w:rsidRPr="000D1A09" w:rsidRDefault="00BD53AF" w:rsidP="00BD53AF">
      <w:pPr>
        <w:autoSpaceDE w:val="0"/>
        <w:autoSpaceDN w:val="0"/>
        <w:adjustRightInd w:val="0"/>
        <w:spacing w:after="240"/>
        <w:jc w:val="both"/>
        <w:rPr>
          <w:b/>
          <w:highlight w:val="yellow"/>
        </w:rPr>
      </w:pPr>
      <w:r w:rsidRPr="00BD6EAA">
        <w:rPr>
          <w:rFonts w:cs="Arial Narrow"/>
          <w:b/>
        </w:rPr>
        <w:t>Zvýšenie amerických ciel na automobily má potenciál v dlhodobom horizonte znížiť</w:t>
      </w:r>
      <w:r>
        <w:rPr>
          <w:rFonts w:cs="Arial Narrow"/>
          <w:b/>
        </w:rPr>
        <w:t xml:space="preserve"> kumulatívne HDP Slovenska o 0,5</w:t>
      </w:r>
      <w:r w:rsidRPr="00BD6EAA">
        <w:rPr>
          <w:rFonts w:cs="Arial Narrow"/>
          <w:b/>
        </w:rPr>
        <w:t xml:space="preserve"> </w:t>
      </w:r>
      <w:r>
        <w:rPr>
          <w:rFonts w:cs="Arial Narrow"/>
          <w:b/>
        </w:rPr>
        <w:t>p. b</w:t>
      </w:r>
      <w:r w:rsidRPr="00BD6EAA">
        <w:rPr>
          <w:rFonts w:cs="Arial Narrow"/>
        </w:rPr>
        <w:t xml:space="preserve">. </w:t>
      </w:r>
      <w:r>
        <w:rPr>
          <w:rFonts w:cs="Arial Narrow"/>
        </w:rPr>
        <w:t xml:space="preserve">Krátkodobo ekonomika zažije ekonomický šok vzhľadom na vybudované distribučné kanály pri exporte automobilov, ktoré sa menia relatívne ťažko. Na druhej strane ide o autá s vysokou ziskovou maržou, ktorá má v prípade potreby priestor na znižovanie. Navyše pokles kurzu eura pomôže európskym exportérom. V dlhšom horizonte je možné očakávať aj prispôsobenie domácej výroby pre alternatívne trhy v Európe alebo Ázii. Pokles exportu a produkcie v automobilovom priemysle bude sprevádzaný aj miernym poklesom miezd a stagnáciou trhu práce, čo sa odzrkadlí aj na nižšej domácej spotrebe, resp. cenovej hladine. </w:t>
      </w:r>
      <w:r w:rsidRPr="00E617F3">
        <w:t xml:space="preserve">Zníženie ekonomickej aktivity, pomalší rast cien ako aj vyššia miera nezamestnanosti by viedli </w:t>
      </w:r>
      <w:r w:rsidRPr="00A30CB2">
        <w:rPr>
          <w:b/>
        </w:rPr>
        <w:t>k miernemu zhoršeniu salda verejnej správy</w:t>
      </w:r>
      <w:r>
        <w:rPr>
          <w:b/>
        </w:rPr>
        <w:t xml:space="preserve"> o 0,1 % HDP</w:t>
      </w:r>
      <w:r w:rsidRPr="00A30CB2">
        <w:rPr>
          <w:b/>
        </w:rPr>
        <w:t>.</w:t>
      </w:r>
      <w:r>
        <w:t xml:space="preserve"> Vplyv na saldo verejnej správy je </w:t>
      </w:r>
      <w:r w:rsidRPr="00616696">
        <w:t xml:space="preserve">relatívne </w:t>
      </w:r>
      <w:r>
        <w:t>mierny</w:t>
      </w:r>
      <w:r w:rsidRPr="00616696">
        <w:t xml:space="preserve"> najmä preto, že ekonomické spomalenie sa týka najmä exportu, ktorý nemá výrazný vplyv na daňové základne.</w:t>
      </w:r>
      <w:r w:rsidRPr="00616696">
        <w:rPr>
          <w:rFonts w:cs="Arial Narrow"/>
        </w:rPr>
        <w:t xml:space="preserve"> </w:t>
      </w:r>
      <w:r w:rsidRPr="00616696">
        <w:rPr>
          <w:b/>
        </w:rPr>
        <w:t>Hrubý dlh VS by bol oproti základnej prognóze do roku 2022 vyšší o 0,6 p.</w:t>
      </w:r>
      <w:r>
        <w:rPr>
          <w:b/>
        </w:rPr>
        <w:t xml:space="preserve"> </w:t>
      </w:r>
      <w:r w:rsidRPr="00616696">
        <w:rPr>
          <w:b/>
        </w:rPr>
        <w:t>b..</w:t>
      </w:r>
    </w:p>
    <w:tbl>
      <w:tblPr>
        <w:tblW w:w="9072" w:type="dxa"/>
        <w:tblLook w:val="04A0" w:firstRow="1" w:lastRow="0" w:firstColumn="1" w:lastColumn="0" w:noHBand="0" w:noVBand="1"/>
      </w:tblPr>
      <w:tblGrid>
        <w:gridCol w:w="545"/>
        <w:gridCol w:w="1156"/>
        <w:gridCol w:w="851"/>
        <w:gridCol w:w="1276"/>
        <w:gridCol w:w="1134"/>
        <w:gridCol w:w="1134"/>
        <w:gridCol w:w="992"/>
        <w:gridCol w:w="850"/>
        <w:gridCol w:w="1134"/>
      </w:tblGrid>
      <w:tr w:rsidR="00BD53AF" w:rsidRPr="000D1A09" w14:paraId="3003748C" w14:textId="77777777" w:rsidTr="00387AE5">
        <w:trPr>
          <w:trHeight w:val="245"/>
        </w:trPr>
        <w:tc>
          <w:tcPr>
            <w:tcW w:w="9072" w:type="dxa"/>
            <w:gridSpan w:val="9"/>
            <w:tcBorders>
              <w:top w:val="nil"/>
              <w:left w:val="nil"/>
              <w:bottom w:val="single" w:sz="8" w:space="0" w:color="auto"/>
              <w:right w:val="nil"/>
            </w:tcBorders>
            <w:shd w:val="clear" w:color="auto" w:fill="auto"/>
            <w:noWrap/>
            <w:vAlign w:val="center"/>
            <w:hideMark/>
          </w:tcPr>
          <w:p w14:paraId="460B0674" w14:textId="69A80F69" w:rsidR="00BD53AF" w:rsidRPr="00D472F2" w:rsidRDefault="00BD53AF" w:rsidP="00387AE5">
            <w:pPr>
              <w:pStyle w:val="Nadpis3"/>
              <w:rPr>
                <w:rFonts w:cs="Book Antiqua"/>
                <w:b w:val="0"/>
                <w:bCs w:val="0"/>
                <w:color w:val="1F497D" w:themeColor="text2"/>
                <w:sz w:val="18"/>
                <w:szCs w:val="18"/>
              </w:rPr>
            </w:pPr>
            <w:bookmarkStart w:id="172" w:name="_Toc6314213"/>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14</w:t>
            </w:r>
            <w:r w:rsidRPr="00BE4732">
              <w:rPr>
                <w:rFonts w:eastAsiaTheme="minorHAnsi"/>
                <w:color w:val="2C9ADC" w:themeColor="accent1"/>
                <w:lang w:eastAsia="en-US"/>
              </w:rPr>
              <w:fldChar w:fldCharType="end"/>
            </w:r>
            <w:r w:rsidRPr="00D472F2">
              <w:rPr>
                <w:rFonts w:eastAsiaTheme="minorHAnsi"/>
                <w:color w:val="2C9ADC"/>
                <w:lang w:eastAsia="en-US"/>
              </w:rPr>
              <w:t xml:space="preserve"> - Scenár 3: Zvýšenie amerických ciel na európske automobily na 25 %</w:t>
            </w:r>
            <w:bookmarkEnd w:id="172"/>
            <w:r w:rsidRPr="00D472F2">
              <w:rPr>
                <w:rFonts w:eastAsiaTheme="minorHAnsi"/>
                <w:color w:val="2C9ADC"/>
                <w:lang w:eastAsia="en-US"/>
              </w:rPr>
              <w:t xml:space="preserve"> </w:t>
            </w:r>
          </w:p>
        </w:tc>
      </w:tr>
      <w:tr w:rsidR="00BD53AF" w:rsidRPr="000D1A09" w14:paraId="43CE6488" w14:textId="77777777" w:rsidTr="00387AE5">
        <w:trPr>
          <w:trHeight w:val="245"/>
        </w:trPr>
        <w:tc>
          <w:tcPr>
            <w:tcW w:w="9072" w:type="dxa"/>
            <w:gridSpan w:val="9"/>
            <w:tcBorders>
              <w:top w:val="single" w:sz="8" w:space="0" w:color="auto"/>
              <w:left w:val="nil"/>
              <w:bottom w:val="single" w:sz="8" w:space="0" w:color="auto"/>
              <w:right w:val="nil"/>
            </w:tcBorders>
            <w:shd w:val="clear" w:color="auto" w:fill="auto"/>
            <w:noWrap/>
            <w:vAlign w:val="center"/>
            <w:hideMark/>
          </w:tcPr>
          <w:p w14:paraId="0F9AE1A0" w14:textId="77777777" w:rsidR="00BD53AF" w:rsidRPr="00D472F2" w:rsidRDefault="00BD53AF" w:rsidP="00387AE5">
            <w:pPr>
              <w:rPr>
                <w:rFonts w:cs="Times New Roman"/>
                <w:color w:val="000000"/>
                <w:sz w:val="16"/>
                <w:szCs w:val="16"/>
                <w:lang w:eastAsia="en-US"/>
              </w:rPr>
            </w:pPr>
            <w:r w:rsidRPr="00D472F2">
              <w:rPr>
                <w:rFonts w:cs="Times New Roman"/>
                <w:color w:val="000000"/>
                <w:sz w:val="16"/>
                <w:szCs w:val="16"/>
                <w:lang w:eastAsia="en-US"/>
              </w:rPr>
              <w:t>Kumulatívna zmena hodnoty jednotlivých premenných oproti základnému scenáru je v p. b.</w:t>
            </w:r>
          </w:p>
        </w:tc>
      </w:tr>
      <w:tr w:rsidR="00BD53AF" w:rsidRPr="000D1A09" w14:paraId="7EBB9337" w14:textId="77777777" w:rsidTr="00387AE5">
        <w:trPr>
          <w:trHeight w:val="233"/>
        </w:trPr>
        <w:tc>
          <w:tcPr>
            <w:tcW w:w="545" w:type="dxa"/>
            <w:vMerge w:val="restart"/>
            <w:tcBorders>
              <w:top w:val="nil"/>
              <w:left w:val="nil"/>
              <w:bottom w:val="single" w:sz="12" w:space="0" w:color="000000"/>
              <w:right w:val="nil"/>
            </w:tcBorders>
            <w:shd w:val="clear" w:color="auto" w:fill="auto"/>
            <w:noWrap/>
            <w:vAlign w:val="center"/>
            <w:hideMark/>
          </w:tcPr>
          <w:p w14:paraId="5FF39217" w14:textId="77777777" w:rsidR="00BD53AF" w:rsidRDefault="00BD53AF" w:rsidP="00387AE5">
            <w:pPr>
              <w:rPr>
                <w:rFonts w:ascii="Times New Roman" w:hAnsi="Times New Roman" w:cs="Times New Roman"/>
                <w:lang w:eastAsia="en-US"/>
              </w:rPr>
            </w:pPr>
          </w:p>
        </w:tc>
        <w:tc>
          <w:tcPr>
            <w:tcW w:w="1156" w:type="dxa"/>
            <w:vMerge w:val="restart"/>
            <w:tcBorders>
              <w:top w:val="nil"/>
              <w:left w:val="nil"/>
              <w:bottom w:val="single" w:sz="12" w:space="0" w:color="000000"/>
              <w:right w:val="nil"/>
            </w:tcBorders>
            <w:shd w:val="clear" w:color="auto" w:fill="auto"/>
            <w:vAlign w:val="center"/>
            <w:hideMark/>
          </w:tcPr>
          <w:p w14:paraId="1E3870A6" w14:textId="77777777" w:rsidR="00BD53AF" w:rsidRDefault="00BD53AF" w:rsidP="00387AE5">
            <w:pPr>
              <w:jc w:val="center"/>
              <w:rPr>
                <w:rFonts w:cs="Arial"/>
                <w:b/>
                <w:bCs/>
                <w:color w:val="000000"/>
                <w:sz w:val="16"/>
                <w:szCs w:val="16"/>
                <w:lang w:eastAsia="en-US"/>
              </w:rPr>
            </w:pPr>
            <w:r>
              <w:rPr>
                <w:rFonts w:cs="Arial"/>
                <w:b/>
                <w:bCs/>
                <w:color w:val="000000"/>
                <w:sz w:val="16"/>
                <w:szCs w:val="16"/>
              </w:rPr>
              <w:t>HDP (reálne)</w:t>
            </w:r>
          </w:p>
        </w:tc>
        <w:tc>
          <w:tcPr>
            <w:tcW w:w="851" w:type="dxa"/>
            <w:vMerge w:val="restart"/>
            <w:tcBorders>
              <w:top w:val="nil"/>
              <w:left w:val="nil"/>
              <w:bottom w:val="single" w:sz="12" w:space="0" w:color="000000"/>
              <w:right w:val="nil"/>
            </w:tcBorders>
            <w:shd w:val="clear" w:color="auto" w:fill="auto"/>
            <w:vAlign w:val="center"/>
            <w:hideMark/>
          </w:tcPr>
          <w:p w14:paraId="7646402E" w14:textId="77777777" w:rsidR="00BD53AF" w:rsidRDefault="00BD53AF" w:rsidP="00387AE5">
            <w:pPr>
              <w:jc w:val="center"/>
              <w:rPr>
                <w:rFonts w:cs="Arial"/>
                <w:b/>
                <w:bCs/>
                <w:color w:val="000000"/>
                <w:sz w:val="16"/>
                <w:szCs w:val="16"/>
              </w:rPr>
            </w:pPr>
            <w:r>
              <w:rPr>
                <w:rFonts w:cs="Arial"/>
                <w:b/>
                <w:bCs/>
                <w:color w:val="000000"/>
                <w:sz w:val="16"/>
                <w:szCs w:val="16"/>
              </w:rPr>
              <w:t>CPI</w:t>
            </w:r>
          </w:p>
        </w:tc>
        <w:tc>
          <w:tcPr>
            <w:tcW w:w="1276" w:type="dxa"/>
            <w:vMerge w:val="restart"/>
            <w:tcBorders>
              <w:top w:val="nil"/>
              <w:left w:val="nil"/>
              <w:bottom w:val="single" w:sz="12" w:space="0" w:color="000000"/>
              <w:right w:val="nil"/>
            </w:tcBorders>
            <w:shd w:val="clear" w:color="auto" w:fill="auto"/>
            <w:vAlign w:val="center"/>
            <w:hideMark/>
          </w:tcPr>
          <w:p w14:paraId="0019278A" w14:textId="77777777" w:rsidR="00BD53AF" w:rsidRDefault="00BD53AF" w:rsidP="00387AE5">
            <w:pPr>
              <w:jc w:val="center"/>
              <w:rPr>
                <w:rFonts w:cs="Arial"/>
                <w:b/>
                <w:bCs/>
                <w:color w:val="000000"/>
                <w:sz w:val="16"/>
                <w:szCs w:val="16"/>
              </w:rPr>
            </w:pPr>
            <w:r>
              <w:rPr>
                <w:rFonts w:cs="Arial"/>
                <w:b/>
                <w:bCs/>
                <w:color w:val="000000"/>
                <w:sz w:val="16"/>
                <w:szCs w:val="16"/>
              </w:rPr>
              <w:t>Spotreba dom. (reálna)</w:t>
            </w:r>
          </w:p>
        </w:tc>
        <w:tc>
          <w:tcPr>
            <w:tcW w:w="1134" w:type="dxa"/>
            <w:vMerge w:val="restart"/>
            <w:tcBorders>
              <w:top w:val="nil"/>
              <w:left w:val="nil"/>
              <w:bottom w:val="single" w:sz="12" w:space="0" w:color="000000"/>
              <w:right w:val="nil"/>
            </w:tcBorders>
            <w:shd w:val="clear" w:color="auto" w:fill="auto"/>
            <w:vAlign w:val="center"/>
            <w:hideMark/>
          </w:tcPr>
          <w:p w14:paraId="600E924D" w14:textId="77777777" w:rsidR="00BD53AF" w:rsidRDefault="00BD53AF" w:rsidP="00387AE5">
            <w:pPr>
              <w:jc w:val="center"/>
              <w:rPr>
                <w:rFonts w:cs="Arial"/>
                <w:b/>
                <w:bCs/>
                <w:color w:val="000000"/>
                <w:sz w:val="16"/>
                <w:szCs w:val="16"/>
              </w:rPr>
            </w:pPr>
            <w:r>
              <w:rPr>
                <w:rFonts w:cs="Arial"/>
                <w:b/>
                <w:bCs/>
                <w:color w:val="000000"/>
                <w:sz w:val="16"/>
                <w:szCs w:val="16"/>
              </w:rPr>
              <w:t>Export (reálny)</w:t>
            </w:r>
          </w:p>
        </w:tc>
        <w:tc>
          <w:tcPr>
            <w:tcW w:w="1134" w:type="dxa"/>
            <w:vMerge w:val="restart"/>
            <w:tcBorders>
              <w:top w:val="nil"/>
              <w:left w:val="nil"/>
              <w:bottom w:val="single" w:sz="12" w:space="0" w:color="000000"/>
              <w:right w:val="nil"/>
            </w:tcBorders>
            <w:shd w:val="clear" w:color="auto" w:fill="auto"/>
            <w:vAlign w:val="center"/>
            <w:hideMark/>
          </w:tcPr>
          <w:p w14:paraId="2A0F8485" w14:textId="77777777" w:rsidR="00BD53AF" w:rsidRDefault="00BD53AF" w:rsidP="00387AE5">
            <w:pPr>
              <w:jc w:val="center"/>
              <w:rPr>
                <w:rFonts w:cs="Arial"/>
                <w:b/>
                <w:bCs/>
                <w:color w:val="000000"/>
                <w:sz w:val="16"/>
                <w:szCs w:val="16"/>
              </w:rPr>
            </w:pPr>
            <w:r>
              <w:rPr>
                <w:rFonts w:cs="Arial"/>
                <w:b/>
                <w:bCs/>
                <w:color w:val="000000"/>
                <w:sz w:val="16"/>
                <w:szCs w:val="16"/>
              </w:rPr>
              <w:t>Zamestnanosť</w:t>
            </w:r>
          </w:p>
        </w:tc>
        <w:tc>
          <w:tcPr>
            <w:tcW w:w="992" w:type="dxa"/>
            <w:vMerge w:val="restart"/>
            <w:tcBorders>
              <w:top w:val="nil"/>
              <w:left w:val="nil"/>
              <w:bottom w:val="single" w:sz="12" w:space="0" w:color="000000"/>
              <w:right w:val="nil"/>
            </w:tcBorders>
            <w:shd w:val="clear" w:color="auto" w:fill="auto"/>
            <w:vAlign w:val="center"/>
            <w:hideMark/>
          </w:tcPr>
          <w:p w14:paraId="305B9CB0" w14:textId="77777777" w:rsidR="00BD53AF" w:rsidRDefault="00BD53AF" w:rsidP="00387AE5">
            <w:pPr>
              <w:jc w:val="center"/>
              <w:rPr>
                <w:rFonts w:cs="Arial"/>
                <w:b/>
                <w:bCs/>
                <w:color w:val="000000"/>
                <w:sz w:val="16"/>
                <w:szCs w:val="16"/>
              </w:rPr>
            </w:pPr>
            <w:r>
              <w:rPr>
                <w:rFonts w:cs="Arial"/>
                <w:b/>
                <w:bCs/>
                <w:color w:val="000000"/>
                <w:sz w:val="16"/>
                <w:szCs w:val="16"/>
              </w:rPr>
              <w:t>Mzdy (nominálne)</w:t>
            </w:r>
          </w:p>
        </w:tc>
        <w:tc>
          <w:tcPr>
            <w:tcW w:w="850" w:type="dxa"/>
            <w:tcBorders>
              <w:top w:val="nil"/>
              <w:left w:val="nil"/>
              <w:bottom w:val="nil"/>
              <w:right w:val="nil"/>
            </w:tcBorders>
            <w:shd w:val="clear" w:color="auto" w:fill="auto"/>
            <w:vAlign w:val="center"/>
            <w:hideMark/>
          </w:tcPr>
          <w:p w14:paraId="4596D285" w14:textId="77777777" w:rsidR="00BD53AF" w:rsidRPr="009133AA" w:rsidRDefault="00BD53AF" w:rsidP="00387AE5">
            <w:pPr>
              <w:jc w:val="center"/>
              <w:rPr>
                <w:rFonts w:cs="Arial"/>
                <w:b/>
                <w:bCs/>
                <w:color w:val="000000"/>
                <w:sz w:val="16"/>
                <w:szCs w:val="16"/>
              </w:rPr>
            </w:pPr>
            <w:r w:rsidRPr="009133AA">
              <w:rPr>
                <w:rFonts w:cs="Arial"/>
                <w:b/>
                <w:bCs/>
                <w:color w:val="000000"/>
                <w:sz w:val="16"/>
                <w:szCs w:val="16"/>
              </w:rPr>
              <w:t>Saldo VS</w:t>
            </w:r>
          </w:p>
        </w:tc>
        <w:tc>
          <w:tcPr>
            <w:tcW w:w="1134" w:type="dxa"/>
            <w:tcBorders>
              <w:top w:val="nil"/>
              <w:left w:val="nil"/>
              <w:bottom w:val="nil"/>
              <w:right w:val="nil"/>
            </w:tcBorders>
            <w:shd w:val="clear" w:color="auto" w:fill="auto"/>
            <w:vAlign w:val="center"/>
            <w:hideMark/>
          </w:tcPr>
          <w:p w14:paraId="46171634" w14:textId="77777777" w:rsidR="00BD53AF" w:rsidRPr="00616696" w:rsidRDefault="00BD53AF" w:rsidP="00387AE5">
            <w:pPr>
              <w:jc w:val="center"/>
              <w:rPr>
                <w:rFonts w:cs="Arial"/>
                <w:b/>
                <w:bCs/>
                <w:color w:val="000000"/>
                <w:sz w:val="16"/>
                <w:szCs w:val="16"/>
              </w:rPr>
            </w:pPr>
            <w:r w:rsidRPr="00616696">
              <w:rPr>
                <w:rFonts w:cs="Arial"/>
                <w:b/>
                <w:bCs/>
                <w:color w:val="000000"/>
                <w:sz w:val="16"/>
                <w:szCs w:val="16"/>
              </w:rPr>
              <w:t>Dlh VS</w:t>
            </w:r>
          </w:p>
        </w:tc>
      </w:tr>
      <w:tr w:rsidR="00BD53AF" w:rsidRPr="000D1A09" w14:paraId="700024FC" w14:textId="77777777" w:rsidTr="00387AE5">
        <w:trPr>
          <w:trHeight w:val="245"/>
        </w:trPr>
        <w:tc>
          <w:tcPr>
            <w:tcW w:w="545" w:type="dxa"/>
            <w:vMerge/>
            <w:tcBorders>
              <w:top w:val="nil"/>
              <w:left w:val="nil"/>
              <w:bottom w:val="single" w:sz="12" w:space="0" w:color="000000"/>
              <w:right w:val="nil"/>
            </w:tcBorders>
            <w:vAlign w:val="center"/>
            <w:hideMark/>
          </w:tcPr>
          <w:p w14:paraId="7D0BAC5F" w14:textId="77777777" w:rsidR="00BD53AF" w:rsidRPr="000D1A09" w:rsidRDefault="00BD53AF" w:rsidP="00387AE5">
            <w:pPr>
              <w:rPr>
                <w:rFonts w:cs="Times New Roman"/>
                <w:color w:val="000000"/>
                <w:sz w:val="16"/>
                <w:szCs w:val="16"/>
                <w:highlight w:val="yellow"/>
                <w:lang w:eastAsia="en-US"/>
              </w:rPr>
            </w:pPr>
          </w:p>
        </w:tc>
        <w:tc>
          <w:tcPr>
            <w:tcW w:w="1156" w:type="dxa"/>
            <w:vMerge/>
            <w:tcBorders>
              <w:top w:val="nil"/>
              <w:left w:val="nil"/>
              <w:bottom w:val="single" w:sz="12" w:space="0" w:color="000000"/>
              <w:right w:val="nil"/>
            </w:tcBorders>
            <w:vAlign w:val="center"/>
            <w:hideMark/>
          </w:tcPr>
          <w:p w14:paraId="43E0C168" w14:textId="77777777" w:rsidR="00BD53AF" w:rsidRPr="000D1A09" w:rsidRDefault="00BD53AF" w:rsidP="00387AE5">
            <w:pPr>
              <w:rPr>
                <w:rFonts w:cs="Times New Roman"/>
                <w:b/>
                <w:bCs/>
                <w:color w:val="000000"/>
                <w:sz w:val="16"/>
                <w:szCs w:val="16"/>
                <w:highlight w:val="yellow"/>
                <w:lang w:eastAsia="en-US"/>
              </w:rPr>
            </w:pPr>
          </w:p>
        </w:tc>
        <w:tc>
          <w:tcPr>
            <w:tcW w:w="851" w:type="dxa"/>
            <w:vMerge/>
            <w:tcBorders>
              <w:top w:val="nil"/>
              <w:left w:val="nil"/>
              <w:bottom w:val="single" w:sz="12" w:space="0" w:color="000000"/>
              <w:right w:val="nil"/>
            </w:tcBorders>
            <w:vAlign w:val="center"/>
            <w:hideMark/>
          </w:tcPr>
          <w:p w14:paraId="2068873A" w14:textId="77777777" w:rsidR="00BD53AF" w:rsidRPr="000D1A09" w:rsidRDefault="00BD53AF" w:rsidP="00387AE5">
            <w:pPr>
              <w:rPr>
                <w:rFonts w:cs="Times New Roman"/>
                <w:b/>
                <w:bCs/>
                <w:color w:val="000000"/>
                <w:sz w:val="16"/>
                <w:szCs w:val="16"/>
                <w:highlight w:val="yellow"/>
                <w:lang w:eastAsia="en-US"/>
              </w:rPr>
            </w:pPr>
          </w:p>
        </w:tc>
        <w:tc>
          <w:tcPr>
            <w:tcW w:w="1276" w:type="dxa"/>
            <w:vMerge/>
            <w:tcBorders>
              <w:top w:val="nil"/>
              <w:left w:val="nil"/>
              <w:bottom w:val="single" w:sz="12" w:space="0" w:color="000000"/>
              <w:right w:val="nil"/>
            </w:tcBorders>
            <w:vAlign w:val="center"/>
            <w:hideMark/>
          </w:tcPr>
          <w:p w14:paraId="65188ABE" w14:textId="77777777" w:rsidR="00BD53AF" w:rsidRPr="000D1A09" w:rsidRDefault="00BD53AF" w:rsidP="00387AE5">
            <w:pPr>
              <w:rPr>
                <w:rFonts w:cs="Times New Roman"/>
                <w:b/>
                <w:bCs/>
                <w:color w:val="000000"/>
                <w:sz w:val="16"/>
                <w:szCs w:val="16"/>
                <w:highlight w:val="yellow"/>
                <w:lang w:eastAsia="en-US"/>
              </w:rPr>
            </w:pPr>
          </w:p>
        </w:tc>
        <w:tc>
          <w:tcPr>
            <w:tcW w:w="1134" w:type="dxa"/>
            <w:vMerge/>
            <w:tcBorders>
              <w:top w:val="nil"/>
              <w:left w:val="nil"/>
              <w:bottom w:val="single" w:sz="12" w:space="0" w:color="000000"/>
              <w:right w:val="nil"/>
            </w:tcBorders>
            <w:vAlign w:val="center"/>
            <w:hideMark/>
          </w:tcPr>
          <w:p w14:paraId="798F9095" w14:textId="77777777" w:rsidR="00BD53AF" w:rsidRPr="000D1A09" w:rsidRDefault="00BD53AF" w:rsidP="00387AE5">
            <w:pPr>
              <w:rPr>
                <w:rFonts w:cs="Times New Roman"/>
                <w:b/>
                <w:bCs/>
                <w:color w:val="000000"/>
                <w:sz w:val="16"/>
                <w:szCs w:val="16"/>
                <w:highlight w:val="yellow"/>
                <w:lang w:eastAsia="en-US"/>
              </w:rPr>
            </w:pPr>
          </w:p>
        </w:tc>
        <w:tc>
          <w:tcPr>
            <w:tcW w:w="1134" w:type="dxa"/>
            <w:vMerge/>
            <w:tcBorders>
              <w:top w:val="nil"/>
              <w:left w:val="nil"/>
              <w:bottom w:val="single" w:sz="12" w:space="0" w:color="000000"/>
              <w:right w:val="nil"/>
            </w:tcBorders>
            <w:vAlign w:val="center"/>
            <w:hideMark/>
          </w:tcPr>
          <w:p w14:paraId="13AAA41C" w14:textId="77777777" w:rsidR="00BD53AF" w:rsidRPr="000D1A09" w:rsidRDefault="00BD53AF" w:rsidP="00387AE5">
            <w:pPr>
              <w:rPr>
                <w:rFonts w:cs="Times New Roman"/>
                <w:b/>
                <w:bCs/>
                <w:color w:val="000000"/>
                <w:sz w:val="16"/>
                <w:szCs w:val="16"/>
                <w:highlight w:val="yellow"/>
                <w:lang w:eastAsia="en-US"/>
              </w:rPr>
            </w:pPr>
          </w:p>
        </w:tc>
        <w:tc>
          <w:tcPr>
            <w:tcW w:w="992" w:type="dxa"/>
            <w:vMerge/>
            <w:tcBorders>
              <w:top w:val="nil"/>
              <w:left w:val="nil"/>
              <w:bottom w:val="single" w:sz="12" w:space="0" w:color="000000"/>
              <w:right w:val="nil"/>
            </w:tcBorders>
            <w:vAlign w:val="center"/>
            <w:hideMark/>
          </w:tcPr>
          <w:p w14:paraId="146682F1" w14:textId="77777777" w:rsidR="00BD53AF" w:rsidRPr="000D1A09" w:rsidRDefault="00BD53AF" w:rsidP="00387AE5">
            <w:pPr>
              <w:rPr>
                <w:rFonts w:cs="Times New Roman"/>
                <w:b/>
                <w:bCs/>
                <w:color w:val="000000"/>
                <w:sz w:val="16"/>
                <w:szCs w:val="16"/>
                <w:highlight w:val="yellow"/>
                <w:lang w:eastAsia="en-US"/>
              </w:rPr>
            </w:pPr>
          </w:p>
        </w:tc>
        <w:tc>
          <w:tcPr>
            <w:tcW w:w="850" w:type="dxa"/>
            <w:tcBorders>
              <w:top w:val="nil"/>
              <w:left w:val="nil"/>
              <w:bottom w:val="single" w:sz="12" w:space="0" w:color="auto"/>
              <w:right w:val="nil"/>
            </w:tcBorders>
            <w:shd w:val="clear" w:color="auto" w:fill="auto"/>
            <w:vAlign w:val="center"/>
            <w:hideMark/>
          </w:tcPr>
          <w:p w14:paraId="3BBA16F1" w14:textId="77777777" w:rsidR="00BD53AF" w:rsidRPr="009133AA" w:rsidRDefault="00BD53AF" w:rsidP="00387AE5">
            <w:pPr>
              <w:jc w:val="center"/>
              <w:rPr>
                <w:rFonts w:cs="Times New Roman"/>
                <w:color w:val="000000"/>
                <w:sz w:val="16"/>
                <w:szCs w:val="16"/>
                <w:lang w:eastAsia="en-US"/>
              </w:rPr>
            </w:pPr>
            <w:r w:rsidRPr="009133AA">
              <w:rPr>
                <w:rFonts w:cs="Arial"/>
                <w:color w:val="000000"/>
                <w:sz w:val="16"/>
                <w:szCs w:val="16"/>
              </w:rPr>
              <w:t>(% HDP)</w:t>
            </w:r>
          </w:p>
        </w:tc>
        <w:tc>
          <w:tcPr>
            <w:tcW w:w="1134" w:type="dxa"/>
            <w:tcBorders>
              <w:top w:val="nil"/>
              <w:left w:val="nil"/>
              <w:bottom w:val="single" w:sz="12" w:space="0" w:color="auto"/>
              <w:right w:val="nil"/>
            </w:tcBorders>
            <w:shd w:val="clear" w:color="auto" w:fill="auto"/>
            <w:vAlign w:val="center"/>
            <w:hideMark/>
          </w:tcPr>
          <w:p w14:paraId="6D0EE8A6" w14:textId="77777777" w:rsidR="00BD53AF" w:rsidRPr="00616696" w:rsidRDefault="00BD53AF" w:rsidP="00387AE5">
            <w:pPr>
              <w:jc w:val="center"/>
              <w:rPr>
                <w:rFonts w:cs="Times New Roman"/>
                <w:color w:val="000000"/>
                <w:sz w:val="16"/>
                <w:szCs w:val="16"/>
                <w:lang w:eastAsia="en-US"/>
              </w:rPr>
            </w:pPr>
            <w:r w:rsidRPr="00616696">
              <w:rPr>
                <w:rFonts w:cs="Arial"/>
                <w:color w:val="000000"/>
                <w:sz w:val="16"/>
                <w:szCs w:val="16"/>
              </w:rPr>
              <w:t>(% HDP)</w:t>
            </w:r>
          </w:p>
        </w:tc>
      </w:tr>
      <w:tr w:rsidR="00BD53AF" w:rsidRPr="000D1A09" w14:paraId="57932CDE" w14:textId="77777777" w:rsidTr="00387AE5">
        <w:trPr>
          <w:trHeight w:val="245"/>
        </w:trPr>
        <w:tc>
          <w:tcPr>
            <w:tcW w:w="545" w:type="dxa"/>
            <w:tcBorders>
              <w:top w:val="nil"/>
              <w:left w:val="nil"/>
              <w:bottom w:val="nil"/>
              <w:right w:val="nil"/>
            </w:tcBorders>
            <w:shd w:val="clear" w:color="auto" w:fill="auto"/>
            <w:noWrap/>
            <w:vAlign w:val="center"/>
            <w:hideMark/>
          </w:tcPr>
          <w:p w14:paraId="5097BAFA" w14:textId="77777777" w:rsidR="00BD53AF" w:rsidRDefault="00BD53AF" w:rsidP="00387AE5">
            <w:pPr>
              <w:jc w:val="center"/>
              <w:rPr>
                <w:rFonts w:cs="Arial"/>
                <w:color w:val="000000"/>
                <w:sz w:val="16"/>
                <w:szCs w:val="16"/>
              </w:rPr>
            </w:pPr>
            <w:r>
              <w:rPr>
                <w:rFonts w:cs="Arial"/>
                <w:color w:val="000000"/>
                <w:sz w:val="16"/>
                <w:szCs w:val="16"/>
              </w:rPr>
              <w:t>2019</w:t>
            </w:r>
          </w:p>
        </w:tc>
        <w:tc>
          <w:tcPr>
            <w:tcW w:w="1156" w:type="dxa"/>
            <w:tcBorders>
              <w:top w:val="nil"/>
              <w:left w:val="nil"/>
              <w:bottom w:val="nil"/>
              <w:right w:val="nil"/>
            </w:tcBorders>
            <w:shd w:val="clear" w:color="auto" w:fill="auto"/>
            <w:noWrap/>
            <w:vAlign w:val="center"/>
            <w:hideMark/>
          </w:tcPr>
          <w:p w14:paraId="67ECE428" w14:textId="77777777" w:rsidR="00BD53AF" w:rsidRDefault="00BD53AF" w:rsidP="00387AE5">
            <w:pPr>
              <w:jc w:val="center"/>
              <w:rPr>
                <w:rFonts w:cs="Times New Roman"/>
                <w:color w:val="000000"/>
                <w:sz w:val="16"/>
                <w:szCs w:val="16"/>
                <w:lang w:eastAsia="en-US"/>
              </w:rPr>
            </w:pPr>
            <w:r>
              <w:rPr>
                <w:color w:val="000000"/>
                <w:sz w:val="16"/>
                <w:szCs w:val="16"/>
              </w:rPr>
              <w:t>-0,5</w:t>
            </w:r>
          </w:p>
        </w:tc>
        <w:tc>
          <w:tcPr>
            <w:tcW w:w="851" w:type="dxa"/>
            <w:tcBorders>
              <w:top w:val="nil"/>
              <w:left w:val="nil"/>
              <w:bottom w:val="nil"/>
              <w:right w:val="nil"/>
            </w:tcBorders>
            <w:shd w:val="clear" w:color="auto" w:fill="auto"/>
            <w:noWrap/>
            <w:vAlign w:val="center"/>
            <w:hideMark/>
          </w:tcPr>
          <w:p w14:paraId="05F9BC7C" w14:textId="77777777" w:rsidR="00BD53AF" w:rsidRDefault="00BD53AF" w:rsidP="00387AE5">
            <w:pPr>
              <w:jc w:val="center"/>
              <w:rPr>
                <w:color w:val="000000"/>
                <w:sz w:val="16"/>
                <w:szCs w:val="16"/>
              </w:rPr>
            </w:pPr>
            <w:r>
              <w:rPr>
                <w:color w:val="000000"/>
                <w:sz w:val="16"/>
                <w:szCs w:val="16"/>
              </w:rPr>
              <w:t>0,0</w:t>
            </w:r>
          </w:p>
        </w:tc>
        <w:tc>
          <w:tcPr>
            <w:tcW w:w="1276" w:type="dxa"/>
            <w:tcBorders>
              <w:top w:val="nil"/>
              <w:left w:val="nil"/>
              <w:bottom w:val="nil"/>
              <w:right w:val="nil"/>
            </w:tcBorders>
            <w:shd w:val="clear" w:color="auto" w:fill="auto"/>
            <w:noWrap/>
            <w:vAlign w:val="center"/>
            <w:hideMark/>
          </w:tcPr>
          <w:p w14:paraId="58C08E61" w14:textId="77777777" w:rsidR="00BD53AF" w:rsidRDefault="00BD53AF" w:rsidP="00387AE5">
            <w:pPr>
              <w:jc w:val="center"/>
              <w:rPr>
                <w:color w:val="000000"/>
                <w:sz w:val="16"/>
                <w:szCs w:val="16"/>
              </w:rPr>
            </w:pPr>
            <w:r>
              <w:rPr>
                <w:color w:val="000000"/>
                <w:sz w:val="16"/>
                <w:szCs w:val="16"/>
              </w:rPr>
              <w:t>-0,2</w:t>
            </w:r>
          </w:p>
        </w:tc>
        <w:tc>
          <w:tcPr>
            <w:tcW w:w="1134" w:type="dxa"/>
            <w:tcBorders>
              <w:top w:val="nil"/>
              <w:left w:val="nil"/>
              <w:bottom w:val="nil"/>
              <w:right w:val="nil"/>
            </w:tcBorders>
            <w:shd w:val="clear" w:color="auto" w:fill="auto"/>
            <w:noWrap/>
            <w:vAlign w:val="center"/>
            <w:hideMark/>
          </w:tcPr>
          <w:p w14:paraId="6E22F4F4" w14:textId="77777777" w:rsidR="00BD53AF" w:rsidRDefault="00BD53AF" w:rsidP="00387AE5">
            <w:pPr>
              <w:jc w:val="center"/>
              <w:rPr>
                <w:color w:val="000000"/>
                <w:sz w:val="16"/>
                <w:szCs w:val="16"/>
              </w:rPr>
            </w:pPr>
            <w:r>
              <w:rPr>
                <w:color w:val="000000"/>
                <w:sz w:val="16"/>
                <w:szCs w:val="16"/>
              </w:rPr>
              <w:t>-0,9</w:t>
            </w:r>
          </w:p>
        </w:tc>
        <w:tc>
          <w:tcPr>
            <w:tcW w:w="1134" w:type="dxa"/>
            <w:tcBorders>
              <w:top w:val="nil"/>
              <w:left w:val="nil"/>
              <w:bottom w:val="nil"/>
              <w:right w:val="nil"/>
            </w:tcBorders>
            <w:shd w:val="clear" w:color="auto" w:fill="auto"/>
            <w:noWrap/>
            <w:vAlign w:val="center"/>
            <w:hideMark/>
          </w:tcPr>
          <w:p w14:paraId="4E1C2D0D" w14:textId="77777777" w:rsidR="00BD53AF" w:rsidRDefault="00BD53AF" w:rsidP="00387AE5">
            <w:pPr>
              <w:jc w:val="center"/>
              <w:rPr>
                <w:color w:val="000000"/>
                <w:sz w:val="16"/>
                <w:szCs w:val="16"/>
              </w:rPr>
            </w:pPr>
            <w:r>
              <w:rPr>
                <w:color w:val="000000"/>
                <w:sz w:val="16"/>
                <w:szCs w:val="16"/>
              </w:rPr>
              <w:t>-0,1</w:t>
            </w:r>
          </w:p>
        </w:tc>
        <w:tc>
          <w:tcPr>
            <w:tcW w:w="992" w:type="dxa"/>
            <w:tcBorders>
              <w:top w:val="nil"/>
              <w:left w:val="nil"/>
              <w:bottom w:val="nil"/>
              <w:right w:val="nil"/>
            </w:tcBorders>
            <w:shd w:val="clear" w:color="auto" w:fill="auto"/>
            <w:noWrap/>
            <w:vAlign w:val="center"/>
            <w:hideMark/>
          </w:tcPr>
          <w:p w14:paraId="29F921AB" w14:textId="77777777" w:rsidR="00BD53AF" w:rsidRDefault="00BD53AF" w:rsidP="00387AE5">
            <w:pPr>
              <w:jc w:val="center"/>
              <w:rPr>
                <w:color w:val="000000"/>
                <w:sz w:val="16"/>
                <w:szCs w:val="16"/>
              </w:rPr>
            </w:pPr>
            <w:r>
              <w:rPr>
                <w:color w:val="000000"/>
                <w:sz w:val="16"/>
                <w:szCs w:val="16"/>
              </w:rPr>
              <w:t>-0,3</w:t>
            </w:r>
          </w:p>
        </w:tc>
        <w:tc>
          <w:tcPr>
            <w:tcW w:w="850" w:type="dxa"/>
            <w:tcBorders>
              <w:top w:val="nil"/>
              <w:left w:val="nil"/>
              <w:bottom w:val="nil"/>
              <w:right w:val="nil"/>
            </w:tcBorders>
            <w:shd w:val="clear" w:color="auto" w:fill="auto"/>
            <w:noWrap/>
            <w:vAlign w:val="center"/>
            <w:hideMark/>
          </w:tcPr>
          <w:p w14:paraId="558D5DB5" w14:textId="77777777" w:rsidR="00BD53AF" w:rsidRDefault="00BD53AF" w:rsidP="00387AE5">
            <w:pPr>
              <w:jc w:val="center"/>
              <w:rPr>
                <w:color w:val="000000"/>
                <w:sz w:val="16"/>
                <w:szCs w:val="16"/>
              </w:rPr>
            </w:pPr>
            <w:r>
              <w:rPr>
                <w:color w:val="000000"/>
                <w:sz w:val="16"/>
                <w:szCs w:val="16"/>
              </w:rPr>
              <w:t>-0,1</w:t>
            </w:r>
          </w:p>
        </w:tc>
        <w:tc>
          <w:tcPr>
            <w:tcW w:w="1134" w:type="dxa"/>
            <w:tcBorders>
              <w:top w:val="nil"/>
              <w:left w:val="nil"/>
              <w:bottom w:val="nil"/>
              <w:right w:val="nil"/>
            </w:tcBorders>
            <w:shd w:val="clear" w:color="auto" w:fill="auto"/>
            <w:vAlign w:val="center"/>
            <w:hideMark/>
          </w:tcPr>
          <w:p w14:paraId="2B50D8A0" w14:textId="77777777" w:rsidR="00BD53AF" w:rsidRPr="00616696" w:rsidRDefault="00BD53AF" w:rsidP="00387AE5">
            <w:pPr>
              <w:jc w:val="center"/>
              <w:rPr>
                <w:rFonts w:cs="Arial"/>
                <w:color w:val="000000"/>
                <w:sz w:val="16"/>
                <w:szCs w:val="16"/>
              </w:rPr>
            </w:pPr>
            <w:r w:rsidRPr="00616696">
              <w:rPr>
                <w:rFonts w:cs="Arial"/>
                <w:color w:val="000000"/>
                <w:sz w:val="16"/>
                <w:szCs w:val="16"/>
              </w:rPr>
              <w:t>0</w:t>
            </w:r>
            <w:r>
              <w:rPr>
                <w:rFonts w:cs="Arial"/>
                <w:color w:val="000000"/>
                <w:sz w:val="16"/>
                <w:szCs w:val="16"/>
              </w:rPr>
              <w:t>,</w:t>
            </w:r>
            <w:r w:rsidRPr="00616696">
              <w:rPr>
                <w:rFonts w:cs="Arial"/>
                <w:color w:val="000000"/>
                <w:sz w:val="16"/>
                <w:szCs w:val="16"/>
              </w:rPr>
              <w:t>3</w:t>
            </w:r>
          </w:p>
        </w:tc>
      </w:tr>
      <w:tr w:rsidR="00BD53AF" w:rsidRPr="000D1A09" w14:paraId="38939E99" w14:textId="77777777" w:rsidTr="00387AE5">
        <w:trPr>
          <w:trHeight w:val="233"/>
        </w:trPr>
        <w:tc>
          <w:tcPr>
            <w:tcW w:w="545" w:type="dxa"/>
            <w:tcBorders>
              <w:top w:val="nil"/>
              <w:left w:val="nil"/>
              <w:bottom w:val="nil"/>
              <w:right w:val="nil"/>
            </w:tcBorders>
            <w:shd w:val="clear" w:color="auto" w:fill="auto"/>
            <w:noWrap/>
            <w:vAlign w:val="center"/>
            <w:hideMark/>
          </w:tcPr>
          <w:p w14:paraId="442D2A13" w14:textId="77777777" w:rsidR="00BD53AF" w:rsidRDefault="00BD53AF" w:rsidP="00387AE5">
            <w:pPr>
              <w:jc w:val="center"/>
              <w:rPr>
                <w:rFonts w:cs="Arial"/>
                <w:color w:val="000000"/>
                <w:sz w:val="16"/>
                <w:szCs w:val="16"/>
              </w:rPr>
            </w:pPr>
            <w:r>
              <w:rPr>
                <w:rFonts w:cs="Arial"/>
                <w:color w:val="000000"/>
                <w:sz w:val="16"/>
                <w:szCs w:val="16"/>
              </w:rPr>
              <w:t>2020</w:t>
            </w:r>
          </w:p>
        </w:tc>
        <w:tc>
          <w:tcPr>
            <w:tcW w:w="1156" w:type="dxa"/>
            <w:tcBorders>
              <w:top w:val="nil"/>
              <w:left w:val="nil"/>
              <w:bottom w:val="nil"/>
              <w:right w:val="nil"/>
            </w:tcBorders>
            <w:shd w:val="clear" w:color="auto" w:fill="auto"/>
            <w:noWrap/>
            <w:vAlign w:val="center"/>
            <w:hideMark/>
          </w:tcPr>
          <w:p w14:paraId="13B3E42F" w14:textId="77777777" w:rsidR="00BD53AF" w:rsidRDefault="00BD53AF" w:rsidP="00387AE5">
            <w:pPr>
              <w:jc w:val="center"/>
              <w:rPr>
                <w:color w:val="000000"/>
                <w:sz w:val="16"/>
                <w:szCs w:val="16"/>
              </w:rPr>
            </w:pPr>
            <w:r>
              <w:rPr>
                <w:color w:val="000000"/>
                <w:sz w:val="16"/>
                <w:szCs w:val="16"/>
              </w:rPr>
              <w:t>-0,8</w:t>
            </w:r>
          </w:p>
        </w:tc>
        <w:tc>
          <w:tcPr>
            <w:tcW w:w="851" w:type="dxa"/>
            <w:tcBorders>
              <w:top w:val="nil"/>
              <w:left w:val="nil"/>
              <w:bottom w:val="nil"/>
              <w:right w:val="nil"/>
            </w:tcBorders>
            <w:shd w:val="clear" w:color="auto" w:fill="auto"/>
            <w:noWrap/>
            <w:vAlign w:val="center"/>
            <w:hideMark/>
          </w:tcPr>
          <w:p w14:paraId="7745AB46" w14:textId="77777777" w:rsidR="00BD53AF" w:rsidRDefault="00BD53AF" w:rsidP="00387AE5">
            <w:pPr>
              <w:jc w:val="center"/>
              <w:rPr>
                <w:color w:val="000000"/>
                <w:sz w:val="16"/>
                <w:szCs w:val="16"/>
              </w:rPr>
            </w:pPr>
            <w:r>
              <w:rPr>
                <w:color w:val="000000"/>
                <w:sz w:val="16"/>
                <w:szCs w:val="16"/>
              </w:rPr>
              <w:t>-0,1</w:t>
            </w:r>
          </w:p>
        </w:tc>
        <w:tc>
          <w:tcPr>
            <w:tcW w:w="1276" w:type="dxa"/>
            <w:tcBorders>
              <w:top w:val="nil"/>
              <w:left w:val="nil"/>
              <w:bottom w:val="nil"/>
              <w:right w:val="nil"/>
            </w:tcBorders>
            <w:shd w:val="clear" w:color="auto" w:fill="auto"/>
            <w:noWrap/>
            <w:vAlign w:val="center"/>
            <w:hideMark/>
          </w:tcPr>
          <w:p w14:paraId="46C89238" w14:textId="77777777" w:rsidR="00BD53AF" w:rsidRDefault="00BD53AF" w:rsidP="00387AE5">
            <w:pPr>
              <w:jc w:val="center"/>
              <w:rPr>
                <w:color w:val="000000"/>
                <w:sz w:val="16"/>
                <w:szCs w:val="16"/>
              </w:rPr>
            </w:pPr>
            <w:r>
              <w:rPr>
                <w:color w:val="000000"/>
                <w:sz w:val="16"/>
                <w:szCs w:val="16"/>
              </w:rPr>
              <w:t>-0,4</w:t>
            </w:r>
          </w:p>
        </w:tc>
        <w:tc>
          <w:tcPr>
            <w:tcW w:w="1134" w:type="dxa"/>
            <w:tcBorders>
              <w:top w:val="nil"/>
              <w:left w:val="nil"/>
              <w:bottom w:val="nil"/>
              <w:right w:val="nil"/>
            </w:tcBorders>
            <w:shd w:val="clear" w:color="auto" w:fill="auto"/>
            <w:noWrap/>
            <w:vAlign w:val="center"/>
            <w:hideMark/>
          </w:tcPr>
          <w:p w14:paraId="179E3681" w14:textId="77777777" w:rsidR="00BD53AF" w:rsidRDefault="00BD53AF" w:rsidP="00387AE5">
            <w:pPr>
              <w:jc w:val="center"/>
              <w:rPr>
                <w:color w:val="000000"/>
                <w:sz w:val="16"/>
                <w:szCs w:val="16"/>
              </w:rPr>
            </w:pPr>
            <w:r>
              <w:rPr>
                <w:color w:val="000000"/>
                <w:sz w:val="16"/>
                <w:szCs w:val="16"/>
              </w:rPr>
              <w:t>-1,6</w:t>
            </w:r>
          </w:p>
        </w:tc>
        <w:tc>
          <w:tcPr>
            <w:tcW w:w="1134" w:type="dxa"/>
            <w:tcBorders>
              <w:top w:val="nil"/>
              <w:left w:val="nil"/>
              <w:bottom w:val="nil"/>
              <w:right w:val="nil"/>
            </w:tcBorders>
            <w:shd w:val="clear" w:color="auto" w:fill="auto"/>
            <w:noWrap/>
            <w:vAlign w:val="center"/>
            <w:hideMark/>
          </w:tcPr>
          <w:p w14:paraId="2B9DA345" w14:textId="77777777" w:rsidR="00BD53AF" w:rsidRDefault="00BD53AF" w:rsidP="00387AE5">
            <w:pPr>
              <w:jc w:val="center"/>
              <w:rPr>
                <w:color w:val="000000"/>
                <w:sz w:val="16"/>
                <w:szCs w:val="16"/>
              </w:rPr>
            </w:pPr>
            <w:r>
              <w:rPr>
                <w:color w:val="000000"/>
                <w:sz w:val="16"/>
                <w:szCs w:val="16"/>
              </w:rPr>
              <w:t>-0,2</w:t>
            </w:r>
          </w:p>
        </w:tc>
        <w:tc>
          <w:tcPr>
            <w:tcW w:w="992" w:type="dxa"/>
            <w:tcBorders>
              <w:top w:val="nil"/>
              <w:left w:val="nil"/>
              <w:bottom w:val="nil"/>
              <w:right w:val="nil"/>
            </w:tcBorders>
            <w:shd w:val="clear" w:color="auto" w:fill="auto"/>
            <w:noWrap/>
            <w:vAlign w:val="center"/>
            <w:hideMark/>
          </w:tcPr>
          <w:p w14:paraId="598D4E94" w14:textId="77777777" w:rsidR="00BD53AF" w:rsidRDefault="00BD53AF" w:rsidP="00387AE5">
            <w:pPr>
              <w:jc w:val="center"/>
              <w:rPr>
                <w:color w:val="000000"/>
                <w:sz w:val="16"/>
                <w:szCs w:val="16"/>
              </w:rPr>
            </w:pPr>
            <w:r>
              <w:rPr>
                <w:color w:val="000000"/>
                <w:sz w:val="16"/>
                <w:szCs w:val="16"/>
              </w:rPr>
              <w:t>-0,4</w:t>
            </w:r>
          </w:p>
        </w:tc>
        <w:tc>
          <w:tcPr>
            <w:tcW w:w="850" w:type="dxa"/>
            <w:tcBorders>
              <w:top w:val="nil"/>
              <w:left w:val="nil"/>
              <w:bottom w:val="nil"/>
              <w:right w:val="nil"/>
            </w:tcBorders>
            <w:shd w:val="clear" w:color="auto" w:fill="auto"/>
            <w:noWrap/>
            <w:vAlign w:val="center"/>
            <w:hideMark/>
          </w:tcPr>
          <w:p w14:paraId="1D0C6CAB" w14:textId="77777777" w:rsidR="00BD53AF" w:rsidRDefault="00BD53AF" w:rsidP="00387AE5">
            <w:pPr>
              <w:jc w:val="center"/>
              <w:rPr>
                <w:color w:val="000000"/>
                <w:sz w:val="16"/>
                <w:szCs w:val="16"/>
              </w:rPr>
            </w:pPr>
            <w:r>
              <w:rPr>
                <w:color w:val="000000"/>
                <w:sz w:val="16"/>
                <w:szCs w:val="16"/>
              </w:rPr>
              <w:t>-0,2</w:t>
            </w:r>
          </w:p>
        </w:tc>
        <w:tc>
          <w:tcPr>
            <w:tcW w:w="1134" w:type="dxa"/>
            <w:tcBorders>
              <w:top w:val="nil"/>
              <w:left w:val="nil"/>
              <w:bottom w:val="nil"/>
              <w:right w:val="nil"/>
            </w:tcBorders>
            <w:shd w:val="clear" w:color="auto" w:fill="auto"/>
            <w:vAlign w:val="center"/>
            <w:hideMark/>
          </w:tcPr>
          <w:p w14:paraId="00B19AFD" w14:textId="77777777" w:rsidR="00BD53AF" w:rsidRPr="00616696" w:rsidRDefault="00BD53AF" w:rsidP="00387AE5">
            <w:pPr>
              <w:jc w:val="center"/>
              <w:rPr>
                <w:rFonts w:cs="Arial"/>
                <w:color w:val="000000"/>
                <w:sz w:val="16"/>
                <w:szCs w:val="16"/>
              </w:rPr>
            </w:pPr>
            <w:r w:rsidRPr="00616696">
              <w:rPr>
                <w:rFonts w:cs="Arial"/>
                <w:color w:val="000000"/>
                <w:sz w:val="16"/>
                <w:szCs w:val="16"/>
              </w:rPr>
              <w:t>0</w:t>
            </w:r>
            <w:r>
              <w:rPr>
                <w:rFonts w:cs="Arial"/>
                <w:color w:val="000000"/>
                <w:sz w:val="16"/>
                <w:szCs w:val="16"/>
              </w:rPr>
              <w:t>,</w:t>
            </w:r>
            <w:r w:rsidRPr="00616696">
              <w:rPr>
                <w:rFonts w:cs="Arial"/>
                <w:color w:val="000000"/>
                <w:sz w:val="16"/>
                <w:szCs w:val="16"/>
              </w:rPr>
              <w:t>7</w:t>
            </w:r>
          </w:p>
        </w:tc>
      </w:tr>
      <w:tr w:rsidR="00BD53AF" w:rsidRPr="000D1A09" w14:paraId="2F48FEC2" w14:textId="77777777" w:rsidTr="00387AE5">
        <w:trPr>
          <w:trHeight w:val="233"/>
        </w:trPr>
        <w:tc>
          <w:tcPr>
            <w:tcW w:w="545" w:type="dxa"/>
            <w:tcBorders>
              <w:top w:val="nil"/>
              <w:left w:val="nil"/>
              <w:bottom w:val="nil"/>
              <w:right w:val="nil"/>
            </w:tcBorders>
            <w:shd w:val="clear" w:color="auto" w:fill="auto"/>
            <w:noWrap/>
            <w:vAlign w:val="center"/>
            <w:hideMark/>
          </w:tcPr>
          <w:p w14:paraId="12382063" w14:textId="77777777" w:rsidR="00BD53AF" w:rsidRDefault="00BD53AF" w:rsidP="00387AE5">
            <w:pPr>
              <w:jc w:val="center"/>
              <w:rPr>
                <w:rFonts w:cs="Arial"/>
                <w:color w:val="000000"/>
                <w:sz w:val="16"/>
                <w:szCs w:val="16"/>
              </w:rPr>
            </w:pPr>
            <w:r>
              <w:rPr>
                <w:rFonts w:cs="Arial"/>
                <w:color w:val="000000"/>
                <w:sz w:val="16"/>
                <w:szCs w:val="16"/>
              </w:rPr>
              <w:t>2021</w:t>
            </w:r>
          </w:p>
        </w:tc>
        <w:tc>
          <w:tcPr>
            <w:tcW w:w="1156" w:type="dxa"/>
            <w:tcBorders>
              <w:top w:val="nil"/>
              <w:left w:val="nil"/>
              <w:bottom w:val="nil"/>
              <w:right w:val="nil"/>
            </w:tcBorders>
            <w:shd w:val="clear" w:color="auto" w:fill="auto"/>
            <w:noWrap/>
            <w:vAlign w:val="center"/>
            <w:hideMark/>
          </w:tcPr>
          <w:p w14:paraId="0E3F3BE0" w14:textId="77777777" w:rsidR="00BD53AF" w:rsidRDefault="00BD53AF" w:rsidP="00387AE5">
            <w:pPr>
              <w:jc w:val="center"/>
              <w:rPr>
                <w:color w:val="000000"/>
                <w:sz w:val="16"/>
                <w:szCs w:val="16"/>
              </w:rPr>
            </w:pPr>
            <w:r>
              <w:rPr>
                <w:color w:val="000000"/>
                <w:sz w:val="16"/>
                <w:szCs w:val="16"/>
              </w:rPr>
              <w:t>-0,6</w:t>
            </w:r>
          </w:p>
        </w:tc>
        <w:tc>
          <w:tcPr>
            <w:tcW w:w="851" w:type="dxa"/>
            <w:tcBorders>
              <w:top w:val="nil"/>
              <w:left w:val="nil"/>
              <w:bottom w:val="nil"/>
              <w:right w:val="nil"/>
            </w:tcBorders>
            <w:shd w:val="clear" w:color="auto" w:fill="auto"/>
            <w:noWrap/>
            <w:vAlign w:val="center"/>
            <w:hideMark/>
          </w:tcPr>
          <w:p w14:paraId="2AE8C5E9" w14:textId="77777777" w:rsidR="00BD53AF" w:rsidRDefault="00BD53AF" w:rsidP="00387AE5">
            <w:pPr>
              <w:jc w:val="center"/>
              <w:rPr>
                <w:color w:val="000000"/>
                <w:sz w:val="16"/>
                <w:szCs w:val="16"/>
              </w:rPr>
            </w:pPr>
            <w:r>
              <w:rPr>
                <w:color w:val="000000"/>
                <w:sz w:val="16"/>
                <w:szCs w:val="16"/>
              </w:rPr>
              <w:t>-0,1</w:t>
            </w:r>
          </w:p>
        </w:tc>
        <w:tc>
          <w:tcPr>
            <w:tcW w:w="1276" w:type="dxa"/>
            <w:tcBorders>
              <w:top w:val="nil"/>
              <w:left w:val="nil"/>
              <w:bottom w:val="nil"/>
              <w:right w:val="nil"/>
            </w:tcBorders>
            <w:shd w:val="clear" w:color="auto" w:fill="auto"/>
            <w:noWrap/>
            <w:vAlign w:val="center"/>
            <w:hideMark/>
          </w:tcPr>
          <w:p w14:paraId="3EFD44B3" w14:textId="77777777" w:rsidR="00BD53AF" w:rsidRDefault="00BD53AF" w:rsidP="00387AE5">
            <w:pPr>
              <w:jc w:val="center"/>
              <w:rPr>
                <w:color w:val="000000"/>
                <w:sz w:val="16"/>
                <w:szCs w:val="16"/>
              </w:rPr>
            </w:pPr>
            <w:r>
              <w:rPr>
                <w:color w:val="000000"/>
                <w:sz w:val="16"/>
                <w:szCs w:val="16"/>
              </w:rPr>
              <w:t>-0,3</w:t>
            </w:r>
          </w:p>
        </w:tc>
        <w:tc>
          <w:tcPr>
            <w:tcW w:w="1134" w:type="dxa"/>
            <w:tcBorders>
              <w:top w:val="nil"/>
              <w:left w:val="nil"/>
              <w:bottom w:val="nil"/>
              <w:right w:val="nil"/>
            </w:tcBorders>
            <w:shd w:val="clear" w:color="auto" w:fill="auto"/>
            <w:noWrap/>
            <w:vAlign w:val="center"/>
            <w:hideMark/>
          </w:tcPr>
          <w:p w14:paraId="154164B1" w14:textId="77777777" w:rsidR="00BD53AF" w:rsidRDefault="00BD53AF" w:rsidP="00387AE5">
            <w:pPr>
              <w:jc w:val="center"/>
              <w:rPr>
                <w:color w:val="000000"/>
                <w:sz w:val="16"/>
                <w:szCs w:val="16"/>
              </w:rPr>
            </w:pPr>
            <w:r>
              <w:rPr>
                <w:color w:val="000000"/>
                <w:sz w:val="16"/>
                <w:szCs w:val="16"/>
              </w:rPr>
              <w:t>-1,5</w:t>
            </w:r>
          </w:p>
        </w:tc>
        <w:tc>
          <w:tcPr>
            <w:tcW w:w="1134" w:type="dxa"/>
            <w:tcBorders>
              <w:top w:val="nil"/>
              <w:left w:val="nil"/>
              <w:bottom w:val="nil"/>
              <w:right w:val="nil"/>
            </w:tcBorders>
            <w:shd w:val="clear" w:color="auto" w:fill="auto"/>
            <w:noWrap/>
            <w:vAlign w:val="center"/>
            <w:hideMark/>
          </w:tcPr>
          <w:p w14:paraId="08C08FBA" w14:textId="77777777" w:rsidR="00BD53AF" w:rsidRDefault="00BD53AF" w:rsidP="00387AE5">
            <w:pPr>
              <w:jc w:val="center"/>
              <w:rPr>
                <w:color w:val="000000"/>
                <w:sz w:val="16"/>
                <w:szCs w:val="16"/>
              </w:rPr>
            </w:pPr>
            <w:r>
              <w:rPr>
                <w:color w:val="000000"/>
                <w:sz w:val="16"/>
                <w:szCs w:val="16"/>
              </w:rPr>
              <w:t>-0,2</w:t>
            </w:r>
          </w:p>
        </w:tc>
        <w:tc>
          <w:tcPr>
            <w:tcW w:w="992" w:type="dxa"/>
            <w:tcBorders>
              <w:top w:val="nil"/>
              <w:left w:val="nil"/>
              <w:bottom w:val="nil"/>
              <w:right w:val="nil"/>
            </w:tcBorders>
            <w:shd w:val="clear" w:color="auto" w:fill="auto"/>
            <w:noWrap/>
            <w:vAlign w:val="center"/>
            <w:hideMark/>
          </w:tcPr>
          <w:p w14:paraId="5E56999A" w14:textId="77777777" w:rsidR="00BD53AF" w:rsidRDefault="00BD53AF" w:rsidP="00387AE5">
            <w:pPr>
              <w:jc w:val="center"/>
              <w:rPr>
                <w:color w:val="000000"/>
                <w:sz w:val="16"/>
                <w:szCs w:val="16"/>
              </w:rPr>
            </w:pPr>
            <w:r>
              <w:rPr>
                <w:color w:val="000000"/>
                <w:sz w:val="16"/>
                <w:szCs w:val="16"/>
              </w:rPr>
              <w:t>-0,2</w:t>
            </w:r>
          </w:p>
        </w:tc>
        <w:tc>
          <w:tcPr>
            <w:tcW w:w="850" w:type="dxa"/>
            <w:tcBorders>
              <w:top w:val="nil"/>
              <w:left w:val="nil"/>
              <w:bottom w:val="nil"/>
              <w:right w:val="nil"/>
            </w:tcBorders>
            <w:shd w:val="clear" w:color="auto" w:fill="auto"/>
            <w:noWrap/>
            <w:vAlign w:val="center"/>
            <w:hideMark/>
          </w:tcPr>
          <w:p w14:paraId="3B4F8A47" w14:textId="77777777" w:rsidR="00BD53AF" w:rsidRDefault="00BD53AF" w:rsidP="00387AE5">
            <w:pPr>
              <w:jc w:val="center"/>
              <w:rPr>
                <w:color w:val="000000"/>
                <w:sz w:val="16"/>
                <w:szCs w:val="16"/>
              </w:rPr>
            </w:pPr>
            <w:r>
              <w:rPr>
                <w:color w:val="000000"/>
                <w:sz w:val="16"/>
                <w:szCs w:val="16"/>
              </w:rPr>
              <w:t>-0,1</w:t>
            </w:r>
          </w:p>
        </w:tc>
        <w:tc>
          <w:tcPr>
            <w:tcW w:w="1134" w:type="dxa"/>
            <w:tcBorders>
              <w:top w:val="nil"/>
              <w:left w:val="nil"/>
              <w:bottom w:val="nil"/>
              <w:right w:val="nil"/>
            </w:tcBorders>
            <w:shd w:val="clear" w:color="auto" w:fill="auto"/>
            <w:vAlign w:val="center"/>
            <w:hideMark/>
          </w:tcPr>
          <w:p w14:paraId="75789DC1" w14:textId="77777777" w:rsidR="00BD53AF" w:rsidRPr="00616696" w:rsidRDefault="00BD53AF" w:rsidP="00387AE5">
            <w:pPr>
              <w:jc w:val="center"/>
              <w:rPr>
                <w:rFonts w:cs="Arial"/>
                <w:color w:val="000000"/>
                <w:sz w:val="16"/>
                <w:szCs w:val="16"/>
              </w:rPr>
            </w:pPr>
            <w:r w:rsidRPr="00616696">
              <w:rPr>
                <w:rFonts w:cs="Arial"/>
                <w:color w:val="000000"/>
                <w:sz w:val="16"/>
                <w:szCs w:val="16"/>
              </w:rPr>
              <w:t>0</w:t>
            </w:r>
            <w:r>
              <w:rPr>
                <w:rFonts w:cs="Arial"/>
                <w:color w:val="000000"/>
                <w:sz w:val="16"/>
                <w:szCs w:val="16"/>
              </w:rPr>
              <w:t>,</w:t>
            </w:r>
            <w:r w:rsidRPr="00616696">
              <w:rPr>
                <w:rFonts w:cs="Arial"/>
                <w:color w:val="000000"/>
                <w:sz w:val="16"/>
                <w:szCs w:val="16"/>
              </w:rPr>
              <w:t>6</w:t>
            </w:r>
          </w:p>
        </w:tc>
      </w:tr>
      <w:tr w:rsidR="00BD53AF" w:rsidRPr="000D1A09" w14:paraId="6EEBD132" w14:textId="77777777" w:rsidTr="00387AE5">
        <w:trPr>
          <w:trHeight w:val="245"/>
        </w:trPr>
        <w:tc>
          <w:tcPr>
            <w:tcW w:w="545" w:type="dxa"/>
            <w:tcBorders>
              <w:top w:val="nil"/>
              <w:left w:val="nil"/>
              <w:bottom w:val="nil"/>
              <w:right w:val="nil"/>
            </w:tcBorders>
            <w:shd w:val="clear" w:color="auto" w:fill="auto"/>
            <w:noWrap/>
            <w:vAlign w:val="center"/>
            <w:hideMark/>
          </w:tcPr>
          <w:p w14:paraId="1E6225E1" w14:textId="77777777" w:rsidR="00BD53AF" w:rsidRDefault="00BD53AF" w:rsidP="00387AE5">
            <w:pPr>
              <w:jc w:val="center"/>
              <w:rPr>
                <w:rFonts w:cs="Arial"/>
                <w:color w:val="000000"/>
                <w:sz w:val="16"/>
                <w:szCs w:val="16"/>
              </w:rPr>
            </w:pPr>
            <w:r>
              <w:rPr>
                <w:rFonts w:cs="Arial"/>
                <w:color w:val="000000"/>
                <w:sz w:val="16"/>
                <w:szCs w:val="16"/>
              </w:rPr>
              <w:t>2022</w:t>
            </w:r>
          </w:p>
        </w:tc>
        <w:tc>
          <w:tcPr>
            <w:tcW w:w="1156" w:type="dxa"/>
            <w:tcBorders>
              <w:top w:val="nil"/>
              <w:left w:val="nil"/>
              <w:bottom w:val="nil"/>
              <w:right w:val="nil"/>
            </w:tcBorders>
            <w:shd w:val="clear" w:color="auto" w:fill="auto"/>
            <w:noWrap/>
            <w:vAlign w:val="center"/>
            <w:hideMark/>
          </w:tcPr>
          <w:p w14:paraId="3653F491" w14:textId="77777777" w:rsidR="00BD53AF" w:rsidRDefault="00BD53AF" w:rsidP="00387AE5">
            <w:pPr>
              <w:jc w:val="center"/>
              <w:rPr>
                <w:color w:val="000000"/>
                <w:sz w:val="16"/>
                <w:szCs w:val="16"/>
              </w:rPr>
            </w:pPr>
            <w:r>
              <w:rPr>
                <w:color w:val="000000"/>
                <w:sz w:val="16"/>
                <w:szCs w:val="16"/>
              </w:rPr>
              <w:t>-0,5</w:t>
            </w:r>
          </w:p>
        </w:tc>
        <w:tc>
          <w:tcPr>
            <w:tcW w:w="851" w:type="dxa"/>
            <w:tcBorders>
              <w:top w:val="nil"/>
              <w:left w:val="nil"/>
              <w:bottom w:val="nil"/>
              <w:right w:val="nil"/>
            </w:tcBorders>
            <w:shd w:val="clear" w:color="auto" w:fill="auto"/>
            <w:noWrap/>
            <w:vAlign w:val="center"/>
            <w:hideMark/>
          </w:tcPr>
          <w:p w14:paraId="4DDA319F" w14:textId="77777777" w:rsidR="00BD53AF" w:rsidRDefault="00BD53AF" w:rsidP="00387AE5">
            <w:pPr>
              <w:jc w:val="center"/>
              <w:rPr>
                <w:color w:val="000000"/>
                <w:sz w:val="16"/>
                <w:szCs w:val="16"/>
              </w:rPr>
            </w:pPr>
            <w:r>
              <w:rPr>
                <w:color w:val="000000"/>
                <w:sz w:val="16"/>
                <w:szCs w:val="16"/>
              </w:rPr>
              <w:t>-0,1</w:t>
            </w:r>
          </w:p>
        </w:tc>
        <w:tc>
          <w:tcPr>
            <w:tcW w:w="1276" w:type="dxa"/>
            <w:tcBorders>
              <w:top w:val="nil"/>
              <w:left w:val="nil"/>
              <w:bottom w:val="nil"/>
              <w:right w:val="nil"/>
            </w:tcBorders>
            <w:shd w:val="clear" w:color="auto" w:fill="auto"/>
            <w:noWrap/>
            <w:vAlign w:val="center"/>
            <w:hideMark/>
          </w:tcPr>
          <w:p w14:paraId="46AE7D86" w14:textId="77777777" w:rsidR="00BD53AF" w:rsidRDefault="00BD53AF" w:rsidP="00387AE5">
            <w:pPr>
              <w:jc w:val="center"/>
              <w:rPr>
                <w:color w:val="000000"/>
                <w:sz w:val="16"/>
                <w:szCs w:val="16"/>
              </w:rPr>
            </w:pPr>
            <w:r>
              <w:rPr>
                <w:color w:val="000000"/>
                <w:sz w:val="16"/>
                <w:szCs w:val="16"/>
              </w:rPr>
              <w:t>-0,2</w:t>
            </w:r>
          </w:p>
        </w:tc>
        <w:tc>
          <w:tcPr>
            <w:tcW w:w="1134" w:type="dxa"/>
            <w:tcBorders>
              <w:top w:val="nil"/>
              <w:left w:val="nil"/>
              <w:bottom w:val="nil"/>
              <w:right w:val="nil"/>
            </w:tcBorders>
            <w:shd w:val="clear" w:color="auto" w:fill="auto"/>
            <w:noWrap/>
            <w:vAlign w:val="center"/>
            <w:hideMark/>
          </w:tcPr>
          <w:p w14:paraId="2F125293" w14:textId="77777777" w:rsidR="00BD53AF" w:rsidRDefault="00BD53AF" w:rsidP="00387AE5">
            <w:pPr>
              <w:jc w:val="center"/>
              <w:rPr>
                <w:color w:val="000000"/>
                <w:sz w:val="16"/>
                <w:szCs w:val="16"/>
              </w:rPr>
            </w:pPr>
            <w:r>
              <w:rPr>
                <w:color w:val="000000"/>
                <w:sz w:val="16"/>
                <w:szCs w:val="16"/>
              </w:rPr>
              <w:t>-1,4</w:t>
            </w:r>
          </w:p>
        </w:tc>
        <w:tc>
          <w:tcPr>
            <w:tcW w:w="1134" w:type="dxa"/>
            <w:tcBorders>
              <w:top w:val="nil"/>
              <w:left w:val="nil"/>
              <w:bottom w:val="nil"/>
              <w:right w:val="nil"/>
            </w:tcBorders>
            <w:shd w:val="clear" w:color="auto" w:fill="auto"/>
            <w:noWrap/>
            <w:vAlign w:val="center"/>
            <w:hideMark/>
          </w:tcPr>
          <w:p w14:paraId="6CF6A385" w14:textId="77777777" w:rsidR="00BD53AF" w:rsidRDefault="00BD53AF" w:rsidP="00387AE5">
            <w:pPr>
              <w:jc w:val="center"/>
              <w:rPr>
                <w:color w:val="000000"/>
                <w:sz w:val="16"/>
                <w:szCs w:val="16"/>
              </w:rPr>
            </w:pPr>
            <w:r>
              <w:rPr>
                <w:color w:val="000000"/>
                <w:sz w:val="16"/>
                <w:szCs w:val="16"/>
              </w:rPr>
              <w:t>-0,2</w:t>
            </w:r>
          </w:p>
        </w:tc>
        <w:tc>
          <w:tcPr>
            <w:tcW w:w="992" w:type="dxa"/>
            <w:tcBorders>
              <w:top w:val="nil"/>
              <w:left w:val="nil"/>
              <w:bottom w:val="nil"/>
              <w:right w:val="nil"/>
            </w:tcBorders>
            <w:shd w:val="clear" w:color="auto" w:fill="auto"/>
            <w:noWrap/>
            <w:vAlign w:val="center"/>
            <w:hideMark/>
          </w:tcPr>
          <w:p w14:paraId="4CEC2884" w14:textId="77777777" w:rsidR="00BD53AF" w:rsidRDefault="00BD53AF" w:rsidP="00387AE5">
            <w:pPr>
              <w:jc w:val="center"/>
              <w:rPr>
                <w:color w:val="000000"/>
                <w:sz w:val="16"/>
                <w:szCs w:val="16"/>
              </w:rPr>
            </w:pPr>
            <w:r>
              <w:rPr>
                <w:color w:val="000000"/>
                <w:sz w:val="16"/>
                <w:szCs w:val="16"/>
              </w:rPr>
              <w:t>-0,1</w:t>
            </w:r>
          </w:p>
        </w:tc>
        <w:tc>
          <w:tcPr>
            <w:tcW w:w="850" w:type="dxa"/>
            <w:tcBorders>
              <w:top w:val="nil"/>
              <w:left w:val="nil"/>
              <w:bottom w:val="nil"/>
              <w:right w:val="nil"/>
            </w:tcBorders>
            <w:shd w:val="clear" w:color="auto" w:fill="auto"/>
            <w:noWrap/>
            <w:vAlign w:val="center"/>
            <w:hideMark/>
          </w:tcPr>
          <w:p w14:paraId="1ADB2BE5" w14:textId="77777777" w:rsidR="00BD53AF" w:rsidRDefault="00BD53AF" w:rsidP="00387AE5">
            <w:pPr>
              <w:jc w:val="center"/>
              <w:rPr>
                <w:color w:val="000000"/>
                <w:sz w:val="16"/>
                <w:szCs w:val="16"/>
              </w:rPr>
            </w:pPr>
            <w:r>
              <w:rPr>
                <w:color w:val="000000"/>
                <w:sz w:val="16"/>
                <w:szCs w:val="16"/>
              </w:rPr>
              <w:t>-0,1</w:t>
            </w:r>
          </w:p>
        </w:tc>
        <w:tc>
          <w:tcPr>
            <w:tcW w:w="1134" w:type="dxa"/>
            <w:tcBorders>
              <w:top w:val="nil"/>
              <w:left w:val="nil"/>
              <w:bottom w:val="nil"/>
              <w:right w:val="nil"/>
            </w:tcBorders>
            <w:shd w:val="clear" w:color="auto" w:fill="auto"/>
            <w:vAlign w:val="center"/>
            <w:hideMark/>
          </w:tcPr>
          <w:p w14:paraId="652F9ECB" w14:textId="77777777" w:rsidR="00BD53AF" w:rsidRPr="00616696" w:rsidRDefault="00BD53AF" w:rsidP="00387AE5">
            <w:pPr>
              <w:jc w:val="center"/>
              <w:rPr>
                <w:rFonts w:cs="Arial"/>
                <w:color w:val="000000"/>
                <w:sz w:val="16"/>
                <w:szCs w:val="16"/>
              </w:rPr>
            </w:pPr>
            <w:r w:rsidRPr="00616696">
              <w:rPr>
                <w:rFonts w:cs="Arial"/>
                <w:color w:val="000000"/>
                <w:sz w:val="16"/>
                <w:szCs w:val="16"/>
              </w:rPr>
              <w:t>0</w:t>
            </w:r>
            <w:r>
              <w:rPr>
                <w:rFonts w:cs="Arial"/>
                <w:color w:val="000000"/>
                <w:sz w:val="16"/>
                <w:szCs w:val="16"/>
              </w:rPr>
              <w:t>,</w:t>
            </w:r>
            <w:r w:rsidRPr="00616696">
              <w:rPr>
                <w:rFonts w:cs="Arial"/>
                <w:color w:val="000000"/>
                <w:sz w:val="16"/>
                <w:szCs w:val="16"/>
              </w:rPr>
              <w:t>6</w:t>
            </w:r>
          </w:p>
        </w:tc>
      </w:tr>
      <w:tr w:rsidR="00BD53AF" w:rsidRPr="000D1A09" w14:paraId="4DEB1165" w14:textId="77777777" w:rsidTr="00387AE5">
        <w:trPr>
          <w:trHeight w:val="283"/>
        </w:trPr>
        <w:tc>
          <w:tcPr>
            <w:tcW w:w="3828" w:type="dxa"/>
            <w:gridSpan w:val="4"/>
            <w:tcBorders>
              <w:top w:val="single" w:sz="12" w:space="0" w:color="auto"/>
              <w:left w:val="nil"/>
              <w:bottom w:val="nil"/>
              <w:right w:val="nil"/>
            </w:tcBorders>
            <w:shd w:val="clear" w:color="auto" w:fill="auto"/>
            <w:noWrap/>
            <w:vAlign w:val="center"/>
            <w:hideMark/>
          </w:tcPr>
          <w:p w14:paraId="67C56A3E" w14:textId="77777777" w:rsidR="00BD53AF" w:rsidRPr="000D1A09" w:rsidRDefault="00BD53AF" w:rsidP="00387AE5">
            <w:pPr>
              <w:rPr>
                <w:rFonts w:cs="Times New Roman"/>
                <w:i/>
                <w:iCs/>
                <w:color w:val="000000"/>
                <w:sz w:val="16"/>
                <w:szCs w:val="16"/>
                <w:highlight w:val="yellow"/>
                <w:lang w:eastAsia="en-US"/>
              </w:rPr>
            </w:pPr>
          </w:p>
        </w:tc>
        <w:tc>
          <w:tcPr>
            <w:tcW w:w="4110" w:type="dxa"/>
            <w:gridSpan w:val="4"/>
            <w:tcBorders>
              <w:top w:val="single" w:sz="12" w:space="0" w:color="auto"/>
              <w:left w:val="nil"/>
              <w:bottom w:val="nil"/>
              <w:right w:val="nil"/>
            </w:tcBorders>
            <w:shd w:val="clear" w:color="auto" w:fill="auto"/>
            <w:vAlign w:val="center"/>
          </w:tcPr>
          <w:p w14:paraId="1B89A8C3" w14:textId="77777777" w:rsidR="00BD53AF" w:rsidRPr="000D1A09" w:rsidRDefault="00BD53AF" w:rsidP="00387AE5">
            <w:pPr>
              <w:rPr>
                <w:rFonts w:cs="Times New Roman"/>
                <w:i/>
                <w:iCs/>
                <w:color w:val="000000"/>
                <w:sz w:val="16"/>
                <w:szCs w:val="16"/>
                <w:highlight w:val="yellow"/>
                <w:lang w:eastAsia="en-US"/>
              </w:rPr>
            </w:pPr>
          </w:p>
        </w:tc>
        <w:tc>
          <w:tcPr>
            <w:tcW w:w="1134" w:type="dxa"/>
            <w:tcBorders>
              <w:top w:val="single" w:sz="12" w:space="0" w:color="auto"/>
              <w:left w:val="nil"/>
              <w:bottom w:val="nil"/>
              <w:right w:val="nil"/>
            </w:tcBorders>
            <w:shd w:val="clear" w:color="auto" w:fill="auto"/>
            <w:vAlign w:val="center"/>
            <w:hideMark/>
          </w:tcPr>
          <w:p w14:paraId="0B1C0B52" w14:textId="280E0BD2" w:rsidR="00BD53AF" w:rsidRPr="000D1A09" w:rsidRDefault="00BD53AF" w:rsidP="00387AE5">
            <w:pPr>
              <w:jc w:val="right"/>
              <w:rPr>
                <w:rFonts w:cs="Times New Roman"/>
                <w:i/>
                <w:iCs/>
                <w:color w:val="000000"/>
                <w:sz w:val="16"/>
                <w:szCs w:val="16"/>
                <w:highlight w:val="yellow"/>
                <w:lang w:eastAsia="en-US"/>
              </w:rPr>
            </w:pPr>
            <w:r w:rsidRPr="00616696">
              <w:rPr>
                <w:rFonts w:cs="Times New Roman"/>
                <w:i/>
                <w:iCs/>
                <w:color w:val="000000"/>
                <w:sz w:val="16"/>
                <w:szCs w:val="16"/>
                <w:lang w:eastAsia="en-US"/>
              </w:rPr>
              <w:t>Zdroj: MF</w:t>
            </w:r>
            <w:r w:rsidR="0005796F">
              <w:rPr>
                <w:rFonts w:cs="Times New Roman"/>
                <w:i/>
                <w:iCs/>
                <w:color w:val="000000"/>
                <w:sz w:val="16"/>
                <w:szCs w:val="16"/>
                <w:lang w:eastAsia="en-US"/>
              </w:rPr>
              <w:t xml:space="preserve"> </w:t>
            </w:r>
            <w:r w:rsidRPr="00616696">
              <w:rPr>
                <w:rFonts w:cs="Times New Roman"/>
                <w:i/>
                <w:iCs/>
                <w:color w:val="000000"/>
                <w:sz w:val="16"/>
                <w:szCs w:val="16"/>
                <w:lang w:eastAsia="en-US"/>
              </w:rPr>
              <w:t>SR</w:t>
            </w:r>
          </w:p>
        </w:tc>
      </w:tr>
    </w:tbl>
    <w:p w14:paraId="4E0729E8" w14:textId="77777777" w:rsidR="00BD53AF" w:rsidRPr="00980825" w:rsidRDefault="00BD53AF" w:rsidP="000032FE">
      <w:pPr>
        <w:pStyle w:val="Nadpis2"/>
        <w:keepLines/>
        <w:numPr>
          <w:ilvl w:val="1"/>
          <w:numId w:val="2"/>
        </w:numPr>
        <w:spacing w:before="240" w:after="120" w:line="276" w:lineRule="auto"/>
        <w:rPr>
          <w:b/>
          <w:color w:val="2C9ADC"/>
          <w:szCs w:val="28"/>
        </w:rPr>
      </w:pPr>
      <w:bookmarkStart w:id="173" w:name="_Toc385764230"/>
      <w:bookmarkStart w:id="174" w:name="_Toc449430176"/>
      <w:bookmarkStart w:id="175" w:name="_Toc5869390"/>
      <w:r w:rsidRPr="00980825">
        <w:rPr>
          <w:b/>
          <w:color w:val="2C9ADC"/>
          <w:szCs w:val="28"/>
        </w:rPr>
        <w:t>Porovnanie s predchádzajúcou aktualizáciou</w:t>
      </w:r>
      <w:bookmarkEnd w:id="173"/>
      <w:bookmarkEnd w:id="174"/>
      <w:bookmarkEnd w:id="175"/>
    </w:p>
    <w:p w14:paraId="03DF776F" w14:textId="76A4E338" w:rsidR="00BD53AF" w:rsidRPr="00FD63F1" w:rsidRDefault="00BD53AF" w:rsidP="00BD53AF">
      <w:pPr>
        <w:pStyle w:val="Odsek"/>
      </w:pPr>
      <w:r w:rsidRPr="00980825">
        <w:t>Program stability SR na roky 2019 až 2022 obsahuje aktualizované makroekonomi</w:t>
      </w:r>
      <w:r w:rsidR="0085303B">
        <w:t xml:space="preserve">cké odhady a rozpočtové ciele. </w:t>
      </w:r>
      <w:r w:rsidRPr="00FA075F">
        <w:rPr>
          <w:b/>
        </w:rPr>
        <w:t>Na základe toho sa očakáva naplnenie cieľa vyrovnaného rozpočtu verejnej správy už pre rok 2019</w:t>
      </w:r>
      <w:r w:rsidRPr="00980825">
        <w:rPr>
          <w:b/>
        </w:rPr>
        <w:t xml:space="preserve">. </w:t>
      </w:r>
      <w:r w:rsidRPr="00980825">
        <w:t xml:space="preserve">Vyrovnaná bilancia medzi príjmami a výdavkami VS sa plánuje </w:t>
      </w:r>
      <w:r>
        <w:t>v súlade s predchádzajúcim Programom stability aj</w:t>
      </w:r>
      <w:r w:rsidRPr="00980825">
        <w:t xml:space="preserve"> v ďalších rokoch.</w:t>
      </w:r>
      <w:r>
        <w:t xml:space="preserve"> </w:t>
      </w:r>
      <w:r w:rsidRPr="00FD63F1">
        <w:rPr>
          <w:b/>
        </w:rPr>
        <w:t>Dlh VS by mal klesať oproti predpokladom z minulého roka o niečo pomalšie</w:t>
      </w:r>
      <w:r w:rsidRPr="00FD63F1">
        <w:t>. Na horizonte prognózy je dlh vyšší približne o 1,</w:t>
      </w:r>
      <w:r>
        <w:t>0</w:t>
      </w:r>
      <w:r w:rsidRPr="00FD63F1">
        <w:t xml:space="preserve"> p. b., čo pramení predovšetkým z pomalšieho rastu HDP a tiež z revízie nominálneho HDP</w:t>
      </w:r>
      <w:r>
        <w:t xml:space="preserve"> smerom nadol</w:t>
      </w:r>
      <w:r w:rsidRPr="00FD63F1">
        <w:t xml:space="preserve"> za rok 2018. </w:t>
      </w:r>
    </w:p>
    <w:tbl>
      <w:tblPr>
        <w:tblW w:w="9126" w:type="dxa"/>
        <w:tblLook w:val="04A0" w:firstRow="1" w:lastRow="0" w:firstColumn="1" w:lastColumn="0" w:noHBand="0" w:noVBand="1"/>
      </w:tblPr>
      <w:tblGrid>
        <w:gridCol w:w="3622"/>
        <w:gridCol w:w="870"/>
        <w:gridCol w:w="892"/>
        <w:gridCol w:w="892"/>
        <w:gridCol w:w="892"/>
        <w:gridCol w:w="892"/>
        <w:gridCol w:w="1066"/>
      </w:tblGrid>
      <w:tr w:rsidR="00BD53AF" w:rsidRPr="00F5402D" w14:paraId="2058DC46" w14:textId="77777777" w:rsidTr="00387AE5">
        <w:trPr>
          <w:trHeight w:val="170"/>
        </w:trPr>
        <w:tc>
          <w:tcPr>
            <w:tcW w:w="9126" w:type="dxa"/>
            <w:gridSpan w:val="7"/>
            <w:tcBorders>
              <w:top w:val="nil"/>
              <w:left w:val="nil"/>
              <w:bottom w:val="single" w:sz="8" w:space="0" w:color="auto"/>
              <w:right w:val="nil"/>
            </w:tcBorders>
            <w:shd w:val="clear" w:color="auto" w:fill="auto"/>
            <w:noWrap/>
            <w:vAlign w:val="center"/>
            <w:hideMark/>
          </w:tcPr>
          <w:p w14:paraId="2EF5A21C" w14:textId="761F0712" w:rsidR="00BD53AF" w:rsidRPr="00F5402D" w:rsidRDefault="00BD53AF" w:rsidP="00387AE5">
            <w:pPr>
              <w:pStyle w:val="Nadpis3"/>
              <w:rPr>
                <w:rFonts w:cs="Times New Roman"/>
                <w:b w:val="0"/>
                <w:bCs w:val="0"/>
                <w:color w:val="2C9ADC"/>
                <w:szCs w:val="20"/>
                <w:lang w:eastAsia="en-US"/>
              </w:rPr>
            </w:pPr>
            <w:bookmarkStart w:id="176" w:name="_Toc6314214"/>
            <w:r w:rsidRPr="00BE4732">
              <w:rPr>
                <w:rFonts w:eastAsiaTheme="minorHAnsi"/>
                <w:color w:val="2C9ADC" w:themeColor="accent1"/>
                <w:lang w:eastAsia="en-US"/>
              </w:rPr>
              <w:t xml:space="preserve">TABUĽKA </w:t>
            </w:r>
            <w:r w:rsidRPr="00BE4732">
              <w:rPr>
                <w:rFonts w:eastAsiaTheme="minorHAnsi"/>
                <w:color w:val="2C9ADC" w:themeColor="accent1"/>
                <w:lang w:eastAsia="en-US"/>
              </w:rPr>
              <w:fldChar w:fldCharType="begin"/>
            </w:r>
            <w:r w:rsidRPr="00BE4732">
              <w:rPr>
                <w:rFonts w:eastAsiaTheme="minorHAnsi"/>
                <w:color w:val="2C9ADC" w:themeColor="accent1"/>
                <w:lang w:eastAsia="en-US"/>
              </w:rPr>
              <w:instrText xml:space="preserve"> SEQ TABUĽKA \* ARABIC </w:instrText>
            </w:r>
            <w:r w:rsidRPr="00BE4732">
              <w:rPr>
                <w:rFonts w:eastAsiaTheme="minorHAnsi"/>
                <w:color w:val="2C9ADC" w:themeColor="accent1"/>
                <w:lang w:eastAsia="en-US"/>
              </w:rPr>
              <w:fldChar w:fldCharType="separate"/>
            </w:r>
            <w:r w:rsidR="00D5739E">
              <w:rPr>
                <w:rFonts w:eastAsiaTheme="minorHAnsi"/>
                <w:noProof/>
                <w:color w:val="2C9ADC" w:themeColor="accent1"/>
                <w:lang w:eastAsia="en-US"/>
              </w:rPr>
              <w:t>15</w:t>
            </w:r>
            <w:r w:rsidRPr="00BE4732">
              <w:rPr>
                <w:rFonts w:eastAsiaTheme="minorHAnsi"/>
                <w:color w:val="2C9ADC" w:themeColor="accent1"/>
                <w:lang w:eastAsia="en-US"/>
              </w:rPr>
              <w:fldChar w:fldCharType="end"/>
            </w:r>
            <w:r w:rsidRPr="00F5402D">
              <w:rPr>
                <w:rFonts w:eastAsiaTheme="minorHAnsi"/>
                <w:color w:val="2C9ADC"/>
                <w:lang w:eastAsia="en-US"/>
              </w:rPr>
              <w:t xml:space="preserve"> - Porovnanie predchádzajúcej a aktualizovanej prognózy</w:t>
            </w:r>
            <w:bookmarkEnd w:id="176"/>
            <w:r w:rsidRPr="00F5402D">
              <w:rPr>
                <w:rFonts w:eastAsiaTheme="minorHAnsi"/>
                <w:color w:val="2C9ADC"/>
                <w:lang w:eastAsia="en-US"/>
              </w:rPr>
              <w:t xml:space="preserve"> </w:t>
            </w:r>
          </w:p>
        </w:tc>
      </w:tr>
      <w:tr w:rsidR="00BD53AF" w:rsidRPr="00F5402D" w14:paraId="2E79DCA2" w14:textId="77777777" w:rsidTr="00387AE5">
        <w:trPr>
          <w:trHeight w:val="170"/>
        </w:trPr>
        <w:tc>
          <w:tcPr>
            <w:tcW w:w="3622" w:type="dxa"/>
            <w:tcBorders>
              <w:top w:val="nil"/>
              <w:left w:val="nil"/>
              <w:bottom w:val="single" w:sz="8" w:space="0" w:color="000000"/>
              <w:right w:val="nil"/>
            </w:tcBorders>
            <w:shd w:val="clear" w:color="auto" w:fill="auto"/>
            <w:vAlign w:val="center"/>
            <w:hideMark/>
          </w:tcPr>
          <w:p w14:paraId="0C072394" w14:textId="77777777" w:rsidR="00BD53AF" w:rsidRPr="00F5402D" w:rsidRDefault="00BD53AF" w:rsidP="00387AE5">
            <w:pPr>
              <w:rPr>
                <w:rFonts w:cs="Times New Roman"/>
                <w:color w:val="000000"/>
                <w:sz w:val="18"/>
                <w:szCs w:val="18"/>
                <w:lang w:eastAsia="en-US"/>
              </w:rPr>
            </w:pPr>
            <w:r w:rsidRPr="00F5402D">
              <w:rPr>
                <w:rFonts w:cs="Times New Roman"/>
                <w:color w:val="000000"/>
                <w:sz w:val="18"/>
                <w:szCs w:val="18"/>
                <w:lang w:eastAsia="en-US"/>
              </w:rPr>
              <w:t> </w:t>
            </w:r>
          </w:p>
        </w:tc>
        <w:tc>
          <w:tcPr>
            <w:tcW w:w="870" w:type="dxa"/>
            <w:tcBorders>
              <w:top w:val="nil"/>
              <w:left w:val="nil"/>
              <w:bottom w:val="single" w:sz="8" w:space="0" w:color="000000"/>
              <w:right w:val="nil"/>
            </w:tcBorders>
            <w:shd w:val="clear" w:color="auto" w:fill="auto"/>
            <w:vAlign w:val="center"/>
            <w:hideMark/>
          </w:tcPr>
          <w:p w14:paraId="08EC9672" w14:textId="77777777" w:rsidR="00BD53AF" w:rsidRPr="00F5402D" w:rsidRDefault="00BD53AF" w:rsidP="00387AE5">
            <w:pPr>
              <w:rPr>
                <w:rFonts w:cs="Times New Roman"/>
                <w:color w:val="000000"/>
                <w:sz w:val="18"/>
                <w:szCs w:val="18"/>
                <w:lang w:eastAsia="en-US"/>
              </w:rPr>
            </w:pPr>
            <w:r w:rsidRPr="00F5402D">
              <w:rPr>
                <w:rFonts w:cs="Times New Roman"/>
                <w:color w:val="000000"/>
                <w:sz w:val="18"/>
                <w:szCs w:val="18"/>
                <w:lang w:eastAsia="en-US"/>
              </w:rPr>
              <w:t xml:space="preserve">ESA kód </w:t>
            </w:r>
          </w:p>
        </w:tc>
        <w:tc>
          <w:tcPr>
            <w:tcW w:w="892" w:type="dxa"/>
            <w:tcBorders>
              <w:top w:val="nil"/>
              <w:left w:val="nil"/>
              <w:bottom w:val="single" w:sz="8" w:space="0" w:color="000000"/>
              <w:right w:val="nil"/>
            </w:tcBorders>
            <w:shd w:val="clear" w:color="auto" w:fill="auto"/>
            <w:vAlign w:val="center"/>
            <w:hideMark/>
          </w:tcPr>
          <w:p w14:paraId="7754574C" w14:textId="77777777" w:rsidR="00BD53AF" w:rsidRPr="00F5402D" w:rsidRDefault="00BD53AF" w:rsidP="00387AE5">
            <w:pPr>
              <w:jc w:val="center"/>
              <w:rPr>
                <w:rFonts w:cs="Times New Roman"/>
                <w:b/>
                <w:bCs/>
                <w:color w:val="000000"/>
                <w:sz w:val="18"/>
                <w:szCs w:val="18"/>
                <w:lang w:eastAsia="en-US"/>
              </w:rPr>
            </w:pPr>
            <w:r w:rsidRPr="00F5402D">
              <w:rPr>
                <w:rFonts w:cs="Times New Roman"/>
                <w:b/>
                <w:bCs/>
                <w:color w:val="000000"/>
                <w:sz w:val="18"/>
                <w:szCs w:val="18"/>
                <w:lang w:eastAsia="en-US"/>
              </w:rPr>
              <w:t>2018</w:t>
            </w:r>
          </w:p>
        </w:tc>
        <w:tc>
          <w:tcPr>
            <w:tcW w:w="892" w:type="dxa"/>
            <w:tcBorders>
              <w:top w:val="nil"/>
              <w:left w:val="nil"/>
              <w:bottom w:val="single" w:sz="8" w:space="0" w:color="000000"/>
              <w:right w:val="nil"/>
            </w:tcBorders>
            <w:shd w:val="clear" w:color="auto" w:fill="auto"/>
            <w:vAlign w:val="center"/>
            <w:hideMark/>
          </w:tcPr>
          <w:p w14:paraId="79A5EE2D" w14:textId="77777777" w:rsidR="00BD53AF" w:rsidRPr="00F5402D" w:rsidRDefault="00BD53AF" w:rsidP="00387AE5">
            <w:pPr>
              <w:jc w:val="center"/>
              <w:rPr>
                <w:rFonts w:cs="Times New Roman"/>
                <w:b/>
                <w:bCs/>
                <w:color w:val="000000"/>
                <w:sz w:val="18"/>
                <w:szCs w:val="18"/>
                <w:lang w:eastAsia="en-US"/>
              </w:rPr>
            </w:pPr>
            <w:r w:rsidRPr="00F5402D">
              <w:rPr>
                <w:rFonts w:cs="Times New Roman"/>
                <w:b/>
                <w:bCs/>
                <w:color w:val="000000"/>
                <w:sz w:val="18"/>
                <w:szCs w:val="18"/>
                <w:lang w:eastAsia="en-US"/>
              </w:rPr>
              <w:t>2019</w:t>
            </w:r>
          </w:p>
        </w:tc>
        <w:tc>
          <w:tcPr>
            <w:tcW w:w="892" w:type="dxa"/>
            <w:tcBorders>
              <w:top w:val="nil"/>
              <w:left w:val="nil"/>
              <w:bottom w:val="single" w:sz="8" w:space="0" w:color="000000"/>
              <w:right w:val="nil"/>
            </w:tcBorders>
            <w:shd w:val="clear" w:color="auto" w:fill="auto"/>
            <w:vAlign w:val="center"/>
            <w:hideMark/>
          </w:tcPr>
          <w:p w14:paraId="6DAF2004" w14:textId="77777777" w:rsidR="00BD53AF" w:rsidRPr="00F5402D" w:rsidRDefault="00BD53AF" w:rsidP="00387AE5">
            <w:pPr>
              <w:jc w:val="center"/>
              <w:rPr>
                <w:rFonts w:cs="Times New Roman"/>
                <w:b/>
                <w:bCs/>
                <w:color w:val="000000"/>
                <w:sz w:val="18"/>
                <w:szCs w:val="18"/>
                <w:lang w:eastAsia="en-US"/>
              </w:rPr>
            </w:pPr>
            <w:r w:rsidRPr="00F5402D">
              <w:rPr>
                <w:rFonts w:cs="Times New Roman"/>
                <w:b/>
                <w:bCs/>
                <w:color w:val="000000"/>
                <w:sz w:val="18"/>
                <w:szCs w:val="18"/>
                <w:lang w:eastAsia="en-US"/>
              </w:rPr>
              <w:t>2020</w:t>
            </w:r>
          </w:p>
        </w:tc>
        <w:tc>
          <w:tcPr>
            <w:tcW w:w="892" w:type="dxa"/>
            <w:tcBorders>
              <w:top w:val="nil"/>
              <w:left w:val="nil"/>
              <w:bottom w:val="single" w:sz="8" w:space="0" w:color="000000"/>
              <w:right w:val="nil"/>
            </w:tcBorders>
            <w:shd w:val="clear" w:color="auto" w:fill="auto"/>
            <w:vAlign w:val="center"/>
            <w:hideMark/>
          </w:tcPr>
          <w:p w14:paraId="726C3A67" w14:textId="77777777" w:rsidR="00BD53AF" w:rsidRPr="00F5402D" w:rsidRDefault="00BD53AF" w:rsidP="00387AE5">
            <w:pPr>
              <w:jc w:val="center"/>
              <w:rPr>
                <w:rFonts w:cs="Times New Roman"/>
                <w:b/>
                <w:bCs/>
                <w:color w:val="000000"/>
                <w:sz w:val="18"/>
                <w:szCs w:val="18"/>
                <w:lang w:eastAsia="en-US"/>
              </w:rPr>
            </w:pPr>
            <w:r w:rsidRPr="00F5402D">
              <w:rPr>
                <w:rFonts w:cs="Times New Roman"/>
                <w:b/>
                <w:bCs/>
                <w:color w:val="000000"/>
                <w:sz w:val="18"/>
                <w:szCs w:val="18"/>
                <w:lang w:eastAsia="en-US"/>
              </w:rPr>
              <w:t>2021</w:t>
            </w:r>
          </w:p>
        </w:tc>
        <w:tc>
          <w:tcPr>
            <w:tcW w:w="1064" w:type="dxa"/>
            <w:tcBorders>
              <w:top w:val="nil"/>
              <w:left w:val="nil"/>
              <w:bottom w:val="single" w:sz="8" w:space="0" w:color="000000"/>
              <w:right w:val="nil"/>
            </w:tcBorders>
            <w:shd w:val="clear" w:color="auto" w:fill="auto"/>
            <w:vAlign w:val="center"/>
            <w:hideMark/>
          </w:tcPr>
          <w:p w14:paraId="3D09727C" w14:textId="77777777" w:rsidR="00BD53AF" w:rsidRPr="00F5402D" w:rsidRDefault="00BD53AF" w:rsidP="00387AE5">
            <w:pPr>
              <w:jc w:val="center"/>
              <w:rPr>
                <w:rFonts w:cs="Times New Roman"/>
                <w:b/>
                <w:bCs/>
                <w:color w:val="000000"/>
                <w:sz w:val="18"/>
                <w:szCs w:val="18"/>
                <w:lang w:eastAsia="en-US"/>
              </w:rPr>
            </w:pPr>
            <w:r w:rsidRPr="00F5402D">
              <w:rPr>
                <w:rFonts w:cs="Times New Roman"/>
                <w:b/>
                <w:bCs/>
                <w:color w:val="000000"/>
                <w:sz w:val="18"/>
                <w:szCs w:val="18"/>
                <w:lang w:eastAsia="en-US"/>
              </w:rPr>
              <w:t>2022</w:t>
            </w:r>
          </w:p>
        </w:tc>
      </w:tr>
      <w:tr w:rsidR="00BD53AF" w:rsidRPr="00F5402D" w14:paraId="2107E548" w14:textId="77777777" w:rsidTr="00387AE5">
        <w:trPr>
          <w:trHeight w:val="170"/>
        </w:trPr>
        <w:tc>
          <w:tcPr>
            <w:tcW w:w="3622" w:type="dxa"/>
            <w:tcBorders>
              <w:top w:val="nil"/>
              <w:left w:val="nil"/>
              <w:bottom w:val="nil"/>
              <w:right w:val="nil"/>
            </w:tcBorders>
            <w:shd w:val="clear" w:color="000000" w:fill="FFFFFF"/>
            <w:vAlign w:val="center"/>
            <w:hideMark/>
          </w:tcPr>
          <w:p w14:paraId="141207AC" w14:textId="77777777" w:rsidR="00BD53AF" w:rsidRPr="00F5402D" w:rsidRDefault="00BD53AF" w:rsidP="00387AE5">
            <w:pPr>
              <w:rPr>
                <w:rFonts w:cs="Times New Roman"/>
                <w:b/>
                <w:bCs/>
                <w:color w:val="000000"/>
                <w:sz w:val="18"/>
                <w:szCs w:val="18"/>
                <w:lang w:eastAsia="en-US"/>
              </w:rPr>
            </w:pPr>
            <w:r w:rsidRPr="00F5402D">
              <w:rPr>
                <w:rFonts w:cs="Times New Roman"/>
                <w:b/>
                <w:bCs/>
                <w:color w:val="000000"/>
                <w:sz w:val="18"/>
                <w:szCs w:val="18"/>
                <w:lang w:eastAsia="en-US"/>
              </w:rPr>
              <w:t>Reálny rast HDP (%)</w:t>
            </w:r>
          </w:p>
        </w:tc>
        <w:tc>
          <w:tcPr>
            <w:tcW w:w="870" w:type="dxa"/>
            <w:tcBorders>
              <w:top w:val="nil"/>
              <w:left w:val="nil"/>
              <w:bottom w:val="nil"/>
              <w:right w:val="nil"/>
            </w:tcBorders>
            <w:shd w:val="clear" w:color="000000" w:fill="FFFFFF"/>
            <w:vAlign w:val="center"/>
            <w:hideMark/>
          </w:tcPr>
          <w:p w14:paraId="12BD1CA4" w14:textId="77777777" w:rsidR="00BD53AF" w:rsidRPr="00F5402D" w:rsidRDefault="00BD53AF" w:rsidP="00387AE5">
            <w:pPr>
              <w:jc w:val="center"/>
              <w:rPr>
                <w:rFonts w:cs="Times New Roman"/>
                <w:color w:val="000000"/>
                <w:sz w:val="18"/>
                <w:szCs w:val="18"/>
                <w:lang w:eastAsia="en-US"/>
              </w:rPr>
            </w:pPr>
            <w:r w:rsidRPr="00F5402D">
              <w:rPr>
                <w:rFonts w:cs="Times New Roman"/>
                <w:color w:val="000000"/>
                <w:sz w:val="18"/>
                <w:szCs w:val="18"/>
                <w:lang w:eastAsia="en-US"/>
              </w:rPr>
              <w:t> </w:t>
            </w:r>
          </w:p>
        </w:tc>
        <w:tc>
          <w:tcPr>
            <w:tcW w:w="892" w:type="dxa"/>
            <w:tcBorders>
              <w:top w:val="nil"/>
              <w:left w:val="nil"/>
              <w:bottom w:val="nil"/>
              <w:right w:val="nil"/>
            </w:tcBorders>
            <w:shd w:val="clear" w:color="000000" w:fill="FFFFFF"/>
            <w:vAlign w:val="center"/>
            <w:hideMark/>
          </w:tcPr>
          <w:p w14:paraId="7C007A2B" w14:textId="77777777" w:rsidR="00BD53AF" w:rsidRPr="00F5402D" w:rsidRDefault="00BD53AF" w:rsidP="00387AE5">
            <w:pPr>
              <w:jc w:val="center"/>
              <w:rPr>
                <w:rFonts w:cs="Times New Roman"/>
                <w:color w:val="000000"/>
                <w:sz w:val="18"/>
                <w:szCs w:val="18"/>
                <w:lang w:eastAsia="en-US"/>
              </w:rPr>
            </w:pPr>
            <w:r w:rsidRPr="00F5402D">
              <w:rPr>
                <w:rFonts w:cs="Times New Roman"/>
                <w:color w:val="000000"/>
                <w:sz w:val="18"/>
                <w:szCs w:val="18"/>
                <w:lang w:eastAsia="en-US"/>
              </w:rPr>
              <w:t> </w:t>
            </w:r>
          </w:p>
        </w:tc>
        <w:tc>
          <w:tcPr>
            <w:tcW w:w="892" w:type="dxa"/>
            <w:tcBorders>
              <w:top w:val="nil"/>
              <w:left w:val="nil"/>
              <w:bottom w:val="nil"/>
              <w:right w:val="nil"/>
            </w:tcBorders>
            <w:shd w:val="clear" w:color="000000" w:fill="FFFFFF"/>
            <w:vAlign w:val="center"/>
            <w:hideMark/>
          </w:tcPr>
          <w:p w14:paraId="395BC579" w14:textId="77777777" w:rsidR="00BD53AF" w:rsidRPr="00F5402D" w:rsidRDefault="00BD53AF" w:rsidP="00387AE5">
            <w:pPr>
              <w:jc w:val="center"/>
              <w:rPr>
                <w:rFonts w:cs="Times New Roman"/>
                <w:color w:val="000000"/>
                <w:sz w:val="18"/>
                <w:szCs w:val="18"/>
                <w:lang w:eastAsia="en-US"/>
              </w:rPr>
            </w:pPr>
            <w:r w:rsidRPr="00F5402D">
              <w:rPr>
                <w:rFonts w:cs="Times New Roman"/>
                <w:color w:val="000000"/>
                <w:sz w:val="18"/>
                <w:szCs w:val="18"/>
                <w:lang w:eastAsia="en-US"/>
              </w:rPr>
              <w:t> </w:t>
            </w:r>
          </w:p>
        </w:tc>
        <w:tc>
          <w:tcPr>
            <w:tcW w:w="892" w:type="dxa"/>
            <w:tcBorders>
              <w:top w:val="nil"/>
              <w:left w:val="nil"/>
              <w:bottom w:val="nil"/>
              <w:right w:val="nil"/>
            </w:tcBorders>
            <w:shd w:val="clear" w:color="000000" w:fill="FFFFFF"/>
            <w:vAlign w:val="center"/>
            <w:hideMark/>
          </w:tcPr>
          <w:p w14:paraId="10B3848F" w14:textId="77777777" w:rsidR="00BD53AF" w:rsidRPr="00F5402D" w:rsidRDefault="00BD53AF" w:rsidP="00387AE5">
            <w:pPr>
              <w:jc w:val="center"/>
              <w:rPr>
                <w:rFonts w:cs="Times New Roman"/>
                <w:color w:val="000000"/>
                <w:sz w:val="18"/>
                <w:szCs w:val="18"/>
                <w:lang w:eastAsia="en-US"/>
              </w:rPr>
            </w:pPr>
            <w:r w:rsidRPr="00F5402D">
              <w:rPr>
                <w:rFonts w:cs="Times New Roman"/>
                <w:color w:val="000000"/>
                <w:sz w:val="18"/>
                <w:szCs w:val="18"/>
                <w:lang w:eastAsia="en-US"/>
              </w:rPr>
              <w:t> </w:t>
            </w:r>
          </w:p>
        </w:tc>
        <w:tc>
          <w:tcPr>
            <w:tcW w:w="892" w:type="dxa"/>
            <w:tcBorders>
              <w:top w:val="nil"/>
              <w:left w:val="nil"/>
              <w:bottom w:val="nil"/>
              <w:right w:val="nil"/>
            </w:tcBorders>
            <w:shd w:val="clear" w:color="000000" w:fill="FFFFFF"/>
            <w:noWrap/>
            <w:vAlign w:val="center"/>
            <w:hideMark/>
          </w:tcPr>
          <w:p w14:paraId="51F10E02" w14:textId="77777777" w:rsidR="00BD53AF" w:rsidRPr="00F5402D" w:rsidRDefault="00BD53AF" w:rsidP="00387AE5">
            <w:pPr>
              <w:rPr>
                <w:rFonts w:cs="Times New Roman"/>
                <w:color w:val="000000"/>
                <w:sz w:val="18"/>
                <w:szCs w:val="18"/>
                <w:lang w:eastAsia="en-US"/>
              </w:rPr>
            </w:pPr>
            <w:r w:rsidRPr="00F5402D">
              <w:rPr>
                <w:rFonts w:cs="Times New Roman"/>
                <w:color w:val="000000"/>
                <w:sz w:val="18"/>
                <w:szCs w:val="18"/>
                <w:lang w:eastAsia="en-US"/>
              </w:rPr>
              <w:t> </w:t>
            </w:r>
          </w:p>
        </w:tc>
        <w:tc>
          <w:tcPr>
            <w:tcW w:w="1064" w:type="dxa"/>
            <w:tcBorders>
              <w:top w:val="nil"/>
              <w:left w:val="nil"/>
              <w:bottom w:val="nil"/>
              <w:right w:val="nil"/>
            </w:tcBorders>
            <w:shd w:val="clear" w:color="000000" w:fill="FFFFFF"/>
            <w:noWrap/>
            <w:vAlign w:val="center"/>
          </w:tcPr>
          <w:p w14:paraId="27B33513" w14:textId="77777777" w:rsidR="00BD53AF" w:rsidRPr="00F5402D" w:rsidRDefault="00BD53AF" w:rsidP="00387AE5">
            <w:pPr>
              <w:rPr>
                <w:rFonts w:cs="Times New Roman"/>
                <w:color w:val="000000"/>
                <w:sz w:val="18"/>
                <w:szCs w:val="18"/>
                <w:lang w:eastAsia="en-US"/>
              </w:rPr>
            </w:pPr>
          </w:p>
        </w:tc>
      </w:tr>
      <w:tr w:rsidR="00BD53AF" w:rsidRPr="00F5402D" w14:paraId="09291C5F" w14:textId="77777777" w:rsidTr="00387AE5">
        <w:trPr>
          <w:trHeight w:val="170"/>
        </w:trPr>
        <w:tc>
          <w:tcPr>
            <w:tcW w:w="3622" w:type="dxa"/>
            <w:tcBorders>
              <w:top w:val="nil"/>
              <w:left w:val="nil"/>
              <w:bottom w:val="nil"/>
              <w:right w:val="nil"/>
            </w:tcBorders>
            <w:shd w:val="clear" w:color="auto" w:fill="auto"/>
            <w:vAlign w:val="center"/>
            <w:hideMark/>
          </w:tcPr>
          <w:p w14:paraId="46F3CAA8"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Predchádzajúca aktualizácia*</w:t>
            </w:r>
          </w:p>
        </w:tc>
        <w:tc>
          <w:tcPr>
            <w:tcW w:w="870" w:type="dxa"/>
            <w:tcBorders>
              <w:top w:val="nil"/>
              <w:left w:val="nil"/>
              <w:bottom w:val="nil"/>
              <w:right w:val="nil"/>
            </w:tcBorders>
            <w:shd w:val="clear" w:color="auto" w:fill="auto"/>
            <w:vAlign w:val="center"/>
            <w:hideMark/>
          </w:tcPr>
          <w:p w14:paraId="11B25E29" w14:textId="77777777" w:rsidR="00BD53AF" w:rsidRPr="00F5402D"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auto" w:fill="auto"/>
            <w:noWrap/>
            <w:hideMark/>
          </w:tcPr>
          <w:p w14:paraId="02D2F72E" w14:textId="77777777" w:rsidR="00BD53AF" w:rsidRPr="00F5402D" w:rsidRDefault="00BD53AF" w:rsidP="00387AE5">
            <w:pPr>
              <w:jc w:val="center"/>
              <w:rPr>
                <w:rFonts w:cs="Times New Roman"/>
                <w:color w:val="000000"/>
                <w:sz w:val="16"/>
                <w:szCs w:val="16"/>
                <w:lang w:eastAsia="en-US"/>
              </w:rPr>
            </w:pPr>
            <w:r w:rsidRPr="00F5402D">
              <w:rPr>
                <w:sz w:val="16"/>
                <w:szCs w:val="16"/>
              </w:rPr>
              <w:t>4,2</w:t>
            </w:r>
          </w:p>
        </w:tc>
        <w:tc>
          <w:tcPr>
            <w:tcW w:w="892" w:type="dxa"/>
            <w:tcBorders>
              <w:top w:val="nil"/>
              <w:left w:val="nil"/>
              <w:bottom w:val="nil"/>
              <w:right w:val="nil"/>
            </w:tcBorders>
            <w:shd w:val="clear" w:color="auto" w:fill="auto"/>
            <w:noWrap/>
            <w:hideMark/>
          </w:tcPr>
          <w:p w14:paraId="72616099" w14:textId="77777777" w:rsidR="00BD53AF" w:rsidRPr="00F5402D" w:rsidRDefault="00BD53AF" w:rsidP="00387AE5">
            <w:pPr>
              <w:jc w:val="center"/>
              <w:rPr>
                <w:rFonts w:cs="Times New Roman"/>
                <w:color w:val="000000"/>
                <w:sz w:val="16"/>
                <w:szCs w:val="16"/>
                <w:lang w:eastAsia="en-US"/>
              </w:rPr>
            </w:pPr>
            <w:r w:rsidRPr="00F5402D">
              <w:rPr>
                <w:sz w:val="16"/>
                <w:szCs w:val="16"/>
              </w:rPr>
              <w:t>4,5</w:t>
            </w:r>
          </w:p>
        </w:tc>
        <w:tc>
          <w:tcPr>
            <w:tcW w:w="892" w:type="dxa"/>
            <w:tcBorders>
              <w:top w:val="nil"/>
              <w:left w:val="nil"/>
              <w:bottom w:val="nil"/>
              <w:right w:val="nil"/>
            </w:tcBorders>
            <w:shd w:val="clear" w:color="auto" w:fill="auto"/>
            <w:noWrap/>
            <w:hideMark/>
          </w:tcPr>
          <w:p w14:paraId="1CC3B2F7" w14:textId="77777777" w:rsidR="00BD53AF" w:rsidRPr="00F5402D" w:rsidRDefault="00BD53AF" w:rsidP="00387AE5">
            <w:pPr>
              <w:jc w:val="center"/>
              <w:rPr>
                <w:rFonts w:cs="Times New Roman"/>
                <w:color w:val="000000"/>
                <w:sz w:val="16"/>
                <w:szCs w:val="16"/>
                <w:lang w:eastAsia="en-US"/>
              </w:rPr>
            </w:pPr>
            <w:r w:rsidRPr="00F5402D">
              <w:rPr>
                <w:sz w:val="16"/>
                <w:szCs w:val="16"/>
              </w:rPr>
              <w:t>3,9</w:t>
            </w:r>
          </w:p>
        </w:tc>
        <w:tc>
          <w:tcPr>
            <w:tcW w:w="892" w:type="dxa"/>
            <w:tcBorders>
              <w:top w:val="nil"/>
              <w:left w:val="nil"/>
              <w:bottom w:val="nil"/>
              <w:right w:val="nil"/>
            </w:tcBorders>
            <w:shd w:val="clear" w:color="auto" w:fill="auto"/>
            <w:noWrap/>
            <w:hideMark/>
          </w:tcPr>
          <w:p w14:paraId="1AB56EFF" w14:textId="77777777" w:rsidR="00BD53AF" w:rsidRPr="00F5402D" w:rsidRDefault="00BD53AF" w:rsidP="00387AE5">
            <w:pPr>
              <w:jc w:val="center"/>
              <w:rPr>
                <w:rFonts w:cs="Times New Roman"/>
                <w:color w:val="000000"/>
                <w:sz w:val="16"/>
                <w:szCs w:val="16"/>
                <w:lang w:eastAsia="en-US"/>
              </w:rPr>
            </w:pPr>
            <w:r w:rsidRPr="00F5402D">
              <w:rPr>
                <w:sz w:val="16"/>
                <w:szCs w:val="16"/>
              </w:rPr>
              <w:t>3,4</w:t>
            </w:r>
          </w:p>
        </w:tc>
        <w:tc>
          <w:tcPr>
            <w:tcW w:w="1064" w:type="dxa"/>
            <w:tcBorders>
              <w:top w:val="nil"/>
              <w:left w:val="nil"/>
              <w:bottom w:val="nil"/>
              <w:right w:val="nil"/>
            </w:tcBorders>
            <w:shd w:val="clear" w:color="auto" w:fill="auto"/>
            <w:noWrap/>
          </w:tcPr>
          <w:p w14:paraId="3D6FE821" w14:textId="77777777" w:rsidR="00BD53AF" w:rsidRPr="00F5402D" w:rsidRDefault="00BD53AF" w:rsidP="00387AE5">
            <w:pPr>
              <w:jc w:val="center"/>
              <w:rPr>
                <w:rFonts w:cs="Times New Roman"/>
                <w:color w:val="000000"/>
                <w:sz w:val="16"/>
                <w:szCs w:val="16"/>
                <w:lang w:eastAsia="en-US"/>
              </w:rPr>
            </w:pPr>
            <w:r w:rsidRPr="00F5402D">
              <w:rPr>
                <w:sz w:val="16"/>
                <w:szCs w:val="16"/>
              </w:rPr>
              <w:t>-</w:t>
            </w:r>
          </w:p>
        </w:tc>
      </w:tr>
      <w:tr w:rsidR="00BD53AF" w:rsidRPr="00F5402D" w14:paraId="43AD71DB" w14:textId="77777777" w:rsidTr="00387AE5">
        <w:trPr>
          <w:trHeight w:val="170"/>
        </w:trPr>
        <w:tc>
          <w:tcPr>
            <w:tcW w:w="3622" w:type="dxa"/>
            <w:tcBorders>
              <w:top w:val="nil"/>
              <w:left w:val="nil"/>
              <w:bottom w:val="nil"/>
              <w:right w:val="nil"/>
            </w:tcBorders>
            <w:shd w:val="clear" w:color="auto" w:fill="auto"/>
            <w:vAlign w:val="center"/>
            <w:hideMark/>
          </w:tcPr>
          <w:p w14:paraId="09322EF3"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Skutočnosť a súčasná aktualizácia</w:t>
            </w:r>
          </w:p>
        </w:tc>
        <w:tc>
          <w:tcPr>
            <w:tcW w:w="870" w:type="dxa"/>
            <w:tcBorders>
              <w:top w:val="nil"/>
              <w:left w:val="nil"/>
              <w:bottom w:val="nil"/>
              <w:right w:val="nil"/>
            </w:tcBorders>
            <w:shd w:val="clear" w:color="auto" w:fill="auto"/>
            <w:noWrap/>
            <w:vAlign w:val="center"/>
            <w:hideMark/>
          </w:tcPr>
          <w:p w14:paraId="653FC9DC" w14:textId="77777777" w:rsidR="00BD53AF" w:rsidRPr="00F5402D"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000000" w:fill="FFFFFF"/>
            <w:hideMark/>
          </w:tcPr>
          <w:p w14:paraId="5B2FF5DB" w14:textId="77777777" w:rsidR="00BD53AF" w:rsidRPr="00F5402D" w:rsidRDefault="00BD53AF" w:rsidP="00387AE5">
            <w:pPr>
              <w:jc w:val="center"/>
              <w:rPr>
                <w:rFonts w:cs="Times New Roman"/>
                <w:color w:val="000000"/>
                <w:sz w:val="16"/>
                <w:szCs w:val="16"/>
                <w:lang w:eastAsia="en-US"/>
              </w:rPr>
            </w:pPr>
            <w:r w:rsidRPr="00F5402D">
              <w:rPr>
                <w:sz w:val="16"/>
                <w:szCs w:val="16"/>
              </w:rPr>
              <w:t>4,1</w:t>
            </w:r>
          </w:p>
        </w:tc>
        <w:tc>
          <w:tcPr>
            <w:tcW w:w="892" w:type="dxa"/>
            <w:tcBorders>
              <w:top w:val="nil"/>
              <w:left w:val="nil"/>
              <w:bottom w:val="nil"/>
              <w:right w:val="nil"/>
            </w:tcBorders>
            <w:shd w:val="clear" w:color="auto" w:fill="auto"/>
            <w:hideMark/>
          </w:tcPr>
          <w:p w14:paraId="59F7B2D7" w14:textId="77777777" w:rsidR="00BD53AF" w:rsidRPr="00F5402D" w:rsidRDefault="00BD53AF" w:rsidP="00387AE5">
            <w:pPr>
              <w:jc w:val="center"/>
              <w:rPr>
                <w:rFonts w:cs="Times New Roman"/>
                <w:color w:val="000000"/>
                <w:sz w:val="16"/>
                <w:szCs w:val="16"/>
                <w:lang w:eastAsia="en-US"/>
              </w:rPr>
            </w:pPr>
            <w:r w:rsidRPr="00F5402D">
              <w:rPr>
                <w:sz w:val="16"/>
                <w:szCs w:val="16"/>
              </w:rPr>
              <w:t>4,0</w:t>
            </w:r>
          </w:p>
        </w:tc>
        <w:tc>
          <w:tcPr>
            <w:tcW w:w="892" w:type="dxa"/>
            <w:tcBorders>
              <w:top w:val="nil"/>
              <w:left w:val="nil"/>
              <w:bottom w:val="nil"/>
              <w:right w:val="nil"/>
            </w:tcBorders>
            <w:shd w:val="clear" w:color="auto" w:fill="auto"/>
            <w:hideMark/>
          </w:tcPr>
          <w:p w14:paraId="0E94CB9C" w14:textId="77777777" w:rsidR="00BD53AF" w:rsidRPr="00F5402D" w:rsidRDefault="00BD53AF" w:rsidP="00387AE5">
            <w:pPr>
              <w:jc w:val="center"/>
              <w:rPr>
                <w:rFonts w:cs="Times New Roman"/>
                <w:color w:val="000000"/>
                <w:sz w:val="16"/>
                <w:szCs w:val="16"/>
                <w:lang w:eastAsia="en-US"/>
              </w:rPr>
            </w:pPr>
            <w:r w:rsidRPr="00F5402D">
              <w:rPr>
                <w:sz w:val="16"/>
                <w:szCs w:val="16"/>
              </w:rPr>
              <w:t>3,7</w:t>
            </w:r>
          </w:p>
        </w:tc>
        <w:tc>
          <w:tcPr>
            <w:tcW w:w="892" w:type="dxa"/>
            <w:tcBorders>
              <w:top w:val="nil"/>
              <w:left w:val="nil"/>
              <w:bottom w:val="nil"/>
              <w:right w:val="nil"/>
            </w:tcBorders>
            <w:shd w:val="clear" w:color="auto" w:fill="auto"/>
            <w:hideMark/>
          </w:tcPr>
          <w:p w14:paraId="7D53C98E" w14:textId="77777777" w:rsidR="00BD53AF" w:rsidRPr="00F5402D" w:rsidRDefault="00BD53AF" w:rsidP="00387AE5">
            <w:pPr>
              <w:jc w:val="center"/>
              <w:rPr>
                <w:rFonts w:cs="Times New Roman"/>
                <w:color w:val="000000"/>
                <w:sz w:val="16"/>
                <w:szCs w:val="16"/>
                <w:lang w:eastAsia="en-US"/>
              </w:rPr>
            </w:pPr>
            <w:r w:rsidRPr="00F5402D">
              <w:rPr>
                <w:sz w:val="16"/>
                <w:szCs w:val="16"/>
              </w:rPr>
              <w:t>3,2</w:t>
            </w:r>
          </w:p>
        </w:tc>
        <w:tc>
          <w:tcPr>
            <w:tcW w:w="1064" w:type="dxa"/>
            <w:tcBorders>
              <w:top w:val="nil"/>
              <w:left w:val="nil"/>
              <w:bottom w:val="nil"/>
              <w:right w:val="nil"/>
            </w:tcBorders>
            <w:shd w:val="clear" w:color="auto" w:fill="auto"/>
          </w:tcPr>
          <w:p w14:paraId="12683B09" w14:textId="77777777" w:rsidR="00BD53AF" w:rsidRPr="00F5402D" w:rsidRDefault="00BD53AF" w:rsidP="00387AE5">
            <w:pPr>
              <w:jc w:val="center"/>
              <w:rPr>
                <w:rFonts w:cs="Times New Roman"/>
                <w:color w:val="000000"/>
                <w:sz w:val="16"/>
                <w:szCs w:val="16"/>
                <w:lang w:eastAsia="en-US"/>
              </w:rPr>
            </w:pPr>
            <w:r w:rsidRPr="00F5402D">
              <w:rPr>
                <w:sz w:val="16"/>
                <w:szCs w:val="16"/>
              </w:rPr>
              <w:t>2,5</w:t>
            </w:r>
          </w:p>
        </w:tc>
      </w:tr>
      <w:tr w:rsidR="00BD53AF" w:rsidRPr="00F5402D" w14:paraId="40E7FD70" w14:textId="77777777" w:rsidTr="00387AE5">
        <w:trPr>
          <w:trHeight w:val="170"/>
        </w:trPr>
        <w:tc>
          <w:tcPr>
            <w:tcW w:w="3622" w:type="dxa"/>
            <w:tcBorders>
              <w:top w:val="nil"/>
              <w:left w:val="nil"/>
              <w:bottom w:val="nil"/>
              <w:right w:val="nil"/>
            </w:tcBorders>
            <w:shd w:val="clear" w:color="auto" w:fill="auto"/>
            <w:vAlign w:val="center"/>
            <w:hideMark/>
          </w:tcPr>
          <w:p w14:paraId="6FF5B121"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Rozdiel</w:t>
            </w:r>
          </w:p>
        </w:tc>
        <w:tc>
          <w:tcPr>
            <w:tcW w:w="870" w:type="dxa"/>
            <w:tcBorders>
              <w:top w:val="nil"/>
              <w:left w:val="nil"/>
              <w:bottom w:val="nil"/>
              <w:right w:val="nil"/>
            </w:tcBorders>
            <w:shd w:val="clear" w:color="auto" w:fill="auto"/>
            <w:vAlign w:val="center"/>
            <w:hideMark/>
          </w:tcPr>
          <w:p w14:paraId="3F991F46" w14:textId="77777777" w:rsidR="00BD53AF" w:rsidRPr="00F5402D"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auto" w:fill="auto"/>
            <w:hideMark/>
          </w:tcPr>
          <w:p w14:paraId="705183A3" w14:textId="77777777" w:rsidR="00BD53AF" w:rsidRPr="00F5402D" w:rsidRDefault="00BD53AF" w:rsidP="00387AE5">
            <w:pPr>
              <w:jc w:val="center"/>
              <w:rPr>
                <w:rFonts w:cs="Times New Roman"/>
                <w:color w:val="000000"/>
                <w:sz w:val="16"/>
                <w:szCs w:val="16"/>
                <w:lang w:eastAsia="en-US"/>
              </w:rPr>
            </w:pPr>
            <w:r w:rsidRPr="00F5402D">
              <w:rPr>
                <w:sz w:val="16"/>
                <w:szCs w:val="16"/>
              </w:rPr>
              <w:t>-0,1</w:t>
            </w:r>
          </w:p>
        </w:tc>
        <w:tc>
          <w:tcPr>
            <w:tcW w:w="892" w:type="dxa"/>
            <w:tcBorders>
              <w:top w:val="nil"/>
              <w:left w:val="nil"/>
              <w:bottom w:val="nil"/>
              <w:right w:val="nil"/>
            </w:tcBorders>
            <w:shd w:val="clear" w:color="auto" w:fill="auto"/>
            <w:hideMark/>
          </w:tcPr>
          <w:p w14:paraId="023401CC" w14:textId="77777777" w:rsidR="00BD53AF" w:rsidRPr="00F5402D" w:rsidRDefault="00BD53AF" w:rsidP="00387AE5">
            <w:pPr>
              <w:jc w:val="center"/>
              <w:rPr>
                <w:rFonts w:cs="Times New Roman"/>
                <w:color w:val="000000"/>
                <w:sz w:val="16"/>
                <w:szCs w:val="16"/>
                <w:lang w:eastAsia="en-US"/>
              </w:rPr>
            </w:pPr>
            <w:r w:rsidRPr="00F5402D">
              <w:rPr>
                <w:sz w:val="16"/>
                <w:szCs w:val="16"/>
              </w:rPr>
              <w:t>-0,5</w:t>
            </w:r>
          </w:p>
        </w:tc>
        <w:tc>
          <w:tcPr>
            <w:tcW w:w="892" w:type="dxa"/>
            <w:tcBorders>
              <w:top w:val="nil"/>
              <w:left w:val="nil"/>
              <w:bottom w:val="nil"/>
              <w:right w:val="nil"/>
            </w:tcBorders>
            <w:shd w:val="clear" w:color="auto" w:fill="auto"/>
            <w:hideMark/>
          </w:tcPr>
          <w:p w14:paraId="2035B312" w14:textId="77777777" w:rsidR="00BD53AF" w:rsidRPr="00F5402D" w:rsidRDefault="00BD53AF" w:rsidP="00387AE5">
            <w:pPr>
              <w:jc w:val="center"/>
              <w:rPr>
                <w:rFonts w:cs="Times New Roman"/>
                <w:color w:val="000000"/>
                <w:sz w:val="16"/>
                <w:szCs w:val="16"/>
                <w:lang w:eastAsia="en-US"/>
              </w:rPr>
            </w:pPr>
            <w:r w:rsidRPr="00F5402D">
              <w:rPr>
                <w:sz w:val="16"/>
                <w:szCs w:val="16"/>
              </w:rPr>
              <w:t>-0,2</w:t>
            </w:r>
          </w:p>
        </w:tc>
        <w:tc>
          <w:tcPr>
            <w:tcW w:w="892" w:type="dxa"/>
            <w:tcBorders>
              <w:top w:val="nil"/>
              <w:left w:val="nil"/>
              <w:bottom w:val="nil"/>
              <w:right w:val="nil"/>
            </w:tcBorders>
            <w:shd w:val="clear" w:color="auto" w:fill="auto"/>
            <w:hideMark/>
          </w:tcPr>
          <w:p w14:paraId="472389B7" w14:textId="77777777" w:rsidR="00BD53AF" w:rsidRPr="00F5402D" w:rsidRDefault="00BD53AF" w:rsidP="00387AE5">
            <w:pPr>
              <w:jc w:val="center"/>
              <w:rPr>
                <w:rFonts w:cs="Times New Roman"/>
                <w:color w:val="000000"/>
                <w:sz w:val="16"/>
                <w:szCs w:val="16"/>
                <w:lang w:eastAsia="en-US"/>
              </w:rPr>
            </w:pPr>
            <w:r w:rsidRPr="00F5402D">
              <w:rPr>
                <w:sz w:val="16"/>
                <w:szCs w:val="16"/>
              </w:rPr>
              <w:t>-0,2</w:t>
            </w:r>
          </w:p>
        </w:tc>
        <w:tc>
          <w:tcPr>
            <w:tcW w:w="1064" w:type="dxa"/>
            <w:tcBorders>
              <w:top w:val="nil"/>
              <w:left w:val="nil"/>
              <w:bottom w:val="nil"/>
              <w:right w:val="nil"/>
            </w:tcBorders>
            <w:shd w:val="clear" w:color="auto" w:fill="auto"/>
          </w:tcPr>
          <w:p w14:paraId="39670999" w14:textId="77777777" w:rsidR="00BD53AF" w:rsidRPr="00F5402D" w:rsidRDefault="00BD53AF" w:rsidP="00387AE5">
            <w:pPr>
              <w:jc w:val="center"/>
              <w:rPr>
                <w:rFonts w:cs="Times New Roman"/>
                <w:color w:val="000000"/>
                <w:sz w:val="16"/>
                <w:szCs w:val="16"/>
                <w:lang w:eastAsia="en-US"/>
              </w:rPr>
            </w:pPr>
            <w:r w:rsidRPr="00F5402D">
              <w:rPr>
                <w:sz w:val="16"/>
                <w:szCs w:val="16"/>
              </w:rPr>
              <w:t>-</w:t>
            </w:r>
          </w:p>
        </w:tc>
      </w:tr>
      <w:tr w:rsidR="00BD53AF" w:rsidRPr="00F5402D" w14:paraId="676E2CC7" w14:textId="77777777" w:rsidTr="00387AE5">
        <w:trPr>
          <w:trHeight w:val="170"/>
        </w:trPr>
        <w:tc>
          <w:tcPr>
            <w:tcW w:w="3622" w:type="dxa"/>
            <w:tcBorders>
              <w:top w:val="single" w:sz="8" w:space="0" w:color="000000"/>
              <w:left w:val="nil"/>
              <w:bottom w:val="nil"/>
              <w:right w:val="nil"/>
            </w:tcBorders>
            <w:shd w:val="clear" w:color="auto" w:fill="auto"/>
            <w:noWrap/>
            <w:vAlign w:val="center"/>
            <w:hideMark/>
          </w:tcPr>
          <w:p w14:paraId="1EF276C6" w14:textId="77777777" w:rsidR="00BD53AF" w:rsidRPr="00F5402D" w:rsidRDefault="00BD53AF" w:rsidP="00387AE5">
            <w:pPr>
              <w:rPr>
                <w:rFonts w:cs="Times New Roman"/>
                <w:b/>
                <w:bCs/>
                <w:color w:val="000000"/>
                <w:sz w:val="18"/>
                <w:szCs w:val="18"/>
                <w:lang w:eastAsia="en-US"/>
              </w:rPr>
            </w:pPr>
            <w:r w:rsidRPr="00F5402D">
              <w:rPr>
                <w:rFonts w:cs="Times New Roman"/>
                <w:b/>
                <w:bCs/>
                <w:color w:val="000000"/>
                <w:sz w:val="18"/>
                <w:szCs w:val="18"/>
                <w:lang w:eastAsia="en-US"/>
              </w:rPr>
              <w:t>Saldo verejnej správy (% HDP)</w:t>
            </w:r>
          </w:p>
        </w:tc>
        <w:tc>
          <w:tcPr>
            <w:tcW w:w="870" w:type="dxa"/>
            <w:tcBorders>
              <w:top w:val="single" w:sz="8" w:space="0" w:color="000000"/>
              <w:left w:val="nil"/>
              <w:bottom w:val="nil"/>
              <w:right w:val="nil"/>
            </w:tcBorders>
            <w:shd w:val="clear" w:color="auto" w:fill="auto"/>
            <w:vAlign w:val="center"/>
            <w:hideMark/>
          </w:tcPr>
          <w:p w14:paraId="56C34F89" w14:textId="77777777" w:rsidR="00BD53AF" w:rsidRPr="00F5402D" w:rsidRDefault="00BD53AF" w:rsidP="00387AE5">
            <w:pPr>
              <w:jc w:val="center"/>
              <w:rPr>
                <w:rFonts w:cs="Times New Roman"/>
                <w:color w:val="000000"/>
                <w:sz w:val="18"/>
                <w:szCs w:val="18"/>
                <w:lang w:eastAsia="en-US"/>
              </w:rPr>
            </w:pPr>
            <w:r w:rsidRPr="00F5402D">
              <w:rPr>
                <w:rFonts w:cs="Times New Roman"/>
                <w:color w:val="000000"/>
                <w:sz w:val="18"/>
                <w:szCs w:val="18"/>
                <w:lang w:eastAsia="en-US"/>
              </w:rPr>
              <w:t>EDP B.9</w:t>
            </w:r>
          </w:p>
        </w:tc>
        <w:tc>
          <w:tcPr>
            <w:tcW w:w="892" w:type="dxa"/>
            <w:tcBorders>
              <w:top w:val="single" w:sz="8" w:space="0" w:color="000000"/>
              <w:left w:val="nil"/>
              <w:bottom w:val="nil"/>
              <w:right w:val="nil"/>
            </w:tcBorders>
            <w:shd w:val="clear" w:color="auto" w:fill="auto"/>
            <w:vAlign w:val="center"/>
            <w:hideMark/>
          </w:tcPr>
          <w:p w14:paraId="1DCF3129"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892" w:type="dxa"/>
            <w:tcBorders>
              <w:top w:val="single" w:sz="8" w:space="0" w:color="000000"/>
              <w:left w:val="nil"/>
              <w:bottom w:val="nil"/>
              <w:right w:val="nil"/>
            </w:tcBorders>
            <w:shd w:val="clear" w:color="auto" w:fill="auto"/>
            <w:vAlign w:val="center"/>
            <w:hideMark/>
          </w:tcPr>
          <w:p w14:paraId="309DA512"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892" w:type="dxa"/>
            <w:tcBorders>
              <w:top w:val="single" w:sz="8" w:space="0" w:color="000000"/>
              <w:left w:val="nil"/>
              <w:bottom w:val="nil"/>
              <w:right w:val="nil"/>
            </w:tcBorders>
            <w:shd w:val="clear" w:color="auto" w:fill="auto"/>
            <w:vAlign w:val="center"/>
            <w:hideMark/>
          </w:tcPr>
          <w:p w14:paraId="2AD27FB4"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892" w:type="dxa"/>
            <w:tcBorders>
              <w:top w:val="single" w:sz="8" w:space="0" w:color="000000"/>
              <w:left w:val="nil"/>
              <w:bottom w:val="nil"/>
              <w:right w:val="nil"/>
            </w:tcBorders>
            <w:shd w:val="clear" w:color="auto" w:fill="auto"/>
            <w:noWrap/>
            <w:vAlign w:val="center"/>
            <w:hideMark/>
          </w:tcPr>
          <w:p w14:paraId="6879DFE6" w14:textId="77777777" w:rsidR="00BD53AF" w:rsidRPr="00F5402D" w:rsidRDefault="00BD53AF" w:rsidP="00387AE5">
            <w:pPr>
              <w:rPr>
                <w:rFonts w:cs="Times New Roman"/>
                <w:color w:val="000000"/>
                <w:sz w:val="16"/>
                <w:szCs w:val="16"/>
                <w:lang w:eastAsia="en-US"/>
              </w:rPr>
            </w:pPr>
            <w:r w:rsidRPr="00F5402D">
              <w:rPr>
                <w:rFonts w:cs="Times New Roman"/>
                <w:color w:val="000000"/>
                <w:sz w:val="16"/>
                <w:szCs w:val="16"/>
                <w:lang w:eastAsia="en-US"/>
              </w:rPr>
              <w:t> </w:t>
            </w:r>
          </w:p>
        </w:tc>
        <w:tc>
          <w:tcPr>
            <w:tcW w:w="1064" w:type="dxa"/>
            <w:tcBorders>
              <w:top w:val="single" w:sz="8" w:space="0" w:color="000000"/>
              <w:left w:val="nil"/>
              <w:bottom w:val="nil"/>
              <w:right w:val="nil"/>
            </w:tcBorders>
            <w:shd w:val="clear" w:color="auto" w:fill="auto"/>
            <w:noWrap/>
            <w:vAlign w:val="center"/>
          </w:tcPr>
          <w:p w14:paraId="268F6DA5" w14:textId="77777777" w:rsidR="00BD53AF" w:rsidRPr="00F5402D" w:rsidRDefault="00BD53AF" w:rsidP="00387AE5">
            <w:pPr>
              <w:rPr>
                <w:rFonts w:cs="Times New Roman"/>
                <w:color w:val="000000"/>
                <w:sz w:val="16"/>
                <w:szCs w:val="16"/>
                <w:lang w:eastAsia="en-US"/>
              </w:rPr>
            </w:pPr>
          </w:p>
        </w:tc>
      </w:tr>
      <w:tr w:rsidR="00BD53AF" w:rsidRPr="00F5402D" w14:paraId="39A5AE35" w14:textId="77777777" w:rsidTr="00387AE5">
        <w:trPr>
          <w:trHeight w:val="170"/>
        </w:trPr>
        <w:tc>
          <w:tcPr>
            <w:tcW w:w="3622" w:type="dxa"/>
            <w:tcBorders>
              <w:top w:val="nil"/>
              <w:left w:val="nil"/>
              <w:bottom w:val="nil"/>
              <w:right w:val="nil"/>
            </w:tcBorders>
            <w:shd w:val="clear" w:color="auto" w:fill="auto"/>
            <w:vAlign w:val="center"/>
            <w:hideMark/>
          </w:tcPr>
          <w:p w14:paraId="08B8C655"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Predchádzajúca aktualizácia*</w:t>
            </w:r>
          </w:p>
        </w:tc>
        <w:tc>
          <w:tcPr>
            <w:tcW w:w="870" w:type="dxa"/>
            <w:tcBorders>
              <w:top w:val="nil"/>
              <w:left w:val="nil"/>
              <w:bottom w:val="nil"/>
              <w:right w:val="nil"/>
            </w:tcBorders>
            <w:shd w:val="clear" w:color="auto" w:fill="auto"/>
            <w:noWrap/>
            <w:vAlign w:val="center"/>
            <w:hideMark/>
          </w:tcPr>
          <w:p w14:paraId="339D5DE8" w14:textId="77777777" w:rsidR="00BD53AF" w:rsidRPr="00F5402D"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auto" w:fill="auto"/>
            <w:noWrap/>
            <w:hideMark/>
          </w:tcPr>
          <w:p w14:paraId="37285B82" w14:textId="77777777" w:rsidR="00BD53AF" w:rsidRPr="00F5402D" w:rsidRDefault="00BD53AF" w:rsidP="00387AE5">
            <w:pPr>
              <w:jc w:val="center"/>
              <w:rPr>
                <w:rFonts w:cs="Times New Roman"/>
                <w:color w:val="000000"/>
                <w:sz w:val="16"/>
                <w:szCs w:val="16"/>
                <w:lang w:eastAsia="en-US"/>
              </w:rPr>
            </w:pPr>
            <w:r w:rsidRPr="00F5402D">
              <w:rPr>
                <w:sz w:val="16"/>
                <w:szCs w:val="16"/>
              </w:rPr>
              <w:t>-0,80</w:t>
            </w:r>
          </w:p>
        </w:tc>
        <w:tc>
          <w:tcPr>
            <w:tcW w:w="892" w:type="dxa"/>
            <w:tcBorders>
              <w:top w:val="nil"/>
              <w:left w:val="nil"/>
              <w:bottom w:val="nil"/>
              <w:right w:val="nil"/>
            </w:tcBorders>
            <w:shd w:val="clear" w:color="auto" w:fill="auto"/>
            <w:noWrap/>
            <w:hideMark/>
          </w:tcPr>
          <w:p w14:paraId="224B55FB" w14:textId="77777777" w:rsidR="00BD53AF" w:rsidRPr="00F5402D" w:rsidRDefault="00BD53AF" w:rsidP="00387AE5">
            <w:pPr>
              <w:jc w:val="center"/>
              <w:rPr>
                <w:rFonts w:cs="Times New Roman"/>
                <w:color w:val="000000"/>
                <w:sz w:val="16"/>
                <w:szCs w:val="16"/>
                <w:lang w:eastAsia="en-US"/>
              </w:rPr>
            </w:pPr>
            <w:r w:rsidRPr="00F5402D">
              <w:rPr>
                <w:sz w:val="16"/>
                <w:szCs w:val="16"/>
              </w:rPr>
              <w:t>-0,32</w:t>
            </w:r>
          </w:p>
        </w:tc>
        <w:tc>
          <w:tcPr>
            <w:tcW w:w="892" w:type="dxa"/>
            <w:tcBorders>
              <w:top w:val="nil"/>
              <w:left w:val="nil"/>
              <w:bottom w:val="nil"/>
              <w:right w:val="nil"/>
            </w:tcBorders>
            <w:shd w:val="clear" w:color="auto" w:fill="auto"/>
            <w:noWrap/>
            <w:hideMark/>
          </w:tcPr>
          <w:p w14:paraId="3F2E4A29" w14:textId="77777777" w:rsidR="00BD53AF" w:rsidRPr="00F5402D" w:rsidRDefault="00BD53AF" w:rsidP="00387AE5">
            <w:pPr>
              <w:jc w:val="center"/>
              <w:rPr>
                <w:rFonts w:cs="Times New Roman"/>
                <w:color w:val="000000"/>
                <w:sz w:val="16"/>
                <w:szCs w:val="16"/>
                <w:lang w:eastAsia="en-US"/>
              </w:rPr>
            </w:pPr>
            <w:r w:rsidRPr="00F5402D">
              <w:rPr>
                <w:sz w:val="16"/>
                <w:szCs w:val="16"/>
              </w:rPr>
              <w:t>0,00</w:t>
            </w:r>
          </w:p>
        </w:tc>
        <w:tc>
          <w:tcPr>
            <w:tcW w:w="892" w:type="dxa"/>
            <w:tcBorders>
              <w:top w:val="nil"/>
              <w:left w:val="nil"/>
              <w:bottom w:val="nil"/>
              <w:right w:val="nil"/>
            </w:tcBorders>
            <w:shd w:val="clear" w:color="auto" w:fill="auto"/>
            <w:noWrap/>
            <w:hideMark/>
          </w:tcPr>
          <w:p w14:paraId="6DDFE7C6" w14:textId="77777777" w:rsidR="00BD53AF" w:rsidRPr="00F5402D" w:rsidRDefault="00BD53AF" w:rsidP="00387AE5">
            <w:pPr>
              <w:jc w:val="center"/>
              <w:rPr>
                <w:rFonts w:cs="Times New Roman"/>
                <w:color w:val="000000"/>
                <w:sz w:val="16"/>
                <w:szCs w:val="16"/>
                <w:lang w:eastAsia="en-US"/>
              </w:rPr>
            </w:pPr>
            <w:r w:rsidRPr="00F5402D">
              <w:rPr>
                <w:sz w:val="16"/>
                <w:szCs w:val="16"/>
              </w:rPr>
              <w:t>0,00</w:t>
            </w:r>
          </w:p>
        </w:tc>
        <w:tc>
          <w:tcPr>
            <w:tcW w:w="1064" w:type="dxa"/>
            <w:tcBorders>
              <w:top w:val="nil"/>
              <w:left w:val="nil"/>
              <w:bottom w:val="nil"/>
              <w:right w:val="nil"/>
            </w:tcBorders>
            <w:shd w:val="clear" w:color="auto" w:fill="auto"/>
            <w:noWrap/>
          </w:tcPr>
          <w:p w14:paraId="41CB91D0" w14:textId="77777777" w:rsidR="00BD53AF" w:rsidRPr="00F5402D" w:rsidRDefault="00BD53AF" w:rsidP="00387AE5">
            <w:pPr>
              <w:jc w:val="center"/>
              <w:rPr>
                <w:rFonts w:cs="Times New Roman"/>
                <w:color w:val="000000"/>
                <w:sz w:val="16"/>
                <w:szCs w:val="16"/>
                <w:lang w:eastAsia="en-US"/>
              </w:rPr>
            </w:pPr>
            <w:r w:rsidRPr="00F5402D">
              <w:rPr>
                <w:sz w:val="16"/>
                <w:szCs w:val="16"/>
              </w:rPr>
              <w:t>-</w:t>
            </w:r>
          </w:p>
        </w:tc>
      </w:tr>
      <w:tr w:rsidR="00BD53AF" w:rsidRPr="00F5402D" w14:paraId="28467A65" w14:textId="77777777" w:rsidTr="00387AE5">
        <w:trPr>
          <w:trHeight w:val="170"/>
        </w:trPr>
        <w:tc>
          <w:tcPr>
            <w:tcW w:w="3622" w:type="dxa"/>
            <w:tcBorders>
              <w:top w:val="nil"/>
              <w:left w:val="nil"/>
              <w:bottom w:val="nil"/>
              <w:right w:val="nil"/>
            </w:tcBorders>
            <w:shd w:val="clear" w:color="auto" w:fill="auto"/>
            <w:vAlign w:val="center"/>
            <w:hideMark/>
          </w:tcPr>
          <w:p w14:paraId="2418F256"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Skutočnosť a súčasná aktualizácia</w:t>
            </w:r>
          </w:p>
        </w:tc>
        <w:tc>
          <w:tcPr>
            <w:tcW w:w="870" w:type="dxa"/>
            <w:tcBorders>
              <w:top w:val="nil"/>
              <w:left w:val="nil"/>
              <w:bottom w:val="nil"/>
              <w:right w:val="nil"/>
            </w:tcBorders>
            <w:shd w:val="clear" w:color="auto" w:fill="auto"/>
            <w:noWrap/>
            <w:vAlign w:val="center"/>
            <w:hideMark/>
          </w:tcPr>
          <w:p w14:paraId="6C1580DE" w14:textId="77777777" w:rsidR="00BD53AF" w:rsidRPr="00FD63F1"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auto" w:fill="auto"/>
            <w:noWrap/>
            <w:hideMark/>
          </w:tcPr>
          <w:p w14:paraId="0FFDA443" w14:textId="77777777" w:rsidR="00BD53AF" w:rsidRPr="00FD63F1" w:rsidRDefault="00BD53AF" w:rsidP="00387AE5">
            <w:pPr>
              <w:jc w:val="center"/>
              <w:rPr>
                <w:rFonts w:cs="Times New Roman"/>
                <w:color w:val="000000"/>
                <w:sz w:val="16"/>
                <w:szCs w:val="16"/>
                <w:lang w:eastAsia="en-US"/>
              </w:rPr>
            </w:pPr>
            <w:r w:rsidRPr="00481C5C">
              <w:rPr>
                <w:sz w:val="16"/>
                <w:szCs w:val="16"/>
              </w:rPr>
              <w:t>-0,70</w:t>
            </w:r>
          </w:p>
        </w:tc>
        <w:tc>
          <w:tcPr>
            <w:tcW w:w="892" w:type="dxa"/>
            <w:tcBorders>
              <w:top w:val="nil"/>
              <w:left w:val="nil"/>
              <w:bottom w:val="nil"/>
              <w:right w:val="nil"/>
            </w:tcBorders>
            <w:shd w:val="clear" w:color="auto" w:fill="auto"/>
            <w:noWrap/>
            <w:hideMark/>
          </w:tcPr>
          <w:p w14:paraId="10934921" w14:textId="77777777" w:rsidR="00BD53AF" w:rsidRPr="00FD63F1" w:rsidRDefault="00BD53AF" w:rsidP="00387AE5">
            <w:pPr>
              <w:jc w:val="center"/>
              <w:rPr>
                <w:rFonts w:cs="Times New Roman"/>
                <w:color w:val="000000"/>
                <w:sz w:val="16"/>
                <w:szCs w:val="16"/>
                <w:lang w:eastAsia="en-US"/>
              </w:rPr>
            </w:pPr>
            <w:r w:rsidRPr="00FD63F1">
              <w:rPr>
                <w:sz w:val="16"/>
                <w:szCs w:val="16"/>
              </w:rPr>
              <w:t>0,00</w:t>
            </w:r>
          </w:p>
        </w:tc>
        <w:tc>
          <w:tcPr>
            <w:tcW w:w="892" w:type="dxa"/>
            <w:tcBorders>
              <w:top w:val="nil"/>
              <w:left w:val="nil"/>
              <w:bottom w:val="nil"/>
              <w:right w:val="nil"/>
            </w:tcBorders>
            <w:shd w:val="clear" w:color="auto" w:fill="auto"/>
            <w:noWrap/>
            <w:hideMark/>
          </w:tcPr>
          <w:p w14:paraId="7D691F99" w14:textId="77777777" w:rsidR="00BD53AF" w:rsidRPr="00FD63F1" w:rsidRDefault="00BD53AF" w:rsidP="00387AE5">
            <w:pPr>
              <w:jc w:val="center"/>
              <w:rPr>
                <w:rFonts w:cs="Times New Roman"/>
                <w:color w:val="000000"/>
                <w:sz w:val="16"/>
                <w:szCs w:val="16"/>
                <w:lang w:eastAsia="en-US"/>
              </w:rPr>
            </w:pPr>
            <w:r w:rsidRPr="00FD63F1">
              <w:rPr>
                <w:sz w:val="16"/>
                <w:szCs w:val="16"/>
              </w:rPr>
              <w:t>0,00</w:t>
            </w:r>
          </w:p>
        </w:tc>
        <w:tc>
          <w:tcPr>
            <w:tcW w:w="892" w:type="dxa"/>
            <w:tcBorders>
              <w:top w:val="nil"/>
              <w:left w:val="nil"/>
              <w:bottom w:val="nil"/>
              <w:right w:val="nil"/>
            </w:tcBorders>
            <w:shd w:val="clear" w:color="auto" w:fill="auto"/>
            <w:noWrap/>
            <w:hideMark/>
          </w:tcPr>
          <w:p w14:paraId="44EE1BA8" w14:textId="77777777" w:rsidR="00BD53AF" w:rsidRPr="00FD63F1" w:rsidRDefault="00BD53AF" w:rsidP="00387AE5">
            <w:pPr>
              <w:jc w:val="center"/>
              <w:rPr>
                <w:rFonts w:cs="Times New Roman"/>
                <w:color w:val="000000"/>
                <w:sz w:val="16"/>
                <w:szCs w:val="16"/>
                <w:lang w:eastAsia="en-US"/>
              </w:rPr>
            </w:pPr>
            <w:r w:rsidRPr="00FD63F1">
              <w:rPr>
                <w:sz w:val="16"/>
                <w:szCs w:val="16"/>
              </w:rPr>
              <w:t>0,00</w:t>
            </w:r>
          </w:p>
        </w:tc>
        <w:tc>
          <w:tcPr>
            <w:tcW w:w="1064" w:type="dxa"/>
            <w:tcBorders>
              <w:top w:val="nil"/>
              <w:left w:val="nil"/>
              <w:bottom w:val="nil"/>
              <w:right w:val="nil"/>
            </w:tcBorders>
            <w:shd w:val="clear" w:color="auto" w:fill="auto"/>
            <w:noWrap/>
          </w:tcPr>
          <w:p w14:paraId="7DA7C53C" w14:textId="77777777" w:rsidR="00BD53AF" w:rsidRPr="00FD63F1" w:rsidRDefault="00BD53AF" w:rsidP="00387AE5">
            <w:pPr>
              <w:jc w:val="center"/>
              <w:rPr>
                <w:rFonts w:cs="Times New Roman"/>
                <w:color w:val="000000"/>
                <w:sz w:val="16"/>
                <w:szCs w:val="16"/>
                <w:lang w:eastAsia="en-US"/>
              </w:rPr>
            </w:pPr>
            <w:r w:rsidRPr="00FD63F1">
              <w:rPr>
                <w:sz w:val="16"/>
                <w:szCs w:val="16"/>
              </w:rPr>
              <w:t>0,00</w:t>
            </w:r>
          </w:p>
        </w:tc>
      </w:tr>
      <w:tr w:rsidR="00BD53AF" w:rsidRPr="00F5402D" w14:paraId="5647D906" w14:textId="77777777" w:rsidTr="00387AE5">
        <w:trPr>
          <w:trHeight w:val="170"/>
        </w:trPr>
        <w:tc>
          <w:tcPr>
            <w:tcW w:w="3622" w:type="dxa"/>
            <w:tcBorders>
              <w:top w:val="nil"/>
              <w:left w:val="nil"/>
              <w:bottom w:val="single" w:sz="8" w:space="0" w:color="auto"/>
              <w:right w:val="nil"/>
            </w:tcBorders>
            <w:shd w:val="clear" w:color="auto" w:fill="auto"/>
            <w:vAlign w:val="center"/>
            <w:hideMark/>
          </w:tcPr>
          <w:p w14:paraId="32D2483D"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Rozdiel</w:t>
            </w:r>
          </w:p>
        </w:tc>
        <w:tc>
          <w:tcPr>
            <w:tcW w:w="870" w:type="dxa"/>
            <w:tcBorders>
              <w:top w:val="nil"/>
              <w:left w:val="nil"/>
              <w:bottom w:val="single" w:sz="8" w:space="0" w:color="auto"/>
              <w:right w:val="nil"/>
            </w:tcBorders>
            <w:shd w:val="clear" w:color="auto" w:fill="auto"/>
            <w:vAlign w:val="center"/>
            <w:hideMark/>
          </w:tcPr>
          <w:p w14:paraId="482A13F1" w14:textId="77777777" w:rsidR="00BD53AF" w:rsidRPr="00FD63F1" w:rsidRDefault="00BD53AF" w:rsidP="00387AE5">
            <w:pPr>
              <w:jc w:val="center"/>
              <w:rPr>
                <w:rFonts w:cs="Times New Roman"/>
                <w:color w:val="000000"/>
                <w:sz w:val="18"/>
                <w:szCs w:val="18"/>
                <w:lang w:eastAsia="en-US"/>
              </w:rPr>
            </w:pPr>
            <w:r w:rsidRPr="00FD63F1">
              <w:rPr>
                <w:rFonts w:cs="Times New Roman"/>
                <w:color w:val="000000"/>
                <w:sz w:val="18"/>
                <w:szCs w:val="18"/>
                <w:lang w:eastAsia="en-US"/>
              </w:rPr>
              <w:t> </w:t>
            </w:r>
          </w:p>
        </w:tc>
        <w:tc>
          <w:tcPr>
            <w:tcW w:w="892" w:type="dxa"/>
            <w:tcBorders>
              <w:top w:val="nil"/>
              <w:left w:val="nil"/>
              <w:bottom w:val="single" w:sz="8" w:space="0" w:color="auto"/>
              <w:right w:val="nil"/>
            </w:tcBorders>
            <w:shd w:val="clear" w:color="auto" w:fill="auto"/>
            <w:hideMark/>
          </w:tcPr>
          <w:p w14:paraId="114BDED8" w14:textId="77777777" w:rsidR="00BD53AF" w:rsidRPr="00FD63F1" w:rsidRDefault="00BD53AF" w:rsidP="00387AE5">
            <w:pPr>
              <w:jc w:val="center"/>
              <w:rPr>
                <w:rFonts w:cs="Times New Roman"/>
                <w:color w:val="000000"/>
                <w:sz w:val="16"/>
                <w:szCs w:val="16"/>
                <w:lang w:eastAsia="en-US"/>
              </w:rPr>
            </w:pPr>
            <w:r>
              <w:rPr>
                <w:sz w:val="16"/>
                <w:szCs w:val="16"/>
              </w:rPr>
              <w:t>0,10</w:t>
            </w:r>
          </w:p>
        </w:tc>
        <w:tc>
          <w:tcPr>
            <w:tcW w:w="892" w:type="dxa"/>
            <w:tcBorders>
              <w:top w:val="nil"/>
              <w:left w:val="nil"/>
              <w:bottom w:val="single" w:sz="8" w:space="0" w:color="auto"/>
              <w:right w:val="nil"/>
            </w:tcBorders>
            <w:shd w:val="clear" w:color="auto" w:fill="auto"/>
            <w:hideMark/>
          </w:tcPr>
          <w:p w14:paraId="26B0B33A" w14:textId="77777777" w:rsidR="00BD53AF" w:rsidRPr="00FD63F1" w:rsidRDefault="00BD53AF" w:rsidP="00387AE5">
            <w:pPr>
              <w:jc w:val="center"/>
              <w:rPr>
                <w:rFonts w:cs="Times New Roman"/>
                <w:color w:val="000000"/>
                <w:sz w:val="16"/>
                <w:szCs w:val="16"/>
                <w:lang w:eastAsia="en-US"/>
              </w:rPr>
            </w:pPr>
            <w:r w:rsidRPr="00FD63F1">
              <w:rPr>
                <w:sz w:val="16"/>
                <w:szCs w:val="16"/>
              </w:rPr>
              <w:t>0,32</w:t>
            </w:r>
          </w:p>
        </w:tc>
        <w:tc>
          <w:tcPr>
            <w:tcW w:w="892" w:type="dxa"/>
            <w:tcBorders>
              <w:top w:val="nil"/>
              <w:left w:val="nil"/>
              <w:bottom w:val="single" w:sz="8" w:space="0" w:color="auto"/>
              <w:right w:val="nil"/>
            </w:tcBorders>
            <w:shd w:val="clear" w:color="auto" w:fill="auto"/>
            <w:hideMark/>
          </w:tcPr>
          <w:p w14:paraId="63D878BB" w14:textId="77777777" w:rsidR="00BD53AF" w:rsidRPr="00FD63F1" w:rsidRDefault="00BD53AF" w:rsidP="00387AE5">
            <w:pPr>
              <w:jc w:val="center"/>
              <w:rPr>
                <w:rFonts w:cs="Times New Roman"/>
                <w:color w:val="000000"/>
                <w:sz w:val="16"/>
                <w:szCs w:val="16"/>
                <w:lang w:eastAsia="en-US"/>
              </w:rPr>
            </w:pPr>
            <w:r w:rsidRPr="00FD63F1">
              <w:rPr>
                <w:sz w:val="16"/>
                <w:szCs w:val="16"/>
              </w:rPr>
              <w:t>0,00</w:t>
            </w:r>
          </w:p>
        </w:tc>
        <w:tc>
          <w:tcPr>
            <w:tcW w:w="892" w:type="dxa"/>
            <w:tcBorders>
              <w:top w:val="nil"/>
              <w:left w:val="nil"/>
              <w:bottom w:val="single" w:sz="8" w:space="0" w:color="auto"/>
              <w:right w:val="nil"/>
            </w:tcBorders>
            <w:shd w:val="clear" w:color="auto" w:fill="auto"/>
            <w:hideMark/>
          </w:tcPr>
          <w:p w14:paraId="029C94C6" w14:textId="77777777" w:rsidR="00BD53AF" w:rsidRPr="00FD63F1" w:rsidRDefault="00BD53AF" w:rsidP="00387AE5">
            <w:pPr>
              <w:jc w:val="center"/>
              <w:rPr>
                <w:rFonts w:cs="Times New Roman"/>
                <w:color w:val="000000"/>
                <w:sz w:val="16"/>
                <w:szCs w:val="16"/>
                <w:lang w:eastAsia="en-US"/>
              </w:rPr>
            </w:pPr>
            <w:r w:rsidRPr="00FD63F1">
              <w:rPr>
                <w:sz w:val="16"/>
                <w:szCs w:val="16"/>
              </w:rPr>
              <w:t>0,00</w:t>
            </w:r>
          </w:p>
        </w:tc>
        <w:tc>
          <w:tcPr>
            <w:tcW w:w="1064" w:type="dxa"/>
            <w:tcBorders>
              <w:top w:val="nil"/>
              <w:left w:val="nil"/>
              <w:bottom w:val="single" w:sz="8" w:space="0" w:color="auto"/>
              <w:right w:val="nil"/>
            </w:tcBorders>
            <w:shd w:val="clear" w:color="auto" w:fill="auto"/>
          </w:tcPr>
          <w:p w14:paraId="4C04268D" w14:textId="77777777" w:rsidR="00BD53AF" w:rsidRPr="00FD63F1" w:rsidRDefault="00BD53AF" w:rsidP="00387AE5">
            <w:pPr>
              <w:jc w:val="center"/>
              <w:rPr>
                <w:rFonts w:cs="Times New Roman"/>
                <w:color w:val="000000"/>
                <w:sz w:val="16"/>
                <w:szCs w:val="16"/>
                <w:lang w:eastAsia="en-US"/>
              </w:rPr>
            </w:pPr>
            <w:r w:rsidRPr="00FD63F1">
              <w:rPr>
                <w:sz w:val="16"/>
                <w:szCs w:val="16"/>
              </w:rPr>
              <w:t>-</w:t>
            </w:r>
          </w:p>
        </w:tc>
      </w:tr>
      <w:tr w:rsidR="00BD53AF" w:rsidRPr="00F5402D" w14:paraId="627D49D1" w14:textId="77777777" w:rsidTr="00387AE5">
        <w:trPr>
          <w:trHeight w:val="170"/>
        </w:trPr>
        <w:tc>
          <w:tcPr>
            <w:tcW w:w="3622" w:type="dxa"/>
            <w:tcBorders>
              <w:top w:val="nil"/>
              <w:left w:val="nil"/>
              <w:bottom w:val="nil"/>
              <w:right w:val="nil"/>
            </w:tcBorders>
            <w:shd w:val="clear" w:color="auto" w:fill="auto"/>
            <w:vAlign w:val="center"/>
            <w:hideMark/>
          </w:tcPr>
          <w:p w14:paraId="1D5D97F1" w14:textId="77777777" w:rsidR="00BD53AF" w:rsidRPr="00F5402D" w:rsidRDefault="00BD53AF" w:rsidP="00387AE5">
            <w:pPr>
              <w:rPr>
                <w:rFonts w:cs="Times New Roman"/>
                <w:b/>
                <w:bCs/>
                <w:color w:val="000000"/>
                <w:sz w:val="18"/>
                <w:szCs w:val="18"/>
                <w:lang w:eastAsia="en-US"/>
              </w:rPr>
            </w:pPr>
            <w:r w:rsidRPr="00F5402D">
              <w:rPr>
                <w:rFonts w:cs="Times New Roman"/>
                <w:b/>
                <w:bCs/>
                <w:color w:val="000000"/>
                <w:sz w:val="18"/>
                <w:szCs w:val="18"/>
                <w:lang w:eastAsia="en-US"/>
              </w:rPr>
              <w:t>Hrubý dlh verejnej správy (% HDP)</w:t>
            </w:r>
          </w:p>
        </w:tc>
        <w:tc>
          <w:tcPr>
            <w:tcW w:w="870" w:type="dxa"/>
            <w:tcBorders>
              <w:top w:val="nil"/>
              <w:left w:val="nil"/>
              <w:bottom w:val="nil"/>
              <w:right w:val="nil"/>
            </w:tcBorders>
            <w:shd w:val="clear" w:color="auto" w:fill="auto"/>
            <w:vAlign w:val="center"/>
            <w:hideMark/>
          </w:tcPr>
          <w:p w14:paraId="2A9ACD72" w14:textId="77777777" w:rsidR="00BD53AF" w:rsidRPr="00F5402D" w:rsidRDefault="00BD53AF" w:rsidP="00387AE5">
            <w:pPr>
              <w:rPr>
                <w:rFonts w:cs="Times New Roman"/>
                <w:b/>
                <w:bCs/>
                <w:color w:val="000000"/>
                <w:sz w:val="18"/>
                <w:szCs w:val="18"/>
                <w:lang w:eastAsia="en-US"/>
              </w:rPr>
            </w:pPr>
          </w:p>
        </w:tc>
        <w:tc>
          <w:tcPr>
            <w:tcW w:w="892" w:type="dxa"/>
            <w:tcBorders>
              <w:top w:val="nil"/>
              <w:left w:val="nil"/>
              <w:bottom w:val="nil"/>
              <w:right w:val="nil"/>
            </w:tcBorders>
            <w:shd w:val="clear" w:color="auto" w:fill="auto"/>
            <w:vAlign w:val="center"/>
            <w:hideMark/>
          </w:tcPr>
          <w:p w14:paraId="0FC8608A"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892" w:type="dxa"/>
            <w:tcBorders>
              <w:top w:val="nil"/>
              <w:left w:val="nil"/>
              <w:bottom w:val="nil"/>
              <w:right w:val="nil"/>
            </w:tcBorders>
            <w:shd w:val="clear" w:color="auto" w:fill="auto"/>
            <w:vAlign w:val="center"/>
            <w:hideMark/>
          </w:tcPr>
          <w:p w14:paraId="152C449C"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892" w:type="dxa"/>
            <w:tcBorders>
              <w:top w:val="nil"/>
              <w:left w:val="nil"/>
              <w:bottom w:val="nil"/>
              <w:right w:val="nil"/>
            </w:tcBorders>
            <w:shd w:val="clear" w:color="auto" w:fill="auto"/>
            <w:vAlign w:val="center"/>
            <w:hideMark/>
          </w:tcPr>
          <w:p w14:paraId="5E50CA2B"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892" w:type="dxa"/>
            <w:tcBorders>
              <w:top w:val="nil"/>
              <w:left w:val="nil"/>
              <w:bottom w:val="nil"/>
              <w:right w:val="nil"/>
            </w:tcBorders>
            <w:shd w:val="clear" w:color="auto" w:fill="auto"/>
            <w:noWrap/>
            <w:vAlign w:val="center"/>
            <w:hideMark/>
          </w:tcPr>
          <w:p w14:paraId="5C68C7FC" w14:textId="77777777" w:rsidR="00BD53AF" w:rsidRPr="00F5402D" w:rsidRDefault="00BD53AF" w:rsidP="00387AE5">
            <w:pPr>
              <w:jc w:val="center"/>
              <w:rPr>
                <w:rFonts w:cs="Times New Roman"/>
                <w:color w:val="000000"/>
                <w:sz w:val="16"/>
                <w:szCs w:val="16"/>
                <w:lang w:eastAsia="en-US"/>
              </w:rPr>
            </w:pPr>
            <w:r w:rsidRPr="00F5402D">
              <w:rPr>
                <w:rFonts w:cs="Times New Roman"/>
                <w:color w:val="000000"/>
                <w:sz w:val="16"/>
                <w:szCs w:val="16"/>
                <w:lang w:eastAsia="en-US"/>
              </w:rPr>
              <w:t> </w:t>
            </w:r>
          </w:p>
        </w:tc>
        <w:tc>
          <w:tcPr>
            <w:tcW w:w="1064" w:type="dxa"/>
            <w:tcBorders>
              <w:top w:val="nil"/>
              <w:left w:val="nil"/>
              <w:bottom w:val="nil"/>
              <w:right w:val="nil"/>
            </w:tcBorders>
            <w:shd w:val="clear" w:color="auto" w:fill="auto"/>
            <w:noWrap/>
            <w:vAlign w:val="center"/>
          </w:tcPr>
          <w:p w14:paraId="3ACCEBC2" w14:textId="77777777" w:rsidR="00BD53AF" w:rsidRPr="00F5402D" w:rsidRDefault="00BD53AF" w:rsidP="00387AE5">
            <w:pPr>
              <w:jc w:val="center"/>
              <w:rPr>
                <w:rFonts w:cs="Times New Roman"/>
                <w:color w:val="000000"/>
                <w:sz w:val="16"/>
                <w:szCs w:val="16"/>
                <w:lang w:eastAsia="en-US"/>
              </w:rPr>
            </w:pPr>
          </w:p>
        </w:tc>
      </w:tr>
      <w:tr w:rsidR="00BD53AF" w:rsidRPr="00F5402D" w14:paraId="75B0C950" w14:textId="77777777" w:rsidTr="00387AE5">
        <w:trPr>
          <w:trHeight w:val="170"/>
        </w:trPr>
        <w:tc>
          <w:tcPr>
            <w:tcW w:w="3622" w:type="dxa"/>
            <w:tcBorders>
              <w:top w:val="nil"/>
              <w:left w:val="nil"/>
              <w:bottom w:val="nil"/>
              <w:right w:val="nil"/>
            </w:tcBorders>
            <w:shd w:val="clear" w:color="auto" w:fill="auto"/>
            <w:vAlign w:val="center"/>
            <w:hideMark/>
          </w:tcPr>
          <w:p w14:paraId="7B85B6AE"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Predchádzajúca aktualizácia*</w:t>
            </w:r>
          </w:p>
        </w:tc>
        <w:tc>
          <w:tcPr>
            <w:tcW w:w="870" w:type="dxa"/>
            <w:tcBorders>
              <w:top w:val="nil"/>
              <w:left w:val="nil"/>
              <w:bottom w:val="nil"/>
              <w:right w:val="nil"/>
            </w:tcBorders>
            <w:shd w:val="clear" w:color="auto" w:fill="auto"/>
            <w:noWrap/>
            <w:vAlign w:val="center"/>
            <w:hideMark/>
          </w:tcPr>
          <w:p w14:paraId="53BE36A8" w14:textId="77777777" w:rsidR="00BD53AF" w:rsidRPr="00F5402D"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auto" w:fill="auto"/>
            <w:noWrap/>
            <w:hideMark/>
          </w:tcPr>
          <w:p w14:paraId="4343B834" w14:textId="77777777" w:rsidR="00BD53AF" w:rsidRPr="00FD63F1" w:rsidRDefault="00BD53AF" w:rsidP="00387AE5">
            <w:pPr>
              <w:jc w:val="center"/>
              <w:rPr>
                <w:rFonts w:cs="Times New Roman"/>
                <w:color w:val="000000"/>
                <w:sz w:val="16"/>
                <w:szCs w:val="16"/>
                <w:lang w:eastAsia="en-US"/>
              </w:rPr>
            </w:pPr>
            <w:r w:rsidRPr="00FD63F1">
              <w:rPr>
                <w:sz w:val="16"/>
                <w:szCs w:val="16"/>
              </w:rPr>
              <w:t>49,3</w:t>
            </w:r>
          </w:p>
        </w:tc>
        <w:tc>
          <w:tcPr>
            <w:tcW w:w="892" w:type="dxa"/>
            <w:tcBorders>
              <w:top w:val="nil"/>
              <w:left w:val="nil"/>
              <w:bottom w:val="nil"/>
              <w:right w:val="nil"/>
            </w:tcBorders>
            <w:shd w:val="clear" w:color="auto" w:fill="auto"/>
            <w:noWrap/>
            <w:hideMark/>
          </w:tcPr>
          <w:p w14:paraId="17FE6F52" w14:textId="77777777" w:rsidR="00BD53AF" w:rsidRPr="00FD63F1" w:rsidRDefault="00BD53AF" w:rsidP="00387AE5">
            <w:pPr>
              <w:jc w:val="center"/>
              <w:rPr>
                <w:rFonts w:cs="Times New Roman"/>
                <w:color w:val="000000"/>
                <w:sz w:val="16"/>
                <w:szCs w:val="16"/>
                <w:lang w:eastAsia="en-US"/>
              </w:rPr>
            </w:pPr>
            <w:r w:rsidRPr="00FD63F1">
              <w:rPr>
                <w:sz w:val="16"/>
                <w:szCs w:val="16"/>
              </w:rPr>
              <w:t>46,5</w:t>
            </w:r>
          </w:p>
        </w:tc>
        <w:tc>
          <w:tcPr>
            <w:tcW w:w="892" w:type="dxa"/>
            <w:tcBorders>
              <w:top w:val="nil"/>
              <w:left w:val="nil"/>
              <w:bottom w:val="nil"/>
              <w:right w:val="nil"/>
            </w:tcBorders>
            <w:shd w:val="clear" w:color="auto" w:fill="auto"/>
            <w:noWrap/>
            <w:hideMark/>
          </w:tcPr>
          <w:p w14:paraId="17015AC2" w14:textId="77777777" w:rsidR="00BD53AF" w:rsidRPr="00FD63F1" w:rsidRDefault="00BD53AF" w:rsidP="00387AE5">
            <w:pPr>
              <w:jc w:val="center"/>
              <w:rPr>
                <w:rFonts w:cs="Times New Roman"/>
                <w:color w:val="000000"/>
                <w:sz w:val="16"/>
                <w:szCs w:val="16"/>
                <w:lang w:eastAsia="en-US"/>
              </w:rPr>
            </w:pPr>
            <w:r w:rsidRPr="00FD63F1">
              <w:rPr>
                <w:sz w:val="16"/>
                <w:szCs w:val="16"/>
              </w:rPr>
              <w:t>44,9</w:t>
            </w:r>
          </w:p>
        </w:tc>
        <w:tc>
          <w:tcPr>
            <w:tcW w:w="892" w:type="dxa"/>
            <w:tcBorders>
              <w:top w:val="nil"/>
              <w:left w:val="nil"/>
              <w:bottom w:val="nil"/>
              <w:right w:val="nil"/>
            </w:tcBorders>
            <w:shd w:val="clear" w:color="auto" w:fill="auto"/>
            <w:noWrap/>
            <w:hideMark/>
          </w:tcPr>
          <w:p w14:paraId="2A038045" w14:textId="77777777" w:rsidR="00BD53AF" w:rsidRPr="00FD63F1" w:rsidRDefault="00BD53AF" w:rsidP="00387AE5">
            <w:pPr>
              <w:jc w:val="center"/>
              <w:rPr>
                <w:rFonts w:cs="Times New Roman"/>
                <w:color w:val="000000"/>
                <w:sz w:val="16"/>
                <w:szCs w:val="16"/>
                <w:lang w:eastAsia="en-US"/>
              </w:rPr>
            </w:pPr>
            <w:r w:rsidRPr="00FD63F1">
              <w:rPr>
                <w:sz w:val="16"/>
                <w:szCs w:val="16"/>
              </w:rPr>
              <w:t>43,3</w:t>
            </w:r>
          </w:p>
        </w:tc>
        <w:tc>
          <w:tcPr>
            <w:tcW w:w="1064" w:type="dxa"/>
            <w:tcBorders>
              <w:top w:val="nil"/>
              <w:left w:val="nil"/>
              <w:bottom w:val="nil"/>
              <w:right w:val="nil"/>
            </w:tcBorders>
            <w:shd w:val="clear" w:color="auto" w:fill="auto"/>
            <w:noWrap/>
          </w:tcPr>
          <w:p w14:paraId="635CAEF5" w14:textId="77777777" w:rsidR="00BD53AF" w:rsidRPr="00FD63F1" w:rsidRDefault="00BD53AF" w:rsidP="00387AE5">
            <w:pPr>
              <w:jc w:val="center"/>
              <w:rPr>
                <w:rFonts w:cs="Times New Roman"/>
                <w:color w:val="000000"/>
                <w:sz w:val="16"/>
                <w:szCs w:val="16"/>
                <w:lang w:eastAsia="en-US"/>
              </w:rPr>
            </w:pPr>
            <w:r w:rsidRPr="00FD63F1">
              <w:rPr>
                <w:sz w:val="16"/>
                <w:szCs w:val="16"/>
              </w:rPr>
              <w:t>-</w:t>
            </w:r>
          </w:p>
        </w:tc>
      </w:tr>
      <w:tr w:rsidR="00BD53AF" w:rsidRPr="00F5402D" w14:paraId="022751A0" w14:textId="77777777" w:rsidTr="00387AE5">
        <w:trPr>
          <w:trHeight w:val="170"/>
        </w:trPr>
        <w:tc>
          <w:tcPr>
            <w:tcW w:w="3622" w:type="dxa"/>
            <w:tcBorders>
              <w:top w:val="nil"/>
              <w:left w:val="nil"/>
              <w:bottom w:val="nil"/>
              <w:right w:val="nil"/>
            </w:tcBorders>
            <w:shd w:val="clear" w:color="auto" w:fill="auto"/>
            <w:vAlign w:val="center"/>
            <w:hideMark/>
          </w:tcPr>
          <w:p w14:paraId="1A27F9E0"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Skutočnosť a súčasná aktualizácia</w:t>
            </w:r>
          </w:p>
        </w:tc>
        <w:tc>
          <w:tcPr>
            <w:tcW w:w="870" w:type="dxa"/>
            <w:tcBorders>
              <w:top w:val="nil"/>
              <w:left w:val="nil"/>
              <w:bottom w:val="nil"/>
              <w:right w:val="nil"/>
            </w:tcBorders>
            <w:shd w:val="clear" w:color="auto" w:fill="auto"/>
            <w:noWrap/>
            <w:vAlign w:val="center"/>
            <w:hideMark/>
          </w:tcPr>
          <w:p w14:paraId="0AA9CAF0" w14:textId="77777777" w:rsidR="00BD53AF" w:rsidRPr="00F5402D" w:rsidRDefault="00BD53AF" w:rsidP="00387AE5">
            <w:pPr>
              <w:ind w:firstLineChars="100" w:firstLine="180"/>
              <w:rPr>
                <w:rFonts w:cs="Times New Roman"/>
                <w:color w:val="000000"/>
                <w:sz w:val="18"/>
                <w:szCs w:val="18"/>
                <w:lang w:eastAsia="en-US"/>
              </w:rPr>
            </w:pPr>
          </w:p>
        </w:tc>
        <w:tc>
          <w:tcPr>
            <w:tcW w:w="892" w:type="dxa"/>
            <w:tcBorders>
              <w:top w:val="nil"/>
              <w:left w:val="nil"/>
              <w:bottom w:val="nil"/>
              <w:right w:val="nil"/>
            </w:tcBorders>
            <w:shd w:val="clear" w:color="auto" w:fill="auto"/>
            <w:noWrap/>
            <w:hideMark/>
          </w:tcPr>
          <w:p w14:paraId="2EDB1462" w14:textId="77777777" w:rsidR="00BD53AF" w:rsidRPr="00FD63F1" w:rsidRDefault="00BD53AF" w:rsidP="00387AE5">
            <w:pPr>
              <w:jc w:val="center"/>
              <w:rPr>
                <w:rFonts w:cs="Times New Roman"/>
                <w:color w:val="000000"/>
                <w:sz w:val="16"/>
                <w:szCs w:val="16"/>
                <w:lang w:eastAsia="en-US"/>
              </w:rPr>
            </w:pPr>
            <w:r w:rsidRPr="00FD63F1">
              <w:rPr>
                <w:sz w:val="16"/>
                <w:szCs w:val="16"/>
              </w:rPr>
              <w:t>48,9</w:t>
            </w:r>
          </w:p>
        </w:tc>
        <w:tc>
          <w:tcPr>
            <w:tcW w:w="892" w:type="dxa"/>
            <w:tcBorders>
              <w:top w:val="nil"/>
              <w:left w:val="nil"/>
              <w:bottom w:val="nil"/>
              <w:right w:val="nil"/>
            </w:tcBorders>
            <w:shd w:val="clear" w:color="auto" w:fill="auto"/>
            <w:noWrap/>
            <w:hideMark/>
          </w:tcPr>
          <w:p w14:paraId="25A9BA1C" w14:textId="77777777" w:rsidR="00BD53AF" w:rsidRPr="00FD63F1" w:rsidRDefault="00BD53AF" w:rsidP="00387AE5">
            <w:pPr>
              <w:jc w:val="center"/>
              <w:rPr>
                <w:rFonts w:cs="Times New Roman"/>
                <w:color w:val="000000"/>
                <w:sz w:val="16"/>
                <w:szCs w:val="16"/>
                <w:lang w:eastAsia="en-US"/>
              </w:rPr>
            </w:pPr>
            <w:r w:rsidRPr="00FD63F1">
              <w:rPr>
                <w:sz w:val="16"/>
                <w:szCs w:val="16"/>
              </w:rPr>
              <w:t>47,5</w:t>
            </w:r>
          </w:p>
        </w:tc>
        <w:tc>
          <w:tcPr>
            <w:tcW w:w="892" w:type="dxa"/>
            <w:tcBorders>
              <w:top w:val="nil"/>
              <w:left w:val="nil"/>
              <w:bottom w:val="nil"/>
              <w:right w:val="nil"/>
            </w:tcBorders>
            <w:shd w:val="clear" w:color="auto" w:fill="auto"/>
            <w:noWrap/>
            <w:hideMark/>
          </w:tcPr>
          <w:p w14:paraId="7B559B16" w14:textId="77777777" w:rsidR="00BD53AF" w:rsidRPr="00FD63F1" w:rsidRDefault="00BD53AF" w:rsidP="00387AE5">
            <w:pPr>
              <w:jc w:val="center"/>
              <w:rPr>
                <w:rFonts w:cs="Times New Roman"/>
                <w:color w:val="000000"/>
                <w:sz w:val="16"/>
                <w:szCs w:val="16"/>
                <w:lang w:eastAsia="en-US"/>
              </w:rPr>
            </w:pPr>
            <w:r w:rsidRPr="00FD63F1">
              <w:rPr>
                <w:sz w:val="16"/>
                <w:szCs w:val="16"/>
              </w:rPr>
              <w:t>45,9</w:t>
            </w:r>
          </w:p>
        </w:tc>
        <w:tc>
          <w:tcPr>
            <w:tcW w:w="892" w:type="dxa"/>
            <w:tcBorders>
              <w:top w:val="nil"/>
              <w:left w:val="nil"/>
              <w:bottom w:val="nil"/>
              <w:right w:val="nil"/>
            </w:tcBorders>
            <w:shd w:val="clear" w:color="auto" w:fill="auto"/>
            <w:noWrap/>
            <w:hideMark/>
          </w:tcPr>
          <w:p w14:paraId="1E2B8FCF" w14:textId="77777777" w:rsidR="00BD53AF" w:rsidRPr="00FD63F1" w:rsidRDefault="00BD53AF" w:rsidP="00387AE5">
            <w:pPr>
              <w:jc w:val="center"/>
              <w:rPr>
                <w:rFonts w:cs="Times New Roman"/>
                <w:color w:val="000000"/>
                <w:sz w:val="16"/>
                <w:szCs w:val="16"/>
                <w:lang w:eastAsia="en-US"/>
              </w:rPr>
            </w:pPr>
            <w:r w:rsidRPr="00FD63F1">
              <w:rPr>
                <w:sz w:val="16"/>
                <w:szCs w:val="16"/>
              </w:rPr>
              <w:t>44,9</w:t>
            </w:r>
          </w:p>
        </w:tc>
        <w:tc>
          <w:tcPr>
            <w:tcW w:w="1064" w:type="dxa"/>
            <w:tcBorders>
              <w:top w:val="nil"/>
              <w:left w:val="nil"/>
              <w:bottom w:val="nil"/>
              <w:right w:val="nil"/>
            </w:tcBorders>
            <w:shd w:val="clear" w:color="auto" w:fill="auto"/>
            <w:noWrap/>
          </w:tcPr>
          <w:p w14:paraId="0838B292" w14:textId="77777777" w:rsidR="00BD53AF" w:rsidRPr="00FD63F1" w:rsidRDefault="00BD53AF" w:rsidP="00387AE5">
            <w:pPr>
              <w:jc w:val="center"/>
              <w:rPr>
                <w:rFonts w:cs="Times New Roman"/>
                <w:color w:val="000000"/>
                <w:sz w:val="16"/>
                <w:szCs w:val="16"/>
                <w:lang w:eastAsia="en-US"/>
              </w:rPr>
            </w:pPr>
            <w:r w:rsidRPr="00FD63F1">
              <w:rPr>
                <w:sz w:val="16"/>
                <w:szCs w:val="16"/>
              </w:rPr>
              <w:t>44,4</w:t>
            </w:r>
          </w:p>
        </w:tc>
      </w:tr>
      <w:tr w:rsidR="00BD53AF" w:rsidRPr="00F5402D" w14:paraId="34879850" w14:textId="77777777" w:rsidTr="00387AE5">
        <w:trPr>
          <w:trHeight w:val="170"/>
        </w:trPr>
        <w:tc>
          <w:tcPr>
            <w:tcW w:w="3622" w:type="dxa"/>
            <w:tcBorders>
              <w:top w:val="nil"/>
              <w:left w:val="nil"/>
              <w:bottom w:val="single" w:sz="8" w:space="0" w:color="auto"/>
              <w:right w:val="nil"/>
            </w:tcBorders>
            <w:shd w:val="clear" w:color="auto" w:fill="auto"/>
            <w:vAlign w:val="center"/>
            <w:hideMark/>
          </w:tcPr>
          <w:p w14:paraId="39731EA6" w14:textId="77777777" w:rsidR="00BD53AF" w:rsidRPr="00F5402D" w:rsidRDefault="00BD53AF" w:rsidP="00387AE5">
            <w:pPr>
              <w:ind w:firstLineChars="100" w:firstLine="180"/>
              <w:rPr>
                <w:rFonts w:cs="Times New Roman"/>
                <w:color w:val="000000"/>
                <w:sz w:val="18"/>
                <w:szCs w:val="18"/>
                <w:lang w:eastAsia="en-US"/>
              </w:rPr>
            </w:pPr>
            <w:r w:rsidRPr="00F5402D">
              <w:rPr>
                <w:rFonts w:cs="Times New Roman"/>
                <w:color w:val="000000"/>
                <w:sz w:val="18"/>
                <w:szCs w:val="18"/>
                <w:lang w:eastAsia="en-US"/>
              </w:rPr>
              <w:t>Rozdiel</w:t>
            </w:r>
          </w:p>
        </w:tc>
        <w:tc>
          <w:tcPr>
            <w:tcW w:w="870" w:type="dxa"/>
            <w:tcBorders>
              <w:top w:val="nil"/>
              <w:left w:val="nil"/>
              <w:bottom w:val="single" w:sz="8" w:space="0" w:color="auto"/>
              <w:right w:val="nil"/>
            </w:tcBorders>
            <w:shd w:val="clear" w:color="auto" w:fill="auto"/>
            <w:vAlign w:val="center"/>
            <w:hideMark/>
          </w:tcPr>
          <w:p w14:paraId="106B90A4" w14:textId="77777777" w:rsidR="00BD53AF" w:rsidRPr="00F5402D" w:rsidRDefault="00BD53AF" w:rsidP="00387AE5">
            <w:pPr>
              <w:rPr>
                <w:rFonts w:ascii="Calibri" w:hAnsi="Calibri" w:cs="Times New Roman"/>
                <w:color w:val="000000"/>
                <w:lang w:eastAsia="en-US"/>
              </w:rPr>
            </w:pPr>
            <w:r w:rsidRPr="00F5402D">
              <w:rPr>
                <w:rFonts w:ascii="Calibri" w:hAnsi="Calibri" w:cs="Times New Roman"/>
                <w:color w:val="000000"/>
                <w:lang w:eastAsia="en-US"/>
              </w:rPr>
              <w:t> </w:t>
            </w:r>
          </w:p>
        </w:tc>
        <w:tc>
          <w:tcPr>
            <w:tcW w:w="892" w:type="dxa"/>
            <w:tcBorders>
              <w:top w:val="nil"/>
              <w:left w:val="nil"/>
              <w:bottom w:val="single" w:sz="8" w:space="0" w:color="auto"/>
              <w:right w:val="nil"/>
            </w:tcBorders>
            <w:shd w:val="clear" w:color="auto" w:fill="auto"/>
            <w:hideMark/>
          </w:tcPr>
          <w:p w14:paraId="09988EE4" w14:textId="77777777" w:rsidR="00BD53AF" w:rsidRPr="00FD63F1" w:rsidRDefault="00BD53AF" w:rsidP="00387AE5">
            <w:pPr>
              <w:jc w:val="center"/>
              <w:rPr>
                <w:rFonts w:cs="Times New Roman"/>
                <w:color w:val="000000"/>
                <w:sz w:val="16"/>
                <w:szCs w:val="16"/>
                <w:lang w:eastAsia="en-US"/>
              </w:rPr>
            </w:pPr>
            <w:r w:rsidRPr="00FD63F1">
              <w:rPr>
                <w:sz w:val="16"/>
                <w:szCs w:val="16"/>
              </w:rPr>
              <w:t>-0,4</w:t>
            </w:r>
          </w:p>
        </w:tc>
        <w:tc>
          <w:tcPr>
            <w:tcW w:w="892" w:type="dxa"/>
            <w:tcBorders>
              <w:top w:val="nil"/>
              <w:left w:val="nil"/>
              <w:bottom w:val="single" w:sz="8" w:space="0" w:color="auto"/>
              <w:right w:val="nil"/>
            </w:tcBorders>
            <w:shd w:val="clear" w:color="auto" w:fill="auto"/>
            <w:hideMark/>
          </w:tcPr>
          <w:p w14:paraId="3CAE73DB" w14:textId="77777777" w:rsidR="00BD53AF" w:rsidRPr="00FD63F1" w:rsidRDefault="00BD53AF" w:rsidP="00387AE5">
            <w:pPr>
              <w:jc w:val="center"/>
              <w:rPr>
                <w:rFonts w:cs="Times New Roman"/>
                <w:color w:val="000000"/>
                <w:sz w:val="16"/>
                <w:szCs w:val="16"/>
                <w:lang w:eastAsia="en-US"/>
              </w:rPr>
            </w:pPr>
            <w:r w:rsidRPr="00FD63F1">
              <w:rPr>
                <w:sz w:val="16"/>
                <w:szCs w:val="16"/>
              </w:rPr>
              <w:t>1,0</w:t>
            </w:r>
          </w:p>
        </w:tc>
        <w:tc>
          <w:tcPr>
            <w:tcW w:w="892" w:type="dxa"/>
            <w:tcBorders>
              <w:top w:val="nil"/>
              <w:left w:val="nil"/>
              <w:bottom w:val="single" w:sz="8" w:space="0" w:color="auto"/>
              <w:right w:val="nil"/>
            </w:tcBorders>
            <w:shd w:val="clear" w:color="auto" w:fill="auto"/>
            <w:hideMark/>
          </w:tcPr>
          <w:p w14:paraId="0B9F66CA" w14:textId="77777777" w:rsidR="00BD53AF" w:rsidRPr="00FD63F1" w:rsidRDefault="00BD53AF" w:rsidP="00387AE5">
            <w:pPr>
              <w:jc w:val="center"/>
              <w:rPr>
                <w:rFonts w:cs="Times New Roman"/>
                <w:color w:val="000000"/>
                <w:sz w:val="16"/>
                <w:szCs w:val="16"/>
                <w:lang w:eastAsia="en-US"/>
              </w:rPr>
            </w:pPr>
            <w:r w:rsidRPr="00FD63F1">
              <w:rPr>
                <w:sz w:val="16"/>
                <w:szCs w:val="16"/>
              </w:rPr>
              <w:t>1,0</w:t>
            </w:r>
          </w:p>
        </w:tc>
        <w:tc>
          <w:tcPr>
            <w:tcW w:w="892" w:type="dxa"/>
            <w:tcBorders>
              <w:top w:val="nil"/>
              <w:left w:val="nil"/>
              <w:bottom w:val="single" w:sz="8" w:space="0" w:color="auto"/>
              <w:right w:val="nil"/>
            </w:tcBorders>
            <w:shd w:val="clear" w:color="auto" w:fill="auto"/>
            <w:hideMark/>
          </w:tcPr>
          <w:p w14:paraId="7D36F8C5" w14:textId="6C915B75" w:rsidR="00BD53AF" w:rsidRPr="00FD63F1" w:rsidRDefault="00D074ED">
            <w:pPr>
              <w:jc w:val="center"/>
              <w:rPr>
                <w:rFonts w:cs="Times New Roman"/>
                <w:color w:val="000000"/>
                <w:sz w:val="16"/>
                <w:szCs w:val="16"/>
                <w:lang w:eastAsia="en-US"/>
              </w:rPr>
            </w:pPr>
            <w:r>
              <w:rPr>
                <w:sz w:val="16"/>
                <w:szCs w:val="16"/>
              </w:rPr>
              <w:t>1</w:t>
            </w:r>
            <w:r w:rsidR="00BD53AF" w:rsidRPr="00FD63F1">
              <w:rPr>
                <w:sz w:val="16"/>
                <w:szCs w:val="16"/>
              </w:rPr>
              <w:t>,</w:t>
            </w:r>
            <w:r>
              <w:rPr>
                <w:sz w:val="16"/>
                <w:szCs w:val="16"/>
              </w:rPr>
              <w:t>6</w:t>
            </w:r>
          </w:p>
        </w:tc>
        <w:tc>
          <w:tcPr>
            <w:tcW w:w="1064" w:type="dxa"/>
            <w:tcBorders>
              <w:top w:val="nil"/>
              <w:left w:val="nil"/>
              <w:bottom w:val="single" w:sz="8" w:space="0" w:color="auto"/>
              <w:right w:val="nil"/>
            </w:tcBorders>
            <w:shd w:val="clear" w:color="auto" w:fill="auto"/>
          </w:tcPr>
          <w:p w14:paraId="40F28FE8" w14:textId="77777777" w:rsidR="00BD53AF" w:rsidRPr="00FD63F1" w:rsidRDefault="00BD53AF" w:rsidP="00387AE5">
            <w:pPr>
              <w:jc w:val="center"/>
              <w:rPr>
                <w:rFonts w:cs="Times New Roman"/>
                <w:color w:val="000000"/>
                <w:sz w:val="16"/>
                <w:szCs w:val="16"/>
                <w:lang w:eastAsia="en-US"/>
              </w:rPr>
            </w:pPr>
            <w:r w:rsidRPr="00FD63F1">
              <w:rPr>
                <w:sz w:val="16"/>
                <w:szCs w:val="16"/>
              </w:rPr>
              <w:t>-</w:t>
            </w:r>
          </w:p>
        </w:tc>
      </w:tr>
      <w:tr w:rsidR="00BD53AF" w:rsidRPr="00AE4AA2" w14:paraId="33DC731A" w14:textId="77777777" w:rsidTr="00387AE5">
        <w:trPr>
          <w:trHeight w:val="170"/>
        </w:trPr>
        <w:tc>
          <w:tcPr>
            <w:tcW w:w="4492" w:type="dxa"/>
            <w:gridSpan w:val="2"/>
            <w:tcBorders>
              <w:top w:val="nil"/>
              <w:left w:val="nil"/>
              <w:bottom w:val="nil"/>
              <w:right w:val="nil"/>
            </w:tcBorders>
            <w:shd w:val="clear" w:color="auto" w:fill="auto"/>
            <w:noWrap/>
            <w:vAlign w:val="center"/>
            <w:hideMark/>
          </w:tcPr>
          <w:p w14:paraId="50EB1784" w14:textId="77777777" w:rsidR="00BD53AF" w:rsidRPr="00F5402D" w:rsidRDefault="00BD53AF" w:rsidP="00387AE5">
            <w:pPr>
              <w:pStyle w:val="poznmka"/>
              <w:jc w:val="left"/>
              <w:rPr>
                <w:rFonts w:cs="Times New Roman"/>
                <w:i w:val="0"/>
                <w:iCs w:val="0"/>
                <w:color w:val="000000"/>
                <w:lang w:eastAsia="en-US"/>
              </w:rPr>
            </w:pPr>
            <w:r w:rsidRPr="00F5402D">
              <w:t>Pozn.: * Program stability SR na roky 201</w:t>
            </w:r>
            <w:r>
              <w:t>8</w:t>
            </w:r>
            <w:r w:rsidRPr="00F5402D">
              <w:t xml:space="preserve"> až 202</w:t>
            </w:r>
            <w:r>
              <w:t>1</w:t>
            </w:r>
          </w:p>
        </w:tc>
        <w:tc>
          <w:tcPr>
            <w:tcW w:w="892" w:type="dxa"/>
            <w:tcBorders>
              <w:top w:val="nil"/>
              <w:left w:val="nil"/>
              <w:bottom w:val="nil"/>
              <w:right w:val="nil"/>
            </w:tcBorders>
            <w:shd w:val="clear" w:color="auto" w:fill="auto"/>
            <w:noWrap/>
            <w:vAlign w:val="center"/>
            <w:hideMark/>
          </w:tcPr>
          <w:p w14:paraId="65F216B7" w14:textId="77777777" w:rsidR="00BD53AF" w:rsidRPr="00F5402D" w:rsidRDefault="00BD53AF" w:rsidP="00387AE5">
            <w:pPr>
              <w:rPr>
                <w:rFonts w:cs="Times New Roman"/>
                <w:i/>
                <w:iCs/>
                <w:color w:val="000000"/>
                <w:sz w:val="16"/>
                <w:szCs w:val="16"/>
                <w:lang w:eastAsia="en-US"/>
              </w:rPr>
            </w:pPr>
          </w:p>
        </w:tc>
        <w:tc>
          <w:tcPr>
            <w:tcW w:w="892" w:type="dxa"/>
            <w:tcBorders>
              <w:top w:val="nil"/>
              <w:left w:val="nil"/>
              <w:bottom w:val="nil"/>
              <w:right w:val="nil"/>
            </w:tcBorders>
            <w:shd w:val="clear" w:color="auto" w:fill="auto"/>
            <w:noWrap/>
            <w:vAlign w:val="center"/>
            <w:hideMark/>
          </w:tcPr>
          <w:p w14:paraId="135E5CAD" w14:textId="77777777" w:rsidR="00BD53AF" w:rsidRPr="00F5402D" w:rsidRDefault="00BD53AF" w:rsidP="00387AE5">
            <w:pPr>
              <w:rPr>
                <w:rFonts w:ascii="Times New Roman" w:hAnsi="Times New Roman" w:cs="Times New Roman"/>
                <w:sz w:val="20"/>
                <w:szCs w:val="20"/>
                <w:lang w:eastAsia="en-US"/>
              </w:rPr>
            </w:pPr>
          </w:p>
        </w:tc>
        <w:tc>
          <w:tcPr>
            <w:tcW w:w="892" w:type="dxa"/>
            <w:tcBorders>
              <w:top w:val="nil"/>
              <w:left w:val="nil"/>
              <w:bottom w:val="nil"/>
              <w:right w:val="nil"/>
            </w:tcBorders>
            <w:shd w:val="clear" w:color="auto" w:fill="auto"/>
            <w:noWrap/>
            <w:vAlign w:val="center"/>
            <w:hideMark/>
          </w:tcPr>
          <w:p w14:paraId="2616056F" w14:textId="77777777" w:rsidR="00BD53AF" w:rsidRPr="00F5402D" w:rsidRDefault="00BD53AF" w:rsidP="00387AE5">
            <w:pPr>
              <w:rPr>
                <w:rFonts w:ascii="Times New Roman" w:hAnsi="Times New Roman" w:cs="Times New Roman"/>
                <w:sz w:val="20"/>
                <w:szCs w:val="20"/>
                <w:lang w:eastAsia="en-US"/>
              </w:rPr>
            </w:pPr>
          </w:p>
        </w:tc>
        <w:tc>
          <w:tcPr>
            <w:tcW w:w="1956" w:type="dxa"/>
            <w:gridSpan w:val="2"/>
            <w:tcBorders>
              <w:top w:val="single" w:sz="8" w:space="0" w:color="auto"/>
              <w:left w:val="nil"/>
              <w:bottom w:val="nil"/>
              <w:right w:val="nil"/>
            </w:tcBorders>
            <w:shd w:val="clear" w:color="auto" w:fill="auto"/>
            <w:noWrap/>
            <w:vAlign w:val="center"/>
            <w:hideMark/>
          </w:tcPr>
          <w:p w14:paraId="35DB29B9" w14:textId="77777777" w:rsidR="00BD53AF" w:rsidRPr="00AE4AA2" w:rsidRDefault="00BD53AF" w:rsidP="00387AE5">
            <w:pPr>
              <w:pStyle w:val="poznmka"/>
              <w:rPr>
                <w:rFonts w:cs="Times New Roman"/>
                <w:i w:val="0"/>
                <w:iCs w:val="0"/>
                <w:color w:val="000000"/>
                <w:lang w:eastAsia="en-US"/>
              </w:rPr>
            </w:pPr>
            <w:r w:rsidRPr="00F5402D">
              <w:t>Zdroj: MF SR</w:t>
            </w:r>
          </w:p>
        </w:tc>
      </w:tr>
    </w:tbl>
    <w:p w14:paraId="2B387E91" w14:textId="77777777" w:rsidR="00BD53AF" w:rsidRDefault="00BD53AF" w:rsidP="00BD53AF"/>
    <w:p w14:paraId="45BCDB79" w14:textId="77777777" w:rsidR="00BD53AF" w:rsidRPr="001D5EA8" w:rsidRDefault="00BD53AF" w:rsidP="000032FE">
      <w:pPr>
        <w:pStyle w:val="Nadpis1"/>
        <w:keepLines/>
        <w:numPr>
          <w:ilvl w:val="0"/>
          <w:numId w:val="2"/>
        </w:numPr>
        <w:spacing w:before="240" w:after="240" w:line="276" w:lineRule="auto"/>
        <w:rPr>
          <w:rFonts w:cs="Arial Narrow"/>
          <w:szCs w:val="28"/>
        </w:rPr>
      </w:pPr>
      <w:bookmarkStart w:id="177" w:name="_Toc5869391"/>
      <w:r w:rsidRPr="001D5EA8">
        <w:rPr>
          <w:color w:val="2C9ADC"/>
          <w:szCs w:val="28"/>
        </w:rPr>
        <w:lastRenderedPageBreak/>
        <w:t>UDRŽATEĽNOSŤ VEREJNÝCH FINANCIÍ</w:t>
      </w:r>
      <w:bookmarkEnd w:id="177"/>
      <w:r w:rsidRPr="001D5EA8">
        <w:rPr>
          <w:rFonts w:cs="Arial Narrow"/>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BD53AF" w:rsidRPr="00B84441" w14:paraId="21F06DEE" w14:textId="77777777" w:rsidTr="00387AE5">
        <w:tc>
          <w:tcPr>
            <w:tcW w:w="9072" w:type="dxa"/>
          </w:tcPr>
          <w:p w14:paraId="793C8613" w14:textId="77777777" w:rsidR="00BD53AF" w:rsidRPr="0017416F" w:rsidRDefault="00BD53AF" w:rsidP="00387AE5">
            <w:pPr>
              <w:spacing w:before="120" w:after="120"/>
              <w:jc w:val="both"/>
              <w:rPr>
                <w:highlight w:val="yellow"/>
              </w:rPr>
            </w:pPr>
            <w:r w:rsidRPr="0061332E">
              <w:rPr>
                <w:i/>
              </w:rPr>
              <w:t>Aktu</w:t>
            </w:r>
            <w:r>
              <w:rPr>
                <w:i/>
              </w:rPr>
              <w:t>álne</w:t>
            </w:r>
            <w:r w:rsidRPr="0061332E">
              <w:rPr>
                <w:i/>
              </w:rPr>
              <w:t xml:space="preserve"> hodnotenie udržateľnosti verejných financií</w:t>
            </w:r>
            <w:r>
              <w:rPr>
                <w:i/>
              </w:rPr>
              <w:t xml:space="preserve"> zo strany Európskej komisie</w:t>
            </w:r>
            <w:r w:rsidRPr="0061332E">
              <w:rPr>
                <w:i/>
              </w:rPr>
              <w:t xml:space="preserve"> potvrdzuje nízke riziko v strednodobom horizonte</w:t>
            </w:r>
            <w:r>
              <w:rPr>
                <w:i/>
              </w:rPr>
              <w:t xml:space="preserve"> a stredné riziko dlhodobej udržateľnosti. </w:t>
            </w:r>
            <w:r w:rsidRPr="00C443A0">
              <w:rPr>
                <w:i/>
              </w:rPr>
              <w:t>Naplnenie aktuálnych rozpočtových cieľov do roku 2022 bude mať pozitívny vplyv na hodnotenie udržateľnosti.</w:t>
            </w:r>
            <w:r>
              <w:rPr>
                <w:i/>
              </w:rPr>
              <w:t xml:space="preserve"> Od roku 2019 dochádza k zmenám v starobných </w:t>
            </w:r>
            <w:r w:rsidRPr="005527D7">
              <w:rPr>
                <w:i/>
              </w:rPr>
              <w:t>dôchodkov, najmä zavedenie stropu na vek odchodu do dôchodku. Od roku 2020 sa dočasne upravuje systém výsluhových dôchodkov ozbrojených zložiek. Prijaté opatrenia budú mať na dlhodobú udržateľnosť celkovo negatívny vplyv.</w:t>
            </w:r>
          </w:p>
        </w:tc>
      </w:tr>
    </w:tbl>
    <w:p w14:paraId="1FB61403" w14:textId="77777777" w:rsidR="00BD53AF" w:rsidRPr="000510CA" w:rsidRDefault="00BD53AF" w:rsidP="000032FE">
      <w:pPr>
        <w:pStyle w:val="Nadpis2"/>
        <w:keepLines/>
        <w:numPr>
          <w:ilvl w:val="1"/>
          <w:numId w:val="2"/>
        </w:numPr>
        <w:spacing w:before="240" w:after="120" w:line="276" w:lineRule="auto"/>
        <w:rPr>
          <w:b/>
          <w:color w:val="2C9ADC"/>
          <w:szCs w:val="24"/>
        </w:rPr>
      </w:pPr>
      <w:bookmarkStart w:id="178" w:name="_Toc5869392"/>
      <w:r w:rsidRPr="000510CA">
        <w:rPr>
          <w:b/>
          <w:color w:val="2C9ADC"/>
          <w:szCs w:val="28"/>
        </w:rPr>
        <w:t>Hodnotenie celkovej udržateľnosti verejných financií</w:t>
      </w:r>
      <w:bookmarkEnd w:id="178"/>
    </w:p>
    <w:p w14:paraId="272A74AF" w14:textId="77777777" w:rsidR="00BD53AF" w:rsidRDefault="00BD53AF" w:rsidP="00BD53AF">
      <w:pPr>
        <w:jc w:val="both"/>
      </w:pPr>
      <w:r w:rsidRPr="00B84441">
        <w:rPr>
          <w:b/>
        </w:rPr>
        <w:t xml:space="preserve">Udržateľnosť verejných financií hodnotí očakávaný vplyv starnutia obyvateľstva </w:t>
      </w:r>
      <w:r>
        <w:rPr>
          <w:b/>
        </w:rPr>
        <w:t>v</w:t>
      </w:r>
      <w:r w:rsidRPr="00B84441">
        <w:rPr>
          <w:b/>
        </w:rPr>
        <w:t xml:space="preserve"> </w:t>
      </w:r>
      <w:r>
        <w:rPr>
          <w:b/>
        </w:rPr>
        <w:t>kontexte</w:t>
      </w:r>
      <w:r w:rsidRPr="00B84441">
        <w:rPr>
          <w:b/>
        </w:rPr>
        <w:t xml:space="preserve"> aktuálnej fiškálnej pozície</w:t>
      </w:r>
      <w:r>
        <w:rPr>
          <w:b/>
        </w:rPr>
        <w:t xml:space="preserve"> a nastavenia politík</w:t>
      </w:r>
      <w:r w:rsidRPr="00B84441">
        <w:rPr>
          <w:b/>
        </w:rPr>
        <w:t>.</w:t>
      </w:r>
      <w:r w:rsidRPr="00B84441">
        <w:t xml:space="preserve"> Súčasné nastavenie politík (fiškálna pozícia, dôchodkový a zdravotný systém) by malo pri aktuálnej výške zadlženia a salda verejnej správy zabezpečiť dlhodobú udržateľnosť, tak aby sa dlh </w:t>
      </w:r>
      <w:r>
        <w:t xml:space="preserve">v základnom očakávanom scenári </w:t>
      </w:r>
      <w:r w:rsidRPr="00B84441">
        <w:t>nekontrolovane nezvyšoval. Za účelom hodnotenia dlhodobej udržateľnosti Európska komisia (EK) používa základné indikátory udržateľnosti S1 a S2.</w:t>
      </w:r>
      <w:r>
        <w:t xml:space="preserve"> </w:t>
      </w:r>
    </w:p>
    <w:p w14:paraId="22CB1CE4" w14:textId="77777777" w:rsidR="00BD53AF" w:rsidRDefault="00BD53AF" w:rsidP="00BD53AF">
      <w:pPr>
        <w:jc w:val="both"/>
      </w:pPr>
    </w:p>
    <w:p w14:paraId="65201CF6" w14:textId="26A8BE33" w:rsidR="00BD53AF" w:rsidRDefault="00BD53AF" w:rsidP="00BD53AF">
      <w:pPr>
        <w:jc w:val="both"/>
      </w:pPr>
      <w:r w:rsidRPr="000B67D8">
        <w:rPr>
          <w:b/>
        </w:rPr>
        <w:t xml:space="preserve">Aktuálne </w:t>
      </w:r>
      <w:hyperlink r:id="rId37" w:history="1">
        <w:r w:rsidRPr="00460DD4">
          <w:rPr>
            <w:b/>
            <w:color w:val="2C9ADC" w:themeColor="accent1"/>
          </w:rPr>
          <w:t>hodnotenie Európskej komisie z januára 2019</w:t>
        </w:r>
      </w:hyperlink>
      <w:r w:rsidRPr="000B67D8">
        <w:rPr>
          <w:b/>
        </w:rPr>
        <w:t xml:space="preserve"> (na základe prognózy EK pre rok 2020) potvrdzuje tak ako predošlý rok nízke riziko v strednodobom horizonte (S1) a stredné riziko v dlhodobom horizonte (S2) </w:t>
      </w:r>
      <w:r w:rsidRPr="00460DD4">
        <w:rPr>
          <w:color w:val="000000" w:themeColor="text1"/>
        </w:rPr>
        <w:t>(</w:t>
      </w:r>
      <w:r w:rsidR="00526691">
        <w:rPr>
          <w:color w:val="2C9ADC" w:themeColor="accent1"/>
        </w:rPr>
        <w:t>BOX 5</w:t>
      </w:r>
      <w:r w:rsidRPr="00460DD4">
        <w:t>).</w:t>
      </w:r>
      <w:r w:rsidRPr="000B67D8">
        <w:rPr>
          <w:b/>
        </w:rPr>
        <w:t xml:space="preserve"> </w:t>
      </w:r>
      <w:r w:rsidRPr="000B67D8">
        <w:t>Hodnotenie EK</w:t>
      </w:r>
      <w:r w:rsidRPr="003D2C08">
        <w:t xml:space="preserve"> </w:t>
      </w:r>
      <w:r w:rsidRPr="000B67D8">
        <w:t>zatiaľ</w:t>
      </w:r>
      <w:r w:rsidRPr="003D2C08">
        <w:t xml:space="preserve"> </w:t>
      </w:r>
      <w:r w:rsidRPr="008C7840">
        <w:t>neuvažuj</w:t>
      </w:r>
      <w:r w:rsidRPr="000B67D8">
        <w:t>e</w:t>
      </w:r>
      <w:r w:rsidRPr="003D2C08">
        <w:t xml:space="preserve"> </w:t>
      </w:r>
      <w:r w:rsidRPr="008C7840">
        <w:t>s novými</w:t>
      </w:r>
      <w:r w:rsidRPr="003D2C08">
        <w:t xml:space="preserve"> schválenými opatreniami po poslednom kole projekcií výdavkov citlivých na starnutie</w:t>
      </w:r>
      <w:r>
        <w:t xml:space="preserve"> z roku 2018</w:t>
      </w:r>
      <w:r w:rsidRPr="003D2C08">
        <w:t>. Ide najmä o </w:t>
      </w:r>
      <w:r>
        <w:t>zavedenie</w:t>
      </w:r>
      <w:r w:rsidRPr="003D2C08">
        <w:t xml:space="preserve"> stropu pre vek odchodu do dôchodku (prijat</w:t>
      </w:r>
      <w:r>
        <w:t>ý</w:t>
      </w:r>
      <w:r w:rsidRPr="003D2C08">
        <w:t xml:space="preserve"> koncom marca ústavným zákonom)</w:t>
      </w:r>
      <w:r>
        <w:t>.</w:t>
      </w:r>
    </w:p>
    <w:p w14:paraId="1C03E3CF" w14:textId="77777777" w:rsidR="00BD53AF" w:rsidRDefault="00BD53AF" w:rsidP="00BD53AF">
      <w:pPr>
        <w:jc w:val="both"/>
      </w:pPr>
    </w:p>
    <w:p w14:paraId="5C4738E4" w14:textId="77777777" w:rsidR="00BD53AF" w:rsidRPr="00B84441" w:rsidRDefault="00BD53AF" w:rsidP="00BD53AF">
      <w:pPr>
        <w:pStyle w:val="Odsekzoznamu"/>
        <w:numPr>
          <w:ilvl w:val="0"/>
          <w:numId w:val="4"/>
        </w:numPr>
        <w:spacing w:after="120"/>
        <w:ind w:left="426" w:hanging="357"/>
        <w:jc w:val="both"/>
      </w:pPr>
      <w:r w:rsidRPr="00B84441">
        <w:rPr>
          <w:b/>
        </w:rPr>
        <w:t>Ukazovateľ S1</w:t>
      </w:r>
      <w:r w:rsidRPr="00B84441">
        <w:rPr>
          <w:rStyle w:val="Odkaznapoznmkupodiarou"/>
          <w:b/>
        </w:rPr>
        <w:footnoteReference w:id="44"/>
      </w:r>
      <w:r w:rsidRPr="00B84441">
        <w:t xml:space="preserve"> (strednodobý horizont) - prezentuje hodnotu, o ktorú sa musí trvalo zmeniť aktuálne primárne štrukturálne saldo, aby hrubý dlh verejnej správy </w:t>
      </w:r>
      <w:r w:rsidRPr="00B84441">
        <w:rPr>
          <w:b/>
        </w:rPr>
        <w:t>do roku 2033</w:t>
      </w:r>
      <w:r w:rsidRPr="00B84441">
        <w:t xml:space="preserve"> (</w:t>
      </w:r>
      <w:r w:rsidRPr="00B84441">
        <w:rPr>
          <w:rFonts w:cs="Times New Roman"/>
          <w:bCs/>
          <w:color w:val="000000"/>
        </w:rPr>
        <w:t>t</w:t>
      </w:r>
      <w:r w:rsidRPr="00B84441">
        <w:rPr>
          <w:rFonts w:cs="Times New Roman"/>
          <w:bCs/>
          <w:color w:val="000000"/>
          <w:vertAlign w:val="subscript"/>
        </w:rPr>
        <w:t>0</w:t>
      </w:r>
      <w:r w:rsidRPr="00B84441">
        <w:t xml:space="preserve">+15) </w:t>
      </w:r>
      <w:r w:rsidRPr="00B84441">
        <w:rPr>
          <w:b/>
        </w:rPr>
        <w:t>nepresiahol úroveň 60 % HDP</w:t>
      </w:r>
      <w:r w:rsidRPr="00B84441">
        <w:t xml:space="preserve"> (po zohľadnení očakávaných budúcich výdavkov súvisiacich so starnutím obyvateľstva). MF SR </w:t>
      </w:r>
      <w:r>
        <w:t>pri svojich kvantifikáciách na základe strednodobých cieľov</w:t>
      </w:r>
      <w:r w:rsidRPr="00B84441">
        <w:t xml:space="preserve"> sleduje aj </w:t>
      </w:r>
      <w:r w:rsidRPr="00B84441">
        <w:rPr>
          <w:b/>
        </w:rPr>
        <w:t>prísnejší národný scenár</w:t>
      </w:r>
      <w:r w:rsidRPr="00B84441">
        <w:t>, ktorý považuje v dlhodobom horizonte za smerodajnú</w:t>
      </w:r>
      <w:r w:rsidRPr="00B84441">
        <w:rPr>
          <w:b/>
        </w:rPr>
        <w:t xml:space="preserve"> hranicu dlhu úroveň 40 % HDP</w:t>
      </w:r>
      <w:r w:rsidRPr="00B84441">
        <w:t xml:space="preserve">, čo bude po uplynutí prechodného obdobia najnižšie sankčné pásmo podľa ústavného zákona o rozpočtovej zodpovednosti. MF SR </w:t>
      </w:r>
      <w:r>
        <w:t xml:space="preserve">zároveň </w:t>
      </w:r>
      <w:r w:rsidRPr="00B84441">
        <w:t xml:space="preserve">uvažuje </w:t>
      </w:r>
      <w:r>
        <w:t xml:space="preserve">aj </w:t>
      </w:r>
      <w:r w:rsidRPr="00B84441">
        <w:t>s vplyvom druhého piliera na príjmovej aj výdavkovej strane.</w:t>
      </w:r>
      <w:r w:rsidRPr="00B84441">
        <w:rPr>
          <w:rFonts w:cstheme="minorBidi"/>
          <w:vertAlign w:val="superscript"/>
        </w:rPr>
        <w:footnoteReference w:id="45"/>
      </w:r>
      <w:r w:rsidRPr="00B84441" w:rsidDel="00F3072C">
        <w:rPr>
          <w:rStyle w:val="Odkaznakomentr"/>
          <w:rFonts w:asciiTheme="minorHAnsi" w:eastAsiaTheme="minorHAnsi" w:hAnsiTheme="minorHAnsi" w:cstheme="minorBidi"/>
          <w:vertAlign w:val="superscript"/>
          <w:lang w:eastAsia="en-US"/>
        </w:rPr>
        <w:t xml:space="preserve"> </w:t>
      </w:r>
    </w:p>
    <w:p w14:paraId="335E619D" w14:textId="77777777" w:rsidR="00BD53AF" w:rsidRPr="00B84441" w:rsidRDefault="00BD53AF" w:rsidP="00BD53AF">
      <w:pPr>
        <w:pStyle w:val="Odsekzoznamu"/>
        <w:spacing w:after="120"/>
        <w:jc w:val="both"/>
        <w:rPr>
          <w:szCs w:val="16"/>
        </w:rPr>
      </w:pPr>
    </w:p>
    <w:p w14:paraId="46D39542" w14:textId="77777777" w:rsidR="00BD53AF" w:rsidRPr="00151D49" w:rsidRDefault="00BD53AF" w:rsidP="00BD53AF">
      <w:pPr>
        <w:pStyle w:val="Odsekzoznamu"/>
        <w:numPr>
          <w:ilvl w:val="0"/>
          <w:numId w:val="4"/>
        </w:numPr>
        <w:spacing w:after="120"/>
        <w:ind w:left="426" w:hanging="357"/>
        <w:jc w:val="both"/>
      </w:pPr>
      <w:r w:rsidRPr="00B84441">
        <w:rPr>
          <w:b/>
        </w:rPr>
        <w:t>Ukazovateľ S2</w:t>
      </w:r>
      <w:r w:rsidRPr="00B84441">
        <w:rPr>
          <w:rStyle w:val="Odkaznapoznmkupodiarou"/>
          <w:b/>
        </w:rPr>
        <w:footnoteReference w:id="46"/>
      </w:r>
      <w:r w:rsidRPr="00B84441">
        <w:t xml:space="preserve"> (dlhodobý horizont) - prezentuje hodnotu, o ktorú sa musí trvalo zmeniť primárne štrukturálne saldo, aby sa súčasná hodnota budúcich primárnych sáld (po zohľadnení očakávaných budúcich výdavkov súvisiacich so starnutím obyvateľstva) rovnala súčasnej úrovni hrubého dlhu. Na rozdiel od S1, indikátor S2 berie do úvahy projekcie súvisiace so starnutím populácie </w:t>
      </w:r>
      <w:r w:rsidRPr="00B84441">
        <w:rPr>
          <w:b/>
        </w:rPr>
        <w:t>v nekonečnom horizonte</w:t>
      </w:r>
      <w:r w:rsidRPr="00B84441">
        <w:t xml:space="preserve">, pričom požadovaná zmena salda má zabezpečiť </w:t>
      </w:r>
      <w:r w:rsidRPr="00B84441">
        <w:rPr>
          <w:b/>
        </w:rPr>
        <w:t>stabilizáciu aktuálnej úrovne dlhu</w:t>
      </w:r>
      <w:r>
        <w:rPr>
          <w:b/>
        </w:rPr>
        <w:t xml:space="preserve">. </w:t>
      </w:r>
      <w:r w:rsidRPr="00B84441">
        <w:t xml:space="preserve">MF SR </w:t>
      </w:r>
      <w:r>
        <w:t xml:space="preserve">pri svojich kvantifikáciách aj pri tomto indikátore </w:t>
      </w:r>
      <w:r w:rsidRPr="00B84441">
        <w:t>uvažuje s vplyvom druhého piliera na príjmovej aj výdavkovej strane.</w:t>
      </w:r>
    </w:p>
    <w:p w14:paraId="3E11DAEB" w14:textId="77777777" w:rsidR="00BD53AF" w:rsidRDefault="00BD53AF" w:rsidP="00BD53AF">
      <w:pPr>
        <w:jc w:val="both"/>
        <w:rPr>
          <w:highlight w:val="yellow"/>
        </w:rPr>
      </w:pPr>
    </w:p>
    <w:p w14:paraId="4E085052" w14:textId="77777777" w:rsidR="00BD53AF" w:rsidRDefault="00BD53AF" w:rsidP="00BD53AF">
      <w:pPr>
        <w:spacing w:after="160" w:line="259" w:lineRule="auto"/>
        <w:rPr>
          <w:highlight w:val="yellow"/>
        </w:rPr>
      </w:pPr>
      <w:r>
        <w:rPr>
          <w:highlight w:val="yellow"/>
        </w:rPr>
        <w:br w:type="page"/>
      </w:r>
    </w:p>
    <w:tbl>
      <w:tblPr>
        <w:tblpPr w:leftFromText="142" w:rightFromText="142" w:vertAnchor="text" w:horzAnchor="margin" w:tblpXSpec="center" w:tblpY="1"/>
        <w:tblOverlap w:val="never"/>
        <w:tblW w:w="9073" w:type="dxa"/>
        <w:tblBorders>
          <w:insideH w:val="single" w:sz="4" w:space="0" w:color="auto"/>
          <w:insideV w:val="single" w:sz="4" w:space="0" w:color="auto"/>
        </w:tblBorders>
        <w:shd w:val="clear" w:color="auto" w:fill="AAD3F2"/>
        <w:tblLayout w:type="fixed"/>
        <w:tblCellMar>
          <w:left w:w="70" w:type="dxa"/>
          <w:right w:w="70" w:type="dxa"/>
        </w:tblCellMar>
        <w:tblLook w:val="01E0" w:firstRow="1" w:lastRow="1" w:firstColumn="1" w:lastColumn="1" w:noHBand="0" w:noVBand="0"/>
      </w:tblPr>
      <w:tblGrid>
        <w:gridCol w:w="9073"/>
      </w:tblGrid>
      <w:tr w:rsidR="00BD53AF" w:rsidRPr="000C5CF3" w14:paraId="1263ABFB" w14:textId="77777777" w:rsidTr="00387AE5">
        <w:trPr>
          <w:trHeight w:val="2269"/>
        </w:trPr>
        <w:tc>
          <w:tcPr>
            <w:tcW w:w="9073" w:type="dxa"/>
            <w:shd w:val="clear" w:color="auto" w:fill="AAD3F2"/>
            <w:vAlign w:val="center"/>
          </w:tcPr>
          <w:p w14:paraId="2FFE49A9" w14:textId="472E397D" w:rsidR="00BD53AF" w:rsidRPr="000032FE" w:rsidRDefault="00BD53AF" w:rsidP="00387AE5">
            <w:pPr>
              <w:pStyle w:val="Nadpis3"/>
              <w:spacing w:before="120" w:after="120"/>
              <w:rPr>
                <w:rFonts w:eastAsiaTheme="minorHAnsi"/>
                <w:color w:val="2C9ADC" w:themeColor="accent1"/>
                <w:sz w:val="22"/>
                <w:szCs w:val="22"/>
                <w:lang w:eastAsia="en-US"/>
              </w:rPr>
            </w:pPr>
            <w:bookmarkStart w:id="179" w:name="_Ref5355592"/>
            <w:bookmarkStart w:id="180" w:name="_Toc6314059"/>
            <w:r w:rsidRPr="000032FE">
              <w:rPr>
                <w:color w:val="2C9ADC" w:themeColor="accent1"/>
                <w:sz w:val="22"/>
                <w:szCs w:val="22"/>
              </w:rPr>
              <w:lastRenderedPageBreak/>
              <w:t xml:space="preserve">BOX </w:t>
            </w:r>
            <w:r w:rsidRPr="000032FE">
              <w:rPr>
                <w:color w:val="2C9ADC" w:themeColor="accent1"/>
                <w:sz w:val="22"/>
                <w:szCs w:val="22"/>
              </w:rPr>
              <w:fldChar w:fldCharType="begin"/>
            </w:r>
            <w:r w:rsidRPr="000032FE">
              <w:rPr>
                <w:color w:val="2C9ADC" w:themeColor="accent1"/>
                <w:sz w:val="22"/>
                <w:szCs w:val="22"/>
              </w:rPr>
              <w:instrText xml:space="preserve"> SEQ BOX \* ARABIC </w:instrText>
            </w:r>
            <w:r w:rsidRPr="000032FE">
              <w:rPr>
                <w:color w:val="2C9ADC" w:themeColor="accent1"/>
                <w:sz w:val="22"/>
                <w:szCs w:val="22"/>
              </w:rPr>
              <w:fldChar w:fldCharType="separate"/>
            </w:r>
            <w:r w:rsidR="00D5739E">
              <w:rPr>
                <w:noProof/>
                <w:color w:val="2C9ADC" w:themeColor="accent1"/>
                <w:sz w:val="22"/>
                <w:szCs w:val="22"/>
              </w:rPr>
              <w:t>5</w:t>
            </w:r>
            <w:r w:rsidRPr="000032FE">
              <w:rPr>
                <w:color w:val="2C9ADC" w:themeColor="accent1"/>
                <w:sz w:val="22"/>
                <w:szCs w:val="22"/>
              </w:rPr>
              <w:fldChar w:fldCharType="end"/>
            </w:r>
            <w:r w:rsidRPr="000032FE">
              <w:rPr>
                <w:color w:val="2C9ADC" w:themeColor="accent1"/>
                <w:sz w:val="22"/>
                <w:szCs w:val="22"/>
              </w:rPr>
              <w:t xml:space="preserve"> </w:t>
            </w:r>
            <w:r w:rsidR="00F961A8">
              <w:rPr>
                <w:color w:val="2C9ADC" w:themeColor="accent1"/>
                <w:sz w:val="22"/>
                <w:szCs w:val="22"/>
              </w:rPr>
              <w:t>-</w:t>
            </w:r>
            <w:r w:rsidRPr="000032FE">
              <w:rPr>
                <w:rFonts w:eastAsiaTheme="minorHAnsi"/>
                <w:color w:val="2C9ADC" w:themeColor="accent1"/>
                <w:sz w:val="22"/>
                <w:szCs w:val="22"/>
                <w:lang w:eastAsia="en-US"/>
              </w:rPr>
              <w:t xml:space="preserve"> Hodnotenie udržateľnosti verejných financií podľa Európskej komisie</w:t>
            </w:r>
            <w:bookmarkEnd w:id="179"/>
            <w:bookmarkEnd w:id="180"/>
          </w:p>
          <w:p w14:paraId="495C9323" w14:textId="77777777" w:rsidR="00BD53AF" w:rsidRPr="00146A41" w:rsidRDefault="00BD53AF" w:rsidP="00387AE5">
            <w:pPr>
              <w:jc w:val="both"/>
              <w:rPr>
                <w:sz w:val="20"/>
                <w:szCs w:val="20"/>
              </w:rPr>
            </w:pPr>
            <w:r w:rsidRPr="00B84441">
              <w:rPr>
                <w:b/>
                <w:sz w:val="20"/>
                <w:szCs w:val="20"/>
              </w:rPr>
              <w:t>Aktuálne</w:t>
            </w:r>
            <w:r w:rsidRPr="00684201">
              <w:rPr>
                <w:b/>
                <w:color w:val="2C9ADC" w:themeColor="accent1"/>
                <w:sz w:val="20"/>
                <w:szCs w:val="20"/>
              </w:rPr>
              <w:t xml:space="preserve"> </w:t>
            </w:r>
            <w:hyperlink r:id="rId38" w:history="1">
              <w:r w:rsidRPr="00684201">
                <w:rPr>
                  <w:rStyle w:val="Hypertextovprepojenie"/>
                  <w:rFonts w:cs="Book Antiqua"/>
                  <w:b/>
                  <w:color w:val="2C9ADC" w:themeColor="accent1"/>
                  <w:sz w:val="20"/>
                  <w:szCs w:val="20"/>
                </w:rPr>
                <w:t>hodnotenie Európskej komisie z januára 2019</w:t>
              </w:r>
            </w:hyperlink>
            <w:r w:rsidRPr="00B84441">
              <w:rPr>
                <w:b/>
                <w:sz w:val="20"/>
                <w:szCs w:val="20"/>
              </w:rPr>
              <w:t xml:space="preserve"> potvrdzuje nízke riziko v strednodobom horizonte</w:t>
            </w:r>
            <w:r>
              <w:rPr>
                <w:b/>
                <w:sz w:val="20"/>
                <w:szCs w:val="20"/>
              </w:rPr>
              <w:t xml:space="preserve"> (S1)</w:t>
            </w:r>
            <w:r w:rsidRPr="00B84441">
              <w:rPr>
                <w:b/>
                <w:sz w:val="20"/>
                <w:szCs w:val="20"/>
              </w:rPr>
              <w:t xml:space="preserve"> a stredné riziko v dlhodobom h</w:t>
            </w:r>
            <w:r>
              <w:rPr>
                <w:b/>
                <w:sz w:val="20"/>
                <w:szCs w:val="20"/>
              </w:rPr>
              <w:t>orizonte (S2).</w:t>
            </w:r>
            <w:r>
              <w:rPr>
                <w:rStyle w:val="Odkaznapoznmkupodiarou"/>
                <w:b/>
                <w:sz w:val="20"/>
                <w:szCs w:val="20"/>
              </w:rPr>
              <w:footnoteReference w:id="47"/>
            </w:r>
          </w:p>
          <w:p w14:paraId="7F858F23" w14:textId="77777777" w:rsidR="00BD53AF" w:rsidRDefault="00BD53AF" w:rsidP="00387AE5">
            <w:pPr>
              <w:jc w:val="both"/>
              <w:rPr>
                <w:b/>
                <w:sz w:val="20"/>
                <w:szCs w:val="20"/>
              </w:rPr>
            </w:pPr>
          </w:p>
          <w:p w14:paraId="41D1215C" w14:textId="3DEA5838" w:rsidR="00BD53AF" w:rsidRDefault="00BD53AF" w:rsidP="00387AE5">
            <w:pPr>
              <w:jc w:val="both"/>
              <w:rPr>
                <w:sz w:val="20"/>
                <w:szCs w:val="20"/>
              </w:rPr>
            </w:pPr>
            <w:r w:rsidRPr="00B84441">
              <w:rPr>
                <w:b/>
                <w:sz w:val="20"/>
                <w:szCs w:val="20"/>
              </w:rPr>
              <w:t xml:space="preserve">Podľa pravidelných hodnotení Európskej komisie sa celková udržateľnosť verejných financií SR zlepšuje. </w:t>
            </w:r>
            <w:r w:rsidRPr="00B84441">
              <w:rPr>
                <w:sz w:val="20"/>
                <w:szCs w:val="20"/>
              </w:rPr>
              <w:t xml:space="preserve">V strednodobom aj dlhodobom horizonte dochádza v období </w:t>
            </w:r>
            <w:r>
              <w:rPr>
                <w:sz w:val="20"/>
                <w:szCs w:val="20"/>
              </w:rPr>
              <w:t>medzi rokmi</w:t>
            </w:r>
            <w:r w:rsidRPr="00B84441">
              <w:rPr>
                <w:sz w:val="20"/>
                <w:szCs w:val="20"/>
              </w:rPr>
              <w:t xml:space="preserve"> 2009 </w:t>
            </w:r>
            <w:r>
              <w:rPr>
                <w:sz w:val="20"/>
                <w:szCs w:val="20"/>
              </w:rPr>
              <w:t xml:space="preserve">a </w:t>
            </w:r>
            <w:r w:rsidRPr="00B84441">
              <w:rPr>
                <w:sz w:val="20"/>
                <w:szCs w:val="20"/>
              </w:rPr>
              <w:t xml:space="preserve">2020 k zlepšeniu strednodobej a dlhodobej udržateľnosti o 8,4 p. b. resp. 4,9 p. b.. Primárnym dôvodom </w:t>
            </w:r>
            <w:r>
              <w:rPr>
                <w:sz w:val="20"/>
                <w:szCs w:val="20"/>
              </w:rPr>
              <w:t xml:space="preserve">je </w:t>
            </w:r>
            <w:r w:rsidRPr="00B84441">
              <w:rPr>
                <w:sz w:val="20"/>
                <w:szCs w:val="20"/>
              </w:rPr>
              <w:t>zlepš</w:t>
            </w:r>
            <w:r>
              <w:rPr>
                <w:sz w:val="20"/>
                <w:szCs w:val="20"/>
              </w:rPr>
              <w:t>ovanie</w:t>
            </w:r>
            <w:r w:rsidRPr="00B84441">
              <w:rPr>
                <w:sz w:val="20"/>
                <w:szCs w:val="20"/>
              </w:rPr>
              <w:t xml:space="preserve"> primárneho štrukturálneho salda a v roku 2012 prijatá dôchodková reforma, ktorá </w:t>
            </w:r>
            <w:r w:rsidRPr="0061332E">
              <w:rPr>
                <w:sz w:val="20"/>
                <w:szCs w:val="20"/>
              </w:rPr>
              <w:t>výrazne zlepšila dlhodobé saldo dôchodkového systému</w:t>
            </w:r>
            <w:r>
              <w:rPr>
                <w:sz w:val="20"/>
                <w:szCs w:val="20"/>
              </w:rPr>
              <w:t xml:space="preserve"> na konci projekcií (v roku 2060) o 4 p. b.</w:t>
            </w:r>
            <w:r>
              <w:rPr>
                <w:rStyle w:val="Odkaznapoznmkupodiarou"/>
                <w:sz w:val="20"/>
                <w:szCs w:val="20"/>
              </w:rPr>
              <w:footnoteReference w:id="48"/>
            </w:r>
            <w:r w:rsidR="000E64DB">
              <w:rPr>
                <w:sz w:val="20"/>
                <w:szCs w:val="20"/>
              </w:rPr>
              <w:t>.</w:t>
            </w:r>
          </w:p>
          <w:p w14:paraId="0EF992C7" w14:textId="77777777" w:rsidR="00BD53AF" w:rsidRDefault="00BD53AF" w:rsidP="00387AE5">
            <w:pPr>
              <w:jc w:val="both"/>
              <w:rPr>
                <w:sz w:val="20"/>
                <w:szCs w:val="20"/>
              </w:rPr>
            </w:pPr>
          </w:p>
          <w:p w14:paraId="1780934B" w14:textId="77777777" w:rsidR="00BD53AF" w:rsidRDefault="00BD53AF" w:rsidP="00387AE5">
            <w:pPr>
              <w:jc w:val="both"/>
              <w:rPr>
                <w:sz w:val="20"/>
                <w:szCs w:val="20"/>
              </w:rPr>
            </w:pPr>
            <w:r w:rsidRPr="00B84441">
              <w:rPr>
                <w:b/>
                <w:sz w:val="20"/>
                <w:szCs w:val="20"/>
              </w:rPr>
              <w:t xml:space="preserve">Ukazovateľ </w:t>
            </w:r>
            <w:r>
              <w:rPr>
                <w:b/>
                <w:sz w:val="20"/>
                <w:szCs w:val="20"/>
              </w:rPr>
              <w:t>strednodobej udržateľnosti (</w:t>
            </w:r>
            <w:r w:rsidRPr="00B84441">
              <w:rPr>
                <w:b/>
                <w:sz w:val="20"/>
                <w:szCs w:val="20"/>
              </w:rPr>
              <w:t>S1</w:t>
            </w:r>
            <w:r>
              <w:rPr>
                <w:b/>
                <w:sz w:val="20"/>
                <w:szCs w:val="20"/>
              </w:rPr>
              <w:t>)</w:t>
            </w:r>
            <w:r w:rsidRPr="00B84441">
              <w:rPr>
                <w:b/>
                <w:sz w:val="20"/>
                <w:szCs w:val="20"/>
              </w:rPr>
              <w:t xml:space="preserve"> dosahuje podľa EK zápornú hodnot</w:t>
            </w:r>
            <w:r>
              <w:rPr>
                <w:b/>
                <w:sz w:val="20"/>
                <w:szCs w:val="20"/>
              </w:rPr>
              <w:t>u</w:t>
            </w:r>
            <w:r w:rsidRPr="00B84441">
              <w:rPr>
                <w:b/>
                <w:sz w:val="20"/>
                <w:szCs w:val="20"/>
              </w:rPr>
              <w:t xml:space="preserve"> (-2,9 % HDP)</w:t>
            </w:r>
            <w:r>
              <w:rPr>
                <w:b/>
                <w:sz w:val="20"/>
                <w:szCs w:val="20"/>
              </w:rPr>
              <w:t>,</w:t>
            </w:r>
            <w:r w:rsidRPr="00B84441">
              <w:rPr>
                <w:sz w:val="20"/>
                <w:szCs w:val="20"/>
              </w:rPr>
              <w:t xml:space="preserve"> </w:t>
            </w:r>
            <w:r>
              <w:rPr>
                <w:b/>
                <w:sz w:val="20"/>
                <w:szCs w:val="20"/>
              </w:rPr>
              <w:t>čo</w:t>
            </w:r>
            <w:r w:rsidRPr="00B93582">
              <w:rPr>
                <w:b/>
                <w:sz w:val="20"/>
                <w:szCs w:val="20"/>
              </w:rPr>
              <w:t xml:space="preserve"> neindikuje potrebu dodatočného konsolidačného úsilia, </w:t>
            </w:r>
            <w:r>
              <w:rPr>
                <w:b/>
                <w:sz w:val="20"/>
                <w:szCs w:val="20"/>
              </w:rPr>
              <w:t>aby sa dlh udržal pod referenčnou úrovňou</w:t>
            </w:r>
            <w:r w:rsidRPr="00B93582">
              <w:rPr>
                <w:b/>
                <w:sz w:val="20"/>
                <w:szCs w:val="20"/>
              </w:rPr>
              <w:t xml:space="preserve"> 60 % HDP</w:t>
            </w:r>
            <w:r w:rsidRPr="00B84441">
              <w:rPr>
                <w:sz w:val="20"/>
                <w:szCs w:val="20"/>
              </w:rPr>
              <w:t xml:space="preserve"> (do roku 2033). Práve naopak, záporná hodnota naznačuje fiškáln</w:t>
            </w:r>
            <w:r>
              <w:rPr>
                <w:sz w:val="20"/>
                <w:szCs w:val="20"/>
              </w:rPr>
              <w:t>y</w:t>
            </w:r>
            <w:r w:rsidRPr="00B84441">
              <w:rPr>
                <w:sz w:val="20"/>
                <w:szCs w:val="20"/>
              </w:rPr>
              <w:t xml:space="preserve"> priestor</w:t>
            </w:r>
            <w:r>
              <w:rPr>
                <w:sz w:val="20"/>
                <w:szCs w:val="20"/>
              </w:rPr>
              <w:t xml:space="preserve"> v strednodobom horizonte</w:t>
            </w:r>
            <w:r>
              <w:rPr>
                <w:rStyle w:val="Odkaznapoznmkupodiarou"/>
                <w:sz w:val="20"/>
                <w:szCs w:val="20"/>
              </w:rPr>
              <w:footnoteReference w:id="49"/>
            </w:r>
            <w:r w:rsidRPr="00B84441">
              <w:rPr>
                <w:sz w:val="20"/>
                <w:szCs w:val="20"/>
              </w:rPr>
              <w:t xml:space="preserve">. </w:t>
            </w:r>
            <w:r>
              <w:rPr>
                <w:sz w:val="20"/>
                <w:szCs w:val="20"/>
              </w:rPr>
              <w:t>Nízke riziká s</w:t>
            </w:r>
            <w:r w:rsidRPr="00B84441">
              <w:rPr>
                <w:sz w:val="20"/>
                <w:szCs w:val="20"/>
              </w:rPr>
              <w:t>úvis</w:t>
            </w:r>
            <w:r>
              <w:rPr>
                <w:sz w:val="20"/>
                <w:szCs w:val="20"/>
              </w:rPr>
              <w:t>ia</w:t>
            </w:r>
            <w:r w:rsidRPr="00B84441">
              <w:rPr>
                <w:sz w:val="20"/>
                <w:szCs w:val="20"/>
              </w:rPr>
              <w:t xml:space="preserve"> hlavne</w:t>
            </w:r>
            <w:r>
              <w:rPr>
                <w:sz w:val="20"/>
                <w:szCs w:val="20"/>
              </w:rPr>
              <w:t xml:space="preserve"> s priaznivou </w:t>
            </w:r>
            <w:r w:rsidRPr="00B84441">
              <w:rPr>
                <w:sz w:val="20"/>
                <w:szCs w:val="20"/>
              </w:rPr>
              <w:t>úrovňo</w:t>
            </w:r>
            <w:r>
              <w:rPr>
                <w:sz w:val="20"/>
                <w:szCs w:val="20"/>
              </w:rPr>
              <w:t>u hrubého</w:t>
            </w:r>
            <w:r w:rsidRPr="00B84441">
              <w:rPr>
                <w:sz w:val="20"/>
                <w:szCs w:val="20"/>
              </w:rPr>
              <w:t xml:space="preserve"> dlhu </w:t>
            </w:r>
            <w:r>
              <w:rPr>
                <w:sz w:val="20"/>
                <w:szCs w:val="20"/>
              </w:rPr>
              <w:t xml:space="preserve">očakávanou v roku 2020 (príspevok </w:t>
            </w:r>
            <w:r w:rsidRPr="00B84441">
              <w:rPr>
                <w:sz w:val="20"/>
                <w:szCs w:val="20"/>
              </w:rPr>
              <w:t xml:space="preserve">-1,3 </w:t>
            </w:r>
            <w:r>
              <w:rPr>
                <w:sz w:val="20"/>
                <w:szCs w:val="20"/>
                <w:lang w:val="en-US"/>
              </w:rPr>
              <w:t>% HDP)</w:t>
            </w:r>
            <w:r>
              <w:rPr>
                <w:sz w:val="20"/>
                <w:szCs w:val="20"/>
              </w:rPr>
              <w:t xml:space="preserve">. Nemenej podstatný vplyv predstavuje aj </w:t>
            </w:r>
            <w:r w:rsidRPr="00B84441">
              <w:rPr>
                <w:sz w:val="20"/>
                <w:szCs w:val="20"/>
              </w:rPr>
              <w:t>priazniv</w:t>
            </w:r>
            <w:r>
              <w:rPr>
                <w:sz w:val="20"/>
                <w:szCs w:val="20"/>
              </w:rPr>
              <w:t>á</w:t>
            </w:r>
            <w:r w:rsidRPr="00B84441">
              <w:rPr>
                <w:sz w:val="20"/>
                <w:szCs w:val="20"/>
              </w:rPr>
              <w:t xml:space="preserve"> </w:t>
            </w:r>
            <w:r>
              <w:rPr>
                <w:sz w:val="20"/>
                <w:szCs w:val="20"/>
              </w:rPr>
              <w:t xml:space="preserve">počiatočná rozpočtová pozícia (príspevok -1,7 </w:t>
            </w:r>
            <w:r>
              <w:rPr>
                <w:sz w:val="20"/>
                <w:szCs w:val="20"/>
                <w:lang w:val="en-US"/>
              </w:rPr>
              <w:t xml:space="preserve">% </w:t>
            </w:r>
            <w:r w:rsidRPr="00B84441">
              <w:rPr>
                <w:sz w:val="20"/>
                <w:szCs w:val="20"/>
              </w:rPr>
              <w:t>HDP)</w:t>
            </w:r>
            <w:r>
              <w:rPr>
                <w:sz w:val="20"/>
                <w:szCs w:val="20"/>
              </w:rPr>
              <w:t>, ktorá pri očakávanom raste ekonomiky spôsobuje pokračujúci pokles dlhu na celom strednodobom horizonte</w:t>
            </w:r>
            <w:r w:rsidRPr="00B84441">
              <w:rPr>
                <w:sz w:val="20"/>
                <w:szCs w:val="20"/>
              </w:rPr>
              <w:t xml:space="preserve">. </w:t>
            </w:r>
            <w:r>
              <w:rPr>
                <w:sz w:val="20"/>
                <w:szCs w:val="20"/>
              </w:rPr>
              <w:t>Iba predpoklad o náraste nákladov</w:t>
            </w:r>
            <w:r w:rsidRPr="00B84441">
              <w:rPr>
                <w:sz w:val="20"/>
                <w:szCs w:val="20"/>
              </w:rPr>
              <w:t xml:space="preserve"> na</w:t>
            </w:r>
            <w:r>
              <w:rPr>
                <w:sz w:val="20"/>
                <w:szCs w:val="20"/>
              </w:rPr>
              <w:t xml:space="preserve"> starnutie</w:t>
            </w:r>
            <w:r w:rsidRPr="00B84441">
              <w:rPr>
                <w:sz w:val="20"/>
                <w:szCs w:val="20"/>
              </w:rPr>
              <w:t xml:space="preserve"> </w:t>
            </w:r>
            <w:r>
              <w:rPr>
                <w:sz w:val="20"/>
                <w:szCs w:val="20"/>
              </w:rPr>
              <w:t>negatívne ovplyvňuje výslednú hodnotu S1</w:t>
            </w:r>
            <w:r w:rsidRPr="00B84441">
              <w:rPr>
                <w:sz w:val="20"/>
                <w:szCs w:val="20"/>
              </w:rPr>
              <w:t xml:space="preserve"> (</w:t>
            </w:r>
            <w:r>
              <w:rPr>
                <w:sz w:val="20"/>
                <w:szCs w:val="20"/>
              </w:rPr>
              <w:t>príspevok +</w:t>
            </w:r>
            <w:r w:rsidRPr="00B84441">
              <w:rPr>
                <w:sz w:val="20"/>
                <w:szCs w:val="20"/>
              </w:rPr>
              <w:t>0,1</w:t>
            </w:r>
            <w:r>
              <w:rPr>
                <w:sz w:val="20"/>
                <w:szCs w:val="20"/>
              </w:rPr>
              <w:t xml:space="preserve"> % HDP</w:t>
            </w:r>
            <w:r w:rsidRPr="00B84441">
              <w:rPr>
                <w:sz w:val="20"/>
                <w:szCs w:val="20"/>
              </w:rPr>
              <w:t>).</w:t>
            </w:r>
          </w:p>
          <w:p w14:paraId="3A9F6429" w14:textId="77777777" w:rsidR="00BD53AF" w:rsidRDefault="00BD53AF" w:rsidP="00387AE5">
            <w:pPr>
              <w:jc w:val="both"/>
              <w:rPr>
                <w:sz w:val="20"/>
                <w:szCs w:val="20"/>
              </w:rPr>
            </w:pPr>
          </w:p>
          <w:p w14:paraId="0FD2506A" w14:textId="1029DB10" w:rsidR="00BD53AF" w:rsidRPr="00A42866" w:rsidRDefault="00BD53AF" w:rsidP="00387AE5">
            <w:pPr>
              <w:spacing w:after="120"/>
              <w:jc w:val="both"/>
              <w:rPr>
                <w:b/>
                <w:sz w:val="20"/>
                <w:szCs w:val="20"/>
              </w:rPr>
            </w:pPr>
            <w:r w:rsidRPr="004F7D07">
              <w:rPr>
                <w:b/>
                <w:sz w:val="20"/>
                <w:szCs w:val="20"/>
              </w:rPr>
              <w:t xml:space="preserve">Ukazovateľ </w:t>
            </w:r>
            <w:r>
              <w:rPr>
                <w:b/>
                <w:sz w:val="20"/>
                <w:szCs w:val="20"/>
              </w:rPr>
              <w:t>dlhodobej</w:t>
            </w:r>
            <w:r w:rsidRPr="004F7D07">
              <w:rPr>
                <w:b/>
                <w:sz w:val="20"/>
                <w:szCs w:val="20"/>
              </w:rPr>
              <w:t xml:space="preserve"> udržateľnosti </w:t>
            </w:r>
            <w:r>
              <w:rPr>
                <w:b/>
                <w:sz w:val="20"/>
                <w:szCs w:val="20"/>
              </w:rPr>
              <w:t>(</w:t>
            </w:r>
            <w:r w:rsidRPr="004F7D07">
              <w:rPr>
                <w:b/>
                <w:sz w:val="20"/>
                <w:szCs w:val="20"/>
              </w:rPr>
              <w:t>S2</w:t>
            </w:r>
            <w:r>
              <w:rPr>
                <w:b/>
                <w:sz w:val="20"/>
                <w:szCs w:val="20"/>
              </w:rPr>
              <w:t>)</w:t>
            </w:r>
            <w:r w:rsidRPr="004F7D07">
              <w:rPr>
                <w:b/>
                <w:sz w:val="20"/>
                <w:szCs w:val="20"/>
              </w:rPr>
              <w:t xml:space="preserve"> poukazuje podľa EK na stredné riziká z dlhodobého hľadiska. </w:t>
            </w:r>
            <w:r>
              <w:rPr>
                <w:sz w:val="20"/>
                <w:szCs w:val="20"/>
              </w:rPr>
              <w:t>Výsledok je možné interpretovať tak, že na stabilizovanie úrovne dlhu v dlhodobom horizonte je potrebné kumulatívne zlepšenie primárneho štrukturálne salda o</w:t>
            </w:r>
            <w:r w:rsidRPr="004F7D07">
              <w:rPr>
                <w:sz w:val="20"/>
                <w:szCs w:val="20"/>
              </w:rPr>
              <w:t xml:space="preserve"> 2,5 </w:t>
            </w:r>
            <w:r>
              <w:rPr>
                <w:sz w:val="20"/>
                <w:szCs w:val="20"/>
                <w:lang w:val="en-US"/>
              </w:rPr>
              <w:t>%</w:t>
            </w:r>
            <w:r>
              <w:rPr>
                <w:sz w:val="20"/>
                <w:szCs w:val="20"/>
              </w:rPr>
              <w:t xml:space="preserve"> HDP. Hlavným dôvodom je očakávaný </w:t>
            </w:r>
            <w:r w:rsidRPr="004F7D07">
              <w:rPr>
                <w:sz w:val="20"/>
                <w:szCs w:val="20"/>
              </w:rPr>
              <w:t xml:space="preserve">nárast </w:t>
            </w:r>
            <w:r>
              <w:rPr>
                <w:sz w:val="20"/>
                <w:szCs w:val="20"/>
              </w:rPr>
              <w:t>nákladov</w:t>
            </w:r>
            <w:r w:rsidRPr="004F7D07">
              <w:rPr>
                <w:sz w:val="20"/>
                <w:szCs w:val="20"/>
              </w:rPr>
              <w:t xml:space="preserve"> na starnutie</w:t>
            </w:r>
            <w:r>
              <w:rPr>
                <w:sz w:val="20"/>
                <w:szCs w:val="20"/>
              </w:rPr>
              <w:t xml:space="preserve"> obyvateľstva, ktorý sa prejaví najmä v polovici štyridsiatych rokov (príspevok +</w:t>
            </w:r>
            <w:r w:rsidRPr="004F7D07">
              <w:rPr>
                <w:sz w:val="20"/>
                <w:szCs w:val="20"/>
              </w:rPr>
              <w:t>2,4</w:t>
            </w:r>
            <w:r>
              <w:rPr>
                <w:sz w:val="20"/>
                <w:szCs w:val="20"/>
              </w:rPr>
              <w:t xml:space="preserve"> </w:t>
            </w:r>
            <w:r>
              <w:rPr>
                <w:sz w:val="20"/>
                <w:szCs w:val="20"/>
                <w:lang w:val="en-US"/>
              </w:rPr>
              <w:t>% HDP),</w:t>
            </w:r>
            <w:r w:rsidRPr="004F7D07">
              <w:rPr>
                <w:sz w:val="20"/>
                <w:szCs w:val="20"/>
              </w:rPr>
              <w:t xml:space="preserve"> a</w:t>
            </w:r>
            <w:r>
              <w:rPr>
                <w:sz w:val="20"/>
                <w:szCs w:val="20"/>
              </w:rPr>
              <w:t xml:space="preserve"> taktiež </w:t>
            </w:r>
            <w:r w:rsidRPr="004F7D07">
              <w:rPr>
                <w:sz w:val="20"/>
                <w:szCs w:val="20"/>
              </w:rPr>
              <w:t>mierne nepriaznivá počiatočná rozpočtová pozícia (</w:t>
            </w:r>
            <w:r>
              <w:rPr>
                <w:sz w:val="20"/>
                <w:szCs w:val="20"/>
              </w:rPr>
              <w:t>príspevok</w:t>
            </w:r>
            <w:r w:rsidRPr="004F7D07">
              <w:rPr>
                <w:sz w:val="20"/>
                <w:szCs w:val="20"/>
              </w:rPr>
              <w:t xml:space="preserve"> </w:t>
            </w:r>
            <w:r>
              <w:rPr>
                <w:sz w:val="20"/>
                <w:szCs w:val="20"/>
              </w:rPr>
              <w:t>+</w:t>
            </w:r>
            <w:r w:rsidRPr="004F7D07">
              <w:rPr>
                <w:sz w:val="20"/>
                <w:szCs w:val="20"/>
              </w:rPr>
              <w:t xml:space="preserve">0,1 </w:t>
            </w:r>
            <w:r>
              <w:rPr>
                <w:sz w:val="20"/>
                <w:szCs w:val="20"/>
                <w:lang w:val="en-US"/>
              </w:rPr>
              <w:t>%</w:t>
            </w:r>
            <w:r w:rsidRPr="004F7D07">
              <w:rPr>
                <w:sz w:val="20"/>
                <w:szCs w:val="20"/>
              </w:rPr>
              <w:t xml:space="preserve"> HDP). </w:t>
            </w:r>
            <w:r>
              <w:rPr>
                <w:sz w:val="20"/>
                <w:szCs w:val="20"/>
              </w:rPr>
              <w:t>Starnutie obyvateľstva bude mať v budúcnosti za následok nárast výdavkov s ním súvisiacich ako napr. nárast objemu dôchodkov</w:t>
            </w:r>
            <w:r w:rsidRPr="004F7D07">
              <w:rPr>
                <w:sz w:val="20"/>
                <w:szCs w:val="20"/>
              </w:rPr>
              <w:t xml:space="preserve"> (</w:t>
            </w:r>
            <w:r>
              <w:rPr>
                <w:sz w:val="20"/>
                <w:szCs w:val="20"/>
              </w:rPr>
              <w:t>príspevok +</w:t>
            </w:r>
            <w:r w:rsidRPr="004F7D07">
              <w:rPr>
                <w:sz w:val="20"/>
                <w:szCs w:val="20"/>
              </w:rPr>
              <w:t xml:space="preserve">0,9 </w:t>
            </w:r>
            <w:r>
              <w:rPr>
                <w:sz w:val="20"/>
                <w:szCs w:val="20"/>
              </w:rPr>
              <w:t>%</w:t>
            </w:r>
            <w:r w:rsidRPr="004F7D07">
              <w:rPr>
                <w:sz w:val="20"/>
                <w:szCs w:val="20"/>
              </w:rPr>
              <w:t xml:space="preserve"> HDP), zdravotn</w:t>
            </w:r>
            <w:r>
              <w:rPr>
                <w:sz w:val="20"/>
                <w:szCs w:val="20"/>
              </w:rPr>
              <w:t>ej starostlivosti</w:t>
            </w:r>
            <w:r w:rsidRPr="004F7D07">
              <w:rPr>
                <w:sz w:val="20"/>
                <w:szCs w:val="20"/>
              </w:rPr>
              <w:t xml:space="preserve"> (</w:t>
            </w:r>
            <w:r>
              <w:rPr>
                <w:sz w:val="20"/>
                <w:szCs w:val="20"/>
              </w:rPr>
              <w:t>príspevok +</w:t>
            </w:r>
            <w:r w:rsidRPr="004F7D07">
              <w:rPr>
                <w:sz w:val="20"/>
                <w:szCs w:val="20"/>
              </w:rPr>
              <w:t xml:space="preserve">0,9 </w:t>
            </w:r>
            <w:r>
              <w:rPr>
                <w:sz w:val="20"/>
                <w:szCs w:val="20"/>
              </w:rPr>
              <w:t xml:space="preserve">HDP) a dlhodobej starostlivosti </w:t>
            </w:r>
            <w:r w:rsidRPr="004F7D07">
              <w:rPr>
                <w:sz w:val="20"/>
                <w:szCs w:val="20"/>
              </w:rPr>
              <w:t>(</w:t>
            </w:r>
            <w:r>
              <w:rPr>
                <w:sz w:val="20"/>
                <w:szCs w:val="20"/>
              </w:rPr>
              <w:t xml:space="preserve">príspevok +0,4 </w:t>
            </w:r>
            <w:r w:rsidRPr="004F7D07">
              <w:rPr>
                <w:sz w:val="20"/>
                <w:szCs w:val="20"/>
              </w:rPr>
              <w:t>HDP</w:t>
            </w:r>
            <w:r>
              <w:rPr>
                <w:sz w:val="20"/>
                <w:szCs w:val="20"/>
              </w:rPr>
              <w:t>)</w:t>
            </w:r>
            <w:r w:rsidRPr="004F7D07">
              <w:rPr>
                <w:sz w:val="20"/>
                <w:szCs w:val="20"/>
              </w:rPr>
              <w:t xml:space="preserve">. </w:t>
            </w:r>
            <w:r>
              <w:rPr>
                <w:sz w:val="20"/>
                <w:szCs w:val="20"/>
              </w:rPr>
              <w:t xml:space="preserve">V prípade ukazovateľa S2 analyzovala EK aj </w:t>
            </w:r>
            <w:r w:rsidRPr="004F7D07">
              <w:rPr>
                <w:sz w:val="20"/>
                <w:szCs w:val="20"/>
              </w:rPr>
              <w:t>nepriaznivejš</w:t>
            </w:r>
            <w:r>
              <w:rPr>
                <w:sz w:val="20"/>
                <w:szCs w:val="20"/>
              </w:rPr>
              <w:t>í</w:t>
            </w:r>
            <w:r w:rsidRPr="004F7D07">
              <w:rPr>
                <w:sz w:val="20"/>
                <w:szCs w:val="20"/>
              </w:rPr>
              <w:t xml:space="preserve"> scenár </w:t>
            </w:r>
            <w:r>
              <w:rPr>
                <w:sz w:val="20"/>
                <w:szCs w:val="20"/>
              </w:rPr>
              <w:t xml:space="preserve">vývoja </w:t>
            </w:r>
            <w:r w:rsidRPr="004F7D07">
              <w:rPr>
                <w:sz w:val="20"/>
                <w:szCs w:val="20"/>
              </w:rPr>
              <w:t xml:space="preserve">v oblasti zdravotnej starostlivosti </w:t>
            </w:r>
            <w:r>
              <w:rPr>
                <w:sz w:val="20"/>
                <w:szCs w:val="20"/>
              </w:rPr>
              <w:t xml:space="preserve">a </w:t>
            </w:r>
            <w:r w:rsidRPr="004F7D07">
              <w:rPr>
                <w:sz w:val="20"/>
                <w:szCs w:val="20"/>
              </w:rPr>
              <w:t>dlhodobej starostlivosti</w:t>
            </w:r>
            <w:r>
              <w:rPr>
                <w:sz w:val="20"/>
                <w:szCs w:val="20"/>
              </w:rPr>
              <w:t xml:space="preserve">. Pri takom vývoji by dosahoval hodnotu </w:t>
            </w:r>
            <w:r w:rsidRPr="004F7D07">
              <w:rPr>
                <w:sz w:val="20"/>
                <w:szCs w:val="20"/>
              </w:rPr>
              <w:t xml:space="preserve">4,4 </w:t>
            </w:r>
            <w:r>
              <w:rPr>
                <w:sz w:val="20"/>
                <w:szCs w:val="20"/>
                <w:lang w:val="en-US"/>
              </w:rPr>
              <w:t>% HDP</w:t>
            </w:r>
            <w:r>
              <w:rPr>
                <w:sz w:val="20"/>
                <w:szCs w:val="20"/>
              </w:rPr>
              <w:t>, ktorá naďalej</w:t>
            </w:r>
            <w:r w:rsidRPr="004F7D07">
              <w:rPr>
                <w:sz w:val="20"/>
                <w:szCs w:val="20"/>
              </w:rPr>
              <w:t xml:space="preserve"> </w:t>
            </w:r>
            <w:r w:rsidR="000E64DB">
              <w:rPr>
                <w:sz w:val="20"/>
                <w:szCs w:val="20"/>
              </w:rPr>
              <w:t>poukazuje na stredné riziká</w:t>
            </w:r>
            <w:r>
              <w:rPr>
                <w:rStyle w:val="Odkaznapoznmkupodiarou"/>
                <w:b/>
                <w:sz w:val="20"/>
                <w:szCs w:val="20"/>
              </w:rPr>
              <w:footnoteReference w:id="50"/>
            </w:r>
            <w:r w:rsidR="000E64DB">
              <w:rPr>
                <w:sz w:val="20"/>
                <w:szCs w:val="20"/>
              </w:rPr>
              <w:t>.</w:t>
            </w:r>
          </w:p>
        </w:tc>
      </w:tr>
    </w:tbl>
    <w:p w14:paraId="14C97BE0" w14:textId="77777777" w:rsidR="00BD53AF" w:rsidRDefault="00BD53AF" w:rsidP="00BD53AF">
      <w:pPr>
        <w:jc w:val="both"/>
        <w:rPr>
          <w:highlight w:val="yellow"/>
        </w:rPr>
      </w:pPr>
    </w:p>
    <w:p w14:paraId="10A202FD" w14:textId="316F042F" w:rsidR="00BD53AF" w:rsidRPr="00581834" w:rsidRDefault="00BD53AF" w:rsidP="00BD53AF">
      <w:pPr>
        <w:jc w:val="both"/>
      </w:pPr>
      <w:r w:rsidRPr="00581834">
        <w:rPr>
          <w:b/>
        </w:rPr>
        <w:t xml:space="preserve">Naplnenie rozpočtovej stratégie v predkladanom Programe stability a zohľadnenie nových prijatých opatrení v dôchodkovom systéme by znamenalo potvrdenie nízkeho rizika v strednodobom horizonte a stredného rizika v </w:t>
      </w:r>
      <w:r w:rsidRPr="00581834">
        <w:rPr>
          <w:b/>
          <w:bCs/>
        </w:rPr>
        <w:t xml:space="preserve">dlhodobom horizonte. </w:t>
      </w:r>
      <w:r w:rsidRPr="00581834">
        <w:rPr>
          <w:bCs/>
        </w:rPr>
        <w:t>Na strednodobom horizonte</w:t>
      </w:r>
      <w:r>
        <w:rPr>
          <w:bCs/>
        </w:rPr>
        <w:t xml:space="preserve"> </w:t>
      </w:r>
      <w:r>
        <w:t>naznačuje</w:t>
      </w:r>
      <w:r w:rsidRPr="00581834">
        <w:rPr>
          <w:b/>
          <w:bCs/>
        </w:rPr>
        <w:t xml:space="preserve"> </w:t>
      </w:r>
      <w:r w:rsidRPr="00581834">
        <w:t>indikátor S1 kladný fiškálny priestor na úrovni 2,5 % HDP</w:t>
      </w:r>
      <w:r w:rsidRPr="00581834">
        <w:rPr>
          <w:rStyle w:val="Odkaznapoznmkupodiarou"/>
        </w:rPr>
        <w:footnoteReference w:id="51"/>
      </w:r>
      <w:r w:rsidRPr="00581834">
        <w:t xml:space="preserve">, ktorý </w:t>
      </w:r>
      <w:r>
        <w:t xml:space="preserve">pri splnení cieľov </w:t>
      </w:r>
      <w:r w:rsidRPr="00581834">
        <w:t xml:space="preserve">do roku 2022 </w:t>
      </w:r>
      <w:r w:rsidR="007E38CE">
        <w:t>narastá</w:t>
      </w:r>
      <w:r w:rsidR="007E38CE" w:rsidRPr="00581834">
        <w:t xml:space="preserve"> </w:t>
      </w:r>
      <w:r w:rsidRPr="00581834">
        <w:t>na 2,6 % HDP. Fiškálny priestor voči prísnejšej národnej dlhovej brzde je približne štvrtinový, na úrovni 0,6 % HDP. Indikátor dlhodobej udržateľnosti S2 dosahuje pre rok 2020 po zohľadnení nových opatrení</w:t>
      </w:r>
      <w:r>
        <w:rPr>
          <w:rStyle w:val="Odkaznapoznmkupodiarou"/>
        </w:rPr>
        <w:footnoteReference w:id="52"/>
      </w:r>
      <w:r w:rsidR="00902DC1">
        <w:t xml:space="preserve"> hodnotu 3,6 % HDP. I</w:t>
      </w:r>
      <w:r w:rsidRPr="00581834">
        <w:t>ndikátor</w:t>
      </w:r>
      <w:r w:rsidR="00902DC1">
        <w:t xml:space="preserve"> S2</w:t>
      </w:r>
      <w:r w:rsidRPr="00581834">
        <w:t xml:space="preserve"> je výraznejšie ovplyvnený rastom výdavkov citlivých na starnutie obyvateľstva najmä za strednodobým horizontom. Po miernej dodatočnej štrukturálnej konsolidácii do roku 2022</w:t>
      </w:r>
      <w:r w:rsidRPr="00581834">
        <w:rPr>
          <w:rStyle w:val="Odkaznapoznmkupodiarou"/>
        </w:rPr>
        <w:footnoteReference w:id="53"/>
      </w:r>
      <w:r w:rsidRPr="00581834">
        <w:t xml:space="preserve"> by sa indikátor S2 znížil na 3,5 % HDP, teda naďalej v pásme stredného rizika.</w:t>
      </w:r>
    </w:p>
    <w:p w14:paraId="325969BF" w14:textId="77777777" w:rsidR="00BD53AF" w:rsidRPr="00581834" w:rsidRDefault="00BD53AF" w:rsidP="00BD53AF">
      <w:pPr>
        <w:pStyle w:val="Default"/>
        <w:jc w:val="both"/>
        <w:rPr>
          <w:rFonts w:ascii="Arial Narrow" w:hAnsi="Arial Narrow"/>
          <w:sz w:val="22"/>
          <w:szCs w:val="22"/>
        </w:rPr>
      </w:pPr>
      <w:r w:rsidRPr="00581834">
        <w:rPr>
          <w:rFonts w:ascii="Arial Narrow" w:hAnsi="Arial Narrow"/>
          <w:sz w:val="22"/>
          <w:szCs w:val="22"/>
        </w:rPr>
        <w:t xml:space="preserve"> </w:t>
      </w:r>
    </w:p>
    <w:p w14:paraId="2B3A82F4" w14:textId="77777777" w:rsidR="00BD53AF" w:rsidRPr="00B84441" w:rsidRDefault="00BD53AF" w:rsidP="00BD53AF">
      <w:pPr>
        <w:jc w:val="both"/>
      </w:pPr>
      <w:r w:rsidRPr="00581834">
        <w:rPr>
          <w:b/>
          <w:bCs/>
          <w:color w:val="000000" w:themeColor="text1"/>
        </w:rPr>
        <w:t xml:space="preserve">Oproti predchádzajúcemu Programu stability </w:t>
      </w:r>
      <w:r>
        <w:rPr>
          <w:b/>
          <w:bCs/>
          <w:color w:val="000000" w:themeColor="text1"/>
        </w:rPr>
        <w:t xml:space="preserve">tak </w:t>
      </w:r>
      <w:r w:rsidRPr="00581834">
        <w:rPr>
          <w:b/>
          <w:bCs/>
          <w:color w:val="000000" w:themeColor="text1"/>
        </w:rPr>
        <w:t>dochádza k posilneniu udržateľnosti o</w:t>
      </w:r>
      <w:r w:rsidRPr="00581834">
        <w:rPr>
          <w:b/>
          <w:color w:val="000000" w:themeColor="text1"/>
        </w:rPr>
        <w:t> 0,1</w:t>
      </w:r>
      <w:r>
        <w:rPr>
          <w:b/>
          <w:color w:val="000000" w:themeColor="text1"/>
        </w:rPr>
        <w:t xml:space="preserve"> p. b. v strednodobom horizonte</w:t>
      </w:r>
      <w:r w:rsidRPr="00581834">
        <w:rPr>
          <w:b/>
          <w:color w:val="000000" w:themeColor="text1"/>
        </w:rPr>
        <w:t xml:space="preserve"> </w:t>
      </w:r>
      <w:r>
        <w:rPr>
          <w:b/>
          <w:color w:val="000000" w:themeColor="text1"/>
        </w:rPr>
        <w:t>(</w:t>
      </w:r>
      <w:r w:rsidRPr="00581834">
        <w:rPr>
          <w:b/>
          <w:color w:val="000000" w:themeColor="text1"/>
        </w:rPr>
        <w:t>S1</w:t>
      </w:r>
      <w:r>
        <w:rPr>
          <w:b/>
          <w:color w:val="000000" w:themeColor="text1"/>
        </w:rPr>
        <w:t>),</w:t>
      </w:r>
      <w:r w:rsidRPr="00581834">
        <w:rPr>
          <w:b/>
          <w:color w:val="000000" w:themeColor="text1"/>
        </w:rPr>
        <w:t xml:space="preserve"> a</w:t>
      </w:r>
      <w:r>
        <w:rPr>
          <w:b/>
          <w:color w:val="000000" w:themeColor="text1"/>
        </w:rPr>
        <w:t>le</w:t>
      </w:r>
      <w:r w:rsidRPr="00581834">
        <w:rPr>
          <w:b/>
          <w:color w:val="000000" w:themeColor="text1"/>
        </w:rPr>
        <w:t xml:space="preserve"> </w:t>
      </w:r>
      <w:r>
        <w:rPr>
          <w:b/>
          <w:color w:val="000000" w:themeColor="text1"/>
        </w:rPr>
        <w:t xml:space="preserve">v dlhodobom horizonte </w:t>
      </w:r>
      <w:r w:rsidRPr="00581834">
        <w:rPr>
          <w:b/>
          <w:color w:val="000000" w:themeColor="text1"/>
        </w:rPr>
        <w:t>k zhoršeniu o 1,1 p.</w:t>
      </w:r>
      <w:r>
        <w:rPr>
          <w:b/>
          <w:color w:val="000000" w:themeColor="text1"/>
        </w:rPr>
        <w:t xml:space="preserve"> b.</w:t>
      </w:r>
      <w:r w:rsidRPr="00581834">
        <w:rPr>
          <w:b/>
          <w:color w:val="000000" w:themeColor="text1"/>
        </w:rPr>
        <w:t xml:space="preserve"> </w:t>
      </w:r>
      <w:r>
        <w:rPr>
          <w:b/>
          <w:color w:val="000000" w:themeColor="text1"/>
        </w:rPr>
        <w:t>(</w:t>
      </w:r>
      <w:r w:rsidRPr="00581834">
        <w:rPr>
          <w:b/>
          <w:color w:val="000000" w:themeColor="text1"/>
        </w:rPr>
        <w:t>S2</w:t>
      </w:r>
      <w:r>
        <w:rPr>
          <w:b/>
          <w:color w:val="000000" w:themeColor="text1"/>
        </w:rPr>
        <w:t>)</w:t>
      </w:r>
      <w:r w:rsidRPr="00581834">
        <w:rPr>
          <w:b/>
          <w:color w:val="000000" w:themeColor="text1"/>
        </w:rPr>
        <w:t>.</w:t>
      </w:r>
      <w:r w:rsidRPr="00581834">
        <w:rPr>
          <w:color w:val="000000" w:themeColor="text1"/>
        </w:rPr>
        <w:t xml:space="preserve"> V</w:t>
      </w:r>
      <w:r>
        <w:rPr>
          <w:color w:val="000000" w:themeColor="text1"/>
        </w:rPr>
        <w:t> prípade S1</w:t>
      </w:r>
      <w:r w:rsidRPr="00581834">
        <w:rPr>
          <w:color w:val="000000" w:themeColor="text1"/>
        </w:rPr>
        <w:t xml:space="preserve"> </w:t>
      </w:r>
      <w:r>
        <w:rPr>
          <w:color w:val="000000" w:themeColor="text1"/>
        </w:rPr>
        <w:t>ide</w:t>
      </w:r>
      <w:r w:rsidRPr="00581834">
        <w:rPr>
          <w:color w:val="000000" w:themeColor="text1"/>
        </w:rPr>
        <w:t xml:space="preserve"> predovšetkým o zlepšenie </w:t>
      </w:r>
      <w:r w:rsidRPr="00581834">
        <w:t xml:space="preserve">počiatočnej rozpočtovej pozície (očakávaný medziročný pokles dlhu VS hlbšie pod úroveň 60 % HDP a vyšší primárny prebytok hospodárenia VS). </w:t>
      </w:r>
      <w:r>
        <w:t>Naopak, n</w:t>
      </w:r>
      <w:r w:rsidRPr="00581834">
        <w:t>a hodnotenie dlhodobej</w:t>
      </w:r>
      <w:r w:rsidRPr="00B84441">
        <w:t xml:space="preserve"> udržateľnosti m</w:t>
      </w:r>
      <w:r>
        <w:t>ajú</w:t>
      </w:r>
      <w:r w:rsidRPr="00B84441">
        <w:t xml:space="preserve"> negatívny vplyv </w:t>
      </w:r>
      <w:r>
        <w:t>nové prijaté opatrenia v dôchodkovom systéme, ktoré sa výraznejšie prejavia po roku 2030.</w:t>
      </w:r>
    </w:p>
    <w:p w14:paraId="7EBE97D0" w14:textId="77777777" w:rsidR="00BD53AF" w:rsidRPr="00B84441" w:rsidRDefault="00BD53AF" w:rsidP="00BD53AF">
      <w:pPr>
        <w:jc w:val="both"/>
        <w:rPr>
          <w:b/>
          <w:highlight w:val="yellow"/>
        </w:rPr>
      </w:pPr>
    </w:p>
    <w:tbl>
      <w:tblPr>
        <w:tblW w:w="5001"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394"/>
        <w:gridCol w:w="183"/>
        <w:gridCol w:w="24"/>
        <w:gridCol w:w="140"/>
        <w:gridCol w:w="4331"/>
      </w:tblGrid>
      <w:tr w:rsidR="00BD53AF" w:rsidRPr="0065487D" w14:paraId="31213098" w14:textId="77777777" w:rsidTr="000E64DB">
        <w:trPr>
          <w:trHeight w:val="159"/>
          <w:jc w:val="center"/>
        </w:trPr>
        <w:tc>
          <w:tcPr>
            <w:tcW w:w="2422" w:type="pct"/>
            <w:tcBorders>
              <w:top w:val="nil"/>
              <w:left w:val="nil"/>
              <w:bottom w:val="single" w:sz="8" w:space="0" w:color="auto"/>
              <w:right w:val="nil"/>
            </w:tcBorders>
            <w:shd w:val="clear" w:color="auto" w:fill="auto"/>
            <w:vAlign w:val="center"/>
          </w:tcPr>
          <w:p w14:paraId="70D30A35" w14:textId="68D4A5E6" w:rsidR="00BD53AF" w:rsidRPr="0065487D" w:rsidRDefault="00BD53AF" w:rsidP="00F961A8">
            <w:pPr>
              <w:pStyle w:val="Nadpis3"/>
              <w:rPr>
                <w:rFonts w:eastAsiaTheme="minorHAnsi"/>
                <w:color w:val="2C9ADC"/>
                <w:szCs w:val="20"/>
                <w:lang w:eastAsia="en-US"/>
              </w:rPr>
            </w:pPr>
            <w:bookmarkStart w:id="181" w:name="_Toc6314268"/>
            <w:r w:rsidRPr="002E43AF">
              <w:rPr>
                <w:rFonts w:eastAsiaTheme="minorHAnsi"/>
                <w:color w:val="2C9ADC"/>
                <w:lang w:eastAsia="en-US"/>
              </w:rPr>
              <w:lastRenderedPageBreak/>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25</w:t>
            </w:r>
            <w:r w:rsidRPr="002E43AF">
              <w:rPr>
                <w:rFonts w:eastAsiaTheme="minorHAnsi"/>
                <w:color w:val="2C9ADC"/>
                <w:lang w:eastAsia="en-US"/>
              </w:rPr>
              <w:fldChar w:fldCharType="end"/>
            </w:r>
            <w:r w:rsidRPr="0065487D">
              <w:rPr>
                <w:rFonts w:eastAsiaTheme="minorHAnsi"/>
                <w:color w:val="2C9ADC"/>
                <w:szCs w:val="20"/>
                <w:lang w:eastAsia="en-US"/>
              </w:rPr>
              <w:t xml:space="preserve"> </w:t>
            </w:r>
            <w:r w:rsidR="00F961A8">
              <w:rPr>
                <w:rFonts w:eastAsiaTheme="minorHAnsi"/>
                <w:color w:val="2C9ADC"/>
                <w:szCs w:val="20"/>
                <w:lang w:eastAsia="en-US"/>
              </w:rPr>
              <w:t>-</w:t>
            </w:r>
            <w:r w:rsidRPr="0065487D">
              <w:rPr>
                <w:rFonts w:eastAsiaTheme="minorHAnsi"/>
                <w:color w:val="2C9ADC"/>
                <w:szCs w:val="20"/>
                <w:lang w:eastAsia="en-US"/>
              </w:rPr>
              <w:t xml:space="preserve"> Strednodobá udržateľnosť S1 (EK,</w:t>
            </w:r>
            <w:r>
              <w:rPr>
                <w:rFonts w:eastAsiaTheme="minorHAnsi"/>
                <w:color w:val="2C9ADC"/>
                <w:szCs w:val="20"/>
                <w:lang w:eastAsia="en-US"/>
              </w:rPr>
              <w:t xml:space="preserve"> MF SR</w:t>
            </w:r>
            <w:r w:rsidRPr="0065487D">
              <w:rPr>
                <w:rFonts w:eastAsiaTheme="minorHAnsi"/>
                <w:color w:val="2C9ADC"/>
                <w:szCs w:val="20"/>
                <w:lang w:eastAsia="en-US"/>
              </w:rPr>
              <w:t xml:space="preserve"> % HDP)*</w:t>
            </w:r>
            <w:bookmarkEnd w:id="181"/>
          </w:p>
        </w:tc>
        <w:tc>
          <w:tcPr>
            <w:tcW w:w="114" w:type="pct"/>
            <w:gridSpan w:val="2"/>
            <w:tcBorders>
              <w:top w:val="nil"/>
              <w:left w:val="nil"/>
              <w:bottom w:val="nil"/>
              <w:right w:val="nil"/>
            </w:tcBorders>
            <w:shd w:val="clear" w:color="auto" w:fill="auto"/>
            <w:vAlign w:val="center"/>
          </w:tcPr>
          <w:p w14:paraId="6B3B9900" w14:textId="77777777" w:rsidR="00BD53AF" w:rsidRPr="0065487D" w:rsidRDefault="00BD53AF" w:rsidP="00387AE5">
            <w:pPr>
              <w:rPr>
                <w:rFonts w:cs="Arial"/>
                <w:b/>
                <w:color w:val="2C9ADC"/>
                <w:sz w:val="20"/>
                <w:szCs w:val="20"/>
              </w:rPr>
            </w:pPr>
          </w:p>
        </w:tc>
        <w:tc>
          <w:tcPr>
            <w:tcW w:w="2464" w:type="pct"/>
            <w:gridSpan w:val="2"/>
            <w:tcBorders>
              <w:top w:val="nil"/>
              <w:left w:val="nil"/>
              <w:bottom w:val="single" w:sz="8" w:space="0" w:color="auto"/>
              <w:right w:val="nil"/>
            </w:tcBorders>
            <w:shd w:val="clear" w:color="auto" w:fill="auto"/>
            <w:vAlign w:val="center"/>
          </w:tcPr>
          <w:p w14:paraId="686977AE" w14:textId="4C49E7F6" w:rsidR="00BD53AF" w:rsidRPr="0065487D" w:rsidRDefault="00BD53AF" w:rsidP="00387AE5">
            <w:pPr>
              <w:pStyle w:val="Nadpis3"/>
              <w:rPr>
                <w:rFonts w:eastAsiaTheme="minorHAnsi"/>
                <w:color w:val="2C9ADC"/>
                <w:szCs w:val="20"/>
                <w:lang w:eastAsia="en-US"/>
              </w:rPr>
            </w:pPr>
            <w:bookmarkStart w:id="182" w:name="_Toc6314269"/>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26</w:t>
            </w:r>
            <w:r w:rsidRPr="002E43AF">
              <w:rPr>
                <w:rFonts w:eastAsiaTheme="minorHAnsi"/>
                <w:color w:val="2C9ADC"/>
                <w:lang w:eastAsia="en-US"/>
              </w:rPr>
              <w:fldChar w:fldCharType="end"/>
            </w:r>
            <w:r w:rsidRPr="0065487D">
              <w:rPr>
                <w:rFonts w:eastAsiaTheme="minorHAnsi"/>
                <w:color w:val="2C9ADC"/>
                <w:szCs w:val="20"/>
                <w:lang w:eastAsia="en-US"/>
              </w:rPr>
              <w:t xml:space="preserve"> - Dlhodobá udržateľnosť S2 (EK,</w:t>
            </w:r>
            <w:r>
              <w:rPr>
                <w:rFonts w:eastAsiaTheme="minorHAnsi"/>
                <w:color w:val="2C9ADC"/>
                <w:szCs w:val="20"/>
                <w:lang w:eastAsia="en-US"/>
              </w:rPr>
              <w:t xml:space="preserve"> MF SR</w:t>
            </w:r>
            <w:r w:rsidRPr="0065487D">
              <w:rPr>
                <w:rFonts w:eastAsiaTheme="minorHAnsi"/>
                <w:color w:val="2C9ADC"/>
                <w:szCs w:val="20"/>
                <w:lang w:eastAsia="en-US"/>
              </w:rPr>
              <w:t xml:space="preserve"> % HDP)*</w:t>
            </w:r>
            <w:bookmarkEnd w:id="182"/>
          </w:p>
        </w:tc>
      </w:tr>
      <w:tr w:rsidR="00BD53AF" w:rsidRPr="00B84441" w14:paraId="47432460" w14:textId="77777777" w:rsidTr="000E64DB">
        <w:trPr>
          <w:trHeight w:val="2680"/>
          <w:jc w:val="center"/>
        </w:trPr>
        <w:tc>
          <w:tcPr>
            <w:tcW w:w="2523" w:type="pct"/>
            <w:gridSpan w:val="2"/>
            <w:tcBorders>
              <w:top w:val="single" w:sz="8" w:space="0" w:color="auto"/>
              <w:left w:val="nil"/>
              <w:bottom w:val="single" w:sz="4" w:space="0" w:color="auto"/>
              <w:right w:val="nil"/>
            </w:tcBorders>
            <w:vAlign w:val="center"/>
          </w:tcPr>
          <w:p w14:paraId="6151FDA6" w14:textId="3A68BB7E" w:rsidR="00BD53AF" w:rsidRPr="0065487D" w:rsidRDefault="009C5BB2" w:rsidP="00387AE5">
            <w:pPr>
              <w:spacing w:before="40" w:after="40"/>
              <w:rPr>
                <w:rFonts w:cs="Arial"/>
                <w:b/>
                <w:sz w:val="20"/>
                <w:szCs w:val="20"/>
              </w:rPr>
            </w:pPr>
            <w:r>
              <w:rPr>
                <w:noProof/>
              </w:rPr>
              <w:drawing>
                <wp:inline distT="0" distB="0" distL="0" distR="0" wp14:anchorId="2ED66BE8" wp14:editId="3FDA5FE4">
                  <wp:extent cx="2818130" cy="1752600"/>
                  <wp:effectExtent l="0" t="0" r="127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90" w:type="pct"/>
            <w:gridSpan w:val="2"/>
            <w:tcBorders>
              <w:top w:val="nil"/>
              <w:left w:val="nil"/>
              <w:bottom w:val="nil"/>
              <w:right w:val="nil"/>
            </w:tcBorders>
            <w:vAlign w:val="center"/>
          </w:tcPr>
          <w:p w14:paraId="217CBF9E" w14:textId="77777777" w:rsidR="00BD53AF" w:rsidRPr="0065487D" w:rsidRDefault="00BD53AF" w:rsidP="00387AE5">
            <w:pPr>
              <w:spacing w:before="40" w:after="40"/>
              <w:jc w:val="center"/>
              <w:rPr>
                <w:rFonts w:cs="Arial"/>
                <w:b/>
                <w:sz w:val="20"/>
                <w:szCs w:val="20"/>
              </w:rPr>
            </w:pPr>
          </w:p>
        </w:tc>
        <w:tc>
          <w:tcPr>
            <w:tcW w:w="2387" w:type="pct"/>
            <w:tcBorders>
              <w:top w:val="single" w:sz="8" w:space="0" w:color="auto"/>
              <w:left w:val="nil"/>
              <w:bottom w:val="single" w:sz="4" w:space="0" w:color="auto"/>
              <w:right w:val="nil"/>
            </w:tcBorders>
            <w:vAlign w:val="center"/>
          </w:tcPr>
          <w:p w14:paraId="49CFE2F8" w14:textId="77777777" w:rsidR="00BD53AF" w:rsidRPr="0065487D" w:rsidRDefault="00BD53AF" w:rsidP="00387AE5">
            <w:pPr>
              <w:spacing w:before="40" w:after="40"/>
              <w:jc w:val="center"/>
              <w:rPr>
                <w:rFonts w:cs="Arial"/>
                <w:b/>
                <w:sz w:val="16"/>
                <w:szCs w:val="16"/>
              </w:rPr>
            </w:pPr>
            <w:r>
              <w:rPr>
                <w:noProof/>
              </w:rPr>
              <w:drawing>
                <wp:inline distT="0" distB="0" distL="0" distR="0" wp14:anchorId="5C8544F0" wp14:editId="2297080D">
                  <wp:extent cx="2695575" cy="1798320"/>
                  <wp:effectExtent l="0" t="0" r="9525"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5487D" w:rsidDel="00321215">
              <w:t xml:space="preserve"> </w:t>
            </w:r>
          </w:p>
        </w:tc>
      </w:tr>
      <w:tr w:rsidR="00BD53AF" w:rsidRPr="00BE2626" w14:paraId="2696216D" w14:textId="77777777" w:rsidTr="000E64DB">
        <w:trPr>
          <w:trHeight w:val="159"/>
          <w:jc w:val="center"/>
        </w:trPr>
        <w:tc>
          <w:tcPr>
            <w:tcW w:w="2422" w:type="pct"/>
            <w:tcBorders>
              <w:top w:val="single" w:sz="4" w:space="0" w:color="auto"/>
              <w:left w:val="nil"/>
              <w:bottom w:val="nil"/>
              <w:right w:val="nil"/>
            </w:tcBorders>
            <w:shd w:val="clear" w:color="auto" w:fill="auto"/>
            <w:vAlign w:val="center"/>
          </w:tcPr>
          <w:p w14:paraId="75D7605F" w14:textId="77777777" w:rsidR="00BD53AF" w:rsidRPr="00BE2626" w:rsidRDefault="00BD53AF" w:rsidP="00387AE5">
            <w:pPr>
              <w:spacing w:before="40"/>
              <w:jc w:val="right"/>
              <w:rPr>
                <w:rFonts w:cs="Arial"/>
                <w:i/>
                <w:sz w:val="16"/>
                <w:szCs w:val="16"/>
              </w:rPr>
            </w:pPr>
            <w:r w:rsidRPr="00BE2626">
              <w:rPr>
                <w:rFonts w:cs="Arial"/>
                <w:i/>
                <w:sz w:val="16"/>
                <w:szCs w:val="16"/>
              </w:rPr>
              <w:t>Zdroj: EK, MF SR</w:t>
            </w:r>
          </w:p>
        </w:tc>
        <w:tc>
          <w:tcPr>
            <w:tcW w:w="114" w:type="pct"/>
            <w:gridSpan w:val="2"/>
            <w:tcBorders>
              <w:top w:val="nil"/>
              <w:left w:val="nil"/>
              <w:bottom w:val="nil"/>
              <w:right w:val="nil"/>
            </w:tcBorders>
            <w:shd w:val="clear" w:color="auto" w:fill="auto"/>
            <w:vAlign w:val="center"/>
          </w:tcPr>
          <w:p w14:paraId="6299131F" w14:textId="77777777" w:rsidR="00BD53AF" w:rsidRPr="00BE2626" w:rsidRDefault="00BD53AF" w:rsidP="00387AE5">
            <w:pPr>
              <w:spacing w:before="40"/>
              <w:jc w:val="center"/>
              <w:rPr>
                <w:rFonts w:cs="Arial"/>
                <w:i/>
                <w:sz w:val="16"/>
                <w:szCs w:val="16"/>
              </w:rPr>
            </w:pPr>
          </w:p>
        </w:tc>
        <w:tc>
          <w:tcPr>
            <w:tcW w:w="2464" w:type="pct"/>
            <w:gridSpan w:val="2"/>
            <w:tcBorders>
              <w:top w:val="single" w:sz="4" w:space="0" w:color="auto"/>
              <w:left w:val="nil"/>
              <w:bottom w:val="nil"/>
              <w:right w:val="nil"/>
            </w:tcBorders>
            <w:shd w:val="clear" w:color="auto" w:fill="auto"/>
            <w:vAlign w:val="center"/>
          </w:tcPr>
          <w:p w14:paraId="257F7AC8" w14:textId="77777777" w:rsidR="00BD53AF" w:rsidRPr="00BE2626" w:rsidRDefault="00BD53AF" w:rsidP="00387AE5">
            <w:pPr>
              <w:spacing w:before="40"/>
              <w:jc w:val="right"/>
              <w:rPr>
                <w:rFonts w:cs="Arial"/>
                <w:i/>
                <w:sz w:val="16"/>
                <w:szCs w:val="16"/>
              </w:rPr>
            </w:pPr>
            <w:r w:rsidRPr="00BE2626">
              <w:rPr>
                <w:rFonts w:cs="Arial"/>
                <w:i/>
                <w:sz w:val="16"/>
                <w:szCs w:val="16"/>
              </w:rPr>
              <w:t>Zdroj: EK, MF SR</w:t>
            </w:r>
          </w:p>
        </w:tc>
      </w:tr>
    </w:tbl>
    <w:p w14:paraId="688D131C" w14:textId="4A3A60A0" w:rsidR="00BD53AF" w:rsidRPr="002601AE" w:rsidRDefault="00BD53AF" w:rsidP="00BD53AF">
      <w:pPr>
        <w:spacing w:before="120"/>
        <w:jc w:val="both"/>
        <w:rPr>
          <w:i/>
          <w:sz w:val="16"/>
          <w:szCs w:val="16"/>
        </w:rPr>
      </w:pPr>
      <w:r w:rsidRPr="00BE2626">
        <w:rPr>
          <w:i/>
          <w:sz w:val="16"/>
          <w:szCs w:val="16"/>
        </w:rPr>
        <w:t>* Uvedené roky na grafoch prezentujú východiskový rok pre hodnotenie udržateľnosti v jednotlivých správach EK o udržateľnosti. Metodika a podkladové údaje k zostaveniu vývoja indikátorov S1 a </w:t>
      </w:r>
      <w:r w:rsidRPr="005527D7">
        <w:rPr>
          <w:i/>
          <w:sz w:val="16"/>
          <w:szCs w:val="16"/>
        </w:rPr>
        <w:t>S2 sú uvedené v</w:t>
      </w:r>
      <w:r w:rsidR="00BA4D62">
        <w:rPr>
          <w:i/>
          <w:sz w:val="16"/>
          <w:szCs w:val="16"/>
        </w:rPr>
        <w:t> </w:t>
      </w:r>
      <w:r w:rsidR="00BA4D62" w:rsidRPr="00BA4D62">
        <w:rPr>
          <w:i/>
          <w:color w:val="2C9ADC" w:themeColor="accent1"/>
          <w:sz w:val="16"/>
          <w:szCs w:val="16"/>
        </w:rPr>
        <w:t>Prílohe 5</w:t>
      </w:r>
      <w:r w:rsidR="00BA4D62" w:rsidRPr="00BA4D62">
        <w:rPr>
          <w:i/>
          <w:color w:val="000000" w:themeColor="text1"/>
          <w:sz w:val="16"/>
          <w:szCs w:val="16"/>
        </w:rPr>
        <w:t>.</w:t>
      </w:r>
      <w:r w:rsidR="00BA4D62">
        <w:rPr>
          <w:i/>
          <w:color w:val="2C9ADC" w:themeColor="accent1"/>
          <w:sz w:val="16"/>
          <w:szCs w:val="16"/>
        </w:rPr>
        <w:t xml:space="preserve"> </w:t>
      </w:r>
      <w:r w:rsidRPr="005527D7">
        <w:rPr>
          <w:i/>
          <w:sz w:val="16"/>
          <w:szCs w:val="16"/>
        </w:rPr>
        <w:t>Indikátor EK</w:t>
      </w:r>
      <w:r>
        <w:rPr>
          <w:i/>
          <w:sz w:val="16"/>
          <w:szCs w:val="16"/>
        </w:rPr>
        <w:t xml:space="preserve"> zatiaľ nezohľadňuje opatrenia schválené po poslednom kole projekcií pracovnej skupiny AWG v roku </w:t>
      </w:r>
      <w:r w:rsidRPr="002601AE">
        <w:rPr>
          <w:i/>
          <w:sz w:val="16"/>
          <w:szCs w:val="16"/>
        </w:rPr>
        <w:t>2018. Údaje z Programu stability zohľadňujú nové opatrenia v dôchodkovom systém</w:t>
      </w:r>
      <w:r>
        <w:rPr>
          <w:i/>
          <w:sz w:val="16"/>
          <w:szCs w:val="16"/>
        </w:rPr>
        <w:t>e</w:t>
      </w:r>
      <w:r w:rsidRPr="002601AE">
        <w:rPr>
          <w:i/>
          <w:sz w:val="16"/>
          <w:szCs w:val="16"/>
        </w:rPr>
        <w:t>.</w:t>
      </w:r>
    </w:p>
    <w:p w14:paraId="651351C4" w14:textId="77777777" w:rsidR="00BD53AF" w:rsidRPr="004605D0" w:rsidRDefault="00BD53AF" w:rsidP="000032FE">
      <w:pPr>
        <w:pStyle w:val="Nadpis2"/>
        <w:keepLines/>
        <w:numPr>
          <w:ilvl w:val="1"/>
          <w:numId w:val="2"/>
        </w:numPr>
        <w:spacing w:before="240" w:after="120" w:line="276" w:lineRule="auto"/>
        <w:rPr>
          <w:b/>
          <w:color w:val="2C9ADC"/>
          <w:szCs w:val="28"/>
        </w:rPr>
      </w:pPr>
      <w:bookmarkStart w:id="183" w:name="_Toc5869393"/>
      <w:r w:rsidRPr="004605D0">
        <w:rPr>
          <w:b/>
          <w:color w:val="2C9ADC"/>
          <w:szCs w:val="28"/>
        </w:rPr>
        <w:t>Aktuálne zmeny</w:t>
      </w:r>
      <w:r>
        <w:rPr>
          <w:b/>
          <w:color w:val="2C9ADC"/>
          <w:szCs w:val="28"/>
        </w:rPr>
        <w:t xml:space="preserve"> v politikách citlivých na starnutie populácie</w:t>
      </w:r>
      <w:bookmarkEnd w:id="183"/>
    </w:p>
    <w:p w14:paraId="3134B541" w14:textId="77777777" w:rsidR="00BD53AF" w:rsidRPr="00435AC8" w:rsidRDefault="00BD53AF" w:rsidP="00BD53AF">
      <w:pPr>
        <w:jc w:val="both"/>
        <w:rPr>
          <w:rFonts w:cs="Arial"/>
        </w:rPr>
      </w:pPr>
      <w:r w:rsidRPr="00435AC8">
        <w:rPr>
          <w:rFonts w:cs="Arial"/>
        </w:rPr>
        <w:t>Projekcia EK ohľadom výdavkov citlivých na starnutie</w:t>
      </w:r>
      <w:r>
        <w:rPr>
          <w:rFonts w:cs="Arial"/>
        </w:rPr>
        <w:t xml:space="preserve"> a indikátory S1 a S2</w:t>
      </w:r>
      <w:r w:rsidRPr="00435AC8">
        <w:rPr>
          <w:rFonts w:cs="Arial"/>
        </w:rPr>
        <w:t xml:space="preserve"> vychádza</w:t>
      </w:r>
      <w:r>
        <w:rPr>
          <w:rFonts w:cs="Arial"/>
        </w:rPr>
        <w:t>jú</w:t>
      </w:r>
      <w:r w:rsidRPr="00435AC8">
        <w:rPr>
          <w:rFonts w:cs="Arial"/>
        </w:rPr>
        <w:t xml:space="preserve"> z legislatívneho stavu z roka 2018.</w:t>
      </w:r>
      <w:r>
        <w:rPr>
          <w:rFonts w:cs="Arial"/>
          <w:b/>
        </w:rPr>
        <w:t xml:space="preserve"> </w:t>
      </w:r>
      <w:r w:rsidRPr="004605D0">
        <w:rPr>
          <w:rFonts w:cs="Arial"/>
        </w:rPr>
        <w:t xml:space="preserve">Nižšie </w:t>
      </w:r>
      <w:r>
        <w:rPr>
          <w:rFonts w:cs="Arial"/>
        </w:rPr>
        <w:t xml:space="preserve">sú </w:t>
      </w:r>
      <w:r w:rsidRPr="004605D0">
        <w:rPr>
          <w:rFonts w:cs="Arial"/>
        </w:rPr>
        <w:t>popís</w:t>
      </w:r>
      <w:r>
        <w:rPr>
          <w:rFonts w:cs="Arial"/>
        </w:rPr>
        <w:t>ané</w:t>
      </w:r>
      <w:r w:rsidRPr="00435AC8">
        <w:rPr>
          <w:rFonts w:cs="Arial"/>
        </w:rPr>
        <w:t xml:space="preserve"> </w:t>
      </w:r>
      <w:r>
        <w:rPr>
          <w:rFonts w:cs="Arial"/>
        </w:rPr>
        <w:t xml:space="preserve">aktuálne prijaté </w:t>
      </w:r>
      <w:r w:rsidRPr="00435AC8">
        <w:rPr>
          <w:rFonts w:cs="Arial"/>
        </w:rPr>
        <w:t>opatrenia</w:t>
      </w:r>
      <w:r>
        <w:rPr>
          <w:rFonts w:cs="Arial"/>
        </w:rPr>
        <w:t>, ktoré budú mať vplyv pri aktualizácii projekcií v roku 2021.</w:t>
      </w:r>
    </w:p>
    <w:p w14:paraId="61CC0250" w14:textId="77777777" w:rsidR="00BD53AF" w:rsidRPr="00435AC8" w:rsidRDefault="00BD53AF" w:rsidP="000032FE">
      <w:pPr>
        <w:spacing w:before="240" w:after="120"/>
        <w:jc w:val="both"/>
        <w:rPr>
          <w:rFonts w:cs="Arial"/>
          <w:b/>
          <w:color w:val="2C9ADC" w:themeColor="accent1"/>
        </w:rPr>
      </w:pPr>
      <w:r w:rsidRPr="00435AC8">
        <w:rPr>
          <w:rFonts w:cs="Arial"/>
          <w:b/>
          <w:color w:val="2C9ADC" w:themeColor="accent1"/>
        </w:rPr>
        <w:t>Penzijný systém</w:t>
      </w:r>
      <w:r>
        <w:rPr>
          <w:rFonts w:cs="Arial"/>
          <w:b/>
          <w:color w:val="2C9ADC" w:themeColor="accent1"/>
        </w:rPr>
        <w:t xml:space="preserve"> (prijaté opatrenia)</w:t>
      </w:r>
    </w:p>
    <w:p w14:paraId="6A81AAF9" w14:textId="77777777" w:rsidR="00BD53AF" w:rsidRDefault="00BD53AF" w:rsidP="00BD53AF">
      <w:pPr>
        <w:pStyle w:val="Odsekzoznamu"/>
        <w:spacing w:before="120"/>
        <w:ind w:left="0"/>
        <w:jc w:val="both"/>
        <w:rPr>
          <w:sz w:val="20"/>
          <w:szCs w:val="20"/>
        </w:rPr>
      </w:pPr>
      <w:r w:rsidRPr="009974B9">
        <w:rPr>
          <w:rFonts w:cs="Arial"/>
          <w:b/>
        </w:rPr>
        <w:t>Zavedenie stropu na vek odchodu do dôchodku schválené ústavným zákonom koncom marca 2019 bude mať výrazne negatívny vplyv na udržateľnosť dôchodkového systému v dlhodobom horizonte</w:t>
      </w:r>
      <w:r w:rsidRPr="00036D22">
        <w:rPr>
          <w:b/>
          <w:sz w:val="20"/>
          <w:szCs w:val="20"/>
        </w:rPr>
        <w:t>.</w:t>
      </w:r>
      <w:r w:rsidRPr="00BB68F7">
        <w:rPr>
          <w:sz w:val="20"/>
          <w:szCs w:val="20"/>
        </w:rPr>
        <w:t xml:space="preserve"> </w:t>
      </w:r>
      <w:r>
        <w:rPr>
          <w:rFonts w:cs="Arial"/>
        </w:rPr>
        <w:t>R</w:t>
      </w:r>
      <w:r w:rsidRPr="0086076A">
        <w:rPr>
          <w:rFonts w:cs="Arial"/>
        </w:rPr>
        <w:t xml:space="preserve">ast dôchodkového veku </w:t>
      </w:r>
      <w:r>
        <w:rPr>
          <w:rFonts w:cs="Arial"/>
        </w:rPr>
        <w:t xml:space="preserve">sa zastaví </w:t>
      </w:r>
      <w:r w:rsidRPr="0086076A">
        <w:rPr>
          <w:rFonts w:cs="Arial"/>
        </w:rPr>
        <w:t xml:space="preserve">na hranici 64 rokov a strop pre ženy </w:t>
      </w:r>
      <w:r>
        <w:rPr>
          <w:rFonts w:cs="Arial"/>
        </w:rPr>
        <w:t xml:space="preserve">bude </w:t>
      </w:r>
      <w:r w:rsidRPr="0086076A">
        <w:rPr>
          <w:rFonts w:cs="Arial"/>
        </w:rPr>
        <w:t>závis</w:t>
      </w:r>
      <w:r>
        <w:rPr>
          <w:rFonts w:cs="Arial"/>
        </w:rPr>
        <w:t xml:space="preserve">ieť </w:t>
      </w:r>
      <w:r w:rsidRPr="0086076A">
        <w:rPr>
          <w:rFonts w:cs="Arial"/>
        </w:rPr>
        <w:t>od počtu vychovaných detí. Oproti stavu z roku 2016 vzrastú do roku 2070 výdavky na dôchodky približne o 2,9 % HDP.</w:t>
      </w:r>
      <w:r>
        <w:rPr>
          <w:rFonts w:cs="Arial"/>
        </w:rPr>
        <w:t xml:space="preserve"> </w:t>
      </w:r>
      <w:r w:rsidRPr="009974B9">
        <w:rPr>
          <w:rFonts w:cs="Arial"/>
        </w:rPr>
        <w:t>V európskom porovnaní sa tak Slovensko dostane medzi krajiny s najvyšším rastom výdavkov citlivých na starnutie.</w:t>
      </w:r>
      <w:r>
        <w:rPr>
          <w:sz w:val="20"/>
          <w:szCs w:val="20"/>
        </w:rPr>
        <w:t xml:space="preserve"> </w:t>
      </w:r>
      <w:r>
        <w:rPr>
          <w:rFonts w:cs="Arial"/>
        </w:rPr>
        <w:t xml:space="preserve">Dosiahnutie všeobecného stropu na úrovni 64 rokov sa pri súčasnom </w:t>
      </w:r>
      <w:r w:rsidRPr="009974B9">
        <w:rPr>
          <w:rFonts w:cs="Arial"/>
        </w:rPr>
        <w:t xml:space="preserve">nastavení zvyšovania dôchodkového veku </w:t>
      </w:r>
      <w:r>
        <w:rPr>
          <w:rFonts w:cs="Arial"/>
        </w:rPr>
        <w:t xml:space="preserve">očakáva </w:t>
      </w:r>
      <w:r w:rsidRPr="009974B9">
        <w:rPr>
          <w:rFonts w:cs="Arial"/>
        </w:rPr>
        <w:t xml:space="preserve">po </w:t>
      </w:r>
      <w:r w:rsidRPr="006F0BED">
        <w:rPr>
          <w:rFonts w:cs="Arial"/>
        </w:rPr>
        <w:t>roku 2028</w:t>
      </w:r>
      <w:r w:rsidRPr="009974B9">
        <w:rPr>
          <w:rFonts w:cs="Arial"/>
        </w:rPr>
        <w:t xml:space="preserve">. </w:t>
      </w:r>
      <w:r>
        <w:rPr>
          <w:rFonts w:cs="Arial"/>
        </w:rPr>
        <w:t xml:space="preserve">Opatrenie má </w:t>
      </w:r>
      <w:r w:rsidRPr="009974B9">
        <w:rPr>
          <w:rFonts w:cs="Arial"/>
        </w:rPr>
        <w:t xml:space="preserve">na horizonte </w:t>
      </w:r>
      <w:r>
        <w:rPr>
          <w:rFonts w:cs="Arial"/>
        </w:rPr>
        <w:t xml:space="preserve">Programu stability </w:t>
      </w:r>
      <w:r w:rsidRPr="009974B9">
        <w:rPr>
          <w:rFonts w:cs="Arial"/>
        </w:rPr>
        <w:t xml:space="preserve">minimálny </w:t>
      </w:r>
      <w:r>
        <w:rPr>
          <w:rFonts w:cs="Arial"/>
        </w:rPr>
        <w:t xml:space="preserve">vplyv </w:t>
      </w:r>
      <w:r w:rsidRPr="009974B9">
        <w:rPr>
          <w:rFonts w:cs="Arial"/>
        </w:rPr>
        <w:t>(približne 0,0</w:t>
      </w:r>
      <w:r>
        <w:rPr>
          <w:rFonts w:cs="Arial"/>
        </w:rPr>
        <w:t>1</w:t>
      </w:r>
      <w:r w:rsidRPr="009974B9">
        <w:rPr>
          <w:rFonts w:cs="Arial"/>
        </w:rPr>
        <w:t xml:space="preserve"> % HDP v roku 2022)</w:t>
      </w:r>
      <w:r>
        <w:rPr>
          <w:rFonts w:cs="Arial"/>
        </w:rPr>
        <w:t>.</w:t>
      </w:r>
      <w:r w:rsidRPr="009974B9">
        <w:rPr>
          <w:rFonts w:cs="Arial"/>
        </w:rPr>
        <w:t xml:space="preserve"> </w:t>
      </w:r>
    </w:p>
    <w:p w14:paraId="0B891297" w14:textId="77777777" w:rsidR="00BD53AF" w:rsidRDefault="00BD53AF" w:rsidP="00BD53AF">
      <w:pPr>
        <w:pStyle w:val="Odsekzoznamu"/>
        <w:spacing w:before="120"/>
        <w:ind w:left="0"/>
        <w:jc w:val="both"/>
        <w:rPr>
          <w:sz w:val="20"/>
          <w:szCs w:val="20"/>
        </w:rPr>
      </w:pPr>
    </w:p>
    <w:p w14:paraId="249ACF33" w14:textId="66EA3CBE" w:rsidR="00BD53AF" w:rsidRPr="000A2314" w:rsidRDefault="00BD53AF" w:rsidP="00BD53AF">
      <w:pPr>
        <w:jc w:val="both"/>
        <w:rPr>
          <w:rFonts w:cs="Arial"/>
        </w:rPr>
      </w:pPr>
      <w:r>
        <w:rPr>
          <w:rFonts w:cs="Arial"/>
          <w:b/>
        </w:rPr>
        <w:t>Z</w:t>
      </w:r>
      <w:r w:rsidRPr="000A2314">
        <w:rPr>
          <w:rFonts w:cs="Arial"/>
          <w:b/>
        </w:rPr>
        <w:t>meny v určovaní dôchodkového veku</w:t>
      </w:r>
      <w:r>
        <w:rPr>
          <w:rFonts w:cs="Arial"/>
          <w:b/>
        </w:rPr>
        <w:t xml:space="preserve"> účinné od januára 2019 </w:t>
      </w:r>
      <w:r w:rsidR="00902DC1">
        <w:rPr>
          <w:rFonts w:cs="Arial"/>
          <w:b/>
        </w:rPr>
        <w:t>prinášajú do zvyšovania</w:t>
      </w:r>
      <w:r>
        <w:rPr>
          <w:rFonts w:cs="Arial"/>
          <w:b/>
        </w:rPr>
        <w:t xml:space="preserve"> dôchodkového veku </w:t>
      </w:r>
      <w:r w:rsidRPr="000A2314">
        <w:rPr>
          <w:rFonts w:cs="Arial"/>
          <w:b/>
        </w:rPr>
        <w:t xml:space="preserve">väčšiu </w:t>
      </w:r>
      <w:r>
        <w:rPr>
          <w:rFonts w:cs="Arial"/>
          <w:b/>
        </w:rPr>
        <w:t xml:space="preserve">predvídateľnosť. </w:t>
      </w:r>
      <w:r w:rsidRPr="006F0BED">
        <w:rPr>
          <w:rFonts w:cs="Arial"/>
        </w:rPr>
        <w:t>Dôchodkový vek sa po novom určuje na 5 rokov dopredu</w:t>
      </w:r>
      <w:r>
        <w:rPr>
          <w:rFonts w:cs="Arial"/>
        </w:rPr>
        <w:t xml:space="preserve"> a zaokrúhľuje sa na celé mesiace. Vzhľadom na schválenie zastropovania dôchodkového veku v marci 2019 bude mať toto opatrenie reálny efekt len do roku 2028. V</w:t>
      </w:r>
      <w:r w:rsidRPr="000A2314">
        <w:rPr>
          <w:rFonts w:cs="Arial"/>
        </w:rPr>
        <w:t> roku 2019 </w:t>
      </w:r>
      <w:r>
        <w:rPr>
          <w:rFonts w:cs="Arial"/>
        </w:rPr>
        <w:t xml:space="preserve">bude mať toto opatrenie </w:t>
      </w:r>
      <w:r w:rsidRPr="000A2314">
        <w:rPr>
          <w:rFonts w:cs="Arial"/>
        </w:rPr>
        <w:t xml:space="preserve">negatívny dopad vo výške 6,7 mil. eur. </w:t>
      </w:r>
    </w:p>
    <w:p w14:paraId="620B8EAC" w14:textId="77777777" w:rsidR="00BD53AF" w:rsidRPr="000A2314" w:rsidRDefault="00BD53AF" w:rsidP="00BD53AF">
      <w:pPr>
        <w:spacing w:before="240"/>
        <w:jc w:val="both"/>
        <w:rPr>
          <w:rFonts w:cs="Arial"/>
        </w:rPr>
      </w:pPr>
      <w:r w:rsidRPr="000A2314">
        <w:rPr>
          <w:rFonts w:cs="Arial"/>
          <w:b/>
        </w:rPr>
        <w:t xml:space="preserve">Výdavky na vianočné príspevky dôchodcom sa </w:t>
      </w:r>
      <w:r>
        <w:rPr>
          <w:rFonts w:cs="Arial"/>
          <w:b/>
        </w:rPr>
        <w:t>od</w:t>
      </w:r>
      <w:r w:rsidRPr="000A2314">
        <w:rPr>
          <w:rFonts w:cs="Arial"/>
          <w:b/>
        </w:rPr>
        <w:t> roku 2019 takmer zdvojnásobia.</w:t>
      </w:r>
      <w:r w:rsidRPr="000A2314">
        <w:rPr>
          <w:b/>
        </w:rPr>
        <w:t xml:space="preserve"> </w:t>
      </w:r>
      <w:r>
        <w:t xml:space="preserve">Výdavky tak stúpnu o približne 0,1 % HDP. </w:t>
      </w:r>
      <w:r w:rsidRPr="000A2314">
        <w:rPr>
          <w:rFonts w:cs="Arial"/>
        </w:rPr>
        <w:t xml:space="preserve">Zvýši sa aj počet dôchodcov s nárokom na vianočný príspevok. Kým v minulosti získali nárok len tí dôchodcovia, ktorých úhrn súm dôchodkov nepresiahol 60 % priemernej mzdy, od roku 2019 sa táto hranica posunie na 65 % priemernej mzdy. </w:t>
      </w:r>
    </w:p>
    <w:p w14:paraId="706D50B2" w14:textId="77777777" w:rsidR="00BD53AF" w:rsidRDefault="00BD53AF" w:rsidP="00BD53AF">
      <w:pPr>
        <w:spacing w:before="240"/>
        <w:jc w:val="both"/>
        <w:rPr>
          <w:rFonts w:cs="Arial"/>
        </w:rPr>
      </w:pPr>
      <w:r w:rsidRPr="000A2314">
        <w:rPr>
          <w:rFonts w:cs="Arial"/>
          <w:b/>
        </w:rPr>
        <w:t>Výsluhové dôchodky sa začnú valorizovať dôchodcovskou infláciou až od roku 2022.</w:t>
      </w:r>
      <w:r w:rsidRPr="000A2314">
        <w:rPr>
          <w:rFonts w:cs="Arial"/>
        </w:rPr>
        <w:t xml:space="preserve"> Od júla 2019 sa mali výsluhové dôchodky valorizovať dôchodcovskou infláciou. V marci 2019 schválila Vláda SR prechodné opatrenie, na základe ktorého sa bude v rokoch 2019 – 2021 určovať výška valorizácie v závislosti od počtu odslúžených rokov a priemernej výšky starobného dôchodku vyplácaného zo základného systému (I. pilier). Opatrenie zníži výdavky na valorizáciu výsluhových dôchodkov v tomto období o 4,5 miliónov eur. Následne by mali byť výsluhové dôchodky valorizované o dôchodcovskú infláciu, ktorá garantuje udržanie kúpnej sily všetkých dôchodkov a na dlhodobom horizonte prispieva k zlepšeniu udržateľnosti verejných financií.</w:t>
      </w:r>
    </w:p>
    <w:p w14:paraId="59EA4680" w14:textId="77777777" w:rsidR="0005796F" w:rsidRDefault="0005796F" w:rsidP="00BD53AF">
      <w:pPr>
        <w:spacing w:before="240"/>
        <w:jc w:val="both"/>
        <w:rPr>
          <w:rFonts w:cs="Arial"/>
        </w:rPr>
      </w:pPr>
    </w:p>
    <w:p w14:paraId="78759B74" w14:textId="77777777" w:rsidR="0005796F" w:rsidRDefault="0005796F" w:rsidP="00BD53AF">
      <w:pPr>
        <w:spacing w:before="240"/>
        <w:jc w:val="both"/>
        <w:rPr>
          <w:rFonts w:cs="Arial"/>
        </w:rPr>
      </w:pPr>
    </w:p>
    <w:p w14:paraId="6A0FD2FA" w14:textId="77777777" w:rsidR="0005796F" w:rsidRDefault="0005796F" w:rsidP="00BD53AF">
      <w:pPr>
        <w:spacing w:before="240"/>
        <w:jc w:val="both"/>
        <w:rPr>
          <w:rFonts w:cs="Arial"/>
        </w:rPr>
      </w:pPr>
    </w:p>
    <w:tbl>
      <w:tblPr>
        <w:tblpPr w:leftFromText="141" w:rightFromText="141" w:vertAnchor="text" w:horzAnchor="margin" w:tblpY="7"/>
        <w:tblOverlap w:val="never"/>
        <w:tblW w:w="9066" w:type="dxa"/>
        <w:tblLayout w:type="fixed"/>
        <w:tblCellMar>
          <w:left w:w="70" w:type="dxa"/>
          <w:right w:w="70" w:type="dxa"/>
        </w:tblCellMar>
        <w:tblLook w:val="04A0" w:firstRow="1" w:lastRow="0" w:firstColumn="1" w:lastColumn="0" w:noHBand="0" w:noVBand="1"/>
      </w:tblPr>
      <w:tblGrid>
        <w:gridCol w:w="5103"/>
        <w:gridCol w:w="990"/>
        <w:gridCol w:w="991"/>
        <w:gridCol w:w="996"/>
        <w:gridCol w:w="986"/>
      </w:tblGrid>
      <w:tr w:rsidR="00BD53AF" w:rsidRPr="004862C8" w14:paraId="046E14B6" w14:textId="77777777" w:rsidTr="000E64DB">
        <w:trPr>
          <w:trHeight w:val="340"/>
        </w:trPr>
        <w:tc>
          <w:tcPr>
            <w:tcW w:w="9066" w:type="dxa"/>
            <w:gridSpan w:val="5"/>
            <w:tcBorders>
              <w:top w:val="nil"/>
              <w:left w:val="nil"/>
              <w:bottom w:val="single" w:sz="4" w:space="0" w:color="auto"/>
              <w:right w:val="nil"/>
            </w:tcBorders>
            <w:shd w:val="clear" w:color="auto" w:fill="auto"/>
            <w:noWrap/>
            <w:vAlign w:val="center"/>
            <w:hideMark/>
          </w:tcPr>
          <w:p w14:paraId="2CBDB24E" w14:textId="6A88DDCF" w:rsidR="00BD53AF" w:rsidRPr="004862C8" w:rsidRDefault="00BD53AF" w:rsidP="0005796F">
            <w:pPr>
              <w:pStyle w:val="Nadpis3"/>
              <w:rPr>
                <w:b w:val="0"/>
                <w:bCs w:val="0"/>
                <w:color w:val="2C9ADC"/>
                <w:szCs w:val="20"/>
              </w:rPr>
            </w:pPr>
            <w:bookmarkStart w:id="184" w:name="_Toc6314215"/>
            <w:r w:rsidRPr="00115234">
              <w:rPr>
                <w:rFonts w:eastAsiaTheme="minorHAnsi"/>
                <w:color w:val="2C9ADC"/>
                <w:lang w:eastAsia="en-US"/>
              </w:rPr>
              <w:lastRenderedPageBreak/>
              <w:t xml:space="preserve">TABUĽKA </w:t>
            </w:r>
            <w:r w:rsidRPr="00115234">
              <w:rPr>
                <w:rFonts w:eastAsiaTheme="minorHAnsi"/>
                <w:color w:val="2C9ADC"/>
                <w:lang w:eastAsia="en-US"/>
              </w:rPr>
              <w:fldChar w:fldCharType="begin"/>
            </w:r>
            <w:r w:rsidRPr="00115234">
              <w:rPr>
                <w:rFonts w:eastAsiaTheme="minorHAnsi"/>
                <w:color w:val="2C9ADC"/>
                <w:lang w:eastAsia="en-US"/>
              </w:rPr>
              <w:instrText xml:space="preserve"> SEQ TABUĽKA \* ARABIC </w:instrText>
            </w:r>
            <w:r w:rsidRPr="00115234">
              <w:rPr>
                <w:rFonts w:eastAsiaTheme="minorHAnsi"/>
                <w:color w:val="2C9ADC"/>
                <w:lang w:eastAsia="en-US"/>
              </w:rPr>
              <w:fldChar w:fldCharType="separate"/>
            </w:r>
            <w:r w:rsidR="00D5739E">
              <w:rPr>
                <w:rFonts w:eastAsiaTheme="minorHAnsi"/>
                <w:noProof/>
                <w:color w:val="2C9ADC"/>
                <w:lang w:eastAsia="en-US"/>
              </w:rPr>
              <w:t>16</w:t>
            </w:r>
            <w:r w:rsidRPr="00115234">
              <w:rPr>
                <w:rFonts w:eastAsiaTheme="minorHAnsi"/>
                <w:color w:val="2C9ADC"/>
                <w:lang w:eastAsia="en-US"/>
              </w:rPr>
              <w:fldChar w:fldCharType="end"/>
            </w:r>
            <w:r>
              <w:rPr>
                <w:rFonts w:eastAsiaTheme="minorHAnsi"/>
                <w:color w:val="2C9ADC"/>
                <w:lang w:eastAsia="en-US"/>
              </w:rPr>
              <w:t xml:space="preserve"> </w:t>
            </w:r>
            <w:r w:rsidR="00F961A8">
              <w:rPr>
                <w:rFonts w:eastAsiaTheme="minorHAnsi"/>
                <w:color w:val="2C9ADC"/>
                <w:szCs w:val="20"/>
                <w:lang w:eastAsia="en-US"/>
              </w:rPr>
              <w:t>-</w:t>
            </w:r>
            <w:r w:rsidRPr="00E13042">
              <w:rPr>
                <w:rFonts w:eastAsiaTheme="minorHAnsi"/>
                <w:color w:val="2C9ADC"/>
                <w:szCs w:val="20"/>
                <w:lang w:eastAsia="en-US"/>
              </w:rPr>
              <w:t xml:space="preserve"> Rozpočtové vplyvy zo zavedenia nových opatrení v penzijnom systéme (% HDP)</w:t>
            </w:r>
            <w:bookmarkEnd w:id="184"/>
          </w:p>
        </w:tc>
      </w:tr>
      <w:tr w:rsidR="00BD53AF" w:rsidRPr="004862C8" w14:paraId="2E506FC5" w14:textId="77777777" w:rsidTr="000E64DB">
        <w:trPr>
          <w:trHeight w:val="432"/>
        </w:trPr>
        <w:tc>
          <w:tcPr>
            <w:tcW w:w="5103" w:type="dxa"/>
            <w:tcBorders>
              <w:top w:val="single" w:sz="4" w:space="0" w:color="auto"/>
              <w:left w:val="nil"/>
              <w:bottom w:val="single" w:sz="4" w:space="0" w:color="auto"/>
              <w:right w:val="nil"/>
            </w:tcBorders>
            <w:shd w:val="clear" w:color="auto" w:fill="auto"/>
            <w:noWrap/>
            <w:vAlign w:val="center"/>
            <w:hideMark/>
          </w:tcPr>
          <w:p w14:paraId="0E1D2A57" w14:textId="77777777" w:rsidR="00BD53AF" w:rsidRPr="004862C8" w:rsidRDefault="00BD53AF" w:rsidP="000E64DB">
            <w:pPr>
              <w:rPr>
                <w:rFonts w:cs="Arial"/>
                <w:b/>
                <w:color w:val="000000"/>
                <w:sz w:val="18"/>
                <w:szCs w:val="20"/>
              </w:rPr>
            </w:pPr>
            <w:r w:rsidRPr="004862C8">
              <w:rPr>
                <w:rFonts w:cs="Arial"/>
                <w:b/>
                <w:color w:val="000000"/>
                <w:sz w:val="18"/>
                <w:szCs w:val="20"/>
              </w:rPr>
              <w:t> Scenár</w:t>
            </w:r>
          </w:p>
        </w:tc>
        <w:tc>
          <w:tcPr>
            <w:tcW w:w="990" w:type="dxa"/>
            <w:tcBorders>
              <w:top w:val="single" w:sz="4" w:space="0" w:color="auto"/>
              <w:left w:val="nil"/>
              <w:bottom w:val="single" w:sz="4" w:space="0" w:color="auto"/>
              <w:right w:val="nil"/>
            </w:tcBorders>
            <w:shd w:val="clear" w:color="auto" w:fill="auto"/>
            <w:noWrap/>
            <w:vAlign w:val="center"/>
            <w:hideMark/>
          </w:tcPr>
          <w:p w14:paraId="0FEE0321" w14:textId="77777777" w:rsidR="00BD53AF" w:rsidRPr="004862C8" w:rsidRDefault="00BD53AF" w:rsidP="000E64DB">
            <w:pPr>
              <w:jc w:val="center"/>
              <w:rPr>
                <w:rFonts w:cs="Arial"/>
                <w:b/>
                <w:color w:val="000000"/>
                <w:sz w:val="18"/>
                <w:szCs w:val="20"/>
              </w:rPr>
            </w:pPr>
            <w:r w:rsidRPr="004862C8">
              <w:rPr>
                <w:rFonts w:cs="Arial"/>
                <w:b/>
                <w:color w:val="000000"/>
                <w:sz w:val="18"/>
                <w:szCs w:val="20"/>
              </w:rPr>
              <w:t>Výdavky v roku 2016</w:t>
            </w:r>
          </w:p>
        </w:tc>
        <w:tc>
          <w:tcPr>
            <w:tcW w:w="991" w:type="dxa"/>
            <w:tcBorders>
              <w:top w:val="single" w:sz="4" w:space="0" w:color="auto"/>
              <w:left w:val="nil"/>
              <w:bottom w:val="single" w:sz="4" w:space="0" w:color="auto"/>
              <w:right w:val="nil"/>
            </w:tcBorders>
            <w:shd w:val="clear" w:color="auto" w:fill="auto"/>
            <w:noWrap/>
            <w:vAlign w:val="center"/>
            <w:hideMark/>
          </w:tcPr>
          <w:p w14:paraId="38FAD351" w14:textId="77777777" w:rsidR="00BD53AF" w:rsidRPr="004862C8" w:rsidRDefault="00BD53AF" w:rsidP="000E64DB">
            <w:pPr>
              <w:jc w:val="center"/>
              <w:rPr>
                <w:rFonts w:cs="Arial"/>
                <w:b/>
                <w:color w:val="000000"/>
                <w:sz w:val="18"/>
                <w:szCs w:val="20"/>
              </w:rPr>
            </w:pPr>
            <w:r w:rsidRPr="004862C8">
              <w:rPr>
                <w:rFonts w:cs="Arial"/>
                <w:b/>
                <w:color w:val="000000"/>
                <w:sz w:val="18"/>
                <w:szCs w:val="20"/>
              </w:rPr>
              <w:t>Výdavky v roku 2070</w:t>
            </w:r>
          </w:p>
        </w:tc>
        <w:tc>
          <w:tcPr>
            <w:tcW w:w="996" w:type="dxa"/>
            <w:tcBorders>
              <w:top w:val="single" w:sz="4" w:space="0" w:color="auto"/>
              <w:left w:val="nil"/>
              <w:bottom w:val="single" w:sz="4" w:space="0" w:color="auto"/>
              <w:right w:val="nil"/>
            </w:tcBorders>
            <w:shd w:val="clear" w:color="auto" w:fill="auto"/>
            <w:noWrap/>
            <w:vAlign w:val="center"/>
            <w:hideMark/>
          </w:tcPr>
          <w:p w14:paraId="0989AB76" w14:textId="77777777" w:rsidR="00BD53AF" w:rsidRPr="004862C8" w:rsidRDefault="00BD53AF" w:rsidP="000E64DB">
            <w:pPr>
              <w:jc w:val="center"/>
              <w:rPr>
                <w:rFonts w:cs="Arial"/>
                <w:b/>
                <w:color w:val="000000"/>
                <w:sz w:val="18"/>
                <w:szCs w:val="20"/>
              </w:rPr>
            </w:pPr>
            <w:r w:rsidRPr="004862C8">
              <w:rPr>
                <w:rFonts w:cs="Arial"/>
                <w:b/>
                <w:color w:val="000000"/>
                <w:sz w:val="18"/>
                <w:szCs w:val="20"/>
              </w:rPr>
              <w:t>Zmena</w:t>
            </w:r>
            <w:r>
              <w:rPr>
                <w:rFonts w:cs="Arial"/>
                <w:b/>
                <w:color w:val="000000"/>
                <w:sz w:val="18"/>
                <w:szCs w:val="20"/>
              </w:rPr>
              <w:t xml:space="preserve"> výdavkov</w:t>
            </w:r>
          </w:p>
        </w:tc>
        <w:tc>
          <w:tcPr>
            <w:tcW w:w="986" w:type="dxa"/>
            <w:tcBorders>
              <w:top w:val="single" w:sz="4" w:space="0" w:color="auto"/>
              <w:left w:val="nil"/>
              <w:bottom w:val="single" w:sz="4" w:space="0" w:color="auto"/>
              <w:right w:val="nil"/>
            </w:tcBorders>
            <w:vAlign w:val="center"/>
          </w:tcPr>
          <w:p w14:paraId="018389F7" w14:textId="77777777" w:rsidR="00BD53AF" w:rsidRPr="004862C8" w:rsidRDefault="00BD53AF" w:rsidP="000E64DB">
            <w:pPr>
              <w:jc w:val="center"/>
              <w:rPr>
                <w:rFonts w:cs="Arial"/>
                <w:b/>
                <w:color w:val="000000"/>
                <w:sz w:val="18"/>
                <w:szCs w:val="20"/>
              </w:rPr>
            </w:pPr>
            <w:r w:rsidRPr="004862C8">
              <w:rPr>
                <w:rFonts w:cs="Arial"/>
                <w:b/>
                <w:color w:val="000000"/>
                <w:sz w:val="18"/>
                <w:szCs w:val="20"/>
              </w:rPr>
              <w:t>Indikátor S2</w:t>
            </w:r>
          </w:p>
        </w:tc>
      </w:tr>
      <w:tr w:rsidR="00BD53AF" w:rsidRPr="004862C8" w14:paraId="45C5EB06" w14:textId="77777777" w:rsidTr="000E64DB">
        <w:trPr>
          <w:trHeight w:val="376"/>
        </w:trPr>
        <w:tc>
          <w:tcPr>
            <w:tcW w:w="5103" w:type="dxa"/>
            <w:tcBorders>
              <w:top w:val="single" w:sz="4" w:space="0" w:color="auto"/>
              <w:left w:val="nil"/>
              <w:bottom w:val="nil"/>
              <w:right w:val="nil"/>
            </w:tcBorders>
            <w:shd w:val="clear" w:color="auto" w:fill="auto"/>
            <w:noWrap/>
            <w:vAlign w:val="center"/>
            <w:hideMark/>
          </w:tcPr>
          <w:p w14:paraId="5EDCA465" w14:textId="77777777" w:rsidR="00BD53AF" w:rsidRPr="004862C8" w:rsidRDefault="00BD53AF" w:rsidP="000E64DB">
            <w:pPr>
              <w:jc w:val="both"/>
              <w:rPr>
                <w:rFonts w:cs="Arial"/>
                <w:color w:val="000000"/>
                <w:sz w:val="18"/>
                <w:szCs w:val="20"/>
              </w:rPr>
            </w:pPr>
            <w:r w:rsidRPr="00C42A43">
              <w:rPr>
                <w:rFonts w:cs="Arial"/>
                <w:color w:val="000000"/>
                <w:sz w:val="18"/>
                <w:szCs w:val="20"/>
              </w:rPr>
              <w:t xml:space="preserve">Projekcia </w:t>
            </w:r>
            <w:r>
              <w:rPr>
                <w:rFonts w:cs="Arial"/>
                <w:color w:val="000000"/>
                <w:sz w:val="18"/>
                <w:szCs w:val="20"/>
              </w:rPr>
              <w:t xml:space="preserve">penzijných </w:t>
            </w:r>
            <w:r w:rsidRPr="00C42A43">
              <w:rPr>
                <w:rFonts w:cs="Arial"/>
                <w:color w:val="000000"/>
                <w:sz w:val="18"/>
                <w:szCs w:val="20"/>
              </w:rPr>
              <w:t>výdavkov podľa aktuálnej Správy o starnutí populácie z roku 2018</w:t>
            </w:r>
          </w:p>
        </w:tc>
        <w:tc>
          <w:tcPr>
            <w:tcW w:w="990" w:type="dxa"/>
            <w:tcBorders>
              <w:top w:val="single" w:sz="4" w:space="0" w:color="auto"/>
              <w:left w:val="nil"/>
              <w:bottom w:val="nil"/>
              <w:right w:val="nil"/>
            </w:tcBorders>
            <w:shd w:val="clear" w:color="auto" w:fill="auto"/>
            <w:noWrap/>
            <w:vAlign w:val="center"/>
            <w:hideMark/>
          </w:tcPr>
          <w:p w14:paraId="519B9523" w14:textId="77777777" w:rsidR="00BD53AF" w:rsidRPr="004862C8" w:rsidRDefault="00BD53AF" w:rsidP="000E64DB">
            <w:pPr>
              <w:jc w:val="center"/>
              <w:rPr>
                <w:rFonts w:cs="Arial"/>
                <w:color w:val="000000"/>
                <w:sz w:val="18"/>
                <w:szCs w:val="20"/>
              </w:rPr>
            </w:pPr>
            <w:r w:rsidRPr="004862C8">
              <w:rPr>
                <w:rFonts w:cs="Arial"/>
                <w:color w:val="000000"/>
                <w:sz w:val="18"/>
                <w:szCs w:val="20"/>
              </w:rPr>
              <w:t>8,6</w:t>
            </w:r>
          </w:p>
        </w:tc>
        <w:tc>
          <w:tcPr>
            <w:tcW w:w="991" w:type="dxa"/>
            <w:tcBorders>
              <w:top w:val="single" w:sz="4" w:space="0" w:color="auto"/>
              <w:left w:val="nil"/>
              <w:bottom w:val="nil"/>
              <w:right w:val="nil"/>
            </w:tcBorders>
            <w:shd w:val="clear" w:color="auto" w:fill="auto"/>
            <w:noWrap/>
            <w:vAlign w:val="center"/>
            <w:hideMark/>
          </w:tcPr>
          <w:p w14:paraId="58B54B29" w14:textId="77777777" w:rsidR="00BD53AF" w:rsidRPr="004862C8" w:rsidRDefault="00BD53AF" w:rsidP="000E64DB">
            <w:pPr>
              <w:jc w:val="center"/>
              <w:rPr>
                <w:rFonts w:cs="Arial"/>
                <w:color w:val="000000"/>
                <w:sz w:val="18"/>
                <w:szCs w:val="20"/>
              </w:rPr>
            </w:pPr>
            <w:r w:rsidRPr="004862C8">
              <w:rPr>
                <w:rFonts w:cs="Arial"/>
                <w:color w:val="000000"/>
                <w:sz w:val="18"/>
                <w:szCs w:val="20"/>
              </w:rPr>
              <w:t>9,8</w:t>
            </w:r>
          </w:p>
        </w:tc>
        <w:tc>
          <w:tcPr>
            <w:tcW w:w="996" w:type="dxa"/>
            <w:tcBorders>
              <w:top w:val="single" w:sz="4" w:space="0" w:color="auto"/>
              <w:left w:val="nil"/>
              <w:bottom w:val="nil"/>
              <w:right w:val="nil"/>
            </w:tcBorders>
            <w:shd w:val="clear" w:color="auto" w:fill="auto"/>
            <w:noWrap/>
            <w:vAlign w:val="center"/>
            <w:hideMark/>
          </w:tcPr>
          <w:p w14:paraId="3E114FDE" w14:textId="77777777" w:rsidR="00BD53AF" w:rsidRPr="004862C8" w:rsidRDefault="00BD53AF" w:rsidP="000E64DB">
            <w:pPr>
              <w:jc w:val="center"/>
              <w:rPr>
                <w:rFonts w:cs="Arial"/>
                <w:color w:val="000000"/>
                <w:sz w:val="18"/>
                <w:szCs w:val="20"/>
              </w:rPr>
            </w:pPr>
            <w:r w:rsidRPr="004862C8">
              <w:rPr>
                <w:rFonts w:cs="Arial"/>
                <w:color w:val="000000"/>
                <w:sz w:val="18"/>
                <w:szCs w:val="20"/>
              </w:rPr>
              <w:t>1,2</w:t>
            </w:r>
          </w:p>
        </w:tc>
        <w:tc>
          <w:tcPr>
            <w:tcW w:w="986" w:type="dxa"/>
            <w:tcBorders>
              <w:top w:val="single" w:sz="4" w:space="0" w:color="auto"/>
              <w:left w:val="nil"/>
              <w:bottom w:val="nil"/>
              <w:right w:val="nil"/>
            </w:tcBorders>
            <w:vAlign w:val="center"/>
          </w:tcPr>
          <w:p w14:paraId="3931C7AC" w14:textId="77777777" w:rsidR="00BD53AF" w:rsidRPr="004862C8" w:rsidRDefault="00BD53AF" w:rsidP="000E64DB">
            <w:pPr>
              <w:jc w:val="center"/>
              <w:rPr>
                <w:rFonts w:cs="Arial"/>
                <w:color w:val="000000"/>
                <w:sz w:val="18"/>
                <w:szCs w:val="20"/>
              </w:rPr>
            </w:pPr>
            <w:r w:rsidRPr="00902DC1">
              <w:rPr>
                <w:rFonts w:cs="Arial"/>
                <w:color w:val="000000"/>
                <w:sz w:val="18"/>
                <w:szCs w:val="20"/>
              </w:rPr>
              <w:t>2,4*</w:t>
            </w:r>
          </w:p>
        </w:tc>
      </w:tr>
      <w:tr w:rsidR="00BD53AF" w:rsidRPr="004862C8" w14:paraId="452672E2" w14:textId="77777777" w:rsidTr="000E64DB">
        <w:trPr>
          <w:trHeight w:val="320"/>
        </w:trPr>
        <w:tc>
          <w:tcPr>
            <w:tcW w:w="5103" w:type="dxa"/>
            <w:tcBorders>
              <w:top w:val="nil"/>
              <w:left w:val="nil"/>
              <w:bottom w:val="single" w:sz="4" w:space="0" w:color="auto"/>
              <w:right w:val="nil"/>
            </w:tcBorders>
            <w:shd w:val="clear" w:color="auto" w:fill="auto"/>
            <w:noWrap/>
            <w:vAlign w:val="center"/>
            <w:hideMark/>
          </w:tcPr>
          <w:p w14:paraId="54D62157" w14:textId="77777777" w:rsidR="00BD53AF" w:rsidRPr="004862C8" w:rsidRDefault="00BD53AF" w:rsidP="000E64DB">
            <w:pPr>
              <w:jc w:val="both"/>
              <w:rPr>
                <w:rFonts w:cs="Arial"/>
                <w:color w:val="000000"/>
                <w:sz w:val="18"/>
                <w:szCs w:val="20"/>
              </w:rPr>
            </w:pPr>
            <w:r>
              <w:rPr>
                <w:rFonts w:cs="Arial"/>
                <w:color w:val="000000"/>
                <w:sz w:val="18"/>
                <w:szCs w:val="20"/>
              </w:rPr>
              <w:t>Predpokladaná aktualizovaná projekcia (vrátane dôchodkového stropu</w:t>
            </w:r>
            <w:r>
              <w:rPr>
                <w:rStyle w:val="Odkaznapoznmkupodiarou"/>
                <w:color w:val="000000"/>
                <w:sz w:val="18"/>
                <w:szCs w:val="20"/>
              </w:rPr>
              <w:footnoteReference w:id="54"/>
            </w:r>
            <w:r>
              <w:rPr>
                <w:rFonts w:cs="Arial"/>
                <w:color w:val="000000"/>
                <w:sz w:val="18"/>
                <w:szCs w:val="20"/>
              </w:rPr>
              <w:t>)</w:t>
            </w:r>
          </w:p>
        </w:tc>
        <w:tc>
          <w:tcPr>
            <w:tcW w:w="990" w:type="dxa"/>
            <w:tcBorders>
              <w:top w:val="nil"/>
              <w:left w:val="nil"/>
              <w:bottom w:val="single" w:sz="4" w:space="0" w:color="auto"/>
              <w:right w:val="nil"/>
            </w:tcBorders>
            <w:shd w:val="clear" w:color="auto" w:fill="auto"/>
            <w:noWrap/>
            <w:vAlign w:val="center"/>
            <w:hideMark/>
          </w:tcPr>
          <w:p w14:paraId="35C9F07B" w14:textId="77777777" w:rsidR="00BD53AF" w:rsidRPr="006F0BED" w:rsidRDefault="00BD53AF" w:rsidP="000E64DB">
            <w:pPr>
              <w:jc w:val="center"/>
              <w:rPr>
                <w:rFonts w:cs="Arial"/>
                <w:color w:val="000000"/>
                <w:sz w:val="18"/>
                <w:szCs w:val="20"/>
              </w:rPr>
            </w:pPr>
            <w:r w:rsidRPr="006F0BED">
              <w:rPr>
                <w:rFonts w:cs="Arial"/>
                <w:color w:val="000000"/>
                <w:sz w:val="18"/>
                <w:szCs w:val="20"/>
              </w:rPr>
              <w:t>8,6</w:t>
            </w:r>
          </w:p>
        </w:tc>
        <w:tc>
          <w:tcPr>
            <w:tcW w:w="991" w:type="dxa"/>
            <w:tcBorders>
              <w:top w:val="nil"/>
              <w:left w:val="nil"/>
              <w:bottom w:val="single" w:sz="4" w:space="0" w:color="auto"/>
              <w:right w:val="nil"/>
            </w:tcBorders>
            <w:shd w:val="clear" w:color="auto" w:fill="auto"/>
            <w:noWrap/>
            <w:vAlign w:val="center"/>
            <w:hideMark/>
          </w:tcPr>
          <w:p w14:paraId="1F1B6B6A" w14:textId="77777777" w:rsidR="00BD53AF" w:rsidRPr="006F0BED" w:rsidRDefault="00BD53AF" w:rsidP="000E64DB">
            <w:pPr>
              <w:jc w:val="center"/>
              <w:rPr>
                <w:rFonts w:cs="Arial"/>
                <w:color w:val="000000"/>
                <w:sz w:val="18"/>
                <w:szCs w:val="20"/>
              </w:rPr>
            </w:pPr>
            <w:r w:rsidRPr="006F0BED">
              <w:rPr>
                <w:rFonts w:cs="Arial"/>
                <w:color w:val="000000"/>
                <w:sz w:val="18"/>
                <w:szCs w:val="20"/>
              </w:rPr>
              <w:t>11,5</w:t>
            </w:r>
          </w:p>
        </w:tc>
        <w:tc>
          <w:tcPr>
            <w:tcW w:w="996" w:type="dxa"/>
            <w:tcBorders>
              <w:top w:val="nil"/>
              <w:left w:val="nil"/>
              <w:bottom w:val="single" w:sz="4" w:space="0" w:color="auto"/>
              <w:right w:val="nil"/>
            </w:tcBorders>
            <w:shd w:val="clear" w:color="auto" w:fill="auto"/>
            <w:noWrap/>
            <w:vAlign w:val="center"/>
            <w:hideMark/>
          </w:tcPr>
          <w:p w14:paraId="79F474FB" w14:textId="77777777" w:rsidR="00BD53AF" w:rsidRPr="006F0BED" w:rsidRDefault="00BD53AF" w:rsidP="000E64DB">
            <w:pPr>
              <w:jc w:val="center"/>
              <w:rPr>
                <w:rFonts w:cs="Arial"/>
                <w:color w:val="000000"/>
                <w:sz w:val="18"/>
                <w:szCs w:val="20"/>
              </w:rPr>
            </w:pPr>
            <w:r w:rsidRPr="006F0BED">
              <w:rPr>
                <w:rFonts w:cs="Arial"/>
                <w:color w:val="000000"/>
                <w:sz w:val="18"/>
                <w:szCs w:val="20"/>
              </w:rPr>
              <w:t>2,9</w:t>
            </w:r>
          </w:p>
        </w:tc>
        <w:tc>
          <w:tcPr>
            <w:tcW w:w="986" w:type="dxa"/>
            <w:tcBorders>
              <w:top w:val="nil"/>
              <w:left w:val="nil"/>
              <w:bottom w:val="single" w:sz="4" w:space="0" w:color="auto"/>
              <w:right w:val="nil"/>
            </w:tcBorders>
            <w:vAlign w:val="center"/>
          </w:tcPr>
          <w:p w14:paraId="3238B938" w14:textId="77777777" w:rsidR="00BD53AF" w:rsidRPr="006F0BED" w:rsidRDefault="00BD53AF" w:rsidP="000E64DB">
            <w:pPr>
              <w:tabs>
                <w:tab w:val="left" w:pos="193"/>
                <w:tab w:val="center" w:pos="405"/>
              </w:tabs>
              <w:jc w:val="center"/>
              <w:rPr>
                <w:rFonts w:cs="Arial"/>
                <w:color w:val="000000"/>
                <w:sz w:val="18"/>
                <w:szCs w:val="20"/>
              </w:rPr>
            </w:pPr>
            <w:r w:rsidRPr="006F0BED">
              <w:rPr>
                <w:rFonts w:cs="Arial"/>
                <w:color w:val="000000"/>
                <w:sz w:val="18"/>
                <w:szCs w:val="20"/>
              </w:rPr>
              <w:t>3,6</w:t>
            </w:r>
            <w:r>
              <w:rPr>
                <w:rFonts w:cs="Arial"/>
                <w:color w:val="000000"/>
                <w:sz w:val="18"/>
                <w:szCs w:val="20"/>
              </w:rPr>
              <w:t>*</w:t>
            </w:r>
          </w:p>
        </w:tc>
      </w:tr>
      <w:tr w:rsidR="00BD53AF" w:rsidRPr="000B67D8" w14:paraId="5075F2C8" w14:textId="77777777" w:rsidTr="000E64DB">
        <w:trPr>
          <w:trHeight w:val="410"/>
        </w:trPr>
        <w:tc>
          <w:tcPr>
            <w:tcW w:w="8080" w:type="dxa"/>
            <w:gridSpan w:val="4"/>
            <w:tcBorders>
              <w:top w:val="single" w:sz="4" w:space="0" w:color="auto"/>
              <w:left w:val="nil"/>
              <w:right w:val="nil"/>
            </w:tcBorders>
            <w:shd w:val="clear" w:color="auto" w:fill="auto"/>
            <w:noWrap/>
            <w:vAlign w:val="center"/>
            <w:hideMark/>
          </w:tcPr>
          <w:p w14:paraId="6F122443" w14:textId="62C29C5A" w:rsidR="00BD53AF" w:rsidRPr="000B67D8" w:rsidRDefault="00BD53AF" w:rsidP="000E64DB">
            <w:pPr>
              <w:spacing w:after="120"/>
              <w:rPr>
                <w:rFonts w:cs="Arial"/>
                <w:i/>
                <w:iCs/>
                <w:color w:val="000000"/>
                <w:sz w:val="16"/>
                <w:szCs w:val="16"/>
              </w:rPr>
            </w:pPr>
            <w:r w:rsidRPr="000B67D8">
              <w:rPr>
                <w:rFonts w:cs="Arial"/>
                <w:i/>
                <w:iCs/>
                <w:color w:val="000000"/>
                <w:sz w:val="16"/>
                <w:szCs w:val="16"/>
              </w:rPr>
              <w:t>*Prepočet S2 použí</w:t>
            </w:r>
            <w:r w:rsidR="00193396">
              <w:rPr>
                <w:rFonts w:cs="Arial"/>
                <w:i/>
                <w:iCs/>
                <w:color w:val="000000"/>
                <w:sz w:val="16"/>
                <w:szCs w:val="16"/>
              </w:rPr>
              <w:t xml:space="preserve">va ako východiskovú rozpočtovú </w:t>
            </w:r>
            <w:r w:rsidRPr="000B67D8">
              <w:rPr>
                <w:rFonts w:cs="Arial"/>
                <w:i/>
                <w:iCs/>
                <w:color w:val="000000"/>
                <w:sz w:val="16"/>
                <w:szCs w:val="16"/>
              </w:rPr>
              <w:t>pozíciu ciele rozpočtu verejnej správy SR. V prípade aktualizovanej projekcie prepočet S2 abstrahuje od vplyvu revízie HDP na ostatné položky citlivé na starnutie</w:t>
            </w:r>
          </w:p>
        </w:tc>
        <w:tc>
          <w:tcPr>
            <w:tcW w:w="986" w:type="dxa"/>
            <w:tcBorders>
              <w:top w:val="single" w:sz="4" w:space="0" w:color="auto"/>
              <w:left w:val="nil"/>
              <w:right w:val="nil"/>
            </w:tcBorders>
            <w:vAlign w:val="center"/>
          </w:tcPr>
          <w:p w14:paraId="26060837" w14:textId="0698F7FA" w:rsidR="00BD53AF" w:rsidRPr="000B67D8" w:rsidRDefault="00BD53AF" w:rsidP="000E64DB">
            <w:pPr>
              <w:spacing w:after="120"/>
              <w:jc w:val="right"/>
              <w:rPr>
                <w:rFonts w:cs="Arial"/>
                <w:i/>
                <w:iCs/>
                <w:color w:val="000000"/>
                <w:sz w:val="16"/>
                <w:szCs w:val="16"/>
              </w:rPr>
            </w:pPr>
            <w:r w:rsidRPr="000B67D8">
              <w:rPr>
                <w:rFonts w:cs="Arial"/>
                <w:i/>
                <w:iCs/>
                <w:color w:val="000000"/>
                <w:sz w:val="16"/>
                <w:szCs w:val="16"/>
              </w:rPr>
              <w:t>Zdroj: MF</w:t>
            </w:r>
            <w:r w:rsidR="0005796F">
              <w:rPr>
                <w:rFonts w:cs="Arial"/>
                <w:i/>
                <w:iCs/>
                <w:color w:val="000000"/>
                <w:sz w:val="16"/>
                <w:szCs w:val="16"/>
              </w:rPr>
              <w:t xml:space="preserve"> </w:t>
            </w:r>
            <w:r w:rsidRPr="000B67D8">
              <w:rPr>
                <w:rFonts w:cs="Arial"/>
                <w:i/>
                <w:iCs/>
                <w:color w:val="000000"/>
                <w:sz w:val="16"/>
                <w:szCs w:val="16"/>
              </w:rPr>
              <w:t>SR</w:t>
            </w:r>
          </w:p>
        </w:tc>
      </w:tr>
    </w:tbl>
    <w:p w14:paraId="507E0F49" w14:textId="563A96D9" w:rsidR="00BD53AF" w:rsidRDefault="00BD53AF">
      <w:pPr>
        <w:rPr>
          <w:rFonts w:cs="Arial"/>
        </w:rPr>
      </w:pPr>
    </w:p>
    <w:p w14:paraId="20B9E764" w14:textId="77777777" w:rsidR="00BD53AF" w:rsidRDefault="00BD53AF">
      <w:pPr>
        <w:rPr>
          <w:rFonts w:cs="Arial"/>
        </w:rPr>
      </w:pPr>
      <w:r>
        <w:rPr>
          <w:rFonts w:cs="Arial"/>
        </w:rPr>
        <w:br w:type="page"/>
      </w:r>
    </w:p>
    <w:p w14:paraId="0C4DCE99" w14:textId="77777777" w:rsidR="00841C05" w:rsidRPr="00D92C40" w:rsidRDefault="00841C05" w:rsidP="000032FE">
      <w:pPr>
        <w:pStyle w:val="Nadpis1"/>
        <w:keepLines/>
        <w:numPr>
          <w:ilvl w:val="0"/>
          <w:numId w:val="2"/>
        </w:numPr>
        <w:spacing w:before="240" w:after="240"/>
        <w:rPr>
          <w:rFonts w:cs="Arial Narrow"/>
          <w:color w:val="2C9ADC"/>
          <w:szCs w:val="28"/>
        </w:rPr>
      </w:pPr>
      <w:bookmarkStart w:id="185" w:name="_Toc5869394"/>
      <w:r w:rsidRPr="00D92C40">
        <w:rPr>
          <w:rFonts w:cs="Arial Narrow"/>
          <w:color w:val="2C9ADC"/>
          <w:szCs w:val="28"/>
        </w:rPr>
        <w:lastRenderedPageBreak/>
        <w:t>KVALITA VEREJNÝCH FINANCIÍ</w:t>
      </w:r>
      <w:bookmarkEnd w:id="185"/>
      <w:r w:rsidRPr="00D92C40">
        <w:rPr>
          <w:rFonts w:cs="Arial Narrow"/>
          <w:color w:val="2C9ADC"/>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41C05" w:rsidRPr="00F5278A" w14:paraId="0DF941C7" w14:textId="77777777" w:rsidTr="00387AE5">
        <w:tc>
          <w:tcPr>
            <w:tcW w:w="9072" w:type="dxa"/>
          </w:tcPr>
          <w:p w14:paraId="1FFB7D0E" w14:textId="77777777" w:rsidR="00841C05" w:rsidRPr="00F5278A" w:rsidRDefault="00841C05" w:rsidP="00387AE5">
            <w:pPr>
              <w:spacing w:after="120"/>
              <w:jc w:val="both"/>
              <w:rPr>
                <w:i/>
                <w:highlight w:val="yellow"/>
              </w:rPr>
            </w:pPr>
            <w:bookmarkStart w:id="186" w:name="_Toc64769604"/>
            <w:bookmarkStart w:id="187" w:name="_Toc251855809"/>
            <w:bookmarkStart w:id="188" w:name="_Toc385764240"/>
            <w:r>
              <w:rPr>
                <w:i/>
              </w:rPr>
              <w:t xml:space="preserve">Slovensko má podiel verejných príjmov aj výdavkov na HDP pod priemerom EÚ, čo kladie vyšší dôraz na kvalitu verejných financií. V uplynulom období sa podarilo významne zvýšiť efektívnosť výberu daní, najmä pri DPH, a od roku 2019 sa implementujú nové opatrenia na boj proti daňovým únikom. </w:t>
            </w:r>
            <w:r w:rsidRPr="00535665">
              <w:rPr>
                <w:i/>
                <w:iCs/>
              </w:rPr>
              <w:t xml:space="preserve">Pokračuje hodnotenie efektívnosti verejných výdavkov. </w:t>
            </w:r>
            <w:r w:rsidRPr="00535665">
              <w:rPr>
                <w:i/>
              </w:rPr>
              <w:t xml:space="preserve">Revízie po dvoch rokoch posúdili </w:t>
            </w:r>
            <w:r w:rsidRPr="00535665">
              <w:rPr>
                <w:i/>
                <w:szCs w:val="32"/>
              </w:rPr>
              <w:t xml:space="preserve">výdavky verejnej správy v hodnote približne 24 % HDP a identifikovali opatrenia za takmer </w:t>
            </w:r>
            <w:r w:rsidRPr="009B281F">
              <w:rPr>
                <w:i/>
                <w:szCs w:val="32"/>
              </w:rPr>
              <w:t>0,</w:t>
            </w:r>
            <w:r w:rsidRPr="0074228D">
              <w:rPr>
                <w:i/>
                <w:szCs w:val="32"/>
              </w:rPr>
              <w:t>85</w:t>
            </w:r>
            <w:r w:rsidRPr="00535665">
              <w:rPr>
                <w:i/>
                <w:szCs w:val="32"/>
              </w:rPr>
              <w:t xml:space="preserve"> % HDP. </w:t>
            </w:r>
          </w:p>
        </w:tc>
      </w:tr>
    </w:tbl>
    <w:p w14:paraId="2E5D31E8" w14:textId="77777777" w:rsidR="00841C05" w:rsidRPr="00D20CD1" w:rsidRDefault="00841C05" w:rsidP="000032FE">
      <w:pPr>
        <w:pStyle w:val="Nadpis2"/>
        <w:keepLines/>
        <w:numPr>
          <w:ilvl w:val="1"/>
          <w:numId w:val="14"/>
        </w:numPr>
        <w:spacing w:before="240" w:after="120"/>
        <w:rPr>
          <w:rFonts w:cs="Arial"/>
          <w:b/>
          <w:bCs/>
          <w:iCs/>
          <w:color w:val="2C9ADC"/>
        </w:rPr>
      </w:pPr>
      <w:bookmarkStart w:id="189" w:name="_Toc463861267"/>
      <w:bookmarkStart w:id="190" w:name="_Toc463861705"/>
      <w:bookmarkStart w:id="191" w:name="_Toc463997287"/>
      <w:bookmarkStart w:id="192" w:name="_Toc5869395"/>
      <w:bookmarkStart w:id="193" w:name="_Toc449430186"/>
      <w:r w:rsidRPr="00D20CD1">
        <w:rPr>
          <w:rFonts w:cs="Arial"/>
          <w:b/>
          <w:bCs/>
          <w:iCs/>
          <w:color w:val="2C9ADC"/>
        </w:rPr>
        <w:t>Príjmové ciele rozpočtu verejnej správy</w:t>
      </w:r>
      <w:bookmarkEnd w:id="189"/>
      <w:bookmarkEnd w:id="190"/>
      <w:bookmarkEnd w:id="191"/>
      <w:bookmarkEnd w:id="192"/>
      <w:r w:rsidRPr="00D20CD1">
        <w:rPr>
          <w:rFonts w:cs="Arial"/>
          <w:b/>
          <w:bCs/>
          <w:iCs/>
          <w:color w:val="2C9ADC"/>
        </w:rPr>
        <w:t xml:space="preserve"> </w:t>
      </w:r>
    </w:p>
    <w:p w14:paraId="4850571D" w14:textId="694D3B5C" w:rsidR="00841C05" w:rsidRPr="00D20CD1" w:rsidRDefault="00841C05" w:rsidP="00841C05">
      <w:pPr>
        <w:pStyle w:val="NormalList"/>
        <w:spacing w:after="240"/>
      </w:pPr>
      <w:r w:rsidRPr="00D20CD1">
        <w:rPr>
          <w:b/>
        </w:rPr>
        <w:t xml:space="preserve">Slovensko dosahuje </w:t>
      </w:r>
      <w:r>
        <w:rPr>
          <w:b/>
        </w:rPr>
        <w:t>nižší</w:t>
      </w:r>
      <w:r w:rsidRPr="00D20CD1">
        <w:rPr>
          <w:b/>
        </w:rPr>
        <w:t xml:space="preserve"> pomer </w:t>
      </w:r>
      <w:r>
        <w:rPr>
          <w:b/>
        </w:rPr>
        <w:t xml:space="preserve">celkových príjmov VS voči HDP v porovnaní s priemerom eurozóny a ostatných krajín. </w:t>
      </w:r>
      <w:r>
        <w:t xml:space="preserve">V prípade porovnania len </w:t>
      </w:r>
      <w:r w:rsidRPr="008F1B86">
        <w:t>daňových a odvodových príjmov</w:t>
      </w:r>
      <w:r w:rsidRPr="00D20CD1">
        <w:rPr>
          <w:b/>
        </w:rPr>
        <w:t xml:space="preserve"> </w:t>
      </w:r>
      <w:r w:rsidRPr="00D20CD1">
        <w:t>(ďalej len daňových)</w:t>
      </w:r>
      <w:r w:rsidRPr="008F1B86">
        <w:rPr>
          <w:rStyle w:val="Odkaznapoznmkupodiarou"/>
        </w:rPr>
        <w:footnoteReference w:id="55"/>
      </w:r>
      <w:r>
        <w:rPr>
          <w:b/>
        </w:rPr>
        <w:t xml:space="preserve">, </w:t>
      </w:r>
      <w:r w:rsidRPr="008F1B86">
        <w:t xml:space="preserve">čo je podpoložka celkových príjmov, </w:t>
      </w:r>
      <w:r>
        <w:t>je</w:t>
      </w:r>
      <w:r w:rsidRPr="008F1B86">
        <w:t xml:space="preserve"> </w:t>
      </w:r>
      <w:r w:rsidRPr="000E2591">
        <w:t xml:space="preserve">rozdiel </w:t>
      </w:r>
      <w:r>
        <w:t xml:space="preserve">mierne </w:t>
      </w:r>
      <w:r w:rsidRPr="000E2591">
        <w:t xml:space="preserve">výraznejší </w:t>
      </w:r>
      <w:r>
        <w:t>a v čase rovnomerný (</w:t>
      </w:r>
      <w:r w:rsidR="00BA4D62" w:rsidRPr="00BA4D62">
        <w:rPr>
          <w:color w:val="2C9ADC" w:themeColor="accent1"/>
        </w:rPr>
        <w:t>GRAF 28</w:t>
      </w:r>
      <w:r>
        <w:t>)</w:t>
      </w:r>
      <w:r>
        <w:rPr>
          <w:rStyle w:val="Odkaznapoznmkupodiarou"/>
        </w:rPr>
        <w:footnoteReference w:id="56"/>
      </w:r>
      <w:r>
        <w:t xml:space="preserve">. Nízka úroveň daňovo-odvodových príjmov pretrváva aj napriek silnejšiemu </w:t>
      </w:r>
      <w:r w:rsidRPr="00D20CD1">
        <w:t>rastu príjm</w:t>
      </w:r>
      <w:r>
        <w:t>ov</w:t>
      </w:r>
      <w:r w:rsidRPr="00D20CD1">
        <w:t xml:space="preserve"> </w:t>
      </w:r>
      <w:r>
        <w:t>spojených s úspešným bojom</w:t>
      </w:r>
      <w:r w:rsidRPr="00D20CD1">
        <w:t xml:space="preserve"> proti daňovým únikom</w:t>
      </w:r>
      <w:r>
        <w:t xml:space="preserve"> a</w:t>
      </w:r>
      <w:r w:rsidRPr="00D20CD1">
        <w:t xml:space="preserve"> výkonnejšiemu trhu práce</w:t>
      </w:r>
      <w:r>
        <w:t>, ktorý priniesol dodatočné príjmy verejnej správy</w:t>
      </w:r>
      <w:r w:rsidRPr="00D20CD1">
        <w:t xml:space="preserve">. </w:t>
      </w:r>
      <w:r>
        <w:t>Za rok 2017 zaznamenali daňové príjmy tretí najrýchlejší rast v rámci krajín EÚ</w:t>
      </w:r>
      <w:r>
        <w:rPr>
          <w:rStyle w:val="Odkaznapoznmkupodiarou"/>
        </w:rPr>
        <w:footnoteReference w:id="57"/>
      </w:r>
      <w:r>
        <w:t xml:space="preserve">. </w:t>
      </w:r>
      <w:r w:rsidRPr="00D20CD1">
        <w:t>Rok 2015 predstavuje špecifickú výnimku, kedy výraznejší rast príjmov spôsobil</w:t>
      </w:r>
      <w:r>
        <w:t xml:space="preserve"> silný nárast </w:t>
      </w:r>
      <w:r w:rsidRPr="00D20CD1">
        <w:t>čerpania EÚ fondov z konca druhého programového obdobia</w:t>
      </w:r>
      <w:r>
        <w:t>, ktorý bol pre Slovensko najvýraznejší spomedzi susedných krajín.</w:t>
      </w:r>
      <w:r w:rsidRPr="00D20CD1">
        <w:t xml:space="preserve"> </w:t>
      </w:r>
    </w:p>
    <w:tbl>
      <w:tblPr>
        <w:tblW w:w="907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547"/>
        <w:gridCol w:w="160"/>
        <w:gridCol w:w="4365"/>
      </w:tblGrid>
      <w:tr w:rsidR="00841C05" w:rsidRPr="00F5278A" w14:paraId="09E6FC8F" w14:textId="77777777" w:rsidTr="00387AE5">
        <w:trPr>
          <w:trHeight w:val="283"/>
          <w:jc w:val="center"/>
        </w:trPr>
        <w:tc>
          <w:tcPr>
            <w:tcW w:w="4547" w:type="dxa"/>
            <w:tcBorders>
              <w:top w:val="nil"/>
              <w:left w:val="nil"/>
              <w:bottom w:val="single" w:sz="4" w:space="0" w:color="000000"/>
              <w:right w:val="nil"/>
            </w:tcBorders>
            <w:shd w:val="clear" w:color="auto" w:fill="auto"/>
          </w:tcPr>
          <w:p w14:paraId="4D2AD877" w14:textId="491983DA" w:rsidR="00841C05" w:rsidRPr="002300C8" w:rsidRDefault="00841C05" w:rsidP="002300C8">
            <w:pPr>
              <w:pStyle w:val="Nadpis3"/>
              <w:rPr>
                <w:rFonts w:eastAsiaTheme="minorHAnsi"/>
                <w:color w:val="2C9ADC"/>
                <w:lang w:eastAsia="en-US"/>
              </w:rPr>
            </w:pPr>
            <w:bookmarkStart w:id="194" w:name="_Toc6314270"/>
            <w:bookmarkStart w:id="195" w:name="_Toc463861268"/>
            <w:bookmarkStart w:id="196" w:name="_Toc463997372"/>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27</w:t>
            </w:r>
            <w:r w:rsidRPr="002E43AF">
              <w:rPr>
                <w:rFonts w:eastAsiaTheme="minorHAnsi"/>
                <w:color w:val="2C9ADC"/>
                <w:lang w:eastAsia="en-US"/>
              </w:rPr>
              <w:fldChar w:fldCharType="end"/>
            </w:r>
            <w:r w:rsidRPr="002300C8">
              <w:rPr>
                <w:rFonts w:eastAsiaTheme="minorHAnsi"/>
                <w:color w:val="2C9ADC"/>
                <w:lang w:eastAsia="en-US"/>
              </w:rPr>
              <w:t xml:space="preserve"> - Porovnanie vývoja celkových príjmov VS</w:t>
            </w:r>
            <w:bookmarkEnd w:id="194"/>
            <w:r w:rsidRPr="002300C8">
              <w:rPr>
                <w:rFonts w:eastAsiaTheme="minorHAnsi"/>
                <w:color w:val="2C9ADC"/>
                <w:lang w:eastAsia="en-US"/>
              </w:rPr>
              <w:t xml:space="preserve"> </w:t>
            </w:r>
          </w:p>
          <w:p w14:paraId="7FBF1A67" w14:textId="77777777" w:rsidR="00841C05" w:rsidRPr="00272E05" w:rsidRDefault="00841C05" w:rsidP="002300C8">
            <w:pPr>
              <w:pStyle w:val="Nadpis3"/>
              <w:rPr>
                <w:highlight w:val="yellow"/>
              </w:rPr>
            </w:pPr>
            <w:r w:rsidRPr="002300C8">
              <w:rPr>
                <w:rFonts w:eastAsiaTheme="minorHAnsi"/>
                <w:color w:val="2C9ADC"/>
                <w:lang w:eastAsia="en-US"/>
              </w:rPr>
              <w:t>(% HDP)</w:t>
            </w:r>
            <w:bookmarkEnd w:id="195"/>
            <w:bookmarkEnd w:id="196"/>
          </w:p>
        </w:tc>
        <w:tc>
          <w:tcPr>
            <w:tcW w:w="160" w:type="dxa"/>
            <w:tcBorders>
              <w:top w:val="nil"/>
              <w:left w:val="nil"/>
              <w:bottom w:val="nil"/>
              <w:right w:val="nil"/>
            </w:tcBorders>
            <w:shd w:val="clear" w:color="auto" w:fill="auto"/>
            <w:vAlign w:val="center"/>
          </w:tcPr>
          <w:p w14:paraId="6164E511" w14:textId="77777777" w:rsidR="00841C05" w:rsidRPr="00272E05" w:rsidRDefault="00841C05" w:rsidP="00387AE5">
            <w:pPr>
              <w:pStyle w:val="Tabuka"/>
              <w:pBdr>
                <w:top w:val="none" w:sz="0" w:space="0" w:color="auto"/>
                <w:left w:val="none" w:sz="0" w:space="0" w:color="auto"/>
                <w:bottom w:val="none" w:sz="0" w:space="0" w:color="auto"/>
                <w:right w:val="none" w:sz="0" w:space="0" w:color="auto"/>
                <w:between w:val="none" w:sz="0" w:space="0" w:color="auto"/>
                <w:bar w:val="none" w:sz="0" w:color="auto"/>
              </w:pBdr>
              <w:spacing w:after="0"/>
              <w:rPr>
                <w:highlight w:val="yellow"/>
              </w:rPr>
            </w:pPr>
          </w:p>
        </w:tc>
        <w:tc>
          <w:tcPr>
            <w:tcW w:w="4365" w:type="dxa"/>
            <w:tcBorders>
              <w:top w:val="nil"/>
              <w:left w:val="nil"/>
              <w:bottom w:val="single" w:sz="4" w:space="0" w:color="000000"/>
              <w:right w:val="nil"/>
            </w:tcBorders>
            <w:shd w:val="clear" w:color="auto" w:fill="auto"/>
            <w:vAlign w:val="center"/>
          </w:tcPr>
          <w:p w14:paraId="76B49C8E" w14:textId="4633F72F" w:rsidR="00841C05" w:rsidRPr="00272E05" w:rsidRDefault="00841C05" w:rsidP="002300C8">
            <w:pPr>
              <w:pStyle w:val="Nadpis3"/>
              <w:rPr>
                <w:highlight w:val="yellow"/>
              </w:rPr>
            </w:pPr>
            <w:bookmarkStart w:id="197" w:name="_3l18frh" w:colFirst="0" w:colLast="0"/>
            <w:bookmarkStart w:id="198" w:name="_Toc463861269"/>
            <w:bookmarkStart w:id="199" w:name="_Toc463997373"/>
            <w:bookmarkStart w:id="200" w:name="_Ref6301279"/>
            <w:bookmarkStart w:id="201" w:name="_Toc6314271"/>
            <w:bookmarkEnd w:id="197"/>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28</w:t>
            </w:r>
            <w:r w:rsidRPr="002E43AF">
              <w:rPr>
                <w:rFonts w:eastAsiaTheme="minorHAnsi"/>
                <w:color w:val="2C9ADC"/>
                <w:lang w:eastAsia="en-US"/>
              </w:rPr>
              <w:fldChar w:fldCharType="end"/>
            </w:r>
            <w:r w:rsidRPr="002300C8">
              <w:rPr>
                <w:rFonts w:eastAsiaTheme="minorHAnsi"/>
                <w:color w:val="2C9ADC"/>
                <w:lang w:eastAsia="en-US"/>
              </w:rPr>
              <w:t xml:space="preserve"> - Porovnanie vývoja daní a odvodov VS (% HDP)</w:t>
            </w:r>
            <w:bookmarkEnd w:id="198"/>
            <w:bookmarkEnd w:id="199"/>
            <w:bookmarkEnd w:id="200"/>
            <w:bookmarkEnd w:id="201"/>
          </w:p>
        </w:tc>
      </w:tr>
      <w:tr w:rsidR="00841C05" w:rsidRPr="00F5278A" w14:paraId="77BFCA86" w14:textId="77777777" w:rsidTr="00B30D28">
        <w:trPr>
          <w:trHeight w:val="920"/>
          <w:jc w:val="center"/>
        </w:trPr>
        <w:tc>
          <w:tcPr>
            <w:tcW w:w="4547" w:type="dxa"/>
            <w:tcBorders>
              <w:top w:val="single" w:sz="4" w:space="0" w:color="000000"/>
              <w:left w:val="nil"/>
              <w:bottom w:val="single" w:sz="4" w:space="0" w:color="000000"/>
              <w:right w:val="nil"/>
            </w:tcBorders>
            <w:shd w:val="clear" w:color="auto" w:fill="auto"/>
            <w:vAlign w:val="center"/>
          </w:tcPr>
          <w:p w14:paraId="7D73AEEC" w14:textId="77881B51" w:rsidR="00841C05" w:rsidRPr="00F5278A" w:rsidRDefault="002E0912" w:rsidP="00387AE5">
            <w:pPr>
              <w:spacing w:before="40" w:after="40"/>
              <w:jc w:val="center"/>
              <w:rPr>
                <w:highlight w:val="yellow"/>
              </w:rPr>
            </w:pPr>
            <w:r>
              <w:rPr>
                <w:noProof/>
              </w:rPr>
              <w:drawing>
                <wp:inline distT="0" distB="0" distL="0" distR="0" wp14:anchorId="3B8CF21B" wp14:editId="2FA1E726">
                  <wp:extent cx="2798445" cy="1546860"/>
                  <wp:effectExtent l="0" t="0" r="1905"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60" w:type="dxa"/>
            <w:tcBorders>
              <w:top w:val="nil"/>
              <w:left w:val="nil"/>
              <w:bottom w:val="nil"/>
              <w:right w:val="nil"/>
            </w:tcBorders>
            <w:shd w:val="clear" w:color="auto" w:fill="auto"/>
            <w:vAlign w:val="center"/>
          </w:tcPr>
          <w:p w14:paraId="5A0A7DAF" w14:textId="77777777" w:rsidR="00841C05" w:rsidRPr="00F5278A" w:rsidRDefault="00841C05" w:rsidP="00387AE5">
            <w:pPr>
              <w:spacing w:before="40" w:after="40"/>
              <w:jc w:val="center"/>
              <w:rPr>
                <w:highlight w:val="yellow"/>
              </w:rPr>
            </w:pPr>
          </w:p>
        </w:tc>
        <w:tc>
          <w:tcPr>
            <w:tcW w:w="4365" w:type="dxa"/>
            <w:tcBorders>
              <w:top w:val="single" w:sz="4" w:space="0" w:color="000000"/>
              <w:left w:val="nil"/>
              <w:bottom w:val="single" w:sz="4" w:space="0" w:color="000000"/>
              <w:right w:val="nil"/>
            </w:tcBorders>
            <w:shd w:val="clear" w:color="auto" w:fill="auto"/>
            <w:vAlign w:val="center"/>
          </w:tcPr>
          <w:p w14:paraId="5F84766B" w14:textId="4130C8CD" w:rsidR="00841C05" w:rsidRPr="00F5278A" w:rsidRDefault="00B30D28" w:rsidP="00387AE5">
            <w:pPr>
              <w:spacing w:before="40" w:after="40"/>
              <w:rPr>
                <w:highlight w:val="yellow"/>
              </w:rPr>
            </w:pPr>
            <w:r>
              <w:rPr>
                <w:noProof/>
              </w:rPr>
              <w:drawing>
                <wp:inline distT="0" distB="0" distL="0" distR="0" wp14:anchorId="07943C7D" wp14:editId="22DC47D1">
                  <wp:extent cx="2682875" cy="1435293"/>
                  <wp:effectExtent l="0" t="0" r="3175"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841C05" w:rsidRPr="00F5278A" w14:paraId="5EBE7C83" w14:textId="77777777" w:rsidTr="00387AE5">
        <w:trPr>
          <w:trHeight w:val="227"/>
          <w:jc w:val="center"/>
        </w:trPr>
        <w:tc>
          <w:tcPr>
            <w:tcW w:w="4547" w:type="dxa"/>
            <w:tcBorders>
              <w:top w:val="single" w:sz="4" w:space="0" w:color="000000"/>
              <w:left w:val="nil"/>
              <w:bottom w:val="nil"/>
              <w:right w:val="nil"/>
            </w:tcBorders>
            <w:shd w:val="clear" w:color="auto" w:fill="auto"/>
            <w:vAlign w:val="center"/>
          </w:tcPr>
          <w:p w14:paraId="13C966DA" w14:textId="77777777" w:rsidR="00841C05" w:rsidRPr="00036FD2" w:rsidRDefault="00841C05" w:rsidP="00387AE5">
            <w:r w:rsidRPr="00217472">
              <w:rPr>
                <w:i/>
                <w:sz w:val="16"/>
                <w:szCs w:val="16"/>
              </w:rPr>
              <w:t>E</w:t>
            </w:r>
            <w:r>
              <w:rPr>
                <w:i/>
                <w:sz w:val="16"/>
                <w:szCs w:val="16"/>
              </w:rPr>
              <w:t xml:space="preserve">urozóna </w:t>
            </w:r>
            <w:r w:rsidRPr="00217472">
              <w:rPr>
                <w:i/>
                <w:sz w:val="16"/>
                <w:szCs w:val="16"/>
              </w:rPr>
              <w:t xml:space="preserve">19 </w:t>
            </w:r>
            <w:r>
              <w:rPr>
                <w:i/>
                <w:sz w:val="16"/>
                <w:szCs w:val="16"/>
              </w:rPr>
              <w:t xml:space="preserve">= </w:t>
            </w:r>
            <w:r w:rsidRPr="00217472">
              <w:rPr>
                <w:i/>
                <w:sz w:val="16"/>
                <w:szCs w:val="16"/>
              </w:rPr>
              <w:t>priemer Eurozón</w:t>
            </w:r>
            <w:r>
              <w:rPr>
                <w:i/>
                <w:sz w:val="16"/>
                <w:szCs w:val="16"/>
              </w:rPr>
              <w:t>y</w:t>
            </w:r>
            <w:r w:rsidRPr="00217472">
              <w:rPr>
                <w:i/>
                <w:sz w:val="16"/>
                <w:szCs w:val="16"/>
              </w:rPr>
              <w:t xml:space="preserve">      </w:t>
            </w:r>
            <w:r>
              <w:rPr>
                <w:i/>
                <w:sz w:val="16"/>
                <w:szCs w:val="16"/>
              </w:rPr>
              <w:t xml:space="preserve"> </w:t>
            </w:r>
            <w:r w:rsidRPr="00217472">
              <w:rPr>
                <w:i/>
                <w:sz w:val="16"/>
                <w:szCs w:val="16"/>
              </w:rPr>
              <w:t xml:space="preserve">                     </w:t>
            </w:r>
            <w:r w:rsidRPr="00036FD2">
              <w:rPr>
                <w:i/>
                <w:sz w:val="16"/>
                <w:szCs w:val="16"/>
              </w:rPr>
              <w:t>Zdroj: Eurostat, AMECO</w:t>
            </w:r>
          </w:p>
        </w:tc>
        <w:tc>
          <w:tcPr>
            <w:tcW w:w="160" w:type="dxa"/>
            <w:tcBorders>
              <w:top w:val="nil"/>
              <w:left w:val="nil"/>
              <w:bottom w:val="nil"/>
              <w:right w:val="nil"/>
            </w:tcBorders>
            <w:shd w:val="clear" w:color="auto" w:fill="auto"/>
            <w:vAlign w:val="center"/>
          </w:tcPr>
          <w:p w14:paraId="307B6986" w14:textId="77777777" w:rsidR="00841C05" w:rsidRPr="00036FD2" w:rsidRDefault="00841C05" w:rsidP="00387AE5">
            <w:pPr>
              <w:jc w:val="center"/>
            </w:pPr>
          </w:p>
        </w:tc>
        <w:tc>
          <w:tcPr>
            <w:tcW w:w="4365" w:type="dxa"/>
            <w:tcBorders>
              <w:top w:val="single" w:sz="4" w:space="0" w:color="000000"/>
              <w:left w:val="nil"/>
              <w:bottom w:val="nil"/>
              <w:right w:val="nil"/>
            </w:tcBorders>
            <w:shd w:val="clear" w:color="auto" w:fill="auto"/>
            <w:vAlign w:val="center"/>
          </w:tcPr>
          <w:p w14:paraId="098C1997" w14:textId="77777777" w:rsidR="00841C05" w:rsidRPr="00036FD2" w:rsidRDefault="00841C05" w:rsidP="00387AE5">
            <w:r w:rsidRPr="00217472">
              <w:rPr>
                <w:i/>
                <w:sz w:val="16"/>
                <w:szCs w:val="16"/>
              </w:rPr>
              <w:t>E</w:t>
            </w:r>
            <w:r>
              <w:rPr>
                <w:i/>
                <w:sz w:val="16"/>
                <w:szCs w:val="16"/>
              </w:rPr>
              <w:t xml:space="preserve">urozóna </w:t>
            </w:r>
            <w:r w:rsidRPr="00217472">
              <w:rPr>
                <w:i/>
                <w:sz w:val="16"/>
                <w:szCs w:val="16"/>
              </w:rPr>
              <w:t xml:space="preserve">19 </w:t>
            </w:r>
            <w:r>
              <w:rPr>
                <w:i/>
                <w:sz w:val="16"/>
                <w:szCs w:val="16"/>
              </w:rPr>
              <w:t xml:space="preserve">= </w:t>
            </w:r>
            <w:r w:rsidRPr="00217472">
              <w:rPr>
                <w:i/>
                <w:sz w:val="16"/>
                <w:szCs w:val="16"/>
              </w:rPr>
              <w:t>priemer Eurozón</w:t>
            </w:r>
            <w:r>
              <w:rPr>
                <w:i/>
                <w:sz w:val="16"/>
                <w:szCs w:val="16"/>
              </w:rPr>
              <w:t>y</w:t>
            </w:r>
            <w:r w:rsidRPr="00217472">
              <w:rPr>
                <w:i/>
                <w:sz w:val="16"/>
                <w:szCs w:val="16"/>
              </w:rPr>
              <w:t xml:space="preserve">      </w:t>
            </w:r>
            <w:r>
              <w:rPr>
                <w:i/>
                <w:sz w:val="16"/>
                <w:szCs w:val="16"/>
              </w:rPr>
              <w:t xml:space="preserve"> </w:t>
            </w:r>
            <w:r w:rsidRPr="00217472">
              <w:rPr>
                <w:i/>
                <w:sz w:val="16"/>
                <w:szCs w:val="16"/>
              </w:rPr>
              <w:t xml:space="preserve">                       </w:t>
            </w:r>
            <w:r>
              <w:rPr>
                <w:i/>
                <w:sz w:val="16"/>
                <w:szCs w:val="16"/>
              </w:rPr>
              <w:t xml:space="preserve">         </w:t>
            </w:r>
            <w:r w:rsidRPr="00036FD2">
              <w:rPr>
                <w:i/>
                <w:sz w:val="16"/>
                <w:szCs w:val="16"/>
              </w:rPr>
              <w:t>Zdroj: Eurostat</w:t>
            </w:r>
          </w:p>
        </w:tc>
      </w:tr>
    </w:tbl>
    <w:p w14:paraId="4CBB9271" w14:textId="3EEE1EBF" w:rsidR="00841C05" w:rsidRPr="00E128D2" w:rsidRDefault="00841C05" w:rsidP="00841C05">
      <w:pPr>
        <w:spacing w:before="120"/>
        <w:jc w:val="both"/>
        <w:rPr>
          <w:color w:val="000000" w:themeColor="text1"/>
        </w:rPr>
      </w:pPr>
      <w:bookmarkStart w:id="202" w:name="_28h4qwu" w:colFirst="0" w:colLast="0"/>
      <w:bookmarkStart w:id="203" w:name="_Toc463861270"/>
      <w:bookmarkStart w:id="204" w:name="_Toc463861706"/>
      <w:bookmarkStart w:id="205" w:name="_Toc463997288"/>
      <w:bookmarkEnd w:id="202"/>
      <w:r w:rsidRPr="00136CCF">
        <w:rPr>
          <w:b/>
        </w:rPr>
        <w:t xml:space="preserve">Aktuálna daňová prognóza, na ktorej je postavený </w:t>
      </w:r>
      <w:r w:rsidR="00902DC1">
        <w:rPr>
          <w:b/>
        </w:rPr>
        <w:t>Program stability</w:t>
      </w:r>
      <w:r w:rsidRPr="00136CCF">
        <w:rPr>
          <w:b/>
        </w:rPr>
        <w:t>, predpokladá mierne klesajúc</w:t>
      </w:r>
      <w:r>
        <w:rPr>
          <w:b/>
        </w:rPr>
        <w:t>i podiel</w:t>
      </w:r>
      <w:r w:rsidRPr="00136CCF">
        <w:rPr>
          <w:b/>
        </w:rPr>
        <w:t xml:space="preserve"> príjm</w:t>
      </w:r>
      <w:r>
        <w:rPr>
          <w:b/>
        </w:rPr>
        <w:t>ov</w:t>
      </w:r>
      <w:r w:rsidRPr="00136CCF">
        <w:rPr>
          <w:b/>
        </w:rPr>
        <w:t xml:space="preserve"> z daní a</w:t>
      </w:r>
      <w:r>
        <w:rPr>
          <w:b/>
        </w:rPr>
        <w:t> </w:t>
      </w:r>
      <w:r w:rsidRPr="00136CCF">
        <w:rPr>
          <w:b/>
        </w:rPr>
        <w:t>odvodov</w:t>
      </w:r>
      <w:r>
        <w:rPr>
          <w:b/>
        </w:rPr>
        <w:t xml:space="preserve"> na HDP</w:t>
      </w:r>
      <w:r w:rsidRPr="00136CCF">
        <w:t xml:space="preserve"> </w:t>
      </w:r>
      <w:r>
        <w:t>(</w:t>
      </w:r>
      <w:r w:rsidR="00BA4D62">
        <w:rPr>
          <w:color w:val="2C9ADC" w:themeColor="accent1"/>
        </w:rPr>
        <w:t>GRAF 29</w:t>
      </w:r>
      <w:r>
        <w:t xml:space="preserve">). V prípade DPH sa prejavuje mierny </w:t>
      </w:r>
      <w:r w:rsidRPr="00136CCF">
        <w:t xml:space="preserve">pokles podielu dane </w:t>
      </w:r>
      <w:r>
        <w:t xml:space="preserve">v pomere k </w:t>
      </w:r>
      <w:r w:rsidRPr="00CB4EF5">
        <w:t>HDP</w:t>
      </w:r>
      <w:r>
        <w:t>, ktorý je spôsobený</w:t>
      </w:r>
      <w:r w:rsidRPr="00CB4EF5">
        <w:t xml:space="preserve"> pomalší rast</w:t>
      </w:r>
      <w:r>
        <w:t>om</w:t>
      </w:r>
      <w:r w:rsidRPr="00CB4EF5">
        <w:t xml:space="preserve"> makroekonomickej bázy oproti celkovému rastu ekonomiky. </w:t>
      </w:r>
      <w:r>
        <w:t>Spotrebné dane nepodliehajú automatickej indexácií</w:t>
      </w:r>
      <w:r w:rsidRPr="00136CCF">
        <w:t xml:space="preserve"> </w:t>
      </w:r>
      <w:r>
        <w:t>a postupom času ich výška v pomere k HDP klesá. V</w:t>
      </w:r>
      <w:r w:rsidRPr="00136CCF">
        <w:t xml:space="preserve">ývoj </w:t>
      </w:r>
      <w:r>
        <w:t>odvodov voči výkonu ekonomiky je relatívne stabilný od roku 2019. K zachovaniu výnosu prispieva aj robustný pracovný trh a s tým súvisiace vyššie odvodové príjmy. Dane z príjmov fyzických osôb zaznamenávajú nárast v pomere k </w:t>
      </w:r>
      <w:r w:rsidRPr="00136CCF">
        <w:t>HDP</w:t>
      </w:r>
      <w:r>
        <w:t>, čo je pozitívne ovplyvnené vplyvom tzv. f</w:t>
      </w:r>
      <w:r w:rsidRPr="00136CCF">
        <w:t xml:space="preserve">iscal </w:t>
      </w:r>
      <w:r w:rsidRPr="00E128D2">
        <w:rPr>
          <w:color w:val="000000" w:themeColor="text1"/>
        </w:rPr>
        <w:t>drag</w:t>
      </w:r>
      <w:r w:rsidRPr="00E128D2">
        <w:rPr>
          <w:rStyle w:val="Odkaznapoznmkupodiarou"/>
          <w:color w:val="000000" w:themeColor="text1"/>
        </w:rPr>
        <w:footnoteReference w:id="58"/>
      </w:r>
      <w:r w:rsidRPr="00E128D2">
        <w:rPr>
          <w:color w:val="000000" w:themeColor="text1"/>
        </w:rPr>
        <w:t>. Daň z príjmov právnických osôb taktiež klesá v pomere k HDP z titulu pomalšieho rastu ziskovosti firiem.</w:t>
      </w:r>
    </w:p>
    <w:p w14:paraId="52EDE59F" w14:textId="77777777" w:rsidR="00841C05" w:rsidRDefault="00841C05" w:rsidP="00841C05">
      <w:pPr>
        <w:spacing w:after="120"/>
        <w:jc w:val="both"/>
      </w:pPr>
    </w:p>
    <w:p w14:paraId="0B8EE62C" w14:textId="77777777" w:rsidR="00841C05" w:rsidRDefault="00841C05" w:rsidP="00841C05">
      <w:pPr>
        <w:spacing w:after="120"/>
        <w:jc w:val="both"/>
      </w:pPr>
    </w:p>
    <w:p w14:paraId="0420DE8F" w14:textId="77777777" w:rsidR="00841C05" w:rsidRDefault="00841C05" w:rsidP="00841C05">
      <w:pPr>
        <w:spacing w:after="120"/>
        <w:jc w:val="both"/>
      </w:pPr>
    </w:p>
    <w:p w14:paraId="7C06CCBE" w14:textId="77777777" w:rsidR="00841C05" w:rsidRDefault="00841C05" w:rsidP="00841C05">
      <w:pPr>
        <w:spacing w:after="120"/>
        <w:jc w:val="both"/>
      </w:pPr>
    </w:p>
    <w:p w14:paraId="3D71D862" w14:textId="77777777" w:rsidR="00902DC1" w:rsidRDefault="00902DC1" w:rsidP="00841C05">
      <w:pPr>
        <w:spacing w:after="120"/>
        <w:jc w:val="both"/>
      </w:pPr>
    </w:p>
    <w:p w14:paraId="2BE98917" w14:textId="77777777" w:rsidR="00841C05" w:rsidRDefault="00841C05" w:rsidP="00841C05">
      <w:pPr>
        <w:spacing w:after="120"/>
        <w:jc w:val="both"/>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841C05" w:rsidRPr="006D2898" w14:paraId="732066FE" w14:textId="77777777" w:rsidTr="00387AE5">
        <w:trPr>
          <w:cantSplit/>
          <w:trHeight w:val="185"/>
          <w:jc w:val="center"/>
        </w:trPr>
        <w:tc>
          <w:tcPr>
            <w:tcW w:w="9072" w:type="dxa"/>
            <w:tcBorders>
              <w:top w:val="nil"/>
              <w:left w:val="nil"/>
              <w:bottom w:val="single" w:sz="6" w:space="0" w:color="000000"/>
              <w:right w:val="nil"/>
            </w:tcBorders>
            <w:shd w:val="clear" w:color="auto" w:fill="auto"/>
            <w:vAlign w:val="center"/>
          </w:tcPr>
          <w:p w14:paraId="714B4B09" w14:textId="77777777" w:rsidR="00460DD4" w:rsidRDefault="00460DD4" w:rsidP="00387AE5">
            <w:pPr>
              <w:pStyle w:val="Popis"/>
              <w:spacing w:after="0"/>
              <w:rPr>
                <w:rFonts w:eastAsiaTheme="minorHAnsi"/>
                <w:color w:val="2C9ADC"/>
                <w:sz w:val="20"/>
                <w:szCs w:val="20"/>
                <w:lang w:eastAsia="en-US"/>
              </w:rPr>
            </w:pPr>
          </w:p>
          <w:p w14:paraId="393CF8C5" w14:textId="0240B830" w:rsidR="00841C05" w:rsidRPr="006D2898" w:rsidRDefault="00841C05" w:rsidP="00902DC1">
            <w:pPr>
              <w:pStyle w:val="Nadpis3"/>
              <w:rPr>
                <w:szCs w:val="20"/>
                <w:highlight w:val="yellow"/>
              </w:rPr>
            </w:pPr>
            <w:bookmarkStart w:id="206" w:name="_Ref5803699"/>
            <w:bookmarkStart w:id="207" w:name="_Toc6314272"/>
            <w:r w:rsidRPr="00902DC1">
              <w:rPr>
                <w:rFonts w:eastAsiaTheme="minorHAnsi"/>
                <w:color w:val="2C9ADC"/>
                <w:lang w:eastAsia="en-US"/>
              </w:rPr>
              <w:t xml:space="preserve">GRAF </w:t>
            </w:r>
            <w:r w:rsidRPr="00902DC1">
              <w:rPr>
                <w:rFonts w:eastAsiaTheme="minorHAnsi"/>
                <w:color w:val="2C9ADC"/>
                <w:lang w:eastAsia="en-US"/>
              </w:rPr>
              <w:fldChar w:fldCharType="begin"/>
            </w:r>
            <w:r w:rsidRPr="00902DC1">
              <w:rPr>
                <w:rFonts w:eastAsiaTheme="minorHAnsi"/>
                <w:color w:val="2C9ADC"/>
                <w:lang w:eastAsia="en-US"/>
              </w:rPr>
              <w:instrText xml:space="preserve"> SEQ GRAF \* ARABIC </w:instrText>
            </w:r>
            <w:r w:rsidRPr="00902DC1">
              <w:rPr>
                <w:rFonts w:eastAsiaTheme="minorHAnsi"/>
                <w:color w:val="2C9ADC"/>
                <w:lang w:eastAsia="en-US"/>
              </w:rPr>
              <w:fldChar w:fldCharType="separate"/>
            </w:r>
            <w:r w:rsidR="00D5739E">
              <w:rPr>
                <w:rFonts w:eastAsiaTheme="minorHAnsi"/>
                <w:noProof/>
                <w:color w:val="2C9ADC"/>
                <w:lang w:eastAsia="en-US"/>
              </w:rPr>
              <w:t>29</w:t>
            </w:r>
            <w:r w:rsidRPr="00902DC1">
              <w:rPr>
                <w:rFonts w:eastAsiaTheme="minorHAnsi"/>
                <w:color w:val="2C9ADC"/>
                <w:lang w:eastAsia="en-US"/>
              </w:rPr>
              <w:fldChar w:fldCharType="end"/>
            </w:r>
            <w:r w:rsidRPr="00902DC1">
              <w:rPr>
                <w:rFonts w:eastAsiaTheme="minorHAnsi"/>
                <w:color w:val="2C9ADC"/>
                <w:lang w:eastAsia="en-US"/>
              </w:rPr>
              <w:t xml:space="preserve"> - Podiel daní a odvodov na HDP (% HDP)</w:t>
            </w:r>
            <w:bookmarkEnd w:id="206"/>
            <w:bookmarkEnd w:id="207"/>
          </w:p>
        </w:tc>
      </w:tr>
      <w:tr w:rsidR="00841C05" w:rsidRPr="00F5278A" w14:paraId="7AD57F8C" w14:textId="77777777" w:rsidTr="005E6AD2">
        <w:trPr>
          <w:cantSplit/>
          <w:trHeight w:val="1751"/>
          <w:jc w:val="center"/>
        </w:trPr>
        <w:tc>
          <w:tcPr>
            <w:tcW w:w="9072" w:type="dxa"/>
            <w:tcBorders>
              <w:top w:val="single" w:sz="6" w:space="0" w:color="000000"/>
              <w:left w:val="nil"/>
              <w:bottom w:val="single" w:sz="8" w:space="0" w:color="000000"/>
              <w:right w:val="nil"/>
            </w:tcBorders>
            <w:shd w:val="clear" w:color="auto" w:fill="auto"/>
          </w:tcPr>
          <w:p w14:paraId="3D1C1EC7" w14:textId="0E67C261" w:rsidR="00841C05" w:rsidRPr="009719F0" w:rsidRDefault="005E6AD2" w:rsidP="00387AE5">
            <w:pPr>
              <w:spacing w:after="100" w:afterAutospacing="1"/>
              <w:jc w:val="center"/>
              <w:rPr>
                <w:highlight w:val="yellow"/>
              </w:rPr>
            </w:pPr>
            <w:r>
              <w:rPr>
                <w:noProof/>
              </w:rPr>
              <w:drawing>
                <wp:inline distT="0" distB="0" distL="0" distR="0" wp14:anchorId="3D98C540" wp14:editId="2A453A4B">
                  <wp:extent cx="5671820" cy="2485390"/>
                  <wp:effectExtent l="0" t="0" r="508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41C05" w:rsidRPr="00F5278A" w14:paraId="518ECED5" w14:textId="77777777" w:rsidTr="00387AE5">
        <w:trPr>
          <w:cantSplit/>
          <w:trHeight w:val="141"/>
          <w:jc w:val="center"/>
        </w:trPr>
        <w:tc>
          <w:tcPr>
            <w:tcW w:w="9072" w:type="dxa"/>
            <w:tcBorders>
              <w:top w:val="single" w:sz="8" w:space="0" w:color="000000"/>
              <w:left w:val="nil"/>
              <w:bottom w:val="nil"/>
              <w:right w:val="nil"/>
            </w:tcBorders>
            <w:shd w:val="clear" w:color="auto" w:fill="auto"/>
            <w:vAlign w:val="center"/>
          </w:tcPr>
          <w:p w14:paraId="6B8B1418" w14:textId="77777777" w:rsidR="00841C05" w:rsidRPr="003B387D" w:rsidRDefault="00841C05" w:rsidP="00387AE5">
            <w:pPr>
              <w:spacing w:before="40"/>
              <w:jc w:val="right"/>
              <w:rPr>
                <w:sz w:val="16"/>
                <w:szCs w:val="16"/>
              </w:rPr>
            </w:pPr>
            <w:r w:rsidRPr="003B387D">
              <w:rPr>
                <w:i/>
                <w:sz w:val="16"/>
                <w:szCs w:val="16"/>
              </w:rPr>
              <w:t>Zdroj: MF SR, Eurostat</w:t>
            </w:r>
          </w:p>
        </w:tc>
      </w:tr>
    </w:tbl>
    <w:p w14:paraId="6EA1B3CB" w14:textId="353F7407" w:rsidR="00841C05" w:rsidRDefault="00841C05" w:rsidP="00841C05">
      <w:pPr>
        <w:spacing w:before="120"/>
        <w:jc w:val="both"/>
      </w:pPr>
      <w:r w:rsidRPr="000F157A">
        <w:rPr>
          <w:b/>
        </w:rPr>
        <w:t xml:space="preserve">V roku 2018 boli </w:t>
      </w:r>
      <w:r w:rsidRPr="00E128D2">
        <w:rPr>
          <w:b/>
          <w:color w:val="000000" w:themeColor="text1"/>
        </w:rPr>
        <w:t>schválené viaceré opatrenia, ktorá majú zabrániť praktikám vyhýbania sa daňovým povinnostiam na úrovni dane z príjmov právnických osôb</w:t>
      </w:r>
      <w:r w:rsidRPr="00E128D2">
        <w:rPr>
          <w:color w:val="000000" w:themeColor="text1"/>
        </w:rPr>
        <w:t>. Opatrenia vychádzajú z</w:t>
      </w:r>
      <w:r w:rsidR="005E6AD2">
        <w:rPr>
          <w:color w:val="000000" w:themeColor="text1"/>
        </w:rPr>
        <w:t xml:space="preserve"> európskeho úsilia boja proti daňovým únikom (smernica </w:t>
      </w:r>
      <w:r w:rsidRPr="00E128D2">
        <w:rPr>
          <w:color w:val="000000" w:themeColor="text1"/>
        </w:rPr>
        <w:t>ATAD 1</w:t>
      </w:r>
      <w:r w:rsidR="005E6AD2">
        <w:rPr>
          <w:rStyle w:val="Odkaznapoznmkupodiarou"/>
          <w:color w:val="000000" w:themeColor="text1"/>
        </w:rPr>
        <w:footnoteReference w:id="59"/>
      </w:r>
      <w:r w:rsidR="005E6AD2">
        <w:rPr>
          <w:color w:val="000000" w:themeColor="text1"/>
        </w:rPr>
        <w:t>)</w:t>
      </w:r>
      <w:r w:rsidRPr="00E128D2">
        <w:rPr>
          <w:color w:val="000000" w:themeColor="text1"/>
        </w:rPr>
        <w:t xml:space="preserve"> a zabezpečujú t.z. minimálnu úroveň ochrany pre vnútroštátne systémy zdaňovania príjmov právnických osôb. V roku 2018 </w:t>
      </w:r>
      <w:r>
        <w:rPr>
          <w:color w:val="000000" w:themeColor="text1"/>
        </w:rPr>
        <w:t>išlo</w:t>
      </w:r>
      <w:r w:rsidRPr="00E128D2">
        <w:rPr>
          <w:color w:val="000000" w:themeColor="text1"/>
        </w:rPr>
        <w:t xml:space="preserve"> najmä o zdanenie pri odchode (tzv. exit tax), kde v prípade </w:t>
      </w:r>
      <w:r>
        <w:t xml:space="preserve">napr. </w:t>
      </w:r>
      <w:r w:rsidRPr="00AB0A62">
        <w:t>presun</w:t>
      </w:r>
      <w:r>
        <w:t>u</w:t>
      </w:r>
      <w:r w:rsidRPr="00AB0A62">
        <w:t xml:space="preserve"> </w:t>
      </w:r>
      <w:r>
        <w:t>podniku do iného štátu dôjde k zdaneniu reálnej hodnoty</w:t>
      </w:r>
      <w:r w:rsidRPr="00AB0A62">
        <w:t xml:space="preserve"> prevádzaného majetku</w:t>
      </w:r>
      <w:r>
        <w:t>. Od roku 2019 platia p</w:t>
      </w:r>
      <w:r w:rsidRPr="00AB0A62">
        <w:t>ravidlá pre kontrolované zahraničné spoločnosti</w:t>
      </w:r>
      <w:r>
        <w:t xml:space="preserve">, ktoré </w:t>
      </w:r>
      <w:r w:rsidRPr="00AB0A62">
        <w:t>vyžadujú navýšenie príjmov materskej spoločnosti v SR o príjmy jej dcérskej spoločnosti, ktoré podliehajú nízkemu zdaneniu, a následné zdanenie týchto príjmov v</w:t>
      </w:r>
      <w:r>
        <w:t> </w:t>
      </w:r>
      <w:r w:rsidRPr="00AB0A62">
        <w:t>SR</w:t>
      </w:r>
      <w:r>
        <w:t>.</w:t>
      </w:r>
      <w:r w:rsidRPr="00AB0A62">
        <w:t xml:space="preserve"> </w:t>
      </w:r>
      <w:r>
        <w:t xml:space="preserve"> </w:t>
      </w:r>
    </w:p>
    <w:p w14:paraId="4C7B5A99" w14:textId="77777777" w:rsidR="00841C05" w:rsidRPr="007578D4" w:rsidRDefault="00841C05" w:rsidP="000032FE">
      <w:pPr>
        <w:pStyle w:val="Nadpis2"/>
        <w:keepLines/>
        <w:spacing w:before="240" w:after="120"/>
        <w:rPr>
          <w:rFonts w:cs="Arial"/>
          <w:b/>
          <w:bCs/>
          <w:iCs/>
          <w:color w:val="2C9ADC"/>
        </w:rPr>
      </w:pPr>
      <w:bookmarkStart w:id="208" w:name="_Toc5796298"/>
      <w:bookmarkStart w:id="209" w:name="_Toc5869396"/>
      <w:r w:rsidRPr="007578D4">
        <w:rPr>
          <w:rFonts w:cs="Arial"/>
          <w:b/>
          <w:bCs/>
          <w:iCs/>
          <w:color w:val="2C9ADC"/>
        </w:rPr>
        <w:t>Boj proti daňovým únikom</w:t>
      </w:r>
      <w:bookmarkEnd w:id="203"/>
      <w:bookmarkEnd w:id="204"/>
      <w:bookmarkEnd w:id="205"/>
      <w:bookmarkEnd w:id="208"/>
      <w:bookmarkEnd w:id="209"/>
      <w:r>
        <w:rPr>
          <w:rFonts w:cs="Arial"/>
          <w:b/>
          <w:bCs/>
          <w:iCs/>
          <w:color w:val="2C9ADC"/>
        </w:rPr>
        <w:t xml:space="preserve">  </w:t>
      </w:r>
    </w:p>
    <w:p w14:paraId="334F7022" w14:textId="685B55FE" w:rsidR="00841C05" w:rsidRPr="008F28A9" w:rsidRDefault="00841C05" w:rsidP="00841C05">
      <w:pPr>
        <w:jc w:val="both"/>
        <w:rPr>
          <w:color w:val="000000" w:themeColor="text1"/>
        </w:rPr>
      </w:pPr>
      <w:r w:rsidRPr="008F28A9">
        <w:rPr>
          <w:b/>
          <w:color w:val="000000" w:themeColor="text1"/>
        </w:rPr>
        <w:t>Od roku 2012 sa znížila medzera výberu na DPH z vyše 40 % potenciálneho výberu dane na 26,9 %</w:t>
      </w:r>
      <w:r>
        <w:rPr>
          <w:b/>
          <w:color w:val="000000" w:themeColor="text1"/>
        </w:rPr>
        <w:t xml:space="preserve"> (</w:t>
      </w:r>
      <w:r w:rsidR="004E6808">
        <w:rPr>
          <w:color w:val="2C9ADC" w:themeColor="accent1"/>
        </w:rPr>
        <w:t>GRAF 30</w:t>
      </w:r>
      <w:r>
        <w:rPr>
          <w:b/>
          <w:color w:val="000000" w:themeColor="text1"/>
        </w:rPr>
        <w:t>)</w:t>
      </w:r>
      <w:r w:rsidRPr="008F28A9">
        <w:rPr>
          <w:b/>
          <w:color w:val="000000" w:themeColor="text1"/>
        </w:rPr>
        <w:t>.</w:t>
      </w:r>
      <w:r>
        <w:rPr>
          <w:b/>
          <w:color w:val="000000" w:themeColor="text1"/>
        </w:rPr>
        <w:t xml:space="preserve"> </w:t>
      </w:r>
      <w:r>
        <w:rPr>
          <w:color w:val="000000" w:themeColor="text1"/>
        </w:rPr>
        <w:t>Na základe aktuálnych údajov z národnej metodiky došlo k stabilizácií medzery DPH, pričom nové opatrenia by mohli opätovne dopomôcť k uzatváraniu medzery. Tento pozitívny trend je potvrdený aj metodikou využívanou v </w:t>
      </w:r>
      <w:r w:rsidRPr="005527D7">
        <w:rPr>
          <w:color w:val="000000" w:themeColor="text1"/>
        </w:rPr>
        <w:t>rámci EÚ, ktorá pre rok 2016 odhadla</w:t>
      </w:r>
      <w:r>
        <w:rPr>
          <w:color w:val="000000" w:themeColor="text1"/>
        </w:rPr>
        <w:t xml:space="preserve"> daňovú medzeru na úrovni 25,7 %, čo predstavuje piate najrýchlejšie uzatváranie daňovej medzery v danom roku (</w:t>
      </w:r>
      <w:r w:rsidR="004E6808" w:rsidRPr="004E6808">
        <w:rPr>
          <w:rStyle w:val="Hypertextovprepojenie"/>
          <w:rFonts w:cs="Book Antiqua"/>
          <w:color w:val="2C9ADC" w:themeColor="accent1"/>
          <w:u w:val="none"/>
        </w:rPr>
        <w:t>GRAF 31</w:t>
      </w:r>
      <w:r>
        <w:rPr>
          <w:color w:val="000000" w:themeColor="text1"/>
        </w:rPr>
        <w:t xml:space="preserve">). </w:t>
      </w:r>
    </w:p>
    <w:p w14:paraId="098D85F2" w14:textId="77777777" w:rsidR="00841C05" w:rsidRPr="008F28A9" w:rsidRDefault="00841C05" w:rsidP="00841C05">
      <w:pPr>
        <w:jc w:val="both"/>
        <w:rPr>
          <w:b/>
          <w:color w:val="000000" w:themeColor="text1"/>
        </w:rPr>
      </w:pPr>
    </w:p>
    <w:tbl>
      <w:tblPr>
        <w:tblW w:w="9072" w:type="dxa"/>
        <w:tblLayout w:type="fixed"/>
        <w:tblCellMar>
          <w:left w:w="70" w:type="dxa"/>
          <w:right w:w="70" w:type="dxa"/>
        </w:tblCellMar>
        <w:tblLook w:val="0000" w:firstRow="0" w:lastRow="0" w:firstColumn="0" w:lastColumn="0" w:noHBand="0" w:noVBand="0"/>
      </w:tblPr>
      <w:tblGrid>
        <w:gridCol w:w="4594"/>
        <w:gridCol w:w="164"/>
        <w:gridCol w:w="4314"/>
      </w:tblGrid>
      <w:tr w:rsidR="00841C05" w:rsidRPr="000032FE" w14:paraId="1CFA45AB" w14:textId="77777777" w:rsidTr="00387AE5">
        <w:trPr>
          <w:cantSplit/>
          <w:trHeight w:val="275"/>
        </w:trPr>
        <w:tc>
          <w:tcPr>
            <w:tcW w:w="4594" w:type="dxa"/>
            <w:tcBorders>
              <w:top w:val="nil"/>
              <w:left w:val="nil"/>
              <w:bottom w:val="single" w:sz="6" w:space="0" w:color="auto"/>
              <w:right w:val="nil"/>
            </w:tcBorders>
            <w:shd w:val="clear" w:color="auto" w:fill="auto"/>
            <w:vAlign w:val="bottom"/>
          </w:tcPr>
          <w:p w14:paraId="1558543B" w14:textId="02A0D38B" w:rsidR="00841C05" w:rsidRPr="005527D7" w:rsidRDefault="000032FE" w:rsidP="000032FE">
            <w:pPr>
              <w:pStyle w:val="Nadpis3"/>
              <w:rPr>
                <w:rFonts w:eastAsiaTheme="minorHAnsi"/>
                <w:color w:val="2C9ADC"/>
                <w:lang w:eastAsia="en-US"/>
              </w:rPr>
            </w:pPr>
            <w:bookmarkStart w:id="210" w:name="_Toc463861271"/>
            <w:bookmarkStart w:id="211" w:name="_Toc463861707"/>
            <w:bookmarkStart w:id="212" w:name="_Toc463997374"/>
            <w:bookmarkStart w:id="213" w:name="_Ref5797301"/>
            <w:bookmarkStart w:id="214" w:name="_Toc6314273"/>
            <w:r w:rsidRPr="005527D7">
              <w:rPr>
                <w:rFonts w:eastAsiaTheme="minorHAnsi"/>
                <w:color w:val="2C9ADC"/>
                <w:lang w:eastAsia="en-US"/>
              </w:rPr>
              <w:t xml:space="preserve">GRAF </w:t>
            </w:r>
            <w:r w:rsidRPr="005527D7">
              <w:rPr>
                <w:rFonts w:eastAsiaTheme="minorHAnsi"/>
                <w:color w:val="2C9ADC"/>
                <w:lang w:eastAsia="en-US"/>
              </w:rPr>
              <w:fldChar w:fldCharType="begin"/>
            </w:r>
            <w:r w:rsidRPr="005527D7">
              <w:rPr>
                <w:rFonts w:eastAsiaTheme="minorHAnsi"/>
                <w:color w:val="2C9ADC"/>
                <w:lang w:eastAsia="en-US"/>
              </w:rPr>
              <w:instrText xml:space="preserve"> SEQ GRAF \* ARABIC </w:instrText>
            </w:r>
            <w:r w:rsidRPr="005527D7">
              <w:rPr>
                <w:rFonts w:eastAsiaTheme="minorHAnsi"/>
                <w:color w:val="2C9ADC"/>
                <w:lang w:eastAsia="en-US"/>
              </w:rPr>
              <w:fldChar w:fldCharType="separate"/>
            </w:r>
            <w:r w:rsidR="00D5739E">
              <w:rPr>
                <w:rFonts w:eastAsiaTheme="minorHAnsi"/>
                <w:noProof/>
                <w:color w:val="2C9ADC"/>
                <w:lang w:eastAsia="en-US"/>
              </w:rPr>
              <w:t>30</w:t>
            </w:r>
            <w:r w:rsidRPr="005527D7">
              <w:rPr>
                <w:rFonts w:eastAsiaTheme="minorHAnsi"/>
                <w:color w:val="2C9ADC"/>
                <w:lang w:eastAsia="en-US"/>
              </w:rPr>
              <w:fldChar w:fldCharType="end"/>
            </w:r>
            <w:r w:rsidR="00841C05" w:rsidRPr="005527D7">
              <w:rPr>
                <w:rFonts w:eastAsiaTheme="minorHAnsi"/>
                <w:color w:val="2C9ADC"/>
                <w:lang w:eastAsia="en-US"/>
              </w:rPr>
              <w:t xml:space="preserve"> - Daňová medzera na DPH (% potenciálneho výnosu)</w:t>
            </w:r>
            <w:bookmarkEnd w:id="210"/>
            <w:bookmarkEnd w:id="211"/>
            <w:bookmarkEnd w:id="212"/>
            <w:r w:rsidR="00841C05" w:rsidRPr="005527D7">
              <w:rPr>
                <w:rFonts w:eastAsiaTheme="minorHAnsi"/>
                <w:color w:val="2C9ADC"/>
                <w:lang w:eastAsia="en-US"/>
              </w:rPr>
              <w:t>, národná aj EK metodika</w:t>
            </w:r>
            <w:bookmarkEnd w:id="213"/>
            <w:bookmarkEnd w:id="214"/>
          </w:p>
        </w:tc>
        <w:tc>
          <w:tcPr>
            <w:tcW w:w="164" w:type="dxa"/>
            <w:tcBorders>
              <w:top w:val="nil"/>
              <w:left w:val="nil"/>
              <w:bottom w:val="nil"/>
              <w:right w:val="nil"/>
            </w:tcBorders>
            <w:shd w:val="clear" w:color="auto" w:fill="auto"/>
            <w:vAlign w:val="center"/>
          </w:tcPr>
          <w:p w14:paraId="78A42190" w14:textId="77777777" w:rsidR="00841C05" w:rsidRPr="005527D7" w:rsidRDefault="00841C05" w:rsidP="000032FE">
            <w:pPr>
              <w:pStyle w:val="Nadpis3"/>
              <w:rPr>
                <w:rFonts w:eastAsiaTheme="minorHAnsi"/>
                <w:color w:val="2C9ADC"/>
                <w:lang w:eastAsia="en-US"/>
              </w:rPr>
            </w:pPr>
          </w:p>
        </w:tc>
        <w:tc>
          <w:tcPr>
            <w:tcW w:w="4314" w:type="dxa"/>
            <w:tcBorders>
              <w:top w:val="nil"/>
              <w:left w:val="nil"/>
              <w:bottom w:val="single" w:sz="6" w:space="0" w:color="auto"/>
              <w:right w:val="nil"/>
            </w:tcBorders>
            <w:shd w:val="clear" w:color="auto" w:fill="auto"/>
            <w:vAlign w:val="center"/>
          </w:tcPr>
          <w:p w14:paraId="4BA8921D" w14:textId="5D28C977" w:rsidR="00841C05" w:rsidRPr="005527D7" w:rsidRDefault="000032FE" w:rsidP="000032FE">
            <w:pPr>
              <w:pStyle w:val="Nadpis3"/>
              <w:rPr>
                <w:rFonts w:eastAsiaTheme="minorHAnsi"/>
                <w:color w:val="2C9ADC"/>
                <w:lang w:eastAsia="en-US"/>
              </w:rPr>
            </w:pPr>
            <w:bookmarkStart w:id="215" w:name="_GRAF_31_-"/>
            <w:bookmarkStart w:id="216" w:name="_Toc463861272"/>
            <w:bookmarkStart w:id="217" w:name="_Toc463997375"/>
            <w:bookmarkStart w:id="218" w:name="_Ref5803815"/>
            <w:bookmarkStart w:id="219" w:name="_Ref6301411"/>
            <w:bookmarkStart w:id="220" w:name="_Toc6314274"/>
            <w:bookmarkEnd w:id="215"/>
            <w:r w:rsidRPr="005527D7">
              <w:rPr>
                <w:rFonts w:eastAsiaTheme="minorHAnsi"/>
                <w:color w:val="2C9ADC"/>
                <w:lang w:eastAsia="en-US"/>
              </w:rPr>
              <w:t xml:space="preserve">GRAF </w:t>
            </w:r>
            <w:r w:rsidRPr="005527D7">
              <w:rPr>
                <w:rFonts w:eastAsiaTheme="minorHAnsi"/>
                <w:color w:val="2C9ADC"/>
                <w:lang w:eastAsia="en-US"/>
              </w:rPr>
              <w:fldChar w:fldCharType="begin"/>
            </w:r>
            <w:r w:rsidRPr="005527D7">
              <w:rPr>
                <w:rFonts w:eastAsiaTheme="minorHAnsi"/>
                <w:color w:val="2C9ADC"/>
                <w:lang w:eastAsia="en-US"/>
              </w:rPr>
              <w:instrText xml:space="preserve"> SEQ GRAF \* ARABIC </w:instrText>
            </w:r>
            <w:r w:rsidRPr="005527D7">
              <w:rPr>
                <w:rFonts w:eastAsiaTheme="minorHAnsi"/>
                <w:color w:val="2C9ADC"/>
                <w:lang w:eastAsia="en-US"/>
              </w:rPr>
              <w:fldChar w:fldCharType="separate"/>
            </w:r>
            <w:r w:rsidR="00D5739E">
              <w:rPr>
                <w:rFonts w:eastAsiaTheme="minorHAnsi"/>
                <w:noProof/>
                <w:color w:val="2C9ADC"/>
                <w:lang w:eastAsia="en-US"/>
              </w:rPr>
              <w:t>31</w:t>
            </w:r>
            <w:r w:rsidRPr="005527D7">
              <w:rPr>
                <w:rFonts w:eastAsiaTheme="minorHAnsi"/>
                <w:color w:val="2C9ADC"/>
                <w:lang w:eastAsia="en-US"/>
              </w:rPr>
              <w:fldChar w:fldCharType="end"/>
            </w:r>
            <w:r w:rsidR="00841C05" w:rsidRPr="005527D7">
              <w:rPr>
                <w:rFonts w:eastAsiaTheme="minorHAnsi"/>
                <w:color w:val="2C9ADC"/>
                <w:lang w:eastAsia="en-US"/>
              </w:rPr>
              <w:t xml:space="preserve"> - </w:t>
            </w:r>
            <w:bookmarkEnd w:id="216"/>
            <w:bookmarkEnd w:id="217"/>
            <w:r w:rsidR="00841C05" w:rsidRPr="005527D7">
              <w:rPr>
                <w:rFonts w:eastAsiaTheme="minorHAnsi"/>
                <w:color w:val="2C9ADC"/>
                <w:lang w:eastAsia="en-US"/>
              </w:rPr>
              <w:t>Zmena daňovej medzery na DPH v EÚ (2016)</w:t>
            </w:r>
            <w:bookmarkEnd w:id="218"/>
            <w:bookmarkEnd w:id="219"/>
            <w:bookmarkEnd w:id="220"/>
          </w:p>
        </w:tc>
      </w:tr>
      <w:tr w:rsidR="00841C05" w:rsidRPr="00F5278A" w14:paraId="68D28AD3" w14:textId="77777777" w:rsidTr="00387AE5">
        <w:trPr>
          <w:cantSplit/>
          <w:trHeight w:val="2381"/>
        </w:trPr>
        <w:tc>
          <w:tcPr>
            <w:tcW w:w="4594" w:type="dxa"/>
            <w:tcBorders>
              <w:top w:val="single" w:sz="6" w:space="0" w:color="auto"/>
              <w:left w:val="nil"/>
              <w:bottom w:val="single" w:sz="8" w:space="0" w:color="auto"/>
              <w:right w:val="nil"/>
            </w:tcBorders>
            <w:vAlign w:val="center"/>
          </w:tcPr>
          <w:p w14:paraId="484F7083" w14:textId="77777777" w:rsidR="00841C05" w:rsidRPr="00F5278A" w:rsidRDefault="00841C05" w:rsidP="00387AE5">
            <w:pPr>
              <w:rPr>
                <w:rFonts w:cs="Garamond"/>
                <w:b/>
                <w:bCs/>
                <w:sz w:val="16"/>
                <w:szCs w:val="16"/>
                <w:highlight w:val="yellow"/>
              </w:rPr>
            </w:pPr>
            <w:r>
              <w:rPr>
                <w:noProof/>
              </w:rPr>
              <w:drawing>
                <wp:inline distT="0" distB="0" distL="0" distR="0" wp14:anchorId="7F9ADCBA" wp14:editId="6CE42A17">
                  <wp:extent cx="2828290" cy="1599565"/>
                  <wp:effectExtent l="0" t="0" r="0" b="63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64" w:type="dxa"/>
            <w:tcBorders>
              <w:top w:val="nil"/>
              <w:left w:val="nil"/>
              <w:bottom w:val="nil"/>
              <w:right w:val="nil"/>
            </w:tcBorders>
          </w:tcPr>
          <w:p w14:paraId="2A9C1EB1" w14:textId="77777777" w:rsidR="00841C05" w:rsidRPr="00F5278A" w:rsidRDefault="00841C05" w:rsidP="00387AE5">
            <w:pPr>
              <w:rPr>
                <w:rFonts w:cs="Garamond"/>
                <w:b/>
                <w:bCs/>
                <w:sz w:val="16"/>
                <w:szCs w:val="16"/>
                <w:highlight w:val="yellow"/>
              </w:rPr>
            </w:pPr>
          </w:p>
        </w:tc>
        <w:tc>
          <w:tcPr>
            <w:tcW w:w="4314" w:type="dxa"/>
            <w:tcBorders>
              <w:top w:val="single" w:sz="6" w:space="0" w:color="auto"/>
              <w:left w:val="nil"/>
              <w:bottom w:val="single" w:sz="8" w:space="0" w:color="auto"/>
              <w:right w:val="nil"/>
            </w:tcBorders>
          </w:tcPr>
          <w:p w14:paraId="4252429E" w14:textId="77777777" w:rsidR="00841C05" w:rsidRPr="00F5278A" w:rsidRDefault="00841C05" w:rsidP="00387AE5">
            <w:pPr>
              <w:rPr>
                <w:rFonts w:cs="Garamond"/>
                <w:b/>
                <w:bCs/>
                <w:sz w:val="16"/>
                <w:szCs w:val="16"/>
                <w:highlight w:val="yellow"/>
              </w:rPr>
            </w:pPr>
            <w:r>
              <w:rPr>
                <w:noProof/>
              </w:rPr>
              <w:drawing>
                <wp:inline distT="0" distB="0" distL="0" distR="0" wp14:anchorId="33203CAD" wp14:editId="082FB1B7">
                  <wp:extent cx="2586990" cy="1560830"/>
                  <wp:effectExtent l="0" t="0" r="3810" b="127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41C05" w:rsidRPr="00F5278A" w14:paraId="34BDEB9A" w14:textId="77777777" w:rsidTr="00387AE5">
        <w:trPr>
          <w:cantSplit/>
          <w:trHeight w:val="210"/>
        </w:trPr>
        <w:tc>
          <w:tcPr>
            <w:tcW w:w="4594" w:type="dxa"/>
            <w:tcBorders>
              <w:top w:val="single" w:sz="8" w:space="0" w:color="auto"/>
              <w:left w:val="nil"/>
              <w:bottom w:val="nil"/>
              <w:right w:val="nil"/>
            </w:tcBorders>
            <w:vAlign w:val="center"/>
          </w:tcPr>
          <w:p w14:paraId="7024C247" w14:textId="77777777" w:rsidR="00841C05" w:rsidRPr="000B1E15" w:rsidRDefault="00841C05" w:rsidP="00387AE5">
            <w:pPr>
              <w:spacing w:before="40"/>
              <w:jc w:val="right"/>
              <w:rPr>
                <w:rFonts w:cs="Arial"/>
                <w:i/>
                <w:sz w:val="16"/>
                <w:szCs w:val="14"/>
              </w:rPr>
            </w:pPr>
            <w:r w:rsidRPr="000B1E15">
              <w:rPr>
                <w:rFonts w:cs="Arial"/>
                <w:i/>
                <w:sz w:val="16"/>
                <w:szCs w:val="14"/>
              </w:rPr>
              <w:t>Zdroj: MF SR, EK</w:t>
            </w:r>
          </w:p>
        </w:tc>
        <w:tc>
          <w:tcPr>
            <w:tcW w:w="164" w:type="dxa"/>
            <w:tcBorders>
              <w:top w:val="nil"/>
              <w:left w:val="nil"/>
              <w:bottom w:val="nil"/>
              <w:right w:val="nil"/>
            </w:tcBorders>
            <w:vAlign w:val="center"/>
          </w:tcPr>
          <w:p w14:paraId="4D3E00C6" w14:textId="77777777" w:rsidR="00841C05" w:rsidRPr="000B1E15" w:rsidRDefault="00841C05" w:rsidP="00387AE5">
            <w:pPr>
              <w:spacing w:before="40"/>
              <w:jc w:val="center"/>
              <w:rPr>
                <w:rFonts w:cs="Arial"/>
                <w:sz w:val="16"/>
                <w:szCs w:val="14"/>
              </w:rPr>
            </w:pPr>
          </w:p>
        </w:tc>
        <w:tc>
          <w:tcPr>
            <w:tcW w:w="4314" w:type="dxa"/>
            <w:tcBorders>
              <w:top w:val="single" w:sz="8" w:space="0" w:color="auto"/>
              <w:left w:val="nil"/>
              <w:bottom w:val="nil"/>
              <w:right w:val="nil"/>
            </w:tcBorders>
            <w:vAlign w:val="center"/>
          </w:tcPr>
          <w:p w14:paraId="5EB083D2" w14:textId="77777777" w:rsidR="00841C05" w:rsidRPr="000B1E15" w:rsidRDefault="00841C05" w:rsidP="00387AE5">
            <w:pPr>
              <w:spacing w:before="40"/>
              <w:jc w:val="right"/>
              <w:rPr>
                <w:rFonts w:cs="Arial"/>
                <w:i/>
                <w:sz w:val="16"/>
                <w:szCs w:val="14"/>
              </w:rPr>
            </w:pPr>
            <w:r w:rsidRPr="000B1E15">
              <w:rPr>
                <w:rFonts w:cs="Arial"/>
                <w:sz w:val="16"/>
                <w:szCs w:val="14"/>
              </w:rPr>
              <w:t xml:space="preserve">                                           </w:t>
            </w:r>
            <w:r w:rsidRPr="000B1E15">
              <w:rPr>
                <w:rFonts w:cs="Arial"/>
                <w:i/>
                <w:sz w:val="16"/>
                <w:szCs w:val="14"/>
              </w:rPr>
              <w:t xml:space="preserve">Zdroj: EK </w:t>
            </w:r>
          </w:p>
        </w:tc>
      </w:tr>
    </w:tbl>
    <w:p w14:paraId="75044464" w14:textId="77777777" w:rsidR="00841C05" w:rsidRPr="007578D4" w:rsidRDefault="00841C05" w:rsidP="00841C05">
      <w:pPr>
        <w:spacing w:before="120"/>
        <w:jc w:val="both"/>
        <w:rPr>
          <w:rFonts w:ascii="Calibri" w:hAnsi="Calibri" w:cs="Times New Roman"/>
          <w:color w:val="000000" w:themeColor="text1"/>
        </w:rPr>
      </w:pPr>
      <w:r w:rsidRPr="007578D4">
        <w:rPr>
          <w:b/>
          <w:color w:val="000000" w:themeColor="text1"/>
        </w:rPr>
        <w:t xml:space="preserve">V rámci boja proti daňovým únikom </w:t>
      </w:r>
      <w:r>
        <w:rPr>
          <w:b/>
          <w:color w:val="000000" w:themeColor="text1"/>
        </w:rPr>
        <w:t xml:space="preserve">boli s účinnosťou od </w:t>
      </w:r>
      <w:r w:rsidRPr="007578D4">
        <w:rPr>
          <w:b/>
          <w:color w:val="000000" w:themeColor="text1"/>
        </w:rPr>
        <w:t>roku 2019 prijaté ďalšie opatrenia.</w:t>
      </w:r>
      <w:r w:rsidRPr="007578D4">
        <w:rPr>
          <w:color w:val="000000" w:themeColor="text1"/>
        </w:rPr>
        <w:t xml:space="preserve"> </w:t>
      </w:r>
      <w:r>
        <w:rPr>
          <w:color w:val="000000" w:themeColor="text1"/>
        </w:rPr>
        <w:t>Od j</w:t>
      </w:r>
      <w:r w:rsidRPr="007578D4">
        <w:rPr>
          <w:color w:val="000000" w:themeColor="text1"/>
        </w:rPr>
        <w:t xml:space="preserve">úla 2019 bude zavedená </w:t>
      </w:r>
      <w:r w:rsidRPr="007578D4">
        <w:rPr>
          <w:bCs/>
          <w:color w:val="000000" w:themeColor="text1"/>
        </w:rPr>
        <w:t>povinnosť evidovať tržby prostredníctvom elektronických registračných pokladní s online prepojením na Finančnú správu</w:t>
      </w:r>
      <w:r w:rsidRPr="007578D4">
        <w:rPr>
          <w:color w:val="000000" w:themeColor="text1"/>
        </w:rPr>
        <w:t xml:space="preserve">, tzv. eKasa. Povinnosť sa vzťahuje na všetky podnikateľské subjekty, ktoré doteraz evidovali tržby prostredníctvom registračných pokladní. Od 1. apríla 2019 sa do systému eKasa musia pripojiť všetky novovzniknuté prevádzky. Alternatívnou možnosťou, ktorá minimalizuje náklady zavedenia, je využitie virtuálnej registračnej pokladne. Cieľom opatrenia je eliminácia nepriznávania tržieb </w:t>
      </w:r>
      <w:r>
        <w:rPr>
          <w:color w:val="000000" w:themeColor="text1"/>
        </w:rPr>
        <w:t>(</w:t>
      </w:r>
      <w:r>
        <w:t xml:space="preserve">resp. </w:t>
      </w:r>
      <w:r w:rsidRPr="00EC659B">
        <w:t xml:space="preserve">úpravy </w:t>
      </w:r>
      <w:r>
        <w:t xml:space="preserve">tržieb </w:t>
      </w:r>
      <w:r w:rsidRPr="00EC659B">
        <w:t xml:space="preserve">pred </w:t>
      </w:r>
      <w:r w:rsidRPr="00EC659B">
        <w:lastRenderedPageBreak/>
        <w:t>uložením údajov do fiškálnej pamäte</w:t>
      </w:r>
      <w:r>
        <w:rPr>
          <w:color w:val="000000" w:themeColor="text1"/>
        </w:rPr>
        <w:t xml:space="preserve">) </w:t>
      </w:r>
      <w:r w:rsidRPr="007578D4">
        <w:rPr>
          <w:color w:val="000000" w:themeColor="text1"/>
        </w:rPr>
        <w:t>v sektoroch maloobchodu, služieb, ubytovania a reštaurácií a tým aj zníženie daňovej medzery na DPH. Prepojenie na systém finančnej správy a online informácie o vývoji tržieb v čase umožnia aj efektívnejšie cielenie kontrol zameraných na evidenciu tržieb.</w:t>
      </w:r>
    </w:p>
    <w:p w14:paraId="3FC09B2D" w14:textId="77777777" w:rsidR="00841C05" w:rsidRPr="00E128D2" w:rsidRDefault="00841C05" w:rsidP="00841C05">
      <w:pPr>
        <w:rPr>
          <w:color w:val="000000" w:themeColor="text1"/>
        </w:rPr>
      </w:pPr>
    </w:p>
    <w:p w14:paraId="5B0DE816" w14:textId="77777777" w:rsidR="00841C05" w:rsidRPr="00E128D2" w:rsidRDefault="00841C05" w:rsidP="00841C05">
      <w:pPr>
        <w:jc w:val="both"/>
        <w:rPr>
          <w:color w:val="000000" w:themeColor="text1"/>
        </w:rPr>
      </w:pPr>
      <w:r w:rsidRPr="00E128D2">
        <w:rPr>
          <w:b/>
          <w:color w:val="000000" w:themeColor="text1"/>
        </w:rPr>
        <w:t>Na základe schváleného legislatívneho rámca pre zavedenie systému označovania pohonných látok predávaných v SR identifikačnou látkou, tzv. nanomarkerom, nastúpi po splnení zákonom ustanovených podmienok jeho implementácia do praxe.</w:t>
      </w:r>
      <w:r w:rsidRPr="00E128D2">
        <w:rPr>
          <w:color w:val="000000" w:themeColor="text1"/>
        </w:rPr>
        <w:t xml:space="preserve"> Cieľom opatrenia je najmä zvýšenie efektivity výberu spotrebnej dane z minerálnych olejov, ale aj zvýšenie kvality predávaných pohonných hmôt a zlepšenie konkurenčného prostredia v oblasti výroby a predaja pohonných hmôt. V súčasnosti prebiehajú kroky na zabezpečenie dodávateľa identifikačnej látky/nanomarkera, s následnou testovacou fázou systému označovania pohonných látok identifikačnou látkou.</w:t>
      </w:r>
    </w:p>
    <w:p w14:paraId="3F8D6C8F" w14:textId="77777777" w:rsidR="00841C05" w:rsidRDefault="00841C05" w:rsidP="00841C05">
      <w:pPr>
        <w:rPr>
          <w:color w:val="1F497D"/>
        </w:rPr>
      </w:pPr>
    </w:p>
    <w:p w14:paraId="2F8A7840" w14:textId="77777777" w:rsidR="00841C05" w:rsidRPr="006D2898" w:rsidRDefault="00841C05" w:rsidP="00841C05">
      <w:pPr>
        <w:jc w:val="both"/>
        <w:rPr>
          <w:color w:val="000000" w:themeColor="text1"/>
        </w:rPr>
      </w:pPr>
      <w:r w:rsidRPr="00F06524">
        <w:rPr>
          <w:b/>
          <w:color w:val="000000" w:themeColor="text1"/>
        </w:rPr>
        <w:t>Finan</w:t>
      </w:r>
      <w:r>
        <w:rPr>
          <w:b/>
          <w:color w:val="000000" w:themeColor="text1"/>
        </w:rPr>
        <w:t>čná správa zvyšuje proklientský prístup</w:t>
      </w:r>
      <w:r w:rsidRPr="00F06524">
        <w:rPr>
          <w:b/>
          <w:color w:val="000000" w:themeColor="text1"/>
        </w:rPr>
        <w:t xml:space="preserve"> voči daňovníkom a zvýšenia elektronickej komunikácie</w:t>
      </w:r>
      <w:r w:rsidRPr="00F06524">
        <w:rPr>
          <w:color w:val="000000" w:themeColor="text1"/>
        </w:rPr>
        <w:t xml:space="preserve">. Prvýkrát budú v roku 2019 všetky dotknuté subjekty podávať daňové priznania za rok 2018 v elektronickej forme, čo významným spôsobom zníži chybovosť podaných priznaní. </w:t>
      </w:r>
    </w:p>
    <w:p w14:paraId="6E3401F8" w14:textId="77777777" w:rsidR="00841C05" w:rsidRPr="00461396" w:rsidRDefault="00841C05" w:rsidP="00152128">
      <w:pPr>
        <w:pStyle w:val="Nadpis2"/>
        <w:keepLines/>
        <w:numPr>
          <w:ilvl w:val="1"/>
          <w:numId w:val="14"/>
        </w:numPr>
        <w:spacing w:before="240" w:after="120" w:line="276" w:lineRule="auto"/>
        <w:rPr>
          <w:rFonts w:cs="Arial"/>
          <w:b/>
          <w:bCs/>
          <w:iCs/>
          <w:color w:val="2C9ADC"/>
        </w:rPr>
      </w:pPr>
      <w:bookmarkStart w:id="221" w:name="_Toc463861279"/>
      <w:bookmarkStart w:id="222" w:name="_Toc463861709"/>
      <w:bookmarkStart w:id="223" w:name="_Toc463997290"/>
      <w:bookmarkStart w:id="224" w:name="_Toc5869397"/>
      <w:r w:rsidRPr="00461396">
        <w:rPr>
          <w:rFonts w:cs="Arial"/>
          <w:b/>
          <w:bCs/>
          <w:iCs/>
          <w:color w:val="2C9ADC"/>
        </w:rPr>
        <w:t>Výdavkové ciele rozpočtu verejnej správy</w:t>
      </w:r>
      <w:bookmarkEnd w:id="221"/>
      <w:bookmarkEnd w:id="222"/>
      <w:bookmarkEnd w:id="223"/>
      <w:bookmarkEnd w:id="224"/>
    </w:p>
    <w:bookmarkEnd w:id="186"/>
    <w:bookmarkEnd w:id="187"/>
    <w:bookmarkEnd w:id="188"/>
    <w:bookmarkEnd w:id="193"/>
    <w:p w14:paraId="5C3C7550" w14:textId="77777777" w:rsidR="00841C05" w:rsidRPr="00217472" w:rsidRDefault="00841C05" w:rsidP="00841C05">
      <w:pPr>
        <w:spacing w:after="240"/>
        <w:jc w:val="both"/>
      </w:pPr>
      <w:r w:rsidRPr="00217472">
        <w:rPr>
          <w:b/>
        </w:rPr>
        <w:t xml:space="preserve">Pomer celkových výdavkov VS k HDP je na Slovensku dlhodobo pod priemerom eurozóny. </w:t>
      </w:r>
      <w:r>
        <w:t xml:space="preserve">Od roku 2015, kedy vrcholilo čerpanie </w:t>
      </w:r>
      <w:r w:rsidRPr="00217472">
        <w:t>EÚ prostriedkov z druhého programového obdobia</w:t>
      </w:r>
      <w:r>
        <w:t>, klesá podiel verejných výdavkov na ekonomike</w:t>
      </w:r>
      <w:r w:rsidRPr="00217472">
        <w:t>. Podiel výdavkov na HDP klesol aj v roku 2017 z titulu silného rastu HDP</w:t>
      </w:r>
      <w:r>
        <w:t xml:space="preserve"> a pretrvávajúceho slabého čerpania EÚ fondov</w:t>
      </w:r>
      <w:r w:rsidRPr="00217472">
        <w:t xml:space="preserve">. Tento trend sa </w:t>
      </w:r>
      <w:r>
        <w:t>rozpočtuje</w:t>
      </w:r>
      <w:r w:rsidRPr="00217472">
        <w:t xml:space="preserve"> </w:t>
      </w:r>
      <w:r w:rsidRPr="00594663">
        <w:t>aj v nasledujúcich rokoch</w:t>
      </w:r>
      <w:r>
        <w:t xml:space="preserve"> nakoľko rozpočet neuvažuje s plnou sumou zdrojov z programového obdobia. Pozitívnym rizikom je čerpanie prenesených EÚ prostriedkov z minulých rokov.</w:t>
      </w:r>
    </w:p>
    <w:p w14:paraId="166D5F66" w14:textId="77777777" w:rsidR="00841C05" w:rsidRPr="00217472" w:rsidRDefault="00841C05" w:rsidP="00841C05">
      <w:pPr>
        <w:spacing w:after="240"/>
        <w:jc w:val="both"/>
      </w:pPr>
      <w:r w:rsidRPr="00217472">
        <w:rPr>
          <w:b/>
        </w:rPr>
        <w:t>Pomer kapitálových výdavkov k HDP je vyšší v porovnaní s priemerom eurozóny, no porovnateľný voči ostatným krajinám V4.</w:t>
      </w:r>
      <w:r w:rsidRPr="00217472">
        <w:t xml:space="preserve"> Zrýchlenie čerpania EÚ fondov na Slovensku, ako aj vo</w:t>
      </w:r>
      <w:r>
        <w:t xml:space="preserve"> zvyšných krajinách V4 viedlo</w:t>
      </w:r>
      <w:r w:rsidRPr="00217472">
        <w:t xml:space="preserve"> k výraznému nárastu verejných investícií v rokoch 2014 a 2015. V rokoch 2016 a</w:t>
      </w:r>
      <w:r>
        <w:t>ž</w:t>
      </w:r>
      <w:r w:rsidRPr="00217472">
        <w:t xml:space="preserve"> 201</w:t>
      </w:r>
      <w:r>
        <w:t>8</w:t>
      </w:r>
      <w:r w:rsidRPr="00217472">
        <w:t xml:space="preserve"> sa pomer kapitálových výdavkov normalizoval (Graf 53).</w:t>
      </w:r>
      <w:r w:rsidRPr="00217472" w:rsidDel="000C3827">
        <w:t xml:space="preserve"> </w:t>
      </w:r>
      <w:r>
        <w:t xml:space="preserve">Úroveň kapitálových výdavkov </w:t>
      </w:r>
      <w:r w:rsidRPr="001E2B3D">
        <w:t xml:space="preserve">v horizonte </w:t>
      </w:r>
      <w:r>
        <w:t xml:space="preserve">Programu stability rastie, nakoľko </w:t>
      </w:r>
      <w:r w:rsidRPr="001E2B3D">
        <w:t xml:space="preserve">zahŕňa </w:t>
      </w:r>
      <w:r>
        <w:t xml:space="preserve">aj </w:t>
      </w:r>
      <w:r w:rsidRPr="001E2B3D">
        <w:t>investície na modernizáciu obrany, ktoré zvýšia výdavky v roku dodania vojenskej techniky.</w:t>
      </w:r>
    </w:p>
    <w:tbl>
      <w:tblPr>
        <w:tblW w:w="929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4622"/>
        <w:gridCol w:w="236"/>
        <w:gridCol w:w="4438"/>
      </w:tblGrid>
      <w:tr w:rsidR="00841C05" w:rsidRPr="000032FE" w14:paraId="1D2E040F" w14:textId="77777777" w:rsidTr="00387AE5">
        <w:trPr>
          <w:trHeight w:val="283"/>
          <w:jc w:val="center"/>
        </w:trPr>
        <w:tc>
          <w:tcPr>
            <w:tcW w:w="4622" w:type="dxa"/>
            <w:tcBorders>
              <w:top w:val="nil"/>
              <w:left w:val="nil"/>
              <w:bottom w:val="single" w:sz="4" w:space="0" w:color="000000"/>
              <w:right w:val="nil"/>
            </w:tcBorders>
            <w:shd w:val="clear" w:color="auto" w:fill="auto"/>
            <w:vAlign w:val="center"/>
          </w:tcPr>
          <w:p w14:paraId="7CF17DA7" w14:textId="3286E016" w:rsidR="00841C05" w:rsidRPr="000032FE" w:rsidRDefault="000032FE" w:rsidP="000032FE">
            <w:pPr>
              <w:pStyle w:val="Nadpis3"/>
              <w:rPr>
                <w:rFonts w:eastAsiaTheme="minorHAnsi"/>
                <w:color w:val="2C9ADC"/>
                <w:lang w:eastAsia="en-US"/>
              </w:rPr>
            </w:pPr>
            <w:bookmarkStart w:id="225" w:name="_Toc463861280"/>
            <w:bookmarkStart w:id="226" w:name="_Toc463997381"/>
            <w:bookmarkStart w:id="227" w:name="_Toc6314275"/>
            <w:r w:rsidRPr="000032FE">
              <w:rPr>
                <w:rFonts w:eastAsiaTheme="minorHAnsi"/>
                <w:color w:val="2C9ADC"/>
                <w:lang w:eastAsia="en-US"/>
              </w:rPr>
              <w:t xml:space="preserve">GRAF </w:t>
            </w:r>
            <w:r w:rsidRPr="000032FE">
              <w:rPr>
                <w:rFonts w:eastAsiaTheme="minorHAnsi"/>
                <w:color w:val="2C9ADC"/>
                <w:lang w:eastAsia="en-US"/>
              </w:rPr>
              <w:fldChar w:fldCharType="begin"/>
            </w:r>
            <w:r w:rsidRPr="000032FE">
              <w:rPr>
                <w:rFonts w:eastAsiaTheme="minorHAnsi"/>
                <w:color w:val="2C9ADC"/>
                <w:lang w:eastAsia="en-US"/>
              </w:rPr>
              <w:instrText xml:space="preserve"> SEQ GRAF \* ARABIC </w:instrText>
            </w:r>
            <w:r w:rsidRPr="000032FE">
              <w:rPr>
                <w:rFonts w:eastAsiaTheme="minorHAnsi"/>
                <w:color w:val="2C9ADC"/>
                <w:lang w:eastAsia="en-US"/>
              </w:rPr>
              <w:fldChar w:fldCharType="separate"/>
            </w:r>
            <w:r w:rsidR="00D5739E">
              <w:rPr>
                <w:rFonts w:eastAsiaTheme="minorHAnsi"/>
                <w:noProof/>
                <w:color w:val="2C9ADC"/>
                <w:lang w:eastAsia="en-US"/>
              </w:rPr>
              <w:t>32</w:t>
            </w:r>
            <w:r w:rsidRPr="000032FE">
              <w:rPr>
                <w:rFonts w:eastAsiaTheme="minorHAnsi"/>
                <w:color w:val="2C9ADC"/>
                <w:lang w:eastAsia="en-US"/>
              </w:rPr>
              <w:fldChar w:fldCharType="end"/>
            </w:r>
            <w:r w:rsidR="00841C05" w:rsidRPr="000032FE">
              <w:rPr>
                <w:rFonts w:eastAsiaTheme="minorHAnsi"/>
                <w:color w:val="2C9ADC"/>
                <w:lang w:eastAsia="en-US"/>
              </w:rPr>
              <w:t xml:space="preserve"> - Vývoj výdavkov VS (% HDP)</w:t>
            </w:r>
            <w:bookmarkEnd w:id="225"/>
            <w:bookmarkEnd w:id="226"/>
            <w:bookmarkEnd w:id="227"/>
          </w:p>
        </w:tc>
        <w:tc>
          <w:tcPr>
            <w:tcW w:w="236" w:type="dxa"/>
            <w:tcBorders>
              <w:top w:val="nil"/>
              <w:left w:val="nil"/>
              <w:bottom w:val="nil"/>
              <w:right w:val="nil"/>
            </w:tcBorders>
            <w:shd w:val="clear" w:color="auto" w:fill="auto"/>
            <w:vAlign w:val="center"/>
          </w:tcPr>
          <w:p w14:paraId="576E794F" w14:textId="77777777" w:rsidR="00841C05" w:rsidRPr="000032FE" w:rsidRDefault="00841C05" w:rsidP="000032FE">
            <w:pPr>
              <w:pStyle w:val="Nadpis3"/>
              <w:rPr>
                <w:rFonts w:eastAsiaTheme="minorHAnsi"/>
                <w:color w:val="2C9ADC"/>
                <w:lang w:eastAsia="en-US"/>
              </w:rPr>
            </w:pPr>
          </w:p>
        </w:tc>
        <w:tc>
          <w:tcPr>
            <w:tcW w:w="4438" w:type="dxa"/>
            <w:tcBorders>
              <w:top w:val="nil"/>
              <w:left w:val="nil"/>
              <w:bottom w:val="single" w:sz="4" w:space="0" w:color="000000"/>
              <w:right w:val="nil"/>
            </w:tcBorders>
            <w:shd w:val="clear" w:color="auto" w:fill="auto"/>
            <w:vAlign w:val="center"/>
          </w:tcPr>
          <w:p w14:paraId="4430BF77" w14:textId="72E680E3" w:rsidR="00841C05" w:rsidRPr="000032FE" w:rsidRDefault="000032FE" w:rsidP="000032FE">
            <w:pPr>
              <w:pStyle w:val="Nadpis3"/>
              <w:rPr>
                <w:rFonts w:eastAsiaTheme="minorHAnsi"/>
                <w:color w:val="2C9ADC"/>
                <w:lang w:eastAsia="en-US"/>
              </w:rPr>
            </w:pPr>
            <w:bookmarkStart w:id="228" w:name="_Toc463861281"/>
            <w:bookmarkStart w:id="229" w:name="_Toc463997382"/>
            <w:bookmarkStart w:id="230" w:name="_Toc6314276"/>
            <w:r w:rsidRPr="000032FE">
              <w:rPr>
                <w:rFonts w:eastAsiaTheme="minorHAnsi"/>
                <w:color w:val="2C9ADC"/>
                <w:lang w:eastAsia="en-US"/>
              </w:rPr>
              <w:t xml:space="preserve">GRAF </w:t>
            </w:r>
            <w:r w:rsidRPr="000032FE">
              <w:rPr>
                <w:rFonts w:eastAsiaTheme="minorHAnsi"/>
                <w:color w:val="2C9ADC"/>
                <w:lang w:eastAsia="en-US"/>
              </w:rPr>
              <w:fldChar w:fldCharType="begin"/>
            </w:r>
            <w:r w:rsidRPr="000032FE">
              <w:rPr>
                <w:rFonts w:eastAsiaTheme="minorHAnsi"/>
                <w:color w:val="2C9ADC"/>
                <w:lang w:eastAsia="en-US"/>
              </w:rPr>
              <w:instrText xml:space="preserve"> SEQ GRAF \* ARABIC </w:instrText>
            </w:r>
            <w:r w:rsidRPr="000032FE">
              <w:rPr>
                <w:rFonts w:eastAsiaTheme="minorHAnsi"/>
                <w:color w:val="2C9ADC"/>
                <w:lang w:eastAsia="en-US"/>
              </w:rPr>
              <w:fldChar w:fldCharType="separate"/>
            </w:r>
            <w:r w:rsidR="00D5739E">
              <w:rPr>
                <w:rFonts w:eastAsiaTheme="minorHAnsi"/>
                <w:noProof/>
                <w:color w:val="2C9ADC"/>
                <w:lang w:eastAsia="en-US"/>
              </w:rPr>
              <w:t>33</w:t>
            </w:r>
            <w:r w:rsidRPr="000032FE">
              <w:rPr>
                <w:rFonts w:eastAsiaTheme="minorHAnsi"/>
                <w:color w:val="2C9ADC"/>
                <w:lang w:eastAsia="en-US"/>
              </w:rPr>
              <w:fldChar w:fldCharType="end"/>
            </w:r>
            <w:r w:rsidR="00841C05" w:rsidRPr="000032FE">
              <w:rPr>
                <w:rFonts w:eastAsiaTheme="minorHAnsi"/>
                <w:color w:val="2C9ADC"/>
                <w:lang w:eastAsia="en-US"/>
              </w:rPr>
              <w:t xml:space="preserve"> - Vývoj kapitálových výdavkov VS (% HDP)</w:t>
            </w:r>
            <w:bookmarkEnd w:id="228"/>
            <w:bookmarkEnd w:id="229"/>
            <w:r w:rsidR="00841C05" w:rsidRPr="000032FE">
              <w:rPr>
                <w:rFonts w:eastAsiaTheme="minorHAnsi"/>
                <w:color w:val="2C9ADC"/>
                <w:vertAlign w:val="superscript"/>
              </w:rPr>
              <w:footnoteReference w:id="60"/>
            </w:r>
            <w:bookmarkEnd w:id="230"/>
          </w:p>
        </w:tc>
      </w:tr>
      <w:tr w:rsidR="00841C05" w:rsidRPr="00F5278A" w14:paraId="1FF8FB65" w14:textId="77777777" w:rsidTr="004A7A9B">
        <w:trPr>
          <w:trHeight w:val="920"/>
          <w:jc w:val="center"/>
        </w:trPr>
        <w:tc>
          <w:tcPr>
            <w:tcW w:w="4622" w:type="dxa"/>
            <w:tcBorders>
              <w:top w:val="single" w:sz="4" w:space="0" w:color="000000"/>
              <w:left w:val="nil"/>
              <w:bottom w:val="single" w:sz="4" w:space="0" w:color="000000"/>
              <w:right w:val="nil"/>
            </w:tcBorders>
            <w:shd w:val="clear" w:color="auto" w:fill="auto"/>
            <w:vAlign w:val="center"/>
          </w:tcPr>
          <w:p w14:paraId="095E8666" w14:textId="71CB647D" w:rsidR="00841C05" w:rsidRPr="00217472" w:rsidRDefault="00E10190" w:rsidP="00387AE5">
            <w:pPr>
              <w:spacing w:before="40" w:after="40"/>
              <w:jc w:val="center"/>
            </w:pPr>
            <w:r>
              <w:rPr>
                <w:noProof/>
              </w:rPr>
              <w:drawing>
                <wp:inline distT="0" distB="0" distL="0" distR="0" wp14:anchorId="22DB08DF" wp14:editId="5ACBDD5C">
                  <wp:extent cx="2846070" cy="1707515"/>
                  <wp:effectExtent l="0" t="0" r="0" b="698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36" w:type="dxa"/>
            <w:tcBorders>
              <w:top w:val="nil"/>
              <w:left w:val="nil"/>
              <w:bottom w:val="nil"/>
              <w:right w:val="nil"/>
            </w:tcBorders>
            <w:shd w:val="clear" w:color="auto" w:fill="auto"/>
            <w:vAlign w:val="center"/>
          </w:tcPr>
          <w:p w14:paraId="0A56AD75" w14:textId="77777777" w:rsidR="00841C05" w:rsidRPr="00217472" w:rsidRDefault="00841C05" w:rsidP="00387AE5">
            <w:pPr>
              <w:spacing w:before="40" w:after="40"/>
              <w:jc w:val="center"/>
            </w:pPr>
          </w:p>
        </w:tc>
        <w:tc>
          <w:tcPr>
            <w:tcW w:w="4438" w:type="dxa"/>
            <w:tcBorders>
              <w:top w:val="single" w:sz="4" w:space="0" w:color="000000"/>
              <w:left w:val="nil"/>
              <w:bottom w:val="single" w:sz="4" w:space="0" w:color="000000"/>
              <w:right w:val="nil"/>
            </w:tcBorders>
            <w:shd w:val="clear" w:color="auto" w:fill="auto"/>
            <w:vAlign w:val="center"/>
          </w:tcPr>
          <w:p w14:paraId="3A491009" w14:textId="43F9CACE" w:rsidR="00841C05" w:rsidRPr="00217472" w:rsidRDefault="004A7A9B" w:rsidP="00387AE5">
            <w:pPr>
              <w:spacing w:before="40" w:after="40"/>
              <w:jc w:val="center"/>
            </w:pPr>
            <w:r>
              <w:rPr>
                <w:noProof/>
              </w:rPr>
              <w:drawing>
                <wp:inline distT="0" distB="0" distL="0" distR="0" wp14:anchorId="60E615CE" wp14:editId="6B9787BF">
                  <wp:extent cx="2680970" cy="1638300"/>
                  <wp:effectExtent l="0" t="0" r="508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41C05" w:rsidRPr="00F5278A" w14:paraId="51A9758D" w14:textId="77777777" w:rsidTr="00387AE5">
        <w:trPr>
          <w:trHeight w:val="260"/>
          <w:jc w:val="center"/>
        </w:trPr>
        <w:tc>
          <w:tcPr>
            <w:tcW w:w="4622" w:type="dxa"/>
            <w:tcBorders>
              <w:top w:val="single" w:sz="4" w:space="0" w:color="000000"/>
              <w:left w:val="nil"/>
              <w:bottom w:val="nil"/>
              <w:right w:val="nil"/>
            </w:tcBorders>
            <w:shd w:val="clear" w:color="auto" w:fill="auto"/>
          </w:tcPr>
          <w:p w14:paraId="2DD1082A" w14:textId="77777777" w:rsidR="00841C05" w:rsidRPr="00217472" w:rsidRDefault="00841C05" w:rsidP="00387AE5">
            <w:pPr>
              <w:spacing w:before="40"/>
            </w:pPr>
            <w:r w:rsidRPr="00217472">
              <w:rPr>
                <w:i/>
                <w:sz w:val="16"/>
                <w:szCs w:val="16"/>
              </w:rPr>
              <w:t xml:space="preserve"> E</w:t>
            </w:r>
            <w:r>
              <w:rPr>
                <w:i/>
                <w:sz w:val="16"/>
                <w:szCs w:val="16"/>
              </w:rPr>
              <w:t xml:space="preserve">urozóna </w:t>
            </w:r>
            <w:r w:rsidRPr="00217472">
              <w:rPr>
                <w:i/>
                <w:sz w:val="16"/>
                <w:szCs w:val="16"/>
              </w:rPr>
              <w:t xml:space="preserve">19 </w:t>
            </w:r>
            <w:r>
              <w:rPr>
                <w:i/>
                <w:sz w:val="16"/>
                <w:szCs w:val="16"/>
              </w:rPr>
              <w:t xml:space="preserve">= </w:t>
            </w:r>
            <w:r w:rsidRPr="00217472">
              <w:rPr>
                <w:i/>
                <w:sz w:val="16"/>
                <w:szCs w:val="16"/>
              </w:rPr>
              <w:t>priemer Eurozón</w:t>
            </w:r>
            <w:r>
              <w:rPr>
                <w:i/>
                <w:sz w:val="16"/>
                <w:szCs w:val="16"/>
              </w:rPr>
              <w:t>y</w:t>
            </w:r>
            <w:r w:rsidRPr="00217472">
              <w:rPr>
                <w:i/>
                <w:sz w:val="16"/>
                <w:szCs w:val="16"/>
              </w:rPr>
              <w:t xml:space="preserve">      </w:t>
            </w:r>
            <w:r>
              <w:rPr>
                <w:i/>
                <w:sz w:val="16"/>
                <w:szCs w:val="16"/>
              </w:rPr>
              <w:t xml:space="preserve"> </w:t>
            </w:r>
            <w:r w:rsidRPr="00217472">
              <w:rPr>
                <w:i/>
                <w:sz w:val="16"/>
                <w:szCs w:val="16"/>
              </w:rPr>
              <w:t xml:space="preserve">                       Zdroj: Eurostat, AMECO</w:t>
            </w:r>
          </w:p>
        </w:tc>
        <w:tc>
          <w:tcPr>
            <w:tcW w:w="236" w:type="dxa"/>
            <w:tcBorders>
              <w:top w:val="nil"/>
              <w:left w:val="nil"/>
              <w:bottom w:val="nil"/>
              <w:right w:val="nil"/>
            </w:tcBorders>
            <w:shd w:val="clear" w:color="auto" w:fill="auto"/>
          </w:tcPr>
          <w:p w14:paraId="47330F1F" w14:textId="77777777" w:rsidR="00841C05" w:rsidRPr="00217472" w:rsidRDefault="00841C05" w:rsidP="00387AE5">
            <w:pPr>
              <w:spacing w:before="40"/>
              <w:jc w:val="center"/>
            </w:pPr>
          </w:p>
        </w:tc>
        <w:tc>
          <w:tcPr>
            <w:tcW w:w="4438" w:type="dxa"/>
            <w:tcBorders>
              <w:top w:val="single" w:sz="4" w:space="0" w:color="000000"/>
              <w:left w:val="nil"/>
              <w:bottom w:val="nil"/>
              <w:right w:val="nil"/>
            </w:tcBorders>
            <w:shd w:val="clear" w:color="auto" w:fill="auto"/>
          </w:tcPr>
          <w:p w14:paraId="0CD7E644" w14:textId="77777777" w:rsidR="00841C05" w:rsidRPr="00217472" w:rsidRDefault="00841C05" w:rsidP="00387AE5">
            <w:pPr>
              <w:spacing w:before="40"/>
            </w:pPr>
            <w:r w:rsidRPr="00217472">
              <w:rPr>
                <w:i/>
                <w:sz w:val="16"/>
                <w:szCs w:val="16"/>
              </w:rPr>
              <w:t>E</w:t>
            </w:r>
            <w:r>
              <w:rPr>
                <w:i/>
                <w:sz w:val="16"/>
                <w:szCs w:val="16"/>
              </w:rPr>
              <w:t xml:space="preserve">urozóna </w:t>
            </w:r>
            <w:r w:rsidRPr="00217472">
              <w:rPr>
                <w:i/>
                <w:sz w:val="16"/>
                <w:szCs w:val="16"/>
              </w:rPr>
              <w:t xml:space="preserve">19 </w:t>
            </w:r>
            <w:r>
              <w:rPr>
                <w:i/>
                <w:sz w:val="16"/>
                <w:szCs w:val="16"/>
              </w:rPr>
              <w:t xml:space="preserve">= </w:t>
            </w:r>
            <w:r w:rsidRPr="00217472">
              <w:rPr>
                <w:i/>
                <w:sz w:val="16"/>
                <w:szCs w:val="16"/>
              </w:rPr>
              <w:t>priemer Eurozón</w:t>
            </w:r>
            <w:r>
              <w:rPr>
                <w:i/>
                <w:sz w:val="16"/>
                <w:szCs w:val="16"/>
              </w:rPr>
              <w:t>y</w:t>
            </w:r>
            <w:r w:rsidRPr="00217472">
              <w:rPr>
                <w:i/>
                <w:sz w:val="16"/>
                <w:szCs w:val="16"/>
              </w:rPr>
              <w:t xml:space="preserve">      </w:t>
            </w:r>
            <w:r>
              <w:rPr>
                <w:i/>
                <w:sz w:val="16"/>
                <w:szCs w:val="16"/>
              </w:rPr>
              <w:t xml:space="preserve"> </w:t>
            </w:r>
            <w:r w:rsidRPr="00217472">
              <w:rPr>
                <w:i/>
                <w:sz w:val="16"/>
                <w:szCs w:val="16"/>
              </w:rPr>
              <w:t xml:space="preserve">                   Zdroj: Eurostat, AMECO</w:t>
            </w:r>
          </w:p>
        </w:tc>
      </w:tr>
    </w:tbl>
    <w:p w14:paraId="6D0F7A90" w14:textId="77777777" w:rsidR="00841C05" w:rsidRPr="0074228D" w:rsidRDefault="00841C05" w:rsidP="00152128">
      <w:pPr>
        <w:pStyle w:val="NormalList"/>
        <w:spacing w:before="240" w:after="120"/>
        <w:rPr>
          <w:b/>
          <w:color w:val="2C9ADC" w:themeColor="accent1"/>
        </w:rPr>
      </w:pPr>
      <w:r w:rsidRPr="0074228D">
        <w:rPr>
          <w:b/>
          <w:color w:val="2C9ADC" w:themeColor="accent1"/>
        </w:rPr>
        <w:t>Výdavkové ciele rozpočtu VS podľa ich funkcie</w:t>
      </w:r>
      <w:r w:rsidRPr="0074228D">
        <w:rPr>
          <w:b/>
          <w:color w:val="2C9ADC" w:themeColor="accent1"/>
          <w:vertAlign w:val="superscript"/>
        </w:rPr>
        <w:footnoteReference w:id="61"/>
      </w:r>
    </w:p>
    <w:p w14:paraId="05DDC613" w14:textId="1D4CC2FA" w:rsidR="00841C05" w:rsidRPr="00F5278A" w:rsidRDefault="00841C05" w:rsidP="00841C05">
      <w:pPr>
        <w:spacing w:after="240"/>
        <w:jc w:val="both"/>
        <w:rPr>
          <w:highlight w:val="yellow"/>
        </w:rPr>
      </w:pPr>
      <w:r w:rsidRPr="008D4FD7">
        <w:rPr>
          <w:b/>
        </w:rPr>
        <w:t>Medzinárodné porovnanie štruktúry výdavkov podľa ich funkcie</w:t>
      </w:r>
      <w:r w:rsidRPr="008D4FD7">
        <w:rPr>
          <w:rStyle w:val="Odkaznapoznmkupodiarou"/>
          <w:b/>
        </w:rPr>
        <w:footnoteReference w:id="62"/>
      </w:r>
      <w:r w:rsidRPr="008D4FD7">
        <w:rPr>
          <w:b/>
        </w:rPr>
        <w:t xml:space="preserve"> voči </w:t>
      </w:r>
      <w:r>
        <w:rPr>
          <w:b/>
        </w:rPr>
        <w:t xml:space="preserve">okolitým </w:t>
      </w:r>
      <w:r w:rsidRPr="008D4FD7">
        <w:rPr>
          <w:b/>
        </w:rPr>
        <w:t xml:space="preserve">krajinám </w:t>
      </w:r>
      <w:r>
        <w:rPr>
          <w:b/>
        </w:rPr>
        <w:t xml:space="preserve">V3 </w:t>
      </w:r>
      <w:r w:rsidRPr="008D4FD7">
        <w:rPr>
          <w:b/>
        </w:rPr>
        <w:t>ukazuje, že Slovensko dáva nižší podiel výdavkov na vzdelávanie, rekreáciu, kultúru a náboženstvo a ekonomickú oblasť.</w:t>
      </w:r>
      <w:r w:rsidRPr="008D4FD7">
        <w:t xml:space="preserve"> Podiel výdavkov na HDP je v porovnaní s priemerom krajín V</w:t>
      </w:r>
      <w:r>
        <w:t>3</w:t>
      </w:r>
      <w:r w:rsidR="0085303B">
        <w:t xml:space="preserve"> vyšší</w:t>
      </w:r>
      <w:r w:rsidRPr="008D4FD7">
        <w:t xml:space="preserve"> v sociálnom zabezpečení. V porovnaní s priemerom eurozóny je </w:t>
      </w:r>
      <w:r>
        <w:t>podiel</w:t>
      </w:r>
      <w:r w:rsidRPr="008D4FD7">
        <w:t xml:space="preserve"> výdavkov na sociálne zabezpečenie </w:t>
      </w:r>
      <w:r>
        <w:t>nižší</w:t>
      </w:r>
      <w:r w:rsidRPr="008D4FD7">
        <w:t>. Dôvodom sú relatívne nižšie výdavky na dlhodobú starostlivosť a iné sociálne služby</w:t>
      </w:r>
      <w:r w:rsidRPr="008D4FD7">
        <w:rPr>
          <w:rStyle w:val="Odkaznapoznmkupodiarou"/>
        </w:rPr>
        <w:footnoteReference w:id="63"/>
      </w:r>
      <w:r w:rsidRPr="008D4FD7">
        <w:t xml:space="preserve"> a rovnako aj podporu a aktiváciu </w:t>
      </w:r>
      <w:r w:rsidRPr="008D4FD7">
        <w:lastRenderedPageBreak/>
        <w:t xml:space="preserve">v nezamestnanosti. </w:t>
      </w:r>
      <w:r w:rsidRPr="00B95155">
        <w:t>Naopak, v porovnaní s priemerom eurozóny vynakladá Slovensko vyšší podiel výdavkov na verejný poriadok a bezpečnosť.</w:t>
      </w:r>
    </w:p>
    <w:p w14:paraId="28047FC6" w14:textId="17C5F222" w:rsidR="00841C05" w:rsidRPr="00F5278A" w:rsidRDefault="00841C05" w:rsidP="00841C05">
      <w:pPr>
        <w:spacing w:before="240" w:after="240"/>
        <w:jc w:val="both"/>
        <w:rPr>
          <w:highlight w:val="yellow"/>
        </w:rPr>
      </w:pPr>
      <w:r w:rsidRPr="00443883">
        <w:rPr>
          <w:b/>
        </w:rPr>
        <w:t>Na horizonte strednodobého rozpočtového rámca podiel celkových výdavkov klesne pod 40 % HDP. V rámci ich štruktúry stúpnu vďaka prioritizáci</w:t>
      </w:r>
      <w:r w:rsidR="00007C33">
        <w:rPr>
          <w:b/>
        </w:rPr>
        <w:t xml:space="preserve">i </w:t>
      </w:r>
      <w:r w:rsidRPr="00443883">
        <w:rPr>
          <w:b/>
        </w:rPr>
        <w:t>najmä výdavky na vzdelávanie</w:t>
      </w:r>
      <w:r>
        <w:rPr>
          <w:b/>
        </w:rPr>
        <w:t xml:space="preserve">, </w:t>
      </w:r>
      <w:r w:rsidRPr="009C6E58">
        <w:t>ktoré</w:t>
      </w:r>
      <w:r>
        <w:rPr>
          <w:b/>
        </w:rPr>
        <w:t xml:space="preserve"> </w:t>
      </w:r>
      <w:r w:rsidRPr="00443883">
        <w:t>sa dostanú nad</w:t>
      </w:r>
      <w:r>
        <w:t xml:space="preserve"> úroveň 4 </w:t>
      </w:r>
      <w:r w:rsidRPr="00443883">
        <w:t>% HDP. Dodatočné výdavky predpokladá fiškálny rámec najmä na modernizáciu obrany vyplýva</w:t>
      </w:r>
      <w:r>
        <w:t xml:space="preserve">júce z medzinárodných záväzkov. </w:t>
      </w:r>
      <w:r w:rsidRPr="00443883">
        <w:t>Výdavky na obranu podľa klasifikácie COFOG prekonajú priemernú úroveň v ostatných krajinách V4 ako aj priemer eurozóny. Podiel zvyšných položiek bude v pomere k HDP klesať</w:t>
      </w:r>
      <w:r>
        <w:t xml:space="preserve"> alebo stagnovať</w:t>
      </w:r>
      <w:r w:rsidRPr="00443883">
        <w:t>, čo je zapríčinené najmä silným očakávaným rastom HDP</w:t>
      </w:r>
      <w:r>
        <w:t xml:space="preserve"> a pomalým čerpaním EÚ prostriedkov</w:t>
      </w:r>
      <w:r w:rsidRPr="00443883">
        <w:t xml:space="preserve">. </w:t>
      </w:r>
    </w:p>
    <w:tbl>
      <w:tblPr>
        <w:tblW w:w="9126" w:type="dxa"/>
        <w:jc w:val="center"/>
        <w:tblCellMar>
          <w:left w:w="70" w:type="dxa"/>
          <w:right w:w="70" w:type="dxa"/>
        </w:tblCellMar>
        <w:tblLook w:val="04A0" w:firstRow="1" w:lastRow="0" w:firstColumn="1" w:lastColumn="0" w:noHBand="0" w:noVBand="1"/>
      </w:tblPr>
      <w:tblGrid>
        <w:gridCol w:w="2554"/>
        <w:gridCol w:w="682"/>
        <w:gridCol w:w="1468"/>
        <w:gridCol w:w="1468"/>
        <w:gridCol w:w="1468"/>
        <w:gridCol w:w="1467"/>
        <w:gridCol w:w="19"/>
      </w:tblGrid>
      <w:tr w:rsidR="00841C05" w:rsidRPr="006D2898" w14:paraId="46DF0829" w14:textId="77777777" w:rsidTr="00387AE5">
        <w:trPr>
          <w:gridAfter w:val="1"/>
          <w:wAfter w:w="22" w:type="dxa"/>
          <w:trHeight w:val="20"/>
          <w:jc w:val="center"/>
        </w:trPr>
        <w:tc>
          <w:tcPr>
            <w:tcW w:w="9104" w:type="dxa"/>
            <w:gridSpan w:val="6"/>
            <w:tcBorders>
              <w:top w:val="nil"/>
              <w:left w:val="nil"/>
              <w:bottom w:val="single" w:sz="8" w:space="0" w:color="auto"/>
              <w:right w:val="nil"/>
            </w:tcBorders>
            <w:shd w:val="clear" w:color="auto" w:fill="auto"/>
            <w:noWrap/>
            <w:vAlign w:val="center"/>
            <w:hideMark/>
          </w:tcPr>
          <w:p w14:paraId="4FA6A399" w14:textId="7037DF23" w:rsidR="00841C05" w:rsidRPr="006D2898" w:rsidRDefault="00841C05" w:rsidP="00387AE5">
            <w:pPr>
              <w:rPr>
                <w:rFonts w:cs="Times New Roman"/>
                <w:b/>
                <w:color w:val="2C9ADC" w:themeColor="accent1"/>
                <w:sz w:val="20"/>
                <w:szCs w:val="18"/>
              </w:rPr>
            </w:pPr>
            <w:bookmarkStart w:id="231" w:name="_Toc6314216"/>
            <w:r w:rsidRPr="006D2898">
              <w:rPr>
                <w:rFonts w:eastAsiaTheme="minorHAnsi"/>
                <w:b/>
                <w:color w:val="2C9ADC"/>
                <w:lang w:eastAsia="en-US"/>
              </w:rPr>
              <w:t xml:space="preserve">TABUĽKA </w:t>
            </w:r>
            <w:r w:rsidRPr="006D2898">
              <w:rPr>
                <w:rFonts w:eastAsiaTheme="minorHAnsi"/>
                <w:b/>
                <w:color w:val="2C9ADC"/>
                <w:lang w:eastAsia="en-US"/>
              </w:rPr>
              <w:fldChar w:fldCharType="begin"/>
            </w:r>
            <w:r w:rsidRPr="006D2898">
              <w:rPr>
                <w:rFonts w:eastAsiaTheme="minorHAnsi"/>
                <w:b/>
                <w:color w:val="2C9ADC"/>
                <w:lang w:eastAsia="en-US"/>
              </w:rPr>
              <w:instrText xml:space="preserve"> SEQ TABUĽKA \* ARABIC </w:instrText>
            </w:r>
            <w:r w:rsidRPr="006D2898">
              <w:rPr>
                <w:rFonts w:eastAsiaTheme="minorHAnsi"/>
                <w:b/>
                <w:color w:val="2C9ADC"/>
                <w:lang w:eastAsia="en-US"/>
              </w:rPr>
              <w:fldChar w:fldCharType="separate"/>
            </w:r>
            <w:r w:rsidR="00D5739E">
              <w:rPr>
                <w:rFonts w:eastAsiaTheme="minorHAnsi"/>
                <w:b/>
                <w:noProof/>
                <w:color w:val="2C9ADC"/>
                <w:lang w:eastAsia="en-US"/>
              </w:rPr>
              <w:t>17</w:t>
            </w:r>
            <w:r w:rsidRPr="006D2898">
              <w:rPr>
                <w:rFonts w:eastAsiaTheme="minorHAnsi"/>
                <w:b/>
                <w:color w:val="2C9ADC"/>
                <w:lang w:eastAsia="en-US"/>
              </w:rPr>
              <w:fldChar w:fldCharType="end"/>
            </w:r>
            <w:r w:rsidRPr="006D2898">
              <w:rPr>
                <w:rFonts w:cs="Arial"/>
                <w:b/>
                <w:color w:val="2C9ADC"/>
                <w:sz w:val="20"/>
                <w:szCs w:val="20"/>
              </w:rPr>
              <w:t xml:space="preserve"> - </w:t>
            </w:r>
            <w:r w:rsidRPr="006D2898">
              <w:rPr>
                <w:rFonts w:cs="Times New Roman"/>
                <w:b/>
                <w:color w:val="2C9ADC" w:themeColor="accent1"/>
                <w:sz w:val="20"/>
                <w:szCs w:val="18"/>
              </w:rPr>
              <w:t>Výdavky verejnej správy podľa klasifikácie COFOG</w:t>
            </w:r>
            <w:bookmarkEnd w:id="231"/>
          </w:p>
        </w:tc>
      </w:tr>
      <w:tr w:rsidR="00841C05" w:rsidRPr="00F5278A" w14:paraId="5612DAF8" w14:textId="77777777" w:rsidTr="00387AE5">
        <w:trPr>
          <w:gridAfter w:val="1"/>
          <w:wAfter w:w="25" w:type="dxa"/>
          <w:trHeight w:val="227"/>
          <w:jc w:val="center"/>
        </w:trPr>
        <w:tc>
          <w:tcPr>
            <w:tcW w:w="2554" w:type="dxa"/>
            <w:vMerge w:val="restart"/>
            <w:tcBorders>
              <w:top w:val="nil"/>
              <w:left w:val="nil"/>
              <w:right w:val="nil"/>
            </w:tcBorders>
            <w:shd w:val="clear" w:color="auto" w:fill="auto"/>
            <w:noWrap/>
            <w:vAlign w:val="center"/>
          </w:tcPr>
          <w:p w14:paraId="7548F617" w14:textId="77777777" w:rsidR="00841C05" w:rsidRPr="000D52BA" w:rsidRDefault="00841C05" w:rsidP="00387AE5">
            <w:pPr>
              <w:rPr>
                <w:rFonts w:cs="Times New Roman"/>
                <w:b/>
                <w:bCs/>
                <w:color w:val="000000"/>
                <w:sz w:val="18"/>
                <w:szCs w:val="18"/>
              </w:rPr>
            </w:pPr>
            <w:r>
              <w:rPr>
                <w:b/>
                <w:bCs/>
                <w:color w:val="000000"/>
                <w:sz w:val="18"/>
                <w:szCs w:val="18"/>
              </w:rPr>
              <w:t>Funkcie</w:t>
            </w:r>
            <w:r>
              <w:rPr>
                <w:color w:val="000000"/>
                <w:sz w:val="18"/>
                <w:szCs w:val="18"/>
              </w:rPr>
              <w:t> </w:t>
            </w:r>
          </w:p>
        </w:tc>
        <w:tc>
          <w:tcPr>
            <w:tcW w:w="679" w:type="dxa"/>
            <w:vMerge w:val="restart"/>
            <w:tcBorders>
              <w:top w:val="nil"/>
              <w:left w:val="nil"/>
              <w:right w:val="single" w:sz="4" w:space="0" w:color="auto"/>
            </w:tcBorders>
            <w:shd w:val="clear" w:color="auto" w:fill="auto"/>
            <w:vAlign w:val="center"/>
          </w:tcPr>
          <w:p w14:paraId="0B15D176" w14:textId="77777777" w:rsidR="00841C05" w:rsidRPr="000D52BA" w:rsidRDefault="00841C05" w:rsidP="00387AE5">
            <w:pPr>
              <w:jc w:val="center"/>
              <w:rPr>
                <w:rFonts w:cs="Times New Roman"/>
                <w:b/>
                <w:bCs/>
                <w:color w:val="000000"/>
                <w:sz w:val="18"/>
                <w:szCs w:val="18"/>
              </w:rPr>
            </w:pPr>
            <w:r>
              <w:rPr>
                <w:b/>
                <w:bCs/>
                <w:color w:val="000000"/>
                <w:sz w:val="18"/>
                <w:szCs w:val="18"/>
              </w:rPr>
              <w:t xml:space="preserve">COFOG </w:t>
            </w:r>
          </w:p>
          <w:p w14:paraId="5F114E24" w14:textId="77777777" w:rsidR="00841C05" w:rsidRPr="000D52BA" w:rsidRDefault="00841C05" w:rsidP="00387AE5">
            <w:pPr>
              <w:jc w:val="center"/>
              <w:rPr>
                <w:rFonts w:cs="Times New Roman"/>
                <w:b/>
                <w:bCs/>
                <w:color w:val="000000"/>
                <w:sz w:val="18"/>
                <w:szCs w:val="18"/>
              </w:rPr>
            </w:pPr>
            <w:r>
              <w:rPr>
                <w:b/>
                <w:bCs/>
                <w:color w:val="000000"/>
                <w:sz w:val="18"/>
                <w:szCs w:val="18"/>
              </w:rPr>
              <w:t>kód</w:t>
            </w:r>
            <w:r>
              <w:rPr>
                <w:color w:val="000000"/>
                <w:sz w:val="18"/>
                <w:szCs w:val="18"/>
              </w:rPr>
              <w:t> </w:t>
            </w:r>
          </w:p>
        </w:tc>
        <w:tc>
          <w:tcPr>
            <w:tcW w:w="1468" w:type="dxa"/>
            <w:tcBorders>
              <w:top w:val="single" w:sz="8" w:space="0" w:color="auto"/>
              <w:left w:val="single" w:sz="4" w:space="0" w:color="auto"/>
              <w:bottom w:val="single" w:sz="8" w:space="0" w:color="auto"/>
              <w:right w:val="nil"/>
            </w:tcBorders>
            <w:shd w:val="clear" w:color="auto" w:fill="auto"/>
            <w:noWrap/>
            <w:vAlign w:val="center"/>
          </w:tcPr>
          <w:p w14:paraId="35EFB6B6" w14:textId="77777777" w:rsidR="00841C05" w:rsidRPr="000D52BA" w:rsidRDefault="00841C05" w:rsidP="00387AE5">
            <w:pPr>
              <w:jc w:val="center"/>
              <w:rPr>
                <w:rFonts w:cs="Times New Roman"/>
                <w:b/>
                <w:bCs/>
                <w:color w:val="000000"/>
                <w:sz w:val="18"/>
                <w:szCs w:val="18"/>
              </w:rPr>
            </w:pPr>
            <w:r>
              <w:rPr>
                <w:b/>
                <w:bCs/>
                <w:color w:val="000000"/>
                <w:sz w:val="18"/>
                <w:szCs w:val="18"/>
              </w:rPr>
              <w:t>SK (S 2017)</w:t>
            </w:r>
          </w:p>
        </w:tc>
        <w:tc>
          <w:tcPr>
            <w:tcW w:w="1468" w:type="dxa"/>
            <w:tcBorders>
              <w:top w:val="single" w:sz="8" w:space="0" w:color="auto"/>
              <w:left w:val="nil"/>
              <w:bottom w:val="single" w:sz="8" w:space="0" w:color="000000"/>
              <w:right w:val="single" w:sz="4" w:space="0" w:color="auto"/>
            </w:tcBorders>
            <w:shd w:val="clear" w:color="auto" w:fill="auto"/>
            <w:noWrap/>
            <w:vAlign w:val="center"/>
          </w:tcPr>
          <w:p w14:paraId="484132B7" w14:textId="77777777" w:rsidR="00841C05" w:rsidRPr="000D52BA" w:rsidRDefault="00841C05" w:rsidP="00387AE5">
            <w:pPr>
              <w:jc w:val="center"/>
              <w:rPr>
                <w:rFonts w:cs="Times New Roman"/>
                <w:b/>
                <w:bCs/>
                <w:color w:val="000000"/>
                <w:sz w:val="18"/>
                <w:szCs w:val="18"/>
              </w:rPr>
            </w:pPr>
            <w:r>
              <w:rPr>
                <w:b/>
                <w:bCs/>
                <w:color w:val="000000"/>
                <w:sz w:val="18"/>
                <w:szCs w:val="18"/>
              </w:rPr>
              <w:t>SK (PS 2022)</w:t>
            </w:r>
          </w:p>
        </w:tc>
        <w:tc>
          <w:tcPr>
            <w:tcW w:w="1468"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8438514" w14:textId="77777777" w:rsidR="00841C05" w:rsidRPr="000D52BA" w:rsidRDefault="00841C05" w:rsidP="00387AE5">
            <w:pPr>
              <w:jc w:val="center"/>
              <w:rPr>
                <w:rFonts w:cs="Times New Roman"/>
                <w:b/>
                <w:bCs/>
                <w:color w:val="000000"/>
                <w:sz w:val="18"/>
                <w:szCs w:val="18"/>
              </w:rPr>
            </w:pPr>
            <w:r>
              <w:rPr>
                <w:b/>
                <w:bCs/>
                <w:color w:val="000000"/>
                <w:sz w:val="18"/>
                <w:szCs w:val="18"/>
              </w:rPr>
              <w:t>V3 (S 2017)</w:t>
            </w:r>
          </w:p>
        </w:tc>
        <w:tc>
          <w:tcPr>
            <w:tcW w:w="1464" w:type="dxa"/>
            <w:tcBorders>
              <w:top w:val="single" w:sz="8" w:space="0" w:color="auto"/>
              <w:left w:val="single" w:sz="4" w:space="0" w:color="auto"/>
              <w:bottom w:val="single" w:sz="8" w:space="0" w:color="auto"/>
              <w:right w:val="nil"/>
            </w:tcBorders>
            <w:vAlign w:val="center"/>
          </w:tcPr>
          <w:p w14:paraId="215507A4" w14:textId="77777777" w:rsidR="00841C05" w:rsidRPr="000D52BA" w:rsidRDefault="00841C05" w:rsidP="00387AE5">
            <w:pPr>
              <w:jc w:val="center"/>
              <w:rPr>
                <w:rFonts w:cs="Times New Roman"/>
                <w:b/>
                <w:bCs/>
                <w:color w:val="000000"/>
                <w:sz w:val="18"/>
                <w:szCs w:val="18"/>
              </w:rPr>
            </w:pPr>
            <w:r>
              <w:rPr>
                <w:b/>
                <w:bCs/>
                <w:color w:val="000000"/>
                <w:sz w:val="18"/>
                <w:szCs w:val="18"/>
              </w:rPr>
              <w:t>EA 19 (S 2017)</w:t>
            </w:r>
          </w:p>
        </w:tc>
      </w:tr>
      <w:tr w:rsidR="00841C05" w:rsidRPr="00F5278A" w14:paraId="61971C67" w14:textId="77777777" w:rsidTr="00387AE5">
        <w:trPr>
          <w:gridAfter w:val="1"/>
          <w:wAfter w:w="25" w:type="dxa"/>
          <w:trHeight w:val="227"/>
          <w:jc w:val="center"/>
        </w:trPr>
        <w:tc>
          <w:tcPr>
            <w:tcW w:w="2554" w:type="dxa"/>
            <w:vMerge/>
            <w:tcBorders>
              <w:left w:val="nil"/>
              <w:bottom w:val="single" w:sz="8" w:space="0" w:color="auto"/>
              <w:right w:val="nil"/>
            </w:tcBorders>
            <w:shd w:val="clear" w:color="auto" w:fill="auto"/>
            <w:noWrap/>
            <w:vAlign w:val="center"/>
          </w:tcPr>
          <w:p w14:paraId="2C67455F" w14:textId="77777777" w:rsidR="00841C05" w:rsidRPr="000D52BA" w:rsidRDefault="00841C05" w:rsidP="00387AE5">
            <w:pPr>
              <w:jc w:val="center"/>
              <w:rPr>
                <w:rFonts w:cs="Times New Roman"/>
                <w:color w:val="000000"/>
                <w:sz w:val="18"/>
                <w:szCs w:val="18"/>
              </w:rPr>
            </w:pPr>
          </w:p>
        </w:tc>
        <w:tc>
          <w:tcPr>
            <w:tcW w:w="679" w:type="dxa"/>
            <w:vMerge/>
            <w:tcBorders>
              <w:left w:val="nil"/>
              <w:bottom w:val="single" w:sz="8" w:space="0" w:color="auto"/>
              <w:right w:val="single" w:sz="4" w:space="0" w:color="auto"/>
            </w:tcBorders>
            <w:shd w:val="clear" w:color="auto" w:fill="auto"/>
            <w:vAlign w:val="center"/>
          </w:tcPr>
          <w:p w14:paraId="10DD08DC" w14:textId="77777777" w:rsidR="00841C05" w:rsidRPr="000D52BA" w:rsidRDefault="00841C05" w:rsidP="00387AE5">
            <w:pPr>
              <w:jc w:val="center"/>
              <w:rPr>
                <w:rFonts w:cs="Times New Roman"/>
                <w:color w:val="000000"/>
                <w:sz w:val="18"/>
                <w:szCs w:val="18"/>
              </w:rPr>
            </w:pPr>
          </w:p>
        </w:tc>
        <w:tc>
          <w:tcPr>
            <w:tcW w:w="1468" w:type="dxa"/>
            <w:tcBorders>
              <w:top w:val="nil"/>
              <w:left w:val="single" w:sz="4" w:space="0" w:color="auto"/>
              <w:bottom w:val="single" w:sz="8" w:space="0" w:color="auto"/>
              <w:right w:val="nil"/>
            </w:tcBorders>
            <w:shd w:val="clear" w:color="auto" w:fill="auto"/>
            <w:noWrap/>
            <w:vAlign w:val="center"/>
          </w:tcPr>
          <w:p w14:paraId="0AA98E02" w14:textId="77777777" w:rsidR="00841C05" w:rsidRPr="000D52BA" w:rsidRDefault="00841C05" w:rsidP="00387AE5">
            <w:pPr>
              <w:jc w:val="center"/>
              <w:rPr>
                <w:rFonts w:cs="Times New Roman"/>
                <w:b/>
                <w:color w:val="000000"/>
                <w:sz w:val="18"/>
                <w:szCs w:val="18"/>
              </w:rPr>
            </w:pPr>
            <w:r>
              <w:rPr>
                <w:b/>
                <w:bCs/>
                <w:color w:val="000000"/>
                <w:sz w:val="18"/>
                <w:szCs w:val="18"/>
              </w:rPr>
              <w:t>% HDP</w:t>
            </w:r>
          </w:p>
        </w:tc>
        <w:tc>
          <w:tcPr>
            <w:tcW w:w="1468" w:type="dxa"/>
            <w:tcBorders>
              <w:top w:val="nil"/>
              <w:left w:val="nil"/>
              <w:bottom w:val="single" w:sz="8" w:space="0" w:color="auto"/>
              <w:right w:val="single" w:sz="4" w:space="0" w:color="auto"/>
            </w:tcBorders>
            <w:shd w:val="clear" w:color="auto" w:fill="auto"/>
            <w:noWrap/>
            <w:vAlign w:val="center"/>
          </w:tcPr>
          <w:p w14:paraId="25B98B0A" w14:textId="77777777" w:rsidR="00841C05" w:rsidRPr="000D52BA" w:rsidRDefault="00841C05" w:rsidP="00387AE5">
            <w:pPr>
              <w:jc w:val="center"/>
              <w:rPr>
                <w:rFonts w:cs="Times New Roman"/>
                <w:b/>
                <w:color w:val="000000"/>
                <w:sz w:val="18"/>
                <w:szCs w:val="18"/>
              </w:rPr>
            </w:pPr>
            <w:r>
              <w:rPr>
                <w:b/>
                <w:bCs/>
                <w:color w:val="000000"/>
                <w:sz w:val="18"/>
                <w:szCs w:val="18"/>
              </w:rPr>
              <w:t>% HDP</w:t>
            </w:r>
          </w:p>
        </w:tc>
        <w:tc>
          <w:tcPr>
            <w:tcW w:w="1468" w:type="dxa"/>
            <w:tcBorders>
              <w:top w:val="nil"/>
              <w:left w:val="single" w:sz="4" w:space="0" w:color="auto"/>
              <w:bottom w:val="single" w:sz="8" w:space="0" w:color="auto"/>
              <w:right w:val="single" w:sz="4" w:space="0" w:color="auto"/>
            </w:tcBorders>
            <w:shd w:val="clear" w:color="auto" w:fill="auto"/>
            <w:noWrap/>
            <w:vAlign w:val="center"/>
          </w:tcPr>
          <w:p w14:paraId="5A17CDD5" w14:textId="77777777" w:rsidR="00841C05" w:rsidRPr="000D52BA" w:rsidRDefault="00841C05" w:rsidP="00387AE5">
            <w:pPr>
              <w:jc w:val="center"/>
              <w:rPr>
                <w:rFonts w:cs="Times New Roman"/>
                <w:b/>
                <w:color w:val="000000"/>
                <w:sz w:val="18"/>
                <w:szCs w:val="18"/>
              </w:rPr>
            </w:pPr>
            <w:r>
              <w:rPr>
                <w:b/>
                <w:bCs/>
                <w:color w:val="000000"/>
                <w:sz w:val="18"/>
                <w:szCs w:val="18"/>
              </w:rPr>
              <w:t>% HDP</w:t>
            </w:r>
          </w:p>
        </w:tc>
        <w:tc>
          <w:tcPr>
            <w:tcW w:w="1464" w:type="dxa"/>
            <w:tcBorders>
              <w:top w:val="nil"/>
              <w:left w:val="single" w:sz="4" w:space="0" w:color="auto"/>
              <w:bottom w:val="single" w:sz="8" w:space="0" w:color="auto"/>
              <w:right w:val="nil"/>
            </w:tcBorders>
            <w:vAlign w:val="center"/>
          </w:tcPr>
          <w:p w14:paraId="5E403DFE" w14:textId="77777777" w:rsidR="00841C05" w:rsidRPr="000D52BA" w:rsidRDefault="00841C05" w:rsidP="00387AE5">
            <w:pPr>
              <w:jc w:val="center"/>
              <w:rPr>
                <w:rFonts w:cs="Times New Roman"/>
                <w:b/>
                <w:color w:val="000000"/>
                <w:sz w:val="18"/>
                <w:szCs w:val="18"/>
              </w:rPr>
            </w:pPr>
            <w:r>
              <w:rPr>
                <w:b/>
                <w:bCs/>
                <w:color w:val="000000"/>
                <w:sz w:val="18"/>
                <w:szCs w:val="18"/>
              </w:rPr>
              <w:t>% HDP</w:t>
            </w:r>
          </w:p>
        </w:tc>
      </w:tr>
      <w:tr w:rsidR="00841C05" w:rsidRPr="00F5278A" w14:paraId="0FF62B7F"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7D29812B" w14:textId="77777777" w:rsidR="00841C05" w:rsidRPr="000D52BA" w:rsidRDefault="00841C05" w:rsidP="00387AE5">
            <w:pPr>
              <w:rPr>
                <w:rFonts w:cs="Times New Roman"/>
                <w:color w:val="000000"/>
                <w:sz w:val="18"/>
                <w:szCs w:val="18"/>
              </w:rPr>
            </w:pPr>
            <w:r>
              <w:rPr>
                <w:color w:val="000000"/>
                <w:sz w:val="18"/>
                <w:szCs w:val="18"/>
              </w:rPr>
              <w:t>1, Všeobecné verejné služby</w:t>
            </w:r>
          </w:p>
        </w:tc>
        <w:tc>
          <w:tcPr>
            <w:tcW w:w="679" w:type="dxa"/>
            <w:tcBorders>
              <w:top w:val="nil"/>
              <w:left w:val="nil"/>
              <w:bottom w:val="nil"/>
              <w:right w:val="single" w:sz="4" w:space="0" w:color="auto"/>
            </w:tcBorders>
            <w:shd w:val="clear" w:color="auto" w:fill="auto"/>
            <w:vAlign w:val="center"/>
          </w:tcPr>
          <w:p w14:paraId="3C4D4216" w14:textId="77777777" w:rsidR="00841C05" w:rsidRPr="000D52BA" w:rsidRDefault="00841C05" w:rsidP="00387AE5">
            <w:pPr>
              <w:jc w:val="center"/>
              <w:rPr>
                <w:rFonts w:cs="Times New Roman"/>
                <w:color w:val="000000"/>
                <w:sz w:val="18"/>
                <w:szCs w:val="18"/>
              </w:rPr>
            </w:pPr>
            <w:r>
              <w:rPr>
                <w:color w:val="000000"/>
                <w:sz w:val="18"/>
                <w:szCs w:val="18"/>
              </w:rPr>
              <w:t>1</w:t>
            </w:r>
          </w:p>
        </w:tc>
        <w:tc>
          <w:tcPr>
            <w:tcW w:w="1468" w:type="dxa"/>
            <w:tcBorders>
              <w:top w:val="nil"/>
              <w:left w:val="single" w:sz="4" w:space="0" w:color="auto"/>
              <w:bottom w:val="nil"/>
              <w:right w:val="nil"/>
            </w:tcBorders>
            <w:shd w:val="clear" w:color="auto" w:fill="auto"/>
            <w:noWrap/>
            <w:vAlign w:val="center"/>
          </w:tcPr>
          <w:p w14:paraId="7AED1C62" w14:textId="77777777" w:rsidR="00841C05" w:rsidRPr="000D52BA" w:rsidRDefault="00841C05" w:rsidP="00387AE5">
            <w:pPr>
              <w:jc w:val="center"/>
              <w:rPr>
                <w:rFonts w:cs="Times New Roman"/>
                <w:color w:val="000000"/>
                <w:sz w:val="18"/>
                <w:szCs w:val="18"/>
              </w:rPr>
            </w:pPr>
            <w:r>
              <w:rPr>
                <w:color w:val="000000"/>
                <w:sz w:val="18"/>
                <w:szCs w:val="18"/>
              </w:rPr>
              <w:t>5,6</w:t>
            </w:r>
          </w:p>
        </w:tc>
        <w:tc>
          <w:tcPr>
            <w:tcW w:w="1468" w:type="dxa"/>
            <w:tcBorders>
              <w:top w:val="nil"/>
              <w:left w:val="nil"/>
              <w:bottom w:val="nil"/>
              <w:right w:val="single" w:sz="4" w:space="0" w:color="auto"/>
            </w:tcBorders>
            <w:shd w:val="clear" w:color="auto" w:fill="auto"/>
            <w:noWrap/>
            <w:vAlign w:val="center"/>
          </w:tcPr>
          <w:p w14:paraId="7566C5FF" w14:textId="77777777" w:rsidR="00841C05" w:rsidRPr="000D52BA" w:rsidRDefault="00841C05" w:rsidP="00387AE5">
            <w:pPr>
              <w:jc w:val="center"/>
              <w:rPr>
                <w:rFonts w:cs="Times New Roman"/>
                <w:sz w:val="18"/>
                <w:szCs w:val="18"/>
              </w:rPr>
            </w:pPr>
            <w:r>
              <w:rPr>
                <w:color w:val="000000"/>
                <w:sz w:val="18"/>
                <w:szCs w:val="18"/>
              </w:rPr>
              <w:t>4,8</w:t>
            </w:r>
          </w:p>
        </w:tc>
        <w:tc>
          <w:tcPr>
            <w:tcW w:w="1468" w:type="dxa"/>
            <w:tcBorders>
              <w:top w:val="nil"/>
              <w:left w:val="single" w:sz="4" w:space="0" w:color="auto"/>
              <w:bottom w:val="nil"/>
              <w:right w:val="single" w:sz="4" w:space="0" w:color="auto"/>
            </w:tcBorders>
            <w:shd w:val="clear" w:color="auto" w:fill="auto"/>
            <w:noWrap/>
            <w:vAlign w:val="center"/>
          </w:tcPr>
          <w:p w14:paraId="02C6C525" w14:textId="77777777" w:rsidR="00841C05" w:rsidRPr="000D52BA" w:rsidRDefault="00841C05" w:rsidP="00387AE5">
            <w:pPr>
              <w:jc w:val="center"/>
              <w:rPr>
                <w:rFonts w:cs="Times New Roman"/>
                <w:color w:val="000000"/>
                <w:sz w:val="18"/>
                <w:szCs w:val="18"/>
              </w:rPr>
            </w:pPr>
            <w:r>
              <w:rPr>
                <w:color w:val="000000"/>
                <w:sz w:val="18"/>
                <w:szCs w:val="18"/>
              </w:rPr>
              <w:t>5,4</w:t>
            </w:r>
          </w:p>
        </w:tc>
        <w:tc>
          <w:tcPr>
            <w:tcW w:w="1464" w:type="dxa"/>
            <w:tcBorders>
              <w:top w:val="nil"/>
              <w:left w:val="single" w:sz="4" w:space="0" w:color="auto"/>
              <w:bottom w:val="nil"/>
              <w:right w:val="nil"/>
            </w:tcBorders>
            <w:vAlign w:val="center"/>
          </w:tcPr>
          <w:p w14:paraId="1E85D983" w14:textId="77777777" w:rsidR="00841C05" w:rsidRPr="000D52BA" w:rsidRDefault="00841C05" w:rsidP="00387AE5">
            <w:pPr>
              <w:jc w:val="center"/>
              <w:rPr>
                <w:rFonts w:cs="Times New Roman"/>
                <w:color w:val="000000"/>
                <w:sz w:val="18"/>
                <w:szCs w:val="18"/>
              </w:rPr>
            </w:pPr>
            <w:r>
              <w:rPr>
                <w:color w:val="000000"/>
                <w:sz w:val="18"/>
                <w:szCs w:val="18"/>
              </w:rPr>
              <w:t>6,1</w:t>
            </w:r>
          </w:p>
        </w:tc>
      </w:tr>
      <w:tr w:rsidR="00841C05" w:rsidRPr="00F5278A" w14:paraId="70D6CFE8"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71EF5464" w14:textId="77777777" w:rsidR="00841C05" w:rsidRPr="000D52BA" w:rsidRDefault="00841C05" w:rsidP="00387AE5">
            <w:pPr>
              <w:rPr>
                <w:rFonts w:cs="Times New Roman"/>
                <w:color w:val="000000"/>
                <w:sz w:val="18"/>
                <w:szCs w:val="18"/>
              </w:rPr>
            </w:pPr>
            <w:r>
              <w:rPr>
                <w:color w:val="000000"/>
                <w:sz w:val="18"/>
                <w:szCs w:val="18"/>
              </w:rPr>
              <w:t>2, Obrana</w:t>
            </w:r>
            <w:r>
              <w:rPr>
                <w:rStyle w:val="Odkaznapoznmkupodiarou"/>
                <w:color w:val="000000"/>
                <w:sz w:val="18"/>
                <w:szCs w:val="18"/>
              </w:rPr>
              <w:footnoteReference w:id="64"/>
            </w:r>
          </w:p>
        </w:tc>
        <w:tc>
          <w:tcPr>
            <w:tcW w:w="679" w:type="dxa"/>
            <w:tcBorders>
              <w:top w:val="nil"/>
              <w:left w:val="nil"/>
              <w:bottom w:val="nil"/>
              <w:right w:val="single" w:sz="4" w:space="0" w:color="auto"/>
            </w:tcBorders>
            <w:shd w:val="clear" w:color="auto" w:fill="auto"/>
            <w:vAlign w:val="center"/>
          </w:tcPr>
          <w:p w14:paraId="05857572" w14:textId="77777777" w:rsidR="00841C05" w:rsidRPr="000D52BA" w:rsidRDefault="00841C05" w:rsidP="00387AE5">
            <w:pPr>
              <w:jc w:val="center"/>
              <w:rPr>
                <w:rFonts w:cs="Times New Roman"/>
                <w:color w:val="000000"/>
                <w:sz w:val="18"/>
                <w:szCs w:val="18"/>
              </w:rPr>
            </w:pPr>
            <w:r>
              <w:rPr>
                <w:color w:val="000000"/>
                <w:sz w:val="18"/>
                <w:szCs w:val="18"/>
              </w:rPr>
              <w:t>2</w:t>
            </w:r>
          </w:p>
        </w:tc>
        <w:tc>
          <w:tcPr>
            <w:tcW w:w="1468" w:type="dxa"/>
            <w:tcBorders>
              <w:top w:val="nil"/>
              <w:left w:val="single" w:sz="4" w:space="0" w:color="auto"/>
              <w:bottom w:val="nil"/>
              <w:right w:val="nil"/>
            </w:tcBorders>
            <w:shd w:val="clear" w:color="auto" w:fill="auto"/>
            <w:noWrap/>
            <w:vAlign w:val="center"/>
          </w:tcPr>
          <w:p w14:paraId="6BF7464A" w14:textId="77777777" w:rsidR="00841C05" w:rsidRPr="000D52BA" w:rsidRDefault="00841C05" w:rsidP="00387AE5">
            <w:pPr>
              <w:jc w:val="center"/>
              <w:rPr>
                <w:rFonts w:cs="Times New Roman"/>
                <w:color w:val="000000"/>
                <w:sz w:val="18"/>
                <w:szCs w:val="18"/>
              </w:rPr>
            </w:pPr>
            <w:r>
              <w:rPr>
                <w:color w:val="000000"/>
                <w:sz w:val="18"/>
                <w:szCs w:val="18"/>
              </w:rPr>
              <w:t>1,0</w:t>
            </w:r>
          </w:p>
        </w:tc>
        <w:tc>
          <w:tcPr>
            <w:tcW w:w="1468" w:type="dxa"/>
            <w:tcBorders>
              <w:top w:val="nil"/>
              <w:left w:val="nil"/>
              <w:bottom w:val="nil"/>
              <w:right w:val="single" w:sz="4" w:space="0" w:color="auto"/>
            </w:tcBorders>
            <w:shd w:val="clear" w:color="auto" w:fill="auto"/>
            <w:noWrap/>
            <w:vAlign w:val="center"/>
          </w:tcPr>
          <w:p w14:paraId="085087B6" w14:textId="77777777" w:rsidR="00841C05" w:rsidRPr="000D52BA" w:rsidRDefault="00841C05" w:rsidP="00387AE5">
            <w:pPr>
              <w:jc w:val="center"/>
              <w:rPr>
                <w:rFonts w:cs="Times New Roman"/>
                <w:sz w:val="18"/>
                <w:szCs w:val="18"/>
              </w:rPr>
            </w:pPr>
            <w:r>
              <w:rPr>
                <w:color w:val="000000"/>
                <w:sz w:val="18"/>
                <w:szCs w:val="18"/>
              </w:rPr>
              <w:t>1,5</w:t>
            </w:r>
          </w:p>
        </w:tc>
        <w:tc>
          <w:tcPr>
            <w:tcW w:w="1468" w:type="dxa"/>
            <w:tcBorders>
              <w:top w:val="nil"/>
              <w:left w:val="single" w:sz="4" w:space="0" w:color="auto"/>
              <w:bottom w:val="nil"/>
              <w:right w:val="single" w:sz="4" w:space="0" w:color="auto"/>
            </w:tcBorders>
            <w:shd w:val="clear" w:color="auto" w:fill="auto"/>
            <w:noWrap/>
            <w:vAlign w:val="center"/>
          </w:tcPr>
          <w:p w14:paraId="14730A4A" w14:textId="77777777" w:rsidR="00841C05" w:rsidRPr="000D52BA" w:rsidRDefault="00841C05" w:rsidP="00387AE5">
            <w:pPr>
              <w:jc w:val="center"/>
              <w:rPr>
                <w:rFonts w:cs="Times New Roman"/>
                <w:color w:val="000000"/>
                <w:sz w:val="18"/>
                <w:szCs w:val="18"/>
              </w:rPr>
            </w:pPr>
            <w:r>
              <w:rPr>
                <w:color w:val="000000"/>
                <w:sz w:val="18"/>
                <w:szCs w:val="18"/>
              </w:rPr>
              <w:t>1,2</w:t>
            </w:r>
          </w:p>
        </w:tc>
        <w:tc>
          <w:tcPr>
            <w:tcW w:w="1464" w:type="dxa"/>
            <w:tcBorders>
              <w:top w:val="nil"/>
              <w:left w:val="single" w:sz="4" w:space="0" w:color="auto"/>
              <w:bottom w:val="nil"/>
              <w:right w:val="nil"/>
            </w:tcBorders>
            <w:vAlign w:val="center"/>
          </w:tcPr>
          <w:p w14:paraId="1C5E8310" w14:textId="77777777" w:rsidR="00841C05" w:rsidRPr="000D52BA" w:rsidRDefault="00841C05" w:rsidP="00387AE5">
            <w:pPr>
              <w:jc w:val="center"/>
              <w:rPr>
                <w:rFonts w:cs="Times New Roman"/>
                <w:color w:val="000000"/>
                <w:sz w:val="18"/>
                <w:szCs w:val="18"/>
              </w:rPr>
            </w:pPr>
            <w:r>
              <w:rPr>
                <w:color w:val="000000"/>
                <w:sz w:val="18"/>
                <w:szCs w:val="18"/>
              </w:rPr>
              <w:t>1,2</w:t>
            </w:r>
          </w:p>
        </w:tc>
      </w:tr>
      <w:tr w:rsidR="00841C05" w:rsidRPr="00F5278A" w14:paraId="79F8322C"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7BF2E1FA" w14:textId="77777777" w:rsidR="00841C05" w:rsidRPr="000D52BA" w:rsidRDefault="00841C05" w:rsidP="00387AE5">
            <w:pPr>
              <w:rPr>
                <w:rFonts w:cs="Times New Roman"/>
                <w:color w:val="000000"/>
                <w:sz w:val="18"/>
                <w:szCs w:val="18"/>
              </w:rPr>
            </w:pPr>
            <w:r>
              <w:rPr>
                <w:color w:val="000000"/>
                <w:sz w:val="18"/>
                <w:szCs w:val="18"/>
              </w:rPr>
              <w:t>3, Verejný poriadok a bezpečnosť</w:t>
            </w:r>
          </w:p>
        </w:tc>
        <w:tc>
          <w:tcPr>
            <w:tcW w:w="679" w:type="dxa"/>
            <w:tcBorders>
              <w:top w:val="nil"/>
              <w:left w:val="nil"/>
              <w:bottom w:val="nil"/>
              <w:right w:val="single" w:sz="4" w:space="0" w:color="auto"/>
            </w:tcBorders>
            <w:shd w:val="clear" w:color="auto" w:fill="auto"/>
            <w:vAlign w:val="center"/>
          </w:tcPr>
          <w:p w14:paraId="2FD426D6" w14:textId="77777777" w:rsidR="00841C05" w:rsidRPr="000D52BA" w:rsidRDefault="00841C05" w:rsidP="00387AE5">
            <w:pPr>
              <w:jc w:val="center"/>
              <w:rPr>
                <w:rFonts w:cs="Times New Roman"/>
                <w:color w:val="000000"/>
                <w:sz w:val="18"/>
                <w:szCs w:val="18"/>
              </w:rPr>
            </w:pPr>
            <w:r>
              <w:rPr>
                <w:color w:val="000000"/>
                <w:sz w:val="18"/>
                <w:szCs w:val="18"/>
              </w:rPr>
              <w:t>3</w:t>
            </w:r>
          </w:p>
        </w:tc>
        <w:tc>
          <w:tcPr>
            <w:tcW w:w="1468" w:type="dxa"/>
            <w:tcBorders>
              <w:top w:val="nil"/>
              <w:left w:val="single" w:sz="4" w:space="0" w:color="auto"/>
              <w:bottom w:val="nil"/>
              <w:right w:val="nil"/>
            </w:tcBorders>
            <w:shd w:val="clear" w:color="auto" w:fill="auto"/>
            <w:noWrap/>
            <w:vAlign w:val="center"/>
          </w:tcPr>
          <w:p w14:paraId="78E2B2AF" w14:textId="77777777" w:rsidR="00841C05" w:rsidRPr="000D52BA" w:rsidRDefault="00841C05" w:rsidP="00387AE5">
            <w:pPr>
              <w:jc w:val="center"/>
              <w:rPr>
                <w:rFonts w:cs="Times New Roman"/>
                <w:color w:val="000000"/>
                <w:sz w:val="18"/>
                <w:szCs w:val="18"/>
              </w:rPr>
            </w:pPr>
            <w:r>
              <w:rPr>
                <w:color w:val="000000"/>
                <w:sz w:val="18"/>
                <w:szCs w:val="18"/>
              </w:rPr>
              <w:t>2,1</w:t>
            </w:r>
          </w:p>
        </w:tc>
        <w:tc>
          <w:tcPr>
            <w:tcW w:w="1468" w:type="dxa"/>
            <w:tcBorders>
              <w:top w:val="nil"/>
              <w:left w:val="nil"/>
              <w:bottom w:val="nil"/>
              <w:right w:val="single" w:sz="4" w:space="0" w:color="auto"/>
            </w:tcBorders>
            <w:shd w:val="clear" w:color="auto" w:fill="auto"/>
            <w:noWrap/>
            <w:vAlign w:val="center"/>
          </w:tcPr>
          <w:p w14:paraId="2BEDE6B3" w14:textId="77777777" w:rsidR="00841C05" w:rsidRPr="000D52BA" w:rsidRDefault="00841C05" w:rsidP="00387AE5">
            <w:pPr>
              <w:jc w:val="center"/>
              <w:rPr>
                <w:rFonts w:cs="Times New Roman"/>
                <w:sz w:val="18"/>
                <w:szCs w:val="18"/>
              </w:rPr>
            </w:pPr>
            <w:r>
              <w:rPr>
                <w:color w:val="000000"/>
                <w:sz w:val="18"/>
                <w:szCs w:val="18"/>
              </w:rPr>
              <w:t>2,2</w:t>
            </w:r>
          </w:p>
        </w:tc>
        <w:tc>
          <w:tcPr>
            <w:tcW w:w="1468" w:type="dxa"/>
            <w:tcBorders>
              <w:top w:val="nil"/>
              <w:left w:val="single" w:sz="4" w:space="0" w:color="auto"/>
              <w:bottom w:val="nil"/>
              <w:right w:val="single" w:sz="4" w:space="0" w:color="auto"/>
            </w:tcBorders>
            <w:shd w:val="clear" w:color="auto" w:fill="auto"/>
            <w:noWrap/>
            <w:vAlign w:val="center"/>
          </w:tcPr>
          <w:p w14:paraId="60B83612" w14:textId="77777777" w:rsidR="00841C05" w:rsidRPr="000D52BA" w:rsidRDefault="00841C05" w:rsidP="00387AE5">
            <w:pPr>
              <w:jc w:val="center"/>
              <w:rPr>
                <w:rFonts w:cs="Times New Roman"/>
                <w:color w:val="000000"/>
                <w:sz w:val="18"/>
                <w:szCs w:val="18"/>
              </w:rPr>
            </w:pPr>
            <w:r>
              <w:rPr>
                <w:color w:val="000000"/>
                <w:sz w:val="18"/>
                <w:szCs w:val="18"/>
              </w:rPr>
              <w:t>2,1</w:t>
            </w:r>
          </w:p>
        </w:tc>
        <w:tc>
          <w:tcPr>
            <w:tcW w:w="1464" w:type="dxa"/>
            <w:tcBorders>
              <w:top w:val="nil"/>
              <w:left w:val="single" w:sz="4" w:space="0" w:color="auto"/>
              <w:bottom w:val="nil"/>
              <w:right w:val="nil"/>
            </w:tcBorders>
            <w:vAlign w:val="center"/>
          </w:tcPr>
          <w:p w14:paraId="15FF309A" w14:textId="77777777" w:rsidR="00841C05" w:rsidRPr="000D52BA" w:rsidRDefault="00841C05" w:rsidP="00387AE5">
            <w:pPr>
              <w:jc w:val="center"/>
              <w:rPr>
                <w:rFonts w:cs="Times New Roman"/>
                <w:color w:val="000000"/>
                <w:sz w:val="18"/>
                <w:szCs w:val="18"/>
              </w:rPr>
            </w:pPr>
            <w:r>
              <w:rPr>
                <w:color w:val="000000"/>
                <w:sz w:val="18"/>
                <w:szCs w:val="18"/>
              </w:rPr>
              <w:t>1,7</w:t>
            </w:r>
          </w:p>
        </w:tc>
      </w:tr>
      <w:tr w:rsidR="00841C05" w:rsidRPr="00F5278A" w14:paraId="5E642E8A"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41A9C4F6" w14:textId="77777777" w:rsidR="00841C05" w:rsidRPr="000D52BA" w:rsidRDefault="00841C05" w:rsidP="00387AE5">
            <w:pPr>
              <w:rPr>
                <w:rFonts w:cs="Times New Roman"/>
                <w:color w:val="000000"/>
                <w:sz w:val="18"/>
                <w:szCs w:val="18"/>
              </w:rPr>
            </w:pPr>
            <w:r>
              <w:rPr>
                <w:color w:val="000000"/>
                <w:sz w:val="18"/>
                <w:szCs w:val="18"/>
              </w:rPr>
              <w:t>4, Ekonomická oblasť</w:t>
            </w:r>
          </w:p>
        </w:tc>
        <w:tc>
          <w:tcPr>
            <w:tcW w:w="679" w:type="dxa"/>
            <w:tcBorders>
              <w:top w:val="nil"/>
              <w:left w:val="nil"/>
              <w:bottom w:val="nil"/>
              <w:right w:val="single" w:sz="4" w:space="0" w:color="auto"/>
            </w:tcBorders>
            <w:shd w:val="clear" w:color="auto" w:fill="auto"/>
            <w:vAlign w:val="center"/>
          </w:tcPr>
          <w:p w14:paraId="28F5D853" w14:textId="77777777" w:rsidR="00841C05" w:rsidRPr="000D52BA" w:rsidRDefault="00841C05" w:rsidP="00387AE5">
            <w:pPr>
              <w:jc w:val="center"/>
              <w:rPr>
                <w:rFonts w:cs="Times New Roman"/>
                <w:color w:val="000000"/>
                <w:sz w:val="18"/>
                <w:szCs w:val="18"/>
              </w:rPr>
            </w:pPr>
            <w:r>
              <w:rPr>
                <w:color w:val="000000"/>
                <w:sz w:val="18"/>
                <w:szCs w:val="18"/>
              </w:rPr>
              <w:t>4</w:t>
            </w:r>
          </w:p>
        </w:tc>
        <w:tc>
          <w:tcPr>
            <w:tcW w:w="1468" w:type="dxa"/>
            <w:tcBorders>
              <w:top w:val="nil"/>
              <w:left w:val="single" w:sz="4" w:space="0" w:color="auto"/>
              <w:bottom w:val="nil"/>
              <w:right w:val="nil"/>
            </w:tcBorders>
            <w:shd w:val="clear" w:color="auto" w:fill="auto"/>
            <w:noWrap/>
            <w:vAlign w:val="center"/>
          </w:tcPr>
          <w:p w14:paraId="7A78C283" w14:textId="77777777" w:rsidR="00841C05" w:rsidRPr="000D52BA" w:rsidRDefault="00841C05" w:rsidP="00387AE5">
            <w:pPr>
              <w:jc w:val="center"/>
              <w:rPr>
                <w:rFonts w:cs="Times New Roman"/>
                <w:color w:val="000000"/>
                <w:sz w:val="18"/>
                <w:szCs w:val="18"/>
              </w:rPr>
            </w:pPr>
            <w:r>
              <w:rPr>
                <w:color w:val="000000"/>
                <w:sz w:val="18"/>
                <w:szCs w:val="18"/>
              </w:rPr>
              <w:t>4,1</w:t>
            </w:r>
          </w:p>
        </w:tc>
        <w:tc>
          <w:tcPr>
            <w:tcW w:w="1468" w:type="dxa"/>
            <w:tcBorders>
              <w:top w:val="nil"/>
              <w:left w:val="nil"/>
              <w:bottom w:val="nil"/>
              <w:right w:val="single" w:sz="4" w:space="0" w:color="auto"/>
            </w:tcBorders>
            <w:shd w:val="clear" w:color="auto" w:fill="auto"/>
            <w:noWrap/>
            <w:vAlign w:val="center"/>
          </w:tcPr>
          <w:p w14:paraId="05CB1E0B" w14:textId="77777777" w:rsidR="00841C05" w:rsidRPr="000D52BA" w:rsidRDefault="00841C05" w:rsidP="00387AE5">
            <w:pPr>
              <w:jc w:val="center"/>
              <w:rPr>
                <w:rFonts w:cs="Times New Roman"/>
                <w:sz w:val="18"/>
                <w:szCs w:val="18"/>
              </w:rPr>
            </w:pPr>
            <w:r>
              <w:rPr>
                <w:color w:val="000000"/>
                <w:sz w:val="18"/>
                <w:szCs w:val="18"/>
              </w:rPr>
              <w:t>3,6</w:t>
            </w:r>
          </w:p>
        </w:tc>
        <w:tc>
          <w:tcPr>
            <w:tcW w:w="1468" w:type="dxa"/>
            <w:tcBorders>
              <w:top w:val="nil"/>
              <w:left w:val="single" w:sz="4" w:space="0" w:color="auto"/>
              <w:bottom w:val="nil"/>
              <w:right w:val="single" w:sz="4" w:space="0" w:color="auto"/>
            </w:tcBorders>
            <w:shd w:val="clear" w:color="auto" w:fill="auto"/>
            <w:noWrap/>
            <w:vAlign w:val="center"/>
          </w:tcPr>
          <w:p w14:paraId="5C4C489D" w14:textId="77777777" w:rsidR="00841C05" w:rsidRPr="000D52BA" w:rsidRDefault="00841C05" w:rsidP="00387AE5">
            <w:pPr>
              <w:jc w:val="center"/>
              <w:rPr>
                <w:rFonts w:cs="Times New Roman"/>
                <w:color w:val="000000"/>
                <w:sz w:val="18"/>
                <w:szCs w:val="18"/>
              </w:rPr>
            </w:pPr>
            <w:r>
              <w:rPr>
                <w:color w:val="000000"/>
                <w:sz w:val="18"/>
                <w:szCs w:val="18"/>
              </w:rPr>
              <w:t>5,8</w:t>
            </w:r>
          </w:p>
        </w:tc>
        <w:tc>
          <w:tcPr>
            <w:tcW w:w="1464" w:type="dxa"/>
            <w:tcBorders>
              <w:top w:val="nil"/>
              <w:left w:val="single" w:sz="4" w:space="0" w:color="auto"/>
              <w:bottom w:val="nil"/>
              <w:right w:val="nil"/>
            </w:tcBorders>
            <w:vAlign w:val="center"/>
          </w:tcPr>
          <w:p w14:paraId="758A86D9" w14:textId="77777777" w:rsidR="00841C05" w:rsidRPr="000D52BA" w:rsidRDefault="00841C05" w:rsidP="00387AE5">
            <w:pPr>
              <w:jc w:val="center"/>
              <w:rPr>
                <w:rFonts w:cs="Times New Roman"/>
                <w:color w:val="000000"/>
                <w:sz w:val="18"/>
                <w:szCs w:val="18"/>
              </w:rPr>
            </w:pPr>
            <w:r>
              <w:rPr>
                <w:color w:val="000000"/>
                <w:sz w:val="18"/>
                <w:szCs w:val="18"/>
              </w:rPr>
              <w:t>4,2</w:t>
            </w:r>
          </w:p>
        </w:tc>
      </w:tr>
      <w:tr w:rsidR="00841C05" w:rsidRPr="00F5278A" w14:paraId="5CD05CE9"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445A39C7" w14:textId="77777777" w:rsidR="00841C05" w:rsidRPr="000D52BA" w:rsidRDefault="00841C05" w:rsidP="00387AE5">
            <w:pPr>
              <w:rPr>
                <w:rFonts w:cs="Times New Roman"/>
                <w:color w:val="000000"/>
                <w:sz w:val="18"/>
                <w:szCs w:val="18"/>
              </w:rPr>
            </w:pPr>
            <w:r>
              <w:rPr>
                <w:color w:val="000000"/>
                <w:sz w:val="18"/>
                <w:szCs w:val="18"/>
              </w:rPr>
              <w:t>5, Ochrana životného prostredia</w:t>
            </w:r>
          </w:p>
        </w:tc>
        <w:tc>
          <w:tcPr>
            <w:tcW w:w="679" w:type="dxa"/>
            <w:tcBorders>
              <w:top w:val="nil"/>
              <w:left w:val="nil"/>
              <w:bottom w:val="nil"/>
              <w:right w:val="single" w:sz="4" w:space="0" w:color="auto"/>
            </w:tcBorders>
            <w:shd w:val="clear" w:color="auto" w:fill="auto"/>
            <w:vAlign w:val="center"/>
          </w:tcPr>
          <w:p w14:paraId="5467525F" w14:textId="77777777" w:rsidR="00841C05" w:rsidRPr="000D52BA" w:rsidRDefault="00841C05" w:rsidP="00387AE5">
            <w:pPr>
              <w:jc w:val="center"/>
              <w:rPr>
                <w:rFonts w:cs="Times New Roman"/>
                <w:color w:val="000000"/>
                <w:sz w:val="18"/>
                <w:szCs w:val="18"/>
              </w:rPr>
            </w:pPr>
            <w:r>
              <w:rPr>
                <w:color w:val="000000"/>
                <w:sz w:val="18"/>
                <w:szCs w:val="18"/>
              </w:rPr>
              <w:t>5</w:t>
            </w:r>
          </w:p>
        </w:tc>
        <w:tc>
          <w:tcPr>
            <w:tcW w:w="1468" w:type="dxa"/>
            <w:tcBorders>
              <w:top w:val="nil"/>
              <w:left w:val="single" w:sz="4" w:space="0" w:color="auto"/>
              <w:bottom w:val="nil"/>
              <w:right w:val="nil"/>
            </w:tcBorders>
            <w:shd w:val="clear" w:color="auto" w:fill="auto"/>
            <w:noWrap/>
            <w:vAlign w:val="center"/>
          </w:tcPr>
          <w:p w14:paraId="1ACFE081" w14:textId="77777777" w:rsidR="00841C05" w:rsidRPr="000D52BA" w:rsidRDefault="00841C05" w:rsidP="00387AE5">
            <w:pPr>
              <w:jc w:val="center"/>
              <w:rPr>
                <w:rFonts w:cs="Times New Roman"/>
                <w:color w:val="000000"/>
                <w:sz w:val="18"/>
                <w:szCs w:val="18"/>
              </w:rPr>
            </w:pPr>
            <w:r>
              <w:rPr>
                <w:color w:val="000000"/>
                <w:sz w:val="18"/>
                <w:szCs w:val="18"/>
              </w:rPr>
              <w:t>0,7</w:t>
            </w:r>
          </w:p>
        </w:tc>
        <w:tc>
          <w:tcPr>
            <w:tcW w:w="1468" w:type="dxa"/>
            <w:tcBorders>
              <w:top w:val="nil"/>
              <w:left w:val="nil"/>
              <w:bottom w:val="nil"/>
              <w:right w:val="single" w:sz="4" w:space="0" w:color="auto"/>
            </w:tcBorders>
            <w:shd w:val="clear" w:color="auto" w:fill="auto"/>
            <w:noWrap/>
            <w:vAlign w:val="center"/>
          </w:tcPr>
          <w:p w14:paraId="33E46E1C" w14:textId="77777777" w:rsidR="00841C05" w:rsidRPr="000D52BA" w:rsidRDefault="00841C05" w:rsidP="00387AE5">
            <w:pPr>
              <w:jc w:val="center"/>
              <w:rPr>
                <w:rFonts w:cs="Times New Roman"/>
                <w:sz w:val="18"/>
                <w:szCs w:val="18"/>
              </w:rPr>
            </w:pPr>
            <w:r>
              <w:rPr>
                <w:color w:val="000000"/>
                <w:sz w:val="18"/>
                <w:szCs w:val="18"/>
              </w:rPr>
              <w:t>0,6</w:t>
            </w:r>
          </w:p>
        </w:tc>
        <w:tc>
          <w:tcPr>
            <w:tcW w:w="1468" w:type="dxa"/>
            <w:tcBorders>
              <w:top w:val="nil"/>
              <w:left w:val="single" w:sz="4" w:space="0" w:color="auto"/>
              <w:bottom w:val="nil"/>
              <w:right w:val="single" w:sz="4" w:space="0" w:color="auto"/>
            </w:tcBorders>
            <w:shd w:val="clear" w:color="auto" w:fill="auto"/>
            <w:noWrap/>
            <w:vAlign w:val="center"/>
          </w:tcPr>
          <w:p w14:paraId="5D60F951" w14:textId="77777777" w:rsidR="00841C05" w:rsidRPr="000D52BA" w:rsidRDefault="00841C05" w:rsidP="00387AE5">
            <w:pPr>
              <w:jc w:val="center"/>
              <w:rPr>
                <w:rFonts w:cs="Times New Roman"/>
                <w:color w:val="000000"/>
                <w:sz w:val="18"/>
                <w:szCs w:val="18"/>
              </w:rPr>
            </w:pPr>
            <w:r>
              <w:rPr>
                <w:color w:val="000000"/>
                <w:sz w:val="18"/>
                <w:szCs w:val="18"/>
              </w:rPr>
              <w:t>0,5</w:t>
            </w:r>
          </w:p>
        </w:tc>
        <w:tc>
          <w:tcPr>
            <w:tcW w:w="1464" w:type="dxa"/>
            <w:tcBorders>
              <w:top w:val="nil"/>
              <w:left w:val="single" w:sz="4" w:space="0" w:color="auto"/>
              <w:bottom w:val="nil"/>
              <w:right w:val="nil"/>
            </w:tcBorders>
            <w:vAlign w:val="center"/>
          </w:tcPr>
          <w:p w14:paraId="6C498DC3" w14:textId="77777777" w:rsidR="00841C05" w:rsidRPr="000D52BA" w:rsidRDefault="00841C05" w:rsidP="00387AE5">
            <w:pPr>
              <w:jc w:val="center"/>
              <w:rPr>
                <w:rFonts w:cs="Times New Roman"/>
                <w:color w:val="000000"/>
                <w:sz w:val="18"/>
                <w:szCs w:val="18"/>
              </w:rPr>
            </w:pPr>
            <w:r>
              <w:rPr>
                <w:color w:val="000000"/>
                <w:sz w:val="18"/>
                <w:szCs w:val="18"/>
              </w:rPr>
              <w:t>0,8</w:t>
            </w:r>
          </w:p>
        </w:tc>
      </w:tr>
      <w:tr w:rsidR="00841C05" w:rsidRPr="00F5278A" w14:paraId="61D7816C"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40894637" w14:textId="77777777" w:rsidR="00841C05" w:rsidRPr="000D52BA" w:rsidRDefault="00841C05" w:rsidP="00387AE5">
            <w:pPr>
              <w:rPr>
                <w:rFonts w:cs="Times New Roman"/>
                <w:color w:val="000000"/>
                <w:sz w:val="18"/>
                <w:szCs w:val="18"/>
              </w:rPr>
            </w:pPr>
            <w:r>
              <w:rPr>
                <w:color w:val="000000"/>
                <w:sz w:val="18"/>
                <w:szCs w:val="18"/>
              </w:rPr>
              <w:t>6, Bývanie a občianska vybavenosť</w:t>
            </w:r>
          </w:p>
        </w:tc>
        <w:tc>
          <w:tcPr>
            <w:tcW w:w="679" w:type="dxa"/>
            <w:tcBorders>
              <w:top w:val="nil"/>
              <w:left w:val="nil"/>
              <w:bottom w:val="nil"/>
              <w:right w:val="single" w:sz="4" w:space="0" w:color="auto"/>
            </w:tcBorders>
            <w:shd w:val="clear" w:color="auto" w:fill="auto"/>
            <w:vAlign w:val="center"/>
          </w:tcPr>
          <w:p w14:paraId="6D577136" w14:textId="77777777" w:rsidR="00841C05" w:rsidRPr="000D52BA" w:rsidRDefault="00841C05" w:rsidP="00387AE5">
            <w:pPr>
              <w:jc w:val="center"/>
              <w:rPr>
                <w:rFonts w:cs="Times New Roman"/>
                <w:color w:val="000000"/>
                <w:sz w:val="18"/>
                <w:szCs w:val="18"/>
              </w:rPr>
            </w:pPr>
            <w:r>
              <w:rPr>
                <w:color w:val="000000"/>
                <w:sz w:val="18"/>
                <w:szCs w:val="18"/>
              </w:rPr>
              <w:t>6</w:t>
            </w:r>
          </w:p>
        </w:tc>
        <w:tc>
          <w:tcPr>
            <w:tcW w:w="1468" w:type="dxa"/>
            <w:tcBorders>
              <w:top w:val="nil"/>
              <w:left w:val="single" w:sz="4" w:space="0" w:color="auto"/>
              <w:bottom w:val="nil"/>
              <w:right w:val="nil"/>
            </w:tcBorders>
            <w:shd w:val="clear" w:color="auto" w:fill="auto"/>
            <w:noWrap/>
            <w:vAlign w:val="center"/>
          </w:tcPr>
          <w:p w14:paraId="4E9F1E86" w14:textId="77777777" w:rsidR="00841C05" w:rsidRPr="000D52BA" w:rsidRDefault="00841C05" w:rsidP="00387AE5">
            <w:pPr>
              <w:jc w:val="center"/>
              <w:rPr>
                <w:rFonts w:cs="Times New Roman"/>
                <w:color w:val="000000"/>
                <w:sz w:val="18"/>
                <w:szCs w:val="18"/>
              </w:rPr>
            </w:pPr>
            <w:r>
              <w:rPr>
                <w:color w:val="000000"/>
                <w:sz w:val="18"/>
                <w:szCs w:val="18"/>
              </w:rPr>
              <w:t>0,5</w:t>
            </w:r>
          </w:p>
        </w:tc>
        <w:tc>
          <w:tcPr>
            <w:tcW w:w="1468" w:type="dxa"/>
            <w:tcBorders>
              <w:top w:val="nil"/>
              <w:left w:val="nil"/>
              <w:bottom w:val="nil"/>
              <w:right w:val="single" w:sz="4" w:space="0" w:color="auto"/>
            </w:tcBorders>
            <w:shd w:val="clear" w:color="auto" w:fill="auto"/>
            <w:noWrap/>
            <w:vAlign w:val="center"/>
          </w:tcPr>
          <w:p w14:paraId="4962E8E6" w14:textId="77777777" w:rsidR="00841C05" w:rsidRPr="000D52BA" w:rsidRDefault="00841C05" w:rsidP="00387AE5">
            <w:pPr>
              <w:jc w:val="center"/>
              <w:rPr>
                <w:rFonts w:cs="Times New Roman"/>
                <w:sz w:val="18"/>
                <w:szCs w:val="18"/>
              </w:rPr>
            </w:pPr>
            <w:r>
              <w:rPr>
                <w:color w:val="000000"/>
                <w:sz w:val="18"/>
                <w:szCs w:val="18"/>
              </w:rPr>
              <w:t>0,4</w:t>
            </w:r>
          </w:p>
        </w:tc>
        <w:tc>
          <w:tcPr>
            <w:tcW w:w="1468" w:type="dxa"/>
            <w:tcBorders>
              <w:top w:val="nil"/>
              <w:left w:val="single" w:sz="4" w:space="0" w:color="auto"/>
              <w:bottom w:val="nil"/>
              <w:right w:val="single" w:sz="4" w:space="0" w:color="auto"/>
            </w:tcBorders>
            <w:shd w:val="clear" w:color="auto" w:fill="auto"/>
            <w:noWrap/>
            <w:vAlign w:val="center"/>
          </w:tcPr>
          <w:p w14:paraId="728DA0CF" w14:textId="77777777" w:rsidR="00841C05" w:rsidRPr="000D52BA" w:rsidRDefault="00841C05" w:rsidP="00387AE5">
            <w:pPr>
              <w:jc w:val="center"/>
              <w:rPr>
                <w:rFonts w:cs="Times New Roman"/>
                <w:color w:val="000000"/>
                <w:sz w:val="18"/>
                <w:szCs w:val="18"/>
              </w:rPr>
            </w:pPr>
            <w:r>
              <w:rPr>
                <w:color w:val="000000"/>
                <w:sz w:val="18"/>
                <w:szCs w:val="18"/>
              </w:rPr>
              <w:t>0,7</w:t>
            </w:r>
          </w:p>
        </w:tc>
        <w:tc>
          <w:tcPr>
            <w:tcW w:w="1464" w:type="dxa"/>
            <w:tcBorders>
              <w:top w:val="nil"/>
              <w:left w:val="single" w:sz="4" w:space="0" w:color="auto"/>
              <w:bottom w:val="nil"/>
              <w:right w:val="nil"/>
            </w:tcBorders>
            <w:vAlign w:val="center"/>
          </w:tcPr>
          <w:p w14:paraId="3E5F1C8F" w14:textId="77777777" w:rsidR="00841C05" w:rsidRPr="000D52BA" w:rsidRDefault="00841C05" w:rsidP="00387AE5">
            <w:pPr>
              <w:jc w:val="center"/>
              <w:rPr>
                <w:rFonts w:cs="Times New Roman"/>
                <w:color w:val="000000"/>
                <w:sz w:val="18"/>
                <w:szCs w:val="18"/>
              </w:rPr>
            </w:pPr>
            <w:r>
              <w:rPr>
                <w:color w:val="000000"/>
                <w:sz w:val="18"/>
                <w:szCs w:val="18"/>
              </w:rPr>
              <w:t>0,6</w:t>
            </w:r>
          </w:p>
        </w:tc>
      </w:tr>
      <w:tr w:rsidR="00841C05" w:rsidRPr="00F5278A" w14:paraId="00159364"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238D0685" w14:textId="77777777" w:rsidR="00841C05" w:rsidRPr="000D52BA" w:rsidRDefault="00841C05" w:rsidP="00387AE5">
            <w:pPr>
              <w:rPr>
                <w:rFonts w:cs="Times New Roman"/>
                <w:color w:val="000000"/>
                <w:sz w:val="18"/>
                <w:szCs w:val="18"/>
              </w:rPr>
            </w:pPr>
            <w:r>
              <w:rPr>
                <w:color w:val="000000"/>
                <w:sz w:val="18"/>
                <w:szCs w:val="18"/>
              </w:rPr>
              <w:t>7, Zdravotníctvo</w:t>
            </w:r>
            <w:r>
              <w:rPr>
                <w:rStyle w:val="Odkaznapoznmkupodiarou"/>
                <w:color w:val="000000"/>
                <w:sz w:val="18"/>
                <w:szCs w:val="18"/>
              </w:rPr>
              <w:footnoteReference w:id="65"/>
            </w:r>
          </w:p>
        </w:tc>
        <w:tc>
          <w:tcPr>
            <w:tcW w:w="679" w:type="dxa"/>
            <w:tcBorders>
              <w:top w:val="nil"/>
              <w:left w:val="nil"/>
              <w:bottom w:val="nil"/>
              <w:right w:val="single" w:sz="4" w:space="0" w:color="auto"/>
            </w:tcBorders>
            <w:shd w:val="clear" w:color="auto" w:fill="auto"/>
            <w:vAlign w:val="center"/>
          </w:tcPr>
          <w:p w14:paraId="743FE093" w14:textId="77777777" w:rsidR="00841C05" w:rsidRPr="000D52BA" w:rsidRDefault="00841C05" w:rsidP="00387AE5">
            <w:pPr>
              <w:jc w:val="center"/>
              <w:rPr>
                <w:rFonts w:cs="Times New Roman"/>
                <w:color w:val="000000"/>
                <w:sz w:val="18"/>
                <w:szCs w:val="18"/>
              </w:rPr>
            </w:pPr>
            <w:r>
              <w:rPr>
                <w:color w:val="000000"/>
                <w:sz w:val="18"/>
                <w:szCs w:val="18"/>
              </w:rPr>
              <w:t>7</w:t>
            </w:r>
          </w:p>
        </w:tc>
        <w:tc>
          <w:tcPr>
            <w:tcW w:w="1468" w:type="dxa"/>
            <w:tcBorders>
              <w:top w:val="nil"/>
              <w:left w:val="single" w:sz="4" w:space="0" w:color="auto"/>
              <w:bottom w:val="nil"/>
              <w:right w:val="nil"/>
            </w:tcBorders>
            <w:shd w:val="clear" w:color="auto" w:fill="auto"/>
            <w:noWrap/>
            <w:vAlign w:val="center"/>
          </w:tcPr>
          <w:p w14:paraId="51975373" w14:textId="77777777" w:rsidR="00841C05" w:rsidRPr="000D52BA" w:rsidRDefault="00841C05" w:rsidP="00387AE5">
            <w:pPr>
              <w:jc w:val="center"/>
              <w:rPr>
                <w:rFonts w:cs="Times New Roman"/>
                <w:color w:val="000000"/>
                <w:sz w:val="18"/>
                <w:szCs w:val="18"/>
              </w:rPr>
            </w:pPr>
            <w:r>
              <w:rPr>
                <w:color w:val="000000"/>
                <w:sz w:val="18"/>
                <w:szCs w:val="18"/>
              </w:rPr>
              <w:t>7,1</w:t>
            </w:r>
          </w:p>
        </w:tc>
        <w:tc>
          <w:tcPr>
            <w:tcW w:w="1468" w:type="dxa"/>
            <w:tcBorders>
              <w:top w:val="nil"/>
              <w:left w:val="nil"/>
              <w:bottom w:val="nil"/>
              <w:right w:val="single" w:sz="4" w:space="0" w:color="auto"/>
            </w:tcBorders>
            <w:shd w:val="clear" w:color="auto" w:fill="auto"/>
            <w:noWrap/>
            <w:vAlign w:val="center"/>
          </w:tcPr>
          <w:p w14:paraId="356939EB" w14:textId="77777777" w:rsidR="00841C05" w:rsidRPr="000D52BA" w:rsidRDefault="00841C05" w:rsidP="00387AE5">
            <w:pPr>
              <w:jc w:val="center"/>
              <w:rPr>
                <w:rFonts w:cs="Times New Roman"/>
                <w:sz w:val="18"/>
                <w:szCs w:val="18"/>
              </w:rPr>
            </w:pPr>
            <w:r>
              <w:rPr>
                <w:color w:val="000000"/>
                <w:sz w:val="18"/>
                <w:szCs w:val="18"/>
              </w:rPr>
              <w:t>6,9</w:t>
            </w:r>
          </w:p>
        </w:tc>
        <w:tc>
          <w:tcPr>
            <w:tcW w:w="1468" w:type="dxa"/>
            <w:tcBorders>
              <w:top w:val="nil"/>
              <w:left w:val="single" w:sz="4" w:space="0" w:color="auto"/>
              <w:bottom w:val="nil"/>
              <w:right w:val="single" w:sz="4" w:space="0" w:color="auto"/>
            </w:tcBorders>
            <w:shd w:val="clear" w:color="auto" w:fill="auto"/>
            <w:noWrap/>
            <w:vAlign w:val="center"/>
          </w:tcPr>
          <w:p w14:paraId="20DFCFBA" w14:textId="77777777" w:rsidR="00841C05" w:rsidRPr="000D52BA" w:rsidRDefault="00841C05" w:rsidP="00387AE5">
            <w:pPr>
              <w:jc w:val="center"/>
              <w:rPr>
                <w:rFonts w:cs="Times New Roman"/>
                <w:color w:val="000000"/>
                <w:sz w:val="18"/>
                <w:szCs w:val="18"/>
              </w:rPr>
            </w:pPr>
            <w:r>
              <w:rPr>
                <w:color w:val="000000"/>
                <w:sz w:val="18"/>
                <w:szCs w:val="18"/>
              </w:rPr>
              <w:t>5,7</w:t>
            </w:r>
          </w:p>
        </w:tc>
        <w:tc>
          <w:tcPr>
            <w:tcW w:w="1464" w:type="dxa"/>
            <w:tcBorders>
              <w:top w:val="nil"/>
              <w:left w:val="single" w:sz="4" w:space="0" w:color="auto"/>
              <w:bottom w:val="nil"/>
              <w:right w:val="nil"/>
            </w:tcBorders>
            <w:vAlign w:val="center"/>
          </w:tcPr>
          <w:p w14:paraId="4530E6DD" w14:textId="77777777" w:rsidR="00841C05" w:rsidRPr="000D52BA" w:rsidRDefault="00841C05" w:rsidP="00387AE5">
            <w:pPr>
              <w:jc w:val="center"/>
              <w:rPr>
                <w:rFonts w:cs="Times New Roman"/>
                <w:color w:val="000000"/>
                <w:sz w:val="18"/>
                <w:szCs w:val="18"/>
              </w:rPr>
            </w:pPr>
            <w:r>
              <w:rPr>
                <w:color w:val="000000"/>
                <w:sz w:val="18"/>
                <w:szCs w:val="18"/>
              </w:rPr>
              <w:t>7,1</w:t>
            </w:r>
          </w:p>
        </w:tc>
      </w:tr>
      <w:tr w:rsidR="00841C05" w:rsidRPr="00F5278A" w14:paraId="28D48E83"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56C41468" w14:textId="77777777" w:rsidR="00841C05" w:rsidRPr="000D52BA" w:rsidRDefault="00841C05" w:rsidP="00387AE5">
            <w:pPr>
              <w:rPr>
                <w:rFonts w:cs="Times New Roman"/>
                <w:color w:val="000000"/>
                <w:sz w:val="18"/>
                <w:szCs w:val="18"/>
              </w:rPr>
            </w:pPr>
            <w:r>
              <w:rPr>
                <w:color w:val="000000"/>
                <w:sz w:val="18"/>
                <w:szCs w:val="18"/>
              </w:rPr>
              <w:t>8, Rekreácia, kultúra a náboženstvo</w:t>
            </w:r>
          </w:p>
        </w:tc>
        <w:tc>
          <w:tcPr>
            <w:tcW w:w="679" w:type="dxa"/>
            <w:tcBorders>
              <w:top w:val="nil"/>
              <w:left w:val="nil"/>
              <w:bottom w:val="nil"/>
              <w:right w:val="single" w:sz="4" w:space="0" w:color="auto"/>
            </w:tcBorders>
            <w:shd w:val="clear" w:color="auto" w:fill="auto"/>
            <w:vAlign w:val="center"/>
          </w:tcPr>
          <w:p w14:paraId="3B4FB2A6" w14:textId="77777777" w:rsidR="00841C05" w:rsidRPr="000D52BA" w:rsidRDefault="00841C05" w:rsidP="00387AE5">
            <w:pPr>
              <w:jc w:val="center"/>
              <w:rPr>
                <w:rFonts w:cs="Times New Roman"/>
                <w:color w:val="000000"/>
                <w:sz w:val="18"/>
                <w:szCs w:val="18"/>
              </w:rPr>
            </w:pPr>
            <w:r>
              <w:rPr>
                <w:color w:val="000000"/>
                <w:sz w:val="18"/>
                <w:szCs w:val="18"/>
              </w:rPr>
              <w:t>8</w:t>
            </w:r>
          </w:p>
        </w:tc>
        <w:tc>
          <w:tcPr>
            <w:tcW w:w="1468" w:type="dxa"/>
            <w:tcBorders>
              <w:top w:val="nil"/>
              <w:left w:val="single" w:sz="4" w:space="0" w:color="auto"/>
              <w:bottom w:val="nil"/>
              <w:right w:val="nil"/>
            </w:tcBorders>
            <w:shd w:val="clear" w:color="auto" w:fill="auto"/>
            <w:noWrap/>
            <w:vAlign w:val="center"/>
          </w:tcPr>
          <w:p w14:paraId="7B855BC0" w14:textId="77777777" w:rsidR="00841C05" w:rsidRPr="000D52BA" w:rsidRDefault="00841C05" w:rsidP="00387AE5">
            <w:pPr>
              <w:jc w:val="center"/>
              <w:rPr>
                <w:rFonts w:cs="Times New Roman"/>
                <w:color w:val="000000"/>
                <w:sz w:val="18"/>
                <w:szCs w:val="18"/>
              </w:rPr>
            </w:pPr>
            <w:r>
              <w:rPr>
                <w:color w:val="000000"/>
                <w:sz w:val="18"/>
                <w:szCs w:val="18"/>
              </w:rPr>
              <w:t>0,8</w:t>
            </w:r>
          </w:p>
        </w:tc>
        <w:tc>
          <w:tcPr>
            <w:tcW w:w="1468" w:type="dxa"/>
            <w:tcBorders>
              <w:top w:val="nil"/>
              <w:left w:val="nil"/>
              <w:bottom w:val="nil"/>
              <w:right w:val="single" w:sz="4" w:space="0" w:color="auto"/>
            </w:tcBorders>
            <w:shd w:val="clear" w:color="auto" w:fill="auto"/>
            <w:noWrap/>
            <w:vAlign w:val="center"/>
          </w:tcPr>
          <w:p w14:paraId="461DBF99" w14:textId="77777777" w:rsidR="00841C05" w:rsidRPr="000D52BA" w:rsidRDefault="00841C05" w:rsidP="00387AE5">
            <w:pPr>
              <w:jc w:val="center"/>
              <w:rPr>
                <w:rFonts w:cs="Times New Roman"/>
                <w:sz w:val="18"/>
                <w:szCs w:val="18"/>
              </w:rPr>
            </w:pPr>
            <w:r>
              <w:rPr>
                <w:color w:val="000000"/>
                <w:sz w:val="18"/>
                <w:szCs w:val="18"/>
              </w:rPr>
              <w:t>0,9</w:t>
            </w:r>
          </w:p>
        </w:tc>
        <w:tc>
          <w:tcPr>
            <w:tcW w:w="1468" w:type="dxa"/>
            <w:tcBorders>
              <w:top w:val="nil"/>
              <w:left w:val="single" w:sz="4" w:space="0" w:color="auto"/>
              <w:bottom w:val="nil"/>
              <w:right w:val="single" w:sz="4" w:space="0" w:color="auto"/>
            </w:tcBorders>
            <w:shd w:val="clear" w:color="auto" w:fill="auto"/>
            <w:noWrap/>
            <w:vAlign w:val="center"/>
          </w:tcPr>
          <w:p w14:paraId="7E4C2B51" w14:textId="77777777" w:rsidR="00841C05" w:rsidRPr="000D52BA" w:rsidRDefault="00841C05" w:rsidP="00387AE5">
            <w:pPr>
              <w:jc w:val="center"/>
              <w:rPr>
                <w:rFonts w:cs="Times New Roman"/>
                <w:color w:val="000000"/>
                <w:sz w:val="18"/>
                <w:szCs w:val="18"/>
              </w:rPr>
            </w:pPr>
            <w:r>
              <w:rPr>
                <w:color w:val="000000"/>
                <w:sz w:val="18"/>
                <w:szCs w:val="18"/>
              </w:rPr>
              <w:t>2,0</w:t>
            </w:r>
          </w:p>
        </w:tc>
        <w:tc>
          <w:tcPr>
            <w:tcW w:w="1464" w:type="dxa"/>
            <w:tcBorders>
              <w:top w:val="nil"/>
              <w:left w:val="single" w:sz="4" w:space="0" w:color="auto"/>
              <w:bottom w:val="nil"/>
              <w:right w:val="nil"/>
            </w:tcBorders>
            <w:vAlign w:val="center"/>
          </w:tcPr>
          <w:p w14:paraId="4B26C15B" w14:textId="77777777" w:rsidR="00841C05" w:rsidRPr="000D52BA" w:rsidRDefault="00841C05" w:rsidP="00387AE5">
            <w:pPr>
              <w:jc w:val="center"/>
              <w:rPr>
                <w:rFonts w:cs="Times New Roman"/>
                <w:color w:val="000000"/>
                <w:sz w:val="18"/>
                <w:szCs w:val="18"/>
              </w:rPr>
            </w:pPr>
            <w:r>
              <w:rPr>
                <w:color w:val="000000"/>
                <w:sz w:val="18"/>
                <w:szCs w:val="18"/>
              </w:rPr>
              <w:t>1,1</w:t>
            </w:r>
          </w:p>
        </w:tc>
      </w:tr>
      <w:tr w:rsidR="00841C05" w:rsidRPr="00F5278A" w14:paraId="0D30F255" w14:textId="77777777" w:rsidTr="00387AE5">
        <w:trPr>
          <w:gridAfter w:val="1"/>
          <w:wAfter w:w="25" w:type="dxa"/>
          <w:trHeight w:val="227"/>
          <w:jc w:val="center"/>
        </w:trPr>
        <w:tc>
          <w:tcPr>
            <w:tcW w:w="2554" w:type="dxa"/>
            <w:tcBorders>
              <w:top w:val="nil"/>
              <w:left w:val="nil"/>
              <w:bottom w:val="nil"/>
              <w:right w:val="nil"/>
            </w:tcBorders>
            <w:shd w:val="clear" w:color="auto" w:fill="auto"/>
            <w:noWrap/>
            <w:vAlign w:val="center"/>
          </w:tcPr>
          <w:p w14:paraId="7D6BF1E1" w14:textId="77777777" w:rsidR="00841C05" w:rsidRPr="000D52BA" w:rsidRDefault="00841C05" w:rsidP="00387AE5">
            <w:pPr>
              <w:rPr>
                <w:rFonts w:cs="Times New Roman"/>
                <w:color w:val="000000"/>
                <w:sz w:val="18"/>
                <w:szCs w:val="18"/>
              </w:rPr>
            </w:pPr>
            <w:r>
              <w:rPr>
                <w:color w:val="000000"/>
                <w:sz w:val="18"/>
                <w:szCs w:val="18"/>
              </w:rPr>
              <w:t>9, Vzdelávanie</w:t>
            </w:r>
          </w:p>
        </w:tc>
        <w:tc>
          <w:tcPr>
            <w:tcW w:w="679" w:type="dxa"/>
            <w:tcBorders>
              <w:top w:val="nil"/>
              <w:left w:val="nil"/>
              <w:bottom w:val="nil"/>
              <w:right w:val="single" w:sz="4" w:space="0" w:color="auto"/>
            </w:tcBorders>
            <w:shd w:val="clear" w:color="auto" w:fill="auto"/>
            <w:vAlign w:val="center"/>
          </w:tcPr>
          <w:p w14:paraId="312B5115" w14:textId="77777777" w:rsidR="00841C05" w:rsidRPr="000D52BA" w:rsidRDefault="00841C05" w:rsidP="00387AE5">
            <w:pPr>
              <w:jc w:val="center"/>
              <w:rPr>
                <w:rFonts w:cs="Times New Roman"/>
                <w:color w:val="000000"/>
                <w:sz w:val="18"/>
                <w:szCs w:val="18"/>
              </w:rPr>
            </w:pPr>
            <w:r>
              <w:rPr>
                <w:color w:val="000000"/>
                <w:sz w:val="18"/>
                <w:szCs w:val="18"/>
              </w:rPr>
              <w:t>9</w:t>
            </w:r>
          </w:p>
        </w:tc>
        <w:tc>
          <w:tcPr>
            <w:tcW w:w="1468" w:type="dxa"/>
            <w:tcBorders>
              <w:top w:val="nil"/>
              <w:left w:val="single" w:sz="4" w:space="0" w:color="auto"/>
              <w:bottom w:val="nil"/>
              <w:right w:val="nil"/>
            </w:tcBorders>
            <w:shd w:val="clear" w:color="auto" w:fill="auto"/>
            <w:noWrap/>
            <w:vAlign w:val="center"/>
          </w:tcPr>
          <w:p w14:paraId="65D24E58" w14:textId="77777777" w:rsidR="00841C05" w:rsidRPr="000D52BA" w:rsidRDefault="00841C05" w:rsidP="00387AE5">
            <w:pPr>
              <w:jc w:val="center"/>
              <w:rPr>
                <w:rFonts w:cs="Times New Roman"/>
                <w:color w:val="000000"/>
                <w:sz w:val="18"/>
                <w:szCs w:val="18"/>
              </w:rPr>
            </w:pPr>
            <w:r>
              <w:rPr>
                <w:color w:val="000000"/>
                <w:sz w:val="18"/>
                <w:szCs w:val="18"/>
              </w:rPr>
              <w:t>3,8</w:t>
            </w:r>
          </w:p>
        </w:tc>
        <w:tc>
          <w:tcPr>
            <w:tcW w:w="1468" w:type="dxa"/>
            <w:tcBorders>
              <w:top w:val="nil"/>
              <w:left w:val="nil"/>
              <w:bottom w:val="nil"/>
              <w:right w:val="single" w:sz="4" w:space="0" w:color="auto"/>
            </w:tcBorders>
            <w:shd w:val="clear" w:color="auto" w:fill="auto"/>
            <w:noWrap/>
            <w:vAlign w:val="center"/>
          </w:tcPr>
          <w:p w14:paraId="50147D41" w14:textId="77777777" w:rsidR="00841C05" w:rsidRPr="000D52BA" w:rsidRDefault="00841C05" w:rsidP="00387AE5">
            <w:pPr>
              <w:jc w:val="center"/>
              <w:rPr>
                <w:rFonts w:cs="Times New Roman"/>
                <w:sz w:val="18"/>
                <w:szCs w:val="18"/>
              </w:rPr>
            </w:pPr>
            <w:r>
              <w:rPr>
                <w:color w:val="000000"/>
                <w:sz w:val="18"/>
                <w:szCs w:val="18"/>
              </w:rPr>
              <w:t>4,1</w:t>
            </w:r>
          </w:p>
        </w:tc>
        <w:tc>
          <w:tcPr>
            <w:tcW w:w="1468" w:type="dxa"/>
            <w:tcBorders>
              <w:top w:val="nil"/>
              <w:left w:val="single" w:sz="4" w:space="0" w:color="auto"/>
              <w:bottom w:val="nil"/>
              <w:right w:val="single" w:sz="4" w:space="0" w:color="auto"/>
            </w:tcBorders>
            <w:shd w:val="clear" w:color="auto" w:fill="auto"/>
            <w:noWrap/>
            <w:vAlign w:val="center"/>
          </w:tcPr>
          <w:p w14:paraId="3D16070C" w14:textId="77777777" w:rsidR="00841C05" w:rsidRPr="000D52BA" w:rsidRDefault="00841C05" w:rsidP="00387AE5">
            <w:pPr>
              <w:jc w:val="center"/>
              <w:rPr>
                <w:rFonts w:cs="Times New Roman"/>
                <w:color w:val="000000"/>
                <w:sz w:val="18"/>
                <w:szCs w:val="18"/>
              </w:rPr>
            </w:pPr>
            <w:r>
              <w:rPr>
                <w:color w:val="000000"/>
                <w:sz w:val="18"/>
                <w:szCs w:val="18"/>
              </w:rPr>
              <w:t>4,9</w:t>
            </w:r>
          </w:p>
        </w:tc>
        <w:tc>
          <w:tcPr>
            <w:tcW w:w="1464" w:type="dxa"/>
            <w:tcBorders>
              <w:top w:val="nil"/>
              <w:left w:val="single" w:sz="4" w:space="0" w:color="auto"/>
              <w:bottom w:val="nil"/>
              <w:right w:val="nil"/>
            </w:tcBorders>
            <w:vAlign w:val="center"/>
          </w:tcPr>
          <w:p w14:paraId="1119286F" w14:textId="77777777" w:rsidR="00841C05" w:rsidRPr="000D52BA" w:rsidRDefault="00841C05" w:rsidP="00387AE5">
            <w:pPr>
              <w:jc w:val="center"/>
              <w:rPr>
                <w:rFonts w:cs="Times New Roman"/>
                <w:color w:val="000000"/>
                <w:sz w:val="18"/>
                <w:szCs w:val="18"/>
              </w:rPr>
            </w:pPr>
            <w:r>
              <w:rPr>
                <w:color w:val="000000"/>
                <w:sz w:val="18"/>
                <w:szCs w:val="18"/>
              </w:rPr>
              <w:t>4,5</w:t>
            </w:r>
          </w:p>
        </w:tc>
      </w:tr>
      <w:tr w:rsidR="00841C05" w:rsidRPr="00F5278A" w14:paraId="15ABB728" w14:textId="77777777" w:rsidTr="00387AE5">
        <w:trPr>
          <w:gridAfter w:val="1"/>
          <w:wAfter w:w="25" w:type="dxa"/>
          <w:trHeight w:val="227"/>
          <w:jc w:val="center"/>
        </w:trPr>
        <w:tc>
          <w:tcPr>
            <w:tcW w:w="2554" w:type="dxa"/>
            <w:tcBorders>
              <w:top w:val="nil"/>
              <w:left w:val="nil"/>
              <w:bottom w:val="single" w:sz="8" w:space="0" w:color="auto"/>
              <w:right w:val="nil"/>
            </w:tcBorders>
            <w:shd w:val="clear" w:color="auto" w:fill="auto"/>
            <w:noWrap/>
            <w:vAlign w:val="center"/>
          </w:tcPr>
          <w:p w14:paraId="29CD6FB6" w14:textId="77777777" w:rsidR="00841C05" w:rsidRPr="000D52BA" w:rsidRDefault="00841C05" w:rsidP="00387AE5">
            <w:pPr>
              <w:rPr>
                <w:rFonts w:cs="Times New Roman"/>
                <w:color w:val="000000"/>
                <w:sz w:val="18"/>
                <w:szCs w:val="18"/>
              </w:rPr>
            </w:pPr>
            <w:r>
              <w:rPr>
                <w:color w:val="000000"/>
                <w:sz w:val="18"/>
                <w:szCs w:val="18"/>
              </w:rPr>
              <w:t>10, Sociálne zabezpečenie</w:t>
            </w:r>
          </w:p>
        </w:tc>
        <w:tc>
          <w:tcPr>
            <w:tcW w:w="679" w:type="dxa"/>
            <w:tcBorders>
              <w:top w:val="nil"/>
              <w:left w:val="nil"/>
              <w:bottom w:val="single" w:sz="8" w:space="0" w:color="auto"/>
              <w:right w:val="single" w:sz="4" w:space="0" w:color="auto"/>
            </w:tcBorders>
            <w:shd w:val="clear" w:color="auto" w:fill="auto"/>
            <w:vAlign w:val="center"/>
          </w:tcPr>
          <w:p w14:paraId="494361DF" w14:textId="77777777" w:rsidR="00841C05" w:rsidRPr="000D52BA" w:rsidRDefault="00841C05" w:rsidP="00387AE5">
            <w:pPr>
              <w:jc w:val="center"/>
              <w:rPr>
                <w:rFonts w:cs="Times New Roman"/>
                <w:color w:val="000000"/>
                <w:sz w:val="18"/>
                <w:szCs w:val="18"/>
              </w:rPr>
            </w:pPr>
            <w:r>
              <w:rPr>
                <w:color w:val="000000"/>
                <w:sz w:val="18"/>
                <w:szCs w:val="18"/>
              </w:rPr>
              <w:t>10</w:t>
            </w:r>
          </w:p>
        </w:tc>
        <w:tc>
          <w:tcPr>
            <w:tcW w:w="1468" w:type="dxa"/>
            <w:tcBorders>
              <w:top w:val="nil"/>
              <w:left w:val="single" w:sz="4" w:space="0" w:color="auto"/>
              <w:bottom w:val="single" w:sz="8" w:space="0" w:color="auto"/>
              <w:right w:val="nil"/>
            </w:tcBorders>
            <w:shd w:val="clear" w:color="auto" w:fill="auto"/>
            <w:noWrap/>
            <w:vAlign w:val="center"/>
          </w:tcPr>
          <w:p w14:paraId="390E902A" w14:textId="77777777" w:rsidR="00841C05" w:rsidRPr="000D52BA" w:rsidRDefault="00841C05" w:rsidP="00387AE5">
            <w:pPr>
              <w:jc w:val="center"/>
              <w:rPr>
                <w:rFonts w:cs="Times New Roman"/>
                <w:color w:val="000000"/>
                <w:sz w:val="18"/>
                <w:szCs w:val="18"/>
              </w:rPr>
            </w:pPr>
            <w:r>
              <w:rPr>
                <w:color w:val="000000"/>
                <w:sz w:val="18"/>
                <w:szCs w:val="18"/>
              </w:rPr>
              <w:t>14,5</w:t>
            </w:r>
          </w:p>
        </w:tc>
        <w:tc>
          <w:tcPr>
            <w:tcW w:w="1468" w:type="dxa"/>
            <w:tcBorders>
              <w:top w:val="nil"/>
              <w:left w:val="nil"/>
              <w:bottom w:val="single" w:sz="8" w:space="0" w:color="auto"/>
              <w:right w:val="single" w:sz="4" w:space="0" w:color="auto"/>
            </w:tcBorders>
            <w:shd w:val="clear" w:color="auto" w:fill="auto"/>
            <w:noWrap/>
            <w:vAlign w:val="center"/>
          </w:tcPr>
          <w:p w14:paraId="7EBD612A" w14:textId="77777777" w:rsidR="00841C05" w:rsidRPr="000D52BA" w:rsidRDefault="00841C05" w:rsidP="00387AE5">
            <w:pPr>
              <w:jc w:val="center"/>
              <w:rPr>
                <w:rFonts w:cs="Times New Roman"/>
                <w:sz w:val="18"/>
                <w:szCs w:val="18"/>
              </w:rPr>
            </w:pPr>
            <w:r>
              <w:rPr>
                <w:color w:val="000000"/>
                <w:sz w:val="18"/>
                <w:szCs w:val="18"/>
              </w:rPr>
              <w:t>12,6</w:t>
            </w:r>
          </w:p>
        </w:tc>
        <w:tc>
          <w:tcPr>
            <w:tcW w:w="1468" w:type="dxa"/>
            <w:tcBorders>
              <w:top w:val="nil"/>
              <w:left w:val="single" w:sz="4" w:space="0" w:color="auto"/>
              <w:bottom w:val="single" w:sz="8" w:space="0" w:color="auto"/>
              <w:right w:val="single" w:sz="4" w:space="0" w:color="auto"/>
            </w:tcBorders>
            <w:shd w:val="clear" w:color="auto" w:fill="auto"/>
            <w:noWrap/>
            <w:vAlign w:val="center"/>
          </w:tcPr>
          <w:p w14:paraId="42457428" w14:textId="77777777" w:rsidR="00841C05" w:rsidRPr="000D52BA" w:rsidRDefault="00841C05" w:rsidP="00387AE5">
            <w:pPr>
              <w:jc w:val="center"/>
              <w:rPr>
                <w:rFonts w:cs="Times New Roman"/>
                <w:color w:val="000000"/>
                <w:sz w:val="18"/>
                <w:szCs w:val="18"/>
              </w:rPr>
            </w:pPr>
            <w:r>
              <w:rPr>
                <w:color w:val="000000"/>
                <w:sz w:val="18"/>
                <w:szCs w:val="18"/>
              </w:rPr>
              <w:t>14,1</w:t>
            </w:r>
          </w:p>
        </w:tc>
        <w:tc>
          <w:tcPr>
            <w:tcW w:w="1464" w:type="dxa"/>
            <w:tcBorders>
              <w:top w:val="nil"/>
              <w:left w:val="single" w:sz="4" w:space="0" w:color="auto"/>
              <w:bottom w:val="single" w:sz="8" w:space="0" w:color="auto"/>
              <w:right w:val="nil"/>
            </w:tcBorders>
            <w:vAlign w:val="center"/>
          </w:tcPr>
          <w:p w14:paraId="7D85EB95" w14:textId="77777777" w:rsidR="00841C05" w:rsidRPr="000D52BA" w:rsidRDefault="00841C05" w:rsidP="00387AE5">
            <w:pPr>
              <w:jc w:val="center"/>
              <w:rPr>
                <w:rFonts w:cs="Times New Roman"/>
                <w:color w:val="000000"/>
                <w:sz w:val="18"/>
                <w:szCs w:val="18"/>
              </w:rPr>
            </w:pPr>
            <w:r>
              <w:rPr>
                <w:color w:val="000000"/>
                <w:sz w:val="18"/>
                <w:szCs w:val="18"/>
              </w:rPr>
              <w:t>19,8</w:t>
            </w:r>
          </w:p>
        </w:tc>
      </w:tr>
      <w:tr w:rsidR="00841C05" w:rsidRPr="00F5278A" w14:paraId="5C67C081" w14:textId="77777777" w:rsidTr="00387AE5">
        <w:trPr>
          <w:gridAfter w:val="1"/>
          <w:wAfter w:w="25" w:type="dxa"/>
          <w:trHeight w:val="227"/>
          <w:jc w:val="center"/>
        </w:trPr>
        <w:tc>
          <w:tcPr>
            <w:tcW w:w="2554" w:type="dxa"/>
            <w:tcBorders>
              <w:top w:val="nil"/>
              <w:left w:val="nil"/>
              <w:bottom w:val="single" w:sz="8" w:space="0" w:color="auto"/>
              <w:right w:val="nil"/>
            </w:tcBorders>
            <w:shd w:val="clear" w:color="auto" w:fill="auto"/>
            <w:noWrap/>
            <w:vAlign w:val="center"/>
          </w:tcPr>
          <w:p w14:paraId="779E2F1A" w14:textId="77777777" w:rsidR="00841C05" w:rsidRPr="000D52BA" w:rsidRDefault="00841C05" w:rsidP="00387AE5">
            <w:pPr>
              <w:rPr>
                <w:rFonts w:cs="Times New Roman"/>
                <w:b/>
                <w:bCs/>
                <w:color w:val="000000"/>
                <w:sz w:val="18"/>
                <w:szCs w:val="18"/>
              </w:rPr>
            </w:pPr>
            <w:r>
              <w:rPr>
                <w:b/>
                <w:bCs/>
                <w:color w:val="000000"/>
                <w:sz w:val="18"/>
                <w:szCs w:val="18"/>
              </w:rPr>
              <w:t>Celkové výdavky</w:t>
            </w:r>
          </w:p>
        </w:tc>
        <w:tc>
          <w:tcPr>
            <w:tcW w:w="679" w:type="dxa"/>
            <w:tcBorders>
              <w:top w:val="nil"/>
              <w:left w:val="nil"/>
              <w:bottom w:val="single" w:sz="8" w:space="0" w:color="auto"/>
              <w:right w:val="single" w:sz="4" w:space="0" w:color="auto"/>
            </w:tcBorders>
            <w:shd w:val="clear" w:color="auto" w:fill="auto"/>
            <w:vAlign w:val="center"/>
          </w:tcPr>
          <w:p w14:paraId="0A81F3C8" w14:textId="77777777" w:rsidR="00841C05" w:rsidRPr="000D52BA" w:rsidRDefault="00841C05" w:rsidP="00387AE5">
            <w:pPr>
              <w:jc w:val="center"/>
              <w:rPr>
                <w:rFonts w:cs="Times New Roman"/>
                <w:b/>
                <w:bCs/>
                <w:color w:val="000000"/>
                <w:sz w:val="18"/>
                <w:szCs w:val="18"/>
              </w:rPr>
            </w:pPr>
            <w:r>
              <w:rPr>
                <w:b/>
                <w:bCs/>
                <w:color w:val="000000"/>
                <w:sz w:val="18"/>
                <w:szCs w:val="18"/>
              </w:rPr>
              <w:t>TE</w:t>
            </w:r>
          </w:p>
        </w:tc>
        <w:tc>
          <w:tcPr>
            <w:tcW w:w="1468" w:type="dxa"/>
            <w:tcBorders>
              <w:top w:val="nil"/>
              <w:left w:val="single" w:sz="4" w:space="0" w:color="auto"/>
              <w:bottom w:val="single" w:sz="8" w:space="0" w:color="auto"/>
              <w:right w:val="nil"/>
            </w:tcBorders>
            <w:shd w:val="clear" w:color="auto" w:fill="auto"/>
            <w:noWrap/>
            <w:vAlign w:val="center"/>
          </w:tcPr>
          <w:p w14:paraId="3671F289" w14:textId="77777777" w:rsidR="00841C05" w:rsidRPr="000D52BA" w:rsidRDefault="00841C05" w:rsidP="00387AE5">
            <w:pPr>
              <w:jc w:val="center"/>
              <w:rPr>
                <w:rFonts w:cs="Times New Roman"/>
                <w:b/>
                <w:bCs/>
                <w:color w:val="000000"/>
                <w:sz w:val="18"/>
                <w:szCs w:val="18"/>
              </w:rPr>
            </w:pPr>
            <w:r>
              <w:rPr>
                <w:b/>
                <w:bCs/>
                <w:color w:val="000000"/>
                <w:sz w:val="18"/>
                <w:szCs w:val="18"/>
              </w:rPr>
              <w:t>40,2</w:t>
            </w:r>
          </w:p>
        </w:tc>
        <w:tc>
          <w:tcPr>
            <w:tcW w:w="1468" w:type="dxa"/>
            <w:tcBorders>
              <w:top w:val="nil"/>
              <w:left w:val="nil"/>
              <w:bottom w:val="single" w:sz="8" w:space="0" w:color="auto"/>
              <w:right w:val="single" w:sz="4" w:space="0" w:color="auto"/>
            </w:tcBorders>
            <w:shd w:val="clear" w:color="auto" w:fill="auto"/>
            <w:noWrap/>
            <w:vAlign w:val="center"/>
          </w:tcPr>
          <w:p w14:paraId="4C72320F" w14:textId="77777777" w:rsidR="00841C05" w:rsidRPr="000D52BA" w:rsidRDefault="00841C05" w:rsidP="00387AE5">
            <w:pPr>
              <w:jc w:val="center"/>
              <w:rPr>
                <w:rFonts w:cs="Times New Roman"/>
                <w:b/>
                <w:bCs/>
                <w:sz w:val="18"/>
                <w:szCs w:val="18"/>
              </w:rPr>
            </w:pPr>
            <w:r>
              <w:rPr>
                <w:b/>
                <w:bCs/>
                <w:color w:val="000000"/>
                <w:sz w:val="18"/>
                <w:szCs w:val="18"/>
              </w:rPr>
              <w:t>37,7</w:t>
            </w:r>
          </w:p>
        </w:tc>
        <w:tc>
          <w:tcPr>
            <w:tcW w:w="1468" w:type="dxa"/>
            <w:tcBorders>
              <w:top w:val="nil"/>
              <w:left w:val="single" w:sz="4" w:space="0" w:color="auto"/>
              <w:bottom w:val="single" w:sz="8" w:space="0" w:color="auto"/>
              <w:right w:val="single" w:sz="4" w:space="0" w:color="auto"/>
            </w:tcBorders>
            <w:shd w:val="clear" w:color="auto" w:fill="auto"/>
            <w:noWrap/>
            <w:vAlign w:val="center"/>
          </w:tcPr>
          <w:p w14:paraId="53F73D71" w14:textId="77777777" w:rsidR="00841C05" w:rsidRPr="000D52BA" w:rsidRDefault="00841C05" w:rsidP="00387AE5">
            <w:pPr>
              <w:jc w:val="center"/>
              <w:rPr>
                <w:rFonts w:cs="Times New Roman"/>
                <w:b/>
                <w:color w:val="000000"/>
                <w:sz w:val="18"/>
                <w:szCs w:val="18"/>
              </w:rPr>
            </w:pPr>
            <w:r>
              <w:rPr>
                <w:b/>
                <w:bCs/>
                <w:color w:val="000000"/>
                <w:sz w:val="18"/>
                <w:szCs w:val="18"/>
              </w:rPr>
              <w:t>42,3</w:t>
            </w:r>
          </w:p>
        </w:tc>
        <w:tc>
          <w:tcPr>
            <w:tcW w:w="1464" w:type="dxa"/>
            <w:tcBorders>
              <w:top w:val="nil"/>
              <w:left w:val="single" w:sz="4" w:space="0" w:color="auto"/>
              <w:bottom w:val="single" w:sz="8" w:space="0" w:color="auto"/>
              <w:right w:val="nil"/>
            </w:tcBorders>
            <w:vAlign w:val="center"/>
          </w:tcPr>
          <w:p w14:paraId="4EFD09A4" w14:textId="77777777" w:rsidR="00841C05" w:rsidRPr="000D52BA" w:rsidRDefault="00841C05" w:rsidP="00387AE5">
            <w:pPr>
              <w:jc w:val="center"/>
              <w:rPr>
                <w:rFonts w:cs="Times New Roman"/>
                <w:b/>
                <w:color w:val="000000"/>
                <w:sz w:val="18"/>
                <w:szCs w:val="18"/>
              </w:rPr>
            </w:pPr>
            <w:r>
              <w:rPr>
                <w:b/>
                <w:bCs/>
                <w:color w:val="000000"/>
                <w:sz w:val="18"/>
                <w:szCs w:val="18"/>
              </w:rPr>
              <w:t>47,0</w:t>
            </w:r>
          </w:p>
        </w:tc>
      </w:tr>
      <w:tr w:rsidR="00841C05" w:rsidRPr="00F5278A" w14:paraId="22836555" w14:textId="77777777" w:rsidTr="00387AE5">
        <w:trPr>
          <w:trHeight w:val="20"/>
          <w:jc w:val="center"/>
        </w:trPr>
        <w:tc>
          <w:tcPr>
            <w:tcW w:w="9126" w:type="dxa"/>
            <w:gridSpan w:val="7"/>
            <w:tcBorders>
              <w:top w:val="nil"/>
              <w:left w:val="nil"/>
              <w:bottom w:val="nil"/>
              <w:right w:val="nil"/>
            </w:tcBorders>
            <w:shd w:val="clear" w:color="auto" w:fill="auto"/>
            <w:noWrap/>
            <w:vAlign w:val="bottom"/>
            <w:hideMark/>
          </w:tcPr>
          <w:p w14:paraId="1350EC3C" w14:textId="77777777" w:rsidR="00841C05" w:rsidRPr="000D52BA" w:rsidRDefault="00841C05" w:rsidP="00387AE5">
            <w:pPr>
              <w:spacing w:before="40"/>
              <w:jc w:val="right"/>
              <w:rPr>
                <w:rFonts w:cs="Times New Roman"/>
                <w:i/>
                <w:color w:val="000000"/>
                <w:sz w:val="16"/>
                <w:szCs w:val="16"/>
              </w:rPr>
            </w:pPr>
            <w:r w:rsidRPr="000D52BA">
              <w:rPr>
                <w:rFonts w:cs="Times New Roman"/>
                <w:i/>
                <w:sz w:val="16"/>
                <w:szCs w:val="16"/>
              </w:rPr>
              <w:t>Zdroj: MF SR, Eurostat</w:t>
            </w:r>
          </w:p>
        </w:tc>
      </w:tr>
    </w:tbl>
    <w:p w14:paraId="25D335D0" w14:textId="77777777" w:rsidR="00841C05" w:rsidRPr="0074228D" w:rsidRDefault="00841C05" w:rsidP="00193396">
      <w:pPr>
        <w:pStyle w:val="Nadpis2"/>
        <w:keepLines/>
        <w:spacing w:before="0" w:after="120"/>
        <w:rPr>
          <w:rFonts w:cs="Arial"/>
          <w:b/>
          <w:bCs/>
          <w:iCs/>
          <w:color w:val="2C9ADC"/>
        </w:rPr>
      </w:pPr>
      <w:bookmarkStart w:id="232" w:name="_Toc5869398"/>
      <w:r w:rsidRPr="0074228D">
        <w:rPr>
          <w:rFonts w:cs="Arial"/>
          <w:b/>
          <w:bCs/>
          <w:iCs/>
          <w:color w:val="2C9ADC"/>
        </w:rPr>
        <w:t>Revízia výdavkov</w:t>
      </w:r>
      <w:bookmarkEnd w:id="232"/>
      <w:r w:rsidRPr="0074228D">
        <w:rPr>
          <w:rFonts w:cs="Arial"/>
          <w:b/>
          <w:bCs/>
          <w:iCs/>
          <w:color w:val="2C9ADC"/>
        </w:rPr>
        <w:t xml:space="preserve"> </w:t>
      </w:r>
    </w:p>
    <w:p w14:paraId="32C42E6D" w14:textId="6DF6B419" w:rsidR="00841C05" w:rsidRPr="00357DFA" w:rsidRDefault="00841C05" w:rsidP="00841C05">
      <w:pPr>
        <w:spacing w:after="240"/>
        <w:jc w:val="both"/>
        <w:rPr>
          <w:szCs w:val="32"/>
        </w:rPr>
      </w:pPr>
      <w:bookmarkStart w:id="233" w:name="_Toc511410028"/>
      <w:r w:rsidRPr="00907F2E">
        <w:rPr>
          <w:b/>
          <w:szCs w:val="32"/>
        </w:rPr>
        <w:t>Jedným z nástrojov vlády na zvyšovanie efektívnosti verejných výdavkov je od roku 2016 projekt Hodnota za peniaze</w:t>
      </w:r>
      <w:r w:rsidR="00007C33">
        <w:rPr>
          <w:b/>
          <w:szCs w:val="32"/>
        </w:rPr>
        <w:t>.</w:t>
      </w:r>
      <w:r w:rsidRPr="00907F2E">
        <w:rPr>
          <w:szCs w:val="32"/>
        </w:rPr>
        <w:t xml:space="preserve"> </w:t>
      </w:r>
      <w:r w:rsidRPr="00907F2E">
        <w:rPr>
          <w:b/>
        </w:rPr>
        <w:t xml:space="preserve">Revízie posúdili od roku 2016 </w:t>
      </w:r>
      <w:r w:rsidRPr="00907F2E">
        <w:rPr>
          <w:b/>
          <w:szCs w:val="32"/>
        </w:rPr>
        <w:t xml:space="preserve">výdavky verejnej správy v hodnote približne </w:t>
      </w:r>
      <w:r w:rsidRPr="002300C8">
        <w:rPr>
          <w:b/>
          <w:szCs w:val="32"/>
        </w:rPr>
        <w:t>24% HDP</w:t>
      </w:r>
      <w:r w:rsidRPr="00907F2E">
        <w:rPr>
          <w:b/>
          <w:szCs w:val="32"/>
        </w:rPr>
        <w:t xml:space="preserve">, pričom identifikovali </w:t>
      </w:r>
      <w:r w:rsidRPr="00357DFA">
        <w:rPr>
          <w:b/>
          <w:szCs w:val="32"/>
        </w:rPr>
        <w:t>opatrenia za približne 0,9 % HDP.</w:t>
      </w:r>
      <w:r w:rsidRPr="00357DFA">
        <w:rPr>
          <w:szCs w:val="32"/>
        </w:rPr>
        <w:t xml:space="preserve"> </w:t>
      </w:r>
      <w:r w:rsidRPr="00357DFA">
        <w:t>V roku 2019 budú dokončené záverečné správy revízií na zdravotníctvo, pôdohospodárstvo, zamestnanosť a odmeňovanie v štátnej a verejnej správe, verejných výdavkov s dopadom na sociálne začleňovanie skupín ohrozených chudobou a sociálnym vylúčením a priebežná správa revízie výdavkov na kultúru.</w:t>
      </w:r>
      <w:r w:rsidR="00007C33" w:rsidRPr="00357DFA">
        <w:t xml:space="preserve"> Program stability predpokladá pre ďalšie roky revízie v sektor</w:t>
      </w:r>
      <w:r w:rsidR="0085303B">
        <w:t>och obrany a vnútra (</w:t>
      </w:r>
      <w:r w:rsidR="004E6808" w:rsidRPr="004E6808">
        <w:rPr>
          <w:color w:val="2C9ADC" w:themeColor="accent1"/>
        </w:rPr>
        <w:t>Príloha 8</w:t>
      </w:r>
      <w:r w:rsidR="00600C31" w:rsidRPr="004E6808">
        <w:rPr>
          <w:color w:val="2C9ADC" w:themeColor="accent1"/>
        </w:rPr>
        <w:t xml:space="preserve"> </w:t>
      </w:r>
      <w:r w:rsidR="00600C31" w:rsidRPr="00600C31">
        <w:t>a</w:t>
      </w:r>
      <w:r w:rsidR="004E6808">
        <w:t> </w:t>
      </w:r>
      <w:r w:rsidR="004E6808" w:rsidRPr="004E6808">
        <w:rPr>
          <w:color w:val="2C9ADC" w:themeColor="accent1"/>
        </w:rPr>
        <w:t>Príloha 9</w:t>
      </w:r>
      <w:r w:rsidR="00007C33" w:rsidRPr="00357DFA">
        <w:t>).</w:t>
      </w:r>
    </w:p>
    <w:tbl>
      <w:tblPr>
        <w:tblW w:w="9100" w:type="dxa"/>
        <w:jc w:val="center"/>
        <w:tblCellMar>
          <w:left w:w="70" w:type="dxa"/>
          <w:right w:w="70" w:type="dxa"/>
        </w:tblCellMar>
        <w:tblLook w:val="04A0" w:firstRow="1" w:lastRow="0" w:firstColumn="1" w:lastColumn="0" w:noHBand="0" w:noVBand="1"/>
      </w:tblPr>
      <w:tblGrid>
        <w:gridCol w:w="9418"/>
      </w:tblGrid>
      <w:tr w:rsidR="00841C05" w:rsidRPr="0074228D" w14:paraId="4BBE81BB" w14:textId="77777777" w:rsidTr="00193396">
        <w:trPr>
          <w:trHeight w:val="145"/>
          <w:jc w:val="center"/>
        </w:trPr>
        <w:tc>
          <w:tcPr>
            <w:tcW w:w="9100" w:type="dxa"/>
            <w:tcBorders>
              <w:top w:val="nil"/>
              <w:left w:val="nil"/>
              <w:bottom w:val="single" w:sz="6" w:space="0" w:color="auto"/>
              <w:right w:val="nil"/>
            </w:tcBorders>
            <w:vAlign w:val="center"/>
            <w:hideMark/>
          </w:tcPr>
          <w:p w14:paraId="2B35D87A" w14:textId="6D79C7BF" w:rsidR="00841C05" w:rsidRPr="0074228D" w:rsidRDefault="00841C05" w:rsidP="00387AE5">
            <w:pPr>
              <w:pStyle w:val="Nadpis3"/>
              <w:rPr>
                <w:bCs w:val="0"/>
                <w:color w:val="2C9ADC"/>
                <w:szCs w:val="20"/>
              </w:rPr>
            </w:pPr>
            <w:bookmarkStart w:id="234" w:name="_Toc6314277"/>
            <w:r w:rsidRPr="002E43AF">
              <w:rPr>
                <w:rFonts w:eastAsiaTheme="minorHAnsi"/>
                <w:color w:val="2C9ADC"/>
                <w:lang w:eastAsia="en-US"/>
              </w:rPr>
              <w:t xml:space="preserve">GRAF </w:t>
            </w:r>
            <w:r w:rsidRPr="002E43AF">
              <w:rPr>
                <w:rFonts w:eastAsiaTheme="minorHAnsi"/>
                <w:color w:val="2C9ADC"/>
                <w:lang w:eastAsia="en-US"/>
              </w:rPr>
              <w:fldChar w:fldCharType="begin"/>
            </w:r>
            <w:r w:rsidRPr="002E43AF">
              <w:rPr>
                <w:rFonts w:eastAsiaTheme="minorHAnsi"/>
                <w:color w:val="2C9ADC"/>
                <w:lang w:eastAsia="en-US"/>
              </w:rPr>
              <w:instrText xml:space="preserve"> SEQ GRAF \* ARABIC </w:instrText>
            </w:r>
            <w:r w:rsidRPr="002E43AF">
              <w:rPr>
                <w:rFonts w:eastAsiaTheme="minorHAnsi"/>
                <w:color w:val="2C9ADC"/>
                <w:lang w:eastAsia="en-US"/>
              </w:rPr>
              <w:fldChar w:fldCharType="separate"/>
            </w:r>
            <w:r w:rsidR="00D5739E">
              <w:rPr>
                <w:rFonts w:eastAsiaTheme="minorHAnsi"/>
                <w:noProof/>
                <w:color w:val="2C9ADC"/>
                <w:lang w:eastAsia="en-US"/>
              </w:rPr>
              <w:t>34</w:t>
            </w:r>
            <w:r w:rsidRPr="002E43AF">
              <w:rPr>
                <w:rFonts w:eastAsiaTheme="minorHAnsi"/>
                <w:color w:val="2C9ADC"/>
                <w:lang w:eastAsia="en-US"/>
              </w:rPr>
              <w:fldChar w:fldCharType="end"/>
            </w:r>
            <w:r w:rsidRPr="0074228D">
              <w:rPr>
                <w:bCs w:val="0"/>
                <w:color w:val="2C9ADC"/>
                <w:szCs w:val="20"/>
              </w:rPr>
              <w:t xml:space="preserve"> - Výdavky verejnej správy posúdené revíziou výdavkov (v % HDP)</w:t>
            </w:r>
            <w:r w:rsidRPr="0074228D">
              <w:rPr>
                <w:bCs w:val="0"/>
                <w:color w:val="2C9ADC" w:themeColor="accent1"/>
                <w:szCs w:val="20"/>
                <w:vertAlign w:val="superscript"/>
              </w:rPr>
              <w:footnoteReference w:id="66"/>
            </w:r>
            <w:bookmarkEnd w:id="234"/>
          </w:p>
        </w:tc>
      </w:tr>
      <w:tr w:rsidR="00841C05" w:rsidRPr="0074228D" w14:paraId="6A3803B5" w14:textId="77777777" w:rsidTr="00193396">
        <w:trPr>
          <w:trHeight w:val="145"/>
          <w:jc w:val="center"/>
        </w:trPr>
        <w:tc>
          <w:tcPr>
            <w:tcW w:w="9100" w:type="dxa"/>
            <w:tcBorders>
              <w:top w:val="single" w:sz="6" w:space="0" w:color="auto"/>
              <w:left w:val="nil"/>
              <w:bottom w:val="single" w:sz="6" w:space="0" w:color="auto"/>
              <w:right w:val="nil"/>
            </w:tcBorders>
            <w:hideMark/>
          </w:tcPr>
          <w:p w14:paraId="6683D2B9" w14:textId="77777777" w:rsidR="00841C05" w:rsidRPr="0074228D" w:rsidRDefault="00841C05" w:rsidP="00387AE5">
            <w:pPr>
              <w:jc w:val="center"/>
              <w:rPr>
                <w:rFonts w:cs="Arial"/>
                <w:b/>
                <w:bCs/>
                <w:sz w:val="16"/>
                <w:szCs w:val="16"/>
              </w:rPr>
            </w:pPr>
            <w:r w:rsidRPr="0074228D">
              <w:rPr>
                <w:noProof/>
              </w:rPr>
              <w:drawing>
                <wp:inline distT="0" distB="0" distL="0" distR="0" wp14:anchorId="68B9EBE0" wp14:editId="5AB3CCDC">
                  <wp:extent cx="5891842" cy="2242868"/>
                  <wp:effectExtent l="0" t="0" r="0" b="508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841C05" w:rsidRPr="00F5278A" w14:paraId="67C466E0" w14:textId="77777777" w:rsidTr="00193396">
        <w:trPr>
          <w:trHeight w:val="145"/>
          <w:jc w:val="center"/>
        </w:trPr>
        <w:tc>
          <w:tcPr>
            <w:tcW w:w="9100" w:type="dxa"/>
            <w:tcBorders>
              <w:top w:val="single" w:sz="6" w:space="0" w:color="auto"/>
              <w:left w:val="nil"/>
              <w:bottom w:val="nil"/>
              <w:right w:val="nil"/>
            </w:tcBorders>
            <w:hideMark/>
          </w:tcPr>
          <w:p w14:paraId="01F3244E" w14:textId="77777777" w:rsidR="00841C05" w:rsidRPr="0074228D" w:rsidRDefault="00841C05" w:rsidP="00387AE5">
            <w:pPr>
              <w:spacing w:before="40"/>
              <w:jc w:val="right"/>
              <w:rPr>
                <w:rFonts w:eastAsia="Calibri" w:cs="Times New Roman"/>
                <w:i/>
                <w:iCs/>
                <w:color w:val="000000"/>
                <w:sz w:val="16"/>
                <w:szCs w:val="16"/>
              </w:rPr>
            </w:pPr>
            <w:r w:rsidRPr="0074228D">
              <w:rPr>
                <w:rFonts w:eastAsia="Calibri" w:cs="Times New Roman"/>
                <w:i/>
                <w:iCs/>
                <w:color w:val="000000"/>
                <w:sz w:val="16"/>
                <w:szCs w:val="16"/>
              </w:rPr>
              <w:t xml:space="preserve">Zdroj: MF SR </w:t>
            </w:r>
          </w:p>
        </w:tc>
      </w:tr>
    </w:tbl>
    <w:bookmarkEnd w:id="233"/>
    <w:p w14:paraId="5A5F5CAF" w14:textId="459907A5" w:rsidR="00912D40" w:rsidRPr="00912D40" w:rsidRDefault="00912D40" w:rsidP="00912D40">
      <w:pPr>
        <w:pStyle w:val="Nadpis2"/>
        <w:keepLines/>
        <w:spacing w:before="240" w:after="120"/>
        <w:rPr>
          <w:rFonts w:cs="Arial"/>
          <w:b/>
          <w:bCs/>
          <w:iCs/>
          <w:color w:val="2C9ADC"/>
        </w:rPr>
      </w:pPr>
      <w:r>
        <w:rPr>
          <w:rFonts w:cs="Arial"/>
          <w:b/>
          <w:bCs/>
          <w:iCs/>
          <w:color w:val="2C9ADC"/>
        </w:rPr>
        <w:lastRenderedPageBreak/>
        <w:t>Odpočet plnenia opatrení identifikovaných z revízií výdavkov</w:t>
      </w:r>
    </w:p>
    <w:p w14:paraId="0FACE906" w14:textId="6F119DE6" w:rsidR="00912D40" w:rsidRDefault="00912D40" w:rsidP="00912D40">
      <w:pPr>
        <w:jc w:val="both"/>
      </w:pPr>
      <w:r>
        <w:rPr>
          <w:b/>
        </w:rPr>
        <w:t xml:space="preserve">Plnenie </w:t>
      </w:r>
      <w:r w:rsidRPr="00554B8F">
        <w:rPr>
          <w:b/>
        </w:rPr>
        <w:t>opatrení</w:t>
      </w:r>
      <w:r>
        <w:rPr>
          <w:b/>
        </w:rPr>
        <w:t xml:space="preserve"> identifikované revíziami výdavkov zvyšujúce h</w:t>
      </w:r>
      <w:r w:rsidRPr="00554B8F">
        <w:rPr>
          <w:b/>
        </w:rPr>
        <w:t>odnot</w:t>
      </w:r>
      <w:r>
        <w:rPr>
          <w:b/>
        </w:rPr>
        <w:t>u</w:t>
      </w:r>
      <w:r w:rsidRPr="00554B8F">
        <w:rPr>
          <w:b/>
        </w:rPr>
        <w:t xml:space="preserve"> za peniaze sa </w:t>
      </w:r>
      <w:r>
        <w:rPr>
          <w:b/>
        </w:rPr>
        <w:t xml:space="preserve">v roku 2018 </w:t>
      </w:r>
      <w:r w:rsidRPr="00554B8F">
        <w:rPr>
          <w:b/>
        </w:rPr>
        <w:t>mierne zlepšil</w:t>
      </w:r>
      <w:r>
        <w:rPr>
          <w:b/>
        </w:rPr>
        <w:t>o, na druhej strane finančné úspory sa nerealizovali.</w:t>
      </w:r>
      <w:r w:rsidRPr="00554B8F">
        <w:rPr>
          <w:b/>
        </w:rPr>
        <w:t xml:space="preserve"> </w:t>
      </w:r>
      <w:r w:rsidRPr="00554B8F">
        <w:t xml:space="preserve">Implementácia 184 opatrení je pomalá, v rozpočte </w:t>
      </w:r>
      <w:r>
        <w:t xml:space="preserve">plánovaná úspora </w:t>
      </w:r>
      <w:r w:rsidRPr="00554B8F">
        <w:t>v zdravotníctve a životnom prostredí pre rok 2018 vo výške 232 mil. eur nebola dosiahnutá. Rovnako nebola realizovaná ani potenciálna úspora v ďalších rezortoch.</w:t>
      </w:r>
    </w:p>
    <w:p w14:paraId="11E3863B" w14:textId="77777777" w:rsidR="00912D40" w:rsidRPr="00554B8F" w:rsidRDefault="00912D40" w:rsidP="00912D40">
      <w:pPr>
        <w:jc w:val="both"/>
      </w:pPr>
    </w:p>
    <w:p w14:paraId="77745595" w14:textId="789191E3" w:rsidR="00912D40" w:rsidRDefault="00912D40" w:rsidP="00912D40">
      <w:pPr>
        <w:jc w:val="both"/>
        <w:rPr>
          <w:rFonts w:eastAsia="Calibri" w:cs="Times New Roman"/>
        </w:rPr>
      </w:pPr>
      <w:r w:rsidRPr="00554B8F">
        <w:rPr>
          <w:b/>
        </w:rPr>
        <w:t>V hodnotovej oblasti došlo k výraznejšiemu posunu</w:t>
      </w:r>
      <w:r>
        <w:rPr>
          <w:b/>
        </w:rPr>
        <w:t xml:space="preserve"> oproti roku 2017</w:t>
      </w:r>
      <w:r w:rsidRPr="00554B8F">
        <w:rPr>
          <w:b/>
        </w:rPr>
        <w:t>.</w:t>
      </w:r>
      <w:r>
        <w:t xml:space="preserve"> M</w:t>
      </w:r>
      <w:r w:rsidRPr="00554B8F">
        <w:t>ožno vyzdvihnúť ohlásenú</w:t>
      </w:r>
      <w:r>
        <w:t xml:space="preserve"> koncepciu</w:t>
      </w:r>
      <w:r w:rsidRPr="00554B8F">
        <w:t xml:space="preserve"> stratifikácie v zdravotníctve, či </w:t>
      </w:r>
      <w:r>
        <w:t>zvýšenie poplatkov za skládkovanie</w:t>
      </w:r>
      <w:r w:rsidRPr="00554B8F">
        <w:t xml:space="preserve"> odpadov v životnom prostredí. </w:t>
      </w:r>
      <w:r>
        <w:t>Implementačnú výzvu pre rok 2019 predstavuje s</w:t>
      </w:r>
      <w:r w:rsidRPr="00554B8F">
        <w:t>tanovenie analyticky podložených investičných priorít (priori</w:t>
      </w:r>
      <w:r>
        <w:t>ti</w:t>
      </w:r>
      <w:r w:rsidRPr="00554B8F">
        <w:t xml:space="preserve">zácia) </w:t>
      </w:r>
      <w:r>
        <w:t>v </w:t>
      </w:r>
      <w:r w:rsidRPr="00554B8F">
        <w:t>rezor</w:t>
      </w:r>
      <w:r>
        <w:t xml:space="preserve">te </w:t>
      </w:r>
      <w:r w:rsidRPr="00554B8F">
        <w:t>dopravy</w:t>
      </w:r>
      <w:r>
        <w:t xml:space="preserve">, </w:t>
      </w:r>
      <w:r w:rsidRPr="00554B8F">
        <w:t xml:space="preserve">implementácia </w:t>
      </w:r>
      <w:r w:rsidRPr="00554B8F">
        <w:rPr>
          <w:rFonts w:eastAsia="Calibri" w:cs="Times New Roman"/>
        </w:rPr>
        <w:t>opatrení vedúcich k zvýšeniu efektívnosti dôchodkového sporenia a</w:t>
      </w:r>
      <w:r>
        <w:rPr>
          <w:rFonts w:eastAsia="Calibri" w:cs="Times New Roman"/>
        </w:rPr>
        <w:t>j zváženie zavedenia</w:t>
      </w:r>
      <w:r w:rsidRPr="00554B8F">
        <w:rPr>
          <w:rFonts w:eastAsia="Calibri" w:cs="Times New Roman"/>
        </w:rPr>
        <w:t xml:space="preserve"> flexibilného rodičovského príspevku pre rezort práce.</w:t>
      </w:r>
      <w:r w:rsidRPr="00554B8F">
        <w:rPr>
          <w:rFonts w:eastAsia="Calibri" w:cs="Times New Roman"/>
          <w:b/>
        </w:rPr>
        <w:t xml:space="preserve"> </w:t>
      </w:r>
      <w:r>
        <w:rPr>
          <w:rFonts w:eastAsia="Calibri" w:cs="Times New Roman"/>
        </w:rPr>
        <w:t>Rovnako tak odmeňovanie začínajúcic</w:t>
      </w:r>
      <w:r w:rsidR="00193396">
        <w:rPr>
          <w:rFonts w:eastAsia="Calibri" w:cs="Times New Roman"/>
        </w:rPr>
        <w:t>h učiteľov v rezorte školstva.</w:t>
      </w:r>
    </w:p>
    <w:p w14:paraId="5933D9B5" w14:textId="77777777" w:rsidR="00912D40" w:rsidRPr="00E53C0E" w:rsidRDefault="00912D40" w:rsidP="00912D40">
      <w:pPr>
        <w:jc w:val="both"/>
        <w:rPr>
          <w:rFonts w:eastAsia="Calibri" w:cs="Times New Roman"/>
        </w:rPr>
      </w:pPr>
    </w:p>
    <w:p w14:paraId="45041D21" w14:textId="703D1A48" w:rsidR="00912D40" w:rsidRDefault="00912D40" w:rsidP="00912D40">
      <w:pPr>
        <w:jc w:val="both"/>
      </w:pPr>
      <w:r w:rsidRPr="00E628E2">
        <w:rPr>
          <w:b/>
        </w:rPr>
        <w:t xml:space="preserve">V roku 2018 </w:t>
      </w:r>
      <w:r>
        <w:rPr>
          <w:b/>
        </w:rPr>
        <w:t xml:space="preserve">sa zlepšil proces výberu a hodnotenia </w:t>
      </w:r>
      <w:r w:rsidRPr="00E628E2">
        <w:rPr>
          <w:b/>
        </w:rPr>
        <w:t xml:space="preserve">investičných projektov v IT. </w:t>
      </w:r>
      <w:r>
        <w:t>A</w:t>
      </w:r>
      <w:r w:rsidRPr="00E628E2">
        <w:t>ktuali</w:t>
      </w:r>
      <w:r>
        <w:t>zácia</w:t>
      </w:r>
      <w:r w:rsidRPr="00E628E2">
        <w:t xml:space="preserve"> metodiky </w:t>
      </w:r>
      <w:r w:rsidRPr="00033680">
        <w:t xml:space="preserve">hodnotenia a </w:t>
      </w:r>
      <w:r w:rsidRPr="00560AC1">
        <w:t>z</w:t>
      </w:r>
      <w:r w:rsidRPr="00033680">
        <w:t xml:space="preserve">jednotenie pravidiel pre projekty </w:t>
      </w:r>
      <w:r w:rsidRPr="00560AC1">
        <w:t xml:space="preserve">financované zo štátneho rozpočtu a OP II </w:t>
      </w:r>
      <w:r>
        <w:t>sú</w:t>
      </w:r>
      <w:r w:rsidRPr="00E628E2">
        <w:t xml:space="preserve"> predpokladom pre </w:t>
      </w:r>
      <w:r>
        <w:t xml:space="preserve">lepší </w:t>
      </w:r>
      <w:r w:rsidRPr="00E628E2">
        <w:t xml:space="preserve">výber budúcich IT projektov. Úlohou naďalej ostáva zjednotenie metodík </w:t>
      </w:r>
      <w:r>
        <w:t xml:space="preserve">posudzovania návrhov </w:t>
      </w:r>
      <w:r w:rsidRPr="00E628E2">
        <w:t>IT projekt</w:t>
      </w:r>
      <w:r>
        <w:t>ov</w:t>
      </w:r>
      <w:r w:rsidRPr="00E628E2">
        <w:t xml:space="preserve"> </w:t>
      </w:r>
      <w:r>
        <w:t>v</w:t>
      </w:r>
      <w:r w:rsidRPr="00E628E2">
        <w:t xml:space="preserve"> in</w:t>
      </w:r>
      <w:r>
        <w:t>ých</w:t>
      </w:r>
      <w:r w:rsidRPr="00E628E2">
        <w:t xml:space="preserve"> operačn</w:t>
      </w:r>
      <w:r>
        <w:t>ých</w:t>
      </w:r>
      <w:r w:rsidRPr="00E628E2">
        <w:t xml:space="preserve"> program</w:t>
      </w:r>
      <w:r>
        <w:t>och</w:t>
      </w:r>
      <w:r w:rsidRPr="00E628E2">
        <w:t xml:space="preserve"> (napr. OP KŽP) a</w:t>
      </w:r>
      <w:r>
        <w:t> </w:t>
      </w:r>
      <w:r w:rsidRPr="00E628E2">
        <w:t>vypracovanie</w:t>
      </w:r>
      <w:r>
        <w:t xml:space="preserve"> rezortných CBA metodík objektivizujúcich rezortné špecifiká </w:t>
      </w:r>
      <w:r w:rsidRPr="00E628E2">
        <w:t>pr</w:t>
      </w:r>
      <w:r>
        <w:t>i</w:t>
      </w:r>
      <w:r w:rsidRPr="00E628E2">
        <w:t xml:space="preserve"> výber</w:t>
      </w:r>
      <w:r>
        <w:t>e</w:t>
      </w:r>
      <w:r w:rsidRPr="00E628E2">
        <w:t xml:space="preserve"> </w:t>
      </w:r>
      <w:r>
        <w:t>ostatných</w:t>
      </w:r>
      <w:r w:rsidRPr="00E628E2">
        <w:t xml:space="preserve"> investičných projektov.</w:t>
      </w:r>
    </w:p>
    <w:p w14:paraId="732628CD" w14:textId="77777777" w:rsidR="00912D40" w:rsidRDefault="00912D40" w:rsidP="00912D40">
      <w:pPr>
        <w:jc w:val="both"/>
        <w:rPr>
          <w:b/>
        </w:rPr>
      </w:pPr>
    </w:p>
    <w:p w14:paraId="49DE5953" w14:textId="69F98B5C" w:rsidR="00912D40" w:rsidRDefault="00912D40" w:rsidP="00912D40">
      <w:pPr>
        <w:jc w:val="both"/>
        <w:rPr>
          <w:b/>
          <w:bCs/>
        </w:rPr>
      </w:pPr>
      <w:r w:rsidRPr="00554B8F">
        <w:rPr>
          <w:rFonts w:eastAsia="Calibri" w:cs="Times New Roman"/>
          <w:b/>
        </w:rPr>
        <w:t>Kvalita dát, ich dostupnosť a validácia zostáva pre všetky rezorty i naďalej výzvou.</w:t>
      </w:r>
      <w:r w:rsidRPr="00554B8F">
        <w:rPr>
          <w:rFonts w:eastAsia="Calibri" w:cs="Times New Roman"/>
        </w:rPr>
        <w:t xml:space="preserve"> Pre kvalitný odpočet plnenia opatrení a tvorbu verejných politík je zároveň kľúčové aj zdieľanie dát medzi jednotlivými ústrednými orgánmi štátnej správy a </w:t>
      </w:r>
      <w:r>
        <w:rPr>
          <w:rFonts w:eastAsia="Calibri" w:cs="Times New Roman"/>
        </w:rPr>
        <w:t>ich podriadenými organizáciami, napr. pri dopracovaní</w:t>
      </w:r>
      <w:r w:rsidRPr="00025819">
        <w:rPr>
          <w:rFonts w:eastAsia="Calibri" w:cs="Times New Roman"/>
        </w:rPr>
        <w:t xml:space="preserve"> revízie výdavkov v osobnej železničnej doprave.</w:t>
      </w:r>
      <w:r>
        <w:rPr>
          <w:b/>
          <w:bCs/>
        </w:rPr>
        <w:t xml:space="preserve"> </w:t>
      </w:r>
    </w:p>
    <w:p w14:paraId="256437C4" w14:textId="77777777" w:rsidR="00912D40" w:rsidRDefault="00912D40" w:rsidP="00912D40">
      <w:pPr>
        <w:jc w:val="both"/>
        <w:rPr>
          <w:rFonts w:eastAsia="Calibri" w:cs="Times New Roman"/>
        </w:rPr>
      </w:pPr>
    </w:p>
    <w:p w14:paraId="721592ED" w14:textId="77777777" w:rsidR="00912D40" w:rsidRPr="00D70CFE" w:rsidRDefault="00912D40" w:rsidP="00912D40">
      <w:pPr>
        <w:jc w:val="both"/>
        <w:rPr>
          <w:rFonts w:eastAsia="Calibri" w:cs="Times New Roman"/>
        </w:rPr>
      </w:pPr>
      <w:r w:rsidRPr="00554B8F">
        <w:rPr>
          <w:b/>
        </w:rPr>
        <w:t>Plneniu opatrení v súlade s Implementačnými plánmi najčastejšie bráni rezortizmus</w:t>
      </w:r>
      <w:r w:rsidRPr="00554B8F">
        <w:t xml:space="preserve"> (napr. zákon o dlhodobej </w:t>
      </w:r>
      <w:r>
        <w:t xml:space="preserve">zdravotno-sociálnej </w:t>
      </w:r>
      <w:r w:rsidRPr="00554B8F">
        <w:t>starostlivosti), časové prieťahy v legislatívnom procese (napr. stratifikácia nemocníc alebo zákon o pedagogických a odborných zamestnancoch), ale aj zdĺhavý proces verejného obstarávania (investície do nemocníc</w:t>
      </w:r>
      <w:r>
        <w:t xml:space="preserve"> a dopravy</w:t>
      </w:r>
      <w:r w:rsidRPr="00554B8F">
        <w:t xml:space="preserve">). </w:t>
      </w:r>
      <w:r>
        <w:t>Preto</w:t>
      </w:r>
      <w:r w:rsidRPr="00554B8F">
        <w:rPr>
          <w:rFonts w:eastAsia="Calibri" w:cs="Times New Roman"/>
        </w:rPr>
        <w:t xml:space="preserve"> je nevyhnutné práce na jednotli</w:t>
      </w:r>
      <w:r>
        <w:rPr>
          <w:rFonts w:eastAsia="Calibri" w:cs="Times New Roman"/>
        </w:rPr>
        <w:t>vých opatreniach zrýchliť a prioritizovať ich v rámci agendy jednotlivých rezortov. V</w:t>
      </w:r>
      <w:r w:rsidRPr="00554B8F">
        <w:rPr>
          <w:rFonts w:eastAsia="Calibri" w:cs="Times New Roman"/>
        </w:rPr>
        <w:t xml:space="preserve">ýsledky </w:t>
      </w:r>
      <w:r>
        <w:rPr>
          <w:rFonts w:eastAsia="Calibri" w:cs="Times New Roman"/>
        </w:rPr>
        <w:t xml:space="preserve">je potrebné </w:t>
      </w:r>
      <w:r w:rsidRPr="00554B8F">
        <w:rPr>
          <w:rFonts w:eastAsia="Calibri" w:cs="Times New Roman"/>
        </w:rPr>
        <w:t>naplniť v súlade s Implementačnými plánmi pre rok 2019.</w:t>
      </w:r>
      <w:r w:rsidRPr="00D70CFE">
        <w:rPr>
          <w:rFonts w:eastAsia="Calibri" w:cs="Times New Roman"/>
        </w:rPr>
        <w:t xml:space="preserve"> </w:t>
      </w:r>
    </w:p>
    <w:p w14:paraId="7C9A8E60" w14:textId="77777777" w:rsidR="00841C05" w:rsidRDefault="00841C05" w:rsidP="00912D40">
      <w:pPr>
        <w:jc w:val="both"/>
        <w:rPr>
          <w:b/>
          <w:color w:val="2C9ADC" w:themeColor="accent1"/>
          <w:highlight w:val="yellow"/>
          <w:lang w:eastAsia="en-US"/>
        </w:rPr>
      </w:pPr>
      <w:r>
        <w:rPr>
          <w:b/>
          <w:color w:val="2C9ADC" w:themeColor="accent1"/>
          <w:highlight w:val="yellow"/>
          <w:lang w:eastAsia="en-US"/>
        </w:rPr>
        <w:br w:type="page"/>
      </w:r>
    </w:p>
    <w:p w14:paraId="7273A434" w14:textId="77777777" w:rsidR="00D73008" w:rsidRPr="00650F46" w:rsidRDefault="00D73008" w:rsidP="00152128">
      <w:pPr>
        <w:pStyle w:val="Nadpis1"/>
        <w:keepLines/>
        <w:numPr>
          <w:ilvl w:val="0"/>
          <w:numId w:val="2"/>
        </w:numPr>
        <w:spacing w:before="240" w:after="240"/>
        <w:rPr>
          <w:rFonts w:cs="Arial Narrow"/>
          <w:color w:val="2C9ADC"/>
          <w:szCs w:val="28"/>
        </w:rPr>
      </w:pPr>
      <w:bookmarkStart w:id="235" w:name="_Toc449430195"/>
      <w:bookmarkStart w:id="236" w:name="_Toc5869399"/>
      <w:r w:rsidRPr="00650F46">
        <w:rPr>
          <w:rFonts w:cs="Arial Narrow"/>
          <w:color w:val="2C9ADC"/>
          <w:szCs w:val="28"/>
        </w:rPr>
        <w:lastRenderedPageBreak/>
        <w:t>INŠTITUCIONÁLNE ASPEKTY VEREJNÝCH FINANCIÍ</w:t>
      </w:r>
      <w:bookmarkEnd w:id="235"/>
      <w:bookmarkEnd w:id="236"/>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D73008" w:rsidRPr="00650F46" w14:paraId="1F97795E" w14:textId="77777777" w:rsidTr="00387AE5">
        <w:tc>
          <w:tcPr>
            <w:tcW w:w="9072" w:type="dxa"/>
          </w:tcPr>
          <w:p w14:paraId="596F5833" w14:textId="18C490FA" w:rsidR="00D73008" w:rsidRPr="00650F46" w:rsidRDefault="00D73008" w:rsidP="00EA325A">
            <w:pPr>
              <w:jc w:val="both"/>
              <w:rPr>
                <w:i/>
                <w:highlight w:val="yellow"/>
              </w:rPr>
            </w:pPr>
            <w:r w:rsidRPr="00650F46">
              <w:rPr>
                <w:i/>
                <w:color w:val="000000" w:themeColor="text1"/>
              </w:rPr>
              <w:t xml:space="preserve">Do konca volebného obdobia </w:t>
            </w:r>
            <w:r>
              <w:rPr>
                <w:i/>
                <w:color w:val="000000" w:themeColor="text1"/>
              </w:rPr>
              <w:t xml:space="preserve">sa </w:t>
            </w:r>
            <w:r w:rsidRPr="00650F46">
              <w:rPr>
                <w:i/>
                <w:color w:val="000000" w:themeColor="text1"/>
              </w:rPr>
              <w:t>priprav</w:t>
            </w:r>
            <w:r>
              <w:rPr>
                <w:i/>
                <w:color w:val="000000" w:themeColor="text1"/>
              </w:rPr>
              <w:t>ia</w:t>
            </w:r>
            <w:r w:rsidRPr="00650F46">
              <w:rPr>
                <w:i/>
                <w:color w:val="000000" w:themeColor="text1"/>
              </w:rPr>
              <w:t xml:space="preserve"> viaceré varianty stanovenia výdavkových stropov</w:t>
            </w:r>
            <w:r w:rsidRPr="002C379F">
              <w:rPr>
                <w:i/>
                <w:color w:val="000000" w:themeColor="text1"/>
              </w:rPr>
              <w:t xml:space="preserve"> na nadchádzajúce volebné obdobie.</w:t>
            </w:r>
            <w:r>
              <w:rPr>
                <w:i/>
                <w:color w:val="000000" w:themeColor="text1"/>
              </w:rPr>
              <w:t xml:space="preserve"> </w:t>
            </w:r>
            <w:r w:rsidR="00EA325A">
              <w:rPr>
                <w:i/>
                <w:color w:val="000000" w:themeColor="text1"/>
              </w:rPr>
              <w:t>O</w:t>
            </w:r>
            <w:r w:rsidR="00EA325A" w:rsidRPr="002C379F">
              <w:rPr>
                <w:i/>
                <w:color w:val="000000" w:themeColor="text1"/>
              </w:rPr>
              <w:t>d roku 2020</w:t>
            </w:r>
            <w:r w:rsidR="00EA325A">
              <w:rPr>
                <w:i/>
                <w:color w:val="000000" w:themeColor="text1"/>
              </w:rPr>
              <w:t xml:space="preserve"> sa l</w:t>
            </w:r>
            <w:r>
              <w:rPr>
                <w:i/>
                <w:color w:val="000000" w:themeColor="text1"/>
              </w:rPr>
              <w:t xml:space="preserve">egislatívne ukotvuje </w:t>
            </w:r>
            <w:r w:rsidRPr="00650F46">
              <w:rPr>
                <w:i/>
                <w:color w:val="000000" w:themeColor="text1"/>
              </w:rPr>
              <w:t>projekt Hodnot</w:t>
            </w:r>
            <w:r>
              <w:rPr>
                <w:i/>
                <w:color w:val="000000" w:themeColor="text1"/>
              </w:rPr>
              <w:t>y</w:t>
            </w:r>
            <w:r w:rsidRPr="00650F46">
              <w:rPr>
                <w:i/>
                <w:color w:val="000000" w:themeColor="text1"/>
              </w:rPr>
              <w:t xml:space="preserve"> za peniaze</w:t>
            </w:r>
            <w:r>
              <w:rPr>
                <w:i/>
                <w:color w:val="000000" w:themeColor="text1"/>
              </w:rPr>
              <w:t xml:space="preserve"> v rozpočtovej praxi</w:t>
            </w:r>
            <w:r w:rsidRPr="002C379F">
              <w:rPr>
                <w:i/>
                <w:color w:val="000000" w:themeColor="text1"/>
              </w:rPr>
              <w:t>.</w:t>
            </w:r>
            <w:r>
              <w:rPr>
                <w:i/>
                <w:color w:val="000000" w:themeColor="text1"/>
              </w:rPr>
              <w:t xml:space="preserve"> </w:t>
            </w:r>
            <w:r>
              <w:rPr>
                <w:i/>
              </w:rPr>
              <w:t>Od roku 2020 sa tiež z</w:t>
            </w:r>
            <w:r w:rsidRPr="00650F46">
              <w:rPr>
                <w:i/>
              </w:rPr>
              <w:t>av</w:t>
            </w:r>
            <w:r>
              <w:rPr>
                <w:i/>
              </w:rPr>
              <w:t xml:space="preserve">ádza systém financovania zdravotníctva na základe reálnych potrieb rezortu. Od roku 2019 sa rozširuje rozsah povinne rozpočtovaných výdavkov a príjmov pre samosprávy. </w:t>
            </w:r>
          </w:p>
        </w:tc>
      </w:tr>
    </w:tbl>
    <w:p w14:paraId="1117C0A7" w14:textId="77777777" w:rsidR="00D73008" w:rsidRPr="00650F46" w:rsidRDefault="00D73008" w:rsidP="00D73008">
      <w:pPr>
        <w:jc w:val="both"/>
        <w:rPr>
          <w:highlight w:val="yellow"/>
        </w:rPr>
      </w:pPr>
    </w:p>
    <w:p w14:paraId="57466E4E" w14:textId="77777777" w:rsidR="00D73008" w:rsidRPr="00650F46" w:rsidRDefault="00D73008" w:rsidP="00D73008">
      <w:pPr>
        <w:pStyle w:val="Odsekzoznamu"/>
        <w:spacing w:after="240"/>
        <w:ind w:left="0"/>
        <w:contextualSpacing w:val="0"/>
        <w:jc w:val="both"/>
      </w:pPr>
      <w:r w:rsidRPr="00650F46">
        <w:rPr>
          <w:rFonts w:cs="Arial Narrow"/>
          <w:b/>
        </w:rPr>
        <w:t>Úlohou efektívnych fiškálnych rámcov je dlhodobé dosahovanie udržateľnej rozpočtovej pozície, proti-cyklická reakcia fiškálnej politiky a zabezpečenie efektívneho vynakladania verejných zdrojov</w:t>
      </w:r>
      <w:r w:rsidRPr="00650F46">
        <w:rPr>
          <w:rFonts w:cs="Arial Narrow"/>
        </w:rPr>
        <w:t>. Národný rámec fiškálnej politiky definuje súhrn pravidiel, predpisov a postupov, ktoré ovplyvňujú realizáciu národnej rozpočtovej politiky v podobe jej plánovania, schvaľovania, monitorovania a hodnotenia.</w:t>
      </w:r>
      <w:r w:rsidRPr="00650F46">
        <w:t xml:space="preserve"> Hovoríme najmä o:</w:t>
      </w:r>
    </w:p>
    <w:p w14:paraId="4402838C" w14:textId="77777777" w:rsidR="00D73008" w:rsidRPr="00650F46" w:rsidRDefault="00D73008" w:rsidP="00D73008">
      <w:pPr>
        <w:pStyle w:val="Odsekzoznamu"/>
        <w:spacing w:after="240"/>
        <w:ind w:left="0"/>
        <w:contextualSpacing w:val="0"/>
        <w:jc w:val="both"/>
      </w:pPr>
      <w:r w:rsidRPr="00650F46">
        <w:rPr>
          <w:b/>
        </w:rPr>
        <w:t>1) Národných fiškálnych pravidlách</w:t>
      </w:r>
      <w:r>
        <w:rPr>
          <w:rStyle w:val="Odkaznapoznmkupodiarou"/>
          <w:b/>
        </w:rPr>
        <w:footnoteReference w:id="67"/>
      </w:r>
      <w:r w:rsidRPr="00650F46">
        <w:rPr>
          <w:b/>
        </w:rPr>
        <w:t>,</w:t>
      </w:r>
      <w:r w:rsidRPr="00650F46">
        <w:t xml:space="preserve"> ktoré vytvárajú obmedzenia pre fiškálnu politiku prostredníctvom definovaných záväzných cieľov pre hlavné rozpočtové agregáty (verejné príjmy, verejné výdavky, deficit a dlh). Prispievajú k posilňovaniu rozpočtovej disciplíny, koordinácii verejných politík a znižovaniu neistoty ohľadom budúceho vývoja fiškálnej politiky. </w:t>
      </w:r>
    </w:p>
    <w:p w14:paraId="2F7D6A33" w14:textId="77777777" w:rsidR="00D73008" w:rsidRPr="00650F46" w:rsidRDefault="00D73008" w:rsidP="00D73008">
      <w:pPr>
        <w:pStyle w:val="Odsekzoznamu"/>
        <w:spacing w:after="240"/>
        <w:ind w:left="0"/>
        <w:contextualSpacing w:val="0"/>
        <w:jc w:val="both"/>
      </w:pPr>
      <w:r w:rsidRPr="00650F46">
        <w:rPr>
          <w:b/>
        </w:rPr>
        <w:t>2) Strednodobých rozpočtových rámcov,</w:t>
      </w:r>
      <w:r w:rsidRPr="00650F46">
        <w:t xml:space="preserve"> ktoré zabezpečujú prípravu, realizáciu, monitorovanie a záväznosť rozpočtovej politiky na viacročnom horizonte.</w:t>
      </w:r>
    </w:p>
    <w:p w14:paraId="79600648" w14:textId="77777777" w:rsidR="00D73008" w:rsidRPr="00650F46" w:rsidRDefault="00D73008" w:rsidP="00D73008">
      <w:pPr>
        <w:pStyle w:val="Odsekzoznamu"/>
        <w:spacing w:after="240"/>
        <w:ind w:left="0"/>
        <w:contextualSpacing w:val="0"/>
        <w:jc w:val="both"/>
      </w:pPr>
      <w:r w:rsidRPr="00650F46">
        <w:rPr>
          <w:b/>
        </w:rPr>
        <w:t>3) Nezávislých fiškálnych inštitúciách,</w:t>
      </w:r>
      <w:r w:rsidRPr="00650F46">
        <w:t xml:space="preserve"> ktoré produkujú nezávislé makroekonomické a daňové prognózy, monitorujú a hodnotia vývoj fiškálnej politiky a plnenie pravidiel rozpočtovej zodpovednosti a transparentnosti.</w:t>
      </w:r>
    </w:p>
    <w:p w14:paraId="73DDFD9A" w14:textId="77777777" w:rsidR="00D73008" w:rsidRPr="00ED2FED" w:rsidRDefault="00D73008" w:rsidP="00152128">
      <w:pPr>
        <w:pStyle w:val="Default"/>
        <w:spacing w:before="240" w:after="120"/>
        <w:jc w:val="both"/>
        <w:rPr>
          <w:rFonts w:ascii="Arial Narrow" w:hAnsi="Arial Narrow"/>
          <w:b/>
          <w:color w:val="2C9ADC" w:themeColor="accent1"/>
          <w:sz w:val="22"/>
          <w:szCs w:val="22"/>
          <w:lang w:val="sk-SK"/>
        </w:rPr>
      </w:pPr>
      <w:r>
        <w:rPr>
          <w:rFonts w:ascii="Arial Narrow" w:hAnsi="Arial Narrow"/>
          <w:b/>
          <w:color w:val="2C9ADC" w:themeColor="accent1"/>
          <w:sz w:val="22"/>
          <w:szCs w:val="22"/>
          <w:lang w:val="sk-SK"/>
        </w:rPr>
        <w:t>R</w:t>
      </w:r>
      <w:r w:rsidRPr="00ED2FED">
        <w:rPr>
          <w:rFonts w:ascii="Arial Narrow" w:hAnsi="Arial Narrow"/>
          <w:b/>
          <w:color w:val="2C9ADC" w:themeColor="accent1"/>
          <w:sz w:val="22"/>
          <w:szCs w:val="22"/>
          <w:lang w:val="sk-SK"/>
        </w:rPr>
        <w:t>iadenie rozpočtu cez výdavkové stropy</w:t>
      </w:r>
    </w:p>
    <w:p w14:paraId="2656EA1E" w14:textId="2D33308F" w:rsidR="00D73008" w:rsidRPr="00650F46" w:rsidRDefault="00D73008" w:rsidP="00D73008">
      <w:pPr>
        <w:jc w:val="both"/>
      </w:pPr>
      <w:r>
        <w:rPr>
          <w:b/>
        </w:rPr>
        <w:t>Na základe štúdie MF SR</w:t>
      </w:r>
      <w:r>
        <w:rPr>
          <w:rStyle w:val="Odkaznapoznmkupodiarou"/>
          <w:b/>
        </w:rPr>
        <w:footnoteReference w:id="68"/>
      </w:r>
      <w:r>
        <w:rPr>
          <w:b/>
        </w:rPr>
        <w:t xml:space="preserve"> z konca roka 2018 pokračuje </w:t>
      </w:r>
      <w:r w:rsidRPr="00ED2FED">
        <w:rPr>
          <w:b/>
        </w:rPr>
        <w:t>verejn</w:t>
      </w:r>
      <w:r>
        <w:rPr>
          <w:b/>
        </w:rPr>
        <w:t>á</w:t>
      </w:r>
      <w:r w:rsidRPr="00ED2FED">
        <w:rPr>
          <w:b/>
        </w:rPr>
        <w:t xml:space="preserve"> diskusi</w:t>
      </w:r>
      <w:r>
        <w:rPr>
          <w:b/>
        </w:rPr>
        <w:t>a</w:t>
      </w:r>
      <w:r w:rsidRPr="00ED2FED">
        <w:rPr>
          <w:b/>
        </w:rPr>
        <w:t xml:space="preserve"> v oblasti výdavkových stropov</w:t>
      </w:r>
      <w:r>
        <w:rPr>
          <w:b/>
        </w:rPr>
        <w:t>,</w:t>
      </w:r>
      <w:r w:rsidRPr="00650F46">
        <w:rPr>
          <w:b/>
        </w:rPr>
        <w:t xml:space="preserve"> ako potenciálneho operatívneho rozpočtového pravidla.</w:t>
      </w:r>
      <w:r w:rsidRPr="00650F46">
        <w:t xml:space="preserve"> </w:t>
      </w:r>
      <w:r>
        <w:t>V nadväznosti na diskusnú štúdiu sa vo februári 2019 uskutočnil aj pracovný seminár s domácimi a zahraničnými inštitúciami</w:t>
      </w:r>
      <w:r w:rsidRPr="00860BD5">
        <w:rPr>
          <w:rStyle w:val="Odkaznapoznmkupodiarou"/>
        </w:rPr>
        <w:footnoteReference w:id="69"/>
      </w:r>
      <w:r>
        <w:t>, ktorého výstup slúži</w:t>
      </w:r>
      <w:r w:rsidRPr="00650F46">
        <w:t xml:space="preserve"> </w:t>
      </w:r>
      <w:r>
        <w:t>k budovaniu</w:t>
      </w:r>
      <w:r w:rsidRPr="00650F46">
        <w:t xml:space="preserve"> konsenzu v rámci odbornej verejnosti</w:t>
      </w:r>
      <w:r>
        <w:t>.</w:t>
      </w:r>
    </w:p>
    <w:p w14:paraId="6F604D66" w14:textId="77777777" w:rsidR="00D73008" w:rsidRPr="00204D8C" w:rsidRDefault="00D73008" w:rsidP="00D73008">
      <w:pPr>
        <w:jc w:val="both"/>
      </w:pPr>
    </w:p>
    <w:p w14:paraId="5C862D5A" w14:textId="6A315FB2" w:rsidR="00D73008" w:rsidRDefault="00D73008" w:rsidP="00D73008">
      <w:pPr>
        <w:jc w:val="both"/>
      </w:pPr>
      <w:r>
        <w:rPr>
          <w:b/>
        </w:rPr>
        <w:t>Po zohľadnení</w:t>
      </w:r>
      <w:r w:rsidRPr="00204D8C">
        <w:rPr>
          <w:b/>
        </w:rPr>
        <w:t xml:space="preserve"> </w:t>
      </w:r>
      <w:r>
        <w:rPr>
          <w:b/>
        </w:rPr>
        <w:t xml:space="preserve">prebiehajúceho </w:t>
      </w:r>
      <w:r w:rsidRPr="00204D8C">
        <w:rPr>
          <w:b/>
        </w:rPr>
        <w:t xml:space="preserve">dialógu s odbornou verejnosťou pripraví </w:t>
      </w:r>
      <w:r>
        <w:rPr>
          <w:b/>
        </w:rPr>
        <w:t xml:space="preserve">MF SR </w:t>
      </w:r>
      <w:r w:rsidRPr="00204D8C">
        <w:rPr>
          <w:b/>
        </w:rPr>
        <w:t>do konca aktuálneho volebného obdobia varianty stanovenia výdavkových limitov</w:t>
      </w:r>
      <w:r w:rsidR="000837BD">
        <w:rPr>
          <w:b/>
        </w:rPr>
        <w:t xml:space="preserve">. </w:t>
      </w:r>
      <w:r w:rsidRPr="00204D8C">
        <w:t>Jednotlivé alternatívy budú vychádzať z existujúcich európskych ako aj národných rozpočtových pravidiel a budú rozpracované do detailnej podoby, aby bolo možné simulovať ich fungovanie, ako aj potrebné inštitucionálne zmeny. Diskusia k výberu najvhodnejšej alternatívy bude prebiehať v priebehu nasledujúceho volebného cyklu. Na základe simulácie bude nadchádzajúca vláda môcť rozhodnúť o najlepšej alternatíve pre slovenskú rozpočtovú prax a upraviť legislatívu.</w:t>
      </w:r>
    </w:p>
    <w:p w14:paraId="2286B3BC" w14:textId="77777777" w:rsidR="00D73008" w:rsidRPr="00650F46" w:rsidRDefault="00D73008" w:rsidP="00152128">
      <w:pPr>
        <w:pStyle w:val="Default"/>
        <w:spacing w:before="240" w:after="120"/>
        <w:jc w:val="both"/>
        <w:rPr>
          <w:rFonts w:ascii="Arial Narrow" w:hAnsi="Arial Narrow"/>
          <w:b/>
          <w:color w:val="2C9ADC" w:themeColor="accent1"/>
          <w:sz w:val="22"/>
          <w:szCs w:val="22"/>
          <w:lang w:val="sk-SK"/>
        </w:rPr>
      </w:pPr>
      <w:r w:rsidRPr="00650F46">
        <w:rPr>
          <w:rFonts w:ascii="Arial Narrow" w:hAnsi="Arial Narrow"/>
          <w:b/>
          <w:color w:val="2C9ADC" w:themeColor="accent1"/>
          <w:sz w:val="22"/>
          <w:szCs w:val="22"/>
          <w:lang w:val="sk-SK"/>
        </w:rPr>
        <w:t>Ukotvenie projektu Hodnoty za peniaze v zákone o rozpočtových pravidlách</w:t>
      </w:r>
    </w:p>
    <w:p w14:paraId="24A9E533" w14:textId="549307F6" w:rsidR="00D73008" w:rsidRPr="00650F46" w:rsidRDefault="00D73008" w:rsidP="00D73008">
      <w:pPr>
        <w:pStyle w:val="Default"/>
        <w:spacing w:after="120"/>
        <w:jc w:val="both"/>
        <w:rPr>
          <w:rFonts w:ascii="Arial Narrow" w:hAnsi="Arial Narrow"/>
          <w:b/>
          <w:color w:val="auto"/>
          <w:sz w:val="22"/>
          <w:szCs w:val="22"/>
          <w:lang w:val="sk-SK"/>
        </w:rPr>
      </w:pPr>
      <w:r w:rsidRPr="00650F46">
        <w:rPr>
          <w:rFonts w:ascii="Arial Narrow" w:hAnsi="Arial Narrow"/>
          <w:b/>
          <w:color w:val="auto"/>
          <w:sz w:val="22"/>
          <w:szCs w:val="22"/>
          <w:lang w:val="sk-SK"/>
        </w:rPr>
        <w:t>Koncom roka 2018 bola schválená novela zákona o rozpočtových pravidlách</w:t>
      </w:r>
      <w:r w:rsidR="00DC0B2E">
        <w:rPr>
          <w:rFonts w:ascii="Arial Narrow" w:hAnsi="Arial Narrow"/>
          <w:b/>
          <w:color w:val="auto"/>
          <w:sz w:val="22"/>
          <w:szCs w:val="22"/>
          <w:lang w:val="sk-SK"/>
        </w:rPr>
        <w:t xml:space="preserve"> verejnej správy</w:t>
      </w:r>
      <w:r w:rsidRPr="00650F46">
        <w:rPr>
          <w:rFonts w:ascii="Arial Narrow" w:hAnsi="Arial Narrow"/>
          <w:b/>
          <w:color w:val="auto"/>
          <w:sz w:val="22"/>
          <w:szCs w:val="22"/>
          <w:lang w:val="sk-SK"/>
        </w:rPr>
        <w:t xml:space="preserve">, ktorá </w:t>
      </w:r>
      <w:r>
        <w:rPr>
          <w:rFonts w:ascii="Arial Narrow" w:hAnsi="Arial Narrow"/>
          <w:b/>
          <w:color w:val="auto"/>
          <w:sz w:val="22"/>
          <w:szCs w:val="22"/>
          <w:lang w:val="sk-SK"/>
        </w:rPr>
        <w:t>inštitucionalizuje</w:t>
      </w:r>
      <w:r w:rsidRPr="00650F46">
        <w:rPr>
          <w:rFonts w:ascii="Arial Narrow" w:hAnsi="Arial Narrow"/>
          <w:b/>
          <w:color w:val="auto"/>
          <w:sz w:val="22"/>
          <w:szCs w:val="22"/>
          <w:lang w:val="sk-SK"/>
        </w:rPr>
        <w:t xml:space="preserve"> projekt Hodnota za peniaze</w:t>
      </w:r>
      <w:r w:rsidR="00F33333">
        <w:rPr>
          <w:rFonts w:ascii="Arial Narrow" w:hAnsi="Arial Narrow"/>
          <w:b/>
          <w:color w:val="auto"/>
          <w:sz w:val="22"/>
          <w:szCs w:val="22"/>
          <w:lang w:val="sk-SK"/>
        </w:rPr>
        <w:t xml:space="preserve"> (s účinnosťou od 1.1.2020).</w:t>
      </w:r>
    </w:p>
    <w:p w14:paraId="24CAAE52" w14:textId="76390DDF" w:rsidR="00D73008" w:rsidRPr="008827E5" w:rsidRDefault="00F33333" w:rsidP="00D73008">
      <w:pPr>
        <w:pStyle w:val="Default"/>
        <w:numPr>
          <w:ilvl w:val="0"/>
          <w:numId w:val="15"/>
        </w:numPr>
        <w:spacing w:before="240" w:after="120"/>
        <w:ind w:left="360"/>
        <w:jc w:val="both"/>
        <w:rPr>
          <w:rFonts w:ascii="Arial Narrow" w:hAnsi="Arial Narrow"/>
          <w:color w:val="2C9ADC" w:themeColor="accent1"/>
          <w:sz w:val="22"/>
          <w:szCs w:val="22"/>
          <w:lang w:val="sk-SK"/>
        </w:rPr>
      </w:pPr>
      <w:r>
        <w:rPr>
          <w:rFonts w:ascii="Arial Narrow" w:hAnsi="Arial Narrow"/>
          <w:sz w:val="22"/>
          <w:szCs w:val="22"/>
          <w:lang w:val="sk-SK"/>
        </w:rPr>
        <w:t>L</w:t>
      </w:r>
      <w:r w:rsidR="00D73008" w:rsidRPr="008827E5">
        <w:rPr>
          <w:rFonts w:ascii="Arial Narrow" w:hAnsi="Arial Narrow"/>
          <w:sz w:val="22"/>
          <w:szCs w:val="22"/>
          <w:lang w:val="sk-SK"/>
        </w:rPr>
        <w:t xml:space="preserve">egislatívne sa </w:t>
      </w:r>
      <w:r w:rsidR="00D73008">
        <w:rPr>
          <w:rFonts w:ascii="Arial Narrow" w:hAnsi="Arial Narrow"/>
          <w:sz w:val="22"/>
          <w:szCs w:val="22"/>
          <w:lang w:val="sk-SK"/>
        </w:rPr>
        <w:t>ukotvuje</w:t>
      </w:r>
      <w:r w:rsidR="00D73008" w:rsidRPr="008827E5">
        <w:rPr>
          <w:rFonts w:ascii="Arial Narrow" w:hAnsi="Arial Narrow"/>
          <w:sz w:val="22"/>
          <w:szCs w:val="22"/>
          <w:lang w:val="sk-SK"/>
        </w:rPr>
        <w:t xml:space="preserve"> povinnosť MF SR posudzovať </w:t>
      </w:r>
      <w:r w:rsidR="00D73008" w:rsidRPr="007643E5">
        <w:rPr>
          <w:rFonts w:ascii="Arial Narrow" w:hAnsi="Arial Narrow"/>
          <w:sz w:val="22"/>
          <w:szCs w:val="22"/>
          <w:lang w:val="sk-SK"/>
        </w:rPr>
        <w:t>všetky investície</w:t>
      </w:r>
      <w:r w:rsidR="00D73008">
        <w:rPr>
          <w:rFonts w:ascii="Arial Narrow" w:hAnsi="Arial Narrow"/>
          <w:sz w:val="22"/>
          <w:szCs w:val="22"/>
          <w:lang w:val="sk-SK"/>
        </w:rPr>
        <w:t xml:space="preserve"> r</w:t>
      </w:r>
      <w:r w:rsidR="00D73008" w:rsidRPr="008B7077">
        <w:rPr>
          <w:rFonts w:ascii="Arial Narrow" w:hAnsi="Arial Narrow"/>
          <w:sz w:val="22"/>
          <w:szCs w:val="22"/>
          <w:lang w:val="sk-SK"/>
        </w:rPr>
        <w:t xml:space="preserve">ozpočtových </w:t>
      </w:r>
      <w:r w:rsidR="00DC0B2E">
        <w:rPr>
          <w:rFonts w:ascii="Arial Narrow" w:hAnsi="Arial Narrow"/>
          <w:sz w:val="22"/>
          <w:szCs w:val="22"/>
          <w:lang w:val="sk-SK"/>
        </w:rPr>
        <w:t xml:space="preserve">a príspevkových </w:t>
      </w:r>
      <w:r w:rsidR="00D73008" w:rsidRPr="008B7077">
        <w:rPr>
          <w:rFonts w:ascii="Arial Narrow" w:hAnsi="Arial Narrow"/>
          <w:sz w:val="22"/>
          <w:szCs w:val="22"/>
          <w:lang w:val="sk-SK"/>
        </w:rPr>
        <w:t>organizácii a vybraných podnikov</w:t>
      </w:r>
      <w:r w:rsidR="00D73008" w:rsidRPr="007643E5">
        <w:rPr>
          <w:rFonts w:ascii="Arial Narrow" w:hAnsi="Arial Narrow"/>
          <w:sz w:val="22"/>
          <w:szCs w:val="22"/>
          <w:lang w:val="sk-SK"/>
        </w:rPr>
        <w:t xml:space="preserve"> nad 40 mil. eur (10 mil. eur pri IT)</w:t>
      </w:r>
      <w:r w:rsidR="00070E0E">
        <w:rPr>
          <w:rStyle w:val="Odkaznapoznmkupodiarou"/>
          <w:sz w:val="22"/>
          <w:szCs w:val="22"/>
        </w:rPr>
        <w:footnoteReference w:id="70"/>
      </w:r>
      <w:r w:rsidR="00D73008" w:rsidRPr="007643E5">
        <w:rPr>
          <w:rFonts w:ascii="Arial Narrow" w:hAnsi="Arial Narrow"/>
          <w:sz w:val="22"/>
          <w:szCs w:val="22"/>
          <w:lang w:val="sk-SK"/>
        </w:rPr>
        <w:t>, pričom zákon priamo požaduje aj súčinnosť ostatných kapitol.</w:t>
      </w:r>
    </w:p>
    <w:p w14:paraId="0E8E3CA2" w14:textId="3739B4CA" w:rsidR="00D73008" w:rsidRPr="008827E5" w:rsidRDefault="00F33333" w:rsidP="00D73008">
      <w:pPr>
        <w:pStyle w:val="Odsekzoznamu"/>
        <w:numPr>
          <w:ilvl w:val="0"/>
          <w:numId w:val="15"/>
        </w:numPr>
        <w:ind w:left="360"/>
        <w:jc w:val="both"/>
        <w:rPr>
          <w:bCs/>
        </w:rPr>
      </w:pPr>
      <w:r>
        <w:rPr>
          <w:bCs/>
        </w:rPr>
        <w:lastRenderedPageBreak/>
        <w:t>P</w:t>
      </w:r>
      <w:r w:rsidR="00DC0B2E" w:rsidRPr="00DA5587">
        <w:rPr>
          <w:bCs/>
        </w:rPr>
        <w:t>očas štyroch rokov od schválenia</w:t>
      </w:r>
      <w:r w:rsidR="00DC0B2E">
        <w:rPr>
          <w:bCs/>
        </w:rPr>
        <w:t xml:space="preserve"> </w:t>
      </w:r>
      <w:r w:rsidR="00DC0B2E" w:rsidRPr="00DA5587">
        <w:rPr>
          <w:bCs/>
        </w:rPr>
        <w:t xml:space="preserve">programového vyhlásenia vlády </w:t>
      </w:r>
      <w:r w:rsidR="00DC0B2E">
        <w:rPr>
          <w:bCs/>
        </w:rPr>
        <w:t xml:space="preserve">prebehnú </w:t>
      </w:r>
      <w:r w:rsidR="00D73008" w:rsidRPr="00DA5587">
        <w:rPr>
          <w:bCs/>
        </w:rPr>
        <w:t>revízie výdavkov v rozsahu najmenej 50 % výdavkov verejnej správy</w:t>
      </w:r>
      <w:r w:rsidR="00DC0B2E">
        <w:rPr>
          <w:rStyle w:val="Odkaznapoznmkupodiarou"/>
          <w:bCs/>
        </w:rPr>
        <w:footnoteReference w:id="71"/>
      </w:r>
      <w:r w:rsidR="00DC0B2E">
        <w:rPr>
          <w:bCs/>
        </w:rPr>
        <w:t xml:space="preserve">, </w:t>
      </w:r>
      <w:r w:rsidR="00DC0B2E" w:rsidRPr="007643E5">
        <w:t>pričom zákon priamo požaduje aj súčinnosť ostatných kapitol.</w:t>
      </w:r>
    </w:p>
    <w:p w14:paraId="01B8D937" w14:textId="77777777" w:rsidR="00D73008" w:rsidRPr="008827E5" w:rsidRDefault="00D73008" w:rsidP="00D73008">
      <w:pPr>
        <w:pStyle w:val="Odsekzoznamu"/>
        <w:ind w:left="360"/>
        <w:jc w:val="both"/>
        <w:rPr>
          <w:bCs/>
        </w:rPr>
      </w:pPr>
    </w:p>
    <w:p w14:paraId="2B71B599" w14:textId="16A0CE54" w:rsidR="00D73008" w:rsidRPr="008827E5" w:rsidRDefault="00F33333" w:rsidP="00D73008">
      <w:pPr>
        <w:pStyle w:val="Odsekzoznamu"/>
        <w:numPr>
          <w:ilvl w:val="0"/>
          <w:numId w:val="15"/>
        </w:numPr>
        <w:ind w:left="360"/>
        <w:jc w:val="both"/>
        <w:rPr>
          <w:bCs/>
        </w:rPr>
      </w:pPr>
      <w:r>
        <w:rPr>
          <w:bCs/>
        </w:rPr>
        <w:t>M</w:t>
      </w:r>
      <w:r w:rsidR="00D73008" w:rsidRPr="008827E5">
        <w:rPr>
          <w:bCs/>
        </w:rPr>
        <w:t>inisterstvo financií bude spolu s návrhom rozpočtu verejnej správy predkladať aj hodnotenie plnenia opatrení navrhnutých v revízii výdavkov</w:t>
      </w:r>
      <w:r w:rsidR="001F6CC6">
        <w:t>.</w:t>
      </w:r>
    </w:p>
    <w:p w14:paraId="44508547" w14:textId="62D241F8" w:rsidR="00D73008" w:rsidRPr="00204D8C" w:rsidRDefault="00F33333" w:rsidP="00D73008">
      <w:pPr>
        <w:pStyle w:val="Default"/>
        <w:numPr>
          <w:ilvl w:val="0"/>
          <w:numId w:val="15"/>
        </w:numPr>
        <w:spacing w:before="240" w:after="120"/>
        <w:ind w:left="360"/>
        <w:jc w:val="both"/>
        <w:rPr>
          <w:rFonts w:ascii="Arial Narrow" w:hAnsi="Arial Narrow"/>
          <w:color w:val="2C9ADC" w:themeColor="accent1"/>
          <w:sz w:val="22"/>
          <w:szCs w:val="22"/>
          <w:lang w:val="sk-SK"/>
        </w:rPr>
      </w:pPr>
      <w:r>
        <w:rPr>
          <w:rFonts w:ascii="Arial Narrow" w:hAnsi="Arial Narrow"/>
          <w:sz w:val="22"/>
          <w:szCs w:val="22"/>
          <w:lang w:val="sk-SK"/>
        </w:rPr>
        <w:t>P</w:t>
      </w:r>
      <w:r w:rsidR="00D73008" w:rsidRPr="00204D8C">
        <w:rPr>
          <w:rFonts w:ascii="Arial Narrow" w:hAnsi="Arial Narrow"/>
          <w:sz w:val="22"/>
          <w:szCs w:val="22"/>
          <w:lang w:val="sk-SK"/>
        </w:rPr>
        <w:t>o novom bude subjekt verejnej správy</w:t>
      </w:r>
      <w:r w:rsidR="00D73008" w:rsidRPr="00204D8C">
        <w:rPr>
          <w:rStyle w:val="Odkaznapoznmkupodiarou"/>
          <w:sz w:val="22"/>
          <w:szCs w:val="22"/>
        </w:rPr>
        <w:footnoteReference w:id="72"/>
      </w:r>
      <w:r w:rsidR="00D73008" w:rsidRPr="00204D8C">
        <w:rPr>
          <w:rFonts w:ascii="Arial Narrow" w:hAnsi="Arial Narrow"/>
          <w:sz w:val="22"/>
          <w:szCs w:val="22"/>
          <w:lang w:val="sk-SK"/>
        </w:rPr>
        <w:t xml:space="preserve"> povinný vypracovať a zverejniť štúdiu</w:t>
      </w:r>
      <w:r w:rsidR="00D73008" w:rsidRPr="00204D8C">
        <w:rPr>
          <w:rStyle w:val="Odkaznapoznmkupodiarou"/>
          <w:sz w:val="22"/>
          <w:szCs w:val="22"/>
        </w:rPr>
        <w:footnoteReference w:id="73"/>
      </w:r>
      <w:r w:rsidR="00D73008" w:rsidRPr="00204D8C">
        <w:rPr>
          <w:rFonts w:ascii="Arial Narrow" w:hAnsi="Arial Narrow"/>
          <w:sz w:val="22"/>
          <w:szCs w:val="22"/>
          <w:lang w:val="sk-SK"/>
        </w:rPr>
        <w:t xml:space="preserve"> uskutočniteľnosti investície</w:t>
      </w:r>
      <w:r w:rsidR="00D73008" w:rsidRPr="00204D8C">
        <w:rPr>
          <w:rStyle w:val="Odkaznapoznmkupodiarou"/>
          <w:sz w:val="22"/>
          <w:szCs w:val="22"/>
        </w:rPr>
        <w:footnoteReference w:id="74"/>
      </w:r>
      <w:r w:rsidR="00D73008" w:rsidRPr="00204D8C">
        <w:rPr>
          <w:rFonts w:ascii="Arial Narrow" w:hAnsi="Arial Narrow"/>
          <w:sz w:val="22"/>
          <w:szCs w:val="22"/>
          <w:lang w:val="sk-SK"/>
        </w:rPr>
        <w:t xml:space="preserve"> a koncesie. Samotné hodnotenie štúdie uskutočniteľnosti bude vypracovávať a zverejňovať </w:t>
      </w:r>
      <w:r w:rsidR="00D73008">
        <w:rPr>
          <w:rFonts w:ascii="Arial Narrow" w:hAnsi="Arial Narrow"/>
          <w:sz w:val="22"/>
          <w:szCs w:val="22"/>
          <w:lang w:val="sk-SK"/>
        </w:rPr>
        <w:t>m</w:t>
      </w:r>
      <w:r w:rsidR="00D73008" w:rsidRPr="00204D8C">
        <w:rPr>
          <w:rFonts w:ascii="Arial Narrow" w:hAnsi="Arial Narrow"/>
          <w:sz w:val="22"/>
          <w:szCs w:val="22"/>
          <w:lang w:val="sk-SK"/>
        </w:rPr>
        <w:t>inisterstvo financií</w:t>
      </w:r>
      <w:r w:rsidR="001F6CC6">
        <w:rPr>
          <w:rFonts w:ascii="Arial Narrow" w:hAnsi="Arial Narrow"/>
          <w:sz w:val="22"/>
          <w:szCs w:val="22"/>
          <w:lang w:val="sk-SK"/>
        </w:rPr>
        <w:t>.</w:t>
      </w:r>
    </w:p>
    <w:p w14:paraId="6015C557" w14:textId="77777777" w:rsidR="00D73008" w:rsidRPr="00A826F6" w:rsidRDefault="00D73008" w:rsidP="00152128">
      <w:pPr>
        <w:pStyle w:val="Default"/>
        <w:spacing w:before="240" w:after="120"/>
        <w:jc w:val="both"/>
        <w:rPr>
          <w:rFonts w:ascii="Arial Narrow" w:hAnsi="Arial Narrow"/>
          <w:b/>
          <w:color w:val="2C9ADC" w:themeColor="accent1"/>
          <w:sz w:val="22"/>
          <w:szCs w:val="22"/>
          <w:lang w:val="sk-SK"/>
        </w:rPr>
      </w:pPr>
      <w:r>
        <w:rPr>
          <w:rFonts w:ascii="Arial Narrow" w:hAnsi="Arial Narrow"/>
          <w:b/>
          <w:color w:val="2C9ADC" w:themeColor="accent1"/>
          <w:sz w:val="22"/>
          <w:szCs w:val="22"/>
          <w:lang w:val="sk-SK"/>
        </w:rPr>
        <w:t>Výsledkové rozpočtovanie v zdravotníctve</w:t>
      </w:r>
    </w:p>
    <w:p w14:paraId="3E407E8F" w14:textId="77777777" w:rsidR="00D73008" w:rsidRDefault="00D73008" w:rsidP="00D73008">
      <w:pPr>
        <w:jc w:val="both"/>
        <w:rPr>
          <w:rFonts w:cs="Times New Roman"/>
        </w:rPr>
      </w:pPr>
      <w:r>
        <w:rPr>
          <w:b/>
          <w:bCs/>
        </w:rPr>
        <w:t xml:space="preserve">Zmena spôsobu financovania zdravotníctva umožní lepšie určiť celkový balík výdavkov na zdravotníctvo. </w:t>
      </w:r>
      <w:r>
        <w:t>Verejné zdravotné poistenie je v súčasnosti financované odvodmi pracujúcich poistencov a platbou štátu za ekonomicky neaktívnych poistencov (napr. deti, dôchodcovia, študenti), ktorá je naviazaná na priemernú mzdu. Tento systém kopíruje hospodársky cyklus, čím umožňuje míňať viac, keď ekonomika rastie a núti šetriť, keď sa hospodárstvu nedarí. Po novom budú východiskovým bodom v diskusii o každoročnej platbe štátu reálne potreby rezortu, čím sa zníži prepojenie na ekonomický cyklus. Zmena bola v parlamente schválená v novembri 2018</w:t>
      </w:r>
      <w:r>
        <w:rPr>
          <w:rStyle w:val="Odkaznapoznmkupodiarou"/>
        </w:rPr>
        <w:footnoteReference w:id="75"/>
      </w:r>
      <w:r>
        <w:t xml:space="preserve"> s platnosťou od 1.1.2020.</w:t>
      </w:r>
    </w:p>
    <w:p w14:paraId="4B4419A0" w14:textId="77777777" w:rsidR="00D73008" w:rsidRDefault="00D73008" w:rsidP="00D73008">
      <w:pPr>
        <w:jc w:val="both"/>
        <w:rPr>
          <w:b/>
          <w:bCs/>
        </w:rPr>
      </w:pPr>
    </w:p>
    <w:p w14:paraId="0E97FBA0" w14:textId="77777777" w:rsidR="00D73008" w:rsidRDefault="00D73008" w:rsidP="00D73008">
      <w:pPr>
        <w:jc w:val="both"/>
      </w:pPr>
      <w:r w:rsidRPr="00C42928">
        <w:rPr>
          <w:b/>
        </w:rPr>
        <w:t>Počas roka 2019 prebiehajú prípravy na</w:t>
      </w:r>
      <w:r w:rsidRPr="00204D8C">
        <w:t xml:space="preserve"> </w:t>
      </w:r>
      <w:r>
        <w:rPr>
          <w:b/>
        </w:rPr>
        <w:t>z</w:t>
      </w:r>
      <w:r w:rsidRPr="00204D8C">
        <w:rPr>
          <w:b/>
        </w:rPr>
        <w:t>avedenie systému rozpočtovania založeného na výsledkoch</w:t>
      </w:r>
      <w:r w:rsidRPr="00204D8C">
        <w:t xml:space="preserve">. </w:t>
      </w:r>
      <w:r w:rsidRPr="00204D8C">
        <w:rPr>
          <w:bCs/>
        </w:rPr>
        <w:t>Dôraz na výsledky v zdravotníctve je možné podporiť zlepšením spôsobu rozpočtovania výdavkov na zdravotníctvo.</w:t>
      </w:r>
      <w:r w:rsidRPr="00204D8C">
        <w:t xml:space="preserve"> Účinným nástrojom tohto systému je programové rozpočtovanie, ktoré </w:t>
      </w:r>
      <w:r>
        <w:rPr>
          <w:lang w:eastAsia="en-US"/>
        </w:rPr>
        <w:t xml:space="preserve">bolo </w:t>
      </w:r>
      <w:r w:rsidRPr="00204D8C">
        <w:t>doteraz</w:t>
      </w:r>
      <w:r w:rsidRPr="003D4093">
        <w:rPr>
          <w:lang w:eastAsia="en-US"/>
        </w:rPr>
        <w:t xml:space="preserve"> aplikované iba na výdavky kapitoly Ministerstva zdravotníctva SR</w:t>
      </w:r>
      <w:r w:rsidRPr="003D4093">
        <w:t>. Rozpočet VZP na rok 2020 bude po prvýkrát v detailnej</w:t>
      </w:r>
      <w:r w:rsidRPr="00204D8C">
        <w:t xml:space="preserve"> programovej štruktúre s merateľnými a vyhodnocovanými ukazovateľmi pre každú oblasť zdravotníctva. </w:t>
      </w:r>
    </w:p>
    <w:p w14:paraId="779CDD32" w14:textId="77777777" w:rsidR="00D73008" w:rsidRPr="00650F46" w:rsidRDefault="00D73008" w:rsidP="00152128">
      <w:pPr>
        <w:pStyle w:val="Default"/>
        <w:spacing w:before="240" w:after="120"/>
        <w:jc w:val="both"/>
        <w:rPr>
          <w:rFonts w:ascii="Arial Narrow" w:hAnsi="Arial Narrow"/>
          <w:b/>
          <w:color w:val="2C9ADC" w:themeColor="accent1"/>
          <w:sz w:val="22"/>
          <w:szCs w:val="22"/>
          <w:lang w:val="sk-SK"/>
        </w:rPr>
      </w:pPr>
      <w:r w:rsidRPr="00650F46">
        <w:rPr>
          <w:rFonts w:ascii="Arial Narrow" w:hAnsi="Arial Narrow"/>
          <w:b/>
          <w:color w:val="2C9ADC" w:themeColor="accent1"/>
          <w:sz w:val="22"/>
          <w:szCs w:val="22"/>
          <w:lang w:val="sk-SK"/>
        </w:rPr>
        <w:t>Pokračovanie implementácie novely zákona o rozpočtových pravidlách z roku 2016</w:t>
      </w:r>
    </w:p>
    <w:p w14:paraId="57DED095" w14:textId="77777777" w:rsidR="00D73008" w:rsidRPr="00650F46" w:rsidRDefault="00D73008" w:rsidP="00D73008">
      <w:pPr>
        <w:pStyle w:val="Default"/>
        <w:jc w:val="both"/>
        <w:rPr>
          <w:rFonts w:ascii="Arial Narrow" w:hAnsi="Arial Narrow"/>
          <w:b/>
          <w:sz w:val="22"/>
          <w:szCs w:val="22"/>
          <w:lang w:val="sk-SK"/>
        </w:rPr>
      </w:pPr>
      <w:r w:rsidRPr="00650F46">
        <w:rPr>
          <w:rFonts w:ascii="Arial Narrow" w:hAnsi="Arial Narrow"/>
          <w:b/>
          <w:sz w:val="22"/>
          <w:szCs w:val="22"/>
          <w:lang w:val="sk-SK"/>
        </w:rPr>
        <w:t>S účinn</w:t>
      </w:r>
      <w:r w:rsidRPr="00204D8C">
        <w:rPr>
          <w:rFonts w:ascii="Arial Narrow" w:hAnsi="Arial Narrow"/>
          <w:b/>
          <w:sz w:val="22"/>
          <w:szCs w:val="22"/>
          <w:lang w:val="sk-SK"/>
        </w:rPr>
        <w:t xml:space="preserve">osťou od 1. januára 2019 sa </w:t>
      </w:r>
      <w:r>
        <w:rPr>
          <w:rFonts w:ascii="Arial Narrow" w:hAnsi="Arial Narrow"/>
          <w:b/>
          <w:sz w:val="22"/>
          <w:szCs w:val="22"/>
          <w:lang w:val="sk-SK"/>
        </w:rPr>
        <w:t xml:space="preserve">zavádza </w:t>
      </w:r>
      <w:r w:rsidRPr="00204D8C">
        <w:rPr>
          <w:rFonts w:ascii="Arial Narrow" w:hAnsi="Arial Narrow"/>
          <w:b/>
          <w:sz w:val="22"/>
          <w:szCs w:val="22"/>
          <w:lang w:val="sk-SK"/>
        </w:rPr>
        <w:t xml:space="preserve">povinnosť </w:t>
      </w:r>
      <w:r>
        <w:rPr>
          <w:rFonts w:ascii="Arial Narrow" w:hAnsi="Arial Narrow"/>
          <w:b/>
          <w:sz w:val="22"/>
          <w:szCs w:val="22"/>
          <w:lang w:val="sk-SK"/>
        </w:rPr>
        <w:t xml:space="preserve">samospráv </w:t>
      </w:r>
      <w:r w:rsidRPr="00204D8C">
        <w:rPr>
          <w:rFonts w:ascii="Arial Narrow" w:hAnsi="Arial Narrow"/>
          <w:b/>
          <w:sz w:val="22"/>
          <w:szCs w:val="22"/>
          <w:lang w:val="sk-SK"/>
        </w:rPr>
        <w:t xml:space="preserve">rozpočtovať príjmy a výdavky súvisiace s ich podnikateľskou činnosťou. </w:t>
      </w:r>
      <w:r w:rsidRPr="00ED2FED">
        <w:rPr>
          <w:rFonts w:ascii="Arial Narrow" w:hAnsi="Arial Narrow"/>
          <w:sz w:val="22"/>
          <w:szCs w:val="22"/>
          <w:lang w:val="sk-SK"/>
        </w:rPr>
        <w:t>Táto zmena zvýši</w:t>
      </w:r>
      <w:r>
        <w:rPr>
          <w:rFonts w:ascii="Arial Narrow" w:hAnsi="Arial Narrow"/>
          <w:sz w:val="22"/>
          <w:szCs w:val="22"/>
          <w:lang w:val="sk-SK"/>
        </w:rPr>
        <w:t>la</w:t>
      </w:r>
      <w:r w:rsidRPr="00ED2FED">
        <w:rPr>
          <w:rFonts w:ascii="Arial Narrow" w:hAnsi="Arial Narrow"/>
          <w:sz w:val="22"/>
          <w:szCs w:val="22"/>
          <w:lang w:val="sk-SK"/>
        </w:rPr>
        <w:t xml:space="preserve"> transparentnosť rozpočtového procesu, </w:t>
      </w:r>
      <w:r w:rsidRPr="00276B0D">
        <w:rPr>
          <w:rFonts w:ascii="Arial Narrow" w:hAnsi="Arial Narrow"/>
          <w:sz w:val="22"/>
          <w:szCs w:val="22"/>
          <w:lang w:val="sk-SK"/>
        </w:rPr>
        <w:t xml:space="preserve">keďže dochádza k zníženiu objemu prostriedkov, ktoré </w:t>
      </w:r>
      <w:r w:rsidRPr="00650F46">
        <w:rPr>
          <w:rFonts w:ascii="Arial Narrow" w:hAnsi="Arial Narrow"/>
          <w:sz w:val="22"/>
          <w:szCs w:val="22"/>
          <w:lang w:val="sk-SK"/>
        </w:rPr>
        <w:t>doteraz neboli povinne rozpočtované. Okrem toho prispeje aj k lepšiemu analytickému porovnávaniu schváleného rozpočtu v porovnaní so skutočne dosiahnutými výsledkami.</w:t>
      </w:r>
    </w:p>
    <w:p w14:paraId="15688541" w14:textId="7BBB10FC" w:rsidR="00D73008" w:rsidRDefault="00D73008">
      <w:r>
        <w:br w:type="page"/>
      </w:r>
    </w:p>
    <w:p w14:paraId="6ECFECDC" w14:textId="77777777" w:rsidR="00D73008" w:rsidRPr="006403E9" w:rsidRDefault="00D73008" w:rsidP="00152128">
      <w:pPr>
        <w:pStyle w:val="Nadpis1"/>
        <w:keepLines/>
        <w:numPr>
          <w:ilvl w:val="0"/>
          <w:numId w:val="2"/>
        </w:numPr>
        <w:spacing w:before="240" w:after="240"/>
        <w:rPr>
          <w:rFonts w:cs="Arial Narrow"/>
          <w:color w:val="2C9ADC"/>
          <w:szCs w:val="28"/>
        </w:rPr>
      </w:pPr>
      <w:bookmarkStart w:id="237" w:name="_Toc5869400"/>
      <w:r w:rsidRPr="006403E9">
        <w:rPr>
          <w:rFonts w:cs="Arial Narrow"/>
          <w:color w:val="2C9ADC"/>
          <w:szCs w:val="28"/>
        </w:rPr>
        <w:lastRenderedPageBreak/>
        <w:t>ŠTRUKTURÁLNE POLITIKY</w:t>
      </w:r>
      <w:bookmarkEnd w:id="237"/>
      <w:r w:rsidRPr="006403E9">
        <w:rPr>
          <w:rFonts w:cs="Arial Narrow"/>
          <w:color w:val="2C9ADC"/>
          <w:szCs w:val="28"/>
        </w:rPr>
        <w:t xml:space="preserve"> </w:t>
      </w:r>
    </w:p>
    <w:tbl>
      <w:tblPr>
        <w:tblStyle w:val="Mriekatabu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D73008" w:rsidRPr="00790EF3" w14:paraId="64531E78" w14:textId="77777777" w:rsidTr="00387AE5">
        <w:tc>
          <w:tcPr>
            <w:tcW w:w="9072" w:type="dxa"/>
            <w:shd w:val="clear" w:color="auto" w:fill="auto"/>
          </w:tcPr>
          <w:p w14:paraId="39BEB5D9" w14:textId="77777777" w:rsidR="00D73008" w:rsidRPr="004405CA" w:rsidRDefault="00D73008" w:rsidP="00387AE5">
            <w:pPr>
              <w:spacing w:before="120" w:after="120"/>
              <w:jc w:val="both"/>
              <w:rPr>
                <w:i/>
                <w:iCs/>
                <w:highlight w:val="yellow"/>
              </w:rPr>
            </w:pPr>
            <w:r w:rsidRPr="004405CA">
              <w:rPr>
                <w:i/>
                <w:iCs/>
              </w:rPr>
              <w:t xml:space="preserve">Na najväčšie výzvy slovenského hospodárstva – školstvo, trh práce a zdravotníctvo – reaguje vláda súborom štrukturálnych opatrení na podporu ekonomického rastu a zamestnanosti. V školstve sa opatrenia sústreďujú na zvyšovanie atraktívnosti povolania učiteľa, prepájanie odborného vzdelania s praxou a zvyšovanie kvality vysokého školstva. Pozitívny vývoj na trhu práce </w:t>
            </w:r>
            <w:r>
              <w:rPr>
                <w:i/>
                <w:iCs/>
              </w:rPr>
              <w:t xml:space="preserve">je podporený individualizovanými službami zamestnanosti a novými nástrojmi aktívnych politík trhu práce zameranými najmä </w:t>
            </w:r>
            <w:r w:rsidRPr="004405CA">
              <w:rPr>
                <w:i/>
                <w:iCs/>
              </w:rPr>
              <w:t xml:space="preserve">na znevýhodnené skupiny. Zosúlaďovanie rodinného a pracovného života sa podporí budovaním kapacít zariadení starostlivosti o deti do troch rokov. Viaceré projekty podporujú sociálnu integráciu ľudí z marginalizovaných rómskych komunít. Implementácia opatrení z revízie výdavkov na zdravotníctvo priebežne zlepšuje nákladovú efektívnosť vybraných častí systému zdravotníctva. </w:t>
            </w:r>
            <w:r w:rsidRPr="004405CA">
              <w:rPr>
                <w:i/>
              </w:rPr>
              <w:t>Druhá revízia výdavkov v zdravotníctve v roku 2019 prinesie ďalšie návrhy opatrení na zvyšovanie efektívnosti v zdravotníctve, rast kvality poskytovanej starostlivosti a zlepšovanie výsledkov.</w:t>
            </w:r>
          </w:p>
        </w:tc>
      </w:tr>
    </w:tbl>
    <w:p w14:paraId="63C4DD39" w14:textId="7B35AD1B" w:rsidR="00D73008" w:rsidRPr="004C54B9" w:rsidRDefault="00D73008" w:rsidP="00D73008">
      <w:pPr>
        <w:spacing w:before="240"/>
        <w:jc w:val="both"/>
      </w:pPr>
      <w:r w:rsidRPr="00575D5D">
        <w:t>Štrukturálne opatrenia plánované najmä v najbližších dvoch rokoch podrobne popisuje Národný program reforiem Slovenskej republiky 2019 (NPR).</w:t>
      </w:r>
      <w:r>
        <w:t xml:space="preserve"> </w:t>
      </w:r>
      <w:r w:rsidRPr="004C54B9">
        <w:t xml:space="preserve">Komplexný prístup stanovovania priorít, ktorý okrem HDP berie do úvahy aj ďalšie aspekty kvality života, identifikoval aj v roku 2019 ako pretrvávajúce najväčšie výzvy slovenského hospodárstva </w:t>
      </w:r>
      <w:r>
        <w:t>školstvo</w:t>
      </w:r>
      <w:r w:rsidRPr="004C54B9">
        <w:t xml:space="preserve">, zdravotníctvo a trh práce. </w:t>
      </w:r>
    </w:p>
    <w:p w14:paraId="1267C8AC" w14:textId="77777777" w:rsidR="00D73008" w:rsidRPr="004C54B9" w:rsidRDefault="00D73008" w:rsidP="00D73008">
      <w:pPr>
        <w:jc w:val="both"/>
      </w:pPr>
    </w:p>
    <w:p w14:paraId="328A36B7" w14:textId="77777777" w:rsidR="00D73008" w:rsidRPr="00F57624" w:rsidRDefault="00D73008" w:rsidP="00D73008">
      <w:pPr>
        <w:pStyle w:val="Odsekzoznamu"/>
        <w:tabs>
          <w:tab w:val="left" w:pos="426"/>
        </w:tabs>
        <w:ind w:left="0"/>
        <w:contextualSpacing w:val="0"/>
        <w:jc w:val="both"/>
        <w:rPr>
          <w:highlight w:val="yellow"/>
        </w:rPr>
      </w:pPr>
      <w:r w:rsidRPr="004C54B9">
        <w:rPr>
          <w:b/>
        </w:rPr>
        <w:t xml:space="preserve">Trh práce podporený viacerými opatreniami dosahuje historicky najlepšie výsledky. </w:t>
      </w:r>
      <w:r w:rsidRPr="00F57624">
        <w:t xml:space="preserve">V roku 2018 sa vytvorilo </w:t>
      </w:r>
      <w:r>
        <w:t>takmer 50 tisíc</w:t>
      </w:r>
      <w:r w:rsidRPr="00F57624">
        <w:t xml:space="preserve"> nových pracovných miest</w:t>
      </w:r>
      <w:r>
        <w:rPr>
          <w:rStyle w:val="Odkaznapoznmkupodiarou"/>
        </w:rPr>
        <w:footnoteReference w:id="76"/>
      </w:r>
      <w:r w:rsidRPr="00F57624">
        <w:t xml:space="preserve"> a miera nezamestnanosti poklesla na najnižšiu úroveň od vzniku SR (6</w:t>
      </w:r>
      <w:r>
        <w:t>,6</w:t>
      </w:r>
      <w:r w:rsidRPr="00F57624">
        <w:t xml:space="preserve"> % </w:t>
      </w:r>
      <w:r>
        <w:t>za celý rok 2018</w:t>
      </w:r>
      <w:r w:rsidRPr="00F57624">
        <w:t xml:space="preserve">). Na znižovanie dlhodobej nezamestnanosti bude pokračovať implementácia akčného plánu opatrení aj v roku 2019. </w:t>
      </w:r>
      <w:r>
        <w:t>Realizujú</w:t>
      </w:r>
      <w:r w:rsidRPr="00F57624">
        <w:t xml:space="preserve"> sa projekty rekvalifikácie a vzdelávania zamestnancov a uchádzačov o zamestnan</w:t>
      </w:r>
      <w:r>
        <w:t>ie</w:t>
      </w:r>
      <w:r w:rsidRPr="00F57624">
        <w:t xml:space="preserve">. Podporí sa budovanie kapacít zariadení starostlivosti o deti do troch rokov, </w:t>
      </w:r>
      <w:r w:rsidRPr="00F57624">
        <w:rPr>
          <w:bCs/>
        </w:rPr>
        <w:t>ktoré uľahčí matkám na rodičovskej dovolenke návrat na trh práce</w:t>
      </w:r>
      <w:r w:rsidRPr="00F57624">
        <w:t xml:space="preserve">. Aj v ďalšom období bude pokračovať implementácia opatrení na zlepšenie sociálnej integrácie </w:t>
      </w:r>
      <w:r>
        <w:t xml:space="preserve">ľudí z </w:t>
      </w:r>
      <w:r w:rsidRPr="00F57624">
        <w:t>marginal</w:t>
      </w:r>
      <w:r>
        <w:t>izovaných rómskych komunít</w:t>
      </w:r>
      <w:r w:rsidRPr="00F57624">
        <w:t>.</w:t>
      </w:r>
    </w:p>
    <w:p w14:paraId="7B61E836" w14:textId="77777777" w:rsidR="00D73008" w:rsidRPr="004C54B9" w:rsidRDefault="00D73008" w:rsidP="00D73008">
      <w:pPr>
        <w:pStyle w:val="Odsekzoznamu"/>
        <w:tabs>
          <w:tab w:val="left" w:pos="426"/>
        </w:tabs>
        <w:ind w:left="0"/>
        <w:contextualSpacing w:val="0"/>
        <w:jc w:val="both"/>
        <w:rPr>
          <w:highlight w:val="yellow"/>
        </w:rPr>
      </w:pPr>
    </w:p>
    <w:p w14:paraId="761668BC" w14:textId="38118B65" w:rsidR="00D73008" w:rsidRDefault="00D73008" w:rsidP="00D73008">
      <w:pPr>
        <w:jc w:val="both"/>
        <w:rPr>
          <w:highlight w:val="yellow"/>
        </w:rPr>
      </w:pPr>
      <w:r w:rsidRPr="00F871C0">
        <w:rPr>
          <w:b/>
        </w:rPr>
        <w:t xml:space="preserve">Vládou schválený </w:t>
      </w:r>
      <w:r w:rsidRPr="00F871C0">
        <w:rPr>
          <w:b/>
          <w:i/>
        </w:rPr>
        <w:t>Národný program rozvoja výchovy a</w:t>
      </w:r>
      <w:r>
        <w:rPr>
          <w:b/>
          <w:i/>
        </w:rPr>
        <w:t> </w:t>
      </w:r>
      <w:r w:rsidRPr="00F871C0">
        <w:rPr>
          <w:b/>
          <w:i/>
        </w:rPr>
        <w:t>vzdelávania</w:t>
      </w:r>
      <w:r>
        <w:rPr>
          <w:b/>
        </w:rPr>
        <w:t xml:space="preserve"> </w:t>
      </w:r>
      <w:r w:rsidRPr="00F871C0">
        <w:rPr>
          <w:b/>
        </w:rPr>
        <w:t xml:space="preserve">je strategickým rámcom v oblasti zvýšenia kvality vzdelávania </w:t>
      </w:r>
      <w:r>
        <w:rPr>
          <w:b/>
        </w:rPr>
        <w:t xml:space="preserve">v </w:t>
      </w:r>
      <w:r w:rsidRPr="00F871C0">
        <w:rPr>
          <w:b/>
        </w:rPr>
        <w:t>desaťročnom horizonte.</w:t>
      </w:r>
      <w:r>
        <w:t xml:space="preserve"> </w:t>
      </w:r>
      <w:r w:rsidRPr="00F57624">
        <w:t>Pokračuje zvyšovanie atraktivity učiteľského povolania najmä opakovaným zvyšovaním platov učiteľov</w:t>
      </w:r>
      <w:r>
        <w:t xml:space="preserve">, ktoré presahuje rámec deklarovaný Programovým vyhlásením vlády SR. Ďalšie prostriedky sa v štátnom rozpočte vyčlenili na zvyšovanie tarifných platov pre začínajúcich učiteľov od septembra 2019. </w:t>
      </w:r>
      <w:r w:rsidRPr="00505B01">
        <w:t>Nový zákon o pedagogic</w:t>
      </w:r>
      <w:r w:rsidR="0085303B">
        <w:t>kých a odborných zamestnancoch</w:t>
      </w:r>
      <w:r w:rsidR="00236514">
        <w:rPr>
          <w:rStyle w:val="Odkaznapoznmkupodiarou"/>
        </w:rPr>
        <w:footnoteReference w:id="77"/>
      </w:r>
      <w:r w:rsidR="0085303B">
        <w:t xml:space="preserve"> </w:t>
      </w:r>
      <w:r w:rsidRPr="00505B01">
        <w:t>sa zameriava na zlepšenie väzby medzi odmeňovaním učiteľov a kvalitou ich výučby úpravou atestačného konania, ktoré je podmienkou pre kariérny rast. Zmeny v duálnom vzdelávaní podporujú participáciu škôl a zamestnávateľov znižovaním bariér pre vstup do systému. V oblasti vysokého školstva sa reformuje proces akreditácie s cieľo</w:t>
      </w:r>
      <w:r w:rsidR="0085303B">
        <w:t xml:space="preserve">m napĺňať európske štandardy a </w:t>
      </w:r>
      <w:r w:rsidRPr="00505B01">
        <w:t>umožní sa hodnotenie výskumnej činnosti vysokých škôl externými odborníkmi. Plánovaná podpora profesijne orientovaných vysokoškolských študijných programov zabezpečí lepšiu prepojenosť s trhom práce. Bude sa pokračovať v zavádzaní opatrení na vyrovnávanie rozdielov vo výsledkoch žiakov ovplyvnených ich socioekonomickým zázemím</w:t>
      </w:r>
      <w:r>
        <w:t>.</w:t>
      </w:r>
    </w:p>
    <w:p w14:paraId="54BCDDB8" w14:textId="77777777" w:rsidR="00D73008" w:rsidRPr="004C54B9" w:rsidRDefault="00D73008" w:rsidP="00D73008">
      <w:pPr>
        <w:jc w:val="both"/>
        <w:rPr>
          <w:highlight w:val="yellow"/>
        </w:rPr>
      </w:pPr>
    </w:p>
    <w:p w14:paraId="6C92CB8F" w14:textId="343FDAD6" w:rsidR="00D73008" w:rsidRDefault="00D73008" w:rsidP="00D73008">
      <w:pPr>
        <w:jc w:val="both"/>
      </w:pPr>
      <w:r w:rsidRPr="004C54B9">
        <w:rPr>
          <w:b/>
        </w:rPr>
        <w:t xml:space="preserve">Postupná implementácia opatrení </w:t>
      </w:r>
      <w:r>
        <w:rPr>
          <w:b/>
        </w:rPr>
        <w:t>v oblasti úhrady liekov a pomôcok a</w:t>
      </w:r>
      <w:r w:rsidR="00236514">
        <w:rPr>
          <w:b/>
        </w:rPr>
        <w:t> </w:t>
      </w:r>
      <w:r>
        <w:rPr>
          <w:b/>
        </w:rPr>
        <w:t>obstarávaní</w:t>
      </w:r>
      <w:r w:rsidR="00236514">
        <w:rPr>
          <w:b/>
        </w:rPr>
        <w:t xml:space="preserve"> zdravotníckej techniky</w:t>
      </w:r>
      <w:r>
        <w:rPr>
          <w:b/>
        </w:rPr>
        <w:t xml:space="preserve"> v nemocniciach </w:t>
      </w:r>
      <w:r w:rsidRPr="004C54B9">
        <w:rPr>
          <w:b/>
        </w:rPr>
        <w:t>priebežne zlepšuje nákladovú efektívnosť vybraných častí systému</w:t>
      </w:r>
      <w:r>
        <w:rPr>
          <w:b/>
        </w:rPr>
        <w:t xml:space="preserve"> zdravotníctva</w:t>
      </w:r>
      <w:r w:rsidRPr="004C54B9">
        <w:rPr>
          <w:b/>
        </w:rPr>
        <w:t>.</w:t>
      </w:r>
      <w:r w:rsidRPr="004C54B9">
        <w:t xml:space="preserve"> </w:t>
      </w:r>
      <w:r>
        <w:t>V</w:t>
      </w:r>
      <w:r w:rsidRPr="00815375">
        <w:t>ýdavky na zdravotníctvo rastú v s</w:t>
      </w:r>
      <w:r>
        <w:t>úlade s medzinárodnými trendami.</w:t>
      </w:r>
      <w:r w:rsidRPr="00815375">
        <w:t xml:space="preserve"> </w:t>
      </w:r>
      <w:r>
        <w:t xml:space="preserve">Slovensko však </w:t>
      </w:r>
      <w:r w:rsidRPr="00815375">
        <w:t>zaostá</w:t>
      </w:r>
      <w:r>
        <w:t xml:space="preserve">va </w:t>
      </w:r>
      <w:r w:rsidRPr="00815375">
        <w:t>vo výsledkových ukazovateľoch a v porovnaní s priemerom krajín OECD zostáva slovenské zdravotníctvo dlhodobo menej efektívne</w:t>
      </w:r>
      <w:r>
        <w:t xml:space="preserve">. </w:t>
      </w:r>
      <w:r w:rsidRPr="00815375">
        <w:t>Zavedenie systému rozpočtovania založeného na výsledkoch pomôže naviazať prideľované zdroje na výsledky.</w:t>
      </w:r>
      <w:r>
        <w:t xml:space="preserve"> </w:t>
      </w:r>
      <w:r w:rsidRPr="00815375">
        <w:t xml:space="preserve">Systém platieb nemocniciam podľa diagnóz (DRG) </w:t>
      </w:r>
      <w:r>
        <w:t xml:space="preserve">a pripravovaná cenová regulácia všetkých zdravotníckych výkonov </w:t>
      </w:r>
      <w:r w:rsidRPr="00815375">
        <w:t>zvýši</w:t>
      </w:r>
      <w:r>
        <w:t>a</w:t>
      </w:r>
      <w:r w:rsidRPr="00815375">
        <w:t xml:space="preserve"> transpar</w:t>
      </w:r>
      <w:r>
        <w:t xml:space="preserve">entnosť a spravodlivosť platieb. </w:t>
      </w:r>
      <w:r w:rsidRPr="00815375">
        <w:t xml:space="preserve">Projekt stratifikácie ústavnej zdravotnej starostlivosti bude v roku 2019 pokračovať </w:t>
      </w:r>
      <w:r w:rsidR="00236514">
        <w:t xml:space="preserve">schválením potrebnej legislatívy a </w:t>
      </w:r>
      <w:r w:rsidRPr="00815375">
        <w:t>zverejnením konkrétneho plánu zmien v sieti nemocníc.</w:t>
      </w:r>
      <w:r>
        <w:t xml:space="preserve"> Zároveň v nemocniciach prebiehajú rekonštrukcie a obnova prístrojového vybavenia zo zdrojov štátneho rozpočtu n</w:t>
      </w:r>
      <w:r w:rsidR="0085303B">
        <w:t>ad rámec zdravotného poistenia.</w:t>
      </w:r>
      <w:r w:rsidRPr="00000575">
        <w:t xml:space="preserve"> </w:t>
      </w:r>
      <w:r>
        <w:t xml:space="preserve">V roku 2019 budú spustené skríningové programy na </w:t>
      </w:r>
      <w:r w:rsidRPr="002F4FCD">
        <w:t>včasné odhalenie nádorových ochorení</w:t>
      </w:r>
      <w:r>
        <w:t>.</w:t>
      </w:r>
      <w:r w:rsidRPr="00396238">
        <w:t xml:space="preserve"> Druhá revízia výdavkov v roku 2019 prinesie ďalšie návrhy opatrení na zvyšovanie efektívnosti v zdravotníctve, rast kvality poskytovanej starostlivosti a zlepšovanie výsledkov.</w:t>
      </w:r>
      <w:r>
        <w:t xml:space="preserve"> </w:t>
      </w:r>
    </w:p>
    <w:p w14:paraId="5698267B" w14:textId="77777777" w:rsidR="00D73008" w:rsidRDefault="00D73008" w:rsidP="00D73008">
      <w:pPr>
        <w:jc w:val="both"/>
      </w:pPr>
    </w:p>
    <w:p w14:paraId="26092E80" w14:textId="77777777" w:rsidR="00D73008" w:rsidRDefault="00D73008" w:rsidP="00D73008">
      <w:pPr>
        <w:jc w:val="both"/>
        <w:rPr>
          <w:rFonts w:cs="Arial Narrow"/>
        </w:rPr>
      </w:pPr>
    </w:p>
    <w:p w14:paraId="4949BAF8" w14:textId="77777777" w:rsidR="00D73008" w:rsidRDefault="00D73008" w:rsidP="00D73008">
      <w:pPr>
        <w:jc w:val="both"/>
        <w:rPr>
          <w:rFonts w:cs="Arial Narrow"/>
        </w:rPr>
      </w:pPr>
    </w:p>
    <w:p w14:paraId="2C968719" w14:textId="6FD48326" w:rsidR="00D73008" w:rsidRDefault="00D73008" w:rsidP="00D73008">
      <w:pPr>
        <w:jc w:val="both"/>
      </w:pPr>
      <w:r w:rsidRPr="004626D1">
        <w:rPr>
          <w:b/>
        </w:rPr>
        <w:t>Pripraví sa akčný plán na posilnenie boja proti korupcii.</w:t>
      </w:r>
      <w:r w:rsidRPr="004626D1">
        <w:t xml:space="preserve"> Od roku 2017 </w:t>
      </w:r>
      <w:r>
        <w:t xml:space="preserve">sa </w:t>
      </w:r>
      <w:r w:rsidRPr="004626D1">
        <w:t>implementuje spoločný projekt</w:t>
      </w:r>
      <w:r>
        <w:t xml:space="preserve"> s OECD </w:t>
      </w:r>
      <w:r w:rsidRPr="004626D1">
        <w:t>týkajúci sa protikorupčných opatrení</w:t>
      </w:r>
      <w:r w:rsidRPr="004626D1">
        <w:rPr>
          <w:b/>
        </w:rPr>
        <w:t xml:space="preserve">, </w:t>
      </w:r>
      <w:r w:rsidRPr="004626D1">
        <w:t>posilnenia účinnosti a koherentnosti všeobecných stratégií na riadenie rizík spojených s podvodmi a</w:t>
      </w:r>
      <w:r>
        <w:t xml:space="preserve"> </w:t>
      </w:r>
      <w:r w:rsidRPr="004626D1">
        <w:t>korupciou,</w:t>
      </w:r>
      <w:r>
        <w:t xml:space="preserve"> </w:t>
      </w:r>
      <w:r w:rsidRPr="004626D1">
        <w:t xml:space="preserve">zavedenia kontrolných činností, identifikácie a posudzovania rizík spojených s podvodmi. </w:t>
      </w:r>
      <w:r>
        <w:t xml:space="preserve">V roku 2019 bude hlavným výstupom projektu </w:t>
      </w:r>
      <w:r w:rsidRPr="004C54B9">
        <w:t xml:space="preserve">akčný plán </w:t>
      </w:r>
      <w:r>
        <w:t>na posilnenie boja proti korupcii a</w:t>
      </w:r>
      <w:r w:rsidR="00236514">
        <w:t> </w:t>
      </w:r>
      <w:r>
        <w:t>podvodom</w:t>
      </w:r>
      <w:r w:rsidR="00236514">
        <w:t xml:space="preserve"> v oblasti EÚ fondov</w:t>
      </w:r>
      <w:r>
        <w:t>.</w:t>
      </w:r>
    </w:p>
    <w:p w14:paraId="25C99D1B" w14:textId="77777777" w:rsidR="00D73008" w:rsidRPr="004C54B9" w:rsidRDefault="00D73008" w:rsidP="00D73008">
      <w:pPr>
        <w:jc w:val="both"/>
        <w:rPr>
          <w:rFonts w:cs="Arial Narrow"/>
          <w:i/>
        </w:rPr>
      </w:pPr>
    </w:p>
    <w:p w14:paraId="429CD22D" w14:textId="77777777" w:rsidR="00D73008" w:rsidRPr="004C54B9" w:rsidRDefault="00D73008" w:rsidP="00D73008">
      <w:pPr>
        <w:jc w:val="both"/>
      </w:pPr>
      <w:r w:rsidRPr="004C54B9">
        <w:rPr>
          <w:b/>
        </w:rPr>
        <w:t>Lepšie fungovanie verejnej správy a justície by mali priniesť viaceré opatrenia.</w:t>
      </w:r>
      <w:r w:rsidRPr="004C54B9">
        <w:t xml:space="preserve"> Od marca 2019 vstupuje do účinnosti nová právna úprava ochrany oznamovateľov korupcie tzv. </w:t>
      </w:r>
      <w:r w:rsidRPr="004C54B9">
        <w:rPr>
          <w:i/>
        </w:rPr>
        <w:t>whistleblowerov</w:t>
      </w:r>
      <w:r w:rsidRPr="004C54B9">
        <w:t>.</w:t>
      </w:r>
      <w:r>
        <w:t xml:space="preserve"> </w:t>
      </w:r>
      <w:r w:rsidRPr="004C54B9">
        <w:t>Pozornosť v súdnictve bude zameraná na</w:t>
      </w:r>
      <w:r w:rsidRPr="004C54B9">
        <w:rPr>
          <w:bCs/>
        </w:rPr>
        <w:t xml:space="preserve"> </w:t>
      </w:r>
      <w:r w:rsidRPr="00EB67DD">
        <w:rPr>
          <w:bCs/>
        </w:rPr>
        <w:t>riešenie problému starých exekučných konaní</w:t>
      </w:r>
      <w:r w:rsidRPr="004C54B9">
        <w:rPr>
          <w:b/>
          <w:bCs/>
        </w:rPr>
        <w:t xml:space="preserve"> </w:t>
      </w:r>
      <w:r w:rsidRPr="004C54B9">
        <w:rPr>
          <w:bCs/>
        </w:rPr>
        <w:t>a</w:t>
      </w:r>
      <w:r w:rsidRPr="004C54B9">
        <w:rPr>
          <w:b/>
          <w:bCs/>
        </w:rPr>
        <w:t xml:space="preserve"> </w:t>
      </w:r>
      <w:r w:rsidRPr="004C54B9">
        <w:rPr>
          <w:bCs/>
        </w:rPr>
        <w:t>príprava reformy občianskeho zákonníka</w:t>
      </w:r>
      <w:r w:rsidRPr="004C54B9">
        <w:t>. Bude pokračovať zlepšovanie poskytovania a tiež zvyšovanie dostupnosti právnej pomoci prostredníctvom Centra právnej pomoci. V súlade s Programovým vyhlásením vlády SR sa pripraví zákon o justičnej štátnej službe</w:t>
      </w:r>
      <w:r>
        <w:t>.</w:t>
      </w:r>
    </w:p>
    <w:p w14:paraId="1537D920" w14:textId="77777777" w:rsidR="00D73008" w:rsidRPr="004C54B9" w:rsidRDefault="00D73008" w:rsidP="00D73008">
      <w:pPr>
        <w:jc w:val="both"/>
      </w:pPr>
    </w:p>
    <w:p w14:paraId="1A914CC3" w14:textId="6D2C93E4" w:rsidR="00D73008" w:rsidRDefault="00D73008" w:rsidP="00D73008">
      <w:pPr>
        <w:jc w:val="both"/>
        <w:rPr>
          <w:color w:val="000000"/>
          <w:lang w:val="en-GB" w:eastAsia="cs-CZ"/>
        </w:rPr>
      </w:pPr>
      <w:r w:rsidRPr="004C54B9">
        <w:rPr>
          <w:b/>
        </w:rPr>
        <w:t>Realizujú sa viaceré opatrenia na zníženie administratívnej záťaže podnikateľského prostredia</w:t>
      </w:r>
      <w:r w:rsidR="0085303B">
        <w:t xml:space="preserve">. </w:t>
      </w:r>
      <w:r w:rsidRPr="004C54B9">
        <w:t>Napreduje rozširovanie podpory elektronickej a automatizovanej komunikácie s finančnou správou, implement</w:t>
      </w:r>
      <w:r>
        <w:t xml:space="preserve">ácia opatrení z už schválených </w:t>
      </w:r>
      <w:r w:rsidRPr="004C54B9">
        <w:t>antibyrokratických podnikateľských balíčkov, či ďalšia optimalizácia služieb obchodného registra.</w:t>
      </w:r>
      <w:r>
        <w:t xml:space="preserve"> </w:t>
      </w:r>
      <w:r w:rsidRPr="004626D1">
        <w:t>Od septembra 2018 sa zavádza</w:t>
      </w:r>
      <w:r>
        <w:t xml:space="preserve"> </w:t>
      </w:r>
      <w:r w:rsidRPr="004626D1">
        <w:t xml:space="preserve">do praxe </w:t>
      </w:r>
      <w:r w:rsidRPr="004626D1">
        <w:rPr>
          <w:color w:val="000000" w:themeColor="text1"/>
        </w:rPr>
        <w:t xml:space="preserve">princíp </w:t>
      </w:r>
      <w:r w:rsidRPr="004626D1">
        <w:rPr>
          <w:i/>
        </w:rPr>
        <w:t>jedenkrát a dosť</w:t>
      </w:r>
      <w:r w:rsidRPr="004626D1">
        <w:t>, teda zrušenie povinnosti opakovane predkladať orgánom verejnej moci listinné výpisy viacerých druhov.</w:t>
      </w:r>
      <w:r>
        <w:t xml:space="preserve"> Rezort financií vypracuje návrh zákona o dani z príjmov, ktorá malým a stredným podnikom uľahčí plnenie daňových povinností.</w:t>
      </w:r>
      <w:r w:rsidR="00236514">
        <w:t xml:space="preserve"> Zvýši sa tiež daňový superodpočet na vývoj a výskum z doterajších 100 na 150 % v roku 2019 a </w:t>
      </w:r>
      <w:r w:rsidR="00236514" w:rsidRPr="00A0305E">
        <w:t xml:space="preserve">na 200 </w:t>
      </w:r>
      <w:r w:rsidR="00236514">
        <w:t>% v r</w:t>
      </w:r>
      <w:r w:rsidR="00236514" w:rsidRPr="00A0305E">
        <w:t>oku</w:t>
      </w:r>
      <w:r w:rsidR="00236514">
        <w:t xml:space="preserve"> 2020</w:t>
      </w:r>
      <w:r w:rsidR="00236514" w:rsidRPr="00A0305E">
        <w:t>.</w:t>
      </w:r>
      <w:r>
        <w:t xml:space="preserve"> Rezort hospodárstva </w:t>
      </w:r>
      <w:r w:rsidRPr="004C54B9">
        <w:t xml:space="preserve">bude pokračovať v koordinácii auditu legislatívy z pohľadu </w:t>
      </w:r>
      <w:r w:rsidRPr="004C54B9">
        <w:rPr>
          <w:i/>
        </w:rPr>
        <w:t>goldplatingu</w:t>
      </w:r>
      <w:r w:rsidRPr="004C54B9">
        <w:t xml:space="preserve"> s cieľom odstrániť identifikovanú neopodstatnenú regulačnú záťaž na podnikateľské subjekty.</w:t>
      </w:r>
    </w:p>
    <w:p w14:paraId="533A87CA" w14:textId="77777777" w:rsidR="00D73008" w:rsidRPr="00F4401D" w:rsidRDefault="00D73008" w:rsidP="00D73008">
      <w:pPr>
        <w:jc w:val="both"/>
      </w:pPr>
    </w:p>
    <w:p w14:paraId="5287922D" w14:textId="4B52B18A" w:rsidR="00D73008" w:rsidRDefault="00D73008" w:rsidP="00D73008">
      <w:pPr>
        <w:spacing w:after="240"/>
        <w:jc w:val="both"/>
      </w:pPr>
      <w:r w:rsidRPr="00A82563">
        <w:rPr>
          <w:b/>
        </w:rPr>
        <w:t>K zlepšeniu udržateľnosti a kvality verejných financií bud</w:t>
      </w:r>
      <w:r>
        <w:rPr>
          <w:b/>
        </w:rPr>
        <w:t>e</w:t>
      </w:r>
      <w:r w:rsidRPr="00A82563">
        <w:rPr>
          <w:b/>
        </w:rPr>
        <w:t xml:space="preserve"> pomáhať aj inštitucionálne ukotvenie projektu Hodnota za peniaze</w:t>
      </w:r>
      <w:r>
        <w:rPr>
          <w:b/>
        </w:rPr>
        <w:t xml:space="preserve"> spolu s ďalším kolom revízií výdavkov, a pokračovanie </w:t>
      </w:r>
      <w:r w:rsidRPr="00A82563">
        <w:rPr>
          <w:b/>
        </w:rPr>
        <w:t>boj</w:t>
      </w:r>
      <w:r>
        <w:rPr>
          <w:b/>
        </w:rPr>
        <w:t>a</w:t>
      </w:r>
      <w:r w:rsidRPr="00A82563">
        <w:rPr>
          <w:b/>
        </w:rPr>
        <w:t xml:space="preserve"> proti daňovým únikom</w:t>
      </w:r>
      <w:r w:rsidR="000177E8">
        <w:t xml:space="preserve"> (bližšie popísané v </w:t>
      </w:r>
      <w:r w:rsidR="000177E8" w:rsidRPr="000177E8">
        <w:rPr>
          <w:color w:val="2C9ADC" w:themeColor="accent1"/>
        </w:rPr>
        <w:t>K</w:t>
      </w:r>
      <w:r w:rsidRPr="000177E8">
        <w:rPr>
          <w:color w:val="2C9ADC" w:themeColor="accent1"/>
        </w:rPr>
        <w:t xml:space="preserve">apitole </w:t>
      </w:r>
      <w:r w:rsidR="000177E8" w:rsidRPr="000177E8">
        <w:rPr>
          <w:color w:val="2C9ADC" w:themeColor="accent1"/>
        </w:rPr>
        <w:t>5</w:t>
      </w:r>
      <w:r w:rsidR="000177E8">
        <w:t xml:space="preserve"> a </w:t>
      </w:r>
      <w:r w:rsidR="000177E8" w:rsidRPr="000177E8">
        <w:rPr>
          <w:color w:val="2C9ADC" w:themeColor="accent1"/>
        </w:rPr>
        <w:t>Kapitole 6</w:t>
      </w:r>
      <w:r>
        <w:t>).</w:t>
      </w:r>
    </w:p>
    <w:p w14:paraId="04DBB58F" w14:textId="77777777" w:rsidR="00D73008" w:rsidRDefault="00D73008">
      <w:r>
        <w:br w:type="page"/>
      </w:r>
    </w:p>
    <w:p w14:paraId="1FE128CC" w14:textId="77777777" w:rsidR="00D73008" w:rsidRPr="008D737B" w:rsidRDefault="00D73008" w:rsidP="00152128">
      <w:pPr>
        <w:pStyle w:val="Nadpis1"/>
        <w:spacing w:before="240" w:after="240"/>
        <w:rPr>
          <w:szCs w:val="28"/>
        </w:rPr>
      </w:pPr>
      <w:bookmarkStart w:id="238" w:name="_Toc5869401"/>
      <w:r w:rsidRPr="008D737B">
        <w:rPr>
          <w:szCs w:val="28"/>
        </w:rPr>
        <w:lastRenderedPageBreak/>
        <w:t>PRÍLOHY</w:t>
      </w:r>
      <w:bookmarkEnd w:id="238"/>
    </w:p>
    <w:p w14:paraId="1BE6D23C" w14:textId="77777777" w:rsidR="00D73008" w:rsidRPr="00684201" w:rsidRDefault="00D73008" w:rsidP="00684201">
      <w:pPr>
        <w:pStyle w:val="Nadpis3"/>
        <w:rPr>
          <w:sz w:val="24"/>
          <w:szCs w:val="24"/>
        </w:rPr>
      </w:pPr>
      <w:r w:rsidRPr="00684201">
        <w:rPr>
          <w:color w:val="2C9ADC" w:themeColor="accent1"/>
          <w:sz w:val="24"/>
          <w:szCs w:val="24"/>
        </w:rPr>
        <w:t>Príloha 1 - Povinné tabuľky Programu stability</w:t>
      </w:r>
      <w:r w:rsidRPr="00684201">
        <w:rPr>
          <w:sz w:val="24"/>
          <w:szCs w:val="24"/>
        </w:rPr>
        <w:t xml:space="preserve"> </w:t>
      </w:r>
    </w:p>
    <w:tbl>
      <w:tblPr>
        <w:tblW w:w="8986" w:type="dxa"/>
        <w:tblCellMar>
          <w:left w:w="70" w:type="dxa"/>
          <w:right w:w="70" w:type="dxa"/>
        </w:tblCellMar>
        <w:tblLook w:val="04A0" w:firstRow="1" w:lastRow="0" w:firstColumn="1" w:lastColumn="0" w:noHBand="0" w:noVBand="1"/>
      </w:tblPr>
      <w:tblGrid>
        <w:gridCol w:w="3085"/>
        <w:gridCol w:w="836"/>
        <w:gridCol w:w="885"/>
        <w:gridCol w:w="836"/>
        <w:gridCol w:w="836"/>
        <w:gridCol w:w="836"/>
        <w:gridCol w:w="836"/>
        <w:gridCol w:w="836"/>
      </w:tblGrid>
      <w:tr w:rsidR="00D73008" w:rsidRPr="00152128" w14:paraId="29CB5ADF" w14:textId="77777777" w:rsidTr="00387AE5">
        <w:trPr>
          <w:trHeight w:val="283"/>
        </w:trPr>
        <w:tc>
          <w:tcPr>
            <w:tcW w:w="8986" w:type="dxa"/>
            <w:gridSpan w:val="8"/>
            <w:tcBorders>
              <w:top w:val="nil"/>
              <w:left w:val="nil"/>
              <w:bottom w:val="single" w:sz="8" w:space="0" w:color="auto"/>
              <w:right w:val="nil"/>
            </w:tcBorders>
            <w:shd w:val="clear" w:color="auto" w:fill="auto"/>
            <w:noWrap/>
            <w:vAlign w:val="center"/>
            <w:hideMark/>
          </w:tcPr>
          <w:p w14:paraId="011BFD26" w14:textId="27F103C2" w:rsidR="00D73008" w:rsidRPr="00152128" w:rsidRDefault="00D73008" w:rsidP="00387AE5">
            <w:pPr>
              <w:rPr>
                <w:rFonts w:cs="Times New Roman"/>
                <w:b/>
                <w:bCs/>
                <w:color w:val="2C9ADC" w:themeColor="accent1"/>
              </w:rPr>
            </w:pPr>
            <w:bookmarkStart w:id="239" w:name="_Toc480905410"/>
            <w:bookmarkStart w:id="240" w:name="_Toc6314217"/>
            <w:r w:rsidRPr="00152128">
              <w:rPr>
                <w:rFonts w:eastAsiaTheme="minorHAnsi"/>
                <w:b/>
                <w:color w:val="2C9ADC"/>
                <w:lang w:eastAsia="en-US"/>
              </w:rPr>
              <w:t xml:space="preserve">TABUĽKA </w:t>
            </w:r>
            <w:r w:rsidRPr="00152128">
              <w:rPr>
                <w:rFonts w:eastAsiaTheme="minorHAnsi"/>
                <w:b/>
                <w:color w:val="2C9ADC"/>
                <w:lang w:eastAsia="en-US"/>
              </w:rPr>
              <w:fldChar w:fldCharType="begin"/>
            </w:r>
            <w:r w:rsidRPr="00152128">
              <w:rPr>
                <w:rFonts w:eastAsiaTheme="minorHAnsi"/>
                <w:b/>
                <w:color w:val="2C9ADC"/>
                <w:lang w:eastAsia="en-US"/>
              </w:rPr>
              <w:instrText xml:space="preserve"> SEQ TABUĽKA \* ARABIC </w:instrText>
            </w:r>
            <w:r w:rsidRPr="00152128">
              <w:rPr>
                <w:rFonts w:eastAsiaTheme="minorHAnsi"/>
                <w:b/>
                <w:color w:val="2C9ADC"/>
                <w:lang w:eastAsia="en-US"/>
              </w:rPr>
              <w:fldChar w:fldCharType="separate"/>
            </w:r>
            <w:r w:rsidR="00D5739E">
              <w:rPr>
                <w:rFonts w:eastAsiaTheme="minorHAnsi"/>
                <w:b/>
                <w:noProof/>
                <w:color w:val="2C9ADC"/>
                <w:lang w:eastAsia="en-US"/>
              </w:rPr>
              <w:t>18</w:t>
            </w:r>
            <w:r w:rsidRPr="00152128">
              <w:rPr>
                <w:rFonts w:eastAsiaTheme="minorHAnsi"/>
                <w:b/>
                <w:color w:val="2C9ADC"/>
                <w:lang w:eastAsia="en-US"/>
              </w:rPr>
              <w:fldChar w:fldCharType="end"/>
            </w:r>
            <w:r w:rsidRPr="00152128">
              <w:rPr>
                <w:noProof/>
                <w:color w:val="2C9ADC" w:themeColor="accent1"/>
              </w:rPr>
              <w:t xml:space="preserve"> (</w:t>
            </w:r>
            <w:r w:rsidRPr="00152128">
              <w:rPr>
                <w:rFonts w:cs="Times New Roman"/>
                <w:b/>
                <w:bCs/>
                <w:color w:val="2C9ADC" w:themeColor="accent1"/>
              </w:rPr>
              <w:t>Tabuľka 1a) - Makroekonomický prehľad (ESA 2010, mld. eur)</w:t>
            </w:r>
            <w:bookmarkEnd w:id="239"/>
            <w:bookmarkEnd w:id="240"/>
            <w:r w:rsidRPr="00152128">
              <w:rPr>
                <w:rFonts w:cs="Times New Roman"/>
                <w:b/>
                <w:bCs/>
                <w:color w:val="2C9ADC" w:themeColor="accent1"/>
              </w:rPr>
              <w:t xml:space="preserve"> </w:t>
            </w:r>
          </w:p>
        </w:tc>
      </w:tr>
      <w:tr w:rsidR="00D73008" w:rsidRPr="00F26E77" w14:paraId="3325D047" w14:textId="77777777" w:rsidTr="00387AE5">
        <w:trPr>
          <w:trHeight w:val="283"/>
        </w:trPr>
        <w:tc>
          <w:tcPr>
            <w:tcW w:w="3085" w:type="dxa"/>
            <w:vMerge w:val="restart"/>
            <w:tcBorders>
              <w:top w:val="nil"/>
              <w:left w:val="nil"/>
              <w:bottom w:val="single" w:sz="6" w:space="0" w:color="auto"/>
              <w:right w:val="nil"/>
            </w:tcBorders>
            <w:shd w:val="clear" w:color="auto" w:fill="auto"/>
            <w:vAlign w:val="bottom"/>
            <w:hideMark/>
          </w:tcPr>
          <w:p w14:paraId="7969DC19" w14:textId="77777777" w:rsidR="00D73008" w:rsidRPr="00F26E77" w:rsidRDefault="00D73008" w:rsidP="00387AE5">
            <w:pPr>
              <w:rPr>
                <w:rFonts w:cs="Times New Roman"/>
                <w:color w:val="000000"/>
                <w:sz w:val="18"/>
                <w:szCs w:val="18"/>
              </w:rPr>
            </w:pPr>
            <w:r w:rsidRPr="00F26E77">
              <w:rPr>
                <w:rFonts w:cs="Times New Roman"/>
                <w:color w:val="000000"/>
                <w:sz w:val="18"/>
                <w:szCs w:val="18"/>
              </w:rPr>
              <w:t> </w:t>
            </w:r>
          </w:p>
        </w:tc>
        <w:tc>
          <w:tcPr>
            <w:tcW w:w="836" w:type="dxa"/>
            <w:vMerge w:val="restart"/>
            <w:tcBorders>
              <w:top w:val="nil"/>
              <w:left w:val="nil"/>
              <w:bottom w:val="single" w:sz="6" w:space="0" w:color="auto"/>
              <w:right w:val="nil"/>
            </w:tcBorders>
            <w:shd w:val="clear" w:color="auto" w:fill="auto"/>
            <w:vAlign w:val="center"/>
            <w:hideMark/>
          </w:tcPr>
          <w:p w14:paraId="6D2DB489"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ESA kód</w:t>
            </w:r>
          </w:p>
        </w:tc>
        <w:tc>
          <w:tcPr>
            <w:tcW w:w="885" w:type="dxa"/>
            <w:tcBorders>
              <w:top w:val="nil"/>
              <w:left w:val="nil"/>
              <w:bottom w:val="nil"/>
              <w:right w:val="nil"/>
            </w:tcBorders>
            <w:shd w:val="clear" w:color="auto" w:fill="auto"/>
            <w:vAlign w:val="center"/>
            <w:hideMark/>
          </w:tcPr>
          <w:p w14:paraId="0D73E156" w14:textId="77777777" w:rsidR="00D73008" w:rsidRPr="00F26E77" w:rsidRDefault="00D73008" w:rsidP="00387AE5">
            <w:pPr>
              <w:jc w:val="center"/>
              <w:rPr>
                <w:rFonts w:cs="Times New Roman"/>
                <w:b/>
                <w:bCs/>
                <w:color w:val="000000"/>
                <w:sz w:val="18"/>
                <w:szCs w:val="18"/>
              </w:rPr>
            </w:pPr>
            <w:r w:rsidRPr="00F26E77">
              <w:rPr>
                <w:b/>
                <w:bCs/>
                <w:color w:val="000000"/>
                <w:sz w:val="18"/>
                <w:szCs w:val="18"/>
              </w:rPr>
              <w:t>2018</w:t>
            </w:r>
          </w:p>
        </w:tc>
        <w:tc>
          <w:tcPr>
            <w:tcW w:w="836" w:type="dxa"/>
            <w:tcBorders>
              <w:top w:val="nil"/>
              <w:left w:val="nil"/>
              <w:bottom w:val="nil"/>
              <w:right w:val="nil"/>
            </w:tcBorders>
            <w:shd w:val="clear" w:color="auto" w:fill="auto"/>
            <w:vAlign w:val="center"/>
            <w:hideMark/>
          </w:tcPr>
          <w:p w14:paraId="31985392" w14:textId="77777777" w:rsidR="00D73008" w:rsidRPr="00F26E77" w:rsidRDefault="00D73008" w:rsidP="00387AE5">
            <w:pPr>
              <w:jc w:val="center"/>
              <w:rPr>
                <w:b/>
                <w:bCs/>
                <w:color w:val="000000"/>
                <w:sz w:val="18"/>
                <w:szCs w:val="18"/>
              </w:rPr>
            </w:pPr>
            <w:r w:rsidRPr="00F26E77">
              <w:rPr>
                <w:b/>
                <w:bCs/>
                <w:color w:val="000000"/>
                <w:sz w:val="18"/>
                <w:szCs w:val="18"/>
              </w:rPr>
              <w:t>2018</w:t>
            </w:r>
          </w:p>
        </w:tc>
        <w:tc>
          <w:tcPr>
            <w:tcW w:w="836" w:type="dxa"/>
            <w:tcBorders>
              <w:top w:val="nil"/>
              <w:left w:val="nil"/>
              <w:bottom w:val="nil"/>
              <w:right w:val="nil"/>
            </w:tcBorders>
            <w:shd w:val="clear" w:color="auto" w:fill="auto"/>
            <w:vAlign w:val="center"/>
            <w:hideMark/>
          </w:tcPr>
          <w:p w14:paraId="3BCACBC6" w14:textId="77777777" w:rsidR="00D73008" w:rsidRPr="00F26E77" w:rsidRDefault="00D73008" w:rsidP="00387AE5">
            <w:pPr>
              <w:jc w:val="center"/>
              <w:rPr>
                <w:b/>
                <w:bCs/>
                <w:color w:val="000000"/>
                <w:sz w:val="18"/>
                <w:szCs w:val="18"/>
              </w:rPr>
            </w:pPr>
            <w:r w:rsidRPr="00F26E77">
              <w:rPr>
                <w:b/>
                <w:bCs/>
                <w:color w:val="000000"/>
                <w:sz w:val="18"/>
                <w:szCs w:val="18"/>
              </w:rPr>
              <w:t>2019</w:t>
            </w:r>
          </w:p>
        </w:tc>
        <w:tc>
          <w:tcPr>
            <w:tcW w:w="836" w:type="dxa"/>
            <w:tcBorders>
              <w:top w:val="nil"/>
              <w:left w:val="nil"/>
              <w:bottom w:val="nil"/>
              <w:right w:val="nil"/>
            </w:tcBorders>
            <w:shd w:val="clear" w:color="auto" w:fill="auto"/>
            <w:vAlign w:val="center"/>
            <w:hideMark/>
          </w:tcPr>
          <w:p w14:paraId="6DF84C8F" w14:textId="77777777" w:rsidR="00D73008" w:rsidRPr="00F26E77" w:rsidRDefault="00D73008" w:rsidP="00387AE5">
            <w:pPr>
              <w:jc w:val="center"/>
              <w:rPr>
                <w:b/>
                <w:bCs/>
                <w:color w:val="000000"/>
                <w:sz w:val="18"/>
                <w:szCs w:val="18"/>
              </w:rPr>
            </w:pPr>
            <w:r w:rsidRPr="00F26E77">
              <w:rPr>
                <w:b/>
                <w:bCs/>
                <w:color w:val="000000"/>
                <w:sz w:val="18"/>
                <w:szCs w:val="18"/>
              </w:rPr>
              <w:t>2020</w:t>
            </w:r>
          </w:p>
        </w:tc>
        <w:tc>
          <w:tcPr>
            <w:tcW w:w="836" w:type="dxa"/>
            <w:tcBorders>
              <w:top w:val="nil"/>
              <w:left w:val="nil"/>
              <w:bottom w:val="nil"/>
              <w:right w:val="nil"/>
            </w:tcBorders>
            <w:shd w:val="clear" w:color="auto" w:fill="auto"/>
            <w:vAlign w:val="center"/>
            <w:hideMark/>
          </w:tcPr>
          <w:p w14:paraId="699DFDC9" w14:textId="77777777" w:rsidR="00D73008" w:rsidRPr="00F26E77" w:rsidRDefault="00D73008" w:rsidP="00387AE5">
            <w:pPr>
              <w:jc w:val="center"/>
              <w:rPr>
                <w:b/>
                <w:bCs/>
                <w:color w:val="000000"/>
                <w:sz w:val="18"/>
                <w:szCs w:val="18"/>
              </w:rPr>
            </w:pPr>
            <w:r w:rsidRPr="00F26E77">
              <w:rPr>
                <w:b/>
                <w:bCs/>
                <w:color w:val="000000"/>
                <w:sz w:val="18"/>
                <w:szCs w:val="18"/>
              </w:rPr>
              <w:t>2021</w:t>
            </w:r>
          </w:p>
        </w:tc>
        <w:tc>
          <w:tcPr>
            <w:tcW w:w="836" w:type="dxa"/>
            <w:tcBorders>
              <w:top w:val="nil"/>
              <w:left w:val="nil"/>
              <w:bottom w:val="nil"/>
              <w:right w:val="nil"/>
            </w:tcBorders>
            <w:shd w:val="clear" w:color="auto" w:fill="auto"/>
            <w:vAlign w:val="center"/>
            <w:hideMark/>
          </w:tcPr>
          <w:p w14:paraId="6D1E0153" w14:textId="77777777" w:rsidR="00D73008" w:rsidRPr="00F26E77" w:rsidRDefault="00D73008" w:rsidP="00387AE5">
            <w:pPr>
              <w:jc w:val="center"/>
              <w:rPr>
                <w:b/>
                <w:bCs/>
                <w:color w:val="000000"/>
                <w:sz w:val="18"/>
                <w:szCs w:val="18"/>
              </w:rPr>
            </w:pPr>
            <w:r w:rsidRPr="00F26E77">
              <w:rPr>
                <w:b/>
                <w:bCs/>
                <w:color w:val="000000"/>
                <w:sz w:val="18"/>
                <w:szCs w:val="18"/>
              </w:rPr>
              <w:t>2022</w:t>
            </w:r>
          </w:p>
        </w:tc>
      </w:tr>
      <w:tr w:rsidR="00D73008" w:rsidRPr="00F26E77" w14:paraId="195190AF" w14:textId="77777777" w:rsidTr="00387AE5">
        <w:trPr>
          <w:trHeight w:val="283"/>
        </w:trPr>
        <w:tc>
          <w:tcPr>
            <w:tcW w:w="3085" w:type="dxa"/>
            <w:vMerge/>
            <w:tcBorders>
              <w:top w:val="nil"/>
              <w:left w:val="nil"/>
              <w:bottom w:val="single" w:sz="6" w:space="0" w:color="auto"/>
              <w:right w:val="nil"/>
            </w:tcBorders>
            <w:vAlign w:val="center"/>
            <w:hideMark/>
          </w:tcPr>
          <w:p w14:paraId="4CB408D6" w14:textId="77777777" w:rsidR="00D73008" w:rsidRPr="00F26E77" w:rsidRDefault="00D73008" w:rsidP="00387AE5">
            <w:pPr>
              <w:rPr>
                <w:rFonts w:cs="Times New Roman"/>
                <w:color w:val="000000"/>
                <w:sz w:val="18"/>
                <w:szCs w:val="18"/>
              </w:rPr>
            </w:pPr>
          </w:p>
        </w:tc>
        <w:tc>
          <w:tcPr>
            <w:tcW w:w="836" w:type="dxa"/>
            <w:vMerge/>
            <w:tcBorders>
              <w:top w:val="nil"/>
              <w:left w:val="nil"/>
              <w:bottom w:val="single" w:sz="6" w:space="0" w:color="auto"/>
              <w:right w:val="nil"/>
            </w:tcBorders>
            <w:vAlign w:val="center"/>
            <w:hideMark/>
          </w:tcPr>
          <w:p w14:paraId="31C3D9CD" w14:textId="77777777" w:rsidR="00D73008" w:rsidRPr="00F26E77" w:rsidRDefault="00D73008" w:rsidP="00387AE5">
            <w:pPr>
              <w:rPr>
                <w:rFonts w:cs="Times New Roman"/>
                <w:color w:val="000000"/>
                <w:sz w:val="18"/>
                <w:szCs w:val="18"/>
              </w:rPr>
            </w:pPr>
          </w:p>
        </w:tc>
        <w:tc>
          <w:tcPr>
            <w:tcW w:w="885" w:type="dxa"/>
            <w:tcBorders>
              <w:top w:val="nil"/>
              <w:left w:val="nil"/>
              <w:bottom w:val="single" w:sz="8" w:space="0" w:color="auto"/>
              <w:right w:val="nil"/>
            </w:tcBorders>
            <w:shd w:val="clear" w:color="auto" w:fill="auto"/>
            <w:noWrap/>
            <w:vAlign w:val="bottom"/>
            <w:hideMark/>
          </w:tcPr>
          <w:p w14:paraId="41876211" w14:textId="77777777" w:rsidR="00D73008" w:rsidRPr="00F26E77" w:rsidRDefault="00D73008" w:rsidP="00387AE5">
            <w:pPr>
              <w:jc w:val="center"/>
              <w:rPr>
                <w:rFonts w:cs="Times New Roman"/>
                <w:color w:val="000000"/>
                <w:sz w:val="18"/>
                <w:szCs w:val="18"/>
              </w:rPr>
            </w:pPr>
            <w:r w:rsidRPr="00F26E77">
              <w:rPr>
                <w:color w:val="000000"/>
                <w:sz w:val="18"/>
                <w:szCs w:val="18"/>
              </w:rPr>
              <w:t>Skutočnosť</w:t>
            </w:r>
          </w:p>
        </w:tc>
        <w:tc>
          <w:tcPr>
            <w:tcW w:w="836" w:type="dxa"/>
            <w:tcBorders>
              <w:top w:val="nil"/>
              <w:left w:val="nil"/>
              <w:bottom w:val="single" w:sz="8" w:space="0" w:color="auto"/>
              <w:right w:val="nil"/>
            </w:tcBorders>
            <w:shd w:val="clear" w:color="auto" w:fill="auto"/>
            <w:vAlign w:val="bottom"/>
            <w:hideMark/>
          </w:tcPr>
          <w:p w14:paraId="01CA02CB" w14:textId="77777777" w:rsidR="00D73008" w:rsidRPr="00F26E77" w:rsidRDefault="00D73008" w:rsidP="00387AE5">
            <w:pPr>
              <w:jc w:val="center"/>
              <w:rPr>
                <w:rFonts w:cs="Times New Roman"/>
                <w:color w:val="000000"/>
                <w:sz w:val="18"/>
                <w:szCs w:val="18"/>
              </w:rPr>
            </w:pPr>
            <w:r w:rsidRPr="00F26E77">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3DD9C657" w14:textId="77777777" w:rsidR="00D73008" w:rsidRPr="00F26E77" w:rsidRDefault="00D73008" w:rsidP="00387AE5">
            <w:pPr>
              <w:jc w:val="center"/>
              <w:rPr>
                <w:rFonts w:cs="Times New Roman"/>
                <w:color w:val="000000"/>
                <w:sz w:val="18"/>
                <w:szCs w:val="18"/>
              </w:rPr>
            </w:pPr>
            <w:r w:rsidRPr="00F26E77">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669AD1F8" w14:textId="77777777" w:rsidR="00D73008" w:rsidRPr="00F26E77" w:rsidRDefault="00D73008" w:rsidP="00387AE5">
            <w:pPr>
              <w:jc w:val="center"/>
              <w:rPr>
                <w:rFonts w:cs="Times New Roman"/>
                <w:color w:val="000000"/>
                <w:sz w:val="18"/>
                <w:szCs w:val="18"/>
              </w:rPr>
            </w:pPr>
            <w:r w:rsidRPr="00F26E77">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5C760A2F" w14:textId="77777777" w:rsidR="00D73008" w:rsidRPr="00F26E77" w:rsidRDefault="00D73008" w:rsidP="00387AE5">
            <w:pPr>
              <w:jc w:val="center"/>
              <w:rPr>
                <w:rFonts w:cs="Times New Roman"/>
                <w:color w:val="000000"/>
                <w:sz w:val="18"/>
                <w:szCs w:val="18"/>
              </w:rPr>
            </w:pPr>
            <w:r w:rsidRPr="00F26E77">
              <w:rPr>
                <w:color w:val="000000"/>
                <w:sz w:val="18"/>
                <w:szCs w:val="18"/>
              </w:rPr>
              <w:t>miera rastu</w:t>
            </w:r>
          </w:p>
        </w:tc>
        <w:tc>
          <w:tcPr>
            <w:tcW w:w="836" w:type="dxa"/>
            <w:tcBorders>
              <w:top w:val="nil"/>
              <w:left w:val="nil"/>
              <w:bottom w:val="single" w:sz="8" w:space="0" w:color="auto"/>
              <w:right w:val="nil"/>
            </w:tcBorders>
            <w:shd w:val="clear" w:color="auto" w:fill="auto"/>
            <w:vAlign w:val="bottom"/>
            <w:hideMark/>
          </w:tcPr>
          <w:p w14:paraId="377186EA" w14:textId="77777777" w:rsidR="00D73008" w:rsidRPr="00F26E77" w:rsidRDefault="00D73008" w:rsidP="00387AE5">
            <w:pPr>
              <w:jc w:val="center"/>
              <w:rPr>
                <w:rFonts w:cs="Times New Roman"/>
                <w:color w:val="000000"/>
                <w:sz w:val="18"/>
                <w:szCs w:val="18"/>
              </w:rPr>
            </w:pPr>
            <w:r w:rsidRPr="00F26E77">
              <w:rPr>
                <w:color w:val="000000"/>
                <w:sz w:val="18"/>
                <w:szCs w:val="18"/>
              </w:rPr>
              <w:t>miera rastu</w:t>
            </w:r>
          </w:p>
        </w:tc>
      </w:tr>
      <w:tr w:rsidR="00D73008" w:rsidRPr="00F26E77" w14:paraId="3E33BED0" w14:textId="77777777" w:rsidTr="00387AE5">
        <w:trPr>
          <w:trHeight w:val="283"/>
        </w:trPr>
        <w:tc>
          <w:tcPr>
            <w:tcW w:w="3085" w:type="dxa"/>
            <w:tcBorders>
              <w:top w:val="nil"/>
              <w:left w:val="nil"/>
              <w:bottom w:val="nil"/>
              <w:right w:val="nil"/>
            </w:tcBorders>
            <w:shd w:val="clear" w:color="auto" w:fill="auto"/>
            <w:vAlign w:val="center"/>
            <w:hideMark/>
          </w:tcPr>
          <w:p w14:paraId="69283C99" w14:textId="77777777" w:rsidR="00D73008" w:rsidRPr="00F26E77" w:rsidRDefault="00D73008" w:rsidP="00387AE5">
            <w:pPr>
              <w:rPr>
                <w:rFonts w:cs="Times New Roman"/>
                <w:color w:val="000000"/>
                <w:sz w:val="18"/>
                <w:szCs w:val="18"/>
              </w:rPr>
            </w:pPr>
            <w:r w:rsidRPr="00F26E77">
              <w:rPr>
                <w:color w:val="000000"/>
                <w:sz w:val="18"/>
                <w:szCs w:val="18"/>
              </w:rPr>
              <w:t>1. Reálne HDP</w:t>
            </w:r>
          </w:p>
        </w:tc>
        <w:tc>
          <w:tcPr>
            <w:tcW w:w="836" w:type="dxa"/>
            <w:tcBorders>
              <w:top w:val="nil"/>
              <w:left w:val="nil"/>
              <w:bottom w:val="nil"/>
              <w:right w:val="nil"/>
            </w:tcBorders>
            <w:shd w:val="clear" w:color="auto" w:fill="auto"/>
            <w:vAlign w:val="center"/>
            <w:hideMark/>
          </w:tcPr>
          <w:p w14:paraId="47A9AE2C" w14:textId="77777777" w:rsidR="00D73008" w:rsidRPr="00F26E77" w:rsidRDefault="00D73008" w:rsidP="00387AE5">
            <w:pPr>
              <w:jc w:val="center"/>
              <w:rPr>
                <w:rFonts w:cs="Times New Roman"/>
                <w:color w:val="000000"/>
                <w:sz w:val="18"/>
                <w:szCs w:val="18"/>
              </w:rPr>
            </w:pPr>
            <w:r w:rsidRPr="00F26E77">
              <w:rPr>
                <w:color w:val="000000"/>
                <w:sz w:val="18"/>
                <w:szCs w:val="18"/>
              </w:rPr>
              <w:t>B1*g</w:t>
            </w:r>
          </w:p>
        </w:tc>
        <w:tc>
          <w:tcPr>
            <w:tcW w:w="885" w:type="dxa"/>
            <w:tcBorders>
              <w:top w:val="nil"/>
              <w:left w:val="nil"/>
              <w:bottom w:val="nil"/>
              <w:right w:val="nil"/>
            </w:tcBorders>
            <w:shd w:val="clear" w:color="000000" w:fill="FFFFFF"/>
            <w:vAlign w:val="center"/>
            <w:hideMark/>
          </w:tcPr>
          <w:p w14:paraId="538B99BC" w14:textId="77777777" w:rsidR="00D73008" w:rsidRPr="00F26E77" w:rsidRDefault="00D73008" w:rsidP="00387AE5">
            <w:pPr>
              <w:jc w:val="center"/>
              <w:rPr>
                <w:rFonts w:cs="Times New Roman"/>
                <w:color w:val="000000"/>
                <w:sz w:val="18"/>
                <w:szCs w:val="18"/>
              </w:rPr>
            </w:pPr>
            <w:r w:rsidRPr="00F26E77">
              <w:rPr>
                <w:sz w:val="18"/>
                <w:szCs w:val="18"/>
              </w:rPr>
              <w:t>85,0</w:t>
            </w:r>
          </w:p>
        </w:tc>
        <w:tc>
          <w:tcPr>
            <w:tcW w:w="836" w:type="dxa"/>
            <w:tcBorders>
              <w:top w:val="nil"/>
              <w:left w:val="nil"/>
              <w:bottom w:val="nil"/>
              <w:right w:val="nil"/>
            </w:tcBorders>
            <w:shd w:val="clear" w:color="000000" w:fill="FFFFFF"/>
            <w:vAlign w:val="center"/>
            <w:hideMark/>
          </w:tcPr>
          <w:p w14:paraId="2D95B3A4" w14:textId="77777777" w:rsidR="00D73008" w:rsidRPr="00F26E77" w:rsidRDefault="00D73008" w:rsidP="00387AE5">
            <w:pPr>
              <w:jc w:val="center"/>
              <w:rPr>
                <w:color w:val="000000"/>
                <w:sz w:val="18"/>
                <w:szCs w:val="18"/>
              </w:rPr>
            </w:pPr>
            <w:r w:rsidRPr="00F26E77">
              <w:rPr>
                <w:sz w:val="18"/>
                <w:szCs w:val="18"/>
              </w:rPr>
              <w:t>4,1</w:t>
            </w:r>
          </w:p>
        </w:tc>
        <w:tc>
          <w:tcPr>
            <w:tcW w:w="836" w:type="dxa"/>
            <w:tcBorders>
              <w:top w:val="nil"/>
              <w:left w:val="nil"/>
              <w:bottom w:val="nil"/>
              <w:right w:val="nil"/>
            </w:tcBorders>
            <w:shd w:val="clear" w:color="auto" w:fill="auto"/>
            <w:vAlign w:val="center"/>
            <w:hideMark/>
          </w:tcPr>
          <w:p w14:paraId="63195518" w14:textId="77777777" w:rsidR="00D73008" w:rsidRPr="00F26E77" w:rsidRDefault="00D73008" w:rsidP="00387AE5">
            <w:pPr>
              <w:jc w:val="center"/>
              <w:rPr>
                <w:color w:val="000000"/>
                <w:sz w:val="18"/>
                <w:szCs w:val="18"/>
              </w:rPr>
            </w:pPr>
            <w:r w:rsidRPr="00F26E77">
              <w:rPr>
                <w:sz w:val="18"/>
                <w:szCs w:val="18"/>
              </w:rPr>
              <w:t>4,0</w:t>
            </w:r>
          </w:p>
        </w:tc>
        <w:tc>
          <w:tcPr>
            <w:tcW w:w="836" w:type="dxa"/>
            <w:tcBorders>
              <w:top w:val="nil"/>
              <w:left w:val="nil"/>
              <w:bottom w:val="nil"/>
              <w:right w:val="nil"/>
            </w:tcBorders>
            <w:shd w:val="clear" w:color="auto" w:fill="auto"/>
            <w:vAlign w:val="center"/>
            <w:hideMark/>
          </w:tcPr>
          <w:p w14:paraId="5DE2749A" w14:textId="77777777" w:rsidR="00D73008" w:rsidRPr="00F26E77" w:rsidRDefault="00D73008" w:rsidP="00387AE5">
            <w:pPr>
              <w:jc w:val="center"/>
              <w:rPr>
                <w:color w:val="000000"/>
                <w:sz w:val="18"/>
                <w:szCs w:val="18"/>
              </w:rPr>
            </w:pPr>
            <w:r w:rsidRPr="00F26E77">
              <w:rPr>
                <w:sz w:val="18"/>
                <w:szCs w:val="18"/>
              </w:rPr>
              <w:t>3,7</w:t>
            </w:r>
          </w:p>
        </w:tc>
        <w:tc>
          <w:tcPr>
            <w:tcW w:w="836" w:type="dxa"/>
            <w:tcBorders>
              <w:top w:val="nil"/>
              <w:left w:val="nil"/>
              <w:bottom w:val="nil"/>
              <w:right w:val="nil"/>
            </w:tcBorders>
            <w:shd w:val="clear" w:color="auto" w:fill="auto"/>
            <w:vAlign w:val="center"/>
            <w:hideMark/>
          </w:tcPr>
          <w:p w14:paraId="53A00D96" w14:textId="77777777" w:rsidR="00D73008" w:rsidRPr="00F26E77" w:rsidRDefault="00D73008" w:rsidP="00387AE5">
            <w:pPr>
              <w:jc w:val="center"/>
              <w:rPr>
                <w:color w:val="000000"/>
                <w:sz w:val="18"/>
                <w:szCs w:val="18"/>
              </w:rPr>
            </w:pPr>
            <w:r w:rsidRPr="00F26E77">
              <w:rPr>
                <w:sz w:val="18"/>
                <w:szCs w:val="18"/>
              </w:rPr>
              <w:t>3,2</w:t>
            </w:r>
          </w:p>
        </w:tc>
        <w:tc>
          <w:tcPr>
            <w:tcW w:w="836" w:type="dxa"/>
            <w:tcBorders>
              <w:top w:val="nil"/>
              <w:left w:val="nil"/>
              <w:bottom w:val="nil"/>
              <w:right w:val="nil"/>
            </w:tcBorders>
            <w:shd w:val="clear" w:color="auto" w:fill="auto"/>
            <w:vAlign w:val="center"/>
            <w:hideMark/>
          </w:tcPr>
          <w:p w14:paraId="3E3624EF" w14:textId="77777777" w:rsidR="00D73008" w:rsidRPr="00F26E77" w:rsidRDefault="00D73008" w:rsidP="00387AE5">
            <w:pPr>
              <w:jc w:val="center"/>
              <w:rPr>
                <w:color w:val="000000"/>
                <w:sz w:val="18"/>
                <w:szCs w:val="18"/>
              </w:rPr>
            </w:pPr>
            <w:r w:rsidRPr="00F26E77">
              <w:rPr>
                <w:sz w:val="18"/>
                <w:szCs w:val="18"/>
              </w:rPr>
              <w:t>2,5</w:t>
            </w:r>
          </w:p>
        </w:tc>
      </w:tr>
      <w:tr w:rsidR="00D73008" w:rsidRPr="00F26E77" w14:paraId="191CF6A3" w14:textId="77777777" w:rsidTr="00387AE5">
        <w:trPr>
          <w:trHeight w:val="283"/>
        </w:trPr>
        <w:tc>
          <w:tcPr>
            <w:tcW w:w="3085" w:type="dxa"/>
            <w:tcBorders>
              <w:top w:val="nil"/>
              <w:left w:val="nil"/>
              <w:bottom w:val="nil"/>
              <w:right w:val="nil"/>
            </w:tcBorders>
            <w:shd w:val="clear" w:color="auto" w:fill="auto"/>
            <w:vAlign w:val="center"/>
            <w:hideMark/>
          </w:tcPr>
          <w:p w14:paraId="622C112B" w14:textId="77777777" w:rsidR="00D73008" w:rsidRPr="00F26E77" w:rsidRDefault="00D73008" w:rsidP="00387AE5">
            <w:pPr>
              <w:rPr>
                <w:rFonts w:cs="Times New Roman"/>
                <w:color w:val="000000"/>
                <w:sz w:val="18"/>
                <w:szCs w:val="18"/>
              </w:rPr>
            </w:pPr>
            <w:r w:rsidRPr="00F26E77">
              <w:rPr>
                <w:color w:val="000000"/>
                <w:sz w:val="18"/>
                <w:szCs w:val="18"/>
              </w:rPr>
              <w:t>2. Nominálne HDP</w:t>
            </w:r>
          </w:p>
        </w:tc>
        <w:tc>
          <w:tcPr>
            <w:tcW w:w="836" w:type="dxa"/>
            <w:tcBorders>
              <w:top w:val="nil"/>
              <w:left w:val="nil"/>
              <w:bottom w:val="nil"/>
              <w:right w:val="nil"/>
            </w:tcBorders>
            <w:shd w:val="clear" w:color="auto" w:fill="auto"/>
            <w:vAlign w:val="center"/>
            <w:hideMark/>
          </w:tcPr>
          <w:p w14:paraId="4F9B9622" w14:textId="77777777" w:rsidR="00D73008" w:rsidRPr="00F26E77" w:rsidRDefault="00D73008" w:rsidP="00387AE5">
            <w:pPr>
              <w:jc w:val="center"/>
              <w:rPr>
                <w:rFonts w:cs="Times New Roman"/>
                <w:color w:val="000000"/>
                <w:sz w:val="18"/>
                <w:szCs w:val="18"/>
              </w:rPr>
            </w:pPr>
            <w:r w:rsidRPr="00F26E77">
              <w:rPr>
                <w:color w:val="000000"/>
                <w:sz w:val="18"/>
                <w:szCs w:val="18"/>
              </w:rPr>
              <w:t>B1*g</w:t>
            </w:r>
          </w:p>
        </w:tc>
        <w:tc>
          <w:tcPr>
            <w:tcW w:w="885" w:type="dxa"/>
            <w:tcBorders>
              <w:top w:val="nil"/>
              <w:left w:val="nil"/>
              <w:bottom w:val="nil"/>
              <w:right w:val="nil"/>
            </w:tcBorders>
            <w:shd w:val="clear" w:color="000000" w:fill="FFFFFF"/>
            <w:vAlign w:val="center"/>
            <w:hideMark/>
          </w:tcPr>
          <w:p w14:paraId="1EDB6554" w14:textId="77777777" w:rsidR="00D73008" w:rsidRPr="00F26E77" w:rsidRDefault="00D73008" w:rsidP="00387AE5">
            <w:pPr>
              <w:jc w:val="center"/>
              <w:rPr>
                <w:color w:val="000000"/>
                <w:sz w:val="18"/>
                <w:szCs w:val="18"/>
              </w:rPr>
            </w:pPr>
            <w:r w:rsidRPr="00F26E77">
              <w:rPr>
                <w:sz w:val="18"/>
                <w:szCs w:val="18"/>
              </w:rPr>
              <w:t>90,2</w:t>
            </w:r>
          </w:p>
        </w:tc>
        <w:tc>
          <w:tcPr>
            <w:tcW w:w="836" w:type="dxa"/>
            <w:tcBorders>
              <w:top w:val="nil"/>
              <w:left w:val="nil"/>
              <w:bottom w:val="nil"/>
              <w:right w:val="nil"/>
            </w:tcBorders>
            <w:shd w:val="clear" w:color="000000" w:fill="FFFFFF"/>
            <w:vAlign w:val="center"/>
            <w:hideMark/>
          </w:tcPr>
          <w:p w14:paraId="61CB0C39" w14:textId="77777777" w:rsidR="00D73008" w:rsidRPr="00F26E77" w:rsidRDefault="00D73008" w:rsidP="00387AE5">
            <w:pPr>
              <w:jc w:val="center"/>
              <w:rPr>
                <w:color w:val="000000"/>
                <w:sz w:val="18"/>
                <w:szCs w:val="18"/>
              </w:rPr>
            </w:pPr>
            <w:r w:rsidRPr="00F26E77">
              <w:rPr>
                <w:sz w:val="18"/>
                <w:szCs w:val="18"/>
              </w:rPr>
              <w:t>6,3</w:t>
            </w:r>
          </w:p>
        </w:tc>
        <w:tc>
          <w:tcPr>
            <w:tcW w:w="836" w:type="dxa"/>
            <w:tcBorders>
              <w:top w:val="nil"/>
              <w:left w:val="nil"/>
              <w:bottom w:val="nil"/>
              <w:right w:val="nil"/>
            </w:tcBorders>
            <w:shd w:val="clear" w:color="auto" w:fill="auto"/>
            <w:vAlign w:val="center"/>
            <w:hideMark/>
          </w:tcPr>
          <w:p w14:paraId="45A0D633" w14:textId="77777777" w:rsidR="00D73008" w:rsidRPr="00F26E77" w:rsidRDefault="00D73008" w:rsidP="00387AE5">
            <w:pPr>
              <w:jc w:val="center"/>
              <w:rPr>
                <w:color w:val="000000"/>
                <w:sz w:val="18"/>
                <w:szCs w:val="18"/>
              </w:rPr>
            </w:pPr>
            <w:r w:rsidRPr="00F26E77">
              <w:rPr>
                <w:sz w:val="18"/>
                <w:szCs w:val="18"/>
              </w:rPr>
              <w:t>6,7</w:t>
            </w:r>
          </w:p>
        </w:tc>
        <w:tc>
          <w:tcPr>
            <w:tcW w:w="836" w:type="dxa"/>
            <w:tcBorders>
              <w:top w:val="nil"/>
              <w:left w:val="nil"/>
              <w:bottom w:val="nil"/>
              <w:right w:val="nil"/>
            </w:tcBorders>
            <w:shd w:val="clear" w:color="auto" w:fill="auto"/>
            <w:vAlign w:val="center"/>
            <w:hideMark/>
          </w:tcPr>
          <w:p w14:paraId="46464728" w14:textId="77777777" w:rsidR="00D73008" w:rsidRPr="00F26E77" w:rsidRDefault="00D73008" w:rsidP="00387AE5">
            <w:pPr>
              <w:jc w:val="center"/>
              <w:rPr>
                <w:color w:val="000000"/>
                <w:sz w:val="18"/>
                <w:szCs w:val="18"/>
              </w:rPr>
            </w:pPr>
            <w:r w:rsidRPr="00F26E77">
              <w:rPr>
                <w:sz w:val="18"/>
                <w:szCs w:val="18"/>
              </w:rPr>
              <w:t>6,2</w:t>
            </w:r>
          </w:p>
        </w:tc>
        <w:tc>
          <w:tcPr>
            <w:tcW w:w="836" w:type="dxa"/>
            <w:tcBorders>
              <w:top w:val="nil"/>
              <w:left w:val="nil"/>
              <w:bottom w:val="nil"/>
              <w:right w:val="nil"/>
            </w:tcBorders>
            <w:shd w:val="clear" w:color="auto" w:fill="auto"/>
            <w:vAlign w:val="center"/>
            <w:hideMark/>
          </w:tcPr>
          <w:p w14:paraId="1124A133" w14:textId="77777777" w:rsidR="00D73008" w:rsidRPr="00F26E77" w:rsidRDefault="00D73008" w:rsidP="00387AE5">
            <w:pPr>
              <w:jc w:val="center"/>
              <w:rPr>
                <w:color w:val="000000"/>
                <w:sz w:val="18"/>
                <w:szCs w:val="18"/>
              </w:rPr>
            </w:pPr>
            <w:r w:rsidRPr="00F26E77">
              <w:rPr>
                <w:sz w:val="18"/>
                <w:szCs w:val="18"/>
              </w:rPr>
              <w:t>5,6</w:t>
            </w:r>
          </w:p>
        </w:tc>
        <w:tc>
          <w:tcPr>
            <w:tcW w:w="836" w:type="dxa"/>
            <w:tcBorders>
              <w:top w:val="nil"/>
              <w:left w:val="nil"/>
              <w:bottom w:val="nil"/>
              <w:right w:val="nil"/>
            </w:tcBorders>
            <w:shd w:val="clear" w:color="auto" w:fill="auto"/>
            <w:vAlign w:val="center"/>
            <w:hideMark/>
          </w:tcPr>
          <w:p w14:paraId="4548E8EF" w14:textId="77777777" w:rsidR="00D73008" w:rsidRPr="00F26E77" w:rsidRDefault="00D73008" w:rsidP="00387AE5">
            <w:pPr>
              <w:jc w:val="center"/>
              <w:rPr>
                <w:color w:val="000000"/>
                <w:sz w:val="18"/>
                <w:szCs w:val="18"/>
              </w:rPr>
            </w:pPr>
            <w:r w:rsidRPr="00F26E77">
              <w:rPr>
                <w:sz w:val="18"/>
                <w:szCs w:val="18"/>
              </w:rPr>
              <w:t>4,9</w:t>
            </w:r>
          </w:p>
        </w:tc>
      </w:tr>
      <w:tr w:rsidR="00D73008" w:rsidRPr="00F26E77" w14:paraId="2020828F" w14:textId="77777777" w:rsidTr="00387AE5">
        <w:trPr>
          <w:trHeight w:val="283"/>
        </w:trPr>
        <w:tc>
          <w:tcPr>
            <w:tcW w:w="8986" w:type="dxa"/>
            <w:gridSpan w:val="8"/>
            <w:tcBorders>
              <w:top w:val="nil"/>
              <w:left w:val="nil"/>
              <w:bottom w:val="nil"/>
              <w:right w:val="nil"/>
            </w:tcBorders>
            <w:shd w:val="clear" w:color="auto" w:fill="auto"/>
            <w:vAlign w:val="center"/>
            <w:hideMark/>
          </w:tcPr>
          <w:p w14:paraId="072E8E94" w14:textId="77777777" w:rsidR="00D73008" w:rsidRPr="00F26E77" w:rsidRDefault="00D73008" w:rsidP="00387AE5">
            <w:pPr>
              <w:jc w:val="center"/>
              <w:rPr>
                <w:rFonts w:cs="Times New Roman"/>
                <w:b/>
                <w:bCs/>
                <w:color w:val="000000"/>
                <w:sz w:val="18"/>
                <w:szCs w:val="18"/>
              </w:rPr>
            </w:pPr>
            <w:r w:rsidRPr="00F26E77">
              <w:rPr>
                <w:rFonts w:cs="Times New Roman"/>
                <w:b/>
                <w:bCs/>
                <w:color w:val="000000"/>
                <w:sz w:val="18"/>
                <w:szCs w:val="18"/>
              </w:rPr>
              <w:t>Zložky reálneho HDP</w:t>
            </w:r>
          </w:p>
        </w:tc>
      </w:tr>
      <w:tr w:rsidR="00D73008" w:rsidRPr="00F26E77" w14:paraId="11637C42" w14:textId="77777777" w:rsidTr="00387AE5">
        <w:trPr>
          <w:trHeight w:val="283"/>
        </w:trPr>
        <w:tc>
          <w:tcPr>
            <w:tcW w:w="3085" w:type="dxa"/>
            <w:tcBorders>
              <w:top w:val="nil"/>
              <w:left w:val="nil"/>
              <w:bottom w:val="nil"/>
              <w:right w:val="nil"/>
            </w:tcBorders>
            <w:shd w:val="clear" w:color="auto" w:fill="auto"/>
            <w:vAlign w:val="center"/>
            <w:hideMark/>
          </w:tcPr>
          <w:p w14:paraId="1A3D63AB" w14:textId="77777777" w:rsidR="00D73008" w:rsidRPr="00F26E77" w:rsidRDefault="00D73008" w:rsidP="00387AE5">
            <w:pPr>
              <w:rPr>
                <w:rFonts w:cs="Times New Roman"/>
                <w:color w:val="000000"/>
                <w:sz w:val="18"/>
                <w:szCs w:val="18"/>
              </w:rPr>
            </w:pPr>
            <w:r w:rsidRPr="00F26E77">
              <w:rPr>
                <w:color w:val="000000"/>
                <w:sz w:val="18"/>
                <w:szCs w:val="18"/>
              </w:rPr>
              <w:t>3. Konečná spotreba domácností a NISD</w:t>
            </w:r>
          </w:p>
        </w:tc>
        <w:tc>
          <w:tcPr>
            <w:tcW w:w="836" w:type="dxa"/>
            <w:tcBorders>
              <w:top w:val="nil"/>
              <w:left w:val="nil"/>
              <w:bottom w:val="nil"/>
              <w:right w:val="nil"/>
            </w:tcBorders>
            <w:shd w:val="clear" w:color="auto" w:fill="auto"/>
            <w:vAlign w:val="center"/>
            <w:hideMark/>
          </w:tcPr>
          <w:p w14:paraId="4025680B" w14:textId="77777777" w:rsidR="00D73008" w:rsidRPr="00F26E77" w:rsidRDefault="00D73008" w:rsidP="00387AE5">
            <w:pPr>
              <w:jc w:val="center"/>
              <w:rPr>
                <w:rFonts w:cs="Times New Roman"/>
                <w:color w:val="000000"/>
                <w:sz w:val="18"/>
                <w:szCs w:val="18"/>
              </w:rPr>
            </w:pPr>
            <w:r w:rsidRPr="00F26E77">
              <w:rPr>
                <w:color w:val="000000"/>
                <w:sz w:val="18"/>
                <w:szCs w:val="18"/>
              </w:rPr>
              <w:t>P.3</w:t>
            </w:r>
          </w:p>
        </w:tc>
        <w:tc>
          <w:tcPr>
            <w:tcW w:w="885" w:type="dxa"/>
            <w:tcBorders>
              <w:top w:val="nil"/>
              <w:left w:val="nil"/>
              <w:bottom w:val="nil"/>
              <w:right w:val="nil"/>
            </w:tcBorders>
            <w:shd w:val="clear" w:color="auto" w:fill="auto"/>
            <w:vAlign w:val="center"/>
            <w:hideMark/>
          </w:tcPr>
          <w:p w14:paraId="76154E6D" w14:textId="77777777" w:rsidR="00D73008" w:rsidRPr="00F26E77" w:rsidRDefault="00D73008" w:rsidP="00387AE5">
            <w:pPr>
              <w:jc w:val="center"/>
              <w:rPr>
                <w:rFonts w:cs="Times New Roman"/>
                <w:color w:val="000000"/>
                <w:sz w:val="18"/>
                <w:szCs w:val="18"/>
              </w:rPr>
            </w:pPr>
            <w:r w:rsidRPr="00F26E77">
              <w:rPr>
                <w:sz w:val="18"/>
                <w:szCs w:val="18"/>
              </w:rPr>
              <w:t>43,7</w:t>
            </w:r>
          </w:p>
        </w:tc>
        <w:tc>
          <w:tcPr>
            <w:tcW w:w="836" w:type="dxa"/>
            <w:tcBorders>
              <w:top w:val="nil"/>
              <w:left w:val="nil"/>
              <w:bottom w:val="nil"/>
              <w:right w:val="nil"/>
            </w:tcBorders>
            <w:shd w:val="clear" w:color="auto" w:fill="auto"/>
            <w:vAlign w:val="center"/>
            <w:hideMark/>
          </w:tcPr>
          <w:p w14:paraId="2A6EA309" w14:textId="77777777" w:rsidR="00D73008" w:rsidRPr="00F26E77" w:rsidRDefault="00D73008" w:rsidP="00387AE5">
            <w:pPr>
              <w:jc w:val="center"/>
              <w:rPr>
                <w:color w:val="000000"/>
                <w:sz w:val="18"/>
                <w:szCs w:val="18"/>
              </w:rPr>
            </w:pPr>
            <w:r w:rsidRPr="00F26E77">
              <w:rPr>
                <w:sz w:val="18"/>
                <w:szCs w:val="18"/>
              </w:rPr>
              <w:t>3,0</w:t>
            </w:r>
          </w:p>
        </w:tc>
        <w:tc>
          <w:tcPr>
            <w:tcW w:w="836" w:type="dxa"/>
            <w:tcBorders>
              <w:top w:val="nil"/>
              <w:left w:val="nil"/>
              <w:bottom w:val="nil"/>
              <w:right w:val="nil"/>
            </w:tcBorders>
            <w:shd w:val="clear" w:color="auto" w:fill="auto"/>
            <w:vAlign w:val="center"/>
            <w:hideMark/>
          </w:tcPr>
          <w:p w14:paraId="7171586C" w14:textId="77777777" w:rsidR="00D73008" w:rsidRPr="00F26E77" w:rsidRDefault="00D73008" w:rsidP="00387AE5">
            <w:pPr>
              <w:jc w:val="center"/>
              <w:rPr>
                <w:color w:val="000000"/>
                <w:sz w:val="18"/>
                <w:szCs w:val="18"/>
              </w:rPr>
            </w:pPr>
            <w:r w:rsidRPr="00F26E77">
              <w:rPr>
                <w:sz w:val="18"/>
                <w:szCs w:val="18"/>
              </w:rPr>
              <w:t>3,3</w:t>
            </w:r>
          </w:p>
        </w:tc>
        <w:tc>
          <w:tcPr>
            <w:tcW w:w="836" w:type="dxa"/>
            <w:tcBorders>
              <w:top w:val="nil"/>
              <w:left w:val="nil"/>
              <w:bottom w:val="nil"/>
              <w:right w:val="nil"/>
            </w:tcBorders>
            <w:shd w:val="clear" w:color="auto" w:fill="auto"/>
            <w:vAlign w:val="center"/>
            <w:hideMark/>
          </w:tcPr>
          <w:p w14:paraId="245A245E" w14:textId="77777777" w:rsidR="00D73008" w:rsidRPr="00F26E77" w:rsidRDefault="00D73008" w:rsidP="00387AE5">
            <w:pPr>
              <w:jc w:val="center"/>
              <w:rPr>
                <w:color w:val="000000"/>
                <w:sz w:val="18"/>
                <w:szCs w:val="18"/>
              </w:rPr>
            </w:pPr>
            <w:r w:rsidRPr="00F26E77">
              <w:rPr>
                <w:sz w:val="18"/>
                <w:szCs w:val="18"/>
              </w:rPr>
              <w:t>2,9</w:t>
            </w:r>
          </w:p>
        </w:tc>
        <w:tc>
          <w:tcPr>
            <w:tcW w:w="836" w:type="dxa"/>
            <w:tcBorders>
              <w:top w:val="nil"/>
              <w:left w:val="nil"/>
              <w:bottom w:val="nil"/>
              <w:right w:val="nil"/>
            </w:tcBorders>
            <w:shd w:val="clear" w:color="auto" w:fill="auto"/>
            <w:vAlign w:val="center"/>
            <w:hideMark/>
          </w:tcPr>
          <w:p w14:paraId="3131EAD0" w14:textId="77777777" w:rsidR="00D73008" w:rsidRPr="00F26E77" w:rsidRDefault="00D73008" w:rsidP="00387AE5">
            <w:pPr>
              <w:jc w:val="center"/>
              <w:rPr>
                <w:color w:val="000000"/>
                <w:sz w:val="18"/>
                <w:szCs w:val="18"/>
              </w:rPr>
            </w:pPr>
            <w:r w:rsidRPr="00F26E77">
              <w:rPr>
                <w:sz w:val="18"/>
                <w:szCs w:val="18"/>
              </w:rPr>
              <w:t>2,2</w:t>
            </w:r>
          </w:p>
        </w:tc>
        <w:tc>
          <w:tcPr>
            <w:tcW w:w="836" w:type="dxa"/>
            <w:tcBorders>
              <w:top w:val="nil"/>
              <w:left w:val="nil"/>
              <w:bottom w:val="nil"/>
              <w:right w:val="nil"/>
            </w:tcBorders>
            <w:shd w:val="clear" w:color="auto" w:fill="auto"/>
            <w:vAlign w:val="center"/>
            <w:hideMark/>
          </w:tcPr>
          <w:p w14:paraId="6309FE09" w14:textId="77777777" w:rsidR="00D73008" w:rsidRPr="00F26E77" w:rsidRDefault="00D73008" w:rsidP="00387AE5">
            <w:pPr>
              <w:jc w:val="center"/>
              <w:rPr>
                <w:color w:val="000000"/>
                <w:sz w:val="18"/>
                <w:szCs w:val="18"/>
              </w:rPr>
            </w:pPr>
            <w:r w:rsidRPr="00F26E77">
              <w:rPr>
                <w:sz w:val="18"/>
                <w:szCs w:val="18"/>
              </w:rPr>
              <w:t>1,7</w:t>
            </w:r>
          </w:p>
        </w:tc>
      </w:tr>
      <w:tr w:rsidR="00D73008" w:rsidRPr="00F26E77" w14:paraId="73A92920" w14:textId="77777777" w:rsidTr="00387AE5">
        <w:trPr>
          <w:trHeight w:val="283"/>
        </w:trPr>
        <w:tc>
          <w:tcPr>
            <w:tcW w:w="3085" w:type="dxa"/>
            <w:tcBorders>
              <w:top w:val="nil"/>
              <w:left w:val="nil"/>
              <w:bottom w:val="nil"/>
              <w:right w:val="nil"/>
            </w:tcBorders>
            <w:shd w:val="clear" w:color="auto" w:fill="auto"/>
            <w:vAlign w:val="center"/>
            <w:hideMark/>
          </w:tcPr>
          <w:p w14:paraId="30A2B36A" w14:textId="77777777" w:rsidR="00D73008" w:rsidRPr="00F26E77" w:rsidRDefault="00D73008" w:rsidP="00387AE5">
            <w:pPr>
              <w:rPr>
                <w:rFonts w:cs="Times New Roman"/>
                <w:color w:val="000000"/>
                <w:sz w:val="18"/>
                <w:szCs w:val="18"/>
              </w:rPr>
            </w:pPr>
            <w:r w:rsidRPr="00F26E77">
              <w:rPr>
                <w:color w:val="000000"/>
                <w:sz w:val="18"/>
                <w:szCs w:val="18"/>
              </w:rPr>
              <w:t xml:space="preserve">4. Konečná spotreba verejnej správy </w:t>
            </w:r>
          </w:p>
        </w:tc>
        <w:tc>
          <w:tcPr>
            <w:tcW w:w="836" w:type="dxa"/>
            <w:tcBorders>
              <w:top w:val="nil"/>
              <w:left w:val="nil"/>
              <w:bottom w:val="nil"/>
              <w:right w:val="nil"/>
            </w:tcBorders>
            <w:shd w:val="clear" w:color="auto" w:fill="auto"/>
            <w:vAlign w:val="center"/>
            <w:hideMark/>
          </w:tcPr>
          <w:p w14:paraId="6CC9AF43" w14:textId="77777777" w:rsidR="00D73008" w:rsidRPr="00F26E77" w:rsidRDefault="00D73008" w:rsidP="00387AE5">
            <w:pPr>
              <w:jc w:val="center"/>
              <w:rPr>
                <w:rFonts w:cs="Times New Roman"/>
                <w:color w:val="000000"/>
                <w:sz w:val="18"/>
                <w:szCs w:val="18"/>
              </w:rPr>
            </w:pPr>
            <w:r w:rsidRPr="00F26E77">
              <w:rPr>
                <w:color w:val="000000"/>
                <w:sz w:val="18"/>
                <w:szCs w:val="18"/>
              </w:rPr>
              <w:t>P.3</w:t>
            </w:r>
          </w:p>
        </w:tc>
        <w:tc>
          <w:tcPr>
            <w:tcW w:w="885" w:type="dxa"/>
            <w:tcBorders>
              <w:top w:val="nil"/>
              <w:left w:val="nil"/>
              <w:bottom w:val="nil"/>
              <w:right w:val="nil"/>
            </w:tcBorders>
            <w:shd w:val="clear" w:color="auto" w:fill="auto"/>
            <w:vAlign w:val="center"/>
            <w:hideMark/>
          </w:tcPr>
          <w:p w14:paraId="1055A1AB" w14:textId="77777777" w:rsidR="00D73008" w:rsidRPr="00F26E77" w:rsidRDefault="00D73008" w:rsidP="00387AE5">
            <w:pPr>
              <w:jc w:val="center"/>
              <w:rPr>
                <w:color w:val="000000"/>
                <w:sz w:val="18"/>
                <w:szCs w:val="18"/>
              </w:rPr>
            </w:pPr>
            <w:r w:rsidRPr="00F26E77">
              <w:rPr>
                <w:sz w:val="18"/>
                <w:szCs w:val="18"/>
              </w:rPr>
              <w:t>15,2</w:t>
            </w:r>
          </w:p>
        </w:tc>
        <w:tc>
          <w:tcPr>
            <w:tcW w:w="836" w:type="dxa"/>
            <w:tcBorders>
              <w:top w:val="nil"/>
              <w:left w:val="nil"/>
              <w:bottom w:val="nil"/>
              <w:right w:val="nil"/>
            </w:tcBorders>
            <w:shd w:val="clear" w:color="auto" w:fill="auto"/>
            <w:vAlign w:val="center"/>
            <w:hideMark/>
          </w:tcPr>
          <w:p w14:paraId="4027C835" w14:textId="77777777" w:rsidR="00D73008" w:rsidRPr="00F26E77" w:rsidRDefault="00D73008" w:rsidP="00387AE5">
            <w:pPr>
              <w:jc w:val="center"/>
              <w:rPr>
                <w:color w:val="000000"/>
                <w:sz w:val="18"/>
                <w:szCs w:val="18"/>
              </w:rPr>
            </w:pPr>
            <w:r w:rsidRPr="00F26E77">
              <w:rPr>
                <w:sz w:val="18"/>
                <w:szCs w:val="18"/>
              </w:rPr>
              <w:t>1,9</w:t>
            </w:r>
          </w:p>
        </w:tc>
        <w:tc>
          <w:tcPr>
            <w:tcW w:w="836" w:type="dxa"/>
            <w:tcBorders>
              <w:top w:val="nil"/>
              <w:left w:val="nil"/>
              <w:bottom w:val="nil"/>
              <w:right w:val="nil"/>
            </w:tcBorders>
            <w:shd w:val="clear" w:color="auto" w:fill="auto"/>
            <w:vAlign w:val="center"/>
            <w:hideMark/>
          </w:tcPr>
          <w:p w14:paraId="51385DBD" w14:textId="77777777" w:rsidR="00D73008" w:rsidRPr="00F26E77" w:rsidRDefault="00D73008" w:rsidP="00387AE5">
            <w:pPr>
              <w:jc w:val="center"/>
              <w:rPr>
                <w:color w:val="000000"/>
                <w:sz w:val="18"/>
                <w:szCs w:val="18"/>
              </w:rPr>
            </w:pPr>
            <w:r w:rsidRPr="00F26E77">
              <w:rPr>
                <w:sz w:val="18"/>
                <w:szCs w:val="18"/>
              </w:rPr>
              <w:t>1,8</w:t>
            </w:r>
          </w:p>
        </w:tc>
        <w:tc>
          <w:tcPr>
            <w:tcW w:w="836" w:type="dxa"/>
            <w:tcBorders>
              <w:top w:val="nil"/>
              <w:left w:val="nil"/>
              <w:bottom w:val="nil"/>
              <w:right w:val="nil"/>
            </w:tcBorders>
            <w:shd w:val="clear" w:color="auto" w:fill="auto"/>
            <w:vAlign w:val="center"/>
            <w:hideMark/>
          </w:tcPr>
          <w:p w14:paraId="7A70F63F" w14:textId="77777777" w:rsidR="00D73008" w:rsidRPr="00F26E77" w:rsidRDefault="00D73008" w:rsidP="00387AE5">
            <w:pPr>
              <w:jc w:val="center"/>
              <w:rPr>
                <w:color w:val="000000"/>
                <w:sz w:val="18"/>
                <w:szCs w:val="18"/>
              </w:rPr>
            </w:pPr>
            <w:r w:rsidRPr="00F26E77">
              <w:rPr>
                <w:sz w:val="18"/>
                <w:szCs w:val="18"/>
              </w:rPr>
              <w:t>1,7</w:t>
            </w:r>
          </w:p>
        </w:tc>
        <w:tc>
          <w:tcPr>
            <w:tcW w:w="836" w:type="dxa"/>
            <w:tcBorders>
              <w:top w:val="nil"/>
              <w:left w:val="nil"/>
              <w:bottom w:val="nil"/>
              <w:right w:val="nil"/>
            </w:tcBorders>
            <w:shd w:val="clear" w:color="auto" w:fill="auto"/>
            <w:vAlign w:val="center"/>
            <w:hideMark/>
          </w:tcPr>
          <w:p w14:paraId="5AA3BFE1" w14:textId="77777777" w:rsidR="00D73008" w:rsidRPr="00F26E77" w:rsidRDefault="00D73008" w:rsidP="00387AE5">
            <w:pPr>
              <w:jc w:val="center"/>
              <w:rPr>
                <w:color w:val="000000"/>
                <w:sz w:val="18"/>
                <w:szCs w:val="18"/>
              </w:rPr>
            </w:pPr>
            <w:r w:rsidRPr="00F26E77">
              <w:rPr>
                <w:sz w:val="18"/>
                <w:szCs w:val="18"/>
              </w:rPr>
              <w:t>1,0</w:t>
            </w:r>
          </w:p>
        </w:tc>
        <w:tc>
          <w:tcPr>
            <w:tcW w:w="836" w:type="dxa"/>
            <w:tcBorders>
              <w:top w:val="nil"/>
              <w:left w:val="nil"/>
              <w:bottom w:val="nil"/>
              <w:right w:val="nil"/>
            </w:tcBorders>
            <w:shd w:val="clear" w:color="auto" w:fill="auto"/>
            <w:vAlign w:val="center"/>
            <w:hideMark/>
          </w:tcPr>
          <w:p w14:paraId="5704F148" w14:textId="77777777" w:rsidR="00D73008" w:rsidRPr="00F26E77" w:rsidRDefault="00D73008" w:rsidP="00387AE5">
            <w:pPr>
              <w:jc w:val="center"/>
              <w:rPr>
                <w:color w:val="000000"/>
                <w:sz w:val="18"/>
                <w:szCs w:val="18"/>
              </w:rPr>
            </w:pPr>
            <w:r w:rsidRPr="00F26E77">
              <w:rPr>
                <w:sz w:val="18"/>
                <w:szCs w:val="18"/>
              </w:rPr>
              <w:t>1,2</w:t>
            </w:r>
          </w:p>
        </w:tc>
      </w:tr>
      <w:tr w:rsidR="00D73008" w:rsidRPr="00F26E77" w14:paraId="53F07831" w14:textId="77777777" w:rsidTr="00387AE5">
        <w:trPr>
          <w:trHeight w:val="283"/>
        </w:trPr>
        <w:tc>
          <w:tcPr>
            <w:tcW w:w="3085" w:type="dxa"/>
            <w:tcBorders>
              <w:top w:val="nil"/>
              <w:left w:val="nil"/>
              <w:bottom w:val="nil"/>
              <w:right w:val="nil"/>
            </w:tcBorders>
            <w:shd w:val="clear" w:color="auto" w:fill="auto"/>
            <w:vAlign w:val="center"/>
            <w:hideMark/>
          </w:tcPr>
          <w:p w14:paraId="3B9BA5E3" w14:textId="77777777" w:rsidR="00D73008" w:rsidRPr="00F26E77" w:rsidRDefault="00D73008" w:rsidP="00387AE5">
            <w:pPr>
              <w:rPr>
                <w:rFonts w:cs="Times New Roman"/>
                <w:color w:val="000000"/>
                <w:sz w:val="18"/>
                <w:szCs w:val="18"/>
              </w:rPr>
            </w:pPr>
            <w:r w:rsidRPr="00F26E77">
              <w:rPr>
                <w:color w:val="000000"/>
                <w:sz w:val="18"/>
                <w:szCs w:val="18"/>
              </w:rPr>
              <w:t>5. Tvorba hrubého fixného kapitálu</w:t>
            </w:r>
          </w:p>
        </w:tc>
        <w:tc>
          <w:tcPr>
            <w:tcW w:w="836" w:type="dxa"/>
            <w:tcBorders>
              <w:top w:val="nil"/>
              <w:left w:val="nil"/>
              <w:bottom w:val="nil"/>
              <w:right w:val="nil"/>
            </w:tcBorders>
            <w:shd w:val="clear" w:color="auto" w:fill="auto"/>
            <w:vAlign w:val="center"/>
            <w:hideMark/>
          </w:tcPr>
          <w:p w14:paraId="5D37D9A4" w14:textId="77777777" w:rsidR="00D73008" w:rsidRPr="00F26E77" w:rsidRDefault="00D73008" w:rsidP="00387AE5">
            <w:pPr>
              <w:jc w:val="center"/>
              <w:rPr>
                <w:rFonts w:cs="Times New Roman"/>
                <w:color w:val="000000"/>
                <w:sz w:val="18"/>
                <w:szCs w:val="18"/>
              </w:rPr>
            </w:pPr>
            <w:r w:rsidRPr="00F26E77">
              <w:rPr>
                <w:color w:val="000000"/>
                <w:sz w:val="18"/>
                <w:szCs w:val="18"/>
              </w:rPr>
              <w:t>P.51g</w:t>
            </w:r>
          </w:p>
        </w:tc>
        <w:tc>
          <w:tcPr>
            <w:tcW w:w="885" w:type="dxa"/>
            <w:tcBorders>
              <w:top w:val="nil"/>
              <w:left w:val="nil"/>
              <w:bottom w:val="nil"/>
              <w:right w:val="nil"/>
            </w:tcBorders>
            <w:shd w:val="clear" w:color="auto" w:fill="auto"/>
            <w:vAlign w:val="center"/>
            <w:hideMark/>
          </w:tcPr>
          <w:p w14:paraId="42A56329" w14:textId="77777777" w:rsidR="00D73008" w:rsidRPr="00F26E77" w:rsidRDefault="00D73008" w:rsidP="00387AE5">
            <w:pPr>
              <w:jc w:val="center"/>
              <w:rPr>
                <w:color w:val="000000"/>
                <w:sz w:val="18"/>
                <w:szCs w:val="18"/>
              </w:rPr>
            </w:pPr>
            <w:r w:rsidRPr="00F26E77">
              <w:rPr>
                <w:sz w:val="18"/>
                <w:szCs w:val="18"/>
              </w:rPr>
              <w:t>19,1</w:t>
            </w:r>
          </w:p>
        </w:tc>
        <w:tc>
          <w:tcPr>
            <w:tcW w:w="836" w:type="dxa"/>
            <w:tcBorders>
              <w:top w:val="nil"/>
              <w:left w:val="nil"/>
              <w:bottom w:val="nil"/>
              <w:right w:val="nil"/>
            </w:tcBorders>
            <w:shd w:val="clear" w:color="auto" w:fill="auto"/>
            <w:vAlign w:val="center"/>
            <w:hideMark/>
          </w:tcPr>
          <w:p w14:paraId="5DD9FC07" w14:textId="77777777" w:rsidR="00D73008" w:rsidRPr="00F26E77" w:rsidRDefault="00D73008" w:rsidP="00387AE5">
            <w:pPr>
              <w:jc w:val="center"/>
              <w:rPr>
                <w:color w:val="000000"/>
                <w:sz w:val="18"/>
                <w:szCs w:val="18"/>
              </w:rPr>
            </w:pPr>
            <w:r w:rsidRPr="00F26E77">
              <w:rPr>
                <w:sz w:val="18"/>
                <w:szCs w:val="18"/>
              </w:rPr>
              <w:t>6,8</w:t>
            </w:r>
          </w:p>
        </w:tc>
        <w:tc>
          <w:tcPr>
            <w:tcW w:w="836" w:type="dxa"/>
            <w:tcBorders>
              <w:top w:val="nil"/>
              <w:left w:val="nil"/>
              <w:bottom w:val="nil"/>
              <w:right w:val="nil"/>
            </w:tcBorders>
            <w:shd w:val="clear" w:color="auto" w:fill="auto"/>
            <w:vAlign w:val="center"/>
            <w:hideMark/>
          </w:tcPr>
          <w:p w14:paraId="0EA6741C" w14:textId="77777777" w:rsidR="00D73008" w:rsidRPr="00F26E77" w:rsidRDefault="00D73008" w:rsidP="00387AE5">
            <w:pPr>
              <w:jc w:val="center"/>
              <w:rPr>
                <w:color w:val="000000"/>
                <w:sz w:val="18"/>
                <w:szCs w:val="18"/>
              </w:rPr>
            </w:pPr>
            <w:r w:rsidRPr="00F26E77">
              <w:rPr>
                <w:sz w:val="18"/>
                <w:szCs w:val="18"/>
              </w:rPr>
              <w:t>1,9</w:t>
            </w:r>
          </w:p>
        </w:tc>
        <w:tc>
          <w:tcPr>
            <w:tcW w:w="836" w:type="dxa"/>
            <w:tcBorders>
              <w:top w:val="nil"/>
              <w:left w:val="nil"/>
              <w:bottom w:val="nil"/>
              <w:right w:val="nil"/>
            </w:tcBorders>
            <w:shd w:val="clear" w:color="auto" w:fill="auto"/>
            <w:vAlign w:val="center"/>
            <w:hideMark/>
          </w:tcPr>
          <w:p w14:paraId="22C1084D" w14:textId="77777777" w:rsidR="00D73008" w:rsidRPr="00F26E77" w:rsidRDefault="00D73008" w:rsidP="00387AE5">
            <w:pPr>
              <w:jc w:val="center"/>
              <w:rPr>
                <w:color w:val="000000"/>
                <w:sz w:val="18"/>
                <w:szCs w:val="18"/>
              </w:rPr>
            </w:pPr>
            <w:r w:rsidRPr="00F26E77">
              <w:rPr>
                <w:sz w:val="18"/>
                <w:szCs w:val="18"/>
              </w:rPr>
              <w:t>2,9</w:t>
            </w:r>
          </w:p>
        </w:tc>
        <w:tc>
          <w:tcPr>
            <w:tcW w:w="836" w:type="dxa"/>
            <w:tcBorders>
              <w:top w:val="nil"/>
              <w:left w:val="nil"/>
              <w:bottom w:val="nil"/>
              <w:right w:val="nil"/>
            </w:tcBorders>
            <w:shd w:val="clear" w:color="auto" w:fill="auto"/>
            <w:vAlign w:val="center"/>
            <w:hideMark/>
          </w:tcPr>
          <w:p w14:paraId="6268394D" w14:textId="77777777" w:rsidR="00D73008" w:rsidRPr="00F26E77" w:rsidRDefault="00D73008" w:rsidP="00387AE5">
            <w:pPr>
              <w:jc w:val="center"/>
              <w:rPr>
                <w:color w:val="000000"/>
                <w:sz w:val="18"/>
                <w:szCs w:val="18"/>
              </w:rPr>
            </w:pPr>
            <w:r w:rsidRPr="00F26E77">
              <w:rPr>
                <w:sz w:val="18"/>
                <w:szCs w:val="18"/>
              </w:rPr>
              <w:t>3,1</w:t>
            </w:r>
          </w:p>
        </w:tc>
        <w:tc>
          <w:tcPr>
            <w:tcW w:w="836" w:type="dxa"/>
            <w:tcBorders>
              <w:top w:val="nil"/>
              <w:left w:val="nil"/>
              <w:bottom w:val="nil"/>
              <w:right w:val="nil"/>
            </w:tcBorders>
            <w:shd w:val="clear" w:color="auto" w:fill="auto"/>
            <w:vAlign w:val="center"/>
            <w:hideMark/>
          </w:tcPr>
          <w:p w14:paraId="536B3C2D" w14:textId="77777777" w:rsidR="00D73008" w:rsidRPr="00F26E77" w:rsidRDefault="00D73008" w:rsidP="00387AE5">
            <w:pPr>
              <w:jc w:val="center"/>
              <w:rPr>
                <w:color w:val="000000"/>
                <w:sz w:val="18"/>
                <w:szCs w:val="18"/>
              </w:rPr>
            </w:pPr>
            <w:r w:rsidRPr="00F26E77">
              <w:rPr>
                <w:sz w:val="18"/>
                <w:szCs w:val="18"/>
              </w:rPr>
              <w:t>3,6</w:t>
            </w:r>
          </w:p>
        </w:tc>
      </w:tr>
      <w:tr w:rsidR="00D73008" w:rsidRPr="00F26E77" w14:paraId="36B045F5" w14:textId="77777777" w:rsidTr="00387AE5">
        <w:trPr>
          <w:trHeight w:val="283"/>
        </w:trPr>
        <w:tc>
          <w:tcPr>
            <w:tcW w:w="3085" w:type="dxa"/>
            <w:tcBorders>
              <w:top w:val="nil"/>
              <w:left w:val="nil"/>
              <w:bottom w:val="nil"/>
              <w:right w:val="nil"/>
            </w:tcBorders>
            <w:shd w:val="clear" w:color="auto" w:fill="auto"/>
            <w:vAlign w:val="center"/>
            <w:hideMark/>
          </w:tcPr>
          <w:p w14:paraId="4B3FD494" w14:textId="77777777" w:rsidR="00D73008" w:rsidRPr="00F26E77" w:rsidRDefault="00D73008" w:rsidP="00387AE5">
            <w:pPr>
              <w:rPr>
                <w:rFonts w:cs="Times New Roman"/>
                <w:color w:val="000000"/>
                <w:sz w:val="18"/>
                <w:szCs w:val="18"/>
              </w:rPr>
            </w:pPr>
            <w:r w:rsidRPr="00F26E77">
              <w:rPr>
                <w:color w:val="000000"/>
                <w:sz w:val="18"/>
                <w:szCs w:val="18"/>
              </w:rPr>
              <w:t>6. Zmena stavu zásob a čisté nadobudnutie cenností (% HDP)</w:t>
            </w:r>
          </w:p>
        </w:tc>
        <w:tc>
          <w:tcPr>
            <w:tcW w:w="836" w:type="dxa"/>
            <w:tcBorders>
              <w:top w:val="nil"/>
              <w:left w:val="nil"/>
              <w:bottom w:val="nil"/>
              <w:right w:val="nil"/>
            </w:tcBorders>
            <w:shd w:val="clear" w:color="auto" w:fill="auto"/>
            <w:vAlign w:val="center"/>
            <w:hideMark/>
          </w:tcPr>
          <w:p w14:paraId="6ACB175E" w14:textId="77777777" w:rsidR="00D73008" w:rsidRPr="00F26E77" w:rsidRDefault="00D73008" w:rsidP="00387AE5">
            <w:pPr>
              <w:jc w:val="center"/>
              <w:rPr>
                <w:rFonts w:cs="Times New Roman"/>
                <w:color w:val="000000"/>
                <w:sz w:val="18"/>
                <w:szCs w:val="18"/>
              </w:rPr>
            </w:pPr>
            <w:r w:rsidRPr="00F26E77">
              <w:rPr>
                <w:color w:val="000000"/>
                <w:sz w:val="18"/>
                <w:szCs w:val="18"/>
              </w:rPr>
              <w:t>P.52 + P.53</w:t>
            </w:r>
          </w:p>
        </w:tc>
        <w:tc>
          <w:tcPr>
            <w:tcW w:w="885" w:type="dxa"/>
            <w:tcBorders>
              <w:top w:val="nil"/>
              <w:left w:val="nil"/>
              <w:bottom w:val="nil"/>
              <w:right w:val="nil"/>
            </w:tcBorders>
            <w:shd w:val="clear" w:color="auto" w:fill="auto"/>
            <w:vAlign w:val="center"/>
            <w:hideMark/>
          </w:tcPr>
          <w:p w14:paraId="0C4C56AE"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vAlign w:val="center"/>
            <w:hideMark/>
          </w:tcPr>
          <w:p w14:paraId="67A6097B"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vAlign w:val="center"/>
            <w:hideMark/>
          </w:tcPr>
          <w:p w14:paraId="67C69D55"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vAlign w:val="center"/>
            <w:hideMark/>
          </w:tcPr>
          <w:p w14:paraId="498EA410"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vAlign w:val="center"/>
            <w:hideMark/>
          </w:tcPr>
          <w:p w14:paraId="0038E005"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vAlign w:val="center"/>
            <w:hideMark/>
          </w:tcPr>
          <w:p w14:paraId="20F6CA01" w14:textId="77777777" w:rsidR="00D73008" w:rsidRPr="00F26E77" w:rsidRDefault="00D73008" w:rsidP="00387AE5">
            <w:pPr>
              <w:jc w:val="center"/>
              <w:rPr>
                <w:rFonts w:cs="Times New Roman"/>
                <w:color w:val="000000"/>
                <w:sz w:val="18"/>
                <w:szCs w:val="18"/>
              </w:rPr>
            </w:pPr>
            <w:r w:rsidRPr="00F26E77">
              <w:rPr>
                <w:sz w:val="18"/>
                <w:szCs w:val="18"/>
              </w:rPr>
              <w:t>-</w:t>
            </w:r>
          </w:p>
        </w:tc>
      </w:tr>
      <w:tr w:rsidR="00D73008" w:rsidRPr="00F26E77" w14:paraId="140710C3" w14:textId="77777777" w:rsidTr="00387AE5">
        <w:trPr>
          <w:trHeight w:val="283"/>
        </w:trPr>
        <w:tc>
          <w:tcPr>
            <w:tcW w:w="3085" w:type="dxa"/>
            <w:tcBorders>
              <w:top w:val="nil"/>
              <w:left w:val="nil"/>
              <w:bottom w:val="nil"/>
              <w:right w:val="nil"/>
            </w:tcBorders>
            <w:shd w:val="clear" w:color="auto" w:fill="auto"/>
            <w:vAlign w:val="center"/>
            <w:hideMark/>
          </w:tcPr>
          <w:p w14:paraId="237895B5" w14:textId="77777777" w:rsidR="00D73008" w:rsidRPr="00F26E77" w:rsidRDefault="00D73008" w:rsidP="00387AE5">
            <w:pPr>
              <w:rPr>
                <w:rFonts w:cs="Times New Roman"/>
                <w:color w:val="000000"/>
                <w:sz w:val="18"/>
                <w:szCs w:val="18"/>
              </w:rPr>
            </w:pPr>
            <w:r w:rsidRPr="00F26E77">
              <w:rPr>
                <w:color w:val="000000"/>
                <w:sz w:val="18"/>
                <w:szCs w:val="18"/>
              </w:rPr>
              <w:t>7. Vývoz výrobkov a služieb</w:t>
            </w:r>
          </w:p>
        </w:tc>
        <w:tc>
          <w:tcPr>
            <w:tcW w:w="836" w:type="dxa"/>
            <w:tcBorders>
              <w:top w:val="nil"/>
              <w:left w:val="nil"/>
              <w:bottom w:val="nil"/>
              <w:right w:val="nil"/>
            </w:tcBorders>
            <w:shd w:val="clear" w:color="auto" w:fill="auto"/>
            <w:vAlign w:val="center"/>
            <w:hideMark/>
          </w:tcPr>
          <w:p w14:paraId="64140217" w14:textId="77777777" w:rsidR="00D73008" w:rsidRPr="00F26E77" w:rsidRDefault="00D73008" w:rsidP="00387AE5">
            <w:pPr>
              <w:jc w:val="center"/>
              <w:rPr>
                <w:rFonts w:cs="Times New Roman"/>
                <w:color w:val="000000"/>
                <w:sz w:val="18"/>
                <w:szCs w:val="18"/>
              </w:rPr>
            </w:pPr>
            <w:r w:rsidRPr="00F26E77">
              <w:rPr>
                <w:color w:val="000000"/>
                <w:sz w:val="18"/>
                <w:szCs w:val="18"/>
              </w:rPr>
              <w:t>P.6</w:t>
            </w:r>
          </w:p>
        </w:tc>
        <w:tc>
          <w:tcPr>
            <w:tcW w:w="885" w:type="dxa"/>
            <w:tcBorders>
              <w:top w:val="nil"/>
              <w:left w:val="nil"/>
              <w:bottom w:val="nil"/>
              <w:right w:val="nil"/>
            </w:tcBorders>
            <w:shd w:val="clear" w:color="auto" w:fill="auto"/>
            <w:vAlign w:val="center"/>
            <w:hideMark/>
          </w:tcPr>
          <w:p w14:paraId="6EA1152D" w14:textId="77777777" w:rsidR="00D73008" w:rsidRPr="00F26E77" w:rsidRDefault="00D73008" w:rsidP="00387AE5">
            <w:pPr>
              <w:jc w:val="center"/>
              <w:rPr>
                <w:rFonts w:cs="Times New Roman"/>
                <w:color w:val="000000"/>
                <w:sz w:val="18"/>
                <w:szCs w:val="18"/>
              </w:rPr>
            </w:pPr>
            <w:r w:rsidRPr="00F26E77">
              <w:rPr>
                <w:sz w:val="18"/>
                <w:szCs w:val="18"/>
              </w:rPr>
              <w:t>86,8</w:t>
            </w:r>
          </w:p>
        </w:tc>
        <w:tc>
          <w:tcPr>
            <w:tcW w:w="836" w:type="dxa"/>
            <w:tcBorders>
              <w:top w:val="nil"/>
              <w:left w:val="nil"/>
              <w:bottom w:val="nil"/>
              <w:right w:val="nil"/>
            </w:tcBorders>
            <w:shd w:val="clear" w:color="auto" w:fill="auto"/>
            <w:vAlign w:val="center"/>
            <w:hideMark/>
          </w:tcPr>
          <w:p w14:paraId="34B663F9" w14:textId="77777777" w:rsidR="00D73008" w:rsidRPr="00F26E77" w:rsidRDefault="00D73008" w:rsidP="00387AE5">
            <w:pPr>
              <w:jc w:val="center"/>
              <w:rPr>
                <w:color w:val="000000"/>
                <w:sz w:val="18"/>
                <w:szCs w:val="18"/>
              </w:rPr>
            </w:pPr>
            <w:r w:rsidRPr="00F26E77">
              <w:rPr>
                <w:sz w:val="18"/>
                <w:szCs w:val="18"/>
              </w:rPr>
              <w:t>4,8</w:t>
            </w:r>
          </w:p>
        </w:tc>
        <w:tc>
          <w:tcPr>
            <w:tcW w:w="836" w:type="dxa"/>
            <w:tcBorders>
              <w:top w:val="nil"/>
              <w:left w:val="nil"/>
              <w:bottom w:val="nil"/>
              <w:right w:val="nil"/>
            </w:tcBorders>
            <w:shd w:val="clear" w:color="auto" w:fill="auto"/>
            <w:vAlign w:val="center"/>
            <w:hideMark/>
          </w:tcPr>
          <w:p w14:paraId="54260E6A" w14:textId="77777777" w:rsidR="00D73008" w:rsidRPr="00F26E77" w:rsidRDefault="00D73008" w:rsidP="00387AE5">
            <w:pPr>
              <w:jc w:val="center"/>
              <w:rPr>
                <w:color w:val="000000"/>
                <w:sz w:val="18"/>
                <w:szCs w:val="18"/>
              </w:rPr>
            </w:pPr>
            <w:r w:rsidRPr="00F26E77">
              <w:rPr>
                <w:sz w:val="18"/>
                <w:szCs w:val="18"/>
              </w:rPr>
              <w:t>6,9</w:t>
            </w:r>
          </w:p>
        </w:tc>
        <w:tc>
          <w:tcPr>
            <w:tcW w:w="836" w:type="dxa"/>
            <w:tcBorders>
              <w:top w:val="nil"/>
              <w:left w:val="nil"/>
              <w:bottom w:val="nil"/>
              <w:right w:val="nil"/>
            </w:tcBorders>
            <w:shd w:val="clear" w:color="auto" w:fill="auto"/>
            <w:vAlign w:val="center"/>
            <w:hideMark/>
          </w:tcPr>
          <w:p w14:paraId="5303D2DF" w14:textId="77777777" w:rsidR="00D73008" w:rsidRPr="00F26E77" w:rsidRDefault="00D73008" w:rsidP="00387AE5">
            <w:pPr>
              <w:jc w:val="center"/>
              <w:rPr>
                <w:color w:val="000000"/>
                <w:sz w:val="18"/>
                <w:szCs w:val="18"/>
              </w:rPr>
            </w:pPr>
            <w:r w:rsidRPr="00F26E77">
              <w:rPr>
                <w:sz w:val="18"/>
                <w:szCs w:val="18"/>
              </w:rPr>
              <w:t>6,1</w:t>
            </w:r>
          </w:p>
        </w:tc>
        <w:tc>
          <w:tcPr>
            <w:tcW w:w="836" w:type="dxa"/>
            <w:tcBorders>
              <w:top w:val="nil"/>
              <w:left w:val="nil"/>
              <w:bottom w:val="nil"/>
              <w:right w:val="nil"/>
            </w:tcBorders>
            <w:shd w:val="clear" w:color="auto" w:fill="auto"/>
            <w:vAlign w:val="center"/>
            <w:hideMark/>
          </w:tcPr>
          <w:p w14:paraId="54BD9119" w14:textId="77777777" w:rsidR="00D73008" w:rsidRPr="00F26E77" w:rsidRDefault="00D73008" w:rsidP="00387AE5">
            <w:pPr>
              <w:jc w:val="center"/>
              <w:rPr>
                <w:color w:val="000000"/>
                <w:sz w:val="18"/>
                <w:szCs w:val="18"/>
              </w:rPr>
            </w:pPr>
            <w:r w:rsidRPr="00F26E77">
              <w:rPr>
                <w:sz w:val="18"/>
                <w:szCs w:val="18"/>
              </w:rPr>
              <w:t>5,2</w:t>
            </w:r>
          </w:p>
        </w:tc>
        <w:tc>
          <w:tcPr>
            <w:tcW w:w="836" w:type="dxa"/>
            <w:tcBorders>
              <w:top w:val="nil"/>
              <w:left w:val="nil"/>
              <w:bottom w:val="nil"/>
              <w:right w:val="nil"/>
            </w:tcBorders>
            <w:shd w:val="clear" w:color="auto" w:fill="auto"/>
            <w:vAlign w:val="center"/>
            <w:hideMark/>
          </w:tcPr>
          <w:p w14:paraId="07744EFE" w14:textId="77777777" w:rsidR="00D73008" w:rsidRPr="00F26E77" w:rsidRDefault="00D73008" w:rsidP="00387AE5">
            <w:pPr>
              <w:jc w:val="center"/>
              <w:rPr>
                <w:color w:val="000000"/>
                <w:sz w:val="18"/>
                <w:szCs w:val="18"/>
              </w:rPr>
            </w:pPr>
            <w:r w:rsidRPr="00F26E77">
              <w:rPr>
                <w:sz w:val="18"/>
                <w:szCs w:val="18"/>
              </w:rPr>
              <w:t>4,1</w:t>
            </w:r>
          </w:p>
        </w:tc>
      </w:tr>
      <w:tr w:rsidR="00D73008" w:rsidRPr="00F26E77" w14:paraId="042CCE89" w14:textId="77777777" w:rsidTr="00387AE5">
        <w:trPr>
          <w:trHeight w:val="283"/>
        </w:trPr>
        <w:tc>
          <w:tcPr>
            <w:tcW w:w="3085" w:type="dxa"/>
            <w:tcBorders>
              <w:top w:val="nil"/>
              <w:left w:val="nil"/>
              <w:bottom w:val="nil"/>
              <w:right w:val="nil"/>
            </w:tcBorders>
            <w:shd w:val="clear" w:color="auto" w:fill="auto"/>
            <w:vAlign w:val="center"/>
            <w:hideMark/>
          </w:tcPr>
          <w:p w14:paraId="6E1ABBF0" w14:textId="77777777" w:rsidR="00D73008" w:rsidRPr="00F26E77" w:rsidRDefault="00D73008" w:rsidP="00387AE5">
            <w:pPr>
              <w:rPr>
                <w:rFonts w:cs="Times New Roman"/>
                <w:color w:val="000000"/>
                <w:sz w:val="18"/>
                <w:szCs w:val="18"/>
              </w:rPr>
            </w:pPr>
            <w:r w:rsidRPr="00F26E77">
              <w:rPr>
                <w:color w:val="000000"/>
                <w:sz w:val="18"/>
                <w:szCs w:val="18"/>
              </w:rPr>
              <w:t xml:space="preserve">8. Dovoz výrobkov a služieb       </w:t>
            </w:r>
          </w:p>
        </w:tc>
        <w:tc>
          <w:tcPr>
            <w:tcW w:w="836" w:type="dxa"/>
            <w:tcBorders>
              <w:top w:val="nil"/>
              <w:left w:val="nil"/>
              <w:bottom w:val="nil"/>
              <w:right w:val="nil"/>
            </w:tcBorders>
            <w:shd w:val="clear" w:color="auto" w:fill="auto"/>
            <w:vAlign w:val="center"/>
            <w:hideMark/>
          </w:tcPr>
          <w:p w14:paraId="12A8E1BF" w14:textId="77777777" w:rsidR="00D73008" w:rsidRPr="00F26E77" w:rsidRDefault="00D73008" w:rsidP="00387AE5">
            <w:pPr>
              <w:jc w:val="center"/>
              <w:rPr>
                <w:rFonts w:cs="Times New Roman"/>
                <w:color w:val="000000"/>
                <w:sz w:val="18"/>
                <w:szCs w:val="18"/>
              </w:rPr>
            </w:pPr>
            <w:r w:rsidRPr="00F26E77">
              <w:rPr>
                <w:color w:val="000000"/>
                <w:sz w:val="18"/>
                <w:szCs w:val="18"/>
              </w:rPr>
              <w:t>P.7</w:t>
            </w:r>
          </w:p>
        </w:tc>
        <w:tc>
          <w:tcPr>
            <w:tcW w:w="885" w:type="dxa"/>
            <w:tcBorders>
              <w:top w:val="nil"/>
              <w:left w:val="nil"/>
              <w:bottom w:val="nil"/>
              <w:right w:val="nil"/>
            </w:tcBorders>
            <w:shd w:val="clear" w:color="auto" w:fill="auto"/>
            <w:vAlign w:val="center"/>
            <w:hideMark/>
          </w:tcPr>
          <w:p w14:paraId="73E92417" w14:textId="77777777" w:rsidR="00D73008" w:rsidRPr="00F26E77" w:rsidRDefault="00D73008" w:rsidP="00387AE5">
            <w:pPr>
              <w:jc w:val="center"/>
              <w:rPr>
                <w:color w:val="000000"/>
                <w:sz w:val="18"/>
                <w:szCs w:val="18"/>
              </w:rPr>
            </w:pPr>
            <w:r w:rsidRPr="00F26E77">
              <w:rPr>
                <w:sz w:val="18"/>
                <w:szCs w:val="18"/>
              </w:rPr>
              <w:t>81,0</w:t>
            </w:r>
          </w:p>
        </w:tc>
        <w:tc>
          <w:tcPr>
            <w:tcW w:w="836" w:type="dxa"/>
            <w:tcBorders>
              <w:top w:val="nil"/>
              <w:left w:val="nil"/>
              <w:bottom w:val="nil"/>
              <w:right w:val="nil"/>
            </w:tcBorders>
            <w:shd w:val="clear" w:color="auto" w:fill="auto"/>
            <w:vAlign w:val="center"/>
            <w:hideMark/>
          </w:tcPr>
          <w:p w14:paraId="521A800A" w14:textId="77777777" w:rsidR="00D73008" w:rsidRPr="00F26E77" w:rsidRDefault="00D73008" w:rsidP="00387AE5">
            <w:pPr>
              <w:jc w:val="center"/>
              <w:rPr>
                <w:color w:val="000000"/>
                <w:sz w:val="18"/>
                <w:szCs w:val="18"/>
              </w:rPr>
            </w:pPr>
            <w:r w:rsidRPr="00F26E77">
              <w:rPr>
                <w:sz w:val="18"/>
                <w:szCs w:val="18"/>
              </w:rPr>
              <w:t>5,3</w:t>
            </w:r>
          </w:p>
        </w:tc>
        <w:tc>
          <w:tcPr>
            <w:tcW w:w="836" w:type="dxa"/>
            <w:tcBorders>
              <w:top w:val="nil"/>
              <w:left w:val="nil"/>
              <w:bottom w:val="nil"/>
              <w:right w:val="nil"/>
            </w:tcBorders>
            <w:shd w:val="clear" w:color="auto" w:fill="auto"/>
            <w:vAlign w:val="center"/>
            <w:hideMark/>
          </w:tcPr>
          <w:p w14:paraId="5DAED8DF" w14:textId="77777777" w:rsidR="00D73008" w:rsidRPr="00F26E77" w:rsidRDefault="00D73008" w:rsidP="00387AE5">
            <w:pPr>
              <w:jc w:val="center"/>
              <w:rPr>
                <w:color w:val="000000"/>
                <w:sz w:val="18"/>
                <w:szCs w:val="18"/>
              </w:rPr>
            </w:pPr>
            <w:r w:rsidRPr="00F26E77">
              <w:rPr>
                <w:sz w:val="18"/>
                <w:szCs w:val="18"/>
              </w:rPr>
              <w:t>5,9</w:t>
            </w:r>
          </w:p>
        </w:tc>
        <w:tc>
          <w:tcPr>
            <w:tcW w:w="836" w:type="dxa"/>
            <w:tcBorders>
              <w:top w:val="nil"/>
              <w:left w:val="nil"/>
              <w:bottom w:val="nil"/>
              <w:right w:val="nil"/>
            </w:tcBorders>
            <w:shd w:val="clear" w:color="auto" w:fill="auto"/>
            <w:vAlign w:val="center"/>
            <w:hideMark/>
          </w:tcPr>
          <w:p w14:paraId="17C2C9AB" w14:textId="77777777" w:rsidR="00D73008" w:rsidRPr="00F26E77" w:rsidRDefault="00D73008" w:rsidP="00387AE5">
            <w:pPr>
              <w:jc w:val="center"/>
              <w:rPr>
                <w:color w:val="000000"/>
                <w:sz w:val="18"/>
                <w:szCs w:val="18"/>
              </w:rPr>
            </w:pPr>
            <w:r w:rsidRPr="00F26E77">
              <w:rPr>
                <w:sz w:val="18"/>
                <w:szCs w:val="18"/>
              </w:rPr>
              <w:t>5,3</w:t>
            </w:r>
          </w:p>
        </w:tc>
        <w:tc>
          <w:tcPr>
            <w:tcW w:w="836" w:type="dxa"/>
            <w:tcBorders>
              <w:top w:val="nil"/>
              <w:left w:val="nil"/>
              <w:bottom w:val="nil"/>
              <w:right w:val="nil"/>
            </w:tcBorders>
            <w:shd w:val="clear" w:color="auto" w:fill="auto"/>
            <w:vAlign w:val="center"/>
            <w:hideMark/>
          </w:tcPr>
          <w:p w14:paraId="26BF52C1" w14:textId="77777777" w:rsidR="00D73008" w:rsidRPr="00F26E77" w:rsidRDefault="00D73008" w:rsidP="00387AE5">
            <w:pPr>
              <w:jc w:val="center"/>
              <w:rPr>
                <w:color w:val="000000"/>
                <w:sz w:val="18"/>
                <w:szCs w:val="18"/>
              </w:rPr>
            </w:pPr>
            <w:r w:rsidRPr="00F26E77">
              <w:rPr>
                <w:sz w:val="18"/>
                <w:szCs w:val="18"/>
              </w:rPr>
              <w:t>4,5</w:t>
            </w:r>
          </w:p>
        </w:tc>
        <w:tc>
          <w:tcPr>
            <w:tcW w:w="836" w:type="dxa"/>
            <w:tcBorders>
              <w:top w:val="nil"/>
              <w:left w:val="nil"/>
              <w:bottom w:val="nil"/>
              <w:right w:val="nil"/>
            </w:tcBorders>
            <w:shd w:val="clear" w:color="auto" w:fill="auto"/>
            <w:vAlign w:val="center"/>
            <w:hideMark/>
          </w:tcPr>
          <w:p w14:paraId="14D68158" w14:textId="77777777" w:rsidR="00D73008" w:rsidRPr="00F26E77" w:rsidRDefault="00D73008" w:rsidP="00387AE5">
            <w:pPr>
              <w:jc w:val="center"/>
              <w:rPr>
                <w:color w:val="000000"/>
                <w:sz w:val="18"/>
                <w:szCs w:val="18"/>
              </w:rPr>
            </w:pPr>
            <w:r w:rsidRPr="00F26E77">
              <w:rPr>
                <w:sz w:val="18"/>
                <w:szCs w:val="18"/>
              </w:rPr>
              <w:t>3,8</w:t>
            </w:r>
          </w:p>
        </w:tc>
      </w:tr>
      <w:tr w:rsidR="00D73008" w:rsidRPr="00F26E77" w14:paraId="71CF93D3" w14:textId="77777777" w:rsidTr="00387AE5">
        <w:trPr>
          <w:trHeight w:val="283"/>
        </w:trPr>
        <w:tc>
          <w:tcPr>
            <w:tcW w:w="8986" w:type="dxa"/>
            <w:gridSpan w:val="8"/>
            <w:tcBorders>
              <w:top w:val="nil"/>
              <w:left w:val="nil"/>
              <w:bottom w:val="nil"/>
              <w:right w:val="nil"/>
            </w:tcBorders>
            <w:shd w:val="clear" w:color="auto" w:fill="auto"/>
            <w:vAlign w:val="center"/>
            <w:hideMark/>
          </w:tcPr>
          <w:p w14:paraId="45FC0EC6" w14:textId="77777777" w:rsidR="00D73008" w:rsidRPr="00F26E77" w:rsidRDefault="00D73008" w:rsidP="00387AE5">
            <w:pPr>
              <w:jc w:val="center"/>
              <w:rPr>
                <w:rFonts w:cs="Times New Roman"/>
                <w:b/>
                <w:bCs/>
                <w:color w:val="000000"/>
                <w:sz w:val="18"/>
                <w:szCs w:val="18"/>
              </w:rPr>
            </w:pPr>
            <w:r w:rsidRPr="00F26E77">
              <w:rPr>
                <w:rFonts w:cs="Times New Roman"/>
                <w:b/>
                <w:bCs/>
                <w:color w:val="000000"/>
                <w:sz w:val="18"/>
                <w:szCs w:val="18"/>
              </w:rPr>
              <w:t>Príspevky k reálnemu rastu HDP</w:t>
            </w:r>
          </w:p>
        </w:tc>
      </w:tr>
      <w:tr w:rsidR="00D73008" w:rsidRPr="00F26E77" w14:paraId="02B2DFBA" w14:textId="77777777" w:rsidTr="00387AE5">
        <w:trPr>
          <w:trHeight w:val="283"/>
        </w:trPr>
        <w:tc>
          <w:tcPr>
            <w:tcW w:w="3085" w:type="dxa"/>
            <w:tcBorders>
              <w:top w:val="nil"/>
              <w:left w:val="nil"/>
              <w:bottom w:val="nil"/>
              <w:right w:val="nil"/>
            </w:tcBorders>
            <w:shd w:val="clear" w:color="auto" w:fill="auto"/>
            <w:noWrap/>
            <w:vAlign w:val="center"/>
            <w:hideMark/>
          </w:tcPr>
          <w:p w14:paraId="4366F3F2" w14:textId="77777777" w:rsidR="00D73008" w:rsidRPr="00F26E77" w:rsidRDefault="00D73008" w:rsidP="00387AE5">
            <w:pPr>
              <w:rPr>
                <w:rFonts w:cs="Times New Roman"/>
                <w:color w:val="000000"/>
                <w:sz w:val="18"/>
                <w:szCs w:val="18"/>
              </w:rPr>
            </w:pPr>
            <w:r w:rsidRPr="00F26E77">
              <w:rPr>
                <w:color w:val="000000"/>
                <w:sz w:val="18"/>
                <w:szCs w:val="18"/>
              </w:rPr>
              <w:t>9. Domáci dopyt spolu</w:t>
            </w:r>
          </w:p>
        </w:tc>
        <w:tc>
          <w:tcPr>
            <w:tcW w:w="836" w:type="dxa"/>
            <w:tcBorders>
              <w:top w:val="nil"/>
              <w:left w:val="nil"/>
              <w:bottom w:val="nil"/>
              <w:right w:val="nil"/>
            </w:tcBorders>
            <w:shd w:val="clear" w:color="auto" w:fill="auto"/>
            <w:noWrap/>
            <w:vAlign w:val="center"/>
            <w:hideMark/>
          </w:tcPr>
          <w:p w14:paraId="5FA97323" w14:textId="77777777" w:rsidR="00D73008" w:rsidRPr="00F26E77" w:rsidRDefault="00D73008" w:rsidP="00387AE5">
            <w:pPr>
              <w:jc w:val="center"/>
              <w:rPr>
                <w:rFonts w:cs="Times New Roman"/>
                <w:color w:val="000000"/>
                <w:sz w:val="18"/>
                <w:szCs w:val="18"/>
              </w:rPr>
            </w:pPr>
          </w:p>
        </w:tc>
        <w:tc>
          <w:tcPr>
            <w:tcW w:w="885" w:type="dxa"/>
            <w:tcBorders>
              <w:top w:val="nil"/>
              <w:left w:val="nil"/>
              <w:bottom w:val="nil"/>
              <w:right w:val="nil"/>
            </w:tcBorders>
            <w:shd w:val="clear" w:color="auto" w:fill="auto"/>
            <w:noWrap/>
            <w:vAlign w:val="center"/>
            <w:hideMark/>
          </w:tcPr>
          <w:p w14:paraId="02B2F8F5"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noWrap/>
            <w:vAlign w:val="center"/>
            <w:hideMark/>
          </w:tcPr>
          <w:p w14:paraId="2705906B" w14:textId="77777777" w:rsidR="00D73008" w:rsidRPr="00F26E77" w:rsidRDefault="00D73008" w:rsidP="00387AE5">
            <w:pPr>
              <w:jc w:val="center"/>
              <w:rPr>
                <w:rFonts w:cs="Times New Roman"/>
                <w:color w:val="000000"/>
                <w:sz w:val="18"/>
                <w:szCs w:val="18"/>
              </w:rPr>
            </w:pPr>
            <w:r w:rsidRPr="00F26E77">
              <w:rPr>
                <w:sz w:val="18"/>
                <w:szCs w:val="18"/>
              </w:rPr>
              <w:t>4,0</w:t>
            </w:r>
          </w:p>
        </w:tc>
        <w:tc>
          <w:tcPr>
            <w:tcW w:w="836" w:type="dxa"/>
            <w:tcBorders>
              <w:top w:val="nil"/>
              <w:left w:val="nil"/>
              <w:bottom w:val="nil"/>
              <w:right w:val="nil"/>
            </w:tcBorders>
            <w:shd w:val="clear" w:color="auto" w:fill="auto"/>
            <w:noWrap/>
            <w:vAlign w:val="center"/>
            <w:hideMark/>
          </w:tcPr>
          <w:p w14:paraId="1B82224E" w14:textId="77777777" w:rsidR="00D73008" w:rsidRPr="00F26E77" w:rsidRDefault="00D73008" w:rsidP="00387AE5">
            <w:pPr>
              <w:jc w:val="center"/>
              <w:rPr>
                <w:color w:val="000000"/>
                <w:sz w:val="18"/>
                <w:szCs w:val="18"/>
              </w:rPr>
            </w:pPr>
            <w:r w:rsidRPr="00F26E77">
              <w:rPr>
                <w:sz w:val="18"/>
                <w:szCs w:val="18"/>
              </w:rPr>
              <w:t>2,5</w:t>
            </w:r>
          </w:p>
        </w:tc>
        <w:tc>
          <w:tcPr>
            <w:tcW w:w="836" w:type="dxa"/>
            <w:tcBorders>
              <w:top w:val="nil"/>
              <w:left w:val="nil"/>
              <w:bottom w:val="nil"/>
              <w:right w:val="nil"/>
            </w:tcBorders>
            <w:shd w:val="clear" w:color="auto" w:fill="auto"/>
            <w:noWrap/>
            <w:vAlign w:val="center"/>
            <w:hideMark/>
          </w:tcPr>
          <w:p w14:paraId="6A6AD51D" w14:textId="77777777" w:rsidR="00D73008" w:rsidRPr="00F26E77" w:rsidRDefault="00D73008" w:rsidP="00387AE5">
            <w:pPr>
              <w:jc w:val="center"/>
              <w:rPr>
                <w:color w:val="000000"/>
                <w:sz w:val="18"/>
                <w:szCs w:val="18"/>
              </w:rPr>
            </w:pPr>
            <w:r w:rsidRPr="00F26E77">
              <w:rPr>
                <w:sz w:val="18"/>
                <w:szCs w:val="18"/>
              </w:rPr>
              <w:t>2,4</w:t>
            </w:r>
          </w:p>
        </w:tc>
        <w:tc>
          <w:tcPr>
            <w:tcW w:w="836" w:type="dxa"/>
            <w:tcBorders>
              <w:top w:val="nil"/>
              <w:left w:val="nil"/>
              <w:bottom w:val="nil"/>
              <w:right w:val="nil"/>
            </w:tcBorders>
            <w:shd w:val="clear" w:color="auto" w:fill="auto"/>
            <w:noWrap/>
            <w:vAlign w:val="center"/>
            <w:hideMark/>
          </w:tcPr>
          <w:p w14:paraId="1F7E9E04" w14:textId="77777777" w:rsidR="00D73008" w:rsidRPr="00F26E77" w:rsidRDefault="00D73008" w:rsidP="00387AE5">
            <w:pPr>
              <w:jc w:val="center"/>
              <w:rPr>
                <w:color w:val="000000"/>
                <w:sz w:val="18"/>
                <w:szCs w:val="18"/>
              </w:rPr>
            </w:pPr>
            <w:r w:rsidRPr="00F26E77">
              <w:rPr>
                <w:sz w:val="18"/>
                <w:szCs w:val="18"/>
              </w:rPr>
              <w:t>2,0</w:t>
            </w:r>
          </w:p>
        </w:tc>
        <w:tc>
          <w:tcPr>
            <w:tcW w:w="836" w:type="dxa"/>
            <w:tcBorders>
              <w:top w:val="nil"/>
              <w:left w:val="nil"/>
              <w:bottom w:val="nil"/>
              <w:right w:val="nil"/>
            </w:tcBorders>
            <w:shd w:val="clear" w:color="auto" w:fill="auto"/>
            <w:noWrap/>
            <w:vAlign w:val="center"/>
            <w:hideMark/>
          </w:tcPr>
          <w:p w14:paraId="5780C92E" w14:textId="77777777" w:rsidR="00D73008" w:rsidRPr="00F26E77" w:rsidRDefault="00D73008" w:rsidP="00387AE5">
            <w:pPr>
              <w:jc w:val="center"/>
              <w:rPr>
                <w:color w:val="000000"/>
                <w:sz w:val="18"/>
                <w:szCs w:val="18"/>
              </w:rPr>
            </w:pPr>
            <w:r w:rsidRPr="00F26E77">
              <w:rPr>
                <w:sz w:val="18"/>
                <w:szCs w:val="18"/>
              </w:rPr>
              <w:t>1,8</w:t>
            </w:r>
          </w:p>
        </w:tc>
      </w:tr>
      <w:tr w:rsidR="00D73008" w:rsidRPr="00F26E77" w14:paraId="4F9C04CA" w14:textId="77777777" w:rsidTr="00387AE5">
        <w:trPr>
          <w:trHeight w:val="283"/>
        </w:trPr>
        <w:tc>
          <w:tcPr>
            <w:tcW w:w="3085" w:type="dxa"/>
            <w:tcBorders>
              <w:top w:val="nil"/>
              <w:left w:val="nil"/>
              <w:bottom w:val="nil"/>
              <w:right w:val="nil"/>
            </w:tcBorders>
            <w:shd w:val="clear" w:color="auto" w:fill="auto"/>
            <w:vAlign w:val="center"/>
            <w:hideMark/>
          </w:tcPr>
          <w:p w14:paraId="233D9945" w14:textId="77777777" w:rsidR="00D73008" w:rsidRPr="00F26E77" w:rsidRDefault="00D73008" w:rsidP="00387AE5">
            <w:pPr>
              <w:rPr>
                <w:rFonts w:cs="Times New Roman"/>
                <w:color w:val="000000"/>
                <w:sz w:val="18"/>
                <w:szCs w:val="18"/>
              </w:rPr>
            </w:pPr>
            <w:r w:rsidRPr="00F26E77">
              <w:rPr>
                <w:color w:val="000000"/>
                <w:sz w:val="18"/>
                <w:szCs w:val="18"/>
              </w:rPr>
              <w:t>10. Zmena stavu zásob a čisté nadobudnutie cenností</w:t>
            </w:r>
          </w:p>
        </w:tc>
        <w:tc>
          <w:tcPr>
            <w:tcW w:w="836" w:type="dxa"/>
            <w:tcBorders>
              <w:top w:val="nil"/>
              <w:left w:val="nil"/>
              <w:bottom w:val="nil"/>
              <w:right w:val="nil"/>
            </w:tcBorders>
            <w:shd w:val="clear" w:color="auto" w:fill="auto"/>
            <w:vAlign w:val="center"/>
            <w:hideMark/>
          </w:tcPr>
          <w:p w14:paraId="0D2DB67A" w14:textId="77777777" w:rsidR="00D73008" w:rsidRPr="00F26E77" w:rsidRDefault="00D73008" w:rsidP="00387AE5">
            <w:pPr>
              <w:jc w:val="center"/>
              <w:rPr>
                <w:rFonts w:cs="Times New Roman"/>
                <w:color w:val="000000"/>
                <w:sz w:val="18"/>
                <w:szCs w:val="18"/>
              </w:rPr>
            </w:pPr>
            <w:r w:rsidRPr="00F26E77">
              <w:rPr>
                <w:color w:val="000000"/>
                <w:sz w:val="18"/>
                <w:szCs w:val="18"/>
              </w:rPr>
              <w:t>P.52 + P.53</w:t>
            </w:r>
          </w:p>
        </w:tc>
        <w:tc>
          <w:tcPr>
            <w:tcW w:w="885" w:type="dxa"/>
            <w:tcBorders>
              <w:top w:val="nil"/>
              <w:left w:val="nil"/>
              <w:bottom w:val="nil"/>
              <w:right w:val="nil"/>
            </w:tcBorders>
            <w:shd w:val="clear" w:color="auto" w:fill="auto"/>
            <w:noWrap/>
            <w:vAlign w:val="center"/>
            <w:hideMark/>
          </w:tcPr>
          <w:p w14:paraId="2DBE1899"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nil"/>
              <w:right w:val="nil"/>
            </w:tcBorders>
            <w:shd w:val="clear" w:color="auto" w:fill="auto"/>
            <w:vAlign w:val="center"/>
            <w:hideMark/>
          </w:tcPr>
          <w:p w14:paraId="70C27AD9" w14:textId="77777777" w:rsidR="00D73008" w:rsidRPr="00F26E77" w:rsidRDefault="00D73008" w:rsidP="00387AE5">
            <w:pPr>
              <w:jc w:val="center"/>
              <w:rPr>
                <w:color w:val="000000"/>
                <w:sz w:val="18"/>
                <w:szCs w:val="18"/>
              </w:rPr>
            </w:pPr>
            <w:r w:rsidRPr="00F26E77">
              <w:rPr>
                <w:sz w:val="18"/>
                <w:szCs w:val="18"/>
              </w:rPr>
              <w:t>0,5</w:t>
            </w:r>
          </w:p>
        </w:tc>
        <w:tc>
          <w:tcPr>
            <w:tcW w:w="836" w:type="dxa"/>
            <w:tcBorders>
              <w:top w:val="nil"/>
              <w:left w:val="nil"/>
              <w:bottom w:val="nil"/>
              <w:right w:val="nil"/>
            </w:tcBorders>
            <w:shd w:val="clear" w:color="auto" w:fill="auto"/>
            <w:vAlign w:val="center"/>
            <w:hideMark/>
          </w:tcPr>
          <w:p w14:paraId="6FEFCBCB" w14:textId="77777777" w:rsidR="00D73008" w:rsidRPr="00F26E77" w:rsidRDefault="00D73008" w:rsidP="00387AE5">
            <w:pPr>
              <w:jc w:val="center"/>
              <w:rPr>
                <w:color w:val="000000"/>
                <w:sz w:val="18"/>
                <w:szCs w:val="18"/>
              </w:rPr>
            </w:pPr>
            <w:r w:rsidRPr="00F26E77">
              <w:rPr>
                <w:sz w:val="18"/>
                <w:szCs w:val="18"/>
              </w:rPr>
              <w:t>0,1</w:t>
            </w:r>
          </w:p>
        </w:tc>
        <w:tc>
          <w:tcPr>
            <w:tcW w:w="836" w:type="dxa"/>
            <w:tcBorders>
              <w:top w:val="nil"/>
              <w:left w:val="nil"/>
              <w:bottom w:val="nil"/>
              <w:right w:val="nil"/>
            </w:tcBorders>
            <w:shd w:val="clear" w:color="auto" w:fill="auto"/>
            <w:vAlign w:val="center"/>
            <w:hideMark/>
          </w:tcPr>
          <w:p w14:paraId="5D6A196A" w14:textId="77777777" w:rsidR="00D73008" w:rsidRPr="00F26E77" w:rsidRDefault="00D73008" w:rsidP="00387AE5">
            <w:pPr>
              <w:jc w:val="center"/>
              <w:rPr>
                <w:color w:val="000000"/>
                <w:sz w:val="18"/>
                <w:szCs w:val="18"/>
              </w:rPr>
            </w:pPr>
            <w:r w:rsidRPr="00F26E77">
              <w:rPr>
                <w:sz w:val="18"/>
                <w:szCs w:val="18"/>
              </w:rPr>
              <w:t>0,0</w:t>
            </w:r>
          </w:p>
        </w:tc>
        <w:tc>
          <w:tcPr>
            <w:tcW w:w="836" w:type="dxa"/>
            <w:tcBorders>
              <w:top w:val="nil"/>
              <w:left w:val="nil"/>
              <w:bottom w:val="nil"/>
              <w:right w:val="nil"/>
            </w:tcBorders>
            <w:shd w:val="clear" w:color="auto" w:fill="auto"/>
            <w:vAlign w:val="center"/>
            <w:hideMark/>
          </w:tcPr>
          <w:p w14:paraId="4A5DDC49" w14:textId="77777777" w:rsidR="00D73008" w:rsidRPr="00F26E77" w:rsidRDefault="00D73008" w:rsidP="00387AE5">
            <w:pPr>
              <w:jc w:val="center"/>
              <w:rPr>
                <w:color w:val="000000"/>
                <w:sz w:val="18"/>
                <w:szCs w:val="18"/>
              </w:rPr>
            </w:pPr>
            <w:r w:rsidRPr="00F26E77">
              <w:rPr>
                <w:sz w:val="18"/>
                <w:szCs w:val="18"/>
              </w:rPr>
              <w:t>0,0</w:t>
            </w:r>
          </w:p>
        </w:tc>
        <w:tc>
          <w:tcPr>
            <w:tcW w:w="836" w:type="dxa"/>
            <w:tcBorders>
              <w:top w:val="nil"/>
              <w:left w:val="nil"/>
              <w:bottom w:val="nil"/>
              <w:right w:val="nil"/>
            </w:tcBorders>
            <w:shd w:val="clear" w:color="auto" w:fill="auto"/>
            <w:vAlign w:val="center"/>
            <w:hideMark/>
          </w:tcPr>
          <w:p w14:paraId="0DD8C220" w14:textId="77777777" w:rsidR="00D73008" w:rsidRPr="00F26E77" w:rsidRDefault="00D73008" w:rsidP="00387AE5">
            <w:pPr>
              <w:jc w:val="center"/>
              <w:rPr>
                <w:color w:val="000000"/>
                <w:sz w:val="18"/>
                <w:szCs w:val="18"/>
              </w:rPr>
            </w:pPr>
            <w:r w:rsidRPr="00F26E77">
              <w:rPr>
                <w:sz w:val="18"/>
                <w:szCs w:val="18"/>
              </w:rPr>
              <w:t>0,0</w:t>
            </w:r>
          </w:p>
        </w:tc>
      </w:tr>
      <w:tr w:rsidR="00D73008" w:rsidRPr="00F26E77" w14:paraId="54BD009C" w14:textId="77777777" w:rsidTr="00387AE5">
        <w:trPr>
          <w:trHeight w:val="283"/>
        </w:trPr>
        <w:tc>
          <w:tcPr>
            <w:tcW w:w="3085" w:type="dxa"/>
            <w:tcBorders>
              <w:top w:val="nil"/>
              <w:left w:val="nil"/>
              <w:bottom w:val="single" w:sz="8" w:space="0" w:color="auto"/>
              <w:right w:val="nil"/>
            </w:tcBorders>
            <w:shd w:val="clear" w:color="auto" w:fill="auto"/>
            <w:noWrap/>
            <w:vAlign w:val="center"/>
            <w:hideMark/>
          </w:tcPr>
          <w:p w14:paraId="2F7097F2" w14:textId="77777777" w:rsidR="00D73008" w:rsidRPr="00F26E77" w:rsidRDefault="00D73008" w:rsidP="00387AE5">
            <w:pPr>
              <w:rPr>
                <w:rFonts w:cs="Times New Roman"/>
                <w:color w:val="000000"/>
                <w:sz w:val="18"/>
                <w:szCs w:val="18"/>
              </w:rPr>
            </w:pPr>
            <w:r w:rsidRPr="00F26E77">
              <w:rPr>
                <w:color w:val="000000"/>
                <w:sz w:val="18"/>
                <w:szCs w:val="18"/>
              </w:rPr>
              <w:t>11. Saldo zahr. obchodu s výrobkami a službami</w:t>
            </w:r>
          </w:p>
        </w:tc>
        <w:tc>
          <w:tcPr>
            <w:tcW w:w="836" w:type="dxa"/>
            <w:tcBorders>
              <w:top w:val="nil"/>
              <w:left w:val="nil"/>
              <w:bottom w:val="single" w:sz="8" w:space="0" w:color="auto"/>
              <w:right w:val="nil"/>
            </w:tcBorders>
            <w:shd w:val="clear" w:color="auto" w:fill="auto"/>
            <w:noWrap/>
            <w:vAlign w:val="center"/>
            <w:hideMark/>
          </w:tcPr>
          <w:p w14:paraId="0D81DB3C" w14:textId="77777777" w:rsidR="00D73008" w:rsidRPr="00F26E77" w:rsidRDefault="00D73008" w:rsidP="00387AE5">
            <w:pPr>
              <w:jc w:val="center"/>
              <w:rPr>
                <w:rFonts w:cs="Times New Roman"/>
                <w:color w:val="000000"/>
                <w:sz w:val="18"/>
                <w:szCs w:val="18"/>
              </w:rPr>
            </w:pPr>
            <w:r w:rsidRPr="00F26E77">
              <w:rPr>
                <w:color w:val="000000"/>
                <w:sz w:val="18"/>
                <w:szCs w:val="18"/>
              </w:rPr>
              <w:t>B.11</w:t>
            </w:r>
          </w:p>
        </w:tc>
        <w:tc>
          <w:tcPr>
            <w:tcW w:w="885" w:type="dxa"/>
            <w:tcBorders>
              <w:top w:val="nil"/>
              <w:left w:val="nil"/>
              <w:bottom w:val="single" w:sz="8" w:space="0" w:color="auto"/>
              <w:right w:val="nil"/>
            </w:tcBorders>
            <w:shd w:val="clear" w:color="auto" w:fill="auto"/>
            <w:noWrap/>
            <w:vAlign w:val="center"/>
            <w:hideMark/>
          </w:tcPr>
          <w:p w14:paraId="49C448BD" w14:textId="77777777" w:rsidR="00D73008" w:rsidRPr="00F26E77" w:rsidRDefault="00D73008" w:rsidP="00387AE5">
            <w:pPr>
              <w:jc w:val="center"/>
              <w:rPr>
                <w:rFonts w:cs="Times New Roman"/>
                <w:color w:val="000000"/>
                <w:sz w:val="18"/>
                <w:szCs w:val="18"/>
              </w:rPr>
            </w:pPr>
            <w:r w:rsidRPr="00F26E77">
              <w:rPr>
                <w:sz w:val="18"/>
                <w:szCs w:val="18"/>
              </w:rPr>
              <w:t>-</w:t>
            </w:r>
          </w:p>
        </w:tc>
        <w:tc>
          <w:tcPr>
            <w:tcW w:w="836" w:type="dxa"/>
            <w:tcBorders>
              <w:top w:val="nil"/>
              <w:left w:val="nil"/>
              <w:bottom w:val="single" w:sz="8" w:space="0" w:color="auto"/>
              <w:right w:val="nil"/>
            </w:tcBorders>
            <w:shd w:val="clear" w:color="auto" w:fill="auto"/>
            <w:noWrap/>
            <w:vAlign w:val="center"/>
            <w:hideMark/>
          </w:tcPr>
          <w:p w14:paraId="0A27607E" w14:textId="77777777" w:rsidR="00D73008" w:rsidRPr="00F26E77" w:rsidRDefault="00D73008" w:rsidP="00387AE5">
            <w:pPr>
              <w:jc w:val="center"/>
              <w:rPr>
                <w:color w:val="000000"/>
                <w:sz w:val="18"/>
                <w:szCs w:val="18"/>
              </w:rPr>
            </w:pPr>
            <w:r w:rsidRPr="00F26E77">
              <w:rPr>
                <w:sz w:val="18"/>
                <w:szCs w:val="18"/>
              </w:rPr>
              <w:t>-0,1</w:t>
            </w:r>
          </w:p>
        </w:tc>
        <w:tc>
          <w:tcPr>
            <w:tcW w:w="836" w:type="dxa"/>
            <w:tcBorders>
              <w:top w:val="nil"/>
              <w:left w:val="nil"/>
              <w:bottom w:val="single" w:sz="8" w:space="0" w:color="auto"/>
              <w:right w:val="nil"/>
            </w:tcBorders>
            <w:shd w:val="clear" w:color="auto" w:fill="auto"/>
            <w:noWrap/>
            <w:vAlign w:val="center"/>
            <w:hideMark/>
          </w:tcPr>
          <w:p w14:paraId="23AD6F7B" w14:textId="77777777" w:rsidR="00D73008" w:rsidRPr="00F26E77" w:rsidRDefault="00D73008" w:rsidP="00387AE5">
            <w:pPr>
              <w:jc w:val="center"/>
              <w:rPr>
                <w:color w:val="000000"/>
                <w:sz w:val="18"/>
                <w:szCs w:val="18"/>
              </w:rPr>
            </w:pPr>
            <w:r w:rsidRPr="00F26E77">
              <w:rPr>
                <w:sz w:val="18"/>
                <w:szCs w:val="18"/>
              </w:rPr>
              <w:t>1,5</w:t>
            </w:r>
          </w:p>
        </w:tc>
        <w:tc>
          <w:tcPr>
            <w:tcW w:w="836" w:type="dxa"/>
            <w:tcBorders>
              <w:top w:val="nil"/>
              <w:left w:val="nil"/>
              <w:bottom w:val="single" w:sz="8" w:space="0" w:color="auto"/>
              <w:right w:val="nil"/>
            </w:tcBorders>
            <w:shd w:val="clear" w:color="auto" w:fill="auto"/>
            <w:noWrap/>
            <w:vAlign w:val="center"/>
            <w:hideMark/>
          </w:tcPr>
          <w:p w14:paraId="4F9A93E1" w14:textId="77777777" w:rsidR="00D73008" w:rsidRPr="00F26E77" w:rsidRDefault="00D73008" w:rsidP="00387AE5">
            <w:pPr>
              <w:jc w:val="center"/>
              <w:rPr>
                <w:color w:val="000000"/>
                <w:sz w:val="18"/>
                <w:szCs w:val="18"/>
              </w:rPr>
            </w:pPr>
            <w:r w:rsidRPr="00F26E77">
              <w:rPr>
                <w:sz w:val="18"/>
                <w:szCs w:val="18"/>
              </w:rPr>
              <w:t>1,3</w:t>
            </w:r>
          </w:p>
        </w:tc>
        <w:tc>
          <w:tcPr>
            <w:tcW w:w="836" w:type="dxa"/>
            <w:tcBorders>
              <w:top w:val="nil"/>
              <w:left w:val="nil"/>
              <w:bottom w:val="single" w:sz="8" w:space="0" w:color="auto"/>
              <w:right w:val="nil"/>
            </w:tcBorders>
            <w:shd w:val="clear" w:color="auto" w:fill="auto"/>
            <w:noWrap/>
            <w:vAlign w:val="center"/>
            <w:hideMark/>
          </w:tcPr>
          <w:p w14:paraId="7828028A" w14:textId="77777777" w:rsidR="00D73008" w:rsidRPr="00F26E77" w:rsidRDefault="00D73008" w:rsidP="00387AE5">
            <w:pPr>
              <w:jc w:val="center"/>
              <w:rPr>
                <w:color w:val="000000"/>
                <w:sz w:val="18"/>
                <w:szCs w:val="18"/>
              </w:rPr>
            </w:pPr>
            <w:r w:rsidRPr="00F26E77">
              <w:rPr>
                <w:sz w:val="18"/>
                <w:szCs w:val="18"/>
              </w:rPr>
              <w:t>1,2</w:t>
            </w:r>
          </w:p>
        </w:tc>
        <w:tc>
          <w:tcPr>
            <w:tcW w:w="836" w:type="dxa"/>
            <w:tcBorders>
              <w:top w:val="nil"/>
              <w:left w:val="nil"/>
              <w:bottom w:val="single" w:sz="8" w:space="0" w:color="auto"/>
              <w:right w:val="nil"/>
            </w:tcBorders>
            <w:shd w:val="clear" w:color="auto" w:fill="auto"/>
            <w:noWrap/>
            <w:vAlign w:val="center"/>
            <w:hideMark/>
          </w:tcPr>
          <w:p w14:paraId="31F6663D" w14:textId="77777777" w:rsidR="00D73008" w:rsidRPr="00F26E77" w:rsidRDefault="00D73008" w:rsidP="00387AE5">
            <w:pPr>
              <w:jc w:val="center"/>
              <w:rPr>
                <w:color w:val="000000"/>
                <w:sz w:val="18"/>
                <w:szCs w:val="18"/>
              </w:rPr>
            </w:pPr>
            <w:r w:rsidRPr="00F26E77">
              <w:rPr>
                <w:sz w:val="18"/>
                <w:szCs w:val="18"/>
              </w:rPr>
              <w:t>0,7</w:t>
            </w:r>
          </w:p>
        </w:tc>
      </w:tr>
      <w:tr w:rsidR="00D73008" w:rsidRPr="002028CC" w14:paraId="26938BF4" w14:textId="77777777" w:rsidTr="00387AE5">
        <w:trPr>
          <w:trHeight w:val="283"/>
        </w:trPr>
        <w:tc>
          <w:tcPr>
            <w:tcW w:w="3085" w:type="dxa"/>
            <w:tcBorders>
              <w:top w:val="single" w:sz="8" w:space="0" w:color="auto"/>
              <w:left w:val="nil"/>
              <w:bottom w:val="nil"/>
              <w:right w:val="nil"/>
            </w:tcBorders>
            <w:shd w:val="clear" w:color="auto" w:fill="auto"/>
            <w:noWrap/>
            <w:vAlign w:val="bottom"/>
          </w:tcPr>
          <w:p w14:paraId="71CD4154" w14:textId="77777777" w:rsidR="00D73008" w:rsidRPr="00F26E77" w:rsidRDefault="00D73008" w:rsidP="00387AE5">
            <w:pP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bottom"/>
          </w:tcPr>
          <w:p w14:paraId="6A50197E" w14:textId="77777777" w:rsidR="00D73008" w:rsidRPr="00F26E77" w:rsidRDefault="00D73008" w:rsidP="00387AE5">
            <w:pPr>
              <w:jc w:val="center"/>
              <w:rPr>
                <w:rFonts w:cs="Times New Roman"/>
                <w:color w:val="000000"/>
                <w:sz w:val="18"/>
                <w:szCs w:val="18"/>
              </w:rPr>
            </w:pPr>
          </w:p>
        </w:tc>
        <w:tc>
          <w:tcPr>
            <w:tcW w:w="885" w:type="dxa"/>
            <w:tcBorders>
              <w:top w:val="single" w:sz="8" w:space="0" w:color="auto"/>
              <w:left w:val="nil"/>
              <w:bottom w:val="nil"/>
              <w:right w:val="nil"/>
            </w:tcBorders>
            <w:shd w:val="clear" w:color="auto" w:fill="auto"/>
            <w:noWrap/>
            <w:vAlign w:val="bottom"/>
          </w:tcPr>
          <w:p w14:paraId="1DEED8DB" w14:textId="77777777" w:rsidR="00D73008" w:rsidRPr="00F26E77" w:rsidRDefault="00D73008" w:rsidP="00387AE5">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6F021A7B" w14:textId="77777777" w:rsidR="00D73008" w:rsidRPr="00F26E77" w:rsidRDefault="00D73008" w:rsidP="00387AE5">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3EBEC11E" w14:textId="77777777" w:rsidR="00D73008" w:rsidRPr="00F26E77" w:rsidRDefault="00D73008" w:rsidP="00387AE5">
            <w:pPr>
              <w:jc w:val="center"/>
              <w:rPr>
                <w:rFonts w:cs="Times New Roman"/>
                <w:color w:val="000000"/>
                <w:sz w:val="18"/>
                <w:szCs w:val="18"/>
              </w:rPr>
            </w:pPr>
          </w:p>
        </w:tc>
        <w:tc>
          <w:tcPr>
            <w:tcW w:w="836" w:type="dxa"/>
            <w:tcBorders>
              <w:top w:val="single" w:sz="8" w:space="0" w:color="auto"/>
              <w:left w:val="nil"/>
              <w:bottom w:val="nil"/>
              <w:right w:val="nil"/>
            </w:tcBorders>
            <w:shd w:val="clear" w:color="auto" w:fill="auto"/>
            <w:noWrap/>
            <w:vAlign w:val="center"/>
          </w:tcPr>
          <w:p w14:paraId="37036D0C" w14:textId="77777777" w:rsidR="00D73008" w:rsidRPr="00F26E77" w:rsidRDefault="00D73008" w:rsidP="00387AE5">
            <w:pPr>
              <w:jc w:val="center"/>
              <w:rPr>
                <w:rFonts w:cs="Times New Roman"/>
                <w:color w:val="000000"/>
                <w:sz w:val="18"/>
                <w:szCs w:val="18"/>
              </w:rPr>
            </w:pPr>
          </w:p>
        </w:tc>
        <w:tc>
          <w:tcPr>
            <w:tcW w:w="1672" w:type="dxa"/>
            <w:gridSpan w:val="2"/>
            <w:tcBorders>
              <w:top w:val="single" w:sz="8" w:space="0" w:color="auto"/>
              <w:left w:val="nil"/>
              <w:bottom w:val="nil"/>
              <w:right w:val="nil"/>
            </w:tcBorders>
            <w:shd w:val="clear" w:color="auto" w:fill="auto"/>
            <w:noWrap/>
            <w:vAlign w:val="center"/>
          </w:tcPr>
          <w:p w14:paraId="197B3456" w14:textId="77777777" w:rsidR="00D73008" w:rsidRPr="002028CC" w:rsidRDefault="00D73008" w:rsidP="00387AE5">
            <w:pPr>
              <w:jc w:val="right"/>
              <w:rPr>
                <w:rFonts w:cs="Times New Roman"/>
                <w:color w:val="000000"/>
                <w:sz w:val="18"/>
                <w:szCs w:val="18"/>
              </w:rPr>
            </w:pPr>
            <w:r w:rsidRPr="00F26E77">
              <w:rPr>
                <w:rFonts w:cs="Times New Roman"/>
                <w:i/>
                <w:iCs/>
                <w:color w:val="000000"/>
                <w:sz w:val="16"/>
                <w:szCs w:val="16"/>
              </w:rPr>
              <w:t>Zdroj: MF SR</w:t>
            </w:r>
          </w:p>
        </w:tc>
      </w:tr>
    </w:tbl>
    <w:p w14:paraId="056CD8C6" w14:textId="77777777" w:rsidR="00D73008" w:rsidRPr="002028CC" w:rsidRDefault="00D73008" w:rsidP="00D73008">
      <w:pPr>
        <w:jc w:val="both"/>
        <w:rPr>
          <w:rFonts w:cs="Times New Roman"/>
          <w:i/>
          <w:color w:val="000000"/>
          <w:sz w:val="16"/>
          <w:szCs w:val="16"/>
        </w:rPr>
      </w:pPr>
      <w:r w:rsidRPr="002028CC">
        <w:rPr>
          <w:rFonts w:cs="Times New Roman"/>
          <w:i/>
          <w:color w:val="000000"/>
          <w:sz w:val="16"/>
          <w:szCs w:val="16"/>
        </w:rPr>
        <w:t>* Prognóza konečnej spotreby verejnej správy vychádza z februárovej makroekonomickej prognózy MFSR. Výbor pre makroekonomické prognózy schválil prognózu vývoja ekonomiky pred zverejnením skutočnosti za rok 2018. Aktualizácia skutočnosti spôsobuje nesúlad nominálnej úrovne HDP pre roky 2019 až 2022 schválenej Výborom a úrovňou HDP odvodenou cez tempo rastu nominálneho HDP taktiež schválenou Výborom. Pre účely rozpočtu verejnej správy je platná úroveň nominálneho HDP schválená Výborom.</w:t>
      </w:r>
    </w:p>
    <w:p w14:paraId="3BC4E232" w14:textId="77777777" w:rsidR="00D73008" w:rsidRPr="00B21C97" w:rsidRDefault="00D73008" w:rsidP="00D73008">
      <w:pPr>
        <w:rPr>
          <w:highlight w:val="yellow"/>
        </w:rPr>
      </w:pPr>
    </w:p>
    <w:tbl>
      <w:tblPr>
        <w:tblW w:w="8943" w:type="dxa"/>
        <w:tblCellMar>
          <w:left w:w="70" w:type="dxa"/>
          <w:right w:w="70" w:type="dxa"/>
        </w:tblCellMar>
        <w:tblLook w:val="04A0" w:firstRow="1" w:lastRow="0" w:firstColumn="1" w:lastColumn="0" w:noHBand="0" w:noVBand="1"/>
      </w:tblPr>
      <w:tblGrid>
        <w:gridCol w:w="2494"/>
        <w:gridCol w:w="921"/>
        <w:gridCol w:w="921"/>
        <w:gridCol w:w="921"/>
        <w:gridCol w:w="921"/>
        <w:gridCol w:w="921"/>
        <w:gridCol w:w="921"/>
        <w:gridCol w:w="923"/>
      </w:tblGrid>
      <w:tr w:rsidR="00D73008" w:rsidRPr="00152128" w14:paraId="5C9D05C9" w14:textId="77777777" w:rsidTr="00387AE5">
        <w:trPr>
          <w:trHeight w:val="283"/>
        </w:trPr>
        <w:tc>
          <w:tcPr>
            <w:tcW w:w="8943" w:type="dxa"/>
            <w:gridSpan w:val="8"/>
            <w:tcBorders>
              <w:top w:val="nil"/>
              <w:left w:val="nil"/>
              <w:bottom w:val="single" w:sz="4" w:space="0" w:color="auto"/>
              <w:right w:val="nil"/>
            </w:tcBorders>
            <w:shd w:val="clear" w:color="auto" w:fill="auto"/>
            <w:noWrap/>
            <w:vAlign w:val="center"/>
            <w:hideMark/>
          </w:tcPr>
          <w:p w14:paraId="0B266FD5" w14:textId="14F3348E" w:rsidR="00D73008" w:rsidRPr="00152128" w:rsidRDefault="00D73008" w:rsidP="00387AE5">
            <w:pPr>
              <w:rPr>
                <w:rFonts w:eastAsiaTheme="minorHAnsi"/>
                <w:b/>
                <w:color w:val="2C9ADC"/>
                <w:lang w:eastAsia="en-US"/>
              </w:rPr>
            </w:pPr>
            <w:bookmarkStart w:id="241" w:name="_Toc480905411"/>
            <w:bookmarkStart w:id="242" w:name="_Toc6314218"/>
            <w:r w:rsidRPr="00392121">
              <w:rPr>
                <w:rFonts w:eastAsiaTheme="minorHAnsi"/>
                <w:b/>
                <w:color w:val="2C9ADC"/>
                <w:lang w:eastAsia="en-US"/>
              </w:rPr>
              <w:t xml:space="preserve">TABUĽKA </w:t>
            </w:r>
            <w:r w:rsidRPr="00392121">
              <w:rPr>
                <w:rFonts w:eastAsiaTheme="minorHAnsi"/>
                <w:b/>
                <w:color w:val="2C9ADC"/>
                <w:lang w:eastAsia="en-US"/>
              </w:rPr>
              <w:fldChar w:fldCharType="begin"/>
            </w:r>
            <w:r w:rsidRPr="00392121">
              <w:rPr>
                <w:rFonts w:eastAsiaTheme="minorHAnsi"/>
                <w:b/>
                <w:color w:val="2C9ADC"/>
                <w:lang w:eastAsia="en-US"/>
              </w:rPr>
              <w:instrText xml:space="preserve"> SEQ TABUĽKA \* ARABIC </w:instrText>
            </w:r>
            <w:r w:rsidRPr="00392121">
              <w:rPr>
                <w:rFonts w:eastAsiaTheme="minorHAnsi"/>
                <w:b/>
                <w:color w:val="2C9ADC"/>
                <w:lang w:eastAsia="en-US"/>
              </w:rPr>
              <w:fldChar w:fldCharType="separate"/>
            </w:r>
            <w:r w:rsidR="00D5739E">
              <w:rPr>
                <w:rFonts w:eastAsiaTheme="minorHAnsi"/>
                <w:b/>
                <w:noProof/>
                <w:color w:val="2C9ADC"/>
                <w:lang w:eastAsia="en-US"/>
              </w:rPr>
              <w:t>19</w:t>
            </w:r>
            <w:r w:rsidRPr="00392121">
              <w:rPr>
                <w:rFonts w:eastAsiaTheme="minorHAnsi"/>
                <w:b/>
                <w:color w:val="2C9ADC"/>
                <w:lang w:eastAsia="en-US"/>
              </w:rPr>
              <w:fldChar w:fldCharType="end"/>
            </w:r>
            <w:r w:rsidRPr="00152128">
              <w:rPr>
                <w:rFonts w:eastAsiaTheme="minorHAnsi"/>
                <w:b/>
                <w:color w:val="2C9ADC"/>
                <w:lang w:eastAsia="en-US"/>
              </w:rPr>
              <w:t xml:space="preserve"> (Tabuľka 1b) - Cenový vývoj (ESA 2010)</w:t>
            </w:r>
            <w:bookmarkEnd w:id="241"/>
            <w:bookmarkEnd w:id="242"/>
            <w:r w:rsidRPr="00152128">
              <w:rPr>
                <w:rFonts w:eastAsiaTheme="minorHAnsi"/>
                <w:b/>
                <w:color w:val="2C9ADC"/>
                <w:lang w:eastAsia="en-US"/>
              </w:rPr>
              <w:t xml:space="preserve"> </w:t>
            </w:r>
          </w:p>
        </w:tc>
      </w:tr>
      <w:tr w:rsidR="00D73008" w:rsidRPr="00B21C97" w14:paraId="6465EB11" w14:textId="77777777" w:rsidTr="00387AE5">
        <w:trPr>
          <w:trHeight w:val="283"/>
        </w:trPr>
        <w:tc>
          <w:tcPr>
            <w:tcW w:w="2494" w:type="dxa"/>
            <w:vMerge w:val="restart"/>
            <w:tcBorders>
              <w:top w:val="single" w:sz="4" w:space="0" w:color="auto"/>
              <w:left w:val="nil"/>
              <w:bottom w:val="single" w:sz="6" w:space="0" w:color="auto"/>
              <w:right w:val="nil"/>
            </w:tcBorders>
            <w:shd w:val="clear" w:color="auto" w:fill="auto"/>
            <w:vAlign w:val="bottom"/>
            <w:hideMark/>
          </w:tcPr>
          <w:p w14:paraId="0EF3CDD5" w14:textId="77777777" w:rsidR="00D73008" w:rsidRPr="002028CC" w:rsidRDefault="00D73008" w:rsidP="00387AE5">
            <w:pPr>
              <w:rPr>
                <w:rFonts w:cs="Times New Roman"/>
                <w:color w:val="000000"/>
                <w:sz w:val="18"/>
                <w:szCs w:val="18"/>
              </w:rPr>
            </w:pPr>
            <w:r w:rsidRPr="002028CC">
              <w:rPr>
                <w:rFonts w:cs="Times New Roman"/>
                <w:color w:val="000000"/>
                <w:sz w:val="18"/>
                <w:szCs w:val="18"/>
              </w:rPr>
              <w:t> </w:t>
            </w:r>
          </w:p>
        </w:tc>
        <w:tc>
          <w:tcPr>
            <w:tcW w:w="921" w:type="dxa"/>
            <w:vMerge w:val="restart"/>
            <w:tcBorders>
              <w:top w:val="single" w:sz="4" w:space="0" w:color="auto"/>
              <w:left w:val="nil"/>
              <w:bottom w:val="single" w:sz="6" w:space="0" w:color="auto"/>
              <w:right w:val="nil"/>
            </w:tcBorders>
            <w:shd w:val="clear" w:color="auto" w:fill="auto"/>
            <w:vAlign w:val="center"/>
            <w:hideMark/>
          </w:tcPr>
          <w:p w14:paraId="3A2C27BD" w14:textId="77777777" w:rsidR="00D73008" w:rsidRPr="002028CC" w:rsidRDefault="00D73008" w:rsidP="00387AE5">
            <w:pPr>
              <w:jc w:val="center"/>
              <w:rPr>
                <w:rFonts w:cs="Times New Roman"/>
                <w:color w:val="000000"/>
                <w:sz w:val="18"/>
                <w:szCs w:val="18"/>
              </w:rPr>
            </w:pPr>
            <w:r w:rsidRPr="002028CC">
              <w:rPr>
                <w:rFonts w:cs="Times New Roman"/>
                <w:color w:val="000000"/>
                <w:sz w:val="18"/>
                <w:szCs w:val="18"/>
              </w:rPr>
              <w:t>ESA kód</w:t>
            </w:r>
          </w:p>
        </w:tc>
        <w:tc>
          <w:tcPr>
            <w:tcW w:w="921" w:type="dxa"/>
            <w:tcBorders>
              <w:top w:val="single" w:sz="4" w:space="0" w:color="auto"/>
              <w:left w:val="nil"/>
              <w:bottom w:val="nil"/>
              <w:right w:val="nil"/>
            </w:tcBorders>
            <w:shd w:val="clear" w:color="auto" w:fill="auto"/>
            <w:vAlign w:val="center"/>
            <w:hideMark/>
          </w:tcPr>
          <w:p w14:paraId="4AFD62D0" w14:textId="77777777" w:rsidR="00D73008" w:rsidRPr="002028CC" w:rsidRDefault="00D73008" w:rsidP="00387AE5">
            <w:pPr>
              <w:jc w:val="center"/>
              <w:rPr>
                <w:rFonts w:cs="Times New Roman"/>
                <w:b/>
                <w:bCs/>
                <w:color w:val="000000"/>
                <w:sz w:val="18"/>
                <w:szCs w:val="18"/>
              </w:rPr>
            </w:pPr>
            <w:r w:rsidRPr="002028CC">
              <w:rPr>
                <w:b/>
                <w:bCs/>
                <w:color w:val="000000"/>
                <w:sz w:val="18"/>
                <w:szCs w:val="18"/>
              </w:rPr>
              <w:t>2018</w:t>
            </w:r>
          </w:p>
        </w:tc>
        <w:tc>
          <w:tcPr>
            <w:tcW w:w="921" w:type="dxa"/>
            <w:tcBorders>
              <w:top w:val="single" w:sz="4" w:space="0" w:color="auto"/>
              <w:left w:val="nil"/>
              <w:bottom w:val="nil"/>
              <w:right w:val="nil"/>
            </w:tcBorders>
            <w:shd w:val="clear" w:color="auto" w:fill="auto"/>
            <w:vAlign w:val="center"/>
            <w:hideMark/>
          </w:tcPr>
          <w:p w14:paraId="75C4A7A4" w14:textId="77777777" w:rsidR="00D73008" w:rsidRPr="002028CC" w:rsidRDefault="00D73008" w:rsidP="00387AE5">
            <w:pPr>
              <w:jc w:val="center"/>
              <w:rPr>
                <w:b/>
                <w:bCs/>
                <w:color w:val="000000"/>
                <w:sz w:val="18"/>
                <w:szCs w:val="18"/>
              </w:rPr>
            </w:pPr>
            <w:r w:rsidRPr="002028CC">
              <w:rPr>
                <w:b/>
                <w:bCs/>
                <w:color w:val="000000"/>
                <w:sz w:val="18"/>
                <w:szCs w:val="18"/>
              </w:rPr>
              <w:t>2018</w:t>
            </w:r>
          </w:p>
        </w:tc>
        <w:tc>
          <w:tcPr>
            <w:tcW w:w="921" w:type="dxa"/>
            <w:tcBorders>
              <w:top w:val="single" w:sz="4" w:space="0" w:color="auto"/>
              <w:left w:val="nil"/>
              <w:bottom w:val="nil"/>
              <w:right w:val="nil"/>
            </w:tcBorders>
            <w:shd w:val="clear" w:color="auto" w:fill="auto"/>
            <w:vAlign w:val="center"/>
            <w:hideMark/>
          </w:tcPr>
          <w:p w14:paraId="146035DE" w14:textId="77777777" w:rsidR="00D73008" w:rsidRPr="002028CC" w:rsidRDefault="00D73008" w:rsidP="00387AE5">
            <w:pPr>
              <w:jc w:val="center"/>
              <w:rPr>
                <w:b/>
                <w:bCs/>
                <w:color w:val="000000"/>
                <w:sz w:val="18"/>
                <w:szCs w:val="18"/>
              </w:rPr>
            </w:pPr>
            <w:r w:rsidRPr="002028CC">
              <w:rPr>
                <w:b/>
                <w:bCs/>
                <w:color w:val="000000"/>
                <w:sz w:val="18"/>
                <w:szCs w:val="18"/>
              </w:rPr>
              <w:t>2019</w:t>
            </w:r>
          </w:p>
        </w:tc>
        <w:tc>
          <w:tcPr>
            <w:tcW w:w="921" w:type="dxa"/>
            <w:tcBorders>
              <w:top w:val="single" w:sz="4" w:space="0" w:color="auto"/>
              <w:left w:val="nil"/>
              <w:bottom w:val="nil"/>
              <w:right w:val="nil"/>
            </w:tcBorders>
            <w:shd w:val="clear" w:color="auto" w:fill="auto"/>
            <w:vAlign w:val="center"/>
            <w:hideMark/>
          </w:tcPr>
          <w:p w14:paraId="49FF3FB8" w14:textId="77777777" w:rsidR="00D73008" w:rsidRPr="002028CC" w:rsidRDefault="00D73008" w:rsidP="00387AE5">
            <w:pPr>
              <w:jc w:val="center"/>
              <w:rPr>
                <w:b/>
                <w:bCs/>
                <w:color w:val="000000"/>
                <w:sz w:val="18"/>
                <w:szCs w:val="18"/>
              </w:rPr>
            </w:pPr>
            <w:r w:rsidRPr="002028CC">
              <w:rPr>
                <w:b/>
                <w:bCs/>
                <w:color w:val="000000"/>
                <w:sz w:val="18"/>
                <w:szCs w:val="18"/>
              </w:rPr>
              <w:t>2020</w:t>
            </w:r>
          </w:p>
        </w:tc>
        <w:tc>
          <w:tcPr>
            <w:tcW w:w="921" w:type="dxa"/>
            <w:tcBorders>
              <w:top w:val="single" w:sz="4" w:space="0" w:color="auto"/>
              <w:left w:val="nil"/>
              <w:bottom w:val="nil"/>
              <w:right w:val="nil"/>
            </w:tcBorders>
            <w:shd w:val="clear" w:color="auto" w:fill="auto"/>
            <w:vAlign w:val="center"/>
            <w:hideMark/>
          </w:tcPr>
          <w:p w14:paraId="603C46EA" w14:textId="77777777" w:rsidR="00D73008" w:rsidRPr="002028CC" w:rsidRDefault="00D73008" w:rsidP="00387AE5">
            <w:pPr>
              <w:jc w:val="center"/>
              <w:rPr>
                <w:b/>
                <w:bCs/>
                <w:color w:val="000000"/>
                <w:sz w:val="18"/>
                <w:szCs w:val="18"/>
              </w:rPr>
            </w:pPr>
            <w:r w:rsidRPr="002028CC">
              <w:rPr>
                <w:b/>
                <w:bCs/>
                <w:color w:val="000000"/>
                <w:sz w:val="18"/>
                <w:szCs w:val="18"/>
              </w:rPr>
              <w:t>2021</w:t>
            </w:r>
          </w:p>
        </w:tc>
        <w:tc>
          <w:tcPr>
            <w:tcW w:w="923" w:type="dxa"/>
            <w:tcBorders>
              <w:top w:val="single" w:sz="4" w:space="0" w:color="auto"/>
              <w:left w:val="nil"/>
              <w:bottom w:val="nil"/>
              <w:right w:val="nil"/>
            </w:tcBorders>
            <w:shd w:val="clear" w:color="auto" w:fill="auto"/>
            <w:vAlign w:val="center"/>
            <w:hideMark/>
          </w:tcPr>
          <w:p w14:paraId="03796D62" w14:textId="77777777" w:rsidR="00D73008" w:rsidRPr="002028CC" w:rsidRDefault="00D73008" w:rsidP="00387AE5">
            <w:pPr>
              <w:jc w:val="center"/>
              <w:rPr>
                <w:b/>
                <w:bCs/>
                <w:color w:val="000000"/>
                <w:sz w:val="18"/>
                <w:szCs w:val="18"/>
              </w:rPr>
            </w:pPr>
            <w:r w:rsidRPr="002028CC">
              <w:rPr>
                <w:b/>
                <w:bCs/>
                <w:color w:val="000000"/>
                <w:sz w:val="18"/>
                <w:szCs w:val="18"/>
              </w:rPr>
              <w:t>2022</w:t>
            </w:r>
          </w:p>
        </w:tc>
      </w:tr>
      <w:tr w:rsidR="00D73008" w:rsidRPr="00B21C97" w14:paraId="2A18CE4E" w14:textId="77777777" w:rsidTr="00387AE5">
        <w:trPr>
          <w:trHeight w:val="283"/>
        </w:trPr>
        <w:tc>
          <w:tcPr>
            <w:tcW w:w="2494" w:type="dxa"/>
            <w:vMerge/>
            <w:tcBorders>
              <w:top w:val="single" w:sz="8" w:space="0" w:color="000000"/>
              <w:left w:val="nil"/>
              <w:bottom w:val="single" w:sz="6" w:space="0" w:color="auto"/>
              <w:right w:val="nil"/>
            </w:tcBorders>
            <w:vAlign w:val="center"/>
            <w:hideMark/>
          </w:tcPr>
          <w:p w14:paraId="34F7DA4C" w14:textId="77777777" w:rsidR="00D73008" w:rsidRPr="002028CC" w:rsidRDefault="00D73008" w:rsidP="00387AE5">
            <w:pPr>
              <w:rPr>
                <w:rFonts w:cs="Times New Roman"/>
                <w:color w:val="000000"/>
                <w:sz w:val="18"/>
                <w:szCs w:val="18"/>
              </w:rPr>
            </w:pPr>
          </w:p>
        </w:tc>
        <w:tc>
          <w:tcPr>
            <w:tcW w:w="921" w:type="dxa"/>
            <w:vMerge/>
            <w:tcBorders>
              <w:top w:val="single" w:sz="8" w:space="0" w:color="000000"/>
              <w:left w:val="nil"/>
              <w:bottom w:val="single" w:sz="6" w:space="0" w:color="auto"/>
              <w:right w:val="nil"/>
            </w:tcBorders>
            <w:vAlign w:val="center"/>
            <w:hideMark/>
          </w:tcPr>
          <w:p w14:paraId="237E5766" w14:textId="77777777" w:rsidR="00D73008" w:rsidRPr="002028CC" w:rsidRDefault="00D73008" w:rsidP="00387AE5">
            <w:pPr>
              <w:rPr>
                <w:rFonts w:cs="Times New Roman"/>
                <w:color w:val="000000"/>
                <w:sz w:val="18"/>
                <w:szCs w:val="18"/>
              </w:rPr>
            </w:pPr>
          </w:p>
        </w:tc>
        <w:tc>
          <w:tcPr>
            <w:tcW w:w="921" w:type="dxa"/>
            <w:tcBorders>
              <w:top w:val="nil"/>
              <w:left w:val="nil"/>
              <w:bottom w:val="single" w:sz="6" w:space="0" w:color="auto"/>
              <w:right w:val="nil"/>
            </w:tcBorders>
            <w:shd w:val="clear" w:color="auto" w:fill="auto"/>
            <w:noWrap/>
            <w:vAlign w:val="bottom"/>
            <w:hideMark/>
          </w:tcPr>
          <w:p w14:paraId="40EBA9F7" w14:textId="77777777" w:rsidR="00D73008" w:rsidRPr="002028CC" w:rsidRDefault="00D73008" w:rsidP="00387AE5">
            <w:pPr>
              <w:jc w:val="center"/>
              <w:rPr>
                <w:color w:val="000000"/>
                <w:sz w:val="18"/>
                <w:szCs w:val="18"/>
              </w:rPr>
            </w:pPr>
            <w:r w:rsidRPr="002028CC">
              <w:rPr>
                <w:color w:val="000000"/>
                <w:sz w:val="18"/>
                <w:szCs w:val="18"/>
              </w:rPr>
              <w:t>Skutočnosť</w:t>
            </w:r>
          </w:p>
        </w:tc>
        <w:tc>
          <w:tcPr>
            <w:tcW w:w="921" w:type="dxa"/>
            <w:tcBorders>
              <w:top w:val="nil"/>
              <w:left w:val="nil"/>
              <w:bottom w:val="single" w:sz="6" w:space="0" w:color="auto"/>
              <w:right w:val="nil"/>
            </w:tcBorders>
            <w:shd w:val="clear" w:color="auto" w:fill="auto"/>
            <w:vAlign w:val="bottom"/>
            <w:hideMark/>
          </w:tcPr>
          <w:p w14:paraId="2BE42E44" w14:textId="77777777" w:rsidR="00D73008" w:rsidRPr="002028CC" w:rsidRDefault="00D73008" w:rsidP="00387AE5">
            <w:pPr>
              <w:jc w:val="center"/>
              <w:rPr>
                <w:color w:val="000000"/>
                <w:sz w:val="18"/>
                <w:szCs w:val="18"/>
              </w:rPr>
            </w:pPr>
            <w:r w:rsidRPr="002028CC">
              <w:rPr>
                <w:color w:val="000000"/>
                <w:sz w:val="18"/>
                <w:szCs w:val="18"/>
              </w:rPr>
              <w:t>miera rastu</w:t>
            </w:r>
          </w:p>
        </w:tc>
        <w:tc>
          <w:tcPr>
            <w:tcW w:w="921" w:type="dxa"/>
            <w:tcBorders>
              <w:top w:val="nil"/>
              <w:left w:val="nil"/>
              <w:bottom w:val="single" w:sz="6" w:space="0" w:color="auto"/>
              <w:right w:val="nil"/>
            </w:tcBorders>
            <w:shd w:val="clear" w:color="auto" w:fill="auto"/>
            <w:vAlign w:val="bottom"/>
            <w:hideMark/>
          </w:tcPr>
          <w:p w14:paraId="6BCFAFC2" w14:textId="77777777" w:rsidR="00D73008" w:rsidRPr="002028CC" w:rsidRDefault="00D73008" w:rsidP="00387AE5">
            <w:pPr>
              <w:jc w:val="center"/>
              <w:rPr>
                <w:color w:val="000000"/>
                <w:sz w:val="18"/>
                <w:szCs w:val="18"/>
              </w:rPr>
            </w:pPr>
            <w:r w:rsidRPr="002028CC">
              <w:rPr>
                <w:color w:val="000000"/>
                <w:sz w:val="18"/>
                <w:szCs w:val="18"/>
              </w:rPr>
              <w:t>miera rastu</w:t>
            </w:r>
          </w:p>
        </w:tc>
        <w:tc>
          <w:tcPr>
            <w:tcW w:w="921" w:type="dxa"/>
            <w:tcBorders>
              <w:top w:val="nil"/>
              <w:left w:val="nil"/>
              <w:bottom w:val="single" w:sz="6" w:space="0" w:color="auto"/>
              <w:right w:val="nil"/>
            </w:tcBorders>
            <w:shd w:val="clear" w:color="auto" w:fill="auto"/>
            <w:vAlign w:val="bottom"/>
            <w:hideMark/>
          </w:tcPr>
          <w:p w14:paraId="19968324" w14:textId="77777777" w:rsidR="00D73008" w:rsidRPr="002028CC" w:rsidRDefault="00D73008" w:rsidP="00387AE5">
            <w:pPr>
              <w:jc w:val="center"/>
              <w:rPr>
                <w:color w:val="000000"/>
                <w:sz w:val="18"/>
                <w:szCs w:val="18"/>
              </w:rPr>
            </w:pPr>
            <w:r w:rsidRPr="002028CC">
              <w:rPr>
                <w:color w:val="000000"/>
                <w:sz w:val="18"/>
                <w:szCs w:val="18"/>
              </w:rPr>
              <w:t>miera rastu</w:t>
            </w:r>
          </w:p>
        </w:tc>
        <w:tc>
          <w:tcPr>
            <w:tcW w:w="921" w:type="dxa"/>
            <w:tcBorders>
              <w:top w:val="nil"/>
              <w:left w:val="nil"/>
              <w:bottom w:val="single" w:sz="6" w:space="0" w:color="auto"/>
              <w:right w:val="nil"/>
            </w:tcBorders>
            <w:shd w:val="clear" w:color="auto" w:fill="auto"/>
            <w:vAlign w:val="bottom"/>
            <w:hideMark/>
          </w:tcPr>
          <w:p w14:paraId="3E31B1A7" w14:textId="77777777" w:rsidR="00D73008" w:rsidRPr="002028CC" w:rsidRDefault="00D73008" w:rsidP="00387AE5">
            <w:pPr>
              <w:jc w:val="center"/>
              <w:rPr>
                <w:color w:val="000000"/>
                <w:sz w:val="18"/>
                <w:szCs w:val="18"/>
              </w:rPr>
            </w:pPr>
            <w:r w:rsidRPr="002028CC">
              <w:rPr>
                <w:color w:val="000000"/>
                <w:sz w:val="18"/>
                <w:szCs w:val="18"/>
              </w:rPr>
              <w:t>miera rastu</w:t>
            </w:r>
          </w:p>
        </w:tc>
        <w:tc>
          <w:tcPr>
            <w:tcW w:w="923" w:type="dxa"/>
            <w:tcBorders>
              <w:top w:val="nil"/>
              <w:left w:val="nil"/>
              <w:bottom w:val="single" w:sz="6" w:space="0" w:color="auto"/>
              <w:right w:val="nil"/>
            </w:tcBorders>
            <w:shd w:val="clear" w:color="auto" w:fill="auto"/>
            <w:vAlign w:val="bottom"/>
            <w:hideMark/>
          </w:tcPr>
          <w:p w14:paraId="137928A4" w14:textId="77777777" w:rsidR="00D73008" w:rsidRPr="002028CC" w:rsidRDefault="00D73008" w:rsidP="00387AE5">
            <w:pPr>
              <w:jc w:val="center"/>
              <w:rPr>
                <w:color w:val="000000"/>
                <w:sz w:val="18"/>
                <w:szCs w:val="18"/>
              </w:rPr>
            </w:pPr>
            <w:r w:rsidRPr="002028CC">
              <w:rPr>
                <w:color w:val="000000"/>
                <w:sz w:val="18"/>
                <w:szCs w:val="18"/>
              </w:rPr>
              <w:t>miera rastu</w:t>
            </w:r>
          </w:p>
        </w:tc>
      </w:tr>
      <w:tr w:rsidR="00D73008" w:rsidRPr="00B21C97" w14:paraId="5EAFC1C2" w14:textId="77777777" w:rsidTr="00387AE5">
        <w:trPr>
          <w:trHeight w:val="283"/>
        </w:trPr>
        <w:tc>
          <w:tcPr>
            <w:tcW w:w="2494" w:type="dxa"/>
            <w:tcBorders>
              <w:top w:val="single" w:sz="6" w:space="0" w:color="auto"/>
              <w:left w:val="nil"/>
              <w:bottom w:val="nil"/>
              <w:right w:val="nil"/>
            </w:tcBorders>
            <w:shd w:val="clear" w:color="auto" w:fill="auto"/>
            <w:vAlign w:val="center"/>
            <w:hideMark/>
          </w:tcPr>
          <w:p w14:paraId="14AF5F0E" w14:textId="77777777" w:rsidR="00D73008" w:rsidRPr="002028CC" w:rsidRDefault="00D73008" w:rsidP="00387AE5">
            <w:pPr>
              <w:rPr>
                <w:rFonts w:cs="Times New Roman"/>
                <w:color w:val="000000"/>
                <w:sz w:val="18"/>
                <w:szCs w:val="18"/>
              </w:rPr>
            </w:pPr>
            <w:r w:rsidRPr="002028CC">
              <w:rPr>
                <w:rFonts w:cs="Times New Roman"/>
                <w:color w:val="000000"/>
                <w:sz w:val="18"/>
                <w:szCs w:val="18"/>
              </w:rPr>
              <w:t>1. Deflátor HDP</w:t>
            </w:r>
          </w:p>
        </w:tc>
        <w:tc>
          <w:tcPr>
            <w:tcW w:w="921" w:type="dxa"/>
            <w:tcBorders>
              <w:top w:val="single" w:sz="6" w:space="0" w:color="auto"/>
              <w:left w:val="nil"/>
              <w:bottom w:val="nil"/>
              <w:right w:val="nil"/>
            </w:tcBorders>
            <w:shd w:val="clear" w:color="auto" w:fill="auto"/>
            <w:vAlign w:val="bottom"/>
            <w:hideMark/>
          </w:tcPr>
          <w:p w14:paraId="26DE51F6" w14:textId="77777777" w:rsidR="00D73008" w:rsidRPr="002028CC" w:rsidRDefault="00D73008" w:rsidP="00387AE5">
            <w:pPr>
              <w:rPr>
                <w:rFonts w:cs="Times New Roman"/>
                <w:color w:val="000000"/>
                <w:sz w:val="18"/>
                <w:szCs w:val="18"/>
              </w:rPr>
            </w:pPr>
          </w:p>
        </w:tc>
        <w:tc>
          <w:tcPr>
            <w:tcW w:w="921" w:type="dxa"/>
            <w:tcBorders>
              <w:top w:val="nil"/>
              <w:left w:val="nil"/>
              <w:bottom w:val="nil"/>
              <w:right w:val="nil"/>
            </w:tcBorders>
            <w:shd w:val="clear" w:color="auto" w:fill="auto"/>
            <w:vAlign w:val="center"/>
            <w:hideMark/>
          </w:tcPr>
          <w:p w14:paraId="39FB14D9" w14:textId="77777777" w:rsidR="00D73008" w:rsidRPr="00F26E77" w:rsidRDefault="00D73008" w:rsidP="00387AE5">
            <w:pPr>
              <w:jc w:val="center"/>
              <w:rPr>
                <w:color w:val="000000"/>
                <w:sz w:val="18"/>
                <w:szCs w:val="18"/>
              </w:rPr>
            </w:pPr>
            <w:r w:rsidRPr="00F26E77">
              <w:rPr>
                <w:sz w:val="18"/>
                <w:szCs w:val="18"/>
              </w:rPr>
              <w:t>1,1</w:t>
            </w:r>
          </w:p>
        </w:tc>
        <w:tc>
          <w:tcPr>
            <w:tcW w:w="921" w:type="dxa"/>
            <w:tcBorders>
              <w:top w:val="nil"/>
              <w:left w:val="nil"/>
              <w:bottom w:val="nil"/>
              <w:right w:val="nil"/>
            </w:tcBorders>
            <w:shd w:val="clear" w:color="auto" w:fill="auto"/>
            <w:noWrap/>
            <w:vAlign w:val="center"/>
            <w:hideMark/>
          </w:tcPr>
          <w:p w14:paraId="705B916F" w14:textId="77777777" w:rsidR="00D73008" w:rsidRPr="00F26E77" w:rsidRDefault="00D73008" w:rsidP="00387AE5">
            <w:pPr>
              <w:jc w:val="center"/>
              <w:rPr>
                <w:color w:val="000000"/>
                <w:sz w:val="18"/>
                <w:szCs w:val="18"/>
              </w:rPr>
            </w:pPr>
            <w:r w:rsidRPr="00F26E77">
              <w:rPr>
                <w:sz w:val="18"/>
                <w:szCs w:val="18"/>
              </w:rPr>
              <w:t>2,1</w:t>
            </w:r>
          </w:p>
        </w:tc>
        <w:tc>
          <w:tcPr>
            <w:tcW w:w="921" w:type="dxa"/>
            <w:tcBorders>
              <w:top w:val="nil"/>
              <w:left w:val="nil"/>
              <w:bottom w:val="nil"/>
              <w:right w:val="nil"/>
            </w:tcBorders>
            <w:shd w:val="clear" w:color="auto" w:fill="auto"/>
            <w:noWrap/>
            <w:vAlign w:val="center"/>
            <w:hideMark/>
          </w:tcPr>
          <w:p w14:paraId="03E74FE8" w14:textId="77777777" w:rsidR="00D73008" w:rsidRPr="00F26E77" w:rsidRDefault="00D73008" w:rsidP="00387AE5">
            <w:pPr>
              <w:jc w:val="center"/>
              <w:rPr>
                <w:color w:val="000000"/>
                <w:sz w:val="18"/>
                <w:szCs w:val="18"/>
              </w:rPr>
            </w:pPr>
            <w:r w:rsidRPr="00F26E77">
              <w:rPr>
                <w:sz w:val="18"/>
                <w:szCs w:val="18"/>
              </w:rPr>
              <w:t>2,6</w:t>
            </w:r>
          </w:p>
        </w:tc>
        <w:tc>
          <w:tcPr>
            <w:tcW w:w="921" w:type="dxa"/>
            <w:tcBorders>
              <w:top w:val="nil"/>
              <w:left w:val="nil"/>
              <w:bottom w:val="nil"/>
              <w:right w:val="nil"/>
            </w:tcBorders>
            <w:shd w:val="clear" w:color="auto" w:fill="auto"/>
            <w:noWrap/>
            <w:vAlign w:val="center"/>
            <w:hideMark/>
          </w:tcPr>
          <w:p w14:paraId="5BF11F11" w14:textId="77777777" w:rsidR="00D73008" w:rsidRPr="00F26E77" w:rsidRDefault="00D73008" w:rsidP="00387AE5">
            <w:pPr>
              <w:jc w:val="center"/>
              <w:rPr>
                <w:color w:val="000000"/>
                <w:sz w:val="18"/>
                <w:szCs w:val="18"/>
              </w:rPr>
            </w:pPr>
            <w:r w:rsidRPr="00F26E77">
              <w:rPr>
                <w:sz w:val="18"/>
                <w:szCs w:val="18"/>
              </w:rPr>
              <w:t>2,4</w:t>
            </w:r>
          </w:p>
        </w:tc>
        <w:tc>
          <w:tcPr>
            <w:tcW w:w="921" w:type="dxa"/>
            <w:tcBorders>
              <w:top w:val="nil"/>
              <w:left w:val="nil"/>
              <w:bottom w:val="nil"/>
              <w:right w:val="nil"/>
            </w:tcBorders>
            <w:shd w:val="clear" w:color="auto" w:fill="auto"/>
            <w:noWrap/>
            <w:vAlign w:val="center"/>
            <w:hideMark/>
          </w:tcPr>
          <w:p w14:paraId="4C41BA53" w14:textId="77777777" w:rsidR="00D73008" w:rsidRPr="00F26E77" w:rsidRDefault="00D73008" w:rsidP="00387AE5">
            <w:pPr>
              <w:jc w:val="center"/>
              <w:rPr>
                <w:color w:val="000000"/>
                <w:sz w:val="18"/>
                <w:szCs w:val="18"/>
              </w:rPr>
            </w:pPr>
            <w:r w:rsidRPr="00F26E77">
              <w:rPr>
                <w:sz w:val="18"/>
                <w:szCs w:val="18"/>
              </w:rPr>
              <w:t>2,4</w:t>
            </w:r>
          </w:p>
        </w:tc>
        <w:tc>
          <w:tcPr>
            <w:tcW w:w="923" w:type="dxa"/>
            <w:tcBorders>
              <w:top w:val="nil"/>
              <w:left w:val="nil"/>
              <w:bottom w:val="nil"/>
              <w:right w:val="nil"/>
            </w:tcBorders>
            <w:shd w:val="clear" w:color="auto" w:fill="auto"/>
            <w:noWrap/>
            <w:vAlign w:val="center"/>
            <w:hideMark/>
          </w:tcPr>
          <w:p w14:paraId="1095D241" w14:textId="77777777" w:rsidR="00D73008" w:rsidRPr="00F26E77" w:rsidRDefault="00D73008" w:rsidP="00387AE5">
            <w:pPr>
              <w:jc w:val="center"/>
              <w:rPr>
                <w:color w:val="000000"/>
                <w:sz w:val="18"/>
                <w:szCs w:val="18"/>
              </w:rPr>
            </w:pPr>
            <w:r w:rsidRPr="00F26E77">
              <w:rPr>
                <w:sz w:val="18"/>
                <w:szCs w:val="18"/>
              </w:rPr>
              <w:t>2,4</w:t>
            </w:r>
          </w:p>
        </w:tc>
      </w:tr>
      <w:tr w:rsidR="00D73008" w:rsidRPr="00B21C97" w14:paraId="32A96D38" w14:textId="77777777" w:rsidTr="00387AE5">
        <w:trPr>
          <w:trHeight w:val="283"/>
        </w:trPr>
        <w:tc>
          <w:tcPr>
            <w:tcW w:w="2494" w:type="dxa"/>
            <w:tcBorders>
              <w:top w:val="nil"/>
              <w:left w:val="nil"/>
              <w:bottom w:val="nil"/>
              <w:right w:val="nil"/>
            </w:tcBorders>
            <w:shd w:val="clear" w:color="auto" w:fill="auto"/>
            <w:vAlign w:val="center"/>
            <w:hideMark/>
          </w:tcPr>
          <w:p w14:paraId="17A90785" w14:textId="77777777" w:rsidR="00D73008" w:rsidRPr="002028CC" w:rsidRDefault="00D73008" w:rsidP="00387AE5">
            <w:pPr>
              <w:rPr>
                <w:rFonts w:cs="Times New Roman"/>
                <w:color w:val="000000"/>
                <w:sz w:val="18"/>
                <w:szCs w:val="18"/>
              </w:rPr>
            </w:pPr>
            <w:r w:rsidRPr="002028CC">
              <w:rPr>
                <w:rFonts w:cs="Times New Roman"/>
                <w:color w:val="000000"/>
                <w:sz w:val="18"/>
                <w:szCs w:val="18"/>
              </w:rPr>
              <w:t>2. Deflátor súkromnej spotreby</w:t>
            </w:r>
          </w:p>
        </w:tc>
        <w:tc>
          <w:tcPr>
            <w:tcW w:w="921" w:type="dxa"/>
            <w:tcBorders>
              <w:top w:val="nil"/>
              <w:left w:val="nil"/>
              <w:bottom w:val="nil"/>
              <w:right w:val="nil"/>
            </w:tcBorders>
            <w:shd w:val="clear" w:color="auto" w:fill="auto"/>
            <w:vAlign w:val="bottom"/>
            <w:hideMark/>
          </w:tcPr>
          <w:p w14:paraId="4A923D33" w14:textId="77777777" w:rsidR="00D73008" w:rsidRPr="002028CC" w:rsidRDefault="00D73008" w:rsidP="00387AE5">
            <w:pPr>
              <w:rPr>
                <w:rFonts w:cs="Times New Roman"/>
                <w:color w:val="000000"/>
                <w:sz w:val="18"/>
                <w:szCs w:val="18"/>
              </w:rPr>
            </w:pPr>
          </w:p>
        </w:tc>
        <w:tc>
          <w:tcPr>
            <w:tcW w:w="921" w:type="dxa"/>
            <w:tcBorders>
              <w:top w:val="nil"/>
              <w:left w:val="nil"/>
              <w:bottom w:val="nil"/>
              <w:right w:val="nil"/>
            </w:tcBorders>
            <w:shd w:val="clear" w:color="auto" w:fill="auto"/>
            <w:vAlign w:val="center"/>
            <w:hideMark/>
          </w:tcPr>
          <w:p w14:paraId="6742BD18" w14:textId="77777777" w:rsidR="00D73008" w:rsidRPr="00F26E77" w:rsidRDefault="00D73008" w:rsidP="00387AE5">
            <w:pPr>
              <w:jc w:val="center"/>
              <w:rPr>
                <w:color w:val="000000"/>
                <w:sz w:val="18"/>
                <w:szCs w:val="18"/>
              </w:rPr>
            </w:pPr>
            <w:r w:rsidRPr="00F26E77">
              <w:rPr>
                <w:sz w:val="18"/>
                <w:szCs w:val="18"/>
              </w:rPr>
              <w:t>1,1</w:t>
            </w:r>
          </w:p>
        </w:tc>
        <w:tc>
          <w:tcPr>
            <w:tcW w:w="921" w:type="dxa"/>
            <w:tcBorders>
              <w:top w:val="nil"/>
              <w:left w:val="nil"/>
              <w:bottom w:val="nil"/>
              <w:right w:val="nil"/>
            </w:tcBorders>
            <w:shd w:val="clear" w:color="auto" w:fill="auto"/>
            <w:noWrap/>
            <w:vAlign w:val="center"/>
            <w:hideMark/>
          </w:tcPr>
          <w:p w14:paraId="065D2D52" w14:textId="77777777" w:rsidR="00D73008" w:rsidRPr="00F26E77" w:rsidRDefault="00D73008" w:rsidP="00387AE5">
            <w:pPr>
              <w:jc w:val="center"/>
              <w:rPr>
                <w:color w:val="000000"/>
                <w:sz w:val="18"/>
                <w:szCs w:val="18"/>
              </w:rPr>
            </w:pPr>
            <w:r w:rsidRPr="00F26E77">
              <w:rPr>
                <w:sz w:val="18"/>
                <w:szCs w:val="18"/>
              </w:rPr>
              <w:t>2,3</w:t>
            </w:r>
          </w:p>
        </w:tc>
        <w:tc>
          <w:tcPr>
            <w:tcW w:w="921" w:type="dxa"/>
            <w:tcBorders>
              <w:top w:val="nil"/>
              <w:left w:val="nil"/>
              <w:bottom w:val="nil"/>
              <w:right w:val="nil"/>
            </w:tcBorders>
            <w:shd w:val="clear" w:color="auto" w:fill="auto"/>
            <w:noWrap/>
            <w:vAlign w:val="center"/>
            <w:hideMark/>
          </w:tcPr>
          <w:p w14:paraId="3FA04FF9" w14:textId="77777777" w:rsidR="00D73008" w:rsidRPr="00F26E77" w:rsidRDefault="00D73008" w:rsidP="00387AE5">
            <w:pPr>
              <w:jc w:val="center"/>
              <w:rPr>
                <w:color w:val="000000"/>
                <w:sz w:val="18"/>
                <w:szCs w:val="18"/>
              </w:rPr>
            </w:pPr>
            <w:r w:rsidRPr="00F26E77">
              <w:rPr>
                <w:sz w:val="18"/>
                <w:szCs w:val="18"/>
              </w:rPr>
              <w:t>2,6</w:t>
            </w:r>
          </w:p>
        </w:tc>
        <w:tc>
          <w:tcPr>
            <w:tcW w:w="921" w:type="dxa"/>
            <w:tcBorders>
              <w:top w:val="nil"/>
              <w:left w:val="nil"/>
              <w:bottom w:val="nil"/>
              <w:right w:val="nil"/>
            </w:tcBorders>
            <w:shd w:val="clear" w:color="auto" w:fill="auto"/>
            <w:noWrap/>
            <w:vAlign w:val="center"/>
            <w:hideMark/>
          </w:tcPr>
          <w:p w14:paraId="0428CB3E" w14:textId="77777777" w:rsidR="00D73008" w:rsidRPr="00F26E77" w:rsidRDefault="00D73008" w:rsidP="00387AE5">
            <w:pPr>
              <w:jc w:val="center"/>
              <w:rPr>
                <w:color w:val="000000"/>
                <w:sz w:val="18"/>
                <w:szCs w:val="18"/>
              </w:rPr>
            </w:pPr>
            <w:r w:rsidRPr="00F26E77">
              <w:rPr>
                <w:sz w:val="18"/>
                <w:szCs w:val="18"/>
              </w:rPr>
              <w:t>2,4</w:t>
            </w:r>
          </w:p>
        </w:tc>
        <w:tc>
          <w:tcPr>
            <w:tcW w:w="921" w:type="dxa"/>
            <w:tcBorders>
              <w:top w:val="nil"/>
              <w:left w:val="nil"/>
              <w:bottom w:val="nil"/>
              <w:right w:val="nil"/>
            </w:tcBorders>
            <w:shd w:val="clear" w:color="auto" w:fill="auto"/>
            <w:noWrap/>
            <w:vAlign w:val="center"/>
            <w:hideMark/>
          </w:tcPr>
          <w:p w14:paraId="2C09BD73" w14:textId="77777777" w:rsidR="00D73008" w:rsidRPr="00F26E77" w:rsidRDefault="00D73008" w:rsidP="00387AE5">
            <w:pPr>
              <w:jc w:val="center"/>
              <w:rPr>
                <w:color w:val="000000"/>
                <w:sz w:val="18"/>
                <w:szCs w:val="18"/>
              </w:rPr>
            </w:pPr>
            <w:r w:rsidRPr="00F26E77">
              <w:rPr>
                <w:sz w:val="18"/>
                <w:szCs w:val="18"/>
              </w:rPr>
              <w:t>2,4</w:t>
            </w:r>
          </w:p>
        </w:tc>
        <w:tc>
          <w:tcPr>
            <w:tcW w:w="923" w:type="dxa"/>
            <w:tcBorders>
              <w:top w:val="nil"/>
              <w:left w:val="nil"/>
              <w:bottom w:val="nil"/>
              <w:right w:val="nil"/>
            </w:tcBorders>
            <w:shd w:val="clear" w:color="auto" w:fill="auto"/>
            <w:noWrap/>
            <w:vAlign w:val="center"/>
            <w:hideMark/>
          </w:tcPr>
          <w:p w14:paraId="0CB5B9E6" w14:textId="77777777" w:rsidR="00D73008" w:rsidRPr="00F26E77" w:rsidRDefault="00D73008" w:rsidP="00387AE5">
            <w:pPr>
              <w:jc w:val="center"/>
              <w:rPr>
                <w:color w:val="000000"/>
                <w:sz w:val="18"/>
                <w:szCs w:val="18"/>
              </w:rPr>
            </w:pPr>
            <w:r w:rsidRPr="00F26E77">
              <w:rPr>
                <w:sz w:val="18"/>
                <w:szCs w:val="18"/>
              </w:rPr>
              <w:t>2,4</w:t>
            </w:r>
          </w:p>
        </w:tc>
      </w:tr>
      <w:tr w:rsidR="00D73008" w:rsidRPr="00B21C97" w14:paraId="1B38B3D4" w14:textId="77777777" w:rsidTr="00387AE5">
        <w:trPr>
          <w:trHeight w:val="283"/>
        </w:trPr>
        <w:tc>
          <w:tcPr>
            <w:tcW w:w="2494" w:type="dxa"/>
            <w:tcBorders>
              <w:top w:val="nil"/>
              <w:left w:val="nil"/>
              <w:bottom w:val="nil"/>
              <w:right w:val="nil"/>
            </w:tcBorders>
            <w:shd w:val="clear" w:color="auto" w:fill="auto"/>
            <w:noWrap/>
            <w:vAlign w:val="center"/>
            <w:hideMark/>
          </w:tcPr>
          <w:p w14:paraId="28CFCDD2" w14:textId="77777777" w:rsidR="00D73008" w:rsidRPr="002028CC" w:rsidRDefault="00D73008" w:rsidP="00387AE5">
            <w:pPr>
              <w:rPr>
                <w:rFonts w:cs="Times New Roman"/>
                <w:color w:val="000000"/>
                <w:sz w:val="18"/>
                <w:szCs w:val="18"/>
              </w:rPr>
            </w:pPr>
            <w:r w:rsidRPr="002028CC">
              <w:rPr>
                <w:rFonts w:cs="Times New Roman"/>
                <w:color w:val="000000"/>
                <w:sz w:val="18"/>
                <w:szCs w:val="18"/>
              </w:rPr>
              <w:t xml:space="preserve">3. HICP  </w:t>
            </w:r>
          </w:p>
        </w:tc>
        <w:tc>
          <w:tcPr>
            <w:tcW w:w="921" w:type="dxa"/>
            <w:tcBorders>
              <w:top w:val="nil"/>
              <w:left w:val="nil"/>
              <w:bottom w:val="nil"/>
              <w:right w:val="nil"/>
            </w:tcBorders>
            <w:shd w:val="clear" w:color="auto" w:fill="auto"/>
            <w:vAlign w:val="bottom"/>
            <w:hideMark/>
          </w:tcPr>
          <w:p w14:paraId="4717A7E9" w14:textId="77777777" w:rsidR="00D73008" w:rsidRPr="002028CC" w:rsidRDefault="00D73008" w:rsidP="00387AE5">
            <w:pPr>
              <w:rPr>
                <w:rFonts w:cs="Times New Roman"/>
                <w:color w:val="000000"/>
                <w:sz w:val="18"/>
                <w:szCs w:val="18"/>
              </w:rPr>
            </w:pPr>
          </w:p>
        </w:tc>
        <w:tc>
          <w:tcPr>
            <w:tcW w:w="921" w:type="dxa"/>
            <w:tcBorders>
              <w:top w:val="nil"/>
              <w:left w:val="nil"/>
              <w:bottom w:val="nil"/>
              <w:right w:val="nil"/>
            </w:tcBorders>
            <w:shd w:val="clear" w:color="auto" w:fill="auto"/>
            <w:vAlign w:val="center"/>
            <w:hideMark/>
          </w:tcPr>
          <w:p w14:paraId="71917F71" w14:textId="77777777" w:rsidR="00D73008" w:rsidRPr="00F26E77" w:rsidRDefault="00D73008" w:rsidP="00387AE5">
            <w:pPr>
              <w:jc w:val="center"/>
              <w:rPr>
                <w:color w:val="000000"/>
                <w:sz w:val="18"/>
                <w:szCs w:val="18"/>
              </w:rPr>
            </w:pPr>
            <w:r w:rsidRPr="00F26E77">
              <w:rPr>
                <w:sz w:val="18"/>
                <w:szCs w:val="18"/>
              </w:rPr>
              <w:t>2,5</w:t>
            </w:r>
          </w:p>
        </w:tc>
        <w:tc>
          <w:tcPr>
            <w:tcW w:w="921" w:type="dxa"/>
            <w:tcBorders>
              <w:top w:val="nil"/>
              <w:left w:val="nil"/>
              <w:bottom w:val="nil"/>
              <w:right w:val="nil"/>
            </w:tcBorders>
            <w:shd w:val="clear" w:color="auto" w:fill="auto"/>
            <w:vAlign w:val="center"/>
            <w:hideMark/>
          </w:tcPr>
          <w:p w14:paraId="75D2FE2B" w14:textId="77777777" w:rsidR="00D73008" w:rsidRPr="00F26E77" w:rsidRDefault="00D73008" w:rsidP="00387AE5">
            <w:pPr>
              <w:jc w:val="center"/>
              <w:rPr>
                <w:color w:val="000000"/>
                <w:sz w:val="18"/>
                <w:szCs w:val="18"/>
              </w:rPr>
            </w:pPr>
            <w:r w:rsidRPr="00F26E77">
              <w:rPr>
                <w:sz w:val="18"/>
                <w:szCs w:val="18"/>
              </w:rPr>
              <w:t>2,5</w:t>
            </w:r>
          </w:p>
        </w:tc>
        <w:tc>
          <w:tcPr>
            <w:tcW w:w="921" w:type="dxa"/>
            <w:tcBorders>
              <w:top w:val="nil"/>
              <w:left w:val="nil"/>
              <w:bottom w:val="nil"/>
              <w:right w:val="nil"/>
            </w:tcBorders>
            <w:shd w:val="clear" w:color="auto" w:fill="auto"/>
            <w:vAlign w:val="center"/>
            <w:hideMark/>
          </w:tcPr>
          <w:p w14:paraId="3A6DBC05" w14:textId="77777777" w:rsidR="00D73008" w:rsidRPr="00F26E77" w:rsidRDefault="00D73008" w:rsidP="00387AE5">
            <w:pPr>
              <w:jc w:val="center"/>
              <w:rPr>
                <w:color w:val="000000"/>
                <w:sz w:val="18"/>
                <w:szCs w:val="18"/>
              </w:rPr>
            </w:pPr>
            <w:r w:rsidRPr="00F26E77">
              <w:rPr>
                <w:sz w:val="18"/>
                <w:szCs w:val="18"/>
              </w:rPr>
              <w:t>2,6</w:t>
            </w:r>
          </w:p>
        </w:tc>
        <w:tc>
          <w:tcPr>
            <w:tcW w:w="921" w:type="dxa"/>
            <w:tcBorders>
              <w:top w:val="nil"/>
              <w:left w:val="nil"/>
              <w:bottom w:val="nil"/>
              <w:right w:val="nil"/>
            </w:tcBorders>
            <w:shd w:val="clear" w:color="auto" w:fill="auto"/>
            <w:vAlign w:val="center"/>
            <w:hideMark/>
          </w:tcPr>
          <w:p w14:paraId="1ED2E429" w14:textId="77777777" w:rsidR="00D73008" w:rsidRPr="00F26E77" w:rsidRDefault="00D73008" w:rsidP="00387AE5">
            <w:pPr>
              <w:jc w:val="center"/>
              <w:rPr>
                <w:color w:val="000000"/>
                <w:sz w:val="18"/>
                <w:szCs w:val="18"/>
              </w:rPr>
            </w:pPr>
            <w:r w:rsidRPr="00F26E77">
              <w:rPr>
                <w:sz w:val="18"/>
                <w:szCs w:val="18"/>
              </w:rPr>
              <w:t>2,4</w:t>
            </w:r>
          </w:p>
        </w:tc>
        <w:tc>
          <w:tcPr>
            <w:tcW w:w="921" w:type="dxa"/>
            <w:tcBorders>
              <w:top w:val="nil"/>
              <w:left w:val="nil"/>
              <w:bottom w:val="nil"/>
              <w:right w:val="nil"/>
            </w:tcBorders>
            <w:shd w:val="clear" w:color="auto" w:fill="auto"/>
            <w:vAlign w:val="center"/>
            <w:hideMark/>
          </w:tcPr>
          <w:p w14:paraId="1B87B24B" w14:textId="77777777" w:rsidR="00D73008" w:rsidRPr="00F26E77" w:rsidRDefault="00D73008" w:rsidP="00387AE5">
            <w:pPr>
              <w:jc w:val="center"/>
              <w:rPr>
                <w:color w:val="000000"/>
                <w:sz w:val="18"/>
                <w:szCs w:val="18"/>
              </w:rPr>
            </w:pPr>
            <w:r w:rsidRPr="00F26E77">
              <w:rPr>
                <w:sz w:val="18"/>
                <w:szCs w:val="18"/>
              </w:rPr>
              <w:t>2,4</w:t>
            </w:r>
          </w:p>
        </w:tc>
        <w:tc>
          <w:tcPr>
            <w:tcW w:w="923" w:type="dxa"/>
            <w:tcBorders>
              <w:top w:val="nil"/>
              <w:left w:val="nil"/>
              <w:bottom w:val="nil"/>
              <w:right w:val="nil"/>
            </w:tcBorders>
            <w:shd w:val="clear" w:color="auto" w:fill="auto"/>
            <w:vAlign w:val="center"/>
            <w:hideMark/>
          </w:tcPr>
          <w:p w14:paraId="3FCF9FF8" w14:textId="77777777" w:rsidR="00D73008" w:rsidRPr="00F26E77" w:rsidRDefault="00D73008" w:rsidP="00387AE5">
            <w:pPr>
              <w:jc w:val="center"/>
              <w:rPr>
                <w:color w:val="000000"/>
                <w:sz w:val="18"/>
                <w:szCs w:val="18"/>
              </w:rPr>
            </w:pPr>
            <w:r w:rsidRPr="00F26E77">
              <w:rPr>
                <w:sz w:val="18"/>
                <w:szCs w:val="18"/>
              </w:rPr>
              <w:t>2,4</w:t>
            </w:r>
          </w:p>
        </w:tc>
      </w:tr>
      <w:tr w:rsidR="00D73008" w:rsidRPr="00B21C97" w14:paraId="6D89B225" w14:textId="77777777" w:rsidTr="00387AE5">
        <w:trPr>
          <w:trHeight w:val="283"/>
        </w:trPr>
        <w:tc>
          <w:tcPr>
            <w:tcW w:w="2494" w:type="dxa"/>
            <w:tcBorders>
              <w:top w:val="nil"/>
              <w:left w:val="nil"/>
              <w:bottom w:val="nil"/>
              <w:right w:val="nil"/>
            </w:tcBorders>
            <w:shd w:val="clear" w:color="auto" w:fill="auto"/>
            <w:vAlign w:val="center"/>
            <w:hideMark/>
          </w:tcPr>
          <w:p w14:paraId="69579179" w14:textId="77777777" w:rsidR="00D73008" w:rsidRPr="002028CC" w:rsidRDefault="00D73008" w:rsidP="00387AE5">
            <w:pPr>
              <w:rPr>
                <w:rFonts w:cs="Times New Roman"/>
                <w:color w:val="000000"/>
                <w:sz w:val="18"/>
                <w:szCs w:val="18"/>
              </w:rPr>
            </w:pPr>
            <w:r w:rsidRPr="002028CC">
              <w:rPr>
                <w:rFonts w:cs="Times New Roman"/>
                <w:color w:val="000000"/>
                <w:sz w:val="18"/>
                <w:szCs w:val="18"/>
              </w:rPr>
              <w:t>4. Deflátor verejnej spotreby</w:t>
            </w:r>
          </w:p>
        </w:tc>
        <w:tc>
          <w:tcPr>
            <w:tcW w:w="921" w:type="dxa"/>
            <w:tcBorders>
              <w:top w:val="nil"/>
              <w:left w:val="nil"/>
              <w:bottom w:val="nil"/>
              <w:right w:val="nil"/>
            </w:tcBorders>
            <w:shd w:val="clear" w:color="auto" w:fill="auto"/>
            <w:vAlign w:val="bottom"/>
            <w:hideMark/>
          </w:tcPr>
          <w:p w14:paraId="5F74B768" w14:textId="77777777" w:rsidR="00D73008" w:rsidRPr="002028CC" w:rsidRDefault="00D73008" w:rsidP="00387AE5">
            <w:pPr>
              <w:rPr>
                <w:rFonts w:cs="Times New Roman"/>
                <w:color w:val="000000"/>
                <w:sz w:val="18"/>
                <w:szCs w:val="18"/>
              </w:rPr>
            </w:pPr>
          </w:p>
        </w:tc>
        <w:tc>
          <w:tcPr>
            <w:tcW w:w="921" w:type="dxa"/>
            <w:tcBorders>
              <w:top w:val="nil"/>
              <w:left w:val="nil"/>
              <w:bottom w:val="nil"/>
              <w:right w:val="nil"/>
            </w:tcBorders>
            <w:shd w:val="clear" w:color="auto" w:fill="auto"/>
            <w:vAlign w:val="center"/>
            <w:hideMark/>
          </w:tcPr>
          <w:p w14:paraId="1BACF291" w14:textId="77777777" w:rsidR="00D73008" w:rsidRPr="00F26E77" w:rsidRDefault="00D73008" w:rsidP="00387AE5">
            <w:pPr>
              <w:jc w:val="center"/>
              <w:rPr>
                <w:color w:val="000000"/>
                <w:sz w:val="18"/>
                <w:szCs w:val="18"/>
              </w:rPr>
            </w:pPr>
            <w:r w:rsidRPr="00F26E77">
              <w:rPr>
                <w:sz w:val="18"/>
                <w:szCs w:val="18"/>
              </w:rPr>
              <w:t>1,2</w:t>
            </w:r>
          </w:p>
        </w:tc>
        <w:tc>
          <w:tcPr>
            <w:tcW w:w="921" w:type="dxa"/>
            <w:tcBorders>
              <w:top w:val="nil"/>
              <w:left w:val="nil"/>
              <w:bottom w:val="nil"/>
              <w:right w:val="nil"/>
            </w:tcBorders>
            <w:shd w:val="clear" w:color="auto" w:fill="auto"/>
            <w:noWrap/>
            <w:vAlign w:val="center"/>
            <w:hideMark/>
          </w:tcPr>
          <w:p w14:paraId="54E259B9" w14:textId="77777777" w:rsidR="00D73008" w:rsidRPr="00F26E77" w:rsidRDefault="00D73008" w:rsidP="00387AE5">
            <w:pPr>
              <w:jc w:val="center"/>
              <w:rPr>
                <w:color w:val="000000"/>
                <w:sz w:val="18"/>
                <w:szCs w:val="18"/>
              </w:rPr>
            </w:pPr>
            <w:r w:rsidRPr="00F26E77">
              <w:rPr>
                <w:sz w:val="18"/>
                <w:szCs w:val="18"/>
              </w:rPr>
              <w:t>4,2</w:t>
            </w:r>
          </w:p>
        </w:tc>
        <w:tc>
          <w:tcPr>
            <w:tcW w:w="921" w:type="dxa"/>
            <w:tcBorders>
              <w:top w:val="nil"/>
              <w:left w:val="nil"/>
              <w:bottom w:val="nil"/>
              <w:right w:val="nil"/>
            </w:tcBorders>
            <w:shd w:val="clear" w:color="auto" w:fill="auto"/>
            <w:noWrap/>
            <w:vAlign w:val="center"/>
            <w:hideMark/>
          </w:tcPr>
          <w:p w14:paraId="0A98FF21" w14:textId="77777777" w:rsidR="00D73008" w:rsidRPr="00F26E77" w:rsidRDefault="00D73008" w:rsidP="00387AE5">
            <w:pPr>
              <w:jc w:val="center"/>
              <w:rPr>
                <w:color w:val="000000"/>
                <w:sz w:val="18"/>
                <w:szCs w:val="18"/>
              </w:rPr>
            </w:pPr>
            <w:r w:rsidRPr="00F26E77">
              <w:rPr>
                <w:sz w:val="18"/>
                <w:szCs w:val="18"/>
              </w:rPr>
              <w:t>4,4</w:t>
            </w:r>
          </w:p>
        </w:tc>
        <w:tc>
          <w:tcPr>
            <w:tcW w:w="921" w:type="dxa"/>
            <w:tcBorders>
              <w:top w:val="nil"/>
              <w:left w:val="nil"/>
              <w:bottom w:val="nil"/>
              <w:right w:val="nil"/>
            </w:tcBorders>
            <w:shd w:val="clear" w:color="auto" w:fill="auto"/>
            <w:noWrap/>
            <w:vAlign w:val="center"/>
            <w:hideMark/>
          </w:tcPr>
          <w:p w14:paraId="2A803E33" w14:textId="77777777" w:rsidR="00D73008" w:rsidRPr="00F26E77" w:rsidRDefault="00D73008" w:rsidP="00387AE5">
            <w:pPr>
              <w:jc w:val="center"/>
              <w:rPr>
                <w:color w:val="000000"/>
                <w:sz w:val="18"/>
                <w:szCs w:val="18"/>
              </w:rPr>
            </w:pPr>
            <w:r w:rsidRPr="00F26E77">
              <w:rPr>
                <w:sz w:val="18"/>
                <w:szCs w:val="18"/>
              </w:rPr>
              <w:t>4,2</w:t>
            </w:r>
          </w:p>
        </w:tc>
        <w:tc>
          <w:tcPr>
            <w:tcW w:w="921" w:type="dxa"/>
            <w:tcBorders>
              <w:top w:val="nil"/>
              <w:left w:val="nil"/>
              <w:bottom w:val="nil"/>
              <w:right w:val="nil"/>
            </w:tcBorders>
            <w:shd w:val="clear" w:color="auto" w:fill="auto"/>
            <w:noWrap/>
            <w:vAlign w:val="center"/>
            <w:hideMark/>
          </w:tcPr>
          <w:p w14:paraId="14DF009F" w14:textId="77777777" w:rsidR="00D73008" w:rsidRPr="00F26E77" w:rsidRDefault="00D73008" w:rsidP="00387AE5">
            <w:pPr>
              <w:jc w:val="center"/>
              <w:rPr>
                <w:color w:val="000000"/>
                <w:sz w:val="18"/>
                <w:szCs w:val="18"/>
              </w:rPr>
            </w:pPr>
            <w:r w:rsidRPr="00F26E77">
              <w:rPr>
                <w:sz w:val="18"/>
                <w:szCs w:val="18"/>
              </w:rPr>
              <w:t>2,9</w:t>
            </w:r>
          </w:p>
        </w:tc>
        <w:tc>
          <w:tcPr>
            <w:tcW w:w="923" w:type="dxa"/>
            <w:tcBorders>
              <w:top w:val="nil"/>
              <w:left w:val="nil"/>
              <w:bottom w:val="nil"/>
              <w:right w:val="nil"/>
            </w:tcBorders>
            <w:shd w:val="clear" w:color="auto" w:fill="auto"/>
            <w:noWrap/>
            <w:vAlign w:val="center"/>
            <w:hideMark/>
          </w:tcPr>
          <w:p w14:paraId="4A27A249" w14:textId="77777777" w:rsidR="00D73008" w:rsidRPr="00F26E77" w:rsidRDefault="00D73008" w:rsidP="00387AE5">
            <w:pPr>
              <w:jc w:val="center"/>
              <w:rPr>
                <w:color w:val="000000"/>
                <w:sz w:val="18"/>
                <w:szCs w:val="18"/>
              </w:rPr>
            </w:pPr>
            <w:r w:rsidRPr="00F26E77">
              <w:rPr>
                <w:sz w:val="18"/>
                <w:szCs w:val="18"/>
              </w:rPr>
              <w:t>2,7</w:t>
            </w:r>
          </w:p>
        </w:tc>
      </w:tr>
      <w:tr w:rsidR="00D73008" w:rsidRPr="00B21C97" w14:paraId="7F41D0AD" w14:textId="77777777" w:rsidTr="00387AE5">
        <w:trPr>
          <w:trHeight w:val="283"/>
        </w:trPr>
        <w:tc>
          <w:tcPr>
            <w:tcW w:w="2494" w:type="dxa"/>
            <w:tcBorders>
              <w:top w:val="nil"/>
              <w:left w:val="nil"/>
              <w:bottom w:val="nil"/>
              <w:right w:val="nil"/>
            </w:tcBorders>
            <w:shd w:val="clear" w:color="auto" w:fill="auto"/>
            <w:vAlign w:val="center"/>
            <w:hideMark/>
          </w:tcPr>
          <w:p w14:paraId="5684174C" w14:textId="77777777" w:rsidR="00D73008" w:rsidRPr="002028CC" w:rsidRDefault="00D73008" w:rsidP="00387AE5">
            <w:pPr>
              <w:rPr>
                <w:rFonts w:cs="Times New Roman"/>
                <w:color w:val="000000"/>
                <w:sz w:val="18"/>
                <w:szCs w:val="18"/>
              </w:rPr>
            </w:pPr>
            <w:r w:rsidRPr="002028CC">
              <w:rPr>
                <w:rFonts w:cs="Times New Roman"/>
                <w:color w:val="000000"/>
                <w:sz w:val="18"/>
                <w:szCs w:val="18"/>
              </w:rPr>
              <w:t>5. Deflátor investícií</w:t>
            </w:r>
          </w:p>
        </w:tc>
        <w:tc>
          <w:tcPr>
            <w:tcW w:w="921" w:type="dxa"/>
            <w:tcBorders>
              <w:top w:val="nil"/>
              <w:left w:val="nil"/>
              <w:bottom w:val="nil"/>
              <w:right w:val="nil"/>
            </w:tcBorders>
            <w:shd w:val="clear" w:color="auto" w:fill="auto"/>
            <w:vAlign w:val="bottom"/>
            <w:hideMark/>
          </w:tcPr>
          <w:p w14:paraId="247EA124" w14:textId="77777777" w:rsidR="00D73008" w:rsidRPr="002028CC" w:rsidRDefault="00D73008" w:rsidP="00387AE5">
            <w:pPr>
              <w:rPr>
                <w:rFonts w:cs="Times New Roman"/>
                <w:color w:val="000000"/>
                <w:sz w:val="18"/>
                <w:szCs w:val="18"/>
              </w:rPr>
            </w:pPr>
          </w:p>
        </w:tc>
        <w:tc>
          <w:tcPr>
            <w:tcW w:w="921" w:type="dxa"/>
            <w:tcBorders>
              <w:top w:val="nil"/>
              <w:left w:val="nil"/>
              <w:bottom w:val="nil"/>
              <w:right w:val="nil"/>
            </w:tcBorders>
            <w:shd w:val="clear" w:color="auto" w:fill="auto"/>
            <w:vAlign w:val="center"/>
            <w:hideMark/>
          </w:tcPr>
          <w:p w14:paraId="28F8B673" w14:textId="77777777" w:rsidR="00D73008" w:rsidRPr="00F26E77" w:rsidRDefault="00D73008" w:rsidP="00387AE5">
            <w:pPr>
              <w:jc w:val="center"/>
              <w:rPr>
                <w:color w:val="000000"/>
                <w:sz w:val="18"/>
                <w:szCs w:val="18"/>
              </w:rPr>
            </w:pPr>
            <w:r w:rsidRPr="00F26E77">
              <w:rPr>
                <w:sz w:val="18"/>
                <w:szCs w:val="18"/>
              </w:rPr>
              <w:t>1,0</w:t>
            </w:r>
          </w:p>
        </w:tc>
        <w:tc>
          <w:tcPr>
            <w:tcW w:w="921" w:type="dxa"/>
            <w:tcBorders>
              <w:top w:val="nil"/>
              <w:left w:val="nil"/>
              <w:bottom w:val="nil"/>
              <w:right w:val="nil"/>
            </w:tcBorders>
            <w:shd w:val="clear" w:color="auto" w:fill="auto"/>
            <w:noWrap/>
            <w:vAlign w:val="center"/>
            <w:hideMark/>
          </w:tcPr>
          <w:p w14:paraId="687C217B" w14:textId="77777777" w:rsidR="00D73008" w:rsidRPr="00F26E77" w:rsidRDefault="00D73008" w:rsidP="00387AE5">
            <w:pPr>
              <w:jc w:val="center"/>
              <w:rPr>
                <w:color w:val="000000"/>
                <w:sz w:val="18"/>
                <w:szCs w:val="18"/>
              </w:rPr>
            </w:pPr>
            <w:r w:rsidRPr="00F26E77">
              <w:rPr>
                <w:sz w:val="18"/>
                <w:szCs w:val="18"/>
              </w:rPr>
              <w:t>2,3</w:t>
            </w:r>
          </w:p>
        </w:tc>
        <w:tc>
          <w:tcPr>
            <w:tcW w:w="921" w:type="dxa"/>
            <w:tcBorders>
              <w:top w:val="nil"/>
              <w:left w:val="nil"/>
              <w:bottom w:val="nil"/>
              <w:right w:val="nil"/>
            </w:tcBorders>
            <w:shd w:val="clear" w:color="auto" w:fill="auto"/>
            <w:noWrap/>
            <w:vAlign w:val="center"/>
            <w:hideMark/>
          </w:tcPr>
          <w:p w14:paraId="7D1D655D" w14:textId="77777777" w:rsidR="00D73008" w:rsidRPr="00F26E77" w:rsidRDefault="00D73008" w:rsidP="00387AE5">
            <w:pPr>
              <w:jc w:val="center"/>
              <w:rPr>
                <w:color w:val="000000"/>
                <w:sz w:val="18"/>
                <w:szCs w:val="18"/>
              </w:rPr>
            </w:pPr>
            <w:r w:rsidRPr="00F26E77">
              <w:rPr>
                <w:sz w:val="18"/>
                <w:szCs w:val="18"/>
              </w:rPr>
              <w:t>3,1</w:t>
            </w:r>
          </w:p>
        </w:tc>
        <w:tc>
          <w:tcPr>
            <w:tcW w:w="921" w:type="dxa"/>
            <w:tcBorders>
              <w:top w:val="nil"/>
              <w:left w:val="nil"/>
              <w:bottom w:val="nil"/>
              <w:right w:val="nil"/>
            </w:tcBorders>
            <w:shd w:val="clear" w:color="auto" w:fill="auto"/>
            <w:noWrap/>
            <w:vAlign w:val="center"/>
            <w:hideMark/>
          </w:tcPr>
          <w:p w14:paraId="6BC6A063" w14:textId="77777777" w:rsidR="00D73008" w:rsidRPr="00F26E77" w:rsidRDefault="00D73008" w:rsidP="00387AE5">
            <w:pPr>
              <w:jc w:val="center"/>
              <w:rPr>
                <w:color w:val="000000"/>
                <w:sz w:val="18"/>
                <w:szCs w:val="18"/>
              </w:rPr>
            </w:pPr>
            <w:r w:rsidRPr="00F26E77">
              <w:rPr>
                <w:sz w:val="18"/>
                <w:szCs w:val="18"/>
              </w:rPr>
              <w:t>2,5</w:t>
            </w:r>
          </w:p>
        </w:tc>
        <w:tc>
          <w:tcPr>
            <w:tcW w:w="921" w:type="dxa"/>
            <w:tcBorders>
              <w:top w:val="nil"/>
              <w:left w:val="nil"/>
              <w:bottom w:val="nil"/>
              <w:right w:val="nil"/>
            </w:tcBorders>
            <w:shd w:val="clear" w:color="auto" w:fill="auto"/>
            <w:noWrap/>
            <w:vAlign w:val="center"/>
            <w:hideMark/>
          </w:tcPr>
          <w:p w14:paraId="3E03DCB1" w14:textId="77777777" w:rsidR="00D73008" w:rsidRPr="00F26E77" w:rsidRDefault="00D73008" w:rsidP="00387AE5">
            <w:pPr>
              <w:jc w:val="center"/>
              <w:rPr>
                <w:color w:val="000000"/>
                <w:sz w:val="18"/>
                <w:szCs w:val="18"/>
              </w:rPr>
            </w:pPr>
            <w:r w:rsidRPr="00F26E77">
              <w:rPr>
                <w:sz w:val="18"/>
                <w:szCs w:val="18"/>
              </w:rPr>
              <w:t>2,5</w:t>
            </w:r>
          </w:p>
        </w:tc>
        <w:tc>
          <w:tcPr>
            <w:tcW w:w="923" w:type="dxa"/>
            <w:tcBorders>
              <w:top w:val="nil"/>
              <w:left w:val="nil"/>
              <w:bottom w:val="nil"/>
              <w:right w:val="nil"/>
            </w:tcBorders>
            <w:shd w:val="clear" w:color="auto" w:fill="auto"/>
            <w:noWrap/>
            <w:vAlign w:val="center"/>
            <w:hideMark/>
          </w:tcPr>
          <w:p w14:paraId="35364D57" w14:textId="77777777" w:rsidR="00D73008" w:rsidRPr="00F26E77" w:rsidRDefault="00D73008" w:rsidP="00387AE5">
            <w:pPr>
              <w:jc w:val="center"/>
              <w:rPr>
                <w:color w:val="000000"/>
                <w:sz w:val="18"/>
                <w:szCs w:val="18"/>
              </w:rPr>
            </w:pPr>
            <w:r w:rsidRPr="00F26E77">
              <w:rPr>
                <w:sz w:val="18"/>
                <w:szCs w:val="18"/>
              </w:rPr>
              <w:t>2,4</w:t>
            </w:r>
          </w:p>
        </w:tc>
      </w:tr>
      <w:tr w:rsidR="00D73008" w:rsidRPr="00B21C97" w14:paraId="581A5883" w14:textId="77777777" w:rsidTr="00387AE5">
        <w:trPr>
          <w:trHeight w:val="283"/>
        </w:trPr>
        <w:tc>
          <w:tcPr>
            <w:tcW w:w="2494" w:type="dxa"/>
            <w:tcBorders>
              <w:top w:val="nil"/>
              <w:left w:val="nil"/>
              <w:bottom w:val="nil"/>
              <w:right w:val="nil"/>
            </w:tcBorders>
            <w:shd w:val="clear" w:color="auto" w:fill="auto"/>
            <w:vAlign w:val="center"/>
            <w:hideMark/>
          </w:tcPr>
          <w:p w14:paraId="1AEF8765" w14:textId="77777777" w:rsidR="00D73008" w:rsidRPr="002028CC" w:rsidRDefault="00D73008" w:rsidP="00387AE5">
            <w:pPr>
              <w:rPr>
                <w:rFonts w:cs="Times New Roman"/>
                <w:color w:val="000000"/>
                <w:sz w:val="18"/>
                <w:szCs w:val="18"/>
              </w:rPr>
            </w:pPr>
            <w:r w:rsidRPr="002028CC">
              <w:rPr>
                <w:rFonts w:cs="Times New Roman"/>
                <w:color w:val="000000"/>
                <w:sz w:val="18"/>
                <w:szCs w:val="18"/>
              </w:rPr>
              <w:t>6. Deflátor exportu tovarov a služieb</w:t>
            </w:r>
          </w:p>
        </w:tc>
        <w:tc>
          <w:tcPr>
            <w:tcW w:w="921" w:type="dxa"/>
            <w:tcBorders>
              <w:top w:val="nil"/>
              <w:left w:val="nil"/>
              <w:bottom w:val="nil"/>
              <w:right w:val="nil"/>
            </w:tcBorders>
            <w:shd w:val="clear" w:color="auto" w:fill="auto"/>
            <w:vAlign w:val="bottom"/>
            <w:hideMark/>
          </w:tcPr>
          <w:p w14:paraId="7229DB9F" w14:textId="77777777" w:rsidR="00D73008" w:rsidRPr="002028CC" w:rsidRDefault="00D73008" w:rsidP="00387AE5">
            <w:pPr>
              <w:rPr>
                <w:rFonts w:cs="Times New Roman"/>
                <w:color w:val="000000"/>
                <w:sz w:val="18"/>
                <w:szCs w:val="18"/>
              </w:rPr>
            </w:pPr>
          </w:p>
        </w:tc>
        <w:tc>
          <w:tcPr>
            <w:tcW w:w="921" w:type="dxa"/>
            <w:tcBorders>
              <w:top w:val="nil"/>
              <w:left w:val="nil"/>
              <w:bottom w:val="nil"/>
              <w:right w:val="nil"/>
            </w:tcBorders>
            <w:shd w:val="clear" w:color="auto" w:fill="auto"/>
            <w:vAlign w:val="center"/>
            <w:hideMark/>
          </w:tcPr>
          <w:p w14:paraId="4ADB49DD" w14:textId="77777777" w:rsidR="00D73008" w:rsidRPr="00F26E77" w:rsidRDefault="00D73008" w:rsidP="00387AE5">
            <w:pPr>
              <w:jc w:val="center"/>
              <w:rPr>
                <w:color w:val="000000"/>
                <w:sz w:val="18"/>
                <w:szCs w:val="18"/>
              </w:rPr>
            </w:pPr>
            <w:r w:rsidRPr="00F26E77">
              <w:rPr>
                <w:sz w:val="18"/>
                <w:szCs w:val="18"/>
              </w:rPr>
              <w:t>1,0</w:t>
            </w:r>
          </w:p>
        </w:tc>
        <w:tc>
          <w:tcPr>
            <w:tcW w:w="921" w:type="dxa"/>
            <w:tcBorders>
              <w:top w:val="nil"/>
              <w:left w:val="nil"/>
              <w:bottom w:val="nil"/>
              <w:right w:val="nil"/>
            </w:tcBorders>
            <w:shd w:val="clear" w:color="auto" w:fill="auto"/>
            <w:noWrap/>
            <w:vAlign w:val="center"/>
            <w:hideMark/>
          </w:tcPr>
          <w:p w14:paraId="59AD7ABA" w14:textId="77777777" w:rsidR="00D73008" w:rsidRPr="00F26E77" w:rsidRDefault="00D73008" w:rsidP="00387AE5">
            <w:pPr>
              <w:jc w:val="center"/>
              <w:rPr>
                <w:color w:val="000000"/>
                <w:sz w:val="18"/>
                <w:szCs w:val="18"/>
              </w:rPr>
            </w:pPr>
            <w:r w:rsidRPr="00F26E77">
              <w:rPr>
                <w:sz w:val="18"/>
                <w:szCs w:val="18"/>
              </w:rPr>
              <w:t>1,8</w:t>
            </w:r>
          </w:p>
        </w:tc>
        <w:tc>
          <w:tcPr>
            <w:tcW w:w="921" w:type="dxa"/>
            <w:tcBorders>
              <w:top w:val="nil"/>
              <w:left w:val="nil"/>
              <w:bottom w:val="nil"/>
              <w:right w:val="nil"/>
            </w:tcBorders>
            <w:shd w:val="clear" w:color="auto" w:fill="auto"/>
            <w:noWrap/>
            <w:vAlign w:val="center"/>
            <w:hideMark/>
          </w:tcPr>
          <w:p w14:paraId="6F4A0A6F" w14:textId="77777777" w:rsidR="00D73008" w:rsidRPr="00F26E77" w:rsidRDefault="00D73008" w:rsidP="00387AE5">
            <w:pPr>
              <w:jc w:val="center"/>
              <w:rPr>
                <w:color w:val="000000"/>
                <w:sz w:val="18"/>
                <w:szCs w:val="18"/>
              </w:rPr>
            </w:pPr>
            <w:r w:rsidRPr="00F26E77">
              <w:rPr>
                <w:sz w:val="18"/>
                <w:szCs w:val="18"/>
              </w:rPr>
              <w:t>2,3</w:t>
            </w:r>
          </w:p>
        </w:tc>
        <w:tc>
          <w:tcPr>
            <w:tcW w:w="921" w:type="dxa"/>
            <w:tcBorders>
              <w:top w:val="nil"/>
              <w:left w:val="nil"/>
              <w:bottom w:val="nil"/>
              <w:right w:val="nil"/>
            </w:tcBorders>
            <w:shd w:val="clear" w:color="auto" w:fill="auto"/>
            <w:noWrap/>
            <w:vAlign w:val="center"/>
            <w:hideMark/>
          </w:tcPr>
          <w:p w14:paraId="067F2E80" w14:textId="77777777" w:rsidR="00D73008" w:rsidRPr="00F26E77" w:rsidRDefault="00D73008" w:rsidP="00387AE5">
            <w:pPr>
              <w:jc w:val="center"/>
              <w:rPr>
                <w:color w:val="000000"/>
                <w:sz w:val="18"/>
                <w:szCs w:val="18"/>
              </w:rPr>
            </w:pPr>
            <w:r w:rsidRPr="00F26E77">
              <w:rPr>
                <w:sz w:val="18"/>
                <w:szCs w:val="18"/>
              </w:rPr>
              <w:t>2,2</w:t>
            </w:r>
          </w:p>
        </w:tc>
        <w:tc>
          <w:tcPr>
            <w:tcW w:w="921" w:type="dxa"/>
            <w:tcBorders>
              <w:top w:val="nil"/>
              <w:left w:val="nil"/>
              <w:bottom w:val="nil"/>
              <w:right w:val="nil"/>
            </w:tcBorders>
            <w:shd w:val="clear" w:color="auto" w:fill="auto"/>
            <w:noWrap/>
            <w:vAlign w:val="center"/>
            <w:hideMark/>
          </w:tcPr>
          <w:p w14:paraId="5827A6CF" w14:textId="77777777" w:rsidR="00D73008" w:rsidRPr="00F26E77" w:rsidRDefault="00D73008" w:rsidP="00387AE5">
            <w:pPr>
              <w:jc w:val="center"/>
              <w:rPr>
                <w:color w:val="000000"/>
                <w:sz w:val="18"/>
                <w:szCs w:val="18"/>
              </w:rPr>
            </w:pPr>
            <w:r w:rsidRPr="00F26E77">
              <w:rPr>
                <w:sz w:val="18"/>
                <w:szCs w:val="18"/>
              </w:rPr>
              <w:t>2,2</w:t>
            </w:r>
          </w:p>
        </w:tc>
        <w:tc>
          <w:tcPr>
            <w:tcW w:w="923" w:type="dxa"/>
            <w:tcBorders>
              <w:top w:val="nil"/>
              <w:left w:val="nil"/>
              <w:bottom w:val="nil"/>
              <w:right w:val="nil"/>
            </w:tcBorders>
            <w:shd w:val="clear" w:color="auto" w:fill="auto"/>
            <w:noWrap/>
            <w:vAlign w:val="center"/>
            <w:hideMark/>
          </w:tcPr>
          <w:p w14:paraId="043749E4" w14:textId="77777777" w:rsidR="00D73008" w:rsidRPr="00F26E77" w:rsidRDefault="00D73008" w:rsidP="00387AE5">
            <w:pPr>
              <w:jc w:val="center"/>
              <w:rPr>
                <w:color w:val="000000"/>
                <w:sz w:val="18"/>
                <w:szCs w:val="18"/>
              </w:rPr>
            </w:pPr>
            <w:r w:rsidRPr="00F26E77">
              <w:rPr>
                <w:sz w:val="18"/>
                <w:szCs w:val="18"/>
              </w:rPr>
              <w:t>2,1</w:t>
            </w:r>
          </w:p>
        </w:tc>
      </w:tr>
      <w:tr w:rsidR="00D73008" w:rsidRPr="00B21C97" w14:paraId="4F2E1D4D" w14:textId="77777777" w:rsidTr="00387AE5">
        <w:trPr>
          <w:trHeight w:val="283"/>
        </w:trPr>
        <w:tc>
          <w:tcPr>
            <w:tcW w:w="2494" w:type="dxa"/>
            <w:tcBorders>
              <w:top w:val="nil"/>
              <w:left w:val="nil"/>
              <w:bottom w:val="single" w:sz="8" w:space="0" w:color="auto"/>
              <w:right w:val="nil"/>
            </w:tcBorders>
            <w:shd w:val="clear" w:color="auto" w:fill="auto"/>
            <w:vAlign w:val="center"/>
            <w:hideMark/>
          </w:tcPr>
          <w:p w14:paraId="05C28BA2" w14:textId="77777777" w:rsidR="00D73008" w:rsidRPr="002028CC" w:rsidRDefault="00D73008" w:rsidP="00387AE5">
            <w:pPr>
              <w:rPr>
                <w:rFonts w:cs="Times New Roman"/>
                <w:color w:val="000000"/>
                <w:sz w:val="18"/>
                <w:szCs w:val="18"/>
              </w:rPr>
            </w:pPr>
            <w:r w:rsidRPr="002028CC">
              <w:rPr>
                <w:rFonts w:cs="Times New Roman"/>
                <w:color w:val="000000"/>
                <w:sz w:val="18"/>
                <w:szCs w:val="18"/>
              </w:rPr>
              <w:t>7. Deflátor importu tovarov a služieb</w:t>
            </w:r>
          </w:p>
        </w:tc>
        <w:tc>
          <w:tcPr>
            <w:tcW w:w="921" w:type="dxa"/>
            <w:tcBorders>
              <w:top w:val="nil"/>
              <w:left w:val="nil"/>
              <w:bottom w:val="single" w:sz="8" w:space="0" w:color="auto"/>
              <w:right w:val="nil"/>
            </w:tcBorders>
            <w:shd w:val="clear" w:color="auto" w:fill="auto"/>
            <w:vAlign w:val="bottom"/>
            <w:hideMark/>
          </w:tcPr>
          <w:p w14:paraId="13738ADD" w14:textId="77777777" w:rsidR="00D73008" w:rsidRPr="002028CC" w:rsidRDefault="00D73008" w:rsidP="00387AE5">
            <w:pPr>
              <w:jc w:val="center"/>
              <w:rPr>
                <w:rFonts w:cs="Times New Roman"/>
                <w:color w:val="000000"/>
                <w:sz w:val="18"/>
                <w:szCs w:val="18"/>
              </w:rPr>
            </w:pPr>
            <w:r w:rsidRPr="002028CC">
              <w:rPr>
                <w:rFonts w:cs="Times New Roman"/>
                <w:color w:val="000000"/>
                <w:sz w:val="18"/>
                <w:szCs w:val="18"/>
              </w:rPr>
              <w:t> </w:t>
            </w:r>
          </w:p>
        </w:tc>
        <w:tc>
          <w:tcPr>
            <w:tcW w:w="921" w:type="dxa"/>
            <w:tcBorders>
              <w:top w:val="nil"/>
              <w:left w:val="nil"/>
              <w:bottom w:val="single" w:sz="8" w:space="0" w:color="auto"/>
              <w:right w:val="nil"/>
            </w:tcBorders>
            <w:shd w:val="clear" w:color="auto" w:fill="auto"/>
            <w:vAlign w:val="center"/>
            <w:hideMark/>
          </w:tcPr>
          <w:p w14:paraId="52A2FEED" w14:textId="77777777" w:rsidR="00D73008" w:rsidRPr="00F26E77" w:rsidRDefault="00D73008" w:rsidP="00387AE5">
            <w:pPr>
              <w:jc w:val="center"/>
              <w:rPr>
                <w:color w:val="000000"/>
                <w:sz w:val="18"/>
                <w:szCs w:val="18"/>
              </w:rPr>
            </w:pPr>
            <w:r w:rsidRPr="00F26E77">
              <w:rPr>
                <w:sz w:val="18"/>
                <w:szCs w:val="18"/>
              </w:rPr>
              <w:t>1,1</w:t>
            </w:r>
          </w:p>
        </w:tc>
        <w:tc>
          <w:tcPr>
            <w:tcW w:w="921" w:type="dxa"/>
            <w:tcBorders>
              <w:top w:val="nil"/>
              <w:left w:val="nil"/>
              <w:bottom w:val="single" w:sz="8" w:space="0" w:color="auto"/>
              <w:right w:val="nil"/>
            </w:tcBorders>
            <w:shd w:val="clear" w:color="auto" w:fill="auto"/>
            <w:noWrap/>
            <w:vAlign w:val="center"/>
            <w:hideMark/>
          </w:tcPr>
          <w:p w14:paraId="521A9E3E" w14:textId="77777777" w:rsidR="00D73008" w:rsidRPr="00F26E77" w:rsidRDefault="00D73008" w:rsidP="00387AE5">
            <w:pPr>
              <w:jc w:val="center"/>
              <w:rPr>
                <w:color w:val="000000"/>
                <w:sz w:val="18"/>
                <w:szCs w:val="18"/>
              </w:rPr>
            </w:pPr>
            <w:r w:rsidRPr="00F26E77">
              <w:rPr>
                <w:sz w:val="18"/>
                <w:szCs w:val="18"/>
              </w:rPr>
              <w:t>2,4</w:t>
            </w:r>
          </w:p>
        </w:tc>
        <w:tc>
          <w:tcPr>
            <w:tcW w:w="921" w:type="dxa"/>
            <w:tcBorders>
              <w:top w:val="nil"/>
              <w:left w:val="nil"/>
              <w:bottom w:val="single" w:sz="8" w:space="0" w:color="auto"/>
              <w:right w:val="nil"/>
            </w:tcBorders>
            <w:shd w:val="clear" w:color="auto" w:fill="auto"/>
            <w:noWrap/>
            <w:vAlign w:val="center"/>
            <w:hideMark/>
          </w:tcPr>
          <w:p w14:paraId="623589B0" w14:textId="77777777" w:rsidR="00D73008" w:rsidRPr="00F26E77" w:rsidRDefault="00D73008" w:rsidP="00387AE5">
            <w:pPr>
              <w:jc w:val="center"/>
              <w:rPr>
                <w:color w:val="000000"/>
                <w:sz w:val="18"/>
                <w:szCs w:val="18"/>
              </w:rPr>
            </w:pPr>
            <w:r w:rsidRPr="00F26E77">
              <w:rPr>
                <w:sz w:val="18"/>
                <w:szCs w:val="18"/>
              </w:rPr>
              <w:t>2,4</w:t>
            </w:r>
          </w:p>
        </w:tc>
        <w:tc>
          <w:tcPr>
            <w:tcW w:w="921" w:type="dxa"/>
            <w:tcBorders>
              <w:top w:val="nil"/>
              <w:left w:val="nil"/>
              <w:bottom w:val="single" w:sz="8" w:space="0" w:color="auto"/>
              <w:right w:val="nil"/>
            </w:tcBorders>
            <w:shd w:val="clear" w:color="auto" w:fill="auto"/>
            <w:noWrap/>
            <w:vAlign w:val="center"/>
            <w:hideMark/>
          </w:tcPr>
          <w:p w14:paraId="3AF0049F" w14:textId="77777777" w:rsidR="00D73008" w:rsidRPr="00F26E77" w:rsidRDefault="00D73008" w:rsidP="00387AE5">
            <w:pPr>
              <w:jc w:val="center"/>
              <w:rPr>
                <w:color w:val="000000"/>
                <w:sz w:val="18"/>
                <w:szCs w:val="18"/>
              </w:rPr>
            </w:pPr>
            <w:r w:rsidRPr="00F26E77">
              <w:rPr>
                <w:sz w:val="18"/>
                <w:szCs w:val="18"/>
              </w:rPr>
              <w:t>2,4</w:t>
            </w:r>
          </w:p>
        </w:tc>
        <w:tc>
          <w:tcPr>
            <w:tcW w:w="921" w:type="dxa"/>
            <w:tcBorders>
              <w:top w:val="nil"/>
              <w:left w:val="nil"/>
              <w:bottom w:val="single" w:sz="8" w:space="0" w:color="auto"/>
              <w:right w:val="nil"/>
            </w:tcBorders>
            <w:shd w:val="clear" w:color="auto" w:fill="auto"/>
            <w:noWrap/>
            <w:vAlign w:val="center"/>
            <w:hideMark/>
          </w:tcPr>
          <w:p w14:paraId="24EE1FE1" w14:textId="77777777" w:rsidR="00D73008" w:rsidRPr="00F26E77" w:rsidRDefault="00D73008" w:rsidP="00387AE5">
            <w:pPr>
              <w:jc w:val="center"/>
              <w:rPr>
                <w:color w:val="000000"/>
                <w:sz w:val="18"/>
                <w:szCs w:val="18"/>
              </w:rPr>
            </w:pPr>
            <w:r w:rsidRPr="00F26E77">
              <w:rPr>
                <w:sz w:val="18"/>
                <w:szCs w:val="18"/>
              </w:rPr>
              <w:t>2,5</w:t>
            </w:r>
          </w:p>
        </w:tc>
        <w:tc>
          <w:tcPr>
            <w:tcW w:w="923" w:type="dxa"/>
            <w:tcBorders>
              <w:top w:val="nil"/>
              <w:left w:val="nil"/>
              <w:bottom w:val="single" w:sz="8" w:space="0" w:color="auto"/>
              <w:right w:val="nil"/>
            </w:tcBorders>
            <w:shd w:val="clear" w:color="auto" w:fill="auto"/>
            <w:noWrap/>
            <w:vAlign w:val="center"/>
            <w:hideMark/>
          </w:tcPr>
          <w:p w14:paraId="5E49C597" w14:textId="77777777" w:rsidR="00D73008" w:rsidRPr="00F26E77" w:rsidRDefault="00D73008" w:rsidP="00387AE5">
            <w:pPr>
              <w:jc w:val="center"/>
              <w:rPr>
                <w:color w:val="000000"/>
                <w:sz w:val="18"/>
                <w:szCs w:val="18"/>
              </w:rPr>
            </w:pPr>
            <w:r w:rsidRPr="00F26E77">
              <w:rPr>
                <w:sz w:val="18"/>
                <w:szCs w:val="18"/>
              </w:rPr>
              <w:t>2,3</w:t>
            </w:r>
          </w:p>
        </w:tc>
      </w:tr>
      <w:tr w:rsidR="00D73008" w:rsidRPr="00B21C97" w14:paraId="6E0F59EF" w14:textId="77777777" w:rsidTr="00387AE5">
        <w:trPr>
          <w:trHeight w:val="283"/>
        </w:trPr>
        <w:tc>
          <w:tcPr>
            <w:tcW w:w="8943" w:type="dxa"/>
            <w:gridSpan w:val="8"/>
            <w:tcBorders>
              <w:top w:val="single" w:sz="8" w:space="0" w:color="auto"/>
              <w:left w:val="nil"/>
              <w:bottom w:val="nil"/>
              <w:right w:val="nil"/>
            </w:tcBorders>
            <w:shd w:val="clear" w:color="auto" w:fill="auto"/>
            <w:noWrap/>
            <w:vAlign w:val="center"/>
            <w:hideMark/>
          </w:tcPr>
          <w:p w14:paraId="3726FEF2" w14:textId="77777777" w:rsidR="00D73008" w:rsidRPr="002028CC" w:rsidRDefault="00D73008" w:rsidP="00387AE5">
            <w:pPr>
              <w:jc w:val="right"/>
              <w:rPr>
                <w:rFonts w:cs="Times New Roman"/>
                <w:i/>
                <w:iCs/>
                <w:color w:val="000000"/>
                <w:sz w:val="16"/>
                <w:szCs w:val="16"/>
              </w:rPr>
            </w:pPr>
            <w:r w:rsidRPr="002028CC">
              <w:rPr>
                <w:rFonts w:cs="Times New Roman"/>
                <w:i/>
                <w:iCs/>
                <w:color w:val="000000"/>
                <w:sz w:val="16"/>
                <w:szCs w:val="16"/>
              </w:rPr>
              <w:t>Zdroj: MF SR</w:t>
            </w:r>
          </w:p>
        </w:tc>
      </w:tr>
    </w:tbl>
    <w:p w14:paraId="5DFA25BA" w14:textId="77777777" w:rsidR="00D73008" w:rsidRPr="00B21C97" w:rsidRDefault="00D73008" w:rsidP="00D73008">
      <w:pPr>
        <w:rPr>
          <w:highlight w:val="yellow"/>
        </w:rPr>
      </w:pPr>
    </w:p>
    <w:tbl>
      <w:tblPr>
        <w:tblW w:w="8944" w:type="dxa"/>
        <w:tblCellMar>
          <w:left w:w="70" w:type="dxa"/>
          <w:right w:w="70" w:type="dxa"/>
        </w:tblCellMar>
        <w:tblLook w:val="04A0" w:firstRow="1" w:lastRow="0" w:firstColumn="1" w:lastColumn="0" w:noHBand="0" w:noVBand="1"/>
      </w:tblPr>
      <w:tblGrid>
        <w:gridCol w:w="2960"/>
        <w:gridCol w:w="740"/>
        <w:gridCol w:w="1015"/>
        <w:gridCol w:w="845"/>
        <w:gridCol w:w="845"/>
        <w:gridCol w:w="848"/>
        <w:gridCol w:w="845"/>
        <w:gridCol w:w="846"/>
      </w:tblGrid>
      <w:tr w:rsidR="00D73008" w:rsidRPr="00152128" w14:paraId="1671CBAE" w14:textId="77777777" w:rsidTr="00387AE5">
        <w:trPr>
          <w:trHeight w:val="291"/>
        </w:trPr>
        <w:tc>
          <w:tcPr>
            <w:tcW w:w="8944" w:type="dxa"/>
            <w:gridSpan w:val="8"/>
            <w:tcBorders>
              <w:top w:val="nil"/>
              <w:left w:val="nil"/>
              <w:bottom w:val="single" w:sz="8" w:space="0" w:color="auto"/>
              <w:right w:val="nil"/>
            </w:tcBorders>
            <w:shd w:val="clear" w:color="auto" w:fill="auto"/>
            <w:noWrap/>
            <w:vAlign w:val="center"/>
            <w:hideMark/>
          </w:tcPr>
          <w:p w14:paraId="60862CCE" w14:textId="03F55F63" w:rsidR="00D73008" w:rsidRPr="00152128" w:rsidRDefault="00D73008" w:rsidP="00387AE5">
            <w:pPr>
              <w:rPr>
                <w:rFonts w:eastAsiaTheme="minorHAnsi"/>
                <w:b/>
                <w:color w:val="2C9ADC"/>
                <w:lang w:eastAsia="en-US"/>
              </w:rPr>
            </w:pPr>
            <w:bookmarkStart w:id="243" w:name="_Toc480905412"/>
            <w:bookmarkStart w:id="244" w:name="_Toc6314219"/>
            <w:r w:rsidRPr="00F26E77">
              <w:rPr>
                <w:rFonts w:eastAsiaTheme="minorHAnsi"/>
                <w:b/>
                <w:color w:val="2C9ADC"/>
                <w:lang w:eastAsia="en-US"/>
              </w:rPr>
              <w:t xml:space="preserve">TABUĽKA </w:t>
            </w:r>
            <w:r w:rsidRPr="00F26E77">
              <w:rPr>
                <w:rFonts w:eastAsiaTheme="minorHAnsi"/>
                <w:b/>
                <w:color w:val="2C9ADC"/>
                <w:lang w:eastAsia="en-US"/>
              </w:rPr>
              <w:fldChar w:fldCharType="begin"/>
            </w:r>
            <w:r w:rsidRPr="00F26E77">
              <w:rPr>
                <w:rFonts w:eastAsiaTheme="minorHAnsi"/>
                <w:b/>
                <w:color w:val="2C9ADC"/>
                <w:lang w:eastAsia="en-US"/>
              </w:rPr>
              <w:instrText xml:space="preserve"> SEQ TABUĽKA \* ARABIC </w:instrText>
            </w:r>
            <w:r w:rsidRPr="00F26E77">
              <w:rPr>
                <w:rFonts w:eastAsiaTheme="minorHAnsi"/>
                <w:b/>
                <w:color w:val="2C9ADC"/>
                <w:lang w:eastAsia="en-US"/>
              </w:rPr>
              <w:fldChar w:fldCharType="separate"/>
            </w:r>
            <w:r w:rsidR="00D5739E">
              <w:rPr>
                <w:rFonts w:eastAsiaTheme="minorHAnsi"/>
                <w:b/>
                <w:noProof/>
                <w:color w:val="2C9ADC"/>
                <w:lang w:eastAsia="en-US"/>
              </w:rPr>
              <w:t>20</w:t>
            </w:r>
            <w:r w:rsidRPr="00F26E77">
              <w:rPr>
                <w:rFonts w:eastAsiaTheme="minorHAnsi"/>
                <w:b/>
                <w:color w:val="2C9ADC"/>
                <w:lang w:eastAsia="en-US"/>
              </w:rPr>
              <w:fldChar w:fldCharType="end"/>
            </w:r>
            <w:r w:rsidRPr="00152128">
              <w:rPr>
                <w:rFonts w:eastAsiaTheme="minorHAnsi"/>
                <w:b/>
                <w:color w:val="2C9ADC"/>
                <w:lang w:eastAsia="en-US"/>
              </w:rPr>
              <w:t xml:space="preserve"> (Tabuľka 1c) - Ukazovatele trhu práce (ESA 2010)</w:t>
            </w:r>
            <w:bookmarkEnd w:id="243"/>
            <w:bookmarkEnd w:id="244"/>
          </w:p>
        </w:tc>
      </w:tr>
      <w:tr w:rsidR="00D73008" w:rsidRPr="00F26E77" w14:paraId="741259C0" w14:textId="77777777" w:rsidTr="00387AE5">
        <w:trPr>
          <w:trHeight w:val="291"/>
        </w:trPr>
        <w:tc>
          <w:tcPr>
            <w:tcW w:w="2960" w:type="dxa"/>
            <w:vMerge w:val="restart"/>
            <w:tcBorders>
              <w:top w:val="nil"/>
              <w:left w:val="nil"/>
              <w:bottom w:val="single" w:sz="6" w:space="0" w:color="auto"/>
              <w:right w:val="nil"/>
            </w:tcBorders>
            <w:shd w:val="clear" w:color="auto" w:fill="auto"/>
            <w:vAlign w:val="bottom"/>
            <w:hideMark/>
          </w:tcPr>
          <w:p w14:paraId="269F9AD1" w14:textId="77777777" w:rsidR="00D73008" w:rsidRPr="00F26E77" w:rsidRDefault="00D73008" w:rsidP="00387AE5">
            <w:pPr>
              <w:rPr>
                <w:rFonts w:cs="Times New Roman"/>
                <w:color w:val="000000"/>
                <w:sz w:val="18"/>
                <w:szCs w:val="18"/>
              </w:rPr>
            </w:pPr>
            <w:r w:rsidRPr="00F26E77">
              <w:rPr>
                <w:rFonts w:cs="Times New Roman"/>
                <w:color w:val="000000"/>
                <w:sz w:val="18"/>
                <w:szCs w:val="18"/>
              </w:rPr>
              <w:t> </w:t>
            </w:r>
          </w:p>
        </w:tc>
        <w:tc>
          <w:tcPr>
            <w:tcW w:w="740" w:type="dxa"/>
            <w:vMerge w:val="restart"/>
            <w:tcBorders>
              <w:top w:val="nil"/>
              <w:left w:val="nil"/>
              <w:bottom w:val="single" w:sz="6" w:space="0" w:color="auto"/>
              <w:right w:val="nil"/>
            </w:tcBorders>
            <w:shd w:val="clear" w:color="auto" w:fill="auto"/>
            <w:vAlign w:val="center"/>
            <w:hideMark/>
          </w:tcPr>
          <w:p w14:paraId="54031E23"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ESA kód</w:t>
            </w:r>
          </w:p>
          <w:p w14:paraId="16A8193B" w14:textId="77777777" w:rsidR="00D73008" w:rsidRPr="00F26E77" w:rsidRDefault="00D73008" w:rsidP="00387AE5">
            <w:pPr>
              <w:rPr>
                <w:rFonts w:cs="Times New Roman"/>
                <w:sz w:val="18"/>
                <w:szCs w:val="18"/>
              </w:rPr>
            </w:pPr>
          </w:p>
        </w:tc>
        <w:tc>
          <w:tcPr>
            <w:tcW w:w="1015" w:type="dxa"/>
            <w:tcBorders>
              <w:top w:val="nil"/>
              <w:left w:val="nil"/>
              <w:bottom w:val="nil"/>
              <w:right w:val="nil"/>
            </w:tcBorders>
            <w:shd w:val="clear" w:color="auto" w:fill="auto"/>
            <w:vAlign w:val="center"/>
            <w:hideMark/>
          </w:tcPr>
          <w:p w14:paraId="49DCB138" w14:textId="77777777" w:rsidR="00D73008" w:rsidRPr="00F26E77" w:rsidRDefault="00D73008" w:rsidP="00387AE5">
            <w:pPr>
              <w:jc w:val="center"/>
              <w:rPr>
                <w:rFonts w:cs="Times New Roman"/>
                <w:b/>
                <w:bCs/>
                <w:color w:val="000000"/>
                <w:sz w:val="18"/>
                <w:szCs w:val="18"/>
              </w:rPr>
            </w:pPr>
            <w:r>
              <w:rPr>
                <w:b/>
                <w:bCs/>
                <w:color w:val="000000"/>
                <w:sz w:val="18"/>
                <w:szCs w:val="18"/>
              </w:rPr>
              <w:t>2018</w:t>
            </w:r>
          </w:p>
        </w:tc>
        <w:tc>
          <w:tcPr>
            <w:tcW w:w="845" w:type="dxa"/>
            <w:tcBorders>
              <w:top w:val="nil"/>
              <w:left w:val="nil"/>
              <w:bottom w:val="nil"/>
              <w:right w:val="nil"/>
            </w:tcBorders>
            <w:shd w:val="clear" w:color="auto" w:fill="auto"/>
            <w:vAlign w:val="center"/>
            <w:hideMark/>
          </w:tcPr>
          <w:p w14:paraId="32878171" w14:textId="77777777" w:rsidR="00D73008" w:rsidRPr="00F26E77" w:rsidRDefault="00D73008" w:rsidP="00387AE5">
            <w:pPr>
              <w:jc w:val="center"/>
              <w:rPr>
                <w:rFonts w:cs="Times New Roman"/>
                <w:b/>
                <w:bCs/>
                <w:color w:val="000000"/>
                <w:sz w:val="18"/>
                <w:szCs w:val="18"/>
              </w:rPr>
            </w:pPr>
            <w:r>
              <w:rPr>
                <w:b/>
                <w:bCs/>
                <w:color w:val="000000"/>
                <w:sz w:val="18"/>
                <w:szCs w:val="18"/>
              </w:rPr>
              <w:t>2018</w:t>
            </w:r>
          </w:p>
        </w:tc>
        <w:tc>
          <w:tcPr>
            <w:tcW w:w="845" w:type="dxa"/>
            <w:tcBorders>
              <w:top w:val="nil"/>
              <w:left w:val="nil"/>
              <w:bottom w:val="nil"/>
              <w:right w:val="nil"/>
            </w:tcBorders>
            <w:shd w:val="clear" w:color="auto" w:fill="auto"/>
            <w:vAlign w:val="center"/>
            <w:hideMark/>
          </w:tcPr>
          <w:p w14:paraId="137DAC90" w14:textId="77777777" w:rsidR="00D73008" w:rsidRPr="00F26E77" w:rsidRDefault="00D73008" w:rsidP="00387AE5">
            <w:pPr>
              <w:jc w:val="center"/>
              <w:rPr>
                <w:rFonts w:cs="Times New Roman"/>
                <w:b/>
                <w:bCs/>
                <w:color w:val="000000"/>
                <w:sz w:val="18"/>
                <w:szCs w:val="18"/>
              </w:rPr>
            </w:pPr>
            <w:r>
              <w:rPr>
                <w:b/>
                <w:bCs/>
                <w:color w:val="000000"/>
                <w:sz w:val="18"/>
                <w:szCs w:val="18"/>
              </w:rPr>
              <w:t>2019</w:t>
            </w:r>
          </w:p>
        </w:tc>
        <w:tc>
          <w:tcPr>
            <w:tcW w:w="848" w:type="dxa"/>
            <w:tcBorders>
              <w:top w:val="nil"/>
              <w:left w:val="nil"/>
              <w:bottom w:val="nil"/>
              <w:right w:val="nil"/>
            </w:tcBorders>
            <w:shd w:val="clear" w:color="auto" w:fill="auto"/>
            <w:vAlign w:val="center"/>
            <w:hideMark/>
          </w:tcPr>
          <w:p w14:paraId="5751C1FD" w14:textId="77777777" w:rsidR="00D73008" w:rsidRPr="00F26E77" w:rsidRDefault="00D73008" w:rsidP="00387AE5">
            <w:pPr>
              <w:jc w:val="center"/>
              <w:rPr>
                <w:rFonts w:cs="Times New Roman"/>
                <w:b/>
                <w:bCs/>
                <w:color w:val="000000"/>
                <w:sz w:val="18"/>
                <w:szCs w:val="18"/>
              </w:rPr>
            </w:pPr>
            <w:r>
              <w:rPr>
                <w:b/>
                <w:bCs/>
                <w:color w:val="000000"/>
                <w:sz w:val="18"/>
                <w:szCs w:val="18"/>
              </w:rPr>
              <w:t>2020</w:t>
            </w:r>
          </w:p>
        </w:tc>
        <w:tc>
          <w:tcPr>
            <w:tcW w:w="845" w:type="dxa"/>
            <w:tcBorders>
              <w:top w:val="nil"/>
              <w:left w:val="nil"/>
              <w:bottom w:val="nil"/>
              <w:right w:val="nil"/>
            </w:tcBorders>
            <w:shd w:val="clear" w:color="auto" w:fill="auto"/>
            <w:vAlign w:val="center"/>
            <w:hideMark/>
          </w:tcPr>
          <w:p w14:paraId="768BF128" w14:textId="77777777" w:rsidR="00D73008" w:rsidRPr="00F26E77" w:rsidRDefault="00D73008" w:rsidP="00387AE5">
            <w:pPr>
              <w:jc w:val="center"/>
              <w:rPr>
                <w:rFonts w:cs="Times New Roman"/>
                <w:b/>
                <w:bCs/>
                <w:color w:val="000000"/>
                <w:sz w:val="18"/>
                <w:szCs w:val="18"/>
              </w:rPr>
            </w:pPr>
            <w:r>
              <w:rPr>
                <w:b/>
                <w:bCs/>
                <w:color w:val="000000"/>
                <w:sz w:val="18"/>
                <w:szCs w:val="18"/>
              </w:rPr>
              <w:t>2021</w:t>
            </w:r>
          </w:p>
        </w:tc>
        <w:tc>
          <w:tcPr>
            <w:tcW w:w="846" w:type="dxa"/>
            <w:tcBorders>
              <w:top w:val="nil"/>
              <w:left w:val="nil"/>
              <w:bottom w:val="nil"/>
              <w:right w:val="nil"/>
            </w:tcBorders>
            <w:shd w:val="clear" w:color="auto" w:fill="auto"/>
            <w:vAlign w:val="center"/>
            <w:hideMark/>
          </w:tcPr>
          <w:p w14:paraId="71AF7B19" w14:textId="77777777" w:rsidR="00D73008" w:rsidRPr="00F26E77" w:rsidRDefault="00D73008" w:rsidP="00387AE5">
            <w:pPr>
              <w:jc w:val="center"/>
              <w:rPr>
                <w:rFonts w:cs="Times New Roman"/>
                <w:b/>
                <w:bCs/>
                <w:color w:val="000000"/>
                <w:sz w:val="18"/>
                <w:szCs w:val="18"/>
              </w:rPr>
            </w:pPr>
            <w:r>
              <w:rPr>
                <w:b/>
                <w:bCs/>
                <w:color w:val="000000"/>
                <w:sz w:val="18"/>
                <w:szCs w:val="18"/>
              </w:rPr>
              <w:t>2022</w:t>
            </w:r>
          </w:p>
        </w:tc>
      </w:tr>
      <w:tr w:rsidR="00D73008" w:rsidRPr="00F26E77" w14:paraId="02094F24" w14:textId="77777777" w:rsidTr="00387AE5">
        <w:trPr>
          <w:trHeight w:val="291"/>
        </w:trPr>
        <w:tc>
          <w:tcPr>
            <w:tcW w:w="2960" w:type="dxa"/>
            <w:vMerge/>
            <w:tcBorders>
              <w:top w:val="single" w:sz="8" w:space="0" w:color="000000"/>
              <w:left w:val="nil"/>
              <w:bottom w:val="single" w:sz="6" w:space="0" w:color="auto"/>
              <w:right w:val="nil"/>
            </w:tcBorders>
            <w:vAlign w:val="center"/>
            <w:hideMark/>
          </w:tcPr>
          <w:p w14:paraId="7F0A1BB3" w14:textId="77777777" w:rsidR="00D73008" w:rsidRPr="00F26E77" w:rsidRDefault="00D73008" w:rsidP="00387AE5">
            <w:pPr>
              <w:rPr>
                <w:rFonts w:cs="Times New Roman"/>
                <w:color w:val="000000"/>
                <w:sz w:val="18"/>
                <w:szCs w:val="18"/>
              </w:rPr>
            </w:pPr>
          </w:p>
        </w:tc>
        <w:tc>
          <w:tcPr>
            <w:tcW w:w="740" w:type="dxa"/>
            <w:vMerge/>
            <w:tcBorders>
              <w:top w:val="single" w:sz="8" w:space="0" w:color="000000"/>
              <w:left w:val="nil"/>
              <w:bottom w:val="single" w:sz="6" w:space="0" w:color="auto"/>
              <w:right w:val="nil"/>
            </w:tcBorders>
            <w:vAlign w:val="center"/>
            <w:hideMark/>
          </w:tcPr>
          <w:p w14:paraId="41D59318" w14:textId="77777777" w:rsidR="00D73008" w:rsidRPr="00F26E77" w:rsidRDefault="00D73008" w:rsidP="00387AE5">
            <w:pPr>
              <w:rPr>
                <w:rFonts w:cs="Times New Roman"/>
                <w:color w:val="000000"/>
                <w:sz w:val="18"/>
                <w:szCs w:val="18"/>
              </w:rPr>
            </w:pPr>
          </w:p>
        </w:tc>
        <w:tc>
          <w:tcPr>
            <w:tcW w:w="1015" w:type="dxa"/>
            <w:tcBorders>
              <w:top w:val="nil"/>
              <w:left w:val="nil"/>
              <w:bottom w:val="single" w:sz="6" w:space="0" w:color="auto"/>
              <w:right w:val="nil"/>
            </w:tcBorders>
            <w:shd w:val="clear" w:color="auto" w:fill="auto"/>
            <w:noWrap/>
            <w:vAlign w:val="center"/>
            <w:hideMark/>
          </w:tcPr>
          <w:p w14:paraId="3978DD4E"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Skutočnosť</w:t>
            </w:r>
          </w:p>
        </w:tc>
        <w:tc>
          <w:tcPr>
            <w:tcW w:w="845" w:type="dxa"/>
            <w:tcBorders>
              <w:top w:val="nil"/>
              <w:left w:val="nil"/>
              <w:bottom w:val="single" w:sz="6" w:space="0" w:color="auto"/>
              <w:right w:val="nil"/>
            </w:tcBorders>
            <w:shd w:val="clear" w:color="auto" w:fill="auto"/>
            <w:vAlign w:val="bottom"/>
            <w:hideMark/>
          </w:tcPr>
          <w:p w14:paraId="6CCECE27"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miera rastu</w:t>
            </w:r>
          </w:p>
        </w:tc>
        <w:tc>
          <w:tcPr>
            <w:tcW w:w="845" w:type="dxa"/>
            <w:tcBorders>
              <w:top w:val="nil"/>
              <w:left w:val="nil"/>
              <w:bottom w:val="single" w:sz="6" w:space="0" w:color="auto"/>
              <w:right w:val="nil"/>
            </w:tcBorders>
            <w:shd w:val="clear" w:color="auto" w:fill="auto"/>
            <w:vAlign w:val="bottom"/>
            <w:hideMark/>
          </w:tcPr>
          <w:p w14:paraId="54C79FAF"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miera rastu</w:t>
            </w:r>
          </w:p>
        </w:tc>
        <w:tc>
          <w:tcPr>
            <w:tcW w:w="848" w:type="dxa"/>
            <w:tcBorders>
              <w:top w:val="nil"/>
              <w:left w:val="nil"/>
              <w:bottom w:val="single" w:sz="6" w:space="0" w:color="auto"/>
              <w:right w:val="nil"/>
            </w:tcBorders>
            <w:shd w:val="clear" w:color="auto" w:fill="auto"/>
            <w:vAlign w:val="bottom"/>
            <w:hideMark/>
          </w:tcPr>
          <w:p w14:paraId="0945DD9C"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miera rastu</w:t>
            </w:r>
          </w:p>
        </w:tc>
        <w:tc>
          <w:tcPr>
            <w:tcW w:w="845" w:type="dxa"/>
            <w:tcBorders>
              <w:top w:val="nil"/>
              <w:left w:val="nil"/>
              <w:bottom w:val="single" w:sz="6" w:space="0" w:color="auto"/>
              <w:right w:val="nil"/>
            </w:tcBorders>
            <w:shd w:val="clear" w:color="auto" w:fill="auto"/>
            <w:vAlign w:val="bottom"/>
            <w:hideMark/>
          </w:tcPr>
          <w:p w14:paraId="585365C3"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miera rastu</w:t>
            </w:r>
          </w:p>
        </w:tc>
        <w:tc>
          <w:tcPr>
            <w:tcW w:w="846" w:type="dxa"/>
            <w:tcBorders>
              <w:top w:val="nil"/>
              <w:left w:val="nil"/>
              <w:bottom w:val="single" w:sz="6" w:space="0" w:color="auto"/>
              <w:right w:val="nil"/>
            </w:tcBorders>
            <w:shd w:val="clear" w:color="auto" w:fill="auto"/>
            <w:vAlign w:val="bottom"/>
            <w:hideMark/>
          </w:tcPr>
          <w:p w14:paraId="1273DD9B"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miera rastu</w:t>
            </w:r>
          </w:p>
        </w:tc>
      </w:tr>
      <w:tr w:rsidR="00D73008" w:rsidRPr="00F26E77" w14:paraId="35E66F2E" w14:textId="77777777" w:rsidTr="00387AE5">
        <w:trPr>
          <w:trHeight w:val="291"/>
        </w:trPr>
        <w:tc>
          <w:tcPr>
            <w:tcW w:w="2960" w:type="dxa"/>
            <w:tcBorders>
              <w:top w:val="single" w:sz="6" w:space="0" w:color="auto"/>
              <w:left w:val="nil"/>
              <w:bottom w:val="nil"/>
              <w:right w:val="nil"/>
            </w:tcBorders>
            <w:shd w:val="clear" w:color="auto" w:fill="auto"/>
            <w:noWrap/>
            <w:vAlign w:val="center"/>
            <w:hideMark/>
          </w:tcPr>
          <w:p w14:paraId="3A2DC4A9"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1. Počet zamestnaných (tis.) [1] </w:t>
            </w:r>
          </w:p>
        </w:tc>
        <w:tc>
          <w:tcPr>
            <w:tcW w:w="740" w:type="dxa"/>
            <w:tcBorders>
              <w:top w:val="single" w:sz="6" w:space="0" w:color="auto"/>
              <w:left w:val="nil"/>
              <w:bottom w:val="nil"/>
              <w:right w:val="nil"/>
            </w:tcBorders>
            <w:shd w:val="clear" w:color="auto" w:fill="auto"/>
            <w:vAlign w:val="bottom"/>
            <w:hideMark/>
          </w:tcPr>
          <w:p w14:paraId="08DE6429" w14:textId="77777777" w:rsidR="00D73008" w:rsidRPr="00F26E77" w:rsidRDefault="00D73008" w:rsidP="00387AE5">
            <w:pPr>
              <w:rPr>
                <w:rFonts w:cs="Times New Roman"/>
                <w:color w:val="000000"/>
                <w:sz w:val="18"/>
                <w:szCs w:val="18"/>
              </w:rPr>
            </w:pPr>
          </w:p>
        </w:tc>
        <w:tc>
          <w:tcPr>
            <w:tcW w:w="1015" w:type="dxa"/>
            <w:tcBorders>
              <w:top w:val="nil"/>
              <w:left w:val="nil"/>
              <w:bottom w:val="nil"/>
              <w:right w:val="nil"/>
            </w:tcBorders>
            <w:shd w:val="clear" w:color="auto" w:fill="auto"/>
            <w:vAlign w:val="center"/>
            <w:hideMark/>
          </w:tcPr>
          <w:p w14:paraId="56B53E6D" w14:textId="77777777" w:rsidR="00D73008" w:rsidRPr="00F26E77" w:rsidRDefault="00D73008" w:rsidP="00387AE5">
            <w:pPr>
              <w:jc w:val="center"/>
              <w:rPr>
                <w:rFonts w:cs="Times New Roman"/>
                <w:color w:val="000000"/>
                <w:sz w:val="18"/>
                <w:szCs w:val="18"/>
              </w:rPr>
            </w:pPr>
            <w:r w:rsidRPr="00F26E77">
              <w:rPr>
                <w:sz w:val="18"/>
                <w:szCs w:val="18"/>
              </w:rPr>
              <w:t>2 420</w:t>
            </w:r>
          </w:p>
        </w:tc>
        <w:tc>
          <w:tcPr>
            <w:tcW w:w="845" w:type="dxa"/>
            <w:tcBorders>
              <w:top w:val="nil"/>
              <w:left w:val="nil"/>
              <w:bottom w:val="nil"/>
              <w:right w:val="nil"/>
            </w:tcBorders>
            <w:shd w:val="clear" w:color="auto" w:fill="auto"/>
            <w:vAlign w:val="center"/>
            <w:hideMark/>
          </w:tcPr>
          <w:p w14:paraId="0228CB05" w14:textId="77777777" w:rsidR="00D73008" w:rsidRPr="00F26E77" w:rsidRDefault="00D73008" w:rsidP="00387AE5">
            <w:pPr>
              <w:jc w:val="center"/>
              <w:rPr>
                <w:rFonts w:cs="Times New Roman"/>
                <w:color w:val="000000"/>
                <w:sz w:val="18"/>
                <w:szCs w:val="18"/>
              </w:rPr>
            </w:pPr>
            <w:r w:rsidRPr="00F26E77">
              <w:rPr>
                <w:sz w:val="18"/>
                <w:szCs w:val="18"/>
              </w:rPr>
              <w:t>2,0</w:t>
            </w:r>
          </w:p>
        </w:tc>
        <w:tc>
          <w:tcPr>
            <w:tcW w:w="845" w:type="dxa"/>
            <w:tcBorders>
              <w:top w:val="nil"/>
              <w:left w:val="nil"/>
              <w:bottom w:val="nil"/>
              <w:right w:val="nil"/>
            </w:tcBorders>
            <w:shd w:val="clear" w:color="auto" w:fill="auto"/>
            <w:vAlign w:val="center"/>
            <w:hideMark/>
          </w:tcPr>
          <w:p w14:paraId="7201361C" w14:textId="77777777" w:rsidR="00D73008" w:rsidRPr="00F26E77" w:rsidRDefault="00D73008" w:rsidP="00387AE5">
            <w:pPr>
              <w:jc w:val="center"/>
              <w:rPr>
                <w:rFonts w:cs="Times New Roman"/>
                <w:color w:val="000000"/>
                <w:sz w:val="18"/>
                <w:szCs w:val="18"/>
              </w:rPr>
            </w:pPr>
            <w:r w:rsidRPr="00F26E77">
              <w:rPr>
                <w:sz w:val="18"/>
                <w:szCs w:val="18"/>
              </w:rPr>
              <w:t>1,1</w:t>
            </w:r>
          </w:p>
        </w:tc>
        <w:tc>
          <w:tcPr>
            <w:tcW w:w="848" w:type="dxa"/>
            <w:tcBorders>
              <w:top w:val="nil"/>
              <w:left w:val="nil"/>
              <w:bottom w:val="nil"/>
              <w:right w:val="nil"/>
            </w:tcBorders>
            <w:shd w:val="clear" w:color="auto" w:fill="auto"/>
            <w:vAlign w:val="center"/>
            <w:hideMark/>
          </w:tcPr>
          <w:p w14:paraId="3385D253" w14:textId="77777777" w:rsidR="00D73008" w:rsidRPr="00F26E77" w:rsidRDefault="00D73008" w:rsidP="00387AE5">
            <w:pPr>
              <w:jc w:val="center"/>
              <w:rPr>
                <w:rFonts w:cs="Times New Roman"/>
                <w:color w:val="000000"/>
                <w:sz w:val="18"/>
                <w:szCs w:val="18"/>
              </w:rPr>
            </w:pPr>
            <w:r w:rsidRPr="00F26E77">
              <w:rPr>
                <w:sz w:val="18"/>
                <w:szCs w:val="18"/>
              </w:rPr>
              <w:t>0,8</w:t>
            </w:r>
          </w:p>
        </w:tc>
        <w:tc>
          <w:tcPr>
            <w:tcW w:w="845" w:type="dxa"/>
            <w:tcBorders>
              <w:top w:val="nil"/>
              <w:left w:val="nil"/>
              <w:bottom w:val="nil"/>
              <w:right w:val="nil"/>
            </w:tcBorders>
            <w:shd w:val="clear" w:color="auto" w:fill="auto"/>
            <w:vAlign w:val="center"/>
            <w:hideMark/>
          </w:tcPr>
          <w:p w14:paraId="2FE29830" w14:textId="77777777" w:rsidR="00D73008" w:rsidRPr="00F26E77" w:rsidRDefault="00D73008" w:rsidP="00387AE5">
            <w:pPr>
              <w:jc w:val="center"/>
              <w:rPr>
                <w:rFonts w:cs="Times New Roman"/>
                <w:color w:val="000000"/>
                <w:sz w:val="18"/>
                <w:szCs w:val="18"/>
              </w:rPr>
            </w:pPr>
            <w:r w:rsidRPr="00F26E77">
              <w:rPr>
                <w:sz w:val="18"/>
                <w:szCs w:val="18"/>
              </w:rPr>
              <w:t>0,6</w:t>
            </w:r>
          </w:p>
        </w:tc>
        <w:tc>
          <w:tcPr>
            <w:tcW w:w="846" w:type="dxa"/>
            <w:tcBorders>
              <w:top w:val="nil"/>
              <w:left w:val="nil"/>
              <w:bottom w:val="nil"/>
              <w:right w:val="nil"/>
            </w:tcBorders>
            <w:shd w:val="clear" w:color="auto" w:fill="auto"/>
            <w:vAlign w:val="center"/>
            <w:hideMark/>
          </w:tcPr>
          <w:p w14:paraId="22F541B5" w14:textId="77777777" w:rsidR="00D73008" w:rsidRPr="00F26E77" w:rsidRDefault="00D73008" w:rsidP="00387AE5">
            <w:pPr>
              <w:jc w:val="center"/>
              <w:rPr>
                <w:rFonts w:cs="Times New Roman"/>
                <w:color w:val="000000"/>
                <w:sz w:val="18"/>
                <w:szCs w:val="18"/>
              </w:rPr>
            </w:pPr>
            <w:r w:rsidRPr="00F26E77">
              <w:rPr>
                <w:sz w:val="18"/>
                <w:szCs w:val="18"/>
              </w:rPr>
              <w:t>0,5</w:t>
            </w:r>
          </w:p>
        </w:tc>
      </w:tr>
      <w:tr w:rsidR="00D73008" w:rsidRPr="00F26E77" w14:paraId="728E2913" w14:textId="77777777" w:rsidTr="00387AE5">
        <w:trPr>
          <w:trHeight w:val="291"/>
        </w:trPr>
        <w:tc>
          <w:tcPr>
            <w:tcW w:w="2960" w:type="dxa"/>
            <w:tcBorders>
              <w:top w:val="nil"/>
              <w:left w:val="nil"/>
              <w:bottom w:val="nil"/>
              <w:right w:val="nil"/>
            </w:tcBorders>
            <w:shd w:val="clear" w:color="auto" w:fill="auto"/>
            <w:noWrap/>
            <w:vAlign w:val="center"/>
            <w:hideMark/>
          </w:tcPr>
          <w:p w14:paraId="64441AEA" w14:textId="77777777" w:rsidR="00D73008" w:rsidRPr="00F26E77" w:rsidRDefault="00D73008" w:rsidP="00387AE5">
            <w:pPr>
              <w:rPr>
                <w:rFonts w:cs="Times New Roman"/>
                <w:color w:val="000000"/>
                <w:sz w:val="18"/>
                <w:szCs w:val="18"/>
              </w:rPr>
            </w:pPr>
            <w:r w:rsidRPr="00F26E77">
              <w:rPr>
                <w:rFonts w:cs="Times New Roman"/>
                <w:color w:val="000000"/>
                <w:sz w:val="18"/>
                <w:szCs w:val="18"/>
              </w:rPr>
              <w:t>2. Počet odpracovaných hodín (mil.)[2]</w:t>
            </w:r>
          </w:p>
        </w:tc>
        <w:tc>
          <w:tcPr>
            <w:tcW w:w="740" w:type="dxa"/>
            <w:tcBorders>
              <w:top w:val="nil"/>
              <w:left w:val="nil"/>
              <w:bottom w:val="nil"/>
              <w:right w:val="nil"/>
            </w:tcBorders>
            <w:shd w:val="clear" w:color="auto" w:fill="auto"/>
            <w:vAlign w:val="bottom"/>
            <w:hideMark/>
          </w:tcPr>
          <w:p w14:paraId="23C96FBB" w14:textId="77777777" w:rsidR="00D73008" w:rsidRPr="00F26E77" w:rsidRDefault="00D73008" w:rsidP="00387AE5">
            <w:pPr>
              <w:rPr>
                <w:rFonts w:cs="Times New Roman"/>
                <w:color w:val="000000"/>
                <w:sz w:val="18"/>
                <w:szCs w:val="18"/>
              </w:rPr>
            </w:pPr>
          </w:p>
        </w:tc>
        <w:tc>
          <w:tcPr>
            <w:tcW w:w="1015" w:type="dxa"/>
            <w:tcBorders>
              <w:top w:val="nil"/>
              <w:left w:val="nil"/>
              <w:bottom w:val="nil"/>
              <w:right w:val="nil"/>
            </w:tcBorders>
            <w:shd w:val="clear" w:color="auto" w:fill="auto"/>
            <w:vAlign w:val="center"/>
            <w:hideMark/>
          </w:tcPr>
          <w:p w14:paraId="01D021EB" w14:textId="77777777" w:rsidR="00D73008" w:rsidRPr="00F26E77" w:rsidRDefault="00D73008" w:rsidP="00387AE5">
            <w:pPr>
              <w:jc w:val="center"/>
              <w:rPr>
                <w:rFonts w:cs="Times New Roman"/>
                <w:color w:val="000000"/>
                <w:sz w:val="18"/>
                <w:szCs w:val="18"/>
              </w:rPr>
            </w:pPr>
            <w:r w:rsidRPr="00F26E77">
              <w:rPr>
                <w:sz w:val="18"/>
                <w:szCs w:val="18"/>
              </w:rPr>
              <w:t>4 108</w:t>
            </w:r>
          </w:p>
        </w:tc>
        <w:tc>
          <w:tcPr>
            <w:tcW w:w="845" w:type="dxa"/>
            <w:tcBorders>
              <w:top w:val="nil"/>
              <w:left w:val="nil"/>
              <w:bottom w:val="nil"/>
              <w:right w:val="nil"/>
            </w:tcBorders>
            <w:shd w:val="clear" w:color="auto" w:fill="auto"/>
            <w:vAlign w:val="center"/>
            <w:hideMark/>
          </w:tcPr>
          <w:p w14:paraId="28B1E4B4" w14:textId="77777777" w:rsidR="00D73008" w:rsidRPr="00F26E77" w:rsidRDefault="00D73008" w:rsidP="00387AE5">
            <w:pPr>
              <w:jc w:val="center"/>
              <w:rPr>
                <w:rFonts w:cs="Times New Roman"/>
                <w:color w:val="000000"/>
                <w:sz w:val="18"/>
                <w:szCs w:val="18"/>
              </w:rPr>
            </w:pPr>
            <w:r w:rsidRPr="00F26E77">
              <w:rPr>
                <w:sz w:val="18"/>
                <w:szCs w:val="18"/>
              </w:rPr>
              <w:t>1,1</w:t>
            </w:r>
          </w:p>
        </w:tc>
        <w:tc>
          <w:tcPr>
            <w:tcW w:w="845" w:type="dxa"/>
            <w:tcBorders>
              <w:top w:val="nil"/>
              <w:left w:val="nil"/>
              <w:bottom w:val="nil"/>
              <w:right w:val="nil"/>
            </w:tcBorders>
            <w:shd w:val="clear" w:color="auto" w:fill="auto"/>
            <w:vAlign w:val="center"/>
            <w:hideMark/>
          </w:tcPr>
          <w:p w14:paraId="4B9F86F0" w14:textId="77777777" w:rsidR="00D73008" w:rsidRPr="00F26E77" w:rsidRDefault="00D73008" w:rsidP="00387AE5">
            <w:pPr>
              <w:jc w:val="center"/>
              <w:rPr>
                <w:rFonts w:cs="Times New Roman"/>
                <w:color w:val="000000"/>
                <w:sz w:val="18"/>
                <w:szCs w:val="18"/>
              </w:rPr>
            </w:pPr>
            <w:r w:rsidRPr="00F26E77">
              <w:rPr>
                <w:sz w:val="18"/>
                <w:szCs w:val="18"/>
              </w:rPr>
              <w:t>1,1</w:t>
            </w:r>
          </w:p>
        </w:tc>
        <w:tc>
          <w:tcPr>
            <w:tcW w:w="848" w:type="dxa"/>
            <w:tcBorders>
              <w:top w:val="nil"/>
              <w:left w:val="nil"/>
              <w:bottom w:val="nil"/>
              <w:right w:val="nil"/>
            </w:tcBorders>
            <w:shd w:val="clear" w:color="auto" w:fill="auto"/>
            <w:vAlign w:val="center"/>
            <w:hideMark/>
          </w:tcPr>
          <w:p w14:paraId="420882D9" w14:textId="77777777" w:rsidR="00D73008" w:rsidRPr="00F26E77" w:rsidRDefault="00D73008" w:rsidP="00387AE5">
            <w:pPr>
              <w:jc w:val="center"/>
              <w:rPr>
                <w:rFonts w:cs="Times New Roman"/>
                <w:color w:val="000000"/>
                <w:sz w:val="18"/>
                <w:szCs w:val="18"/>
              </w:rPr>
            </w:pPr>
            <w:r w:rsidRPr="00F26E77">
              <w:rPr>
                <w:sz w:val="18"/>
                <w:szCs w:val="18"/>
              </w:rPr>
              <w:t>0,8</w:t>
            </w:r>
          </w:p>
        </w:tc>
        <w:tc>
          <w:tcPr>
            <w:tcW w:w="845" w:type="dxa"/>
            <w:tcBorders>
              <w:top w:val="nil"/>
              <w:left w:val="nil"/>
              <w:bottom w:val="nil"/>
              <w:right w:val="nil"/>
            </w:tcBorders>
            <w:shd w:val="clear" w:color="auto" w:fill="auto"/>
            <w:vAlign w:val="center"/>
            <w:hideMark/>
          </w:tcPr>
          <w:p w14:paraId="5B909A9E" w14:textId="77777777" w:rsidR="00D73008" w:rsidRPr="00F26E77" w:rsidRDefault="00D73008" w:rsidP="00387AE5">
            <w:pPr>
              <w:jc w:val="center"/>
              <w:rPr>
                <w:rFonts w:cs="Times New Roman"/>
                <w:color w:val="000000"/>
                <w:sz w:val="18"/>
                <w:szCs w:val="18"/>
              </w:rPr>
            </w:pPr>
            <w:r w:rsidRPr="00F26E77">
              <w:rPr>
                <w:sz w:val="18"/>
                <w:szCs w:val="18"/>
              </w:rPr>
              <w:t>0,6</w:t>
            </w:r>
          </w:p>
        </w:tc>
        <w:tc>
          <w:tcPr>
            <w:tcW w:w="846" w:type="dxa"/>
            <w:tcBorders>
              <w:top w:val="nil"/>
              <w:left w:val="nil"/>
              <w:bottom w:val="nil"/>
              <w:right w:val="nil"/>
            </w:tcBorders>
            <w:shd w:val="clear" w:color="auto" w:fill="auto"/>
            <w:vAlign w:val="center"/>
            <w:hideMark/>
          </w:tcPr>
          <w:p w14:paraId="55888CCB" w14:textId="77777777" w:rsidR="00D73008" w:rsidRPr="00F26E77" w:rsidRDefault="00D73008" w:rsidP="00387AE5">
            <w:pPr>
              <w:jc w:val="center"/>
              <w:rPr>
                <w:rFonts w:cs="Times New Roman"/>
                <w:color w:val="000000"/>
                <w:sz w:val="18"/>
                <w:szCs w:val="18"/>
              </w:rPr>
            </w:pPr>
            <w:r w:rsidRPr="00F26E77">
              <w:rPr>
                <w:sz w:val="18"/>
                <w:szCs w:val="18"/>
              </w:rPr>
              <w:t>0,5</w:t>
            </w:r>
          </w:p>
        </w:tc>
      </w:tr>
      <w:tr w:rsidR="00D73008" w:rsidRPr="00F26E77" w14:paraId="2168C40C" w14:textId="77777777" w:rsidTr="00387AE5">
        <w:trPr>
          <w:trHeight w:val="291"/>
        </w:trPr>
        <w:tc>
          <w:tcPr>
            <w:tcW w:w="2960" w:type="dxa"/>
            <w:tcBorders>
              <w:top w:val="nil"/>
              <w:left w:val="nil"/>
              <w:bottom w:val="nil"/>
              <w:right w:val="nil"/>
            </w:tcBorders>
            <w:shd w:val="clear" w:color="auto" w:fill="auto"/>
            <w:noWrap/>
            <w:vAlign w:val="center"/>
            <w:hideMark/>
          </w:tcPr>
          <w:p w14:paraId="52CABC3B"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3. Miera nezamestnanosti (%)[3]  </w:t>
            </w:r>
          </w:p>
        </w:tc>
        <w:tc>
          <w:tcPr>
            <w:tcW w:w="740" w:type="dxa"/>
            <w:tcBorders>
              <w:top w:val="nil"/>
              <w:left w:val="nil"/>
              <w:bottom w:val="nil"/>
              <w:right w:val="nil"/>
            </w:tcBorders>
            <w:shd w:val="clear" w:color="auto" w:fill="auto"/>
            <w:vAlign w:val="bottom"/>
            <w:hideMark/>
          </w:tcPr>
          <w:p w14:paraId="46A406DD" w14:textId="77777777" w:rsidR="00D73008" w:rsidRPr="00F26E77" w:rsidRDefault="00D73008" w:rsidP="00387AE5">
            <w:pPr>
              <w:rPr>
                <w:rFonts w:cs="Times New Roman"/>
                <w:color w:val="000000"/>
                <w:sz w:val="18"/>
                <w:szCs w:val="18"/>
              </w:rPr>
            </w:pPr>
          </w:p>
        </w:tc>
        <w:tc>
          <w:tcPr>
            <w:tcW w:w="1015" w:type="dxa"/>
            <w:tcBorders>
              <w:top w:val="nil"/>
              <w:left w:val="nil"/>
              <w:bottom w:val="nil"/>
              <w:right w:val="nil"/>
            </w:tcBorders>
            <w:shd w:val="clear" w:color="auto" w:fill="auto"/>
            <w:vAlign w:val="center"/>
            <w:hideMark/>
          </w:tcPr>
          <w:p w14:paraId="1DA8278D" w14:textId="77777777" w:rsidR="00D73008" w:rsidRPr="00F26E77" w:rsidRDefault="00D73008" w:rsidP="00387AE5">
            <w:pPr>
              <w:jc w:val="center"/>
              <w:rPr>
                <w:rFonts w:ascii="Times New Roman" w:hAnsi="Times New Roman" w:cs="Times New Roman"/>
                <w:sz w:val="18"/>
                <w:szCs w:val="18"/>
              </w:rPr>
            </w:pPr>
          </w:p>
        </w:tc>
        <w:tc>
          <w:tcPr>
            <w:tcW w:w="845" w:type="dxa"/>
            <w:tcBorders>
              <w:top w:val="nil"/>
              <w:left w:val="nil"/>
              <w:bottom w:val="nil"/>
              <w:right w:val="nil"/>
            </w:tcBorders>
            <w:shd w:val="clear" w:color="auto" w:fill="auto"/>
            <w:vAlign w:val="center"/>
            <w:hideMark/>
          </w:tcPr>
          <w:p w14:paraId="570208D7" w14:textId="77777777" w:rsidR="00D73008" w:rsidRPr="00F26E77" w:rsidRDefault="00D73008" w:rsidP="00387AE5">
            <w:pPr>
              <w:jc w:val="center"/>
              <w:rPr>
                <w:rFonts w:cs="Times New Roman"/>
                <w:color w:val="000000"/>
                <w:sz w:val="18"/>
                <w:szCs w:val="18"/>
              </w:rPr>
            </w:pPr>
            <w:r w:rsidRPr="00F26E77">
              <w:rPr>
                <w:sz w:val="18"/>
                <w:szCs w:val="18"/>
              </w:rPr>
              <w:t>6,6</w:t>
            </w:r>
          </w:p>
        </w:tc>
        <w:tc>
          <w:tcPr>
            <w:tcW w:w="845" w:type="dxa"/>
            <w:tcBorders>
              <w:top w:val="nil"/>
              <w:left w:val="nil"/>
              <w:bottom w:val="nil"/>
              <w:right w:val="nil"/>
            </w:tcBorders>
            <w:shd w:val="clear" w:color="auto" w:fill="auto"/>
            <w:vAlign w:val="center"/>
            <w:hideMark/>
          </w:tcPr>
          <w:p w14:paraId="0419F7ED" w14:textId="77777777" w:rsidR="00D73008" w:rsidRPr="00F26E77" w:rsidRDefault="00D73008" w:rsidP="00387AE5">
            <w:pPr>
              <w:jc w:val="center"/>
              <w:rPr>
                <w:rFonts w:cs="Times New Roman"/>
                <w:color w:val="000000"/>
                <w:sz w:val="18"/>
                <w:szCs w:val="18"/>
              </w:rPr>
            </w:pPr>
            <w:r w:rsidRPr="00F26E77">
              <w:rPr>
                <w:sz w:val="18"/>
                <w:szCs w:val="18"/>
              </w:rPr>
              <w:t>6,0</w:t>
            </w:r>
          </w:p>
        </w:tc>
        <w:tc>
          <w:tcPr>
            <w:tcW w:w="848" w:type="dxa"/>
            <w:tcBorders>
              <w:top w:val="nil"/>
              <w:left w:val="nil"/>
              <w:bottom w:val="nil"/>
              <w:right w:val="nil"/>
            </w:tcBorders>
            <w:shd w:val="clear" w:color="auto" w:fill="auto"/>
            <w:vAlign w:val="center"/>
            <w:hideMark/>
          </w:tcPr>
          <w:p w14:paraId="7348EE13" w14:textId="77777777" w:rsidR="00D73008" w:rsidRPr="00F26E77" w:rsidRDefault="00D73008" w:rsidP="00387AE5">
            <w:pPr>
              <w:jc w:val="center"/>
              <w:rPr>
                <w:rFonts w:cs="Times New Roman"/>
                <w:color w:val="000000"/>
                <w:sz w:val="18"/>
                <w:szCs w:val="18"/>
              </w:rPr>
            </w:pPr>
            <w:r w:rsidRPr="00F26E77">
              <w:rPr>
                <w:sz w:val="18"/>
                <w:szCs w:val="18"/>
              </w:rPr>
              <w:t>5,6</w:t>
            </w:r>
          </w:p>
        </w:tc>
        <w:tc>
          <w:tcPr>
            <w:tcW w:w="845" w:type="dxa"/>
            <w:tcBorders>
              <w:top w:val="nil"/>
              <w:left w:val="nil"/>
              <w:bottom w:val="nil"/>
              <w:right w:val="nil"/>
            </w:tcBorders>
            <w:shd w:val="clear" w:color="auto" w:fill="auto"/>
            <w:vAlign w:val="center"/>
            <w:hideMark/>
          </w:tcPr>
          <w:p w14:paraId="4FE24AD5" w14:textId="77777777" w:rsidR="00D73008" w:rsidRPr="00F26E77" w:rsidRDefault="00D73008" w:rsidP="00387AE5">
            <w:pPr>
              <w:jc w:val="center"/>
              <w:rPr>
                <w:rFonts w:cs="Times New Roman"/>
                <w:color w:val="000000"/>
                <w:sz w:val="18"/>
                <w:szCs w:val="18"/>
              </w:rPr>
            </w:pPr>
            <w:r w:rsidRPr="00F26E77">
              <w:rPr>
                <w:sz w:val="18"/>
                <w:szCs w:val="18"/>
              </w:rPr>
              <w:t>5,5</w:t>
            </w:r>
          </w:p>
        </w:tc>
        <w:tc>
          <w:tcPr>
            <w:tcW w:w="846" w:type="dxa"/>
            <w:tcBorders>
              <w:top w:val="nil"/>
              <w:left w:val="nil"/>
              <w:bottom w:val="nil"/>
              <w:right w:val="nil"/>
            </w:tcBorders>
            <w:shd w:val="clear" w:color="auto" w:fill="auto"/>
            <w:vAlign w:val="center"/>
            <w:hideMark/>
          </w:tcPr>
          <w:p w14:paraId="375DB801" w14:textId="77777777" w:rsidR="00D73008" w:rsidRPr="00F26E77" w:rsidRDefault="00D73008" w:rsidP="00387AE5">
            <w:pPr>
              <w:jc w:val="center"/>
              <w:rPr>
                <w:rFonts w:cs="Times New Roman"/>
                <w:color w:val="000000"/>
                <w:sz w:val="18"/>
                <w:szCs w:val="18"/>
              </w:rPr>
            </w:pPr>
            <w:r w:rsidRPr="00F26E77">
              <w:rPr>
                <w:sz w:val="18"/>
                <w:szCs w:val="18"/>
              </w:rPr>
              <w:t>5,3</w:t>
            </w:r>
          </w:p>
        </w:tc>
      </w:tr>
      <w:tr w:rsidR="00D73008" w:rsidRPr="00F26E77" w14:paraId="5E5B2D16" w14:textId="77777777" w:rsidTr="00387AE5">
        <w:trPr>
          <w:trHeight w:val="291"/>
        </w:trPr>
        <w:tc>
          <w:tcPr>
            <w:tcW w:w="2960" w:type="dxa"/>
            <w:tcBorders>
              <w:top w:val="nil"/>
              <w:left w:val="nil"/>
              <w:bottom w:val="nil"/>
              <w:right w:val="nil"/>
            </w:tcBorders>
            <w:shd w:val="clear" w:color="auto" w:fill="auto"/>
            <w:noWrap/>
            <w:vAlign w:val="center"/>
            <w:hideMark/>
          </w:tcPr>
          <w:p w14:paraId="4B35D75A"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4. Produktivita práce na osobu (eur) [4]  </w:t>
            </w:r>
          </w:p>
        </w:tc>
        <w:tc>
          <w:tcPr>
            <w:tcW w:w="740" w:type="dxa"/>
            <w:tcBorders>
              <w:top w:val="nil"/>
              <w:left w:val="nil"/>
              <w:bottom w:val="nil"/>
              <w:right w:val="nil"/>
            </w:tcBorders>
            <w:shd w:val="clear" w:color="auto" w:fill="auto"/>
            <w:vAlign w:val="bottom"/>
            <w:hideMark/>
          </w:tcPr>
          <w:p w14:paraId="6B936D1C" w14:textId="77777777" w:rsidR="00D73008" w:rsidRPr="00F26E77" w:rsidRDefault="00D73008" w:rsidP="00387AE5">
            <w:pPr>
              <w:rPr>
                <w:rFonts w:cs="Times New Roman"/>
                <w:color w:val="000000"/>
                <w:sz w:val="18"/>
                <w:szCs w:val="18"/>
              </w:rPr>
            </w:pPr>
          </w:p>
        </w:tc>
        <w:tc>
          <w:tcPr>
            <w:tcW w:w="1015" w:type="dxa"/>
            <w:tcBorders>
              <w:top w:val="nil"/>
              <w:left w:val="nil"/>
              <w:bottom w:val="nil"/>
              <w:right w:val="nil"/>
            </w:tcBorders>
            <w:shd w:val="clear" w:color="auto" w:fill="auto"/>
            <w:vAlign w:val="center"/>
            <w:hideMark/>
          </w:tcPr>
          <w:p w14:paraId="11CDCE13" w14:textId="77777777" w:rsidR="00D73008" w:rsidRPr="00F26E77" w:rsidRDefault="00D73008" w:rsidP="00387AE5">
            <w:pPr>
              <w:jc w:val="center"/>
              <w:rPr>
                <w:rFonts w:cs="Times New Roman"/>
                <w:color w:val="000000"/>
                <w:sz w:val="18"/>
                <w:szCs w:val="18"/>
              </w:rPr>
            </w:pPr>
            <w:r w:rsidRPr="00F26E77">
              <w:rPr>
                <w:sz w:val="18"/>
                <w:szCs w:val="18"/>
              </w:rPr>
              <w:t>35 129</w:t>
            </w:r>
          </w:p>
        </w:tc>
        <w:tc>
          <w:tcPr>
            <w:tcW w:w="845" w:type="dxa"/>
            <w:tcBorders>
              <w:top w:val="nil"/>
              <w:left w:val="nil"/>
              <w:bottom w:val="nil"/>
              <w:right w:val="nil"/>
            </w:tcBorders>
            <w:shd w:val="clear" w:color="auto" w:fill="auto"/>
            <w:vAlign w:val="center"/>
            <w:hideMark/>
          </w:tcPr>
          <w:p w14:paraId="1F676EF8" w14:textId="77777777" w:rsidR="00D73008" w:rsidRPr="00F26E77" w:rsidRDefault="00D73008" w:rsidP="00387AE5">
            <w:pPr>
              <w:jc w:val="center"/>
              <w:rPr>
                <w:rFonts w:cs="Times New Roman"/>
                <w:color w:val="000000"/>
                <w:sz w:val="18"/>
                <w:szCs w:val="18"/>
              </w:rPr>
            </w:pPr>
            <w:r w:rsidRPr="00F26E77">
              <w:rPr>
                <w:sz w:val="18"/>
                <w:szCs w:val="18"/>
              </w:rPr>
              <w:t>2,1</w:t>
            </w:r>
          </w:p>
        </w:tc>
        <w:tc>
          <w:tcPr>
            <w:tcW w:w="845" w:type="dxa"/>
            <w:tcBorders>
              <w:top w:val="nil"/>
              <w:left w:val="nil"/>
              <w:bottom w:val="nil"/>
              <w:right w:val="nil"/>
            </w:tcBorders>
            <w:shd w:val="clear" w:color="auto" w:fill="auto"/>
            <w:vAlign w:val="center"/>
            <w:hideMark/>
          </w:tcPr>
          <w:p w14:paraId="5E18DF2F" w14:textId="77777777" w:rsidR="00D73008" w:rsidRPr="00F26E77" w:rsidRDefault="00D73008" w:rsidP="00387AE5">
            <w:pPr>
              <w:jc w:val="center"/>
              <w:rPr>
                <w:rFonts w:cs="Times New Roman"/>
                <w:color w:val="000000"/>
                <w:sz w:val="18"/>
                <w:szCs w:val="18"/>
              </w:rPr>
            </w:pPr>
            <w:r w:rsidRPr="00F26E77">
              <w:rPr>
                <w:sz w:val="18"/>
                <w:szCs w:val="18"/>
              </w:rPr>
              <w:t>2,9</w:t>
            </w:r>
          </w:p>
        </w:tc>
        <w:tc>
          <w:tcPr>
            <w:tcW w:w="848" w:type="dxa"/>
            <w:tcBorders>
              <w:top w:val="nil"/>
              <w:left w:val="nil"/>
              <w:bottom w:val="nil"/>
              <w:right w:val="nil"/>
            </w:tcBorders>
            <w:shd w:val="clear" w:color="auto" w:fill="auto"/>
            <w:vAlign w:val="center"/>
            <w:hideMark/>
          </w:tcPr>
          <w:p w14:paraId="7B36E5A9" w14:textId="77777777" w:rsidR="00D73008" w:rsidRPr="00F26E77" w:rsidRDefault="00D73008" w:rsidP="00387AE5">
            <w:pPr>
              <w:jc w:val="center"/>
              <w:rPr>
                <w:rFonts w:cs="Times New Roman"/>
                <w:color w:val="000000"/>
                <w:sz w:val="18"/>
                <w:szCs w:val="18"/>
              </w:rPr>
            </w:pPr>
            <w:r w:rsidRPr="00F26E77">
              <w:rPr>
                <w:sz w:val="18"/>
                <w:szCs w:val="18"/>
              </w:rPr>
              <w:t>2,9</w:t>
            </w:r>
          </w:p>
        </w:tc>
        <w:tc>
          <w:tcPr>
            <w:tcW w:w="845" w:type="dxa"/>
            <w:tcBorders>
              <w:top w:val="nil"/>
              <w:left w:val="nil"/>
              <w:bottom w:val="nil"/>
              <w:right w:val="nil"/>
            </w:tcBorders>
            <w:shd w:val="clear" w:color="auto" w:fill="auto"/>
            <w:vAlign w:val="center"/>
            <w:hideMark/>
          </w:tcPr>
          <w:p w14:paraId="04159190" w14:textId="77777777" w:rsidR="00D73008" w:rsidRPr="00F26E77" w:rsidRDefault="00D73008" w:rsidP="00387AE5">
            <w:pPr>
              <w:jc w:val="center"/>
              <w:rPr>
                <w:rFonts w:cs="Times New Roman"/>
                <w:color w:val="000000"/>
                <w:sz w:val="18"/>
                <w:szCs w:val="18"/>
              </w:rPr>
            </w:pPr>
            <w:r w:rsidRPr="00F26E77">
              <w:rPr>
                <w:sz w:val="18"/>
                <w:szCs w:val="18"/>
              </w:rPr>
              <w:t>2,6</w:t>
            </w:r>
          </w:p>
        </w:tc>
        <w:tc>
          <w:tcPr>
            <w:tcW w:w="846" w:type="dxa"/>
            <w:tcBorders>
              <w:top w:val="nil"/>
              <w:left w:val="nil"/>
              <w:bottom w:val="nil"/>
              <w:right w:val="nil"/>
            </w:tcBorders>
            <w:shd w:val="clear" w:color="auto" w:fill="auto"/>
            <w:vAlign w:val="center"/>
            <w:hideMark/>
          </w:tcPr>
          <w:p w14:paraId="4A7DFCE1" w14:textId="77777777" w:rsidR="00D73008" w:rsidRPr="00F26E77" w:rsidRDefault="00D73008" w:rsidP="00387AE5">
            <w:pPr>
              <w:jc w:val="center"/>
              <w:rPr>
                <w:rFonts w:cs="Times New Roman"/>
                <w:color w:val="000000"/>
                <w:sz w:val="18"/>
                <w:szCs w:val="18"/>
              </w:rPr>
            </w:pPr>
            <w:r w:rsidRPr="00F26E77">
              <w:rPr>
                <w:sz w:val="18"/>
                <w:szCs w:val="18"/>
              </w:rPr>
              <w:t>2,0</w:t>
            </w:r>
          </w:p>
        </w:tc>
      </w:tr>
      <w:tr w:rsidR="00D73008" w:rsidRPr="00F26E77" w14:paraId="4141FC5A" w14:textId="77777777" w:rsidTr="00387AE5">
        <w:trPr>
          <w:trHeight w:val="291"/>
        </w:trPr>
        <w:tc>
          <w:tcPr>
            <w:tcW w:w="2960" w:type="dxa"/>
            <w:tcBorders>
              <w:top w:val="nil"/>
              <w:left w:val="nil"/>
              <w:bottom w:val="nil"/>
              <w:right w:val="nil"/>
            </w:tcBorders>
            <w:shd w:val="clear" w:color="auto" w:fill="auto"/>
            <w:noWrap/>
            <w:vAlign w:val="center"/>
            <w:hideMark/>
          </w:tcPr>
          <w:p w14:paraId="6ADD8DAA" w14:textId="77777777" w:rsidR="00D73008" w:rsidRPr="00F26E77" w:rsidRDefault="00D73008" w:rsidP="00387AE5">
            <w:pPr>
              <w:rPr>
                <w:rFonts w:cs="Times New Roman"/>
                <w:color w:val="000000"/>
                <w:sz w:val="18"/>
                <w:szCs w:val="18"/>
              </w:rPr>
            </w:pPr>
            <w:r w:rsidRPr="00F26E77">
              <w:rPr>
                <w:rFonts w:cs="Times New Roman"/>
                <w:color w:val="000000"/>
                <w:sz w:val="18"/>
                <w:szCs w:val="18"/>
              </w:rPr>
              <w:t>5. Produktivita práce na hodinu (eur) [5]</w:t>
            </w:r>
          </w:p>
        </w:tc>
        <w:tc>
          <w:tcPr>
            <w:tcW w:w="740" w:type="dxa"/>
            <w:tcBorders>
              <w:top w:val="nil"/>
              <w:left w:val="nil"/>
              <w:bottom w:val="nil"/>
              <w:right w:val="nil"/>
            </w:tcBorders>
            <w:shd w:val="clear" w:color="auto" w:fill="auto"/>
            <w:noWrap/>
            <w:vAlign w:val="bottom"/>
            <w:hideMark/>
          </w:tcPr>
          <w:p w14:paraId="5090A972" w14:textId="77777777" w:rsidR="00D73008" w:rsidRPr="00F26E77" w:rsidRDefault="00D73008" w:rsidP="00387AE5">
            <w:pPr>
              <w:rPr>
                <w:rFonts w:cs="Times New Roman"/>
                <w:color w:val="000000"/>
                <w:sz w:val="18"/>
                <w:szCs w:val="18"/>
              </w:rPr>
            </w:pPr>
          </w:p>
        </w:tc>
        <w:tc>
          <w:tcPr>
            <w:tcW w:w="1015" w:type="dxa"/>
            <w:tcBorders>
              <w:top w:val="nil"/>
              <w:left w:val="nil"/>
              <w:bottom w:val="nil"/>
              <w:right w:val="nil"/>
            </w:tcBorders>
            <w:shd w:val="clear" w:color="auto" w:fill="auto"/>
            <w:vAlign w:val="center"/>
            <w:hideMark/>
          </w:tcPr>
          <w:p w14:paraId="58C14976" w14:textId="77777777" w:rsidR="00D73008" w:rsidRPr="00F26E77" w:rsidRDefault="00D73008" w:rsidP="00387AE5">
            <w:pPr>
              <w:jc w:val="center"/>
              <w:rPr>
                <w:rFonts w:cs="Times New Roman"/>
                <w:color w:val="000000"/>
                <w:sz w:val="18"/>
                <w:szCs w:val="18"/>
              </w:rPr>
            </w:pPr>
            <w:r w:rsidRPr="00F26E77">
              <w:rPr>
                <w:sz w:val="18"/>
                <w:szCs w:val="18"/>
              </w:rPr>
              <w:t>20,7</w:t>
            </w:r>
          </w:p>
        </w:tc>
        <w:tc>
          <w:tcPr>
            <w:tcW w:w="845" w:type="dxa"/>
            <w:tcBorders>
              <w:top w:val="nil"/>
              <w:left w:val="nil"/>
              <w:bottom w:val="nil"/>
              <w:right w:val="nil"/>
            </w:tcBorders>
            <w:shd w:val="clear" w:color="auto" w:fill="auto"/>
            <w:vAlign w:val="center"/>
            <w:hideMark/>
          </w:tcPr>
          <w:p w14:paraId="0A2C25E9" w14:textId="77777777" w:rsidR="00D73008" w:rsidRPr="00F26E77" w:rsidRDefault="00D73008" w:rsidP="00387AE5">
            <w:pPr>
              <w:jc w:val="center"/>
              <w:rPr>
                <w:rFonts w:cs="Times New Roman"/>
                <w:color w:val="000000"/>
                <w:sz w:val="18"/>
                <w:szCs w:val="18"/>
              </w:rPr>
            </w:pPr>
            <w:r w:rsidRPr="00F26E77">
              <w:rPr>
                <w:sz w:val="18"/>
                <w:szCs w:val="18"/>
              </w:rPr>
              <w:t>3,0</w:t>
            </w:r>
          </w:p>
        </w:tc>
        <w:tc>
          <w:tcPr>
            <w:tcW w:w="845" w:type="dxa"/>
            <w:tcBorders>
              <w:top w:val="nil"/>
              <w:left w:val="nil"/>
              <w:bottom w:val="nil"/>
              <w:right w:val="nil"/>
            </w:tcBorders>
            <w:shd w:val="clear" w:color="auto" w:fill="auto"/>
            <w:vAlign w:val="center"/>
            <w:hideMark/>
          </w:tcPr>
          <w:p w14:paraId="5AB720A7" w14:textId="77777777" w:rsidR="00D73008" w:rsidRPr="00F26E77" w:rsidRDefault="00D73008" w:rsidP="00387AE5">
            <w:pPr>
              <w:jc w:val="center"/>
              <w:rPr>
                <w:rFonts w:cs="Times New Roman"/>
                <w:color w:val="000000"/>
                <w:sz w:val="18"/>
                <w:szCs w:val="18"/>
              </w:rPr>
            </w:pPr>
            <w:r w:rsidRPr="00F26E77">
              <w:rPr>
                <w:sz w:val="18"/>
                <w:szCs w:val="18"/>
              </w:rPr>
              <w:t>2,9</w:t>
            </w:r>
          </w:p>
        </w:tc>
        <w:tc>
          <w:tcPr>
            <w:tcW w:w="848" w:type="dxa"/>
            <w:tcBorders>
              <w:top w:val="nil"/>
              <w:left w:val="nil"/>
              <w:bottom w:val="nil"/>
              <w:right w:val="nil"/>
            </w:tcBorders>
            <w:shd w:val="clear" w:color="auto" w:fill="auto"/>
            <w:vAlign w:val="center"/>
            <w:hideMark/>
          </w:tcPr>
          <w:p w14:paraId="3E6C8BAC" w14:textId="77777777" w:rsidR="00D73008" w:rsidRPr="00F26E77" w:rsidRDefault="00D73008" w:rsidP="00387AE5">
            <w:pPr>
              <w:jc w:val="center"/>
              <w:rPr>
                <w:rFonts w:cs="Times New Roman"/>
                <w:color w:val="000000"/>
                <w:sz w:val="18"/>
                <w:szCs w:val="18"/>
              </w:rPr>
            </w:pPr>
            <w:r w:rsidRPr="00F26E77">
              <w:rPr>
                <w:sz w:val="18"/>
                <w:szCs w:val="18"/>
              </w:rPr>
              <w:t>2,9</w:t>
            </w:r>
          </w:p>
        </w:tc>
        <w:tc>
          <w:tcPr>
            <w:tcW w:w="845" w:type="dxa"/>
            <w:tcBorders>
              <w:top w:val="nil"/>
              <w:left w:val="nil"/>
              <w:bottom w:val="nil"/>
              <w:right w:val="nil"/>
            </w:tcBorders>
            <w:shd w:val="clear" w:color="auto" w:fill="auto"/>
            <w:vAlign w:val="center"/>
            <w:hideMark/>
          </w:tcPr>
          <w:p w14:paraId="653719A0" w14:textId="77777777" w:rsidR="00D73008" w:rsidRPr="00F26E77" w:rsidRDefault="00D73008" w:rsidP="00387AE5">
            <w:pPr>
              <w:jc w:val="center"/>
              <w:rPr>
                <w:rFonts w:cs="Times New Roman"/>
                <w:color w:val="000000"/>
                <w:sz w:val="18"/>
                <w:szCs w:val="18"/>
              </w:rPr>
            </w:pPr>
            <w:r w:rsidRPr="00F26E77">
              <w:rPr>
                <w:sz w:val="18"/>
                <w:szCs w:val="18"/>
              </w:rPr>
              <w:t>2,6</w:t>
            </w:r>
          </w:p>
        </w:tc>
        <w:tc>
          <w:tcPr>
            <w:tcW w:w="846" w:type="dxa"/>
            <w:tcBorders>
              <w:top w:val="nil"/>
              <w:left w:val="nil"/>
              <w:bottom w:val="nil"/>
              <w:right w:val="nil"/>
            </w:tcBorders>
            <w:shd w:val="clear" w:color="auto" w:fill="auto"/>
            <w:vAlign w:val="center"/>
            <w:hideMark/>
          </w:tcPr>
          <w:p w14:paraId="0DDF0EA8" w14:textId="77777777" w:rsidR="00D73008" w:rsidRPr="00F26E77" w:rsidRDefault="00D73008" w:rsidP="00387AE5">
            <w:pPr>
              <w:jc w:val="center"/>
              <w:rPr>
                <w:rFonts w:cs="Times New Roman"/>
                <w:color w:val="000000"/>
                <w:sz w:val="18"/>
                <w:szCs w:val="18"/>
              </w:rPr>
            </w:pPr>
            <w:r w:rsidRPr="00F26E77">
              <w:rPr>
                <w:sz w:val="18"/>
                <w:szCs w:val="18"/>
              </w:rPr>
              <w:t>2,0</w:t>
            </w:r>
          </w:p>
        </w:tc>
      </w:tr>
      <w:tr w:rsidR="00D73008" w:rsidRPr="00F26E77" w14:paraId="146006C2" w14:textId="77777777" w:rsidTr="00387AE5">
        <w:trPr>
          <w:trHeight w:val="291"/>
        </w:trPr>
        <w:tc>
          <w:tcPr>
            <w:tcW w:w="2960" w:type="dxa"/>
            <w:tcBorders>
              <w:top w:val="nil"/>
              <w:left w:val="nil"/>
              <w:bottom w:val="nil"/>
              <w:right w:val="nil"/>
            </w:tcBorders>
            <w:shd w:val="clear" w:color="auto" w:fill="auto"/>
            <w:noWrap/>
            <w:vAlign w:val="center"/>
            <w:hideMark/>
          </w:tcPr>
          <w:p w14:paraId="1B7AE0D0" w14:textId="77777777" w:rsidR="00D73008" w:rsidRPr="00F26E77" w:rsidRDefault="00D73008" w:rsidP="00387AE5">
            <w:pPr>
              <w:rPr>
                <w:rFonts w:cs="Times New Roman"/>
                <w:color w:val="000000"/>
                <w:sz w:val="18"/>
                <w:szCs w:val="18"/>
              </w:rPr>
            </w:pPr>
            <w:r w:rsidRPr="00F26E77">
              <w:rPr>
                <w:rFonts w:cs="Times New Roman"/>
                <w:color w:val="000000"/>
                <w:sz w:val="18"/>
                <w:szCs w:val="18"/>
              </w:rPr>
              <w:t>6. Odmeny zamestnancov (mil. eur)</w:t>
            </w:r>
          </w:p>
        </w:tc>
        <w:tc>
          <w:tcPr>
            <w:tcW w:w="740" w:type="dxa"/>
            <w:tcBorders>
              <w:top w:val="nil"/>
              <w:left w:val="nil"/>
              <w:bottom w:val="nil"/>
              <w:right w:val="nil"/>
            </w:tcBorders>
            <w:shd w:val="clear" w:color="auto" w:fill="auto"/>
            <w:noWrap/>
            <w:vAlign w:val="center"/>
            <w:hideMark/>
          </w:tcPr>
          <w:p w14:paraId="540F566A"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D.1</w:t>
            </w:r>
          </w:p>
        </w:tc>
        <w:tc>
          <w:tcPr>
            <w:tcW w:w="1015" w:type="dxa"/>
            <w:tcBorders>
              <w:top w:val="nil"/>
              <w:left w:val="nil"/>
              <w:bottom w:val="nil"/>
              <w:right w:val="nil"/>
            </w:tcBorders>
            <w:shd w:val="clear" w:color="auto" w:fill="auto"/>
            <w:vAlign w:val="center"/>
            <w:hideMark/>
          </w:tcPr>
          <w:p w14:paraId="6B730BF4" w14:textId="77777777" w:rsidR="00D73008" w:rsidRPr="00F26E77" w:rsidRDefault="00D73008" w:rsidP="00387AE5">
            <w:pPr>
              <w:jc w:val="center"/>
              <w:rPr>
                <w:rFonts w:cs="Times New Roman"/>
                <w:color w:val="000000"/>
                <w:sz w:val="18"/>
                <w:szCs w:val="18"/>
              </w:rPr>
            </w:pPr>
            <w:r w:rsidRPr="00F26E77">
              <w:rPr>
                <w:sz w:val="18"/>
                <w:szCs w:val="18"/>
              </w:rPr>
              <w:t>37 073</w:t>
            </w:r>
          </w:p>
        </w:tc>
        <w:tc>
          <w:tcPr>
            <w:tcW w:w="845" w:type="dxa"/>
            <w:tcBorders>
              <w:top w:val="nil"/>
              <w:left w:val="nil"/>
              <w:bottom w:val="nil"/>
              <w:right w:val="nil"/>
            </w:tcBorders>
            <w:shd w:val="clear" w:color="auto" w:fill="auto"/>
            <w:vAlign w:val="center"/>
            <w:hideMark/>
          </w:tcPr>
          <w:p w14:paraId="379E7B9D" w14:textId="77777777" w:rsidR="00D73008" w:rsidRPr="00F26E77" w:rsidRDefault="00D73008" w:rsidP="00387AE5">
            <w:pPr>
              <w:jc w:val="center"/>
              <w:rPr>
                <w:rFonts w:cs="Times New Roman"/>
                <w:color w:val="000000"/>
                <w:sz w:val="18"/>
                <w:szCs w:val="18"/>
              </w:rPr>
            </w:pPr>
            <w:r w:rsidRPr="00F26E77">
              <w:rPr>
                <w:sz w:val="18"/>
                <w:szCs w:val="18"/>
              </w:rPr>
              <w:t>7,9</w:t>
            </w:r>
          </w:p>
        </w:tc>
        <w:tc>
          <w:tcPr>
            <w:tcW w:w="845" w:type="dxa"/>
            <w:tcBorders>
              <w:top w:val="nil"/>
              <w:left w:val="nil"/>
              <w:bottom w:val="nil"/>
              <w:right w:val="nil"/>
            </w:tcBorders>
            <w:shd w:val="clear" w:color="auto" w:fill="auto"/>
            <w:vAlign w:val="center"/>
            <w:hideMark/>
          </w:tcPr>
          <w:p w14:paraId="55F90622" w14:textId="77777777" w:rsidR="00D73008" w:rsidRPr="00F26E77" w:rsidRDefault="00D73008" w:rsidP="00387AE5">
            <w:pPr>
              <w:jc w:val="center"/>
              <w:rPr>
                <w:rFonts w:cs="Times New Roman"/>
                <w:color w:val="000000"/>
                <w:sz w:val="18"/>
                <w:szCs w:val="18"/>
              </w:rPr>
            </w:pPr>
            <w:r w:rsidRPr="00F26E77">
              <w:rPr>
                <w:sz w:val="18"/>
                <w:szCs w:val="18"/>
              </w:rPr>
              <w:t>7,9</w:t>
            </w:r>
          </w:p>
        </w:tc>
        <w:tc>
          <w:tcPr>
            <w:tcW w:w="848" w:type="dxa"/>
            <w:tcBorders>
              <w:top w:val="nil"/>
              <w:left w:val="nil"/>
              <w:bottom w:val="nil"/>
              <w:right w:val="nil"/>
            </w:tcBorders>
            <w:shd w:val="clear" w:color="auto" w:fill="auto"/>
            <w:vAlign w:val="center"/>
            <w:hideMark/>
          </w:tcPr>
          <w:p w14:paraId="4D6D26DC" w14:textId="77777777" w:rsidR="00D73008" w:rsidRPr="00F26E77" w:rsidRDefault="00D73008" w:rsidP="00387AE5">
            <w:pPr>
              <w:jc w:val="center"/>
              <w:rPr>
                <w:rFonts w:cs="Times New Roman"/>
                <w:color w:val="000000"/>
                <w:sz w:val="18"/>
                <w:szCs w:val="18"/>
              </w:rPr>
            </w:pPr>
            <w:r w:rsidRPr="00F26E77">
              <w:rPr>
                <w:sz w:val="18"/>
                <w:szCs w:val="18"/>
              </w:rPr>
              <w:t>7,1</w:t>
            </w:r>
          </w:p>
        </w:tc>
        <w:tc>
          <w:tcPr>
            <w:tcW w:w="845" w:type="dxa"/>
            <w:tcBorders>
              <w:top w:val="nil"/>
              <w:left w:val="nil"/>
              <w:bottom w:val="nil"/>
              <w:right w:val="nil"/>
            </w:tcBorders>
            <w:shd w:val="clear" w:color="auto" w:fill="auto"/>
            <w:vAlign w:val="center"/>
            <w:hideMark/>
          </w:tcPr>
          <w:p w14:paraId="6F789DF6" w14:textId="77777777" w:rsidR="00D73008" w:rsidRPr="00F26E77" w:rsidRDefault="00D73008" w:rsidP="00387AE5">
            <w:pPr>
              <w:jc w:val="center"/>
              <w:rPr>
                <w:rFonts w:cs="Times New Roman"/>
                <w:color w:val="000000"/>
                <w:sz w:val="18"/>
                <w:szCs w:val="18"/>
              </w:rPr>
            </w:pPr>
            <w:r w:rsidRPr="00F26E77">
              <w:rPr>
                <w:sz w:val="18"/>
                <w:szCs w:val="18"/>
              </w:rPr>
              <w:t>5,9</w:t>
            </w:r>
          </w:p>
        </w:tc>
        <w:tc>
          <w:tcPr>
            <w:tcW w:w="846" w:type="dxa"/>
            <w:tcBorders>
              <w:top w:val="nil"/>
              <w:left w:val="nil"/>
              <w:bottom w:val="nil"/>
              <w:right w:val="nil"/>
            </w:tcBorders>
            <w:shd w:val="clear" w:color="auto" w:fill="auto"/>
            <w:vAlign w:val="center"/>
            <w:hideMark/>
          </w:tcPr>
          <w:p w14:paraId="0150D09F" w14:textId="77777777" w:rsidR="00D73008" w:rsidRPr="00F26E77" w:rsidRDefault="00D73008" w:rsidP="00387AE5">
            <w:pPr>
              <w:jc w:val="center"/>
              <w:rPr>
                <w:rFonts w:cs="Times New Roman"/>
                <w:color w:val="000000"/>
                <w:sz w:val="18"/>
                <w:szCs w:val="18"/>
              </w:rPr>
            </w:pPr>
            <w:r w:rsidRPr="00F26E77">
              <w:rPr>
                <w:sz w:val="18"/>
                <w:szCs w:val="18"/>
              </w:rPr>
              <w:t>5,0</w:t>
            </w:r>
          </w:p>
        </w:tc>
      </w:tr>
      <w:tr w:rsidR="00D73008" w:rsidRPr="00F26E77" w14:paraId="66629403" w14:textId="77777777" w:rsidTr="00387AE5">
        <w:trPr>
          <w:trHeight w:val="291"/>
        </w:trPr>
        <w:tc>
          <w:tcPr>
            <w:tcW w:w="2960" w:type="dxa"/>
            <w:tcBorders>
              <w:top w:val="nil"/>
              <w:left w:val="nil"/>
              <w:bottom w:val="single" w:sz="8" w:space="0" w:color="auto"/>
              <w:right w:val="nil"/>
            </w:tcBorders>
            <w:shd w:val="clear" w:color="auto" w:fill="auto"/>
            <w:noWrap/>
            <w:vAlign w:val="center"/>
            <w:hideMark/>
          </w:tcPr>
          <w:p w14:paraId="42EFED49" w14:textId="77777777" w:rsidR="00D73008" w:rsidRPr="00F26E77" w:rsidRDefault="00D73008" w:rsidP="00387AE5">
            <w:pPr>
              <w:rPr>
                <w:rFonts w:cs="Times New Roman"/>
                <w:color w:val="000000"/>
                <w:sz w:val="18"/>
                <w:szCs w:val="18"/>
              </w:rPr>
            </w:pPr>
            <w:r w:rsidRPr="00F26E77">
              <w:rPr>
                <w:rFonts w:cs="Times New Roman"/>
                <w:color w:val="000000"/>
                <w:sz w:val="18"/>
                <w:szCs w:val="18"/>
              </w:rPr>
              <w:t>7. Odmeny na zamestnanca (eur)</w:t>
            </w:r>
          </w:p>
        </w:tc>
        <w:tc>
          <w:tcPr>
            <w:tcW w:w="740" w:type="dxa"/>
            <w:tcBorders>
              <w:top w:val="nil"/>
              <w:left w:val="nil"/>
              <w:bottom w:val="single" w:sz="8" w:space="0" w:color="auto"/>
              <w:right w:val="nil"/>
            </w:tcBorders>
            <w:shd w:val="clear" w:color="auto" w:fill="auto"/>
            <w:noWrap/>
            <w:vAlign w:val="bottom"/>
            <w:hideMark/>
          </w:tcPr>
          <w:p w14:paraId="096EE054"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 </w:t>
            </w:r>
          </w:p>
        </w:tc>
        <w:tc>
          <w:tcPr>
            <w:tcW w:w="1015" w:type="dxa"/>
            <w:tcBorders>
              <w:top w:val="nil"/>
              <w:left w:val="nil"/>
              <w:bottom w:val="single" w:sz="8" w:space="0" w:color="auto"/>
              <w:right w:val="nil"/>
            </w:tcBorders>
            <w:shd w:val="clear" w:color="auto" w:fill="auto"/>
            <w:vAlign w:val="center"/>
            <w:hideMark/>
          </w:tcPr>
          <w:p w14:paraId="7DA0A75E" w14:textId="77777777" w:rsidR="00D73008" w:rsidRPr="00F26E77" w:rsidRDefault="00D73008" w:rsidP="00387AE5">
            <w:pPr>
              <w:jc w:val="center"/>
              <w:rPr>
                <w:rFonts w:cs="Times New Roman"/>
                <w:color w:val="000000"/>
                <w:sz w:val="18"/>
                <w:szCs w:val="18"/>
              </w:rPr>
            </w:pPr>
            <w:r w:rsidRPr="00F26E77">
              <w:rPr>
                <w:sz w:val="18"/>
                <w:szCs w:val="18"/>
              </w:rPr>
              <w:t>17 675</w:t>
            </w:r>
          </w:p>
        </w:tc>
        <w:tc>
          <w:tcPr>
            <w:tcW w:w="845" w:type="dxa"/>
            <w:tcBorders>
              <w:top w:val="nil"/>
              <w:left w:val="nil"/>
              <w:bottom w:val="single" w:sz="8" w:space="0" w:color="auto"/>
              <w:right w:val="nil"/>
            </w:tcBorders>
            <w:shd w:val="clear" w:color="auto" w:fill="auto"/>
            <w:vAlign w:val="center"/>
            <w:hideMark/>
          </w:tcPr>
          <w:p w14:paraId="1741AB79" w14:textId="77777777" w:rsidR="00D73008" w:rsidRPr="00F26E77" w:rsidRDefault="00D73008" w:rsidP="00387AE5">
            <w:pPr>
              <w:jc w:val="center"/>
              <w:rPr>
                <w:rFonts w:cs="Times New Roman"/>
                <w:color w:val="000000"/>
                <w:sz w:val="18"/>
                <w:szCs w:val="18"/>
              </w:rPr>
            </w:pPr>
            <w:r w:rsidRPr="00F26E77">
              <w:rPr>
                <w:sz w:val="18"/>
                <w:szCs w:val="18"/>
              </w:rPr>
              <w:t>5,4</w:t>
            </w:r>
          </w:p>
        </w:tc>
        <w:tc>
          <w:tcPr>
            <w:tcW w:w="845" w:type="dxa"/>
            <w:tcBorders>
              <w:top w:val="nil"/>
              <w:left w:val="nil"/>
              <w:bottom w:val="single" w:sz="8" w:space="0" w:color="auto"/>
              <w:right w:val="nil"/>
            </w:tcBorders>
            <w:shd w:val="clear" w:color="auto" w:fill="auto"/>
            <w:vAlign w:val="center"/>
            <w:hideMark/>
          </w:tcPr>
          <w:p w14:paraId="4D5C1134" w14:textId="77777777" w:rsidR="00D73008" w:rsidRPr="00F26E77" w:rsidRDefault="00D73008" w:rsidP="00387AE5">
            <w:pPr>
              <w:jc w:val="center"/>
              <w:rPr>
                <w:rFonts w:cs="Times New Roman"/>
                <w:color w:val="000000"/>
                <w:sz w:val="18"/>
                <w:szCs w:val="18"/>
              </w:rPr>
            </w:pPr>
            <w:r w:rsidRPr="00F26E77">
              <w:rPr>
                <w:sz w:val="18"/>
                <w:szCs w:val="18"/>
              </w:rPr>
              <w:t>6,7</w:t>
            </w:r>
          </w:p>
        </w:tc>
        <w:tc>
          <w:tcPr>
            <w:tcW w:w="848" w:type="dxa"/>
            <w:tcBorders>
              <w:top w:val="nil"/>
              <w:left w:val="nil"/>
              <w:bottom w:val="single" w:sz="8" w:space="0" w:color="auto"/>
              <w:right w:val="nil"/>
            </w:tcBorders>
            <w:shd w:val="clear" w:color="auto" w:fill="auto"/>
            <w:vAlign w:val="center"/>
            <w:hideMark/>
          </w:tcPr>
          <w:p w14:paraId="600CE655" w14:textId="77777777" w:rsidR="00D73008" w:rsidRPr="00F26E77" w:rsidRDefault="00D73008" w:rsidP="00387AE5">
            <w:pPr>
              <w:jc w:val="center"/>
              <w:rPr>
                <w:rFonts w:cs="Times New Roman"/>
                <w:color w:val="000000"/>
                <w:sz w:val="18"/>
                <w:szCs w:val="18"/>
              </w:rPr>
            </w:pPr>
            <w:r w:rsidRPr="00F26E77">
              <w:rPr>
                <w:sz w:val="18"/>
                <w:szCs w:val="18"/>
              </w:rPr>
              <w:t>6,3</w:t>
            </w:r>
          </w:p>
        </w:tc>
        <w:tc>
          <w:tcPr>
            <w:tcW w:w="845" w:type="dxa"/>
            <w:tcBorders>
              <w:top w:val="nil"/>
              <w:left w:val="nil"/>
              <w:bottom w:val="single" w:sz="8" w:space="0" w:color="auto"/>
              <w:right w:val="nil"/>
            </w:tcBorders>
            <w:shd w:val="clear" w:color="auto" w:fill="auto"/>
            <w:vAlign w:val="center"/>
            <w:hideMark/>
          </w:tcPr>
          <w:p w14:paraId="69ED410A" w14:textId="77777777" w:rsidR="00D73008" w:rsidRPr="00F26E77" w:rsidRDefault="00D73008" w:rsidP="00387AE5">
            <w:pPr>
              <w:jc w:val="center"/>
              <w:rPr>
                <w:rFonts w:cs="Times New Roman"/>
                <w:color w:val="000000"/>
                <w:sz w:val="18"/>
                <w:szCs w:val="18"/>
              </w:rPr>
            </w:pPr>
            <w:r w:rsidRPr="00F26E77">
              <w:rPr>
                <w:sz w:val="18"/>
                <w:szCs w:val="18"/>
              </w:rPr>
              <w:t>5,3</w:t>
            </w:r>
          </w:p>
        </w:tc>
        <w:tc>
          <w:tcPr>
            <w:tcW w:w="846" w:type="dxa"/>
            <w:tcBorders>
              <w:top w:val="nil"/>
              <w:left w:val="nil"/>
              <w:bottom w:val="single" w:sz="8" w:space="0" w:color="auto"/>
              <w:right w:val="nil"/>
            </w:tcBorders>
            <w:shd w:val="clear" w:color="auto" w:fill="auto"/>
            <w:vAlign w:val="center"/>
            <w:hideMark/>
          </w:tcPr>
          <w:p w14:paraId="4DE507A1" w14:textId="77777777" w:rsidR="00D73008" w:rsidRPr="00F26E77" w:rsidRDefault="00D73008" w:rsidP="00387AE5">
            <w:pPr>
              <w:jc w:val="center"/>
              <w:rPr>
                <w:rFonts w:cs="Times New Roman"/>
                <w:color w:val="000000"/>
                <w:sz w:val="18"/>
                <w:szCs w:val="18"/>
              </w:rPr>
            </w:pPr>
            <w:r w:rsidRPr="00F26E77">
              <w:rPr>
                <w:sz w:val="18"/>
                <w:szCs w:val="18"/>
              </w:rPr>
              <w:t>4,4</w:t>
            </w:r>
          </w:p>
        </w:tc>
      </w:tr>
      <w:tr w:rsidR="00D73008" w:rsidRPr="00F26E77" w14:paraId="28ECDE0F" w14:textId="77777777" w:rsidTr="00387AE5">
        <w:trPr>
          <w:trHeight w:val="227"/>
        </w:trPr>
        <w:tc>
          <w:tcPr>
            <w:tcW w:w="7253" w:type="dxa"/>
            <w:gridSpan w:val="6"/>
            <w:tcBorders>
              <w:top w:val="single" w:sz="8" w:space="0" w:color="auto"/>
              <w:left w:val="nil"/>
              <w:bottom w:val="nil"/>
              <w:right w:val="nil"/>
            </w:tcBorders>
            <w:shd w:val="clear" w:color="auto" w:fill="auto"/>
            <w:vAlign w:val="bottom"/>
            <w:hideMark/>
          </w:tcPr>
          <w:p w14:paraId="6ED51FD6" w14:textId="77777777" w:rsidR="00D73008" w:rsidRPr="00F26E77" w:rsidRDefault="00D73008" w:rsidP="00387AE5">
            <w:pPr>
              <w:rPr>
                <w:rFonts w:cs="Times New Roman"/>
                <w:i/>
                <w:color w:val="000000"/>
                <w:sz w:val="16"/>
                <w:szCs w:val="16"/>
              </w:rPr>
            </w:pPr>
            <w:r w:rsidRPr="00F26E77">
              <w:rPr>
                <w:rFonts w:cs="Times New Roman"/>
                <w:i/>
                <w:color w:val="000000"/>
                <w:sz w:val="16"/>
                <w:szCs w:val="16"/>
              </w:rPr>
              <w:lastRenderedPageBreak/>
              <w:t>[1] Celková zamestnanosť, podľa národných účtov - domáci koncept.</w:t>
            </w:r>
          </w:p>
        </w:tc>
        <w:tc>
          <w:tcPr>
            <w:tcW w:w="1691" w:type="dxa"/>
            <w:gridSpan w:val="2"/>
            <w:tcBorders>
              <w:top w:val="single" w:sz="8" w:space="0" w:color="auto"/>
              <w:left w:val="nil"/>
              <w:bottom w:val="nil"/>
              <w:right w:val="nil"/>
            </w:tcBorders>
            <w:shd w:val="clear" w:color="auto" w:fill="auto"/>
            <w:noWrap/>
            <w:vAlign w:val="bottom"/>
            <w:hideMark/>
          </w:tcPr>
          <w:p w14:paraId="01335267" w14:textId="77777777" w:rsidR="00D73008" w:rsidRPr="00F26E77" w:rsidRDefault="00D73008" w:rsidP="00387AE5">
            <w:pPr>
              <w:jc w:val="right"/>
              <w:rPr>
                <w:rFonts w:cs="Times New Roman"/>
                <w:i/>
                <w:iCs/>
                <w:color w:val="000000"/>
                <w:sz w:val="16"/>
                <w:szCs w:val="16"/>
              </w:rPr>
            </w:pPr>
            <w:r w:rsidRPr="00F26E77">
              <w:rPr>
                <w:rFonts w:cs="Times New Roman"/>
                <w:i/>
                <w:iCs/>
                <w:color w:val="000000"/>
                <w:sz w:val="16"/>
                <w:szCs w:val="16"/>
              </w:rPr>
              <w:t>Zdroj: ŠÚ SR, MF SR</w:t>
            </w:r>
          </w:p>
        </w:tc>
      </w:tr>
      <w:tr w:rsidR="00D73008" w:rsidRPr="00F26E77" w14:paraId="2D52F813" w14:textId="77777777" w:rsidTr="00387AE5">
        <w:trPr>
          <w:trHeight w:val="227"/>
        </w:trPr>
        <w:tc>
          <w:tcPr>
            <w:tcW w:w="7253" w:type="dxa"/>
            <w:gridSpan w:val="6"/>
            <w:tcBorders>
              <w:top w:val="nil"/>
              <w:left w:val="nil"/>
              <w:bottom w:val="nil"/>
              <w:right w:val="nil"/>
            </w:tcBorders>
            <w:shd w:val="clear" w:color="auto" w:fill="auto"/>
            <w:noWrap/>
            <w:vAlign w:val="bottom"/>
            <w:hideMark/>
          </w:tcPr>
          <w:p w14:paraId="220FB879" w14:textId="77777777" w:rsidR="00D73008" w:rsidRPr="00F26E77" w:rsidRDefault="00D73008" w:rsidP="00387AE5">
            <w:pPr>
              <w:rPr>
                <w:rFonts w:cs="Times New Roman"/>
                <w:i/>
                <w:color w:val="000000"/>
                <w:sz w:val="16"/>
                <w:szCs w:val="16"/>
              </w:rPr>
            </w:pPr>
            <w:r w:rsidRPr="00F26E77">
              <w:rPr>
                <w:rFonts w:cs="Times New Roman"/>
                <w:i/>
                <w:color w:val="000000"/>
                <w:sz w:val="16"/>
                <w:szCs w:val="16"/>
              </w:rPr>
              <w:t>[2] Podľa definície národných účtov.</w:t>
            </w:r>
          </w:p>
        </w:tc>
        <w:tc>
          <w:tcPr>
            <w:tcW w:w="1691" w:type="dxa"/>
            <w:gridSpan w:val="2"/>
            <w:tcBorders>
              <w:top w:val="nil"/>
              <w:left w:val="nil"/>
              <w:bottom w:val="nil"/>
              <w:right w:val="nil"/>
            </w:tcBorders>
            <w:shd w:val="clear" w:color="auto" w:fill="auto"/>
            <w:noWrap/>
            <w:vAlign w:val="bottom"/>
            <w:hideMark/>
          </w:tcPr>
          <w:p w14:paraId="5024C2D3" w14:textId="77777777" w:rsidR="00D73008" w:rsidRPr="00F26E77" w:rsidRDefault="00D73008" w:rsidP="00387AE5">
            <w:pPr>
              <w:rPr>
                <w:rFonts w:cs="Times New Roman"/>
                <w:i/>
                <w:color w:val="000000"/>
                <w:sz w:val="16"/>
                <w:szCs w:val="16"/>
              </w:rPr>
            </w:pPr>
          </w:p>
        </w:tc>
      </w:tr>
      <w:tr w:rsidR="00D73008" w:rsidRPr="00F26E77" w14:paraId="4AAA8A39" w14:textId="77777777" w:rsidTr="00387AE5">
        <w:trPr>
          <w:trHeight w:val="227"/>
        </w:trPr>
        <w:tc>
          <w:tcPr>
            <w:tcW w:w="7253" w:type="dxa"/>
            <w:gridSpan w:val="6"/>
            <w:tcBorders>
              <w:top w:val="nil"/>
              <w:left w:val="nil"/>
              <w:bottom w:val="nil"/>
              <w:right w:val="nil"/>
            </w:tcBorders>
            <w:shd w:val="clear" w:color="auto" w:fill="auto"/>
            <w:noWrap/>
            <w:vAlign w:val="bottom"/>
            <w:hideMark/>
          </w:tcPr>
          <w:p w14:paraId="6303C3C5" w14:textId="77777777" w:rsidR="00D73008" w:rsidRPr="00F26E77" w:rsidRDefault="00D73008" w:rsidP="00387AE5">
            <w:pPr>
              <w:rPr>
                <w:rFonts w:cs="Times New Roman"/>
                <w:i/>
                <w:color w:val="000000"/>
                <w:sz w:val="16"/>
                <w:szCs w:val="16"/>
              </w:rPr>
            </w:pPr>
            <w:r w:rsidRPr="00F26E77">
              <w:rPr>
                <w:rFonts w:cs="Times New Roman"/>
                <w:i/>
                <w:color w:val="000000"/>
                <w:sz w:val="16"/>
                <w:szCs w:val="16"/>
              </w:rPr>
              <w:t>[3] Harmonizovaná miera podľa Eurostatu, stav</w:t>
            </w:r>
          </w:p>
        </w:tc>
        <w:tc>
          <w:tcPr>
            <w:tcW w:w="1691" w:type="dxa"/>
            <w:gridSpan w:val="2"/>
            <w:tcBorders>
              <w:top w:val="nil"/>
              <w:left w:val="nil"/>
              <w:bottom w:val="nil"/>
              <w:right w:val="nil"/>
            </w:tcBorders>
            <w:shd w:val="clear" w:color="auto" w:fill="auto"/>
            <w:noWrap/>
            <w:vAlign w:val="bottom"/>
            <w:hideMark/>
          </w:tcPr>
          <w:p w14:paraId="227A58BA" w14:textId="77777777" w:rsidR="00D73008" w:rsidRPr="00F26E77" w:rsidRDefault="00D73008" w:rsidP="00387AE5">
            <w:pPr>
              <w:rPr>
                <w:rFonts w:cs="Times New Roman"/>
                <w:i/>
                <w:color w:val="000000"/>
                <w:sz w:val="16"/>
                <w:szCs w:val="16"/>
              </w:rPr>
            </w:pPr>
          </w:p>
        </w:tc>
      </w:tr>
      <w:tr w:rsidR="00D73008" w:rsidRPr="00F26E77" w14:paraId="0EBFE09B" w14:textId="77777777" w:rsidTr="00387AE5">
        <w:trPr>
          <w:trHeight w:val="227"/>
        </w:trPr>
        <w:tc>
          <w:tcPr>
            <w:tcW w:w="7253" w:type="dxa"/>
            <w:gridSpan w:val="6"/>
            <w:tcBorders>
              <w:top w:val="nil"/>
              <w:left w:val="nil"/>
              <w:bottom w:val="nil"/>
              <w:right w:val="nil"/>
            </w:tcBorders>
            <w:shd w:val="clear" w:color="auto" w:fill="auto"/>
            <w:noWrap/>
            <w:vAlign w:val="bottom"/>
            <w:hideMark/>
          </w:tcPr>
          <w:p w14:paraId="0B857E75" w14:textId="77777777" w:rsidR="00D73008" w:rsidRPr="00F26E77" w:rsidRDefault="00D73008" w:rsidP="00387AE5">
            <w:pPr>
              <w:rPr>
                <w:rFonts w:cs="Times New Roman"/>
                <w:i/>
                <w:color w:val="000000"/>
                <w:sz w:val="16"/>
                <w:szCs w:val="16"/>
              </w:rPr>
            </w:pPr>
            <w:r w:rsidRPr="00F26E77">
              <w:rPr>
                <w:rFonts w:cs="Times New Roman"/>
                <w:i/>
                <w:color w:val="000000"/>
                <w:sz w:val="16"/>
                <w:szCs w:val="16"/>
              </w:rPr>
              <w:t>[4] Reálne HDP na zamestnanú osobu.</w:t>
            </w:r>
          </w:p>
        </w:tc>
        <w:tc>
          <w:tcPr>
            <w:tcW w:w="1691" w:type="dxa"/>
            <w:gridSpan w:val="2"/>
            <w:tcBorders>
              <w:top w:val="nil"/>
              <w:left w:val="nil"/>
              <w:bottom w:val="nil"/>
              <w:right w:val="nil"/>
            </w:tcBorders>
            <w:shd w:val="clear" w:color="auto" w:fill="auto"/>
            <w:noWrap/>
            <w:vAlign w:val="bottom"/>
            <w:hideMark/>
          </w:tcPr>
          <w:p w14:paraId="1B510880" w14:textId="77777777" w:rsidR="00D73008" w:rsidRPr="00F26E77" w:rsidRDefault="00D73008" w:rsidP="00387AE5">
            <w:pPr>
              <w:rPr>
                <w:rFonts w:cs="Times New Roman"/>
                <w:i/>
                <w:color w:val="000000"/>
                <w:sz w:val="16"/>
                <w:szCs w:val="16"/>
              </w:rPr>
            </w:pPr>
          </w:p>
        </w:tc>
      </w:tr>
      <w:tr w:rsidR="00D73008" w:rsidRPr="00B21C97" w14:paraId="0ACC1ACC" w14:textId="77777777" w:rsidTr="00387AE5">
        <w:trPr>
          <w:trHeight w:val="227"/>
        </w:trPr>
        <w:tc>
          <w:tcPr>
            <w:tcW w:w="7253" w:type="dxa"/>
            <w:gridSpan w:val="6"/>
            <w:tcBorders>
              <w:top w:val="nil"/>
              <w:left w:val="nil"/>
              <w:bottom w:val="nil"/>
              <w:right w:val="nil"/>
            </w:tcBorders>
            <w:shd w:val="clear" w:color="auto" w:fill="auto"/>
            <w:noWrap/>
            <w:vAlign w:val="bottom"/>
            <w:hideMark/>
          </w:tcPr>
          <w:p w14:paraId="7218666F" w14:textId="77777777" w:rsidR="00D73008" w:rsidRPr="00F26E77" w:rsidRDefault="00D73008" w:rsidP="00387AE5">
            <w:pPr>
              <w:rPr>
                <w:rFonts w:cs="Times New Roman"/>
                <w:i/>
                <w:color w:val="000000"/>
                <w:sz w:val="16"/>
                <w:szCs w:val="16"/>
              </w:rPr>
            </w:pPr>
            <w:r w:rsidRPr="00F26E77">
              <w:rPr>
                <w:rFonts w:cs="Times New Roman"/>
                <w:i/>
                <w:color w:val="000000"/>
                <w:sz w:val="16"/>
                <w:szCs w:val="16"/>
              </w:rPr>
              <w:t>[5] Reálne HDP na odpracovanú hodinu.</w:t>
            </w:r>
          </w:p>
        </w:tc>
        <w:tc>
          <w:tcPr>
            <w:tcW w:w="1691" w:type="dxa"/>
            <w:gridSpan w:val="2"/>
            <w:tcBorders>
              <w:top w:val="nil"/>
              <w:left w:val="nil"/>
              <w:bottom w:val="nil"/>
              <w:right w:val="nil"/>
            </w:tcBorders>
            <w:shd w:val="clear" w:color="auto" w:fill="auto"/>
            <w:noWrap/>
            <w:vAlign w:val="bottom"/>
            <w:hideMark/>
          </w:tcPr>
          <w:p w14:paraId="2D1E9F25" w14:textId="77777777" w:rsidR="00D73008" w:rsidRPr="00F26E77" w:rsidRDefault="00D73008" w:rsidP="00387AE5">
            <w:pPr>
              <w:rPr>
                <w:rFonts w:cs="Times New Roman"/>
                <w:i/>
                <w:color w:val="000000"/>
                <w:sz w:val="16"/>
                <w:szCs w:val="16"/>
              </w:rPr>
            </w:pPr>
          </w:p>
        </w:tc>
      </w:tr>
    </w:tbl>
    <w:p w14:paraId="532CBB1B" w14:textId="77777777" w:rsidR="00D73008" w:rsidRPr="00B21C97" w:rsidRDefault="00D73008" w:rsidP="00D73008">
      <w:pPr>
        <w:rPr>
          <w:highlight w:val="yellow"/>
        </w:rPr>
      </w:pPr>
    </w:p>
    <w:tbl>
      <w:tblPr>
        <w:tblW w:w="9844" w:type="dxa"/>
        <w:tblCellMar>
          <w:left w:w="70" w:type="dxa"/>
          <w:right w:w="70" w:type="dxa"/>
        </w:tblCellMar>
        <w:tblLook w:val="04A0" w:firstRow="1" w:lastRow="0" w:firstColumn="1" w:lastColumn="0" w:noHBand="0" w:noVBand="1"/>
      </w:tblPr>
      <w:tblGrid>
        <w:gridCol w:w="4320"/>
        <w:gridCol w:w="788"/>
        <w:gridCol w:w="788"/>
        <w:gridCol w:w="791"/>
        <w:gridCol w:w="790"/>
        <w:gridCol w:w="789"/>
        <w:gridCol w:w="789"/>
        <w:gridCol w:w="789"/>
      </w:tblGrid>
      <w:tr w:rsidR="00D73008" w:rsidRPr="00152128" w14:paraId="591EBB0F" w14:textId="77777777" w:rsidTr="00387AE5">
        <w:trPr>
          <w:trHeight w:val="273"/>
        </w:trPr>
        <w:tc>
          <w:tcPr>
            <w:tcW w:w="9055" w:type="dxa"/>
            <w:gridSpan w:val="7"/>
            <w:tcBorders>
              <w:top w:val="nil"/>
              <w:left w:val="nil"/>
              <w:bottom w:val="single" w:sz="8" w:space="0" w:color="auto"/>
              <w:right w:val="nil"/>
            </w:tcBorders>
            <w:shd w:val="clear" w:color="auto" w:fill="auto"/>
            <w:noWrap/>
            <w:vAlign w:val="center"/>
            <w:hideMark/>
          </w:tcPr>
          <w:p w14:paraId="7612E115" w14:textId="780BFDB5" w:rsidR="00D73008" w:rsidRPr="00152128" w:rsidRDefault="00D73008" w:rsidP="00387AE5">
            <w:pPr>
              <w:rPr>
                <w:rFonts w:eastAsiaTheme="minorHAnsi"/>
                <w:b/>
                <w:color w:val="2C9ADC"/>
                <w:lang w:eastAsia="en-US"/>
              </w:rPr>
            </w:pPr>
            <w:bookmarkStart w:id="245" w:name="_Toc480905413"/>
            <w:bookmarkStart w:id="246" w:name="_Toc6314220"/>
            <w:r w:rsidRPr="00152128">
              <w:rPr>
                <w:rFonts w:eastAsiaTheme="minorHAnsi"/>
                <w:b/>
                <w:color w:val="2C9ADC"/>
                <w:lang w:eastAsia="en-US"/>
              </w:rPr>
              <w:t xml:space="preserve">TABUĽKA </w:t>
            </w:r>
            <w:r w:rsidRPr="00152128">
              <w:rPr>
                <w:rFonts w:eastAsiaTheme="minorHAnsi"/>
                <w:b/>
                <w:color w:val="2C9ADC"/>
                <w:lang w:eastAsia="en-US"/>
              </w:rPr>
              <w:fldChar w:fldCharType="begin"/>
            </w:r>
            <w:r w:rsidRPr="00152128">
              <w:rPr>
                <w:rFonts w:eastAsiaTheme="minorHAnsi"/>
                <w:b/>
                <w:color w:val="2C9ADC"/>
                <w:lang w:eastAsia="en-US"/>
              </w:rPr>
              <w:instrText xml:space="preserve"> SEQ TABUĽKA \* ARABIC </w:instrText>
            </w:r>
            <w:r w:rsidRPr="00152128">
              <w:rPr>
                <w:rFonts w:eastAsiaTheme="minorHAnsi"/>
                <w:b/>
                <w:color w:val="2C9ADC"/>
                <w:lang w:eastAsia="en-US"/>
              </w:rPr>
              <w:fldChar w:fldCharType="separate"/>
            </w:r>
            <w:r w:rsidR="00D5739E">
              <w:rPr>
                <w:rFonts w:eastAsiaTheme="minorHAnsi"/>
                <w:b/>
                <w:noProof/>
                <w:color w:val="2C9ADC"/>
                <w:lang w:eastAsia="en-US"/>
              </w:rPr>
              <w:t>21</w:t>
            </w:r>
            <w:r w:rsidRPr="00152128">
              <w:rPr>
                <w:rFonts w:eastAsiaTheme="minorHAnsi"/>
                <w:b/>
                <w:color w:val="2C9ADC"/>
                <w:lang w:eastAsia="en-US"/>
              </w:rPr>
              <w:fldChar w:fldCharType="end"/>
            </w:r>
            <w:r w:rsidRPr="00152128">
              <w:rPr>
                <w:rFonts w:eastAsiaTheme="minorHAnsi"/>
                <w:b/>
                <w:color w:val="2C9ADC"/>
                <w:lang w:eastAsia="en-US"/>
              </w:rPr>
              <w:t xml:space="preserve"> (Tabuľka 1d) - Sektorová bilancia (ESA 2010, % HDP)</w:t>
            </w:r>
            <w:bookmarkEnd w:id="245"/>
            <w:bookmarkEnd w:id="246"/>
            <w:r w:rsidRPr="00152128">
              <w:rPr>
                <w:rFonts w:eastAsiaTheme="minorHAnsi"/>
                <w:b/>
                <w:color w:val="2C9ADC"/>
                <w:lang w:eastAsia="en-US"/>
              </w:rPr>
              <w:t xml:space="preserve"> </w:t>
            </w:r>
          </w:p>
        </w:tc>
        <w:tc>
          <w:tcPr>
            <w:tcW w:w="789" w:type="dxa"/>
            <w:tcBorders>
              <w:top w:val="nil"/>
              <w:left w:val="nil"/>
              <w:bottom w:val="nil"/>
              <w:right w:val="nil"/>
            </w:tcBorders>
            <w:shd w:val="clear" w:color="auto" w:fill="auto"/>
            <w:noWrap/>
            <w:vAlign w:val="center"/>
            <w:hideMark/>
          </w:tcPr>
          <w:p w14:paraId="4D51E082" w14:textId="77777777" w:rsidR="00D73008" w:rsidRPr="00152128" w:rsidRDefault="00D73008" w:rsidP="00387AE5">
            <w:pPr>
              <w:rPr>
                <w:rFonts w:eastAsiaTheme="minorHAnsi"/>
                <w:b/>
                <w:color w:val="2C9ADC"/>
                <w:lang w:eastAsia="en-US"/>
              </w:rPr>
            </w:pPr>
          </w:p>
        </w:tc>
      </w:tr>
      <w:tr w:rsidR="00D73008" w:rsidRPr="00F26E77" w14:paraId="0214ABD1" w14:textId="77777777" w:rsidTr="00387AE5">
        <w:trPr>
          <w:gridAfter w:val="1"/>
          <w:wAfter w:w="789" w:type="dxa"/>
          <w:trHeight w:val="273"/>
        </w:trPr>
        <w:tc>
          <w:tcPr>
            <w:tcW w:w="4320" w:type="dxa"/>
            <w:tcBorders>
              <w:top w:val="nil"/>
              <w:left w:val="nil"/>
              <w:bottom w:val="single" w:sz="6" w:space="0" w:color="auto"/>
              <w:right w:val="nil"/>
            </w:tcBorders>
            <w:shd w:val="clear" w:color="auto" w:fill="auto"/>
            <w:vAlign w:val="bottom"/>
            <w:hideMark/>
          </w:tcPr>
          <w:p w14:paraId="0AFB1481" w14:textId="77777777" w:rsidR="00D73008" w:rsidRPr="00F26E77" w:rsidRDefault="00D73008" w:rsidP="00387AE5">
            <w:pPr>
              <w:rPr>
                <w:rFonts w:cs="Times New Roman"/>
                <w:sz w:val="18"/>
                <w:szCs w:val="18"/>
              </w:rPr>
            </w:pPr>
          </w:p>
        </w:tc>
        <w:tc>
          <w:tcPr>
            <w:tcW w:w="788" w:type="dxa"/>
            <w:tcBorders>
              <w:top w:val="nil"/>
              <w:left w:val="nil"/>
              <w:bottom w:val="single" w:sz="6" w:space="0" w:color="auto"/>
              <w:right w:val="nil"/>
            </w:tcBorders>
            <w:shd w:val="clear" w:color="auto" w:fill="auto"/>
            <w:vAlign w:val="center"/>
            <w:hideMark/>
          </w:tcPr>
          <w:p w14:paraId="5D4E5B79"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ESA kód</w:t>
            </w:r>
          </w:p>
        </w:tc>
        <w:tc>
          <w:tcPr>
            <w:tcW w:w="788" w:type="dxa"/>
            <w:tcBorders>
              <w:top w:val="nil"/>
              <w:left w:val="nil"/>
              <w:bottom w:val="nil"/>
              <w:right w:val="nil"/>
            </w:tcBorders>
            <w:shd w:val="clear" w:color="auto" w:fill="auto"/>
            <w:vAlign w:val="center"/>
            <w:hideMark/>
          </w:tcPr>
          <w:p w14:paraId="22181D28" w14:textId="77777777" w:rsidR="00D73008" w:rsidRPr="00F26E77" w:rsidRDefault="00D73008" w:rsidP="00387AE5">
            <w:pPr>
              <w:jc w:val="center"/>
              <w:rPr>
                <w:rFonts w:cs="Times New Roman"/>
                <w:b/>
                <w:bCs/>
                <w:color w:val="000000"/>
                <w:sz w:val="18"/>
                <w:szCs w:val="18"/>
              </w:rPr>
            </w:pPr>
            <w:r w:rsidRPr="00F26E77">
              <w:rPr>
                <w:b/>
                <w:bCs/>
                <w:color w:val="000000"/>
                <w:sz w:val="18"/>
                <w:szCs w:val="18"/>
              </w:rPr>
              <w:t>2018</w:t>
            </w:r>
          </w:p>
        </w:tc>
        <w:tc>
          <w:tcPr>
            <w:tcW w:w="791" w:type="dxa"/>
            <w:tcBorders>
              <w:top w:val="single" w:sz="8" w:space="0" w:color="auto"/>
              <w:left w:val="nil"/>
              <w:bottom w:val="single" w:sz="8" w:space="0" w:color="auto"/>
              <w:right w:val="nil"/>
            </w:tcBorders>
            <w:shd w:val="clear" w:color="auto" w:fill="auto"/>
            <w:vAlign w:val="center"/>
            <w:hideMark/>
          </w:tcPr>
          <w:p w14:paraId="12234619" w14:textId="77777777" w:rsidR="00D73008" w:rsidRPr="00F26E77" w:rsidRDefault="00D73008" w:rsidP="00387AE5">
            <w:pPr>
              <w:jc w:val="center"/>
              <w:rPr>
                <w:b/>
                <w:bCs/>
                <w:color w:val="000000"/>
                <w:sz w:val="18"/>
                <w:szCs w:val="18"/>
              </w:rPr>
            </w:pPr>
            <w:r w:rsidRPr="00F26E77">
              <w:rPr>
                <w:b/>
                <w:bCs/>
                <w:color w:val="000000"/>
                <w:sz w:val="18"/>
                <w:szCs w:val="18"/>
              </w:rPr>
              <w:t>2019</w:t>
            </w:r>
          </w:p>
        </w:tc>
        <w:tc>
          <w:tcPr>
            <w:tcW w:w="790" w:type="dxa"/>
            <w:tcBorders>
              <w:top w:val="single" w:sz="8" w:space="0" w:color="auto"/>
              <w:left w:val="nil"/>
              <w:bottom w:val="single" w:sz="8" w:space="0" w:color="auto"/>
              <w:right w:val="nil"/>
            </w:tcBorders>
            <w:shd w:val="clear" w:color="auto" w:fill="auto"/>
            <w:vAlign w:val="center"/>
            <w:hideMark/>
          </w:tcPr>
          <w:p w14:paraId="6E44FA41" w14:textId="77777777" w:rsidR="00D73008" w:rsidRPr="00F26E77" w:rsidRDefault="00D73008" w:rsidP="00387AE5">
            <w:pPr>
              <w:jc w:val="center"/>
              <w:rPr>
                <w:b/>
                <w:bCs/>
                <w:color w:val="000000"/>
                <w:sz w:val="18"/>
                <w:szCs w:val="18"/>
              </w:rPr>
            </w:pPr>
            <w:r w:rsidRPr="00F26E77">
              <w:rPr>
                <w:b/>
                <w:bCs/>
                <w:color w:val="000000"/>
                <w:sz w:val="18"/>
                <w:szCs w:val="18"/>
              </w:rPr>
              <w:t>2020</w:t>
            </w:r>
          </w:p>
        </w:tc>
        <w:tc>
          <w:tcPr>
            <w:tcW w:w="789" w:type="dxa"/>
            <w:tcBorders>
              <w:top w:val="single" w:sz="8" w:space="0" w:color="auto"/>
              <w:left w:val="nil"/>
              <w:bottom w:val="single" w:sz="8" w:space="0" w:color="auto"/>
              <w:right w:val="nil"/>
            </w:tcBorders>
            <w:shd w:val="clear" w:color="auto" w:fill="auto"/>
            <w:vAlign w:val="center"/>
            <w:hideMark/>
          </w:tcPr>
          <w:p w14:paraId="67419343" w14:textId="77777777" w:rsidR="00D73008" w:rsidRPr="00F26E77" w:rsidRDefault="00D73008" w:rsidP="00387AE5">
            <w:pPr>
              <w:jc w:val="center"/>
              <w:rPr>
                <w:b/>
                <w:bCs/>
                <w:color w:val="000000"/>
                <w:sz w:val="18"/>
                <w:szCs w:val="18"/>
              </w:rPr>
            </w:pPr>
            <w:r w:rsidRPr="00F26E77">
              <w:rPr>
                <w:b/>
                <w:bCs/>
                <w:color w:val="000000"/>
                <w:sz w:val="18"/>
                <w:szCs w:val="18"/>
              </w:rPr>
              <w:t>2021</w:t>
            </w:r>
          </w:p>
        </w:tc>
        <w:tc>
          <w:tcPr>
            <w:tcW w:w="789" w:type="dxa"/>
            <w:tcBorders>
              <w:top w:val="single" w:sz="8" w:space="0" w:color="auto"/>
              <w:left w:val="nil"/>
              <w:bottom w:val="nil"/>
              <w:right w:val="nil"/>
            </w:tcBorders>
            <w:shd w:val="clear" w:color="auto" w:fill="auto"/>
            <w:vAlign w:val="center"/>
            <w:hideMark/>
          </w:tcPr>
          <w:p w14:paraId="59BB50B9" w14:textId="77777777" w:rsidR="00D73008" w:rsidRPr="00F26E77" w:rsidRDefault="00D73008" w:rsidP="00387AE5">
            <w:pPr>
              <w:jc w:val="center"/>
              <w:rPr>
                <w:b/>
                <w:bCs/>
                <w:color w:val="000000"/>
                <w:sz w:val="18"/>
                <w:szCs w:val="18"/>
              </w:rPr>
            </w:pPr>
            <w:r w:rsidRPr="00F26E77">
              <w:rPr>
                <w:b/>
                <w:bCs/>
                <w:color w:val="000000"/>
                <w:sz w:val="18"/>
                <w:szCs w:val="18"/>
              </w:rPr>
              <w:t>2022</w:t>
            </w:r>
          </w:p>
        </w:tc>
      </w:tr>
      <w:tr w:rsidR="00D73008" w:rsidRPr="00F26E77" w14:paraId="112E1C13" w14:textId="77777777" w:rsidTr="00387AE5">
        <w:trPr>
          <w:gridAfter w:val="1"/>
          <w:wAfter w:w="789" w:type="dxa"/>
          <w:trHeight w:val="273"/>
        </w:trPr>
        <w:tc>
          <w:tcPr>
            <w:tcW w:w="4320" w:type="dxa"/>
            <w:tcBorders>
              <w:top w:val="single" w:sz="6" w:space="0" w:color="auto"/>
              <w:left w:val="nil"/>
              <w:bottom w:val="nil"/>
              <w:right w:val="nil"/>
            </w:tcBorders>
            <w:shd w:val="clear" w:color="auto" w:fill="auto"/>
            <w:vAlign w:val="center"/>
            <w:hideMark/>
          </w:tcPr>
          <w:p w14:paraId="6E1025E6" w14:textId="77777777" w:rsidR="00D73008" w:rsidRPr="00F26E77" w:rsidRDefault="00D73008" w:rsidP="00387AE5">
            <w:pPr>
              <w:rPr>
                <w:rFonts w:cs="Times New Roman"/>
                <w:color w:val="000000"/>
                <w:sz w:val="18"/>
                <w:szCs w:val="18"/>
              </w:rPr>
            </w:pPr>
            <w:r w:rsidRPr="00F26E77">
              <w:rPr>
                <w:rFonts w:cs="Times New Roman"/>
                <w:color w:val="000000"/>
                <w:sz w:val="18"/>
                <w:szCs w:val="18"/>
              </w:rPr>
              <w:t>1. Čisté pôžičky poskytnuté / prijaté od zvyšku sveta</w:t>
            </w:r>
          </w:p>
        </w:tc>
        <w:tc>
          <w:tcPr>
            <w:tcW w:w="788" w:type="dxa"/>
            <w:tcBorders>
              <w:top w:val="single" w:sz="6" w:space="0" w:color="auto"/>
              <w:left w:val="nil"/>
              <w:bottom w:val="nil"/>
              <w:right w:val="nil"/>
            </w:tcBorders>
            <w:shd w:val="clear" w:color="auto" w:fill="auto"/>
            <w:vAlign w:val="center"/>
            <w:hideMark/>
          </w:tcPr>
          <w:p w14:paraId="7C8AD281"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B.9</w:t>
            </w:r>
          </w:p>
        </w:tc>
        <w:tc>
          <w:tcPr>
            <w:tcW w:w="788" w:type="dxa"/>
            <w:tcBorders>
              <w:top w:val="single" w:sz="8" w:space="0" w:color="auto"/>
              <w:left w:val="nil"/>
              <w:bottom w:val="nil"/>
              <w:right w:val="nil"/>
            </w:tcBorders>
            <w:shd w:val="clear" w:color="auto" w:fill="auto"/>
            <w:hideMark/>
          </w:tcPr>
          <w:p w14:paraId="74BA89A2" w14:textId="77777777" w:rsidR="00D73008" w:rsidRPr="00F26E77" w:rsidRDefault="00D73008" w:rsidP="00387AE5">
            <w:pPr>
              <w:jc w:val="center"/>
              <w:rPr>
                <w:color w:val="000000"/>
                <w:sz w:val="18"/>
                <w:szCs w:val="18"/>
              </w:rPr>
            </w:pPr>
            <w:r w:rsidRPr="00F26E77">
              <w:rPr>
                <w:sz w:val="18"/>
                <w:szCs w:val="18"/>
              </w:rPr>
              <w:t>-0,9</w:t>
            </w:r>
          </w:p>
        </w:tc>
        <w:tc>
          <w:tcPr>
            <w:tcW w:w="791" w:type="dxa"/>
            <w:tcBorders>
              <w:top w:val="nil"/>
              <w:left w:val="nil"/>
              <w:bottom w:val="nil"/>
              <w:right w:val="nil"/>
            </w:tcBorders>
            <w:shd w:val="clear" w:color="auto" w:fill="auto"/>
            <w:hideMark/>
          </w:tcPr>
          <w:p w14:paraId="333F05E9" w14:textId="77777777" w:rsidR="00D73008" w:rsidRPr="00F26E77" w:rsidRDefault="00D73008" w:rsidP="00387AE5">
            <w:pPr>
              <w:jc w:val="center"/>
              <w:rPr>
                <w:color w:val="000000"/>
                <w:sz w:val="18"/>
                <w:szCs w:val="18"/>
              </w:rPr>
            </w:pPr>
            <w:r w:rsidRPr="00F26E77">
              <w:rPr>
                <w:sz w:val="18"/>
                <w:szCs w:val="18"/>
              </w:rPr>
              <w:t>-0,4</w:t>
            </w:r>
          </w:p>
        </w:tc>
        <w:tc>
          <w:tcPr>
            <w:tcW w:w="790" w:type="dxa"/>
            <w:tcBorders>
              <w:top w:val="nil"/>
              <w:left w:val="nil"/>
              <w:bottom w:val="nil"/>
              <w:right w:val="nil"/>
            </w:tcBorders>
            <w:shd w:val="clear" w:color="auto" w:fill="auto"/>
            <w:hideMark/>
          </w:tcPr>
          <w:p w14:paraId="13D29171" w14:textId="77777777" w:rsidR="00D73008" w:rsidRPr="00F26E77" w:rsidRDefault="00D73008" w:rsidP="00387AE5">
            <w:pPr>
              <w:jc w:val="center"/>
              <w:rPr>
                <w:color w:val="000000"/>
                <w:sz w:val="18"/>
                <w:szCs w:val="18"/>
              </w:rPr>
            </w:pPr>
            <w:r w:rsidRPr="00F26E77">
              <w:rPr>
                <w:sz w:val="18"/>
                <w:szCs w:val="18"/>
              </w:rPr>
              <w:t>0,1</w:t>
            </w:r>
          </w:p>
        </w:tc>
        <w:tc>
          <w:tcPr>
            <w:tcW w:w="789" w:type="dxa"/>
            <w:tcBorders>
              <w:top w:val="nil"/>
              <w:left w:val="nil"/>
              <w:bottom w:val="nil"/>
              <w:right w:val="nil"/>
            </w:tcBorders>
            <w:shd w:val="clear" w:color="auto" w:fill="auto"/>
            <w:hideMark/>
          </w:tcPr>
          <w:p w14:paraId="10224EB5" w14:textId="77777777" w:rsidR="00D73008" w:rsidRPr="00F26E77" w:rsidRDefault="00D73008" w:rsidP="00387AE5">
            <w:pPr>
              <w:jc w:val="center"/>
              <w:rPr>
                <w:color w:val="000000"/>
                <w:sz w:val="18"/>
                <w:szCs w:val="18"/>
              </w:rPr>
            </w:pPr>
            <w:r w:rsidRPr="00F26E77">
              <w:rPr>
                <w:sz w:val="18"/>
                <w:szCs w:val="18"/>
              </w:rPr>
              <w:t>0,5</w:t>
            </w:r>
          </w:p>
        </w:tc>
        <w:tc>
          <w:tcPr>
            <w:tcW w:w="789" w:type="dxa"/>
            <w:tcBorders>
              <w:top w:val="single" w:sz="8" w:space="0" w:color="auto"/>
              <w:left w:val="nil"/>
              <w:bottom w:val="nil"/>
              <w:right w:val="nil"/>
            </w:tcBorders>
            <w:shd w:val="clear" w:color="auto" w:fill="auto"/>
            <w:hideMark/>
          </w:tcPr>
          <w:p w14:paraId="0F322124" w14:textId="77777777" w:rsidR="00D73008" w:rsidRPr="00F26E77" w:rsidRDefault="00D73008" w:rsidP="00387AE5">
            <w:pPr>
              <w:jc w:val="center"/>
              <w:rPr>
                <w:color w:val="000000"/>
                <w:sz w:val="18"/>
                <w:szCs w:val="18"/>
              </w:rPr>
            </w:pPr>
            <w:r w:rsidRPr="00F26E77">
              <w:rPr>
                <w:sz w:val="18"/>
                <w:szCs w:val="18"/>
              </w:rPr>
              <w:t>0,6</w:t>
            </w:r>
          </w:p>
        </w:tc>
      </w:tr>
      <w:tr w:rsidR="00D73008" w:rsidRPr="00F26E77" w14:paraId="16263B38" w14:textId="77777777" w:rsidTr="00387AE5">
        <w:trPr>
          <w:gridAfter w:val="1"/>
          <w:wAfter w:w="789" w:type="dxa"/>
          <w:trHeight w:val="273"/>
        </w:trPr>
        <w:tc>
          <w:tcPr>
            <w:tcW w:w="4320" w:type="dxa"/>
            <w:tcBorders>
              <w:top w:val="nil"/>
              <w:left w:val="nil"/>
              <w:bottom w:val="nil"/>
              <w:right w:val="nil"/>
            </w:tcBorders>
            <w:shd w:val="clear" w:color="auto" w:fill="auto"/>
            <w:vAlign w:val="center"/>
            <w:hideMark/>
          </w:tcPr>
          <w:p w14:paraId="30F7CF02"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     z toho:</w:t>
            </w:r>
          </w:p>
        </w:tc>
        <w:tc>
          <w:tcPr>
            <w:tcW w:w="788" w:type="dxa"/>
            <w:tcBorders>
              <w:top w:val="nil"/>
              <w:left w:val="nil"/>
              <w:bottom w:val="nil"/>
              <w:right w:val="nil"/>
            </w:tcBorders>
            <w:shd w:val="clear" w:color="auto" w:fill="auto"/>
            <w:vAlign w:val="center"/>
            <w:hideMark/>
          </w:tcPr>
          <w:p w14:paraId="2DCD4BDB" w14:textId="77777777" w:rsidR="00D73008" w:rsidRPr="00F26E77" w:rsidRDefault="00D73008" w:rsidP="00387AE5">
            <w:pPr>
              <w:jc w:val="center"/>
              <w:rPr>
                <w:rFonts w:cs="Times New Roman"/>
                <w:color w:val="000000"/>
                <w:sz w:val="18"/>
                <w:szCs w:val="18"/>
              </w:rPr>
            </w:pPr>
          </w:p>
        </w:tc>
        <w:tc>
          <w:tcPr>
            <w:tcW w:w="788" w:type="dxa"/>
            <w:tcBorders>
              <w:top w:val="nil"/>
              <w:left w:val="nil"/>
              <w:bottom w:val="nil"/>
              <w:right w:val="nil"/>
            </w:tcBorders>
            <w:shd w:val="clear" w:color="auto" w:fill="auto"/>
            <w:hideMark/>
          </w:tcPr>
          <w:p w14:paraId="37E3D904" w14:textId="77777777" w:rsidR="00D73008" w:rsidRPr="00F26E77" w:rsidRDefault="00D73008" w:rsidP="00387AE5">
            <w:pPr>
              <w:jc w:val="center"/>
              <w:rPr>
                <w:color w:val="000000"/>
                <w:sz w:val="18"/>
                <w:szCs w:val="18"/>
              </w:rPr>
            </w:pPr>
          </w:p>
        </w:tc>
        <w:tc>
          <w:tcPr>
            <w:tcW w:w="791" w:type="dxa"/>
            <w:tcBorders>
              <w:top w:val="nil"/>
              <w:left w:val="nil"/>
              <w:bottom w:val="nil"/>
              <w:right w:val="nil"/>
            </w:tcBorders>
            <w:shd w:val="clear" w:color="auto" w:fill="auto"/>
            <w:hideMark/>
          </w:tcPr>
          <w:p w14:paraId="3B093ABB" w14:textId="77777777" w:rsidR="00D73008" w:rsidRPr="00F26E77" w:rsidRDefault="00D73008" w:rsidP="00387AE5">
            <w:pPr>
              <w:jc w:val="center"/>
              <w:rPr>
                <w:sz w:val="18"/>
                <w:szCs w:val="18"/>
              </w:rPr>
            </w:pPr>
          </w:p>
        </w:tc>
        <w:tc>
          <w:tcPr>
            <w:tcW w:w="790" w:type="dxa"/>
            <w:tcBorders>
              <w:top w:val="nil"/>
              <w:left w:val="nil"/>
              <w:bottom w:val="nil"/>
              <w:right w:val="nil"/>
            </w:tcBorders>
            <w:shd w:val="clear" w:color="auto" w:fill="auto"/>
            <w:hideMark/>
          </w:tcPr>
          <w:p w14:paraId="6C1EEE53" w14:textId="77777777" w:rsidR="00D73008" w:rsidRPr="00F26E77" w:rsidRDefault="00D73008" w:rsidP="00387AE5">
            <w:pPr>
              <w:jc w:val="center"/>
              <w:rPr>
                <w:sz w:val="18"/>
                <w:szCs w:val="18"/>
              </w:rPr>
            </w:pPr>
          </w:p>
        </w:tc>
        <w:tc>
          <w:tcPr>
            <w:tcW w:w="789" w:type="dxa"/>
            <w:tcBorders>
              <w:top w:val="nil"/>
              <w:left w:val="nil"/>
              <w:bottom w:val="nil"/>
              <w:right w:val="nil"/>
            </w:tcBorders>
            <w:shd w:val="clear" w:color="auto" w:fill="auto"/>
            <w:hideMark/>
          </w:tcPr>
          <w:p w14:paraId="79A9D08C" w14:textId="77777777" w:rsidR="00D73008" w:rsidRPr="00F26E77" w:rsidRDefault="00D73008" w:rsidP="00387AE5">
            <w:pPr>
              <w:jc w:val="center"/>
              <w:rPr>
                <w:sz w:val="18"/>
                <w:szCs w:val="18"/>
              </w:rPr>
            </w:pPr>
          </w:p>
        </w:tc>
        <w:tc>
          <w:tcPr>
            <w:tcW w:w="789" w:type="dxa"/>
            <w:tcBorders>
              <w:top w:val="nil"/>
              <w:left w:val="nil"/>
              <w:bottom w:val="nil"/>
              <w:right w:val="nil"/>
            </w:tcBorders>
            <w:shd w:val="clear" w:color="auto" w:fill="auto"/>
            <w:hideMark/>
          </w:tcPr>
          <w:p w14:paraId="02B2885E" w14:textId="77777777" w:rsidR="00D73008" w:rsidRPr="00F26E77" w:rsidRDefault="00D73008" w:rsidP="00387AE5">
            <w:pPr>
              <w:jc w:val="center"/>
              <w:rPr>
                <w:sz w:val="18"/>
                <w:szCs w:val="18"/>
              </w:rPr>
            </w:pPr>
          </w:p>
        </w:tc>
      </w:tr>
      <w:tr w:rsidR="00D73008" w:rsidRPr="00F26E77" w14:paraId="7EE44F96" w14:textId="77777777" w:rsidTr="00387AE5">
        <w:trPr>
          <w:gridAfter w:val="1"/>
          <w:wAfter w:w="789" w:type="dxa"/>
          <w:trHeight w:val="273"/>
        </w:trPr>
        <w:tc>
          <w:tcPr>
            <w:tcW w:w="4320" w:type="dxa"/>
            <w:tcBorders>
              <w:top w:val="nil"/>
              <w:left w:val="nil"/>
              <w:bottom w:val="nil"/>
              <w:right w:val="nil"/>
            </w:tcBorders>
            <w:shd w:val="clear" w:color="auto" w:fill="auto"/>
            <w:vAlign w:val="center"/>
            <w:hideMark/>
          </w:tcPr>
          <w:p w14:paraId="53BA883F"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     - Tovary a služby</w:t>
            </w:r>
          </w:p>
        </w:tc>
        <w:tc>
          <w:tcPr>
            <w:tcW w:w="788" w:type="dxa"/>
            <w:tcBorders>
              <w:top w:val="nil"/>
              <w:left w:val="nil"/>
              <w:bottom w:val="nil"/>
              <w:right w:val="nil"/>
            </w:tcBorders>
            <w:shd w:val="clear" w:color="auto" w:fill="auto"/>
            <w:vAlign w:val="center"/>
            <w:hideMark/>
          </w:tcPr>
          <w:p w14:paraId="3609AC82" w14:textId="77777777" w:rsidR="00D73008" w:rsidRPr="00F26E77" w:rsidRDefault="00D73008" w:rsidP="00387AE5">
            <w:pPr>
              <w:jc w:val="center"/>
              <w:rPr>
                <w:rFonts w:cs="Times New Roman"/>
                <w:color w:val="000000"/>
                <w:sz w:val="18"/>
                <w:szCs w:val="18"/>
              </w:rPr>
            </w:pPr>
          </w:p>
        </w:tc>
        <w:tc>
          <w:tcPr>
            <w:tcW w:w="788" w:type="dxa"/>
            <w:tcBorders>
              <w:top w:val="nil"/>
              <w:left w:val="nil"/>
              <w:bottom w:val="nil"/>
              <w:right w:val="nil"/>
            </w:tcBorders>
            <w:shd w:val="clear" w:color="auto" w:fill="auto"/>
            <w:hideMark/>
          </w:tcPr>
          <w:p w14:paraId="2C2BC5FA" w14:textId="77777777" w:rsidR="00D73008" w:rsidRPr="00F26E77" w:rsidRDefault="00D73008" w:rsidP="00387AE5">
            <w:pPr>
              <w:jc w:val="center"/>
              <w:rPr>
                <w:color w:val="000000"/>
                <w:sz w:val="18"/>
                <w:szCs w:val="18"/>
              </w:rPr>
            </w:pPr>
            <w:r w:rsidRPr="00F26E77">
              <w:rPr>
                <w:sz w:val="18"/>
                <w:szCs w:val="18"/>
              </w:rPr>
              <w:t>0,9</w:t>
            </w:r>
          </w:p>
        </w:tc>
        <w:tc>
          <w:tcPr>
            <w:tcW w:w="791" w:type="dxa"/>
            <w:tcBorders>
              <w:top w:val="nil"/>
              <w:left w:val="nil"/>
              <w:bottom w:val="nil"/>
              <w:right w:val="nil"/>
            </w:tcBorders>
            <w:shd w:val="clear" w:color="auto" w:fill="auto"/>
            <w:hideMark/>
          </w:tcPr>
          <w:p w14:paraId="2656DDFD" w14:textId="77777777" w:rsidR="00D73008" w:rsidRPr="00F26E77" w:rsidRDefault="00D73008" w:rsidP="00387AE5">
            <w:pPr>
              <w:jc w:val="center"/>
              <w:rPr>
                <w:color w:val="000000"/>
                <w:sz w:val="18"/>
                <w:szCs w:val="18"/>
              </w:rPr>
            </w:pPr>
            <w:r w:rsidRPr="00F26E77">
              <w:rPr>
                <w:sz w:val="18"/>
                <w:szCs w:val="18"/>
              </w:rPr>
              <w:t>1,7</w:t>
            </w:r>
          </w:p>
        </w:tc>
        <w:tc>
          <w:tcPr>
            <w:tcW w:w="790" w:type="dxa"/>
            <w:tcBorders>
              <w:top w:val="nil"/>
              <w:left w:val="nil"/>
              <w:bottom w:val="nil"/>
              <w:right w:val="nil"/>
            </w:tcBorders>
            <w:shd w:val="clear" w:color="auto" w:fill="auto"/>
            <w:hideMark/>
          </w:tcPr>
          <w:p w14:paraId="6D8F0867" w14:textId="77777777" w:rsidR="00D73008" w:rsidRPr="00F26E77" w:rsidRDefault="00D73008" w:rsidP="00387AE5">
            <w:pPr>
              <w:jc w:val="center"/>
              <w:rPr>
                <w:color w:val="000000"/>
                <w:sz w:val="18"/>
                <w:szCs w:val="18"/>
              </w:rPr>
            </w:pPr>
            <w:r w:rsidRPr="00F26E77">
              <w:rPr>
                <w:sz w:val="18"/>
                <w:szCs w:val="18"/>
              </w:rPr>
              <w:t>2,3</w:t>
            </w:r>
          </w:p>
        </w:tc>
        <w:tc>
          <w:tcPr>
            <w:tcW w:w="789" w:type="dxa"/>
            <w:tcBorders>
              <w:top w:val="nil"/>
              <w:left w:val="nil"/>
              <w:bottom w:val="nil"/>
              <w:right w:val="nil"/>
            </w:tcBorders>
            <w:shd w:val="clear" w:color="auto" w:fill="auto"/>
            <w:hideMark/>
          </w:tcPr>
          <w:p w14:paraId="23423AED" w14:textId="77777777" w:rsidR="00D73008" w:rsidRPr="00F26E77" w:rsidRDefault="00D73008" w:rsidP="00387AE5">
            <w:pPr>
              <w:jc w:val="center"/>
              <w:rPr>
                <w:color w:val="000000"/>
                <w:sz w:val="18"/>
                <w:szCs w:val="18"/>
              </w:rPr>
            </w:pPr>
            <w:r w:rsidRPr="00F26E77">
              <w:rPr>
                <w:sz w:val="18"/>
                <w:szCs w:val="18"/>
              </w:rPr>
              <w:t>2,8</w:t>
            </w:r>
          </w:p>
        </w:tc>
        <w:tc>
          <w:tcPr>
            <w:tcW w:w="789" w:type="dxa"/>
            <w:tcBorders>
              <w:top w:val="nil"/>
              <w:left w:val="nil"/>
              <w:bottom w:val="nil"/>
              <w:right w:val="nil"/>
            </w:tcBorders>
            <w:shd w:val="clear" w:color="auto" w:fill="auto"/>
            <w:hideMark/>
          </w:tcPr>
          <w:p w14:paraId="3EDB51F7" w14:textId="77777777" w:rsidR="00D73008" w:rsidRPr="00F26E77" w:rsidRDefault="00D73008" w:rsidP="00387AE5">
            <w:pPr>
              <w:jc w:val="center"/>
              <w:rPr>
                <w:color w:val="000000"/>
                <w:sz w:val="18"/>
                <w:szCs w:val="18"/>
              </w:rPr>
            </w:pPr>
            <w:r w:rsidRPr="00F26E77">
              <w:rPr>
                <w:sz w:val="18"/>
                <w:szCs w:val="18"/>
              </w:rPr>
              <w:t>3,0</w:t>
            </w:r>
          </w:p>
        </w:tc>
      </w:tr>
      <w:tr w:rsidR="00D73008" w:rsidRPr="00F26E77" w14:paraId="50AFBEDA" w14:textId="77777777" w:rsidTr="00387AE5">
        <w:trPr>
          <w:gridAfter w:val="1"/>
          <w:wAfter w:w="789" w:type="dxa"/>
          <w:trHeight w:val="273"/>
        </w:trPr>
        <w:tc>
          <w:tcPr>
            <w:tcW w:w="4320" w:type="dxa"/>
            <w:tcBorders>
              <w:top w:val="nil"/>
              <w:left w:val="nil"/>
              <w:bottom w:val="nil"/>
              <w:right w:val="nil"/>
            </w:tcBorders>
            <w:shd w:val="clear" w:color="auto" w:fill="auto"/>
            <w:noWrap/>
            <w:vAlign w:val="center"/>
            <w:hideMark/>
          </w:tcPr>
          <w:p w14:paraId="17CE2C0D"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     - Primárne príjmy a transfery</w:t>
            </w:r>
          </w:p>
        </w:tc>
        <w:tc>
          <w:tcPr>
            <w:tcW w:w="788" w:type="dxa"/>
            <w:tcBorders>
              <w:top w:val="nil"/>
              <w:left w:val="nil"/>
              <w:bottom w:val="nil"/>
              <w:right w:val="nil"/>
            </w:tcBorders>
            <w:shd w:val="clear" w:color="auto" w:fill="auto"/>
            <w:vAlign w:val="center"/>
            <w:hideMark/>
          </w:tcPr>
          <w:p w14:paraId="5B7C9A41" w14:textId="77777777" w:rsidR="00D73008" w:rsidRPr="00F26E77" w:rsidRDefault="00D73008" w:rsidP="00387AE5">
            <w:pPr>
              <w:jc w:val="center"/>
              <w:rPr>
                <w:rFonts w:cs="Times New Roman"/>
                <w:color w:val="000000"/>
                <w:sz w:val="18"/>
                <w:szCs w:val="18"/>
              </w:rPr>
            </w:pPr>
          </w:p>
        </w:tc>
        <w:tc>
          <w:tcPr>
            <w:tcW w:w="788" w:type="dxa"/>
            <w:tcBorders>
              <w:top w:val="nil"/>
              <w:left w:val="nil"/>
              <w:bottom w:val="nil"/>
              <w:right w:val="nil"/>
            </w:tcBorders>
            <w:shd w:val="clear" w:color="auto" w:fill="auto"/>
            <w:hideMark/>
          </w:tcPr>
          <w:p w14:paraId="56369DE8" w14:textId="77777777" w:rsidR="00D73008" w:rsidRPr="00F26E77" w:rsidRDefault="00D73008" w:rsidP="00387AE5">
            <w:pPr>
              <w:jc w:val="center"/>
              <w:rPr>
                <w:color w:val="000000"/>
                <w:sz w:val="18"/>
                <w:szCs w:val="18"/>
              </w:rPr>
            </w:pPr>
            <w:r w:rsidRPr="00F26E77">
              <w:rPr>
                <w:sz w:val="18"/>
                <w:szCs w:val="18"/>
              </w:rPr>
              <w:t>-3,4</w:t>
            </w:r>
          </w:p>
        </w:tc>
        <w:tc>
          <w:tcPr>
            <w:tcW w:w="791" w:type="dxa"/>
            <w:tcBorders>
              <w:top w:val="nil"/>
              <w:left w:val="nil"/>
              <w:bottom w:val="nil"/>
              <w:right w:val="nil"/>
            </w:tcBorders>
            <w:shd w:val="clear" w:color="auto" w:fill="auto"/>
            <w:hideMark/>
          </w:tcPr>
          <w:p w14:paraId="0854B583" w14:textId="77777777" w:rsidR="00D73008" w:rsidRPr="00F26E77" w:rsidRDefault="00D73008" w:rsidP="00387AE5">
            <w:pPr>
              <w:jc w:val="center"/>
              <w:rPr>
                <w:color w:val="000000"/>
                <w:sz w:val="18"/>
                <w:szCs w:val="18"/>
              </w:rPr>
            </w:pPr>
            <w:r w:rsidRPr="00F26E77">
              <w:rPr>
                <w:sz w:val="18"/>
                <w:szCs w:val="18"/>
              </w:rPr>
              <w:t>-3,7</w:t>
            </w:r>
          </w:p>
        </w:tc>
        <w:tc>
          <w:tcPr>
            <w:tcW w:w="790" w:type="dxa"/>
            <w:tcBorders>
              <w:top w:val="nil"/>
              <w:left w:val="nil"/>
              <w:bottom w:val="nil"/>
              <w:right w:val="nil"/>
            </w:tcBorders>
            <w:shd w:val="clear" w:color="auto" w:fill="auto"/>
            <w:hideMark/>
          </w:tcPr>
          <w:p w14:paraId="34C4091B" w14:textId="77777777" w:rsidR="00D73008" w:rsidRPr="00F26E77" w:rsidRDefault="00D73008" w:rsidP="00387AE5">
            <w:pPr>
              <w:jc w:val="center"/>
              <w:rPr>
                <w:color w:val="000000"/>
                <w:sz w:val="18"/>
                <w:szCs w:val="18"/>
              </w:rPr>
            </w:pPr>
            <w:r w:rsidRPr="00F26E77">
              <w:rPr>
                <w:sz w:val="18"/>
                <w:szCs w:val="18"/>
              </w:rPr>
              <w:t>-3,8</w:t>
            </w:r>
          </w:p>
        </w:tc>
        <w:tc>
          <w:tcPr>
            <w:tcW w:w="789" w:type="dxa"/>
            <w:tcBorders>
              <w:top w:val="nil"/>
              <w:left w:val="nil"/>
              <w:bottom w:val="nil"/>
              <w:right w:val="nil"/>
            </w:tcBorders>
            <w:shd w:val="clear" w:color="auto" w:fill="auto"/>
            <w:hideMark/>
          </w:tcPr>
          <w:p w14:paraId="5F9E1238" w14:textId="77777777" w:rsidR="00D73008" w:rsidRPr="00F26E77" w:rsidRDefault="00D73008" w:rsidP="00387AE5">
            <w:pPr>
              <w:jc w:val="center"/>
              <w:rPr>
                <w:color w:val="000000"/>
                <w:sz w:val="18"/>
                <w:szCs w:val="18"/>
              </w:rPr>
            </w:pPr>
            <w:r w:rsidRPr="00F26E77">
              <w:rPr>
                <w:sz w:val="18"/>
                <w:szCs w:val="18"/>
              </w:rPr>
              <w:t>-3,9</w:t>
            </w:r>
          </w:p>
        </w:tc>
        <w:tc>
          <w:tcPr>
            <w:tcW w:w="789" w:type="dxa"/>
            <w:tcBorders>
              <w:top w:val="nil"/>
              <w:left w:val="nil"/>
              <w:bottom w:val="nil"/>
              <w:right w:val="nil"/>
            </w:tcBorders>
            <w:shd w:val="clear" w:color="auto" w:fill="auto"/>
            <w:hideMark/>
          </w:tcPr>
          <w:p w14:paraId="4E2DDE23" w14:textId="77777777" w:rsidR="00D73008" w:rsidRPr="00F26E77" w:rsidRDefault="00D73008" w:rsidP="00387AE5">
            <w:pPr>
              <w:jc w:val="center"/>
              <w:rPr>
                <w:color w:val="000000"/>
                <w:sz w:val="18"/>
                <w:szCs w:val="18"/>
              </w:rPr>
            </w:pPr>
            <w:r w:rsidRPr="00F26E77">
              <w:rPr>
                <w:sz w:val="18"/>
                <w:szCs w:val="18"/>
              </w:rPr>
              <w:t>-4,0</w:t>
            </w:r>
          </w:p>
        </w:tc>
      </w:tr>
      <w:tr w:rsidR="00D73008" w:rsidRPr="00F26E77" w14:paraId="068E9E5E" w14:textId="77777777" w:rsidTr="00387AE5">
        <w:trPr>
          <w:gridAfter w:val="1"/>
          <w:wAfter w:w="789" w:type="dxa"/>
          <w:trHeight w:val="273"/>
        </w:trPr>
        <w:tc>
          <w:tcPr>
            <w:tcW w:w="4320" w:type="dxa"/>
            <w:tcBorders>
              <w:top w:val="nil"/>
              <w:left w:val="nil"/>
              <w:bottom w:val="nil"/>
              <w:right w:val="nil"/>
            </w:tcBorders>
            <w:shd w:val="clear" w:color="auto" w:fill="auto"/>
            <w:vAlign w:val="center"/>
            <w:hideMark/>
          </w:tcPr>
          <w:p w14:paraId="01399EBF" w14:textId="77777777" w:rsidR="00D73008" w:rsidRPr="00F26E77" w:rsidRDefault="00D73008" w:rsidP="00387AE5">
            <w:pPr>
              <w:rPr>
                <w:rFonts w:cs="Times New Roman"/>
                <w:color w:val="000000"/>
                <w:sz w:val="18"/>
                <w:szCs w:val="18"/>
              </w:rPr>
            </w:pPr>
            <w:r w:rsidRPr="00F26E77">
              <w:rPr>
                <w:rFonts w:cs="Times New Roman"/>
                <w:color w:val="000000"/>
                <w:sz w:val="18"/>
                <w:szCs w:val="18"/>
              </w:rPr>
              <w:t xml:space="preserve">     - Kapitálový účet</w:t>
            </w:r>
          </w:p>
        </w:tc>
        <w:tc>
          <w:tcPr>
            <w:tcW w:w="788" w:type="dxa"/>
            <w:tcBorders>
              <w:top w:val="nil"/>
              <w:left w:val="nil"/>
              <w:bottom w:val="nil"/>
              <w:right w:val="nil"/>
            </w:tcBorders>
            <w:shd w:val="clear" w:color="auto" w:fill="auto"/>
            <w:vAlign w:val="center"/>
            <w:hideMark/>
          </w:tcPr>
          <w:p w14:paraId="1A8BA7EE" w14:textId="77777777" w:rsidR="00D73008" w:rsidRPr="00F26E77" w:rsidRDefault="00D73008" w:rsidP="00387AE5">
            <w:pPr>
              <w:jc w:val="center"/>
              <w:rPr>
                <w:rFonts w:cs="Times New Roman"/>
                <w:color w:val="000000"/>
                <w:sz w:val="18"/>
                <w:szCs w:val="18"/>
              </w:rPr>
            </w:pPr>
          </w:p>
        </w:tc>
        <w:tc>
          <w:tcPr>
            <w:tcW w:w="788" w:type="dxa"/>
            <w:tcBorders>
              <w:top w:val="nil"/>
              <w:left w:val="nil"/>
              <w:bottom w:val="nil"/>
              <w:right w:val="nil"/>
            </w:tcBorders>
            <w:shd w:val="clear" w:color="auto" w:fill="auto"/>
            <w:hideMark/>
          </w:tcPr>
          <w:p w14:paraId="7AB6252F" w14:textId="77777777" w:rsidR="00D73008" w:rsidRPr="00F26E77" w:rsidRDefault="00D73008" w:rsidP="00387AE5">
            <w:pPr>
              <w:jc w:val="center"/>
              <w:rPr>
                <w:color w:val="000000"/>
                <w:sz w:val="18"/>
                <w:szCs w:val="18"/>
              </w:rPr>
            </w:pPr>
            <w:r w:rsidRPr="00F26E77">
              <w:rPr>
                <w:sz w:val="18"/>
                <w:szCs w:val="18"/>
              </w:rPr>
              <w:t>1,6</w:t>
            </w:r>
          </w:p>
        </w:tc>
        <w:tc>
          <w:tcPr>
            <w:tcW w:w="791" w:type="dxa"/>
            <w:tcBorders>
              <w:top w:val="nil"/>
              <w:left w:val="nil"/>
              <w:bottom w:val="nil"/>
              <w:right w:val="nil"/>
            </w:tcBorders>
            <w:shd w:val="clear" w:color="auto" w:fill="auto"/>
            <w:hideMark/>
          </w:tcPr>
          <w:p w14:paraId="38BD6B9B" w14:textId="77777777" w:rsidR="00D73008" w:rsidRPr="00F26E77" w:rsidRDefault="00D73008" w:rsidP="00387AE5">
            <w:pPr>
              <w:jc w:val="center"/>
              <w:rPr>
                <w:color w:val="000000"/>
                <w:sz w:val="18"/>
                <w:szCs w:val="18"/>
              </w:rPr>
            </w:pPr>
            <w:r w:rsidRPr="00F26E77">
              <w:rPr>
                <w:sz w:val="18"/>
                <w:szCs w:val="18"/>
              </w:rPr>
              <w:t>1,6</w:t>
            </w:r>
          </w:p>
        </w:tc>
        <w:tc>
          <w:tcPr>
            <w:tcW w:w="790" w:type="dxa"/>
            <w:tcBorders>
              <w:top w:val="nil"/>
              <w:left w:val="nil"/>
              <w:bottom w:val="nil"/>
              <w:right w:val="nil"/>
            </w:tcBorders>
            <w:shd w:val="clear" w:color="auto" w:fill="auto"/>
            <w:hideMark/>
          </w:tcPr>
          <w:p w14:paraId="55D5EE5A" w14:textId="77777777" w:rsidR="00D73008" w:rsidRPr="00F26E77" w:rsidRDefault="00D73008" w:rsidP="00387AE5">
            <w:pPr>
              <w:jc w:val="center"/>
              <w:rPr>
                <w:color w:val="000000"/>
                <w:sz w:val="18"/>
                <w:szCs w:val="18"/>
              </w:rPr>
            </w:pPr>
            <w:r w:rsidRPr="00F26E77">
              <w:rPr>
                <w:sz w:val="18"/>
                <w:szCs w:val="18"/>
              </w:rPr>
              <w:t>1,6</w:t>
            </w:r>
          </w:p>
        </w:tc>
        <w:tc>
          <w:tcPr>
            <w:tcW w:w="789" w:type="dxa"/>
            <w:tcBorders>
              <w:top w:val="nil"/>
              <w:left w:val="nil"/>
              <w:bottom w:val="nil"/>
              <w:right w:val="nil"/>
            </w:tcBorders>
            <w:shd w:val="clear" w:color="auto" w:fill="auto"/>
            <w:hideMark/>
          </w:tcPr>
          <w:p w14:paraId="0B25D2C2" w14:textId="77777777" w:rsidR="00D73008" w:rsidRPr="00F26E77" w:rsidRDefault="00D73008" w:rsidP="00387AE5">
            <w:pPr>
              <w:jc w:val="center"/>
              <w:rPr>
                <w:color w:val="000000"/>
                <w:sz w:val="18"/>
                <w:szCs w:val="18"/>
              </w:rPr>
            </w:pPr>
            <w:r w:rsidRPr="00F26E77">
              <w:rPr>
                <w:sz w:val="18"/>
                <w:szCs w:val="18"/>
              </w:rPr>
              <w:t>1,6</w:t>
            </w:r>
          </w:p>
        </w:tc>
        <w:tc>
          <w:tcPr>
            <w:tcW w:w="789" w:type="dxa"/>
            <w:tcBorders>
              <w:top w:val="nil"/>
              <w:left w:val="nil"/>
              <w:bottom w:val="nil"/>
              <w:right w:val="nil"/>
            </w:tcBorders>
            <w:shd w:val="clear" w:color="auto" w:fill="auto"/>
            <w:hideMark/>
          </w:tcPr>
          <w:p w14:paraId="45130AB5" w14:textId="77777777" w:rsidR="00D73008" w:rsidRPr="00F26E77" w:rsidRDefault="00D73008" w:rsidP="00387AE5">
            <w:pPr>
              <w:jc w:val="center"/>
              <w:rPr>
                <w:color w:val="000000"/>
                <w:sz w:val="18"/>
                <w:szCs w:val="18"/>
              </w:rPr>
            </w:pPr>
            <w:r w:rsidRPr="00F26E77">
              <w:rPr>
                <w:sz w:val="18"/>
                <w:szCs w:val="18"/>
              </w:rPr>
              <w:t>1,6</w:t>
            </w:r>
          </w:p>
        </w:tc>
      </w:tr>
      <w:tr w:rsidR="00D73008" w:rsidRPr="00F26E77" w14:paraId="664DD55A" w14:textId="77777777" w:rsidTr="00387AE5">
        <w:trPr>
          <w:gridAfter w:val="1"/>
          <w:wAfter w:w="789" w:type="dxa"/>
          <w:trHeight w:val="273"/>
        </w:trPr>
        <w:tc>
          <w:tcPr>
            <w:tcW w:w="4320" w:type="dxa"/>
            <w:tcBorders>
              <w:top w:val="nil"/>
              <w:left w:val="nil"/>
              <w:bottom w:val="nil"/>
              <w:right w:val="nil"/>
            </w:tcBorders>
            <w:shd w:val="clear" w:color="auto" w:fill="auto"/>
            <w:noWrap/>
            <w:vAlign w:val="center"/>
            <w:hideMark/>
          </w:tcPr>
          <w:p w14:paraId="285E431B" w14:textId="77777777" w:rsidR="00D73008" w:rsidRPr="00F26E77" w:rsidRDefault="00D73008" w:rsidP="00387AE5">
            <w:pPr>
              <w:rPr>
                <w:rFonts w:cs="Times New Roman"/>
                <w:color w:val="000000"/>
                <w:sz w:val="18"/>
                <w:szCs w:val="18"/>
              </w:rPr>
            </w:pPr>
            <w:r w:rsidRPr="00F26E77">
              <w:rPr>
                <w:rFonts w:cs="Times New Roman"/>
                <w:color w:val="000000"/>
                <w:sz w:val="18"/>
                <w:szCs w:val="18"/>
              </w:rPr>
              <w:t>2. Čisté pôžičky poskytnuté / prijaté ostatných sektorov</w:t>
            </w:r>
          </w:p>
        </w:tc>
        <w:tc>
          <w:tcPr>
            <w:tcW w:w="788" w:type="dxa"/>
            <w:tcBorders>
              <w:top w:val="nil"/>
              <w:left w:val="nil"/>
              <w:bottom w:val="nil"/>
              <w:right w:val="nil"/>
            </w:tcBorders>
            <w:shd w:val="clear" w:color="auto" w:fill="auto"/>
            <w:vAlign w:val="center"/>
            <w:hideMark/>
          </w:tcPr>
          <w:p w14:paraId="43413D2C"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B.9</w:t>
            </w:r>
          </w:p>
        </w:tc>
        <w:tc>
          <w:tcPr>
            <w:tcW w:w="788" w:type="dxa"/>
            <w:tcBorders>
              <w:top w:val="nil"/>
              <w:left w:val="nil"/>
              <w:bottom w:val="nil"/>
              <w:right w:val="nil"/>
            </w:tcBorders>
            <w:shd w:val="clear" w:color="auto" w:fill="auto"/>
            <w:hideMark/>
          </w:tcPr>
          <w:p w14:paraId="38D49D12" w14:textId="77777777" w:rsidR="00D73008" w:rsidRPr="00F26E77" w:rsidRDefault="00D73008" w:rsidP="00387AE5">
            <w:pPr>
              <w:jc w:val="center"/>
              <w:rPr>
                <w:color w:val="000000"/>
                <w:sz w:val="18"/>
                <w:szCs w:val="18"/>
              </w:rPr>
            </w:pPr>
            <w:r w:rsidRPr="00F26E77">
              <w:rPr>
                <w:sz w:val="18"/>
                <w:szCs w:val="18"/>
              </w:rPr>
              <w:t>-0,2</w:t>
            </w:r>
          </w:p>
        </w:tc>
        <w:tc>
          <w:tcPr>
            <w:tcW w:w="791" w:type="dxa"/>
            <w:tcBorders>
              <w:top w:val="nil"/>
              <w:left w:val="nil"/>
              <w:bottom w:val="nil"/>
              <w:right w:val="nil"/>
            </w:tcBorders>
            <w:shd w:val="clear" w:color="auto" w:fill="auto"/>
            <w:hideMark/>
          </w:tcPr>
          <w:p w14:paraId="4F9A9E72" w14:textId="77777777" w:rsidR="00D73008" w:rsidRPr="00F26E77" w:rsidRDefault="00D73008" w:rsidP="00387AE5">
            <w:pPr>
              <w:jc w:val="center"/>
              <w:rPr>
                <w:color w:val="000000"/>
                <w:sz w:val="18"/>
                <w:szCs w:val="18"/>
              </w:rPr>
            </w:pPr>
            <w:r w:rsidRPr="00F26E77">
              <w:rPr>
                <w:sz w:val="18"/>
                <w:szCs w:val="18"/>
              </w:rPr>
              <w:t>-0,4</w:t>
            </w:r>
          </w:p>
        </w:tc>
        <w:tc>
          <w:tcPr>
            <w:tcW w:w="790" w:type="dxa"/>
            <w:tcBorders>
              <w:top w:val="nil"/>
              <w:left w:val="nil"/>
              <w:bottom w:val="nil"/>
              <w:right w:val="nil"/>
            </w:tcBorders>
            <w:shd w:val="clear" w:color="auto" w:fill="auto"/>
            <w:hideMark/>
          </w:tcPr>
          <w:p w14:paraId="79BD4C42" w14:textId="77777777" w:rsidR="00D73008" w:rsidRPr="00F26E77" w:rsidRDefault="00D73008" w:rsidP="00387AE5">
            <w:pPr>
              <w:jc w:val="center"/>
              <w:rPr>
                <w:color w:val="000000"/>
                <w:sz w:val="18"/>
                <w:szCs w:val="18"/>
              </w:rPr>
            </w:pPr>
            <w:r w:rsidRPr="00F26E77">
              <w:rPr>
                <w:sz w:val="18"/>
                <w:szCs w:val="18"/>
              </w:rPr>
              <w:t>0,1</w:t>
            </w:r>
          </w:p>
        </w:tc>
        <w:tc>
          <w:tcPr>
            <w:tcW w:w="789" w:type="dxa"/>
            <w:tcBorders>
              <w:top w:val="nil"/>
              <w:left w:val="nil"/>
              <w:bottom w:val="nil"/>
              <w:right w:val="nil"/>
            </w:tcBorders>
            <w:shd w:val="clear" w:color="auto" w:fill="auto"/>
            <w:hideMark/>
          </w:tcPr>
          <w:p w14:paraId="6E237FCD" w14:textId="77777777" w:rsidR="00D73008" w:rsidRPr="00F26E77" w:rsidRDefault="00D73008" w:rsidP="00387AE5">
            <w:pPr>
              <w:jc w:val="center"/>
              <w:rPr>
                <w:color w:val="000000"/>
                <w:sz w:val="18"/>
                <w:szCs w:val="18"/>
              </w:rPr>
            </w:pPr>
            <w:r w:rsidRPr="00F26E77">
              <w:rPr>
                <w:sz w:val="18"/>
                <w:szCs w:val="18"/>
              </w:rPr>
              <w:t>0,5</w:t>
            </w:r>
          </w:p>
        </w:tc>
        <w:tc>
          <w:tcPr>
            <w:tcW w:w="789" w:type="dxa"/>
            <w:tcBorders>
              <w:top w:val="nil"/>
              <w:left w:val="nil"/>
              <w:bottom w:val="nil"/>
              <w:right w:val="nil"/>
            </w:tcBorders>
            <w:shd w:val="clear" w:color="auto" w:fill="auto"/>
            <w:hideMark/>
          </w:tcPr>
          <w:p w14:paraId="62EAD72D" w14:textId="77777777" w:rsidR="00D73008" w:rsidRPr="00F26E77" w:rsidRDefault="00D73008" w:rsidP="00387AE5">
            <w:pPr>
              <w:jc w:val="center"/>
              <w:rPr>
                <w:color w:val="000000"/>
                <w:sz w:val="18"/>
                <w:szCs w:val="18"/>
              </w:rPr>
            </w:pPr>
            <w:r w:rsidRPr="00F26E77">
              <w:rPr>
                <w:sz w:val="18"/>
                <w:szCs w:val="18"/>
              </w:rPr>
              <w:t>0,6</w:t>
            </w:r>
          </w:p>
        </w:tc>
      </w:tr>
      <w:tr w:rsidR="00D73008" w:rsidRPr="00F26E77" w14:paraId="5542496C" w14:textId="77777777" w:rsidTr="00387AE5">
        <w:trPr>
          <w:gridAfter w:val="1"/>
          <w:wAfter w:w="789" w:type="dxa"/>
          <w:trHeight w:val="273"/>
        </w:trPr>
        <w:tc>
          <w:tcPr>
            <w:tcW w:w="4320" w:type="dxa"/>
            <w:tcBorders>
              <w:top w:val="nil"/>
              <w:left w:val="nil"/>
              <w:bottom w:val="nil"/>
              <w:right w:val="nil"/>
            </w:tcBorders>
            <w:shd w:val="clear" w:color="auto" w:fill="auto"/>
            <w:vAlign w:val="center"/>
            <w:hideMark/>
          </w:tcPr>
          <w:p w14:paraId="52FECF23" w14:textId="77777777" w:rsidR="00D73008" w:rsidRPr="00F26E77" w:rsidRDefault="00D73008" w:rsidP="00387AE5">
            <w:pPr>
              <w:rPr>
                <w:rFonts w:cs="Times New Roman"/>
                <w:color w:val="000000"/>
                <w:sz w:val="18"/>
                <w:szCs w:val="18"/>
              </w:rPr>
            </w:pPr>
            <w:r w:rsidRPr="00F26E77">
              <w:rPr>
                <w:rFonts w:cs="Times New Roman"/>
                <w:color w:val="000000"/>
                <w:sz w:val="18"/>
                <w:szCs w:val="18"/>
              </w:rPr>
              <w:t>3. Čisté pôžičky poskytnuté / prijaté verejnej správy (ciele vlády)*</w:t>
            </w:r>
          </w:p>
        </w:tc>
        <w:tc>
          <w:tcPr>
            <w:tcW w:w="788" w:type="dxa"/>
            <w:tcBorders>
              <w:top w:val="nil"/>
              <w:left w:val="nil"/>
              <w:bottom w:val="nil"/>
              <w:right w:val="nil"/>
            </w:tcBorders>
            <w:shd w:val="clear" w:color="auto" w:fill="auto"/>
            <w:vAlign w:val="center"/>
            <w:hideMark/>
          </w:tcPr>
          <w:p w14:paraId="145D4BB5" w14:textId="77777777" w:rsidR="00D73008" w:rsidRPr="00F26E77" w:rsidRDefault="00D73008" w:rsidP="00387AE5">
            <w:pPr>
              <w:jc w:val="center"/>
              <w:rPr>
                <w:rFonts w:cs="Times New Roman"/>
                <w:color w:val="000000"/>
                <w:sz w:val="18"/>
                <w:szCs w:val="18"/>
              </w:rPr>
            </w:pPr>
            <w:r w:rsidRPr="00F26E77">
              <w:rPr>
                <w:rFonts w:cs="Times New Roman"/>
                <w:color w:val="000000"/>
                <w:sz w:val="18"/>
                <w:szCs w:val="18"/>
              </w:rPr>
              <w:t>B.9</w:t>
            </w:r>
          </w:p>
        </w:tc>
        <w:tc>
          <w:tcPr>
            <w:tcW w:w="788" w:type="dxa"/>
            <w:tcBorders>
              <w:top w:val="nil"/>
              <w:left w:val="nil"/>
              <w:bottom w:val="nil"/>
              <w:right w:val="nil"/>
            </w:tcBorders>
            <w:shd w:val="clear" w:color="auto" w:fill="auto"/>
            <w:hideMark/>
          </w:tcPr>
          <w:p w14:paraId="5A2E17FF" w14:textId="77777777" w:rsidR="00D73008" w:rsidRPr="00F26E77" w:rsidRDefault="00D73008" w:rsidP="00387AE5">
            <w:pPr>
              <w:jc w:val="center"/>
              <w:rPr>
                <w:rFonts w:cs="Times New Roman"/>
                <w:color w:val="000000"/>
                <w:sz w:val="18"/>
                <w:szCs w:val="18"/>
              </w:rPr>
            </w:pPr>
            <w:r w:rsidRPr="00F26E77">
              <w:rPr>
                <w:sz w:val="18"/>
                <w:szCs w:val="18"/>
              </w:rPr>
              <w:t>-0,7</w:t>
            </w:r>
          </w:p>
        </w:tc>
        <w:tc>
          <w:tcPr>
            <w:tcW w:w="791" w:type="dxa"/>
            <w:tcBorders>
              <w:top w:val="nil"/>
              <w:left w:val="nil"/>
              <w:bottom w:val="nil"/>
              <w:right w:val="nil"/>
            </w:tcBorders>
            <w:shd w:val="clear" w:color="auto" w:fill="auto"/>
            <w:hideMark/>
          </w:tcPr>
          <w:p w14:paraId="355B8926" w14:textId="77777777" w:rsidR="00D73008" w:rsidRPr="00F26E77" w:rsidRDefault="00D73008" w:rsidP="00387AE5">
            <w:pPr>
              <w:jc w:val="center"/>
              <w:rPr>
                <w:rFonts w:cs="Times New Roman"/>
                <w:color w:val="000000"/>
                <w:sz w:val="18"/>
                <w:szCs w:val="18"/>
              </w:rPr>
            </w:pPr>
            <w:r w:rsidRPr="00F26E77">
              <w:rPr>
                <w:sz w:val="18"/>
                <w:szCs w:val="18"/>
              </w:rPr>
              <w:t>0,0</w:t>
            </w:r>
          </w:p>
        </w:tc>
        <w:tc>
          <w:tcPr>
            <w:tcW w:w="790" w:type="dxa"/>
            <w:tcBorders>
              <w:top w:val="nil"/>
              <w:left w:val="nil"/>
              <w:bottom w:val="nil"/>
              <w:right w:val="nil"/>
            </w:tcBorders>
            <w:shd w:val="clear" w:color="auto" w:fill="auto"/>
            <w:hideMark/>
          </w:tcPr>
          <w:p w14:paraId="13A945C8" w14:textId="77777777" w:rsidR="00D73008" w:rsidRPr="00F26E77" w:rsidRDefault="00D73008" w:rsidP="00387AE5">
            <w:pPr>
              <w:jc w:val="center"/>
              <w:rPr>
                <w:rFonts w:cs="Times New Roman"/>
                <w:color w:val="000000"/>
                <w:sz w:val="18"/>
                <w:szCs w:val="18"/>
              </w:rPr>
            </w:pPr>
            <w:r w:rsidRPr="00F26E77">
              <w:rPr>
                <w:sz w:val="18"/>
                <w:szCs w:val="18"/>
              </w:rPr>
              <w:t>0,0</w:t>
            </w:r>
          </w:p>
        </w:tc>
        <w:tc>
          <w:tcPr>
            <w:tcW w:w="789" w:type="dxa"/>
            <w:tcBorders>
              <w:top w:val="nil"/>
              <w:left w:val="nil"/>
              <w:bottom w:val="nil"/>
              <w:right w:val="nil"/>
            </w:tcBorders>
            <w:shd w:val="clear" w:color="auto" w:fill="auto"/>
            <w:hideMark/>
          </w:tcPr>
          <w:p w14:paraId="5FE6CE5D" w14:textId="77777777" w:rsidR="00D73008" w:rsidRPr="00F26E77" w:rsidRDefault="00D73008" w:rsidP="00387AE5">
            <w:pPr>
              <w:jc w:val="center"/>
              <w:rPr>
                <w:rFonts w:cs="Times New Roman"/>
                <w:color w:val="000000"/>
                <w:sz w:val="18"/>
                <w:szCs w:val="18"/>
              </w:rPr>
            </w:pPr>
            <w:r w:rsidRPr="00F26E77">
              <w:rPr>
                <w:sz w:val="18"/>
                <w:szCs w:val="18"/>
              </w:rPr>
              <w:t>0,0</w:t>
            </w:r>
          </w:p>
        </w:tc>
        <w:tc>
          <w:tcPr>
            <w:tcW w:w="789" w:type="dxa"/>
            <w:tcBorders>
              <w:top w:val="nil"/>
              <w:left w:val="nil"/>
              <w:bottom w:val="nil"/>
              <w:right w:val="nil"/>
            </w:tcBorders>
            <w:shd w:val="clear" w:color="auto" w:fill="auto"/>
            <w:hideMark/>
          </w:tcPr>
          <w:p w14:paraId="3487B548" w14:textId="77777777" w:rsidR="00D73008" w:rsidRPr="00F26E77" w:rsidRDefault="00D73008" w:rsidP="00387AE5">
            <w:pPr>
              <w:jc w:val="center"/>
              <w:rPr>
                <w:rFonts w:cs="Times New Roman"/>
                <w:color w:val="000000"/>
                <w:sz w:val="18"/>
                <w:szCs w:val="18"/>
              </w:rPr>
            </w:pPr>
            <w:r w:rsidRPr="00F26E77">
              <w:rPr>
                <w:sz w:val="18"/>
                <w:szCs w:val="18"/>
              </w:rPr>
              <w:t>0,0</w:t>
            </w:r>
          </w:p>
        </w:tc>
      </w:tr>
      <w:tr w:rsidR="00D73008" w:rsidRPr="00F26E77" w14:paraId="40CCC7FE" w14:textId="77777777" w:rsidTr="00387AE5">
        <w:trPr>
          <w:gridAfter w:val="1"/>
          <w:wAfter w:w="789" w:type="dxa"/>
          <w:trHeight w:val="273"/>
        </w:trPr>
        <w:tc>
          <w:tcPr>
            <w:tcW w:w="4320" w:type="dxa"/>
            <w:tcBorders>
              <w:top w:val="nil"/>
              <w:left w:val="nil"/>
              <w:bottom w:val="single" w:sz="8" w:space="0" w:color="auto"/>
              <w:right w:val="nil"/>
            </w:tcBorders>
            <w:shd w:val="clear" w:color="auto" w:fill="auto"/>
            <w:vAlign w:val="center"/>
            <w:hideMark/>
          </w:tcPr>
          <w:p w14:paraId="6B078BE6" w14:textId="77777777" w:rsidR="00D73008" w:rsidRPr="00F26E77" w:rsidRDefault="00D73008" w:rsidP="00387AE5">
            <w:pPr>
              <w:rPr>
                <w:rFonts w:cs="Times New Roman"/>
                <w:color w:val="000000"/>
                <w:sz w:val="18"/>
                <w:szCs w:val="18"/>
              </w:rPr>
            </w:pPr>
            <w:r w:rsidRPr="00F26E77">
              <w:rPr>
                <w:rFonts w:cs="Times New Roman"/>
                <w:color w:val="000000"/>
                <w:sz w:val="18"/>
                <w:szCs w:val="18"/>
              </w:rPr>
              <w:t>4. Štatistický rozdiel</w:t>
            </w:r>
          </w:p>
        </w:tc>
        <w:tc>
          <w:tcPr>
            <w:tcW w:w="788" w:type="dxa"/>
            <w:tcBorders>
              <w:top w:val="nil"/>
              <w:left w:val="nil"/>
              <w:bottom w:val="single" w:sz="8" w:space="0" w:color="auto"/>
              <w:right w:val="nil"/>
            </w:tcBorders>
            <w:shd w:val="clear" w:color="auto" w:fill="auto"/>
            <w:vAlign w:val="center"/>
            <w:hideMark/>
          </w:tcPr>
          <w:p w14:paraId="1B8EE454" w14:textId="77777777" w:rsidR="00D73008" w:rsidRPr="00F26E77" w:rsidRDefault="00D73008" w:rsidP="00387AE5">
            <w:pPr>
              <w:jc w:val="center"/>
              <w:rPr>
                <w:rFonts w:cs="Times New Roman"/>
                <w:color w:val="000000"/>
                <w:sz w:val="18"/>
                <w:szCs w:val="18"/>
              </w:rPr>
            </w:pPr>
          </w:p>
        </w:tc>
        <w:tc>
          <w:tcPr>
            <w:tcW w:w="788" w:type="dxa"/>
            <w:tcBorders>
              <w:top w:val="nil"/>
              <w:left w:val="nil"/>
              <w:bottom w:val="single" w:sz="8" w:space="0" w:color="auto"/>
              <w:right w:val="nil"/>
            </w:tcBorders>
            <w:shd w:val="clear" w:color="auto" w:fill="auto"/>
            <w:hideMark/>
          </w:tcPr>
          <w:p w14:paraId="53DA2209" w14:textId="77777777" w:rsidR="00D73008" w:rsidRPr="00F26E77" w:rsidRDefault="00D73008" w:rsidP="00387AE5">
            <w:pPr>
              <w:jc w:val="center"/>
              <w:rPr>
                <w:rFonts w:cs="Times New Roman"/>
                <w:color w:val="000000"/>
                <w:sz w:val="18"/>
                <w:szCs w:val="18"/>
              </w:rPr>
            </w:pPr>
            <w:r w:rsidRPr="00F26E77">
              <w:rPr>
                <w:sz w:val="18"/>
                <w:szCs w:val="18"/>
              </w:rPr>
              <w:t xml:space="preserve"> -     </w:t>
            </w:r>
          </w:p>
        </w:tc>
        <w:tc>
          <w:tcPr>
            <w:tcW w:w="791" w:type="dxa"/>
            <w:tcBorders>
              <w:top w:val="nil"/>
              <w:left w:val="nil"/>
              <w:bottom w:val="single" w:sz="8" w:space="0" w:color="auto"/>
              <w:right w:val="nil"/>
            </w:tcBorders>
            <w:shd w:val="clear" w:color="auto" w:fill="auto"/>
            <w:hideMark/>
          </w:tcPr>
          <w:p w14:paraId="7258A3F5" w14:textId="77777777" w:rsidR="00D73008" w:rsidRPr="00F26E77" w:rsidRDefault="00D73008" w:rsidP="00387AE5">
            <w:pPr>
              <w:jc w:val="center"/>
              <w:rPr>
                <w:rFonts w:cs="Times New Roman"/>
                <w:color w:val="000000"/>
                <w:sz w:val="18"/>
                <w:szCs w:val="18"/>
              </w:rPr>
            </w:pPr>
            <w:r w:rsidRPr="00F26E77">
              <w:rPr>
                <w:sz w:val="18"/>
                <w:szCs w:val="18"/>
              </w:rPr>
              <w:t xml:space="preserve"> -     </w:t>
            </w:r>
          </w:p>
        </w:tc>
        <w:tc>
          <w:tcPr>
            <w:tcW w:w="790" w:type="dxa"/>
            <w:tcBorders>
              <w:top w:val="nil"/>
              <w:left w:val="nil"/>
              <w:bottom w:val="single" w:sz="8" w:space="0" w:color="auto"/>
              <w:right w:val="nil"/>
            </w:tcBorders>
            <w:shd w:val="clear" w:color="auto" w:fill="auto"/>
            <w:hideMark/>
          </w:tcPr>
          <w:p w14:paraId="4D96F566" w14:textId="77777777" w:rsidR="00D73008" w:rsidRPr="00F26E77" w:rsidRDefault="00D73008" w:rsidP="00387AE5">
            <w:pPr>
              <w:jc w:val="center"/>
              <w:rPr>
                <w:rFonts w:cs="Times New Roman"/>
                <w:color w:val="000000"/>
                <w:sz w:val="18"/>
                <w:szCs w:val="18"/>
              </w:rPr>
            </w:pPr>
            <w:r w:rsidRPr="00F26E77">
              <w:rPr>
                <w:sz w:val="18"/>
                <w:szCs w:val="18"/>
              </w:rPr>
              <w:t xml:space="preserve"> -     </w:t>
            </w:r>
          </w:p>
        </w:tc>
        <w:tc>
          <w:tcPr>
            <w:tcW w:w="789" w:type="dxa"/>
            <w:tcBorders>
              <w:top w:val="nil"/>
              <w:left w:val="nil"/>
              <w:bottom w:val="single" w:sz="8" w:space="0" w:color="auto"/>
              <w:right w:val="nil"/>
            </w:tcBorders>
            <w:shd w:val="clear" w:color="auto" w:fill="auto"/>
            <w:hideMark/>
          </w:tcPr>
          <w:p w14:paraId="33512C96" w14:textId="77777777" w:rsidR="00D73008" w:rsidRPr="00F26E77" w:rsidRDefault="00D73008" w:rsidP="00387AE5">
            <w:pPr>
              <w:jc w:val="center"/>
              <w:rPr>
                <w:rFonts w:cs="Times New Roman"/>
                <w:color w:val="000000"/>
                <w:sz w:val="18"/>
                <w:szCs w:val="18"/>
              </w:rPr>
            </w:pPr>
            <w:r w:rsidRPr="00F26E77">
              <w:rPr>
                <w:sz w:val="18"/>
                <w:szCs w:val="18"/>
              </w:rPr>
              <w:t xml:space="preserve"> -     </w:t>
            </w:r>
          </w:p>
        </w:tc>
        <w:tc>
          <w:tcPr>
            <w:tcW w:w="789" w:type="dxa"/>
            <w:tcBorders>
              <w:top w:val="nil"/>
              <w:left w:val="nil"/>
              <w:bottom w:val="single" w:sz="8" w:space="0" w:color="auto"/>
              <w:right w:val="nil"/>
            </w:tcBorders>
            <w:shd w:val="clear" w:color="auto" w:fill="auto"/>
            <w:hideMark/>
          </w:tcPr>
          <w:p w14:paraId="4C284ADC" w14:textId="77777777" w:rsidR="00D73008" w:rsidRPr="00F26E77" w:rsidRDefault="00D73008" w:rsidP="00387AE5">
            <w:pPr>
              <w:jc w:val="center"/>
              <w:rPr>
                <w:rFonts w:cs="Times New Roman"/>
                <w:color w:val="000000"/>
                <w:sz w:val="18"/>
                <w:szCs w:val="18"/>
              </w:rPr>
            </w:pPr>
            <w:r w:rsidRPr="00F26E77">
              <w:rPr>
                <w:sz w:val="18"/>
                <w:szCs w:val="18"/>
              </w:rPr>
              <w:t xml:space="preserve"> -     </w:t>
            </w:r>
          </w:p>
        </w:tc>
      </w:tr>
      <w:tr w:rsidR="00D73008" w:rsidRPr="00F26E77" w14:paraId="0349AB88" w14:textId="77777777" w:rsidTr="00387AE5">
        <w:trPr>
          <w:trHeight w:val="273"/>
        </w:trPr>
        <w:tc>
          <w:tcPr>
            <w:tcW w:w="7477" w:type="dxa"/>
            <w:gridSpan w:val="5"/>
            <w:tcBorders>
              <w:top w:val="single" w:sz="8" w:space="0" w:color="auto"/>
              <w:left w:val="nil"/>
              <w:bottom w:val="nil"/>
              <w:right w:val="nil"/>
            </w:tcBorders>
            <w:shd w:val="clear" w:color="auto" w:fill="auto"/>
            <w:noWrap/>
            <w:vAlign w:val="center"/>
            <w:hideMark/>
          </w:tcPr>
          <w:p w14:paraId="0B212E99" w14:textId="77777777" w:rsidR="00D73008" w:rsidRPr="00F26E77" w:rsidRDefault="00D73008" w:rsidP="00387AE5">
            <w:pPr>
              <w:rPr>
                <w:rFonts w:cs="Times New Roman"/>
                <w:color w:val="000000"/>
                <w:sz w:val="18"/>
                <w:szCs w:val="18"/>
              </w:rPr>
            </w:pPr>
            <w:r w:rsidRPr="00F26E77">
              <w:rPr>
                <w:rFonts w:cs="Times New Roman"/>
                <w:color w:val="000000"/>
                <w:sz w:val="18"/>
                <w:szCs w:val="18"/>
              </w:rPr>
              <w:t>* Skutočnosť 2018</w:t>
            </w:r>
          </w:p>
        </w:tc>
        <w:tc>
          <w:tcPr>
            <w:tcW w:w="789" w:type="dxa"/>
            <w:tcBorders>
              <w:top w:val="nil"/>
              <w:left w:val="nil"/>
              <w:bottom w:val="nil"/>
              <w:right w:val="nil"/>
            </w:tcBorders>
            <w:shd w:val="clear" w:color="auto" w:fill="auto"/>
            <w:noWrap/>
            <w:vAlign w:val="center"/>
            <w:hideMark/>
          </w:tcPr>
          <w:p w14:paraId="13055676" w14:textId="77777777" w:rsidR="00D73008" w:rsidRPr="00F26E77" w:rsidRDefault="00D73008" w:rsidP="00387AE5">
            <w:pPr>
              <w:jc w:val="right"/>
              <w:rPr>
                <w:rFonts w:cs="Times New Roman"/>
                <w:color w:val="000000"/>
                <w:sz w:val="18"/>
                <w:szCs w:val="18"/>
              </w:rPr>
            </w:pPr>
          </w:p>
        </w:tc>
        <w:tc>
          <w:tcPr>
            <w:tcW w:w="1578" w:type="dxa"/>
            <w:gridSpan w:val="2"/>
            <w:tcBorders>
              <w:top w:val="nil"/>
              <w:left w:val="nil"/>
              <w:bottom w:val="nil"/>
              <w:right w:val="nil"/>
            </w:tcBorders>
            <w:shd w:val="clear" w:color="auto" w:fill="auto"/>
            <w:noWrap/>
            <w:vAlign w:val="center"/>
            <w:hideMark/>
          </w:tcPr>
          <w:p w14:paraId="4ED2AD28" w14:textId="77777777" w:rsidR="00D73008" w:rsidRPr="00F26E77" w:rsidRDefault="00D73008" w:rsidP="00387AE5">
            <w:pPr>
              <w:rPr>
                <w:rFonts w:cs="Times New Roman"/>
                <w:i/>
                <w:iCs/>
                <w:color w:val="000000"/>
                <w:sz w:val="18"/>
                <w:szCs w:val="18"/>
              </w:rPr>
            </w:pPr>
            <w:r w:rsidRPr="00F26E77">
              <w:rPr>
                <w:rFonts w:cs="Times New Roman"/>
                <w:i/>
                <w:iCs/>
                <w:color w:val="000000"/>
                <w:sz w:val="18"/>
                <w:szCs w:val="18"/>
              </w:rPr>
              <w:t>Zdroj: MF SR</w:t>
            </w:r>
          </w:p>
        </w:tc>
      </w:tr>
    </w:tbl>
    <w:p w14:paraId="3C462546" w14:textId="77777777" w:rsidR="00D73008" w:rsidRPr="00B21C97" w:rsidRDefault="00D73008" w:rsidP="00D73008">
      <w:pPr>
        <w:rPr>
          <w:highlight w:val="yellow"/>
        </w:rPr>
      </w:pPr>
    </w:p>
    <w:tbl>
      <w:tblPr>
        <w:tblW w:w="9123" w:type="dxa"/>
        <w:tblCellMar>
          <w:left w:w="70" w:type="dxa"/>
          <w:right w:w="70" w:type="dxa"/>
        </w:tblCellMar>
        <w:tblLook w:val="04A0" w:firstRow="1" w:lastRow="0" w:firstColumn="1" w:lastColumn="0" w:noHBand="0" w:noVBand="1"/>
      </w:tblPr>
      <w:tblGrid>
        <w:gridCol w:w="3519"/>
        <w:gridCol w:w="1272"/>
        <w:gridCol w:w="784"/>
        <w:gridCol w:w="747"/>
        <w:gridCol w:w="820"/>
        <w:gridCol w:w="684"/>
        <w:gridCol w:w="659"/>
        <w:gridCol w:w="638"/>
      </w:tblGrid>
      <w:tr w:rsidR="00D73008" w:rsidRPr="00684201" w14:paraId="1D3C91A5" w14:textId="77777777" w:rsidTr="00387AE5">
        <w:trPr>
          <w:trHeight w:val="283"/>
        </w:trPr>
        <w:tc>
          <w:tcPr>
            <w:tcW w:w="9123" w:type="dxa"/>
            <w:gridSpan w:val="8"/>
            <w:tcBorders>
              <w:top w:val="nil"/>
              <w:left w:val="nil"/>
              <w:bottom w:val="nil"/>
              <w:right w:val="nil"/>
            </w:tcBorders>
            <w:shd w:val="clear" w:color="auto" w:fill="auto"/>
            <w:noWrap/>
            <w:vAlign w:val="bottom"/>
            <w:hideMark/>
          </w:tcPr>
          <w:p w14:paraId="6A10AFFE" w14:textId="329E46AB" w:rsidR="00D73008" w:rsidRPr="00684201" w:rsidRDefault="00D73008" w:rsidP="00387AE5">
            <w:pPr>
              <w:rPr>
                <w:rFonts w:eastAsiaTheme="minorHAnsi"/>
                <w:b/>
                <w:color w:val="2C9ADC"/>
                <w:lang w:eastAsia="en-US"/>
              </w:rPr>
            </w:pPr>
            <w:bookmarkStart w:id="247" w:name="_Toc480905414"/>
            <w:bookmarkStart w:id="248" w:name="_Toc6314221"/>
            <w:r w:rsidRPr="00684201">
              <w:rPr>
                <w:rFonts w:eastAsiaTheme="minorHAnsi"/>
                <w:b/>
                <w:color w:val="2C9ADC"/>
                <w:lang w:eastAsia="en-US"/>
              </w:rPr>
              <w:t xml:space="preserve">TABUĽKA </w:t>
            </w:r>
            <w:r w:rsidRPr="00684201">
              <w:rPr>
                <w:rFonts w:eastAsiaTheme="minorHAnsi"/>
                <w:b/>
                <w:color w:val="2C9ADC"/>
                <w:lang w:eastAsia="en-US"/>
              </w:rPr>
              <w:fldChar w:fldCharType="begin"/>
            </w:r>
            <w:r w:rsidRPr="00684201">
              <w:rPr>
                <w:rFonts w:eastAsiaTheme="minorHAnsi"/>
                <w:b/>
                <w:color w:val="2C9ADC"/>
                <w:lang w:eastAsia="en-US"/>
              </w:rPr>
              <w:instrText xml:space="preserve"> SEQ TABUĽKA \* ARABIC </w:instrText>
            </w:r>
            <w:r w:rsidRPr="00684201">
              <w:rPr>
                <w:rFonts w:eastAsiaTheme="minorHAnsi"/>
                <w:b/>
                <w:color w:val="2C9ADC"/>
                <w:lang w:eastAsia="en-US"/>
              </w:rPr>
              <w:fldChar w:fldCharType="separate"/>
            </w:r>
            <w:r w:rsidR="00D5739E">
              <w:rPr>
                <w:rFonts w:eastAsiaTheme="minorHAnsi"/>
                <w:b/>
                <w:noProof/>
                <w:color w:val="2C9ADC"/>
                <w:lang w:eastAsia="en-US"/>
              </w:rPr>
              <w:t>22</w:t>
            </w:r>
            <w:r w:rsidRPr="00684201">
              <w:rPr>
                <w:rFonts w:eastAsiaTheme="minorHAnsi"/>
                <w:b/>
                <w:color w:val="2C9ADC"/>
                <w:lang w:eastAsia="en-US"/>
              </w:rPr>
              <w:fldChar w:fldCharType="end"/>
            </w:r>
            <w:r w:rsidRPr="00684201">
              <w:rPr>
                <w:rFonts w:eastAsiaTheme="minorHAnsi"/>
                <w:b/>
                <w:color w:val="2C9ADC"/>
                <w:lang w:eastAsia="en-US"/>
              </w:rPr>
              <w:t xml:space="preserve"> (Tabuľka 2a) - Vývoj rozpočtov verejnej správy</w:t>
            </w:r>
            <w:bookmarkEnd w:id="247"/>
            <w:bookmarkEnd w:id="248"/>
          </w:p>
        </w:tc>
      </w:tr>
      <w:tr w:rsidR="00F55418" w:rsidRPr="00F55418" w14:paraId="6B307E2C" w14:textId="77777777" w:rsidTr="00304C90">
        <w:trPr>
          <w:trHeight w:val="283"/>
        </w:trPr>
        <w:tc>
          <w:tcPr>
            <w:tcW w:w="3519" w:type="dxa"/>
            <w:tcBorders>
              <w:top w:val="single" w:sz="8" w:space="0" w:color="auto"/>
              <w:left w:val="nil"/>
              <w:bottom w:val="nil"/>
              <w:right w:val="nil"/>
            </w:tcBorders>
            <w:shd w:val="clear" w:color="auto" w:fill="auto"/>
            <w:hideMark/>
          </w:tcPr>
          <w:p w14:paraId="37AC2FC6" w14:textId="77777777" w:rsidR="00F55418" w:rsidRPr="00F55418" w:rsidRDefault="00F55418" w:rsidP="00F55418">
            <w:pPr>
              <w:rPr>
                <w:rFonts w:cs="Times New Roman"/>
                <w:sz w:val="18"/>
                <w:szCs w:val="18"/>
              </w:rPr>
            </w:pPr>
            <w:r w:rsidRPr="00F55418">
              <w:rPr>
                <w:rFonts w:cs="Times New Roman"/>
                <w:sz w:val="18"/>
                <w:szCs w:val="18"/>
              </w:rPr>
              <w:t> </w:t>
            </w:r>
          </w:p>
        </w:tc>
        <w:tc>
          <w:tcPr>
            <w:tcW w:w="1272" w:type="dxa"/>
            <w:vMerge w:val="restart"/>
            <w:tcBorders>
              <w:top w:val="single" w:sz="8" w:space="0" w:color="auto"/>
              <w:left w:val="nil"/>
              <w:right w:val="nil"/>
            </w:tcBorders>
            <w:shd w:val="clear" w:color="auto" w:fill="auto"/>
            <w:vAlign w:val="center"/>
            <w:hideMark/>
          </w:tcPr>
          <w:p w14:paraId="63B187AF" w14:textId="77777777" w:rsidR="00F55418" w:rsidRPr="00F55418" w:rsidRDefault="00F55418" w:rsidP="00F55418">
            <w:pPr>
              <w:jc w:val="center"/>
              <w:rPr>
                <w:rFonts w:cs="Times New Roman"/>
                <w:sz w:val="18"/>
                <w:szCs w:val="18"/>
              </w:rPr>
            </w:pPr>
            <w:r w:rsidRPr="00F55418">
              <w:rPr>
                <w:rFonts w:cs="Times New Roman"/>
                <w:sz w:val="18"/>
                <w:szCs w:val="18"/>
              </w:rPr>
              <w:t>ESA kód</w:t>
            </w:r>
          </w:p>
        </w:tc>
        <w:tc>
          <w:tcPr>
            <w:tcW w:w="784" w:type="dxa"/>
            <w:tcBorders>
              <w:top w:val="single" w:sz="8" w:space="0" w:color="auto"/>
              <w:left w:val="nil"/>
              <w:bottom w:val="nil"/>
              <w:right w:val="nil"/>
            </w:tcBorders>
            <w:shd w:val="clear" w:color="auto" w:fill="auto"/>
            <w:hideMark/>
          </w:tcPr>
          <w:p w14:paraId="2CAF2CBA" w14:textId="431E25D5" w:rsidR="00F55418" w:rsidRPr="00D65715" w:rsidRDefault="00F55418" w:rsidP="00F55418">
            <w:pPr>
              <w:jc w:val="center"/>
              <w:rPr>
                <w:rFonts w:cs="Times New Roman"/>
                <w:b/>
                <w:bCs/>
                <w:sz w:val="18"/>
                <w:szCs w:val="18"/>
              </w:rPr>
            </w:pPr>
            <w:r w:rsidRPr="00D65715">
              <w:rPr>
                <w:b/>
                <w:sz w:val="18"/>
                <w:szCs w:val="18"/>
              </w:rPr>
              <w:t>2018</w:t>
            </w:r>
          </w:p>
        </w:tc>
        <w:tc>
          <w:tcPr>
            <w:tcW w:w="747" w:type="dxa"/>
            <w:tcBorders>
              <w:top w:val="single" w:sz="8" w:space="0" w:color="auto"/>
              <w:left w:val="nil"/>
              <w:bottom w:val="nil"/>
              <w:right w:val="nil"/>
            </w:tcBorders>
            <w:shd w:val="clear" w:color="auto" w:fill="auto"/>
            <w:hideMark/>
          </w:tcPr>
          <w:p w14:paraId="5753A17A" w14:textId="2D708114" w:rsidR="00F55418" w:rsidRPr="00D65715" w:rsidRDefault="00F55418" w:rsidP="00F55418">
            <w:pPr>
              <w:jc w:val="center"/>
              <w:rPr>
                <w:rFonts w:cs="Times New Roman"/>
                <w:b/>
                <w:bCs/>
                <w:sz w:val="18"/>
                <w:szCs w:val="18"/>
              </w:rPr>
            </w:pPr>
            <w:r w:rsidRPr="00D65715">
              <w:rPr>
                <w:b/>
                <w:sz w:val="18"/>
                <w:szCs w:val="18"/>
              </w:rPr>
              <w:t>2018</w:t>
            </w:r>
          </w:p>
        </w:tc>
        <w:tc>
          <w:tcPr>
            <w:tcW w:w="820" w:type="dxa"/>
            <w:tcBorders>
              <w:top w:val="single" w:sz="8" w:space="0" w:color="auto"/>
              <w:left w:val="nil"/>
              <w:bottom w:val="nil"/>
              <w:right w:val="nil"/>
            </w:tcBorders>
            <w:shd w:val="clear" w:color="auto" w:fill="auto"/>
            <w:hideMark/>
          </w:tcPr>
          <w:p w14:paraId="3E66B138" w14:textId="44AF4616" w:rsidR="00F55418" w:rsidRPr="00D65715" w:rsidRDefault="00F55418" w:rsidP="00F55418">
            <w:pPr>
              <w:jc w:val="center"/>
              <w:rPr>
                <w:rFonts w:cs="Times New Roman"/>
                <w:b/>
                <w:bCs/>
                <w:sz w:val="18"/>
                <w:szCs w:val="18"/>
              </w:rPr>
            </w:pPr>
            <w:r w:rsidRPr="00D65715">
              <w:rPr>
                <w:b/>
                <w:sz w:val="18"/>
                <w:szCs w:val="18"/>
              </w:rPr>
              <w:t>2019</w:t>
            </w:r>
          </w:p>
        </w:tc>
        <w:tc>
          <w:tcPr>
            <w:tcW w:w="684" w:type="dxa"/>
            <w:tcBorders>
              <w:top w:val="single" w:sz="8" w:space="0" w:color="auto"/>
              <w:left w:val="nil"/>
              <w:bottom w:val="nil"/>
              <w:right w:val="nil"/>
            </w:tcBorders>
            <w:shd w:val="clear" w:color="auto" w:fill="auto"/>
            <w:hideMark/>
          </w:tcPr>
          <w:p w14:paraId="04A97A67" w14:textId="62A93180" w:rsidR="00F55418" w:rsidRPr="00D65715" w:rsidRDefault="00F55418" w:rsidP="00F55418">
            <w:pPr>
              <w:jc w:val="center"/>
              <w:rPr>
                <w:rFonts w:cs="Times New Roman"/>
                <w:b/>
                <w:bCs/>
                <w:sz w:val="18"/>
                <w:szCs w:val="18"/>
              </w:rPr>
            </w:pPr>
            <w:r w:rsidRPr="00D65715">
              <w:rPr>
                <w:b/>
                <w:sz w:val="18"/>
                <w:szCs w:val="18"/>
              </w:rPr>
              <w:t>2020</w:t>
            </w:r>
          </w:p>
        </w:tc>
        <w:tc>
          <w:tcPr>
            <w:tcW w:w="659" w:type="dxa"/>
            <w:tcBorders>
              <w:top w:val="single" w:sz="8" w:space="0" w:color="auto"/>
              <w:left w:val="nil"/>
              <w:bottom w:val="nil"/>
              <w:right w:val="nil"/>
            </w:tcBorders>
            <w:shd w:val="clear" w:color="auto" w:fill="auto"/>
            <w:hideMark/>
          </w:tcPr>
          <w:p w14:paraId="74C978B6" w14:textId="26DCF1AD" w:rsidR="00F55418" w:rsidRPr="00D65715" w:rsidRDefault="00F55418" w:rsidP="00F55418">
            <w:pPr>
              <w:jc w:val="center"/>
              <w:rPr>
                <w:rFonts w:cs="Times New Roman"/>
                <w:b/>
                <w:bCs/>
                <w:sz w:val="18"/>
                <w:szCs w:val="18"/>
              </w:rPr>
            </w:pPr>
            <w:r w:rsidRPr="00D65715">
              <w:rPr>
                <w:b/>
                <w:sz w:val="18"/>
                <w:szCs w:val="18"/>
              </w:rPr>
              <w:t>2021</w:t>
            </w:r>
          </w:p>
        </w:tc>
        <w:tc>
          <w:tcPr>
            <w:tcW w:w="638" w:type="dxa"/>
            <w:tcBorders>
              <w:top w:val="single" w:sz="8" w:space="0" w:color="auto"/>
              <w:left w:val="nil"/>
              <w:bottom w:val="nil"/>
              <w:right w:val="nil"/>
            </w:tcBorders>
            <w:shd w:val="clear" w:color="auto" w:fill="auto"/>
            <w:hideMark/>
          </w:tcPr>
          <w:p w14:paraId="7028E044" w14:textId="25500EEE" w:rsidR="00F55418" w:rsidRPr="00D65715" w:rsidRDefault="00F55418" w:rsidP="00F55418">
            <w:pPr>
              <w:jc w:val="center"/>
              <w:rPr>
                <w:rFonts w:cs="Times New Roman"/>
                <w:b/>
                <w:bCs/>
                <w:sz w:val="18"/>
                <w:szCs w:val="18"/>
              </w:rPr>
            </w:pPr>
            <w:r w:rsidRPr="00D65715">
              <w:rPr>
                <w:b/>
                <w:sz w:val="18"/>
                <w:szCs w:val="18"/>
              </w:rPr>
              <w:t>2022</w:t>
            </w:r>
          </w:p>
        </w:tc>
      </w:tr>
      <w:tr w:rsidR="00F55418" w:rsidRPr="00F55418" w14:paraId="3E7CC41F" w14:textId="77777777" w:rsidTr="00304C90">
        <w:trPr>
          <w:trHeight w:val="283"/>
        </w:trPr>
        <w:tc>
          <w:tcPr>
            <w:tcW w:w="3519" w:type="dxa"/>
            <w:tcBorders>
              <w:top w:val="nil"/>
              <w:left w:val="nil"/>
              <w:bottom w:val="single" w:sz="4" w:space="0" w:color="auto"/>
              <w:right w:val="nil"/>
            </w:tcBorders>
            <w:shd w:val="clear" w:color="auto" w:fill="auto"/>
            <w:hideMark/>
          </w:tcPr>
          <w:p w14:paraId="3E65465C" w14:textId="77777777" w:rsidR="00F55418" w:rsidRPr="00F55418" w:rsidRDefault="00F55418" w:rsidP="00F55418">
            <w:pPr>
              <w:tabs>
                <w:tab w:val="left" w:pos="2500"/>
              </w:tabs>
              <w:rPr>
                <w:rFonts w:cs="Times New Roman"/>
                <w:sz w:val="18"/>
                <w:szCs w:val="18"/>
              </w:rPr>
            </w:pPr>
            <w:r w:rsidRPr="00F55418">
              <w:rPr>
                <w:rFonts w:cs="Times New Roman"/>
                <w:sz w:val="18"/>
                <w:szCs w:val="18"/>
              </w:rPr>
              <w:t> </w:t>
            </w:r>
            <w:r w:rsidRPr="00F55418">
              <w:rPr>
                <w:rFonts w:cs="Times New Roman"/>
                <w:sz w:val="18"/>
                <w:szCs w:val="18"/>
              </w:rPr>
              <w:tab/>
            </w:r>
          </w:p>
        </w:tc>
        <w:tc>
          <w:tcPr>
            <w:tcW w:w="1272" w:type="dxa"/>
            <w:vMerge/>
            <w:tcBorders>
              <w:left w:val="nil"/>
              <w:bottom w:val="single" w:sz="4" w:space="0" w:color="auto"/>
              <w:right w:val="nil"/>
            </w:tcBorders>
            <w:shd w:val="clear" w:color="auto" w:fill="auto"/>
            <w:vAlign w:val="center"/>
            <w:hideMark/>
          </w:tcPr>
          <w:p w14:paraId="4E49124F" w14:textId="77777777" w:rsidR="00F55418" w:rsidRPr="00F55418" w:rsidRDefault="00F55418" w:rsidP="00F55418">
            <w:pPr>
              <w:rPr>
                <w:rFonts w:cs="Times New Roman"/>
                <w:sz w:val="18"/>
                <w:szCs w:val="18"/>
              </w:rPr>
            </w:pPr>
          </w:p>
        </w:tc>
        <w:tc>
          <w:tcPr>
            <w:tcW w:w="784" w:type="dxa"/>
            <w:tcBorders>
              <w:top w:val="nil"/>
              <w:left w:val="nil"/>
              <w:bottom w:val="single" w:sz="4" w:space="0" w:color="auto"/>
              <w:right w:val="nil"/>
            </w:tcBorders>
            <w:shd w:val="clear" w:color="auto" w:fill="auto"/>
            <w:hideMark/>
          </w:tcPr>
          <w:p w14:paraId="64504733" w14:textId="025CC8E1" w:rsidR="00F55418" w:rsidRPr="00F55418" w:rsidRDefault="00F55418" w:rsidP="00F55418">
            <w:pPr>
              <w:jc w:val="center"/>
              <w:rPr>
                <w:rFonts w:cs="Times New Roman"/>
                <w:sz w:val="18"/>
                <w:szCs w:val="18"/>
              </w:rPr>
            </w:pPr>
            <w:r w:rsidRPr="00F55418">
              <w:rPr>
                <w:sz w:val="18"/>
                <w:szCs w:val="18"/>
              </w:rPr>
              <w:t>level</w:t>
            </w:r>
          </w:p>
        </w:tc>
        <w:tc>
          <w:tcPr>
            <w:tcW w:w="747" w:type="dxa"/>
            <w:tcBorders>
              <w:top w:val="nil"/>
              <w:left w:val="nil"/>
              <w:bottom w:val="single" w:sz="4" w:space="0" w:color="auto"/>
              <w:right w:val="nil"/>
            </w:tcBorders>
            <w:shd w:val="clear" w:color="auto" w:fill="auto"/>
            <w:hideMark/>
          </w:tcPr>
          <w:p w14:paraId="76C85BF2" w14:textId="7268EA3D" w:rsidR="00F55418" w:rsidRPr="00F55418" w:rsidRDefault="00F55418" w:rsidP="00F55418">
            <w:pPr>
              <w:jc w:val="center"/>
              <w:rPr>
                <w:rFonts w:cs="Times New Roman"/>
                <w:sz w:val="18"/>
                <w:szCs w:val="18"/>
              </w:rPr>
            </w:pPr>
            <w:r w:rsidRPr="00F55418">
              <w:rPr>
                <w:sz w:val="18"/>
                <w:szCs w:val="18"/>
              </w:rPr>
              <w:t>% HDP</w:t>
            </w:r>
          </w:p>
        </w:tc>
        <w:tc>
          <w:tcPr>
            <w:tcW w:w="820" w:type="dxa"/>
            <w:tcBorders>
              <w:top w:val="nil"/>
              <w:left w:val="nil"/>
              <w:bottom w:val="single" w:sz="4" w:space="0" w:color="auto"/>
              <w:right w:val="nil"/>
            </w:tcBorders>
            <w:shd w:val="clear" w:color="auto" w:fill="auto"/>
            <w:hideMark/>
          </w:tcPr>
          <w:p w14:paraId="7F7C4CBE" w14:textId="16751F71" w:rsidR="00F55418" w:rsidRPr="00F55418" w:rsidRDefault="00F55418" w:rsidP="00F55418">
            <w:pPr>
              <w:jc w:val="center"/>
              <w:rPr>
                <w:rFonts w:cs="Times New Roman"/>
                <w:sz w:val="18"/>
                <w:szCs w:val="18"/>
              </w:rPr>
            </w:pPr>
            <w:r w:rsidRPr="00F55418">
              <w:rPr>
                <w:sz w:val="18"/>
                <w:szCs w:val="18"/>
              </w:rPr>
              <w:t>% HDP</w:t>
            </w:r>
          </w:p>
        </w:tc>
        <w:tc>
          <w:tcPr>
            <w:tcW w:w="684" w:type="dxa"/>
            <w:tcBorders>
              <w:top w:val="nil"/>
              <w:left w:val="nil"/>
              <w:bottom w:val="single" w:sz="4" w:space="0" w:color="auto"/>
              <w:right w:val="nil"/>
            </w:tcBorders>
            <w:shd w:val="clear" w:color="auto" w:fill="auto"/>
            <w:hideMark/>
          </w:tcPr>
          <w:p w14:paraId="5E9922B6" w14:textId="14E06831" w:rsidR="00F55418" w:rsidRPr="00F55418" w:rsidRDefault="00F55418" w:rsidP="00F55418">
            <w:pPr>
              <w:jc w:val="center"/>
              <w:rPr>
                <w:rFonts w:cs="Times New Roman"/>
                <w:sz w:val="18"/>
                <w:szCs w:val="18"/>
              </w:rPr>
            </w:pPr>
            <w:r w:rsidRPr="00F55418">
              <w:rPr>
                <w:sz w:val="18"/>
                <w:szCs w:val="18"/>
              </w:rPr>
              <w:t>% HDP</w:t>
            </w:r>
          </w:p>
        </w:tc>
        <w:tc>
          <w:tcPr>
            <w:tcW w:w="659" w:type="dxa"/>
            <w:tcBorders>
              <w:top w:val="nil"/>
              <w:left w:val="nil"/>
              <w:bottom w:val="single" w:sz="4" w:space="0" w:color="auto"/>
              <w:right w:val="nil"/>
            </w:tcBorders>
            <w:shd w:val="clear" w:color="auto" w:fill="auto"/>
            <w:hideMark/>
          </w:tcPr>
          <w:p w14:paraId="33D58C8A" w14:textId="17F1CED1" w:rsidR="00F55418" w:rsidRPr="00F55418" w:rsidRDefault="00F55418" w:rsidP="00F55418">
            <w:pPr>
              <w:jc w:val="center"/>
              <w:rPr>
                <w:rFonts w:cs="Times New Roman"/>
                <w:sz w:val="18"/>
                <w:szCs w:val="18"/>
              </w:rPr>
            </w:pPr>
            <w:r w:rsidRPr="00F55418">
              <w:rPr>
                <w:sz w:val="18"/>
                <w:szCs w:val="18"/>
              </w:rPr>
              <w:t>% HDP</w:t>
            </w:r>
          </w:p>
        </w:tc>
        <w:tc>
          <w:tcPr>
            <w:tcW w:w="638" w:type="dxa"/>
            <w:tcBorders>
              <w:top w:val="nil"/>
              <w:left w:val="nil"/>
              <w:bottom w:val="single" w:sz="4" w:space="0" w:color="auto"/>
              <w:right w:val="nil"/>
            </w:tcBorders>
            <w:shd w:val="clear" w:color="auto" w:fill="auto"/>
            <w:hideMark/>
          </w:tcPr>
          <w:p w14:paraId="227D5D9B" w14:textId="072D7939" w:rsidR="00F55418" w:rsidRPr="00F55418" w:rsidRDefault="00F55418" w:rsidP="00F55418">
            <w:pPr>
              <w:jc w:val="center"/>
              <w:rPr>
                <w:rFonts w:cs="Times New Roman"/>
                <w:sz w:val="18"/>
                <w:szCs w:val="18"/>
              </w:rPr>
            </w:pPr>
            <w:r w:rsidRPr="00F55418">
              <w:rPr>
                <w:sz w:val="18"/>
                <w:szCs w:val="18"/>
              </w:rPr>
              <w:t>% HDP</w:t>
            </w:r>
          </w:p>
        </w:tc>
      </w:tr>
      <w:tr w:rsidR="00D73008" w:rsidRPr="00F55418" w14:paraId="729F163A" w14:textId="77777777" w:rsidTr="00387AE5">
        <w:trPr>
          <w:trHeight w:val="283"/>
        </w:trPr>
        <w:tc>
          <w:tcPr>
            <w:tcW w:w="9123" w:type="dxa"/>
            <w:gridSpan w:val="8"/>
            <w:tcBorders>
              <w:top w:val="single" w:sz="4" w:space="0" w:color="auto"/>
              <w:left w:val="nil"/>
              <w:bottom w:val="single" w:sz="6" w:space="0" w:color="auto"/>
              <w:right w:val="nil"/>
            </w:tcBorders>
            <w:shd w:val="clear" w:color="auto" w:fill="auto"/>
            <w:vAlign w:val="center"/>
            <w:hideMark/>
          </w:tcPr>
          <w:p w14:paraId="537CB7AC" w14:textId="77777777" w:rsidR="00D73008" w:rsidRPr="00F55418" w:rsidRDefault="00D73008" w:rsidP="00387AE5">
            <w:pPr>
              <w:jc w:val="center"/>
              <w:rPr>
                <w:rFonts w:cs="Times New Roman"/>
                <w:b/>
                <w:bCs/>
                <w:sz w:val="18"/>
                <w:szCs w:val="18"/>
              </w:rPr>
            </w:pPr>
            <w:r w:rsidRPr="00F55418">
              <w:rPr>
                <w:rFonts w:cs="Times New Roman"/>
                <w:b/>
                <w:bCs/>
                <w:sz w:val="18"/>
                <w:szCs w:val="18"/>
              </w:rPr>
              <w:t>Čisté pôžičky (B.9) podsektorov verejnej správy</w:t>
            </w:r>
          </w:p>
        </w:tc>
      </w:tr>
      <w:tr w:rsidR="00F55418" w:rsidRPr="00F55418" w14:paraId="46784401" w14:textId="77777777" w:rsidTr="00304C90">
        <w:trPr>
          <w:trHeight w:val="283"/>
        </w:trPr>
        <w:tc>
          <w:tcPr>
            <w:tcW w:w="3519" w:type="dxa"/>
            <w:tcBorders>
              <w:top w:val="single" w:sz="6" w:space="0" w:color="auto"/>
              <w:left w:val="nil"/>
              <w:bottom w:val="nil"/>
              <w:right w:val="nil"/>
            </w:tcBorders>
            <w:shd w:val="clear" w:color="auto" w:fill="auto"/>
            <w:vAlign w:val="center"/>
            <w:hideMark/>
          </w:tcPr>
          <w:p w14:paraId="5C24999E" w14:textId="77777777" w:rsidR="00F55418" w:rsidRPr="00F55418" w:rsidRDefault="00F55418" w:rsidP="00F55418">
            <w:pPr>
              <w:rPr>
                <w:rFonts w:cs="Times New Roman"/>
                <w:sz w:val="18"/>
                <w:szCs w:val="18"/>
              </w:rPr>
            </w:pPr>
            <w:r w:rsidRPr="00F55418">
              <w:rPr>
                <w:rFonts w:cs="Times New Roman"/>
                <w:sz w:val="18"/>
                <w:szCs w:val="18"/>
              </w:rPr>
              <w:t>1. Verejná správa</w:t>
            </w:r>
          </w:p>
        </w:tc>
        <w:tc>
          <w:tcPr>
            <w:tcW w:w="1272" w:type="dxa"/>
            <w:tcBorders>
              <w:top w:val="single" w:sz="6" w:space="0" w:color="auto"/>
              <w:left w:val="nil"/>
              <w:bottom w:val="nil"/>
              <w:right w:val="nil"/>
            </w:tcBorders>
            <w:shd w:val="clear" w:color="auto" w:fill="auto"/>
            <w:vAlign w:val="center"/>
            <w:hideMark/>
          </w:tcPr>
          <w:p w14:paraId="032627A1" w14:textId="77777777" w:rsidR="00F55418" w:rsidRPr="00F55418" w:rsidRDefault="00F55418" w:rsidP="00F55418">
            <w:pPr>
              <w:jc w:val="center"/>
              <w:rPr>
                <w:rFonts w:cs="Times New Roman"/>
                <w:sz w:val="18"/>
                <w:szCs w:val="18"/>
              </w:rPr>
            </w:pPr>
            <w:r w:rsidRPr="00F55418">
              <w:rPr>
                <w:rFonts w:cs="Times New Roman"/>
                <w:sz w:val="18"/>
                <w:szCs w:val="18"/>
              </w:rPr>
              <w:t>S.13</w:t>
            </w:r>
          </w:p>
        </w:tc>
        <w:tc>
          <w:tcPr>
            <w:tcW w:w="784" w:type="dxa"/>
            <w:tcBorders>
              <w:top w:val="nil"/>
              <w:left w:val="nil"/>
              <w:bottom w:val="nil"/>
              <w:right w:val="nil"/>
            </w:tcBorders>
            <w:shd w:val="clear" w:color="auto" w:fill="auto"/>
            <w:hideMark/>
          </w:tcPr>
          <w:p w14:paraId="69CB0E2C" w14:textId="093323EB" w:rsidR="00F55418" w:rsidRPr="00F55418" w:rsidRDefault="00F55418" w:rsidP="00F55418">
            <w:pPr>
              <w:jc w:val="center"/>
              <w:rPr>
                <w:rFonts w:cs="Times New Roman"/>
                <w:sz w:val="18"/>
                <w:szCs w:val="18"/>
              </w:rPr>
            </w:pPr>
            <w:r w:rsidRPr="00F55418">
              <w:rPr>
                <w:sz w:val="18"/>
                <w:szCs w:val="18"/>
              </w:rPr>
              <w:t>-629</w:t>
            </w:r>
          </w:p>
        </w:tc>
        <w:tc>
          <w:tcPr>
            <w:tcW w:w="747" w:type="dxa"/>
            <w:tcBorders>
              <w:top w:val="nil"/>
              <w:left w:val="nil"/>
              <w:bottom w:val="nil"/>
              <w:right w:val="nil"/>
            </w:tcBorders>
            <w:shd w:val="clear" w:color="auto" w:fill="auto"/>
            <w:hideMark/>
          </w:tcPr>
          <w:p w14:paraId="2DEBA127" w14:textId="2FF58C01" w:rsidR="00F55418" w:rsidRPr="00F55418" w:rsidRDefault="00F55418" w:rsidP="00F55418">
            <w:pPr>
              <w:jc w:val="center"/>
              <w:rPr>
                <w:rFonts w:cs="Times New Roman"/>
                <w:sz w:val="18"/>
                <w:szCs w:val="18"/>
              </w:rPr>
            </w:pPr>
            <w:r w:rsidRPr="00F55418">
              <w:rPr>
                <w:sz w:val="18"/>
                <w:szCs w:val="18"/>
              </w:rPr>
              <w:t>-0,70</w:t>
            </w:r>
          </w:p>
        </w:tc>
        <w:tc>
          <w:tcPr>
            <w:tcW w:w="820" w:type="dxa"/>
            <w:tcBorders>
              <w:top w:val="nil"/>
              <w:left w:val="nil"/>
              <w:bottom w:val="nil"/>
              <w:right w:val="nil"/>
            </w:tcBorders>
            <w:shd w:val="clear" w:color="auto" w:fill="auto"/>
            <w:hideMark/>
          </w:tcPr>
          <w:p w14:paraId="4392269D" w14:textId="3F901899" w:rsidR="00F55418" w:rsidRPr="00F55418" w:rsidRDefault="00F55418" w:rsidP="00F55418">
            <w:pPr>
              <w:jc w:val="center"/>
              <w:rPr>
                <w:rFonts w:cs="Times New Roman"/>
                <w:sz w:val="18"/>
                <w:szCs w:val="18"/>
              </w:rPr>
            </w:pPr>
            <w:r w:rsidRPr="00F55418">
              <w:rPr>
                <w:sz w:val="18"/>
                <w:szCs w:val="18"/>
              </w:rPr>
              <w:t>0,00</w:t>
            </w:r>
          </w:p>
        </w:tc>
        <w:tc>
          <w:tcPr>
            <w:tcW w:w="684" w:type="dxa"/>
            <w:tcBorders>
              <w:top w:val="nil"/>
              <w:left w:val="nil"/>
              <w:bottom w:val="nil"/>
              <w:right w:val="nil"/>
            </w:tcBorders>
            <w:shd w:val="clear" w:color="auto" w:fill="auto"/>
            <w:hideMark/>
          </w:tcPr>
          <w:p w14:paraId="58E03FE2" w14:textId="7A4D0F36" w:rsidR="00F55418" w:rsidRPr="00F55418" w:rsidRDefault="00F55418" w:rsidP="00F55418">
            <w:pPr>
              <w:jc w:val="center"/>
              <w:rPr>
                <w:rFonts w:cs="Times New Roman"/>
                <w:sz w:val="18"/>
                <w:szCs w:val="18"/>
              </w:rPr>
            </w:pPr>
            <w:r w:rsidRPr="00F55418">
              <w:rPr>
                <w:sz w:val="18"/>
                <w:szCs w:val="18"/>
              </w:rPr>
              <w:t>0,00</w:t>
            </w:r>
          </w:p>
        </w:tc>
        <w:tc>
          <w:tcPr>
            <w:tcW w:w="659" w:type="dxa"/>
            <w:tcBorders>
              <w:top w:val="nil"/>
              <w:left w:val="nil"/>
              <w:bottom w:val="nil"/>
              <w:right w:val="nil"/>
            </w:tcBorders>
            <w:shd w:val="clear" w:color="auto" w:fill="auto"/>
            <w:hideMark/>
          </w:tcPr>
          <w:p w14:paraId="2DFF9BB1" w14:textId="2DAE393B" w:rsidR="00F55418" w:rsidRPr="00F55418" w:rsidRDefault="00F55418" w:rsidP="00F55418">
            <w:pPr>
              <w:jc w:val="center"/>
              <w:rPr>
                <w:rFonts w:cs="Times New Roman"/>
                <w:sz w:val="18"/>
                <w:szCs w:val="18"/>
              </w:rPr>
            </w:pPr>
            <w:r w:rsidRPr="00F55418">
              <w:rPr>
                <w:sz w:val="18"/>
                <w:szCs w:val="18"/>
              </w:rPr>
              <w:t>0,00</w:t>
            </w:r>
          </w:p>
        </w:tc>
        <w:tc>
          <w:tcPr>
            <w:tcW w:w="638" w:type="dxa"/>
            <w:tcBorders>
              <w:top w:val="nil"/>
              <w:left w:val="nil"/>
              <w:bottom w:val="nil"/>
              <w:right w:val="nil"/>
            </w:tcBorders>
            <w:shd w:val="clear" w:color="auto" w:fill="auto"/>
            <w:hideMark/>
          </w:tcPr>
          <w:p w14:paraId="42049FEE" w14:textId="2A1C56C8" w:rsidR="00F55418" w:rsidRPr="00F55418" w:rsidRDefault="00F55418" w:rsidP="00F55418">
            <w:pPr>
              <w:jc w:val="center"/>
              <w:rPr>
                <w:rFonts w:cs="Times New Roman"/>
                <w:sz w:val="18"/>
                <w:szCs w:val="18"/>
              </w:rPr>
            </w:pPr>
            <w:r w:rsidRPr="00F55418">
              <w:rPr>
                <w:sz w:val="18"/>
                <w:szCs w:val="18"/>
              </w:rPr>
              <w:t>0,00</w:t>
            </w:r>
          </w:p>
        </w:tc>
      </w:tr>
      <w:tr w:rsidR="00F55418" w:rsidRPr="00F55418" w14:paraId="0ED0CBD7" w14:textId="77777777" w:rsidTr="00304C90">
        <w:trPr>
          <w:trHeight w:val="283"/>
        </w:trPr>
        <w:tc>
          <w:tcPr>
            <w:tcW w:w="3519" w:type="dxa"/>
            <w:tcBorders>
              <w:top w:val="nil"/>
              <w:left w:val="nil"/>
              <w:bottom w:val="nil"/>
              <w:right w:val="nil"/>
            </w:tcBorders>
            <w:shd w:val="clear" w:color="auto" w:fill="auto"/>
            <w:vAlign w:val="center"/>
            <w:hideMark/>
          </w:tcPr>
          <w:p w14:paraId="0ED5AC57" w14:textId="77777777" w:rsidR="00F55418" w:rsidRPr="00F55418" w:rsidRDefault="00F55418" w:rsidP="00F55418">
            <w:pPr>
              <w:rPr>
                <w:rFonts w:cs="Times New Roman"/>
                <w:sz w:val="18"/>
                <w:szCs w:val="18"/>
              </w:rPr>
            </w:pPr>
            <w:r w:rsidRPr="00F55418">
              <w:rPr>
                <w:rFonts w:cs="Times New Roman"/>
                <w:sz w:val="18"/>
                <w:szCs w:val="18"/>
              </w:rPr>
              <w:t>2. Ústredná štátna správa</w:t>
            </w:r>
          </w:p>
        </w:tc>
        <w:tc>
          <w:tcPr>
            <w:tcW w:w="1272" w:type="dxa"/>
            <w:tcBorders>
              <w:top w:val="nil"/>
              <w:left w:val="nil"/>
              <w:bottom w:val="nil"/>
              <w:right w:val="nil"/>
            </w:tcBorders>
            <w:shd w:val="clear" w:color="auto" w:fill="auto"/>
            <w:hideMark/>
          </w:tcPr>
          <w:p w14:paraId="36412E25" w14:textId="77777777" w:rsidR="00F55418" w:rsidRPr="00F55418" w:rsidRDefault="00F55418" w:rsidP="00F55418">
            <w:pPr>
              <w:jc w:val="center"/>
              <w:rPr>
                <w:rFonts w:cs="Times New Roman"/>
                <w:sz w:val="18"/>
                <w:szCs w:val="18"/>
              </w:rPr>
            </w:pPr>
            <w:r w:rsidRPr="00F55418">
              <w:rPr>
                <w:rFonts w:cs="Times New Roman"/>
                <w:sz w:val="18"/>
                <w:szCs w:val="18"/>
              </w:rPr>
              <w:t>S.1311</w:t>
            </w:r>
          </w:p>
        </w:tc>
        <w:tc>
          <w:tcPr>
            <w:tcW w:w="784" w:type="dxa"/>
            <w:tcBorders>
              <w:top w:val="nil"/>
              <w:left w:val="nil"/>
              <w:bottom w:val="nil"/>
              <w:right w:val="nil"/>
            </w:tcBorders>
            <w:shd w:val="clear" w:color="auto" w:fill="auto"/>
            <w:hideMark/>
          </w:tcPr>
          <w:p w14:paraId="7D93FF2E" w14:textId="7A023088" w:rsidR="00F55418" w:rsidRPr="00F55418" w:rsidRDefault="00F55418" w:rsidP="00F55418">
            <w:pPr>
              <w:jc w:val="center"/>
              <w:rPr>
                <w:rFonts w:cs="Times New Roman"/>
                <w:sz w:val="18"/>
                <w:szCs w:val="18"/>
              </w:rPr>
            </w:pPr>
            <w:r w:rsidRPr="00F55418">
              <w:rPr>
                <w:sz w:val="18"/>
                <w:szCs w:val="18"/>
              </w:rPr>
              <w:t>-910</w:t>
            </w:r>
          </w:p>
        </w:tc>
        <w:tc>
          <w:tcPr>
            <w:tcW w:w="747" w:type="dxa"/>
            <w:tcBorders>
              <w:top w:val="nil"/>
              <w:left w:val="nil"/>
              <w:bottom w:val="nil"/>
              <w:right w:val="nil"/>
            </w:tcBorders>
            <w:shd w:val="clear" w:color="auto" w:fill="auto"/>
            <w:hideMark/>
          </w:tcPr>
          <w:p w14:paraId="31B17B54" w14:textId="215F7B9D" w:rsidR="00F55418" w:rsidRPr="00F55418" w:rsidRDefault="00F55418" w:rsidP="00F55418">
            <w:pPr>
              <w:jc w:val="center"/>
              <w:rPr>
                <w:rFonts w:cs="Times New Roman"/>
                <w:sz w:val="18"/>
                <w:szCs w:val="18"/>
              </w:rPr>
            </w:pPr>
            <w:r w:rsidRPr="00F55418">
              <w:rPr>
                <w:sz w:val="18"/>
                <w:szCs w:val="18"/>
              </w:rPr>
              <w:t>-1,0</w:t>
            </w:r>
          </w:p>
        </w:tc>
        <w:tc>
          <w:tcPr>
            <w:tcW w:w="820" w:type="dxa"/>
            <w:tcBorders>
              <w:top w:val="nil"/>
              <w:left w:val="nil"/>
              <w:bottom w:val="nil"/>
              <w:right w:val="nil"/>
            </w:tcBorders>
            <w:shd w:val="clear" w:color="auto" w:fill="auto"/>
            <w:hideMark/>
          </w:tcPr>
          <w:p w14:paraId="00D5037C" w14:textId="520D5155" w:rsidR="00F55418" w:rsidRPr="00F55418" w:rsidRDefault="00F55418" w:rsidP="00F55418">
            <w:pPr>
              <w:jc w:val="center"/>
              <w:rPr>
                <w:rFonts w:cs="Times New Roman"/>
                <w:sz w:val="18"/>
                <w:szCs w:val="18"/>
              </w:rPr>
            </w:pPr>
            <w:r w:rsidRPr="00F55418">
              <w:rPr>
                <w:sz w:val="18"/>
                <w:szCs w:val="18"/>
              </w:rPr>
              <w:t>-0,6</w:t>
            </w:r>
          </w:p>
        </w:tc>
        <w:tc>
          <w:tcPr>
            <w:tcW w:w="684" w:type="dxa"/>
            <w:tcBorders>
              <w:top w:val="nil"/>
              <w:left w:val="nil"/>
              <w:bottom w:val="nil"/>
              <w:right w:val="nil"/>
            </w:tcBorders>
            <w:shd w:val="clear" w:color="auto" w:fill="auto"/>
            <w:hideMark/>
          </w:tcPr>
          <w:p w14:paraId="06F367D8" w14:textId="73BC7030" w:rsidR="00F55418" w:rsidRPr="00F55418" w:rsidRDefault="00F55418" w:rsidP="00F55418">
            <w:pPr>
              <w:jc w:val="center"/>
              <w:rPr>
                <w:rFonts w:cs="Times New Roman"/>
                <w:sz w:val="18"/>
                <w:szCs w:val="18"/>
              </w:rPr>
            </w:pPr>
            <w:r w:rsidRPr="00F55418">
              <w:rPr>
                <w:sz w:val="18"/>
                <w:szCs w:val="18"/>
              </w:rPr>
              <w:t>-0,8</w:t>
            </w:r>
          </w:p>
        </w:tc>
        <w:tc>
          <w:tcPr>
            <w:tcW w:w="659" w:type="dxa"/>
            <w:tcBorders>
              <w:top w:val="nil"/>
              <w:left w:val="nil"/>
              <w:bottom w:val="nil"/>
              <w:right w:val="nil"/>
            </w:tcBorders>
            <w:shd w:val="clear" w:color="auto" w:fill="auto"/>
            <w:hideMark/>
          </w:tcPr>
          <w:p w14:paraId="42E37AFF" w14:textId="7E68021E" w:rsidR="00F55418" w:rsidRPr="00F55418" w:rsidRDefault="00F55418" w:rsidP="00F55418">
            <w:pPr>
              <w:jc w:val="center"/>
              <w:rPr>
                <w:rFonts w:cs="Times New Roman"/>
                <w:sz w:val="18"/>
                <w:szCs w:val="18"/>
              </w:rPr>
            </w:pPr>
            <w:r w:rsidRPr="00F55418">
              <w:rPr>
                <w:sz w:val="18"/>
                <w:szCs w:val="18"/>
              </w:rPr>
              <w:t>-0,8</w:t>
            </w:r>
          </w:p>
        </w:tc>
        <w:tc>
          <w:tcPr>
            <w:tcW w:w="638" w:type="dxa"/>
            <w:tcBorders>
              <w:top w:val="nil"/>
              <w:left w:val="nil"/>
              <w:bottom w:val="nil"/>
              <w:right w:val="nil"/>
            </w:tcBorders>
            <w:shd w:val="clear" w:color="auto" w:fill="auto"/>
            <w:hideMark/>
          </w:tcPr>
          <w:p w14:paraId="2BF27074" w14:textId="0FBA1429" w:rsidR="00F55418" w:rsidRPr="00F55418" w:rsidRDefault="00F55418" w:rsidP="00F55418">
            <w:pPr>
              <w:jc w:val="center"/>
              <w:rPr>
                <w:rFonts w:cs="Times New Roman"/>
                <w:sz w:val="18"/>
                <w:szCs w:val="18"/>
              </w:rPr>
            </w:pPr>
            <w:r w:rsidRPr="00F55418">
              <w:rPr>
                <w:sz w:val="18"/>
                <w:szCs w:val="18"/>
              </w:rPr>
              <w:t>-0,8</w:t>
            </w:r>
          </w:p>
        </w:tc>
      </w:tr>
      <w:tr w:rsidR="00F55418" w:rsidRPr="00F55418" w14:paraId="61F1EE6E" w14:textId="77777777" w:rsidTr="00304C90">
        <w:trPr>
          <w:trHeight w:val="283"/>
        </w:trPr>
        <w:tc>
          <w:tcPr>
            <w:tcW w:w="3519" w:type="dxa"/>
            <w:tcBorders>
              <w:top w:val="nil"/>
              <w:left w:val="nil"/>
              <w:bottom w:val="nil"/>
              <w:right w:val="nil"/>
            </w:tcBorders>
            <w:shd w:val="clear" w:color="auto" w:fill="auto"/>
            <w:vAlign w:val="center"/>
            <w:hideMark/>
          </w:tcPr>
          <w:p w14:paraId="7B28A555" w14:textId="77777777" w:rsidR="00F55418" w:rsidRPr="00F55418" w:rsidRDefault="00F55418" w:rsidP="00F55418">
            <w:pPr>
              <w:rPr>
                <w:rFonts w:cs="Times New Roman"/>
                <w:sz w:val="18"/>
                <w:szCs w:val="18"/>
              </w:rPr>
            </w:pPr>
            <w:r w:rsidRPr="00F55418">
              <w:rPr>
                <w:rFonts w:cs="Times New Roman"/>
                <w:sz w:val="18"/>
                <w:szCs w:val="18"/>
              </w:rPr>
              <w:t>3. Regionálna štátna správa</w:t>
            </w:r>
          </w:p>
        </w:tc>
        <w:tc>
          <w:tcPr>
            <w:tcW w:w="1272" w:type="dxa"/>
            <w:tcBorders>
              <w:top w:val="nil"/>
              <w:left w:val="nil"/>
              <w:bottom w:val="nil"/>
              <w:right w:val="nil"/>
            </w:tcBorders>
            <w:shd w:val="clear" w:color="auto" w:fill="auto"/>
            <w:hideMark/>
          </w:tcPr>
          <w:p w14:paraId="615BB0DA" w14:textId="77777777" w:rsidR="00F55418" w:rsidRPr="00F55418" w:rsidRDefault="00F55418" w:rsidP="00F55418">
            <w:pPr>
              <w:jc w:val="center"/>
              <w:rPr>
                <w:rFonts w:cs="Times New Roman"/>
                <w:sz w:val="18"/>
                <w:szCs w:val="18"/>
              </w:rPr>
            </w:pPr>
            <w:r w:rsidRPr="00F55418">
              <w:rPr>
                <w:rFonts w:cs="Times New Roman"/>
                <w:sz w:val="18"/>
                <w:szCs w:val="18"/>
              </w:rPr>
              <w:t>S.1312</w:t>
            </w:r>
          </w:p>
        </w:tc>
        <w:tc>
          <w:tcPr>
            <w:tcW w:w="784" w:type="dxa"/>
            <w:tcBorders>
              <w:top w:val="nil"/>
              <w:left w:val="nil"/>
              <w:bottom w:val="nil"/>
              <w:right w:val="nil"/>
            </w:tcBorders>
            <w:shd w:val="clear" w:color="auto" w:fill="auto"/>
            <w:hideMark/>
          </w:tcPr>
          <w:p w14:paraId="159C8885" w14:textId="62574064" w:rsidR="00F55418" w:rsidRPr="00F55418" w:rsidRDefault="00F55418" w:rsidP="00F55418">
            <w:pPr>
              <w:jc w:val="center"/>
              <w:rPr>
                <w:rFonts w:cs="Times New Roman"/>
                <w:sz w:val="18"/>
                <w:szCs w:val="18"/>
              </w:rPr>
            </w:pPr>
            <w:r w:rsidRPr="00F55418">
              <w:rPr>
                <w:sz w:val="18"/>
                <w:szCs w:val="18"/>
              </w:rPr>
              <w:t>-</w:t>
            </w:r>
          </w:p>
        </w:tc>
        <w:tc>
          <w:tcPr>
            <w:tcW w:w="747" w:type="dxa"/>
            <w:tcBorders>
              <w:top w:val="nil"/>
              <w:left w:val="nil"/>
              <w:bottom w:val="nil"/>
              <w:right w:val="nil"/>
            </w:tcBorders>
            <w:shd w:val="clear" w:color="auto" w:fill="auto"/>
            <w:hideMark/>
          </w:tcPr>
          <w:p w14:paraId="312E0A51" w14:textId="778FB776" w:rsidR="00F55418" w:rsidRPr="00F55418" w:rsidRDefault="00F55418" w:rsidP="00F55418">
            <w:pPr>
              <w:jc w:val="center"/>
              <w:rPr>
                <w:rFonts w:cs="Times New Roman"/>
                <w:sz w:val="18"/>
                <w:szCs w:val="18"/>
              </w:rPr>
            </w:pPr>
            <w:r w:rsidRPr="00F55418">
              <w:rPr>
                <w:sz w:val="18"/>
                <w:szCs w:val="18"/>
              </w:rPr>
              <w:t>-</w:t>
            </w:r>
          </w:p>
        </w:tc>
        <w:tc>
          <w:tcPr>
            <w:tcW w:w="820" w:type="dxa"/>
            <w:tcBorders>
              <w:top w:val="nil"/>
              <w:left w:val="nil"/>
              <w:bottom w:val="nil"/>
              <w:right w:val="nil"/>
            </w:tcBorders>
            <w:shd w:val="clear" w:color="auto" w:fill="auto"/>
            <w:hideMark/>
          </w:tcPr>
          <w:p w14:paraId="4E4EA183" w14:textId="051E11EE" w:rsidR="00F55418" w:rsidRPr="00F55418" w:rsidRDefault="00F55418" w:rsidP="00F55418">
            <w:pPr>
              <w:jc w:val="center"/>
              <w:rPr>
                <w:rFonts w:cs="Times New Roman"/>
                <w:sz w:val="18"/>
                <w:szCs w:val="18"/>
              </w:rPr>
            </w:pPr>
            <w:r w:rsidRPr="00F55418">
              <w:rPr>
                <w:sz w:val="18"/>
                <w:szCs w:val="18"/>
              </w:rPr>
              <w:t>-</w:t>
            </w:r>
          </w:p>
        </w:tc>
        <w:tc>
          <w:tcPr>
            <w:tcW w:w="684" w:type="dxa"/>
            <w:tcBorders>
              <w:top w:val="nil"/>
              <w:left w:val="nil"/>
              <w:bottom w:val="nil"/>
              <w:right w:val="nil"/>
            </w:tcBorders>
            <w:shd w:val="clear" w:color="auto" w:fill="auto"/>
            <w:hideMark/>
          </w:tcPr>
          <w:p w14:paraId="3997017F" w14:textId="6DA284B7" w:rsidR="00F55418" w:rsidRPr="00F55418" w:rsidRDefault="00F55418" w:rsidP="00F55418">
            <w:pPr>
              <w:jc w:val="center"/>
              <w:rPr>
                <w:rFonts w:cs="Times New Roman"/>
                <w:sz w:val="18"/>
                <w:szCs w:val="18"/>
              </w:rPr>
            </w:pPr>
          </w:p>
        </w:tc>
        <w:tc>
          <w:tcPr>
            <w:tcW w:w="659" w:type="dxa"/>
            <w:tcBorders>
              <w:top w:val="nil"/>
              <w:left w:val="nil"/>
              <w:bottom w:val="nil"/>
              <w:right w:val="nil"/>
            </w:tcBorders>
            <w:shd w:val="clear" w:color="auto" w:fill="auto"/>
            <w:hideMark/>
          </w:tcPr>
          <w:p w14:paraId="712135FB" w14:textId="0ECA5599" w:rsidR="00F55418" w:rsidRPr="00F55418" w:rsidRDefault="00F55418" w:rsidP="00F55418">
            <w:pPr>
              <w:jc w:val="center"/>
              <w:rPr>
                <w:rFonts w:cs="Times New Roman"/>
                <w:sz w:val="18"/>
                <w:szCs w:val="18"/>
              </w:rPr>
            </w:pPr>
          </w:p>
        </w:tc>
        <w:tc>
          <w:tcPr>
            <w:tcW w:w="638" w:type="dxa"/>
            <w:tcBorders>
              <w:top w:val="nil"/>
              <w:left w:val="nil"/>
              <w:bottom w:val="nil"/>
              <w:right w:val="nil"/>
            </w:tcBorders>
            <w:shd w:val="clear" w:color="auto" w:fill="auto"/>
            <w:hideMark/>
          </w:tcPr>
          <w:p w14:paraId="2220DE03" w14:textId="03427E77" w:rsidR="00F55418" w:rsidRPr="00F55418" w:rsidRDefault="00F55418" w:rsidP="00F55418">
            <w:pPr>
              <w:jc w:val="center"/>
              <w:rPr>
                <w:rFonts w:cs="Times New Roman"/>
                <w:sz w:val="18"/>
                <w:szCs w:val="18"/>
              </w:rPr>
            </w:pPr>
          </w:p>
        </w:tc>
      </w:tr>
      <w:tr w:rsidR="00F55418" w:rsidRPr="00F55418" w14:paraId="62B5565C" w14:textId="77777777" w:rsidTr="00304C90">
        <w:trPr>
          <w:trHeight w:val="283"/>
        </w:trPr>
        <w:tc>
          <w:tcPr>
            <w:tcW w:w="3519" w:type="dxa"/>
            <w:tcBorders>
              <w:top w:val="nil"/>
              <w:left w:val="nil"/>
              <w:bottom w:val="nil"/>
              <w:right w:val="nil"/>
            </w:tcBorders>
            <w:shd w:val="clear" w:color="auto" w:fill="auto"/>
            <w:vAlign w:val="center"/>
            <w:hideMark/>
          </w:tcPr>
          <w:p w14:paraId="1954EDE5" w14:textId="77777777" w:rsidR="00F55418" w:rsidRPr="00F55418" w:rsidRDefault="00F55418" w:rsidP="00F55418">
            <w:pPr>
              <w:rPr>
                <w:rFonts w:cs="Times New Roman"/>
                <w:sz w:val="18"/>
                <w:szCs w:val="18"/>
              </w:rPr>
            </w:pPr>
            <w:r w:rsidRPr="00F55418">
              <w:rPr>
                <w:rFonts w:cs="Times New Roman"/>
                <w:sz w:val="18"/>
                <w:szCs w:val="18"/>
              </w:rPr>
              <w:t>4. Miestna štátna správa</w:t>
            </w:r>
          </w:p>
        </w:tc>
        <w:tc>
          <w:tcPr>
            <w:tcW w:w="1272" w:type="dxa"/>
            <w:tcBorders>
              <w:top w:val="nil"/>
              <w:left w:val="nil"/>
              <w:bottom w:val="nil"/>
              <w:right w:val="nil"/>
            </w:tcBorders>
            <w:shd w:val="clear" w:color="auto" w:fill="auto"/>
            <w:hideMark/>
          </w:tcPr>
          <w:p w14:paraId="6A372E4D" w14:textId="77777777" w:rsidR="00F55418" w:rsidRPr="00F55418" w:rsidRDefault="00F55418" w:rsidP="00F55418">
            <w:pPr>
              <w:jc w:val="center"/>
              <w:rPr>
                <w:rFonts w:cs="Times New Roman"/>
                <w:sz w:val="18"/>
                <w:szCs w:val="18"/>
              </w:rPr>
            </w:pPr>
            <w:r w:rsidRPr="00F55418">
              <w:rPr>
                <w:rFonts w:cs="Times New Roman"/>
                <w:sz w:val="18"/>
                <w:szCs w:val="18"/>
              </w:rPr>
              <w:t>S.1313</w:t>
            </w:r>
          </w:p>
        </w:tc>
        <w:tc>
          <w:tcPr>
            <w:tcW w:w="784" w:type="dxa"/>
            <w:tcBorders>
              <w:top w:val="nil"/>
              <w:left w:val="nil"/>
              <w:bottom w:val="nil"/>
              <w:right w:val="nil"/>
            </w:tcBorders>
            <w:shd w:val="clear" w:color="auto" w:fill="auto"/>
            <w:hideMark/>
          </w:tcPr>
          <w:p w14:paraId="61F81E15" w14:textId="260EE2E7" w:rsidR="00F55418" w:rsidRPr="00F55418" w:rsidRDefault="00F55418" w:rsidP="00F55418">
            <w:pPr>
              <w:jc w:val="center"/>
              <w:rPr>
                <w:rFonts w:cs="Times New Roman"/>
                <w:sz w:val="18"/>
                <w:szCs w:val="18"/>
              </w:rPr>
            </w:pPr>
            <w:r w:rsidRPr="00F55418">
              <w:rPr>
                <w:sz w:val="18"/>
                <w:szCs w:val="18"/>
              </w:rPr>
              <w:t>117</w:t>
            </w:r>
          </w:p>
        </w:tc>
        <w:tc>
          <w:tcPr>
            <w:tcW w:w="747" w:type="dxa"/>
            <w:tcBorders>
              <w:top w:val="nil"/>
              <w:left w:val="nil"/>
              <w:bottom w:val="nil"/>
              <w:right w:val="nil"/>
            </w:tcBorders>
            <w:shd w:val="clear" w:color="auto" w:fill="auto"/>
            <w:hideMark/>
          </w:tcPr>
          <w:p w14:paraId="06A6EADE" w14:textId="029E9C88" w:rsidR="00F55418" w:rsidRPr="00F55418" w:rsidRDefault="00F55418" w:rsidP="00F55418">
            <w:pPr>
              <w:jc w:val="center"/>
              <w:rPr>
                <w:rFonts w:cs="Times New Roman"/>
                <w:sz w:val="18"/>
                <w:szCs w:val="18"/>
              </w:rPr>
            </w:pPr>
            <w:r w:rsidRPr="00F55418">
              <w:rPr>
                <w:sz w:val="18"/>
                <w:szCs w:val="18"/>
              </w:rPr>
              <w:t>0,1</w:t>
            </w:r>
          </w:p>
        </w:tc>
        <w:tc>
          <w:tcPr>
            <w:tcW w:w="820" w:type="dxa"/>
            <w:tcBorders>
              <w:top w:val="nil"/>
              <w:left w:val="nil"/>
              <w:bottom w:val="nil"/>
              <w:right w:val="nil"/>
            </w:tcBorders>
            <w:shd w:val="clear" w:color="auto" w:fill="auto"/>
            <w:hideMark/>
          </w:tcPr>
          <w:p w14:paraId="4C8CF4F4" w14:textId="6D69128C" w:rsidR="00F55418" w:rsidRPr="00F55418" w:rsidRDefault="00F55418" w:rsidP="00F55418">
            <w:pPr>
              <w:jc w:val="center"/>
              <w:rPr>
                <w:rFonts w:cs="Times New Roman"/>
                <w:sz w:val="18"/>
                <w:szCs w:val="18"/>
              </w:rPr>
            </w:pPr>
            <w:r w:rsidRPr="00F55418">
              <w:rPr>
                <w:sz w:val="18"/>
                <w:szCs w:val="18"/>
              </w:rPr>
              <w:t>0,4</w:t>
            </w:r>
          </w:p>
        </w:tc>
        <w:tc>
          <w:tcPr>
            <w:tcW w:w="684" w:type="dxa"/>
            <w:tcBorders>
              <w:top w:val="nil"/>
              <w:left w:val="nil"/>
              <w:bottom w:val="nil"/>
              <w:right w:val="nil"/>
            </w:tcBorders>
            <w:shd w:val="clear" w:color="auto" w:fill="auto"/>
            <w:hideMark/>
          </w:tcPr>
          <w:p w14:paraId="569E1838" w14:textId="657BD649" w:rsidR="00F55418" w:rsidRPr="00F55418" w:rsidRDefault="00F55418" w:rsidP="00F55418">
            <w:pPr>
              <w:jc w:val="center"/>
              <w:rPr>
                <w:rFonts w:cs="Times New Roman"/>
                <w:sz w:val="18"/>
                <w:szCs w:val="18"/>
              </w:rPr>
            </w:pPr>
            <w:r w:rsidRPr="00F55418">
              <w:rPr>
                <w:sz w:val="18"/>
                <w:szCs w:val="18"/>
              </w:rPr>
              <w:t>0,4</w:t>
            </w:r>
          </w:p>
        </w:tc>
        <w:tc>
          <w:tcPr>
            <w:tcW w:w="659" w:type="dxa"/>
            <w:tcBorders>
              <w:top w:val="nil"/>
              <w:left w:val="nil"/>
              <w:bottom w:val="nil"/>
              <w:right w:val="nil"/>
            </w:tcBorders>
            <w:shd w:val="clear" w:color="auto" w:fill="auto"/>
            <w:hideMark/>
          </w:tcPr>
          <w:p w14:paraId="0A14058C" w14:textId="418670FD" w:rsidR="00F55418" w:rsidRPr="00F55418" w:rsidRDefault="00F55418" w:rsidP="00F55418">
            <w:pPr>
              <w:jc w:val="center"/>
              <w:rPr>
                <w:rFonts w:cs="Times New Roman"/>
                <w:sz w:val="18"/>
                <w:szCs w:val="18"/>
              </w:rPr>
            </w:pPr>
            <w:r w:rsidRPr="00F55418">
              <w:rPr>
                <w:sz w:val="18"/>
                <w:szCs w:val="18"/>
              </w:rPr>
              <w:t>0,3</w:t>
            </w:r>
          </w:p>
        </w:tc>
        <w:tc>
          <w:tcPr>
            <w:tcW w:w="638" w:type="dxa"/>
            <w:tcBorders>
              <w:top w:val="nil"/>
              <w:left w:val="nil"/>
              <w:bottom w:val="nil"/>
              <w:right w:val="nil"/>
            </w:tcBorders>
            <w:shd w:val="clear" w:color="auto" w:fill="auto"/>
            <w:hideMark/>
          </w:tcPr>
          <w:p w14:paraId="3D25803C" w14:textId="487FA1C9" w:rsidR="00F55418" w:rsidRPr="00F55418" w:rsidRDefault="00F55418" w:rsidP="00F55418">
            <w:pPr>
              <w:jc w:val="center"/>
              <w:rPr>
                <w:rFonts w:cs="Times New Roman"/>
                <w:sz w:val="18"/>
                <w:szCs w:val="18"/>
              </w:rPr>
            </w:pPr>
            <w:r w:rsidRPr="00F55418">
              <w:rPr>
                <w:sz w:val="18"/>
                <w:szCs w:val="18"/>
              </w:rPr>
              <w:t>0,2</w:t>
            </w:r>
          </w:p>
        </w:tc>
      </w:tr>
      <w:tr w:rsidR="00F55418" w:rsidRPr="00F55418" w14:paraId="3CC19617" w14:textId="77777777" w:rsidTr="00304C90">
        <w:trPr>
          <w:trHeight w:val="283"/>
        </w:trPr>
        <w:tc>
          <w:tcPr>
            <w:tcW w:w="3519" w:type="dxa"/>
            <w:tcBorders>
              <w:top w:val="nil"/>
              <w:left w:val="nil"/>
              <w:bottom w:val="single" w:sz="4" w:space="0" w:color="auto"/>
              <w:right w:val="nil"/>
            </w:tcBorders>
            <w:shd w:val="clear" w:color="auto" w:fill="auto"/>
            <w:vAlign w:val="center"/>
            <w:hideMark/>
          </w:tcPr>
          <w:p w14:paraId="61BEFC15" w14:textId="77777777" w:rsidR="00F55418" w:rsidRPr="00F55418" w:rsidRDefault="00F55418" w:rsidP="00F55418">
            <w:pPr>
              <w:rPr>
                <w:rFonts w:cs="Times New Roman"/>
                <w:sz w:val="18"/>
                <w:szCs w:val="18"/>
              </w:rPr>
            </w:pPr>
            <w:r w:rsidRPr="00F55418">
              <w:rPr>
                <w:rFonts w:cs="Times New Roman"/>
                <w:sz w:val="18"/>
                <w:szCs w:val="18"/>
              </w:rPr>
              <w:t>5. Fondy sociálneho zabezpečenia</w:t>
            </w:r>
          </w:p>
        </w:tc>
        <w:tc>
          <w:tcPr>
            <w:tcW w:w="1272" w:type="dxa"/>
            <w:tcBorders>
              <w:top w:val="nil"/>
              <w:left w:val="nil"/>
              <w:bottom w:val="single" w:sz="4" w:space="0" w:color="auto"/>
              <w:right w:val="nil"/>
            </w:tcBorders>
            <w:shd w:val="clear" w:color="auto" w:fill="auto"/>
            <w:hideMark/>
          </w:tcPr>
          <w:p w14:paraId="76D9AAB6" w14:textId="77777777" w:rsidR="00F55418" w:rsidRPr="00F55418" w:rsidRDefault="00F55418" w:rsidP="00F55418">
            <w:pPr>
              <w:jc w:val="center"/>
              <w:rPr>
                <w:rFonts w:cs="Times New Roman"/>
                <w:sz w:val="18"/>
                <w:szCs w:val="18"/>
              </w:rPr>
            </w:pPr>
            <w:r w:rsidRPr="00F55418">
              <w:rPr>
                <w:rFonts w:cs="Times New Roman"/>
                <w:sz w:val="18"/>
                <w:szCs w:val="18"/>
              </w:rPr>
              <w:t>S.1314</w:t>
            </w:r>
          </w:p>
        </w:tc>
        <w:tc>
          <w:tcPr>
            <w:tcW w:w="784" w:type="dxa"/>
            <w:tcBorders>
              <w:top w:val="nil"/>
              <w:left w:val="nil"/>
              <w:bottom w:val="nil"/>
              <w:right w:val="nil"/>
            </w:tcBorders>
            <w:shd w:val="clear" w:color="auto" w:fill="auto"/>
            <w:hideMark/>
          </w:tcPr>
          <w:p w14:paraId="1776F657" w14:textId="1E6A5915" w:rsidR="00F55418" w:rsidRPr="00F55418" w:rsidRDefault="00F55418" w:rsidP="00F55418">
            <w:pPr>
              <w:jc w:val="center"/>
              <w:rPr>
                <w:rFonts w:cs="Times New Roman"/>
                <w:sz w:val="18"/>
                <w:szCs w:val="18"/>
              </w:rPr>
            </w:pPr>
            <w:r w:rsidRPr="00F55418">
              <w:rPr>
                <w:sz w:val="18"/>
                <w:szCs w:val="18"/>
              </w:rPr>
              <w:t>164</w:t>
            </w:r>
          </w:p>
        </w:tc>
        <w:tc>
          <w:tcPr>
            <w:tcW w:w="747" w:type="dxa"/>
            <w:tcBorders>
              <w:top w:val="nil"/>
              <w:left w:val="nil"/>
              <w:bottom w:val="nil"/>
              <w:right w:val="nil"/>
            </w:tcBorders>
            <w:shd w:val="clear" w:color="auto" w:fill="auto"/>
            <w:hideMark/>
          </w:tcPr>
          <w:p w14:paraId="49D52293" w14:textId="165A5231" w:rsidR="00F55418" w:rsidRPr="00F55418" w:rsidRDefault="00F55418" w:rsidP="00F55418">
            <w:pPr>
              <w:jc w:val="center"/>
              <w:rPr>
                <w:rFonts w:cs="Times New Roman"/>
                <w:sz w:val="18"/>
                <w:szCs w:val="18"/>
              </w:rPr>
            </w:pPr>
            <w:r w:rsidRPr="00F55418">
              <w:rPr>
                <w:sz w:val="18"/>
                <w:szCs w:val="18"/>
              </w:rPr>
              <w:t>0,2</w:t>
            </w:r>
          </w:p>
        </w:tc>
        <w:tc>
          <w:tcPr>
            <w:tcW w:w="820" w:type="dxa"/>
            <w:tcBorders>
              <w:top w:val="nil"/>
              <w:left w:val="nil"/>
              <w:bottom w:val="nil"/>
              <w:right w:val="nil"/>
            </w:tcBorders>
            <w:shd w:val="clear" w:color="auto" w:fill="auto"/>
            <w:hideMark/>
          </w:tcPr>
          <w:p w14:paraId="109C395F" w14:textId="53F75C27" w:rsidR="00F55418" w:rsidRPr="00F55418" w:rsidRDefault="00F55418" w:rsidP="00F55418">
            <w:pPr>
              <w:jc w:val="center"/>
              <w:rPr>
                <w:rFonts w:cs="Times New Roman"/>
                <w:sz w:val="18"/>
                <w:szCs w:val="18"/>
              </w:rPr>
            </w:pPr>
            <w:r w:rsidRPr="00F55418">
              <w:rPr>
                <w:sz w:val="18"/>
                <w:szCs w:val="18"/>
              </w:rPr>
              <w:t>0,2</w:t>
            </w:r>
          </w:p>
        </w:tc>
        <w:tc>
          <w:tcPr>
            <w:tcW w:w="684" w:type="dxa"/>
            <w:tcBorders>
              <w:top w:val="nil"/>
              <w:left w:val="nil"/>
              <w:bottom w:val="nil"/>
              <w:right w:val="nil"/>
            </w:tcBorders>
            <w:shd w:val="clear" w:color="auto" w:fill="auto"/>
            <w:hideMark/>
          </w:tcPr>
          <w:p w14:paraId="5451AE6D" w14:textId="6B831510" w:rsidR="00F55418" w:rsidRPr="00F55418" w:rsidRDefault="00F55418" w:rsidP="00F55418">
            <w:pPr>
              <w:jc w:val="center"/>
              <w:rPr>
                <w:rFonts w:cs="Times New Roman"/>
                <w:sz w:val="18"/>
                <w:szCs w:val="18"/>
              </w:rPr>
            </w:pPr>
            <w:r w:rsidRPr="00F55418">
              <w:rPr>
                <w:sz w:val="18"/>
                <w:szCs w:val="18"/>
              </w:rPr>
              <w:t>0,4</w:t>
            </w:r>
          </w:p>
        </w:tc>
        <w:tc>
          <w:tcPr>
            <w:tcW w:w="659" w:type="dxa"/>
            <w:tcBorders>
              <w:top w:val="nil"/>
              <w:left w:val="nil"/>
              <w:bottom w:val="nil"/>
              <w:right w:val="nil"/>
            </w:tcBorders>
            <w:shd w:val="clear" w:color="auto" w:fill="auto"/>
            <w:hideMark/>
          </w:tcPr>
          <w:p w14:paraId="5C9D7F49" w14:textId="12530BEE" w:rsidR="00F55418" w:rsidRPr="00F55418" w:rsidRDefault="00F55418" w:rsidP="00F55418">
            <w:pPr>
              <w:jc w:val="center"/>
              <w:rPr>
                <w:rFonts w:cs="Times New Roman"/>
                <w:sz w:val="18"/>
                <w:szCs w:val="18"/>
              </w:rPr>
            </w:pPr>
            <w:r w:rsidRPr="00F55418">
              <w:rPr>
                <w:sz w:val="18"/>
                <w:szCs w:val="18"/>
              </w:rPr>
              <w:t>0,5</w:t>
            </w:r>
          </w:p>
        </w:tc>
        <w:tc>
          <w:tcPr>
            <w:tcW w:w="638" w:type="dxa"/>
            <w:tcBorders>
              <w:top w:val="nil"/>
              <w:left w:val="nil"/>
              <w:bottom w:val="single" w:sz="4" w:space="0" w:color="auto"/>
              <w:right w:val="nil"/>
            </w:tcBorders>
            <w:shd w:val="clear" w:color="auto" w:fill="auto"/>
            <w:hideMark/>
          </w:tcPr>
          <w:p w14:paraId="2128FEBE" w14:textId="12224682" w:rsidR="00F55418" w:rsidRPr="00F55418" w:rsidRDefault="00F55418" w:rsidP="00F55418">
            <w:pPr>
              <w:jc w:val="center"/>
              <w:rPr>
                <w:rFonts w:cs="Times New Roman"/>
                <w:sz w:val="18"/>
                <w:szCs w:val="18"/>
              </w:rPr>
            </w:pPr>
            <w:r w:rsidRPr="00F55418">
              <w:rPr>
                <w:sz w:val="18"/>
                <w:szCs w:val="18"/>
              </w:rPr>
              <w:t>0,6</w:t>
            </w:r>
          </w:p>
        </w:tc>
      </w:tr>
      <w:tr w:rsidR="00D73008" w:rsidRPr="00F55418" w14:paraId="65666D70" w14:textId="77777777" w:rsidTr="00387AE5">
        <w:trPr>
          <w:trHeight w:val="283"/>
        </w:trPr>
        <w:tc>
          <w:tcPr>
            <w:tcW w:w="9123" w:type="dxa"/>
            <w:gridSpan w:val="8"/>
            <w:tcBorders>
              <w:top w:val="single" w:sz="4" w:space="0" w:color="auto"/>
              <w:left w:val="nil"/>
              <w:bottom w:val="single" w:sz="6" w:space="0" w:color="auto"/>
              <w:right w:val="nil"/>
            </w:tcBorders>
            <w:shd w:val="clear" w:color="auto" w:fill="auto"/>
            <w:vAlign w:val="center"/>
            <w:hideMark/>
          </w:tcPr>
          <w:p w14:paraId="69A7CCBD" w14:textId="77777777" w:rsidR="00D73008" w:rsidRPr="00F55418" w:rsidRDefault="00D73008" w:rsidP="00387AE5">
            <w:pPr>
              <w:jc w:val="center"/>
              <w:rPr>
                <w:rFonts w:cs="Times New Roman"/>
                <w:b/>
                <w:bCs/>
                <w:sz w:val="18"/>
                <w:szCs w:val="18"/>
              </w:rPr>
            </w:pPr>
            <w:r w:rsidRPr="00F55418">
              <w:rPr>
                <w:rFonts w:cs="Times New Roman"/>
                <w:b/>
                <w:bCs/>
                <w:sz w:val="18"/>
                <w:szCs w:val="18"/>
              </w:rPr>
              <w:t>Verejná správa (S13)</w:t>
            </w:r>
          </w:p>
        </w:tc>
      </w:tr>
      <w:tr w:rsidR="00F55418" w:rsidRPr="00F55418" w14:paraId="404AC476" w14:textId="77777777" w:rsidTr="00304C90">
        <w:trPr>
          <w:trHeight w:val="283"/>
        </w:trPr>
        <w:tc>
          <w:tcPr>
            <w:tcW w:w="3519" w:type="dxa"/>
            <w:tcBorders>
              <w:top w:val="single" w:sz="6" w:space="0" w:color="auto"/>
              <w:left w:val="nil"/>
              <w:bottom w:val="nil"/>
              <w:right w:val="nil"/>
            </w:tcBorders>
            <w:shd w:val="clear" w:color="auto" w:fill="auto"/>
            <w:vAlign w:val="center"/>
            <w:hideMark/>
          </w:tcPr>
          <w:p w14:paraId="2581486B" w14:textId="77777777" w:rsidR="00F55418" w:rsidRPr="00F55418" w:rsidRDefault="00F55418" w:rsidP="00F55418">
            <w:pPr>
              <w:rPr>
                <w:rFonts w:cs="Times New Roman"/>
                <w:sz w:val="18"/>
                <w:szCs w:val="18"/>
              </w:rPr>
            </w:pPr>
            <w:r w:rsidRPr="00F55418">
              <w:rPr>
                <w:rFonts w:cs="Times New Roman"/>
                <w:sz w:val="18"/>
                <w:szCs w:val="18"/>
              </w:rPr>
              <w:t>6. Celkové príjmy</w:t>
            </w:r>
          </w:p>
        </w:tc>
        <w:tc>
          <w:tcPr>
            <w:tcW w:w="1272" w:type="dxa"/>
            <w:tcBorders>
              <w:top w:val="single" w:sz="6" w:space="0" w:color="auto"/>
              <w:left w:val="nil"/>
              <w:bottom w:val="nil"/>
              <w:right w:val="nil"/>
            </w:tcBorders>
            <w:shd w:val="clear" w:color="auto" w:fill="auto"/>
            <w:vAlign w:val="center"/>
            <w:hideMark/>
          </w:tcPr>
          <w:p w14:paraId="6BC3E578" w14:textId="77777777" w:rsidR="00F55418" w:rsidRPr="00F55418" w:rsidRDefault="00F55418" w:rsidP="00F55418">
            <w:pPr>
              <w:jc w:val="center"/>
              <w:rPr>
                <w:rFonts w:cs="Times New Roman"/>
                <w:sz w:val="18"/>
                <w:szCs w:val="18"/>
              </w:rPr>
            </w:pPr>
            <w:r w:rsidRPr="00F55418">
              <w:rPr>
                <w:rFonts w:cs="Times New Roman"/>
                <w:sz w:val="18"/>
                <w:szCs w:val="18"/>
              </w:rPr>
              <w:t>TR</w:t>
            </w:r>
          </w:p>
        </w:tc>
        <w:tc>
          <w:tcPr>
            <w:tcW w:w="784" w:type="dxa"/>
            <w:tcBorders>
              <w:top w:val="nil"/>
              <w:left w:val="nil"/>
              <w:bottom w:val="nil"/>
              <w:right w:val="nil"/>
            </w:tcBorders>
            <w:shd w:val="clear" w:color="auto" w:fill="auto"/>
            <w:hideMark/>
          </w:tcPr>
          <w:p w14:paraId="55471A10" w14:textId="54AC73AC" w:rsidR="00F55418" w:rsidRPr="00F55418" w:rsidRDefault="00F55418" w:rsidP="00F55418">
            <w:pPr>
              <w:jc w:val="center"/>
              <w:rPr>
                <w:rFonts w:cs="Times New Roman"/>
                <w:sz w:val="18"/>
                <w:szCs w:val="18"/>
              </w:rPr>
            </w:pPr>
            <w:r w:rsidRPr="00F55418">
              <w:rPr>
                <w:sz w:val="18"/>
                <w:szCs w:val="18"/>
              </w:rPr>
              <w:t>36 017</w:t>
            </w:r>
          </w:p>
        </w:tc>
        <w:tc>
          <w:tcPr>
            <w:tcW w:w="747" w:type="dxa"/>
            <w:tcBorders>
              <w:top w:val="nil"/>
              <w:left w:val="nil"/>
              <w:bottom w:val="nil"/>
              <w:right w:val="nil"/>
            </w:tcBorders>
            <w:shd w:val="clear" w:color="auto" w:fill="auto"/>
            <w:hideMark/>
          </w:tcPr>
          <w:p w14:paraId="23BFC031" w14:textId="4E4B4005" w:rsidR="00F55418" w:rsidRPr="00F55418" w:rsidRDefault="00F55418" w:rsidP="00F55418">
            <w:pPr>
              <w:jc w:val="center"/>
              <w:rPr>
                <w:rFonts w:cs="Times New Roman"/>
                <w:sz w:val="18"/>
                <w:szCs w:val="18"/>
              </w:rPr>
            </w:pPr>
            <w:r w:rsidRPr="00F55418">
              <w:rPr>
                <w:sz w:val="18"/>
                <w:szCs w:val="18"/>
              </w:rPr>
              <w:t>39,9</w:t>
            </w:r>
          </w:p>
        </w:tc>
        <w:tc>
          <w:tcPr>
            <w:tcW w:w="820" w:type="dxa"/>
            <w:tcBorders>
              <w:top w:val="nil"/>
              <w:left w:val="nil"/>
              <w:bottom w:val="nil"/>
              <w:right w:val="nil"/>
            </w:tcBorders>
            <w:shd w:val="clear" w:color="auto" w:fill="auto"/>
            <w:hideMark/>
          </w:tcPr>
          <w:p w14:paraId="0E3CCC41" w14:textId="3D2CFC2B" w:rsidR="00F55418" w:rsidRPr="00F55418" w:rsidRDefault="00F55418" w:rsidP="00F55418">
            <w:pPr>
              <w:jc w:val="center"/>
              <w:rPr>
                <w:rFonts w:cs="Times New Roman"/>
                <w:sz w:val="18"/>
                <w:szCs w:val="18"/>
              </w:rPr>
            </w:pPr>
            <w:r w:rsidRPr="00F55418">
              <w:rPr>
                <w:sz w:val="18"/>
                <w:szCs w:val="18"/>
              </w:rPr>
              <w:t>39,9</w:t>
            </w:r>
          </w:p>
        </w:tc>
        <w:tc>
          <w:tcPr>
            <w:tcW w:w="684" w:type="dxa"/>
            <w:tcBorders>
              <w:top w:val="nil"/>
              <w:left w:val="nil"/>
              <w:bottom w:val="nil"/>
              <w:right w:val="nil"/>
            </w:tcBorders>
            <w:shd w:val="clear" w:color="auto" w:fill="auto"/>
            <w:hideMark/>
          </w:tcPr>
          <w:p w14:paraId="4D7492C8" w14:textId="0D64C0CA" w:rsidR="00F55418" w:rsidRPr="00F55418" w:rsidRDefault="00F55418" w:rsidP="00F55418">
            <w:pPr>
              <w:jc w:val="center"/>
              <w:rPr>
                <w:rFonts w:cs="Times New Roman"/>
                <w:sz w:val="18"/>
                <w:szCs w:val="18"/>
              </w:rPr>
            </w:pPr>
            <w:r w:rsidRPr="00F55418">
              <w:rPr>
                <w:sz w:val="18"/>
                <w:szCs w:val="18"/>
              </w:rPr>
              <w:t>38,4</w:t>
            </w:r>
          </w:p>
        </w:tc>
        <w:tc>
          <w:tcPr>
            <w:tcW w:w="659" w:type="dxa"/>
            <w:tcBorders>
              <w:top w:val="nil"/>
              <w:left w:val="nil"/>
              <w:bottom w:val="nil"/>
              <w:right w:val="nil"/>
            </w:tcBorders>
            <w:shd w:val="clear" w:color="auto" w:fill="auto"/>
            <w:hideMark/>
          </w:tcPr>
          <w:p w14:paraId="0C2FF334" w14:textId="00077D84" w:rsidR="00F55418" w:rsidRPr="00F55418" w:rsidRDefault="00F55418" w:rsidP="00F55418">
            <w:pPr>
              <w:jc w:val="center"/>
              <w:rPr>
                <w:rFonts w:cs="Times New Roman"/>
                <w:sz w:val="18"/>
                <w:szCs w:val="18"/>
              </w:rPr>
            </w:pPr>
            <w:r w:rsidRPr="00F55418">
              <w:rPr>
                <w:sz w:val="18"/>
                <w:szCs w:val="18"/>
              </w:rPr>
              <w:t>37,9</w:t>
            </w:r>
          </w:p>
        </w:tc>
        <w:tc>
          <w:tcPr>
            <w:tcW w:w="638" w:type="dxa"/>
            <w:tcBorders>
              <w:top w:val="nil"/>
              <w:left w:val="nil"/>
              <w:bottom w:val="nil"/>
              <w:right w:val="nil"/>
            </w:tcBorders>
            <w:shd w:val="clear" w:color="auto" w:fill="auto"/>
            <w:hideMark/>
          </w:tcPr>
          <w:p w14:paraId="2691BEA0" w14:textId="1764AC80" w:rsidR="00F55418" w:rsidRPr="00F55418" w:rsidRDefault="00F55418" w:rsidP="00F55418">
            <w:pPr>
              <w:jc w:val="center"/>
              <w:rPr>
                <w:rFonts w:cs="Times New Roman"/>
                <w:sz w:val="18"/>
                <w:szCs w:val="18"/>
              </w:rPr>
            </w:pPr>
            <w:r w:rsidRPr="00F55418">
              <w:rPr>
                <w:sz w:val="18"/>
                <w:szCs w:val="18"/>
              </w:rPr>
              <w:t>37,7</w:t>
            </w:r>
          </w:p>
        </w:tc>
      </w:tr>
      <w:tr w:rsidR="00F55418" w:rsidRPr="00F55418" w14:paraId="26882DD7" w14:textId="77777777" w:rsidTr="00304C90">
        <w:trPr>
          <w:trHeight w:val="283"/>
        </w:trPr>
        <w:tc>
          <w:tcPr>
            <w:tcW w:w="3519" w:type="dxa"/>
            <w:tcBorders>
              <w:top w:val="nil"/>
              <w:left w:val="nil"/>
              <w:bottom w:val="nil"/>
              <w:right w:val="nil"/>
            </w:tcBorders>
            <w:shd w:val="clear" w:color="auto" w:fill="auto"/>
            <w:vAlign w:val="center"/>
            <w:hideMark/>
          </w:tcPr>
          <w:p w14:paraId="0F5FAF86" w14:textId="77777777" w:rsidR="00F55418" w:rsidRPr="00F55418" w:rsidRDefault="00F55418" w:rsidP="00F55418">
            <w:pPr>
              <w:rPr>
                <w:rFonts w:cs="Times New Roman"/>
                <w:sz w:val="18"/>
                <w:szCs w:val="18"/>
              </w:rPr>
            </w:pPr>
            <w:r w:rsidRPr="00F55418">
              <w:rPr>
                <w:rFonts w:cs="Times New Roman"/>
                <w:sz w:val="18"/>
                <w:szCs w:val="18"/>
              </w:rPr>
              <w:t>7. Celkové výdavky</w:t>
            </w:r>
          </w:p>
        </w:tc>
        <w:tc>
          <w:tcPr>
            <w:tcW w:w="1272" w:type="dxa"/>
            <w:tcBorders>
              <w:top w:val="nil"/>
              <w:left w:val="nil"/>
              <w:bottom w:val="nil"/>
              <w:right w:val="nil"/>
            </w:tcBorders>
            <w:shd w:val="clear" w:color="auto" w:fill="auto"/>
            <w:vAlign w:val="center"/>
            <w:hideMark/>
          </w:tcPr>
          <w:p w14:paraId="64DD542F" w14:textId="77777777" w:rsidR="00F55418" w:rsidRPr="00F55418" w:rsidRDefault="00F55418" w:rsidP="00F55418">
            <w:pPr>
              <w:jc w:val="center"/>
              <w:rPr>
                <w:rFonts w:cs="Times New Roman"/>
                <w:sz w:val="18"/>
                <w:szCs w:val="18"/>
              </w:rPr>
            </w:pPr>
            <w:r w:rsidRPr="00F55418">
              <w:rPr>
                <w:rFonts w:cs="Times New Roman"/>
                <w:sz w:val="18"/>
                <w:szCs w:val="18"/>
              </w:rPr>
              <w:t xml:space="preserve">TE </w:t>
            </w:r>
            <w:r w:rsidRPr="00F55418">
              <w:rPr>
                <w:rFonts w:cs="Times New Roman"/>
                <w:sz w:val="18"/>
                <w:szCs w:val="18"/>
                <w:vertAlign w:val="superscript"/>
              </w:rPr>
              <w:t>[1]</w:t>
            </w:r>
          </w:p>
        </w:tc>
        <w:tc>
          <w:tcPr>
            <w:tcW w:w="784" w:type="dxa"/>
            <w:tcBorders>
              <w:top w:val="nil"/>
              <w:left w:val="nil"/>
              <w:bottom w:val="nil"/>
              <w:right w:val="nil"/>
            </w:tcBorders>
            <w:shd w:val="clear" w:color="auto" w:fill="auto"/>
            <w:hideMark/>
          </w:tcPr>
          <w:p w14:paraId="19F38B3C" w14:textId="3850792E" w:rsidR="00F55418" w:rsidRPr="00F55418" w:rsidRDefault="00F55418" w:rsidP="00F55418">
            <w:pPr>
              <w:jc w:val="center"/>
              <w:rPr>
                <w:rFonts w:cs="Times New Roman"/>
                <w:sz w:val="18"/>
                <w:szCs w:val="18"/>
              </w:rPr>
            </w:pPr>
            <w:r w:rsidRPr="00F55418">
              <w:rPr>
                <w:sz w:val="18"/>
                <w:szCs w:val="18"/>
              </w:rPr>
              <w:t>36 646</w:t>
            </w:r>
          </w:p>
        </w:tc>
        <w:tc>
          <w:tcPr>
            <w:tcW w:w="747" w:type="dxa"/>
            <w:tcBorders>
              <w:top w:val="nil"/>
              <w:left w:val="nil"/>
              <w:bottom w:val="nil"/>
              <w:right w:val="nil"/>
            </w:tcBorders>
            <w:shd w:val="clear" w:color="auto" w:fill="auto"/>
            <w:hideMark/>
          </w:tcPr>
          <w:p w14:paraId="2F312F73" w14:textId="45D5479A" w:rsidR="00F55418" w:rsidRPr="00F55418" w:rsidRDefault="00F55418" w:rsidP="00F55418">
            <w:pPr>
              <w:jc w:val="center"/>
              <w:rPr>
                <w:rFonts w:cs="Times New Roman"/>
                <w:sz w:val="18"/>
                <w:szCs w:val="18"/>
              </w:rPr>
            </w:pPr>
            <w:r w:rsidRPr="00F55418">
              <w:rPr>
                <w:sz w:val="18"/>
                <w:szCs w:val="18"/>
              </w:rPr>
              <w:t>40,6</w:t>
            </w:r>
          </w:p>
        </w:tc>
        <w:tc>
          <w:tcPr>
            <w:tcW w:w="820" w:type="dxa"/>
            <w:tcBorders>
              <w:top w:val="nil"/>
              <w:left w:val="nil"/>
              <w:bottom w:val="nil"/>
              <w:right w:val="nil"/>
            </w:tcBorders>
            <w:shd w:val="clear" w:color="auto" w:fill="auto"/>
            <w:hideMark/>
          </w:tcPr>
          <w:p w14:paraId="0CF62087" w14:textId="116DC6DE" w:rsidR="00F55418" w:rsidRPr="00F55418" w:rsidRDefault="00F55418" w:rsidP="00F55418">
            <w:pPr>
              <w:jc w:val="center"/>
              <w:rPr>
                <w:rFonts w:cs="Times New Roman"/>
                <w:sz w:val="18"/>
                <w:szCs w:val="18"/>
              </w:rPr>
            </w:pPr>
            <w:r w:rsidRPr="00F55418">
              <w:rPr>
                <w:sz w:val="18"/>
                <w:szCs w:val="18"/>
              </w:rPr>
              <w:t>40,6</w:t>
            </w:r>
          </w:p>
        </w:tc>
        <w:tc>
          <w:tcPr>
            <w:tcW w:w="684" w:type="dxa"/>
            <w:tcBorders>
              <w:top w:val="nil"/>
              <w:left w:val="nil"/>
              <w:bottom w:val="nil"/>
              <w:right w:val="nil"/>
            </w:tcBorders>
            <w:shd w:val="clear" w:color="auto" w:fill="auto"/>
            <w:hideMark/>
          </w:tcPr>
          <w:p w14:paraId="594A9509" w14:textId="42AE02E4" w:rsidR="00F55418" w:rsidRPr="00F55418" w:rsidRDefault="00F55418" w:rsidP="00F55418">
            <w:pPr>
              <w:jc w:val="center"/>
              <w:rPr>
                <w:rFonts w:cs="Times New Roman"/>
                <w:sz w:val="18"/>
                <w:szCs w:val="18"/>
              </w:rPr>
            </w:pPr>
            <w:r w:rsidRPr="00F55418">
              <w:rPr>
                <w:sz w:val="18"/>
                <w:szCs w:val="18"/>
              </w:rPr>
              <w:t>38,4</w:t>
            </w:r>
          </w:p>
        </w:tc>
        <w:tc>
          <w:tcPr>
            <w:tcW w:w="659" w:type="dxa"/>
            <w:tcBorders>
              <w:top w:val="nil"/>
              <w:left w:val="nil"/>
              <w:bottom w:val="nil"/>
              <w:right w:val="nil"/>
            </w:tcBorders>
            <w:shd w:val="clear" w:color="auto" w:fill="auto"/>
            <w:hideMark/>
          </w:tcPr>
          <w:p w14:paraId="1D446ABD" w14:textId="45F51768" w:rsidR="00F55418" w:rsidRPr="00F55418" w:rsidRDefault="00F55418" w:rsidP="00F55418">
            <w:pPr>
              <w:jc w:val="center"/>
              <w:rPr>
                <w:rFonts w:cs="Times New Roman"/>
                <w:sz w:val="18"/>
                <w:szCs w:val="18"/>
              </w:rPr>
            </w:pPr>
            <w:r w:rsidRPr="00F55418">
              <w:rPr>
                <w:sz w:val="18"/>
                <w:szCs w:val="18"/>
              </w:rPr>
              <w:t>37,9</w:t>
            </w:r>
          </w:p>
        </w:tc>
        <w:tc>
          <w:tcPr>
            <w:tcW w:w="638" w:type="dxa"/>
            <w:tcBorders>
              <w:top w:val="nil"/>
              <w:left w:val="nil"/>
              <w:bottom w:val="nil"/>
              <w:right w:val="nil"/>
            </w:tcBorders>
            <w:shd w:val="clear" w:color="auto" w:fill="auto"/>
            <w:hideMark/>
          </w:tcPr>
          <w:p w14:paraId="64BFA0C9" w14:textId="33717D8D" w:rsidR="00F55418" w:rsidRPr="00F55418" w:rsidRDefault="00F55418" w:rsidP="00F55418">
            <w:pPr>
              <w:jc w:val="center"/>
              <w:rPr>
                <w:rFonts w:cs="Times New Roman"/>
                <w:sz w:val="18"/>
                <w:szCs w:val="18"/>
              </w:rPr>
            </w:pPr>
            <w:r w:rsidRPr="00F55418">
              <w:rPr>
                <w:sz w:val="18"/>
                <w:szCs w:val="18"/>
              </w:rPr>
              <w:t>37,7</w:t>
            </w:r>
          </w:p>
        </w:tc>
      </w:tr>
      <w:tr w:rsidR="00F55418" w:rsidRPr="00F55418" w14:paraId="2677271B" w14:textId="77777777" w:rsidTr="00304C90">
        <w:trPr>
          <w:trHeight w:val="283"/>
        </w:trPr>
        <w:tc>
          <w:tcPr>
            <w:tcW w:w="3519" w:type="dxa"/>
            <w:tcBorders>
              <w:top w:val="nil"/>
              <w:left w:val="nil"/>
              <w:bottom w:val="nil"/>
              <w:right w:val="nil"/>
            </w:tcBorders>
            <w:shd w:val="clear" w:color="auto" w:fill="auto"/>
            <w:vAlign w:val="center"/>
            <w:hideMark/>
          </w:tcPr>
          <w:p w14:paraId="51535D62" w14:textId="77777777" w:rsidR="00F55418" w:rsidRPr="00F55418" w:rsidRDefault="00F55418" w:rsidP="00F55418">
            <w:pPr>
              <w:rPr>
                <w:rFonts w:cs="Times New Roman"/>
                <w:sz w:val="18"/>
                <w:szCs w:val="18"/>
              </w:rPr>
            </w:pPr>
            <w:r w:rsidRPr="00F55418">
              <w:rPr>
                <w:rFonts w:cs="Times New Roman"/>
                <w:sz w:val="18"/>
                <w:szCs w:val="18"/>
              </w:rPr>
              <w:t>8. Čisté pôžičky poskytnuté / prijaté</w:t>
            </w:r>
          </w:p>
        </w:tc>
        <w:tc>
          <w:tcPr>
            <w:tcW w:w="1272" w:type="dxa"/>
            <w:tcBorders>
              <w:top w:val="nil"/>
              <w:left w:val="nil"/>
              <w:bottom w:val="nil"/>
              <w:right w:val="nil"/>
            </w:tcBorders>
            <w:shd w:val="clear" w:color="auto" w:fill="auto"/>
            <w:vAlign w:val="center"/>
            <w:hideMark/>
          </w:tcPr>
          <w:p w14:paraId="06324EFF" w14:textId="77777777" w:rsidR="00F55418" w:rsidRPr="00F55418" w:rsidRDefault="00F55418" w:rsidP="00F55418">
            <w:pPr>
              <w:jc w:val="center"/>
              <w:rPr>
                <w:rFonts w:cs="Times New Roman"/>
                <w:sz w:val="18"/>
                <w:szCs w:val="18"/>
              </w:rPr>
            </w:pPr>
            <w:r w:rsidRPr="00F55418">
              <w:rPr>
                <w:rFonts w:cs="Times New Roman"/>
                <w:sz w:val="18"/>
                <w:szCs w:val="18"/>
              </w:rPr>
              <w:t>B.9</w:t>
            </w:r>
          </w:p>
        </w:tc>
        <w:tc>
          <w:tcPr>
            <w:tcW w:w="784" w:type="dxa"/>
            <w:tcBorders>
              <w:top w:val="nil"/>
              <w:left w:val="nil"/>
              <w:bottom w:val="nil"/>
              <w:right w:val="nil"/>
            </w:tcBorders>
            <w:shd w:val="clear" w:color="auto" w:fill="auto"/>
            <w:hideMark/>
          </w:tcPr>
          <w:p w14:paraId="530D50AC" w14:textId="6E5BD608" w:rsidR="00F55418" w:rsidRPr="00F55418" w:rsidRDefault="00F55418" w:rsidP="00F55418">
            <w:pPr>
              <w:jc w:val="center"/>
              <w:rPr>
                <w:rFonts w:cs="Times New Roman"/>
                <w:sz w:val="18"/>
                <w:szCs w:val="18"/>
              </w:rPr>
            </w:pPr>
            <w:r w:rsidRPr="00F55418">
              <w:rPr>
                <w:sz w:val="18"/>
                <w:szCs w:val="18"/>
              </w:rPr>
              <w:t>-629</w:t>
            </w:r>
          </w:p>
        </w:tc>
        <w:tc>
          <w:tcPr>
            <w:tcW w:w="747" w:type="dxa"/>
            <w:tcBorders>
              <w:top w:val="nil"/>
              <w:left w:val="nil"/>
              <w:bottom w:val="nil"/>
              <w:right w:val="nil"/>
            </w:tcBorders>
            <w:shd w:val="clear" w:color="auto" w:fill="auto"/>
            <w:hideMark/>
          </w:tcPr>
          <w:p w14:paraId="40DCADA0" w14:textId="240A9D34" w:rsidR="00F55418" w:rsidRPr="00F55418" w:rsidRDefault="00F55418" w:rsidP="00F55418">
            <w:pPr>
              <w:jc w:val="center"/>
              <w:rPr>
                <w:rFonts w:cs="Times New Roman"/>
                <w:sz w:val="18"/>
                <w:szCs w:val="18"/>
              </w:rPr>
            </w:pPr>
            <w:r w:rsidRPr="00F55418">
              <w:rPr>
                <w:sz w:val="18"/>
                <w:szCs w:val="18"/>
              </w:rPr>
              <w:t>-0,7</w:t>
            </w:r>
          </w:p>
        </w:tc>
        <w:tc>
          <w:tcPr>
            <w:tcW w:w="820" w:type="dxa"/>
            <w:tcBorders>
              <w:top w:val="nil"/>
              <w:left w:val="nil"/>
              <w:bottom w:val="nil"/>
              <w:right w:val="nil"/>
            </w:tcBorders>
            <w:shd w:val="clear" w:color="auto" w:fill="auto"/>
            <w:hideMark/>
          </w:tcPr>
          <w:p w14:paraId="6CFDB67A" w14:textId="464A5B99" w:rsidR="00F55418" w:rsidRPr="00F55418" w:rsidRDefault="00F55418" w:rsidP="00F55418">
            <w:pPr>
              <w:jc w:val="center"/>
              <w:rPr>
                <w:rFonts w:cs="Times New Roman"/>
                <w:sz w:val="18"/>
                <w:szCs w:val="18"/>
              </w:rPr>
            </w:pPr>
            <w:r w:rsidRPr="00F55418">
              <w:rPr>
                <w:sz w:val="18"/>
                <w:szCs w:val="18"/>
              </w:rPr>
              <w:t>-0,7</w:t>
            </w:r>
          </w:p>
        </w:tc>
        <w:tc>
          <w:tcPr>
            <w:tcW w:w="684" w:type="dxa"/>
            <w:tcBorders>
              <w:top w:val="nil"/>
              <w:left w:val="nil"/>
              <w:bottom w:val="nil"/>
              <w:right w:val="nil"/>
            </w:tcBorders>
            <w:shd w:val="clear" w:color="auto" w:fill="auto"/>
            <w:hideMark/>
          </w:tcPr>
          <w:p w14:paraId="5C4E60FA" w14:textId="41E61704" w:rsidR="00F55418" w:rsidRPr="00F55418" w:rsidRDefault="00F55418" w:rsidP="00F55418">
            <w:pPr>
              <w:jc w:val="center"/>
              <w:rPr>
                <w:rFonts w:cs="Times New Roman"/>
                <w:sz w:val="18"/>
                <w:szCs w:val="18"/>
              </w:rPr>
            </w:pPr>
            <w:r w:rsidRPr="00F55418">
              <w:rPr>
                <w:sz w:val="18"/>
                <w:szCs w:val="18"/>
              </w:rPr>
              <w:t>0,0</w:t>
            </w:r>
          </w:p>
        </w:tc>
        <w:tc>
          <w:tcPr>
            <w:tcW w:w="659" w:type="dxa"/>
            <w:tcBorders>
              <w:top w:val="nil"/>
              <w:left w:val="nil"/>
              <w:bottom w:val="nil"/>
              <w:right w:val="nil"/>
            </w:tcBorders>
            <w:shd w:val="clear" w:color="auto" w:fill="auto"/>
            <w:hideMark/>
          </w:tcPr>
          <w:p w14:paraId="45EB3DFF" w14:textId="3630E814" w:rsidR="00F55418" w:rsidRPr="00F55418" w:rsidRDefault="00F55418" w:rsidP="00F55418">
            <w:pPr>
              <w:jc w:val="center"/>
              <w:rPr>
                <w:rFonts w:cs="Times New Roman"/>
                <w:sz w:val="18"/>
                <w:szCs w:val="18"/>
              </w:rPr>
            </w:pPr>
            <w:r w:rsidRPr="00F55418">
              <w:rPr>
                <w:sz w:val="18"/>
                <w:szCs w:val="18"/>
              </w:rPr>
              <w:t>0,0</w:t>
            </w:r>
          </w:p>
        </w:tc>
        <w:tc>
          <w:tcPr>
            <w:tcW w:w="638" w:type="dxa"/>
            <w:tcBorders>
              <w:top w:val="nil"/>
              <w:left w:val="nil"/>
              <w:bottom w:val="nil"/>
              <w:right w:val="nil"/>
            </w:tcBorders>
            <w:shd w:val="clear" w:color="auto" w:fill="auto"/>
            <w:hideMark/>
          </w:tcPr>
          <w:p w14:paraId="6CB63E0B" w14:textId="09E7B849" w:rsidR="00F55418" w:rsidRPr="00F55418" w:rsidRDefault="00F55418" w:rsidP="00F55418">
            <w:pPr>
              <w:jc w:val="center"/>
              <w:rPr>
                <w:rFonts w:cs="Times New Roman"/>
                <w:sz w:val="18"/>
                <w:szCs w:val="18"/>
              </w:rPr>
            </w:pPr>
            <w:r w:rsidRPr="00F55418">
              <w:rPr>
                <w:sz w:val="18"/>
                <w:szCs w:val="18"/>
              </w:rPr>
              <w:t>0,0</w:t>
            </w:r>
          </w:p>
        </w:tc>
      </w:tr>
      <w:tr w:rsidR="00F55418" w:rsidRPr="00F55418" w14:paraId="31FBA6EC" w14:textId="77777777" w:rsidTr="00304C90">
        <w:trPr>
          <w:trHeight w:val="283"/>
        </w:trPr>
        <w:tc>
          <w:tcPr>
            <w:tcW w:w="3519" w:type="dxa"/>
            <w:tcBorders>
              <w:top w:val="nil"/>
              <w:left w:val="nil"/>
              <w:bottom w:val="nil"/>
              <w:right w:val="nil"/>
            </w:tcBorders>
            <w:shd w:val="clear" w:color="auto" w:fill="auto"/>
            <w:vAlign w:val="center"/>
            <w:hideMark/>
          </w:tcPr>
          <w:p w14:paraId="4423FB11" w14:textId="77777777" w:rsidR="00F55418" w:rsidRPr="00F55418" w:rsidRDefault="00F55418" w:rsidP="00F55418">
            <w:pPr>
              <w:rPr>
                <w:rFonts w:cs="Times New Roman"/>
                <w:sz w:val="18"/>
                <w:szCs w:val="18"/>
              </w:rPr>
            </w:pPr>
            <w:r w:rsidRPr="00F55418">
              <w:rPr>
                <w:rFonts w:cs="Times New Roman"/>
                <w:sz w:val="18"/>
                <w:szCs w:val="18"/>
              </w:rPr>
              <w:t>9. Úrokové náklady</w:t>
            </w:r>
          </w:p>
        </w:tc>
        <w:tc>
          <w:tcPr>
            <w:tcW w:w="1272" w:type="dxa"/>
            <w:tcBorders>
              <w:top w:val="nil"/>
              <w:left w:val="nil"/>
              <w:bottom w:val="nil"/>
              <w:right w:val="nil"/>
            </w:tcBorders>
            <w:shd w:val="clear" w:color="auto" w:fill="auto"/>
            <w:vAlign w:val="center"/>
            <w:hideMark/>
          </w:tcPr>
          <w:p w14:paraId="3363A739" w14:textId="77777777" w:rsidR="00F55418" w:rsidRPr="00F55418" w:rsidRDefault="00F55418" w:rsidP="00F55418">
            <w:pPr>
              <w:jc w:val="center"/>
              <w:rPr>
                <w:rFonts w:cs="Times New Roman"/>
                <w:sz w:val="18"/>
                <w:szCs w:val="18"/>
              </w:rPr>
            </w:pPr>
            <w:r w:rsidRPr="00F55418">
              <w:rPr>
                <w:rFonts w:cs="Times New Roman"/>
                <w:sz w:val="18"/>
                <w:szCs w:val="18"/>
              </w:rPr>
              <w:t>D.41</w:t>
            </w:r>
          </w:p>
        </w:tc>
        <w:tc>
          <w:tcPr>
            <w:tcW w:w="784" w:type="dxa"/>
            <w:tcBorders>
              <w:top w:val="nil"/>
              <w:left w:val="nil"/>
              <w:bottom w:val="nil"/>
              <w:right w:val="nil"/>
            </w:tcBorders>
            <w:shd w:val="clear" w:color="auto" w:fill="auto"/>
            <w:hideMark/>
          </w:tcPr>
          <w:p w14:paraId="11130CB4" w14:textId="17B14C94" w:rsidR="00F55418" w:rsidRPr="00F55418" w:rsidRDefault="00F55418" w:rsidP="00F55418">
            <w:pPr>
              <w:jc w:val="center"/>
              <w:rPr>
                <w:rFonts w:cs="Times New Roman"/>
                <w:sz w:val="18"/>
                <w:szCs w:val="18"/>
              </w:rPr>
            </w:pPr>
            <w:r w:rsidRPr="00F55418">
              <w:rPr>
                <w:sz w:val="18"/>
                <w:szCs w:val="18"/>
              </w:rPr>
              <w:t>1 176</w:t>
            </w:r>
          </w:p>
        </w:tc>
        <w:tc>
          <w:tcPr>
            <w:tcW w:w="747" w:type="dxa"/>
            <w:tcBorders>
              <w:top w:val="nil"/>
              <w:left w:val="nil"/>
              <w:bottom w:val="nil"/>
              <w:right w:val="nil"/>
            </w:tcBorders>
            <w:shd w:val="clear" w:color="auto" w:fill="auto"/>
            <w:hideMark/>
          </w:tcPr>
          <w:p w14:paraId="22DB0473" w14:textId="57E2E069" w:rsidR="00F55418" w:rsidRPr="00F55418" w:rsidRDefault="00F55418" w:rsidP="00F55418">
            <w:pPr>
              <w:jc w:val="center"/>
              <w:rPr>
                <w:rFonts w:cs="Times New Roman"/>
                <w:sz w:val="18"/>
                <w:szCs w:val="18"/>
              </w:rPr>
            </w:pPr>
            <w:r w:rsidRPr="00F55418">
              <w:rPr>
                <w:sz w:val="18"/>
                <w:szCs w:val="18"/>
              </w:rPr>
              <w:t>1,3</w:t>
            </w:r>
          </w:p>
        </w:tc>
        <w:tc>
          <w:tcPr>
            <w:tcW w:w="820" w:type="dxa"/>
            <w:tcBorders>
              <w:top w:val="nil"/>
              <w:left w:val="nil"/>
              <w:bottom w:val="nil"/>
              <w:right w:val="nil"/>
            </w:tcBorders>
            <w:shd w:val="clear" w:color="auto" w:fill="auto"/>
            <w:hideMark/>
          </w:tcPr>
          <w:p w14:paraId="474665F3" w14:textId="5348B550" w:rsidR="00F55418" w:rsidRPr="00F55418" w:rsidRDefault="00F55418" w:rsidP="00F55418">
            <w:pPr>
              <w:jc w:val="center"/>
              <w:rPr>
                <w:rFonts w:cs="Times New Roman"/>
                <w:sz w:val="18"/>
                <w:szCs w:val="18"/>
              </w:rPr>
            </w:pPr>
            <w:r w:rsidRPr="00F55418">
              <w:rPr>
                <w:sz w:val="18"/>
                <w:szCs w:val="18"/>
              </w:rPr>
              <w:t>1,3</w:t>
            </w:r>
          </w:p>
        </w:tc>
        <w:tc>
          <w:tcPr>
            <w:tcW w:w="684" w:type="dxa"/>
            <w:tcBorders>
              <w:top w:val="nil"/>
              <w:left w:val="nil"/>
              <w:bottom w:val="nil"/>
              <w:right w:val="nil"/>
            </w:tcBorders>
            <w:shd w:val="clear" w:color="auto" w:fill="auto"/>
            <w:hideMark/>
          </w:tcPr>
          <w:p w14:paraId="72C201A0" w14:textId="410C1AF1" w:rsidR="00F55418" w:rsidRPr="00F55418" w:rsidRDefault="00F55418" w:rsidP="00F55418">
            <w:pPr>
              <w:jc w:val="center"/>
              <w:rPr>
                <w:rFonts w:cs="Times New Roman"/>
                <w:sz w:val="18"/>
                <w:szCs w:val="18"/>
              </w:rPr>
            </w:pPr>
            <w:r w:rsidRPr="00F55418">
              <w:rPr>
                <w:sz w:val="18"/>
                <w:szCs w:val="18"/>
              </w:rPr>
              <w:t>1,1</w:t>
            </w:r>
          </w:p>
        </w:tc>
        <w:tc>
          <w:tcPr>
            <w:tcW w:w="659" w:type="dxa"/>
            <w:tcBorders>
              <w:top w:val="nil"/>
              <w:left w:val="nil"/>
              <w:bottom w:val="nil"/>
              <w:right w:val="nil"/>
            </w:tcBorders>
            <w:shd w:val="clear" w:color="auto" w:fill="auto"/>
            <w:hideMark/>
          </w:tcPr>
          <w:p w14:paraId="17C55BFA" w14:textId="283393A6" w:rsidR="00F55418" w:rsidRPr="00F55418" w:rsidRDefault="00F55418" w:rsidP="00F55418">
            <w:pPr>
              <w:jc w:val="center"/>
              <w:rPr>
                <w:rFonts w:cs="Times New Roman"/>
                <w:sz w:val="18"/>
                <w:szCs w:val="18"/>
              </w:rPr>
            </w:pPr>
            <w:r w:rsidRPr="00F55418">
              <w:rPr>
                <w:sz w:val="18"/>
                <w:szCs w:val="18"/>
              </w:rPr>
              <w:t>1,0</w:t>
            </w:r>
          </w:p>
        </w:tc>
        <w:tc>
          <w:tcPr>
            <w:tcW w:w="638" w:type="dxa"/>
            <w:tcBorders>
              <w:top w:val="nil"/>
              <w:left w:val="nil"/>
              <w:bottom w:val="nil"/>
              <w:right w:val="nil"/>
            </w:tcBorders>
            <w:shd w:val="clear" w:color="auto" w:fill="auto"/>
            <w:hideMark/>
          </w:tcPr>
          <w:p w14:paraId="09663B3F" w14:textId="5FADD98A" w:rsidR="00F55418" w:rsidRPr="00F55418" w:rsidRDefault="00F55418" w:rsidP="00F55418">
            <w:pPr>
              <w:jc w:val="center"/>
              <w:rPr>
                <w:rFonts w:cs="Times New Roman"/>
                <w:sz w:val="18"/>
                <w:szCs w:val="18"/>
              </w:rPr>
            </w:pPr>
            <w:r w:rsidRPr="00F55418">
              <w:rPr>
                <w:sz w:val="18"/>
                <w:szCs w:val="18"/>
              </w:rPr>
              <w:t>1,0</w:t>
            </w:r>
          </w:p>
        </w:tc>
      </w:tr>
      <w:tr w:rsidR="00F55418" w:rsidRPr="00F55418" w14:paraId="2BEF1831" w14:textId="77777777" w:rsidTr="00304C90">
        <w:trPr>
          <w:trHeight w:val="283"/>
        </w:trPr>
        <w:tc>
          <w:tcPr>
            <w:tcW w:w="3519" w:type="dxa"/>
            <w:tcBorders>
              <w:top w:val="nil"/>
              <w:left w:val="nil"/>
              <w:bottom w:val="nil"/>
              <w:right w:val="nil"/>
            </w:tcBorders>
            <w:shd w:val="clear" w:color="auto" w:fill="auto"/>
            <w:vAlign w:val="center"/>
            <w:hideMark/>
          </w:tcPr>
          <w:p w14:paraId="1E3F66B5" w14:textId="77777777" w:rsidR="00F55418" w:rsidRPr="00F55418" w:rsidRDefault="00F55418" w:rsidP="00F55418">
            <w:pPr>
              <w:rPr>
                <w:rFonts w:cs="Times New Roman"/>
                <w:sz w:val="18"/>
                <w:szCs w:val="18"/>
              </w:rPr>
            </w:pPr>
            <w:r w:rsidRPr="00F55418">
              <w:rPr>
                <w:rFonts w:cs="Times New Roman"/>
                <w:sz w:val="18"/>
                <w:szCs w:val="18"/>
              </w:rPr>
              <w:t>10. Primárne saldo</w:t>
            </w:r>
          </w:p>
        </w:tc>
        <w:tc>
          <w:tcPr>
            <w:tcW w:w="1272" w:type="dxa"/>
            <w:tcBorders>
              <w:top w:val="nil"/>
              <w:left w:val="nil"/>
              <w:bottom w:val="nil"/>
              <w:right w:val="nil"/>
            </w:tcBorders>
            <w:shd w:val="clear" w:color="auto" w:fill="auto"/>
            <w:vAlign w:val="center"/>
            <w:hideMark/>
          </w:tcPr>
          <w:p w14:paraId="0153DF5C" w14:textId="77777777" w:rsidR="00F55418" w:rsidRPr="00F55418" w:rsidRDefault="00F55418" w:rsidP="00F55418">
            <w:pPr>
              <w:jc w:val="center"/>
              <w:rPr>
                <w:rFonts w:cs="Times New Roman"/>
                <w:sz w:val="18"/>
                <w:szCs w:val="18"/>
              </w:rPr>
            </w:pPr>
            <w:r w:rsidRPr="00F55418">
              <w:rPr>
                <w:rFonts w:cs="Times New Roman"/>
                <w:sz w:val="18"/>
                <w:szCs w:val="18"/>
                <w:vertAlign w:val="superscript"/>
              </w:rPr>
              <w:t>[2]</w:t>
            </w:r>
          </w:p>
        </w:tc>
        <w:tc>
          <w:tcPr>
            <w:tcW w:w="784" w:type="dxa"/>
            <w:tcBorders>
              <w:top w:val="nil"/>
              <w:left w:val="nil"/>
              <w:bottom w:val="nil"/>
              <w:right w:val="nil"/>
            </w:tcBorders>
            <w:shd w:val="clear" w:color="auto" w:fill="auto"/>
            <w:hideMark/>
          </w:tcPr>
          <w:p w14:paraId="09AC8958" w14:textId="50A5A80D" w:rsidR="00F55418" w:rsidRPr="00F55418" w:rsidRDefault="00F55418" w:rsidP="00F55418">
            <w:pPr>
              <w:jc w:val="center"/>
              <w:rPr>
                <w:rFonts w:cs="Times New Roman"/>
                <w:sz w:val="18"/>
                <w:szCs w:val="18"/>
              </w:rPr>
            </w:pPr>
            <w:r w:rsidRPr="00F55418">
              <w:rPr>
                <w:sz w:val="18"/>
                <w:szCs w:val="18"/>
              </w:rPr>
              <w:t>546,2</w:t>
            </w:r>
          </w:p>
        </w:tc>
        <w:tc>
          <w:tcPr>
            <w:tcW w:w="747" w:type="dxa"/>
            <w:tcBorders>
              <w:top w:val="nil"/>
              <w:left w:val="nil"/>
              <w:bottom w:val="nil"/>
              <w:right w:val="nil"/>
            </w:tcBorders>
            <w:shd w:val="clear" w:color="auto" w:fill="auto"/>
            <w:hideMark/>
          </w:tcPr>
          <w:p w14:paraId="3B1D9BEF" w14:textId="188A4DFF" w:rsidR="00F55418" w:rsidRPr="00F55418" w:rsidRDefault="00F55418" w:rsidP="00F55418">
            <w:pPr>
              <w:jc w:val="center"/>
              <w:rPr>
                <w:rFonts w:cs="Times New Roman"/>
                <w:sz w:val="18"/>
                <w:szCs w:val="18"/>
              </w:rPr>
            </w:pPr>
            <w:r w:rsidRPr="00F55418">
              <w:rPr>
                <w:sz w:val="18"/>
                <w:szCs w:val="18"/>
              </w:rPr>
              <w:t>0,6</w:t>
            </w:r>
          </w:p>
        </w:tc>
        <w:tc>
          <w:tcPr>
            <w:tcW w:w="820" w:type="dxa"/>
            <w:tcBorders>
              <w:top w:val="nil"/>
              <w:left w:val="nil"/>
              <w:bottom w:val="nil"/>
              <w:right w:val="nil"/>
            </w:tcBorders>
            <w:shd w:val="clear" w:color="auto" w:fill="auto"/>
            <w:hideMark/>
          </w:tcPr>
          <w:p w14:paraId="79F3F02E" w14:textId="5F930BFF" w:rsidR="00F55418" w:rsidRPr="00F55418" w:rsidRDefault="00F55418" w:rsidP="00F55418">
            <w:pPr>
              <w:jc w:val="center"/>
              <w:rPr>
                <w:rFonts w:cs="Times New Roman"/>
                <w:sz w:val="18"/>
                <w:szCs w:val="18"/>
              </w:rPr>
            </w:pPr>
            <w:r w:rsidRPr="00F55418">
              <w:rPr>
                <w:sz w:val="18"/>
                <w:szCs w:val="18"/>
              </w:rPr>
              <w:t>0,6</w:t>
            </w:r>
          </w:p>
        </w:tc>
        <w:tc>
          <w:tcPr>
            <w:tcW w:w="684" w:type="dxa"/>
            <w:tcBorders>
              <w:top w:val="nil"/>
              <w:left w:val="nil"/>
              <w:bottom w:val="nil"/>
              <w:right w:val="nil"/>
            </w:tcBorders>
            <w:shd w:val="clear" w:color="auto" w:fill="auto"/>
            <w:hideMark/>
          </w:tcPr>
          <w:p w14:paraId="1E5220D4" w14:textId="61C0B46B" w:rsidR="00F55418" w:rsidRPr="00F55418" w:rsidRDefault="00F55418" w:rsidP="00F55418">
            <w:pPr>
              <w:jc w:val="center"/>
              <w:rPr>
                <w:rFonts w:cs="Times New Roman"/>
                <w:sz w:val="18"/>
                <w:szCs w:val="18"/>
              </w:rPr>
            </w:pPr>
            <w:r w:rsidRPr="00F55418">
              <w:rPr>
                <w:sz w:val="18"/>
                <w:szCs w:val="18"/>
              </w:rPr>
              <w:t>1,1</w:t>
            </w:r>
          </w:p>
        </w:tc>
        <w:tc>
          <w:tcPr>
            <w:tcW w:w="659" w:type="dxa"/>
            <w:tcBorders>
              <w:top w:val="nil"/>
              <w:left w:val="nil"/>
              <w:bottom w:val="nil"/>
              <w:right w:val="nil"/>
            </w:tcBorders>
            <w:shd w:val="clear" w:color="auto" w:fill="auto"/>
            <w:hideMark/>
          </w:tcPr>
          <w:p w14:paraId="4FC23244" w14:textId="12B65F83" w:rsidR="00F55418" w:rsidRPr="00F55418" w:rsidRDefault="00F55418" w:rsidP="00F55418">
            <w:pPr>
              <w:jc w:val="center"/>
              <w:rPr>
                <w:rFonts w:cs="Times New Roman"/>
                <w:sz w:val="18"/>
                <w:szCs w:val="18"/>
              </w:rPr>
            </w:pPr>
            <w:r w:rsidRPr="00F55418">
              <w:rPr>
                <w:sz w:val="18"/>
                <w:szCs w:val="18"/>
              </w:rPr>
              <w:t>1,0</w:t>
            </w:r>
          </w:p>
        </w:tc>
        <w:tc>
          <w:tcPr>
            <w:tcW w:w="638" w:type="dxa"/>
            <w:tcBorders>
              <w:top w:val="nil"/>
              <w:left w:val="nil"/>
              <w:bottom w:val="nil"/>
              <w:right w:val="nil"/>
            </w:tcBorders>
            <w:shd w:val="clear" w:color="auto" w:fill="auto"/>
            <w:hideMark/>
          </w:tcPr>
          <w:p w14:paraId="680F3EF4" w14:textId="79D9892C" w:rsidR="00F55418" w:rsidRPr="00F55418" w:rsidRDefault="00F55418" w:rsidP="00F55418">
            <w:pPr>
              <w:jc w:val="center"/>
              <w:rPr>
                <w:rFonts w:cs="Times New Roman"/>
                <w:sz w:val="18"/>
                <w:szCs w:val="18"/>
              </w:rPr>
            </w:pPr>
            <w:r w:rsidRPr="00F55418">
              <w:rPr>
                <w:sz w:val="18"/>
                <w:szCs w:val="18"/>
              </w:rPr>
              <w:t>1,0</w:t>
            </w:r>
          </w:p>
        </w:tc>
      </w:tr>
      <w:tr w:rsidR="00F55418" w:rsidRPr="00F55418" w14:paraId="52291CB3" w14:textId="77777777" w:rsidTr="00304C90">
        <w:trPr>
          <w:trHeight w:val="283"/>
        </w:trPr>
        <w:tc>
          <w:tcPr>
            <w:tcW w:w="3519" w:type="dxa"/>
            <w:tcBorders>
              <w:top w:val="nil"/>
              <w:left w:val="nil"/>
              <w:bottom w:val="single" w:sz="4" w:space="0" w:color="auto"/>
              <w:right w:val="nil"/>
            </w:tcBorders>
            <w:shd w:val="clear" w:color="auto" w:fill="auto"/>
            <w:vAlign w:val="center"/>
            <w:hideMark/>
          </w:tcPr>
          <w:p w14:paraId="0E7FEBD1" w14:textId="77777777" w:rsidR="00F55418" w:rsidRPr="00F55418" w:rsidRDefault="00F55418" w:rsidP="00F55418">
            <w:pPr>
              <w:rPr>
                <w:rFonts w:cs="Times New Roman"/>
                <w:sz w:val="18"/>
                <w:szCs w:val="18"/>
              </w:rPr>
            </w:pPr>
            <w:r w:rsidRPr="00F55418">
              <w:rPr>
                <w:rFonts w:cs="Times New Roman"/>
                <w:sz w:val="18"/>
                <w:szCs w:val="18"/>
              </w:rPr>
              <w:t>11. Jednorazové a dočasné efekty</w:t>
            </w:r>
          </w:p>
        </w:tc>
        <w:tc>
          <w:tcPr>
            <w:tcW w:w="1272" w:type="dxa"/>
            <w:tcBorders>
              <w:top w:val="nil"/>
              <w:left w:val="nil"/>
              <w:bottom w:val="single" w:sz="4" w:space="0" w:color="auto"/>
              <w:right w:val="nil"/>
            </w:tcBorders>
            <w:shd w:val="clear" w:color="auto" w:fill="auto"/>
            <w:vAlign w:val="center"/>
            <w:hideMark/>
          </w:tcPr>
          <w:p w14:paraId="5C866680" w14:textId="77777777" w:rsidR="00F55418" w:rsidRPr="00F55418" w:rsidRDefault="00F55418" w:rsidP="00F55418">
            <w:pPr>
              <w:jc w:val="center"/>
              <w:rPr>
                <w:rFonts w:cs="Times New Roman"/>
                <w:sz w:val="18"/>
                <w:szCs w:val="18"/>
              </w:rPr>
            </w:pPr>
            <w:r w:rsidRPr="00F55418">
              <w:rPr>
                <w:rFonts w:cs="Times New Roman"/>
                <w:sz w:val="18"/>
                <w:szCs w:val="18"/>
                <w:vertAlign w:val="superscript"/>
              </w:rPr>
              <w:t>[3]</w:t>
            </w:r>
          </w:p>
        </w:tc>
        <w:tc>
          <w:tcPr>
            <w:tcW w:w="784" w:type="dxa"/>
            <w:tcBorders>
              <w:top w:val="nil"/>
              <w:left w:val="nil"/>
              <w:bottom w:val="nil"/>
              <w:right w:val="nil"/>
            </w:tcBorders>
            <w:shd w:val="clear" w:color="auto" w:fill="auto"/>
            <w:hideMark/>
          </w:tcPr>
          <w:p w14:paraId="2B171178" w14:textId="539A6FE1" w:rsidR="00F55418" w:rsidRPr="00F55418" w:rsidRDefault="00F55418" w:rsidP="00F55418">
            <w:pPr>
              <w:jc w:val="center"/>
              <w:rPr>
                <w:rFonts w:cs="Times New Roman"/>
                <w:sz w:val="18"/>
                <w:szCs w:val="18"/>
              </w:rPr>
            </w:pPr>
            <w:r w:rsidRPr="00F55418">
              <w:rPr>
                <w:sz w:val="18"/>
                <w:szCs w:val="18"/>
              </w:rPr>
              <w:t>0</w:t>
            </w:r>
          </w:p>
        </w:tc>
        <w:tc>
          <w:tcPr>
            <w:tcW w:w="747" w:type="dxa"/>
            <w:tcBorders>
              <w:top w:val="nil"/>
              <w:left w:val="nil"/>
              <w:bottom w:val="nil"/>
              <w:right w:val="nil"/>
            </w:tcBorders>
            <w:shd w:val="clear" w:color="auto" w:fill="auto"/>
            <w:hideMark/>
          </w:tcPr>
          <w:p w14:paraId="2F0601AF" w14:textId="5CBC7F77" w:rsidR="00F55418" w:rsidRPr="00F55418" w:rsidRDefault="00F55418" w:rsidP="00F55418">
            <w:pPr>
              <w:jc w:val="center"/>
              <w:rPr>
                <w:rFonts w:cs="Times New Roman"/>
                <w:sz w:val="18"/>
                <w:szCs w:val="18"/>
              </w:rPr>
            </w:pPr>
            <w:r w:rsidRPr="00F55418">
              <w:rPr>
                <w:sz w:val="18"/>
                <w:szCs w:val="18"/>
              </w:rPr>
              <w:t>0,0</w:t>
            </w:r>
          </w:p>
        </w:tc>
        <w:tc>
          <w:tcPr>
            <w:tcW w:w="820" w:type="dxa"/>
            <w:tcBorders>
              <w:top w:val="nil"/>
              <w:left w:val="nil"/>
              <w:bottom w:val="nil"/>
              <w:right w:val="nil"/>
            </w:tcBorders>
            <w:shd w:val="clear" w:color="auto" w:fill="auto"/>
            <w:hideMark/>
          </w:tcPr>
          <w:p w14:paraId="147B6F4B" w14:textId="3DD22FA2" w:rsidR="00F55418" w:rsidRPr="00F55418" w:rsidRDefault="00F55418" w:rsidP="00F55418">
            <w:pPr>
              <w:jc w:val="center"/>
              <w:rPr>
                <w:rFonts w:cs="Times New Roman"/>
                <w:sz w:val="18"/>
                <w:szCs w:val="18"/>
              </w:rPr>
            </w:pPr>
            <w:r w:rsidRPr="00F55418">
              <w:rPr>
                <w:sz w:val="18"/>
                <w:szCs w:val="18"/>
              </w:rPr>
              <w:t>0,0</w:t>
            </w:r>
          </w:p>
        </w:tc>
        <w:tc>
          <w:tcPr>
            <w:tcW w:w="684" w:type="dxa"/>
            <w:tcBorders>
              <w:top w:val="nil"/>
              <w:left w:val="nil"/>
              <w:bottom w:val="nil"/>
              <w:right w:val="nil"/>
            </w:tcBorders>
            <w:shd w:val="clear" w:color="auto" w:fill="auto"/>
            <w:hideMark/>
          </w:tcPr>
          <w:p w14:paraId="5E69461E" w14:textId="4317F3B9" w:rsidR="00F55418" w:rsidRPr="00F55418" w:rsidRDefault="00F55418" w:rsidP="00F55418">
            <w:pPr>
              <w:jc w:val="center"/>
              <w:rPr>
                <w:rFonts w:cs="Times New Roman"/>
                <w:sz w:val="18"/>
                <w:szCs w:val="18"/>
              </w:rPr>
            </w:pPr>
            <w:r w:rsidRPr="00F55418">
              <w:rPr>
                <w:sz w:val="18"/>
                <w:szCs w:val="18"/>
              </w:rPr>
              <w:t>0,0</w:t>
            </w:r>
          </w:p>
        </w:tc>
        <w:tc>
          <w:tcPr>
            <w:tcW w:w="659" w:type="dxa"/>
            <w:tcBorders>
              <w:top w:val="nil"/>
              <w:left w:val="nil"/>
              <w:bottom w:val="nil"/>
              <w:right w:val="nil"/>
            </w:tcBorders>
            <w:shd w:val="clear" w:color="auto" w:fill="auto"/>
            <w:hideMark/>
          </w:tcPr>
          <w:p w14:paraId="07B3DDBF" w14:textId="25C4C7B3" w:rsidR="00F55418" w:rsidRPr="00F55418" w:rsidRDefault="00F55418" w:rsidP="00F55418">
            <w:pPr>
              <w:jc w:val="center"/>
              <w:rPr>
                <w:rFonts w:cs="Times New Roman"/>
                <w:sz w:val="18"/>
                <w:szCs w:val="18"/>
              </w:rPr>
            </w:pPr>
            <w:r w:rsidRPr="00F55418">
              <w:rPr>
                <w:sz w:val="18"/>
                <w:szCs w:val="18"/>
              </w:rPr>
              <w:t>0,0</w:t>
            </w:r>
          </w:p>
        </w:tc>
        <w:tc>
          <w:tcPr>
            <w:tcW w:w="638" w:type="dxa"/>
            <w:tcBorders>
              <w:top w:val="nil"/>
              <w:left w:val="nil"/>
              <w:bottom w:val="nil"/>
              <w:right w:val="nil"/>
            </w:tcBorders>
            <w:shd w:val="clear" w:color="auto" w:fill="auto"/>
            <w:hideMark/>
          </w:tcPr>
          <w:p w14:paraId="1A4E8AA2" w14:textId="418288BA" w:rsidR="00F55418" w:rsidRPr="00F55418" w:rsidRDefault="00F55418" w:rsidP="00F55418">
            <w:pPr>
              <w:jc w:val="center"/>
              <w:rPr>
                <w:rFonts w:cs="Times New Roman"/>
                <w:sz w:val="18"/>
                <w:szCs w:val="18"/>
              </w:rPr>
            </w:pPr>
            <w:r w:rsidRPr="00F55418">
              <w:rPr>
                <w:sz w:val="18"/>
                <w:szCs w:val="18"/>
              </w:rPr>
              <w:t>0,0</w:t>
            </w:r>
          </w:p>
        </w:tc>
      </w:tr>
      <w:tr w:rsidR="00D73008" w:rsidRPr="00F55418" w14:paraId="2011E048" w14:textId="77777777" w:rsidTr="00387AE5">
        <w:trPr>
          <w:trHeight w:val="283"/>
        </w:trPr>
        <w:tc>
          <w:tcPr>
            <w:tcW w:w="9123" w:type="dxa"/>
            <w:gridSpan w:val="8"/>
            <w:tcBorders>
              <w:top w:val="single" w:sz="4" w:space="0" w:color="auto"/>
              <w:left w:val="nil"/>
              <w:bottom w:val="single" w:sz="6" w:space="0" w:color="auto"/>
              <w:right w:val="nil"/>
            </w:tcBorders>
            <w:shd w:val="clear" w:color="auto" w:fill="auto"/>
            <w:vAlign w:val="center"/>
            <w:hideMark/>
          </w:tcPr>
          <w:p w14:paraId="0E3EF38B" w14:textId="77777777" w:rsidR="00D73008" w:rsidRPr="00F55418" w:rsidRDefault="00D73008" w:rsidP="00387AE5">
            <w:pPr>
              <w:jc w:val="center"/>
              <w:rPr>
                <w:rFonts w:cs="Times New Roman"/>
                <w:b/>
                <w:bCs/>
                <w:sz w:val="18"/>
                <w:szCs w:val="18"/>
              </w:rPr>
            </w:pPr>
            <w:r w:rsidRPr="00F55418">
              <w:rPr>
                <w:rFonts w:cs="Times New Roman"/>
                <w:b/>
                <w:bCs/>
                <w:sz w:val="18"/>
                <w:szCs w:val="18"/>
              </w:rPr>
              <w:t>Vybrané zložky príjmov</w:t>
            </w:r>
          </w:p>
        </w:tc>
      </w:tr>
      <w:tr w:rsidR="00F55418" w:rsidRPr="00F55418" w14:paraId="1DE300FD" w14:textId="77777777" w:rsidTr="00304C90">
        <w:trPr>
          <w:trHeight w:val="283"/>
        </w:trPr>
        <w:tc>
          <w:tcPr>
            <w:tcW w:w="3519" w:type="dxa"/>
            <w:tcBorders>
              <w:top w:val="single" w:sz="6" w:space="0" w:color="auto"/>
              <w:left w:val="nil"/>
              <w:bottom w:val="nil"/>
              <w:right w:val="nil"/>
            </w:tcBorders>
            <w:shd w:val="clear" w:color="auto" w:fill="auto"/>
            <w:vAlign w:val="center"/>
            <w:hideMark/>
          </w:tcPr>
          <w:p w14:paraId="68D5FA41" w14:textId="77777777" w:rsidR="00F55418" w:rsidRPr="00F55418" w:rsidRDefault="00F55418" w:rsidP="00F55418">
            <w:pPr>
              <w:rPr>
                <w:rFonts w:cs="Times New Roman"/>
                <w:sz w:val="18"/>
                <w:szCs w:val="18"/>
              </w:rPr>
            </w:pPr>
            <w:r w:rsidRPr="00F55418">
              <w:rPr>
                <w:rFonts w:cs="Times New Roman"/>
                <w:sz w:val="18"/>
                <w:szCs w:val="18"/>
              </w:rPr>
              <w:t>12. Celkové dane (12=12a+12b+12c)</w:t>
            </w:r>
          </w:p>
        </w:tc>
        <w:tc>
          <w:tcPr>
            <w:tcW w:w="1272" w:type="dxa"/>
            <w:tcBorders>
              <w:top w:val="single" w:sz="6" w:space="0" w:color="auto"/>
              <w:left w:val="nil"/>
              <w:bottom w:val="nil"/>
              <w:right w:val="nil"/>
            </w:tcBorders>
            <w:shd w:val="clear" w:color="auto" w:fill="auto"/>
            <w:hideMark/>
          </w:tcPr>
          <w:p w14:paraId="73EE701E" w14:textId="77777777" w:rsidR="00F55418" w:rsidRPr="00F55418" w:rsidRDefault="00F55418" w:rsidP="00F55418">
            <w:pPr>
              <w:rPr>
                <w:rFonts w:cs="Times New Roman"/>
                <w:sz w:val="18"/>
                <w:szCs w:val="18"/>
              </w:rPr>
            </w:pPr>
          </w:p>
        </w:tc>
        <w:tc>
          <w:tcPr>
            <w:tcW w:w="784" w:type="dxa"/>
            <w:tcBorders>
              <w:top w:val="nil"/>
              <w:left w:val="nil"/>
              <w:bottom w:val="nil"/>
              <w:right w:val="nil"/>
            </w:tcBorders>
            <w:shd w:val="clear" w:color="auto" w:fill="auto"/>
            <w:hideMark/>
          </w:tcPr>
          <w:p w14:paraId="1D502D4E" w14:textId="5046BE93" w:rsidR="00F55418" w:rsidRPr="00F55418" w:rsidRDefault="00F55418" w:rsidP="00F55418">
            <w:pPr>
              <w:jc w:val="center"/>
              <w:rPr>
                <w:rFonts w:cs="Times New Roman"/>
                <w:sz w:val="18"/>
                <w:szCs w:val="18"/>
              </w:rPr>
            </w:pPr>
            <w:r w:rsidRPr="00F55418">
              <w:rPr>
                <w:sz w:val="18"/>
                <w:szCs w:val="18"/>
              </w:rPr>
              <w:t xml:space="preserve"> 16 382   </w:t>
            </w:r>
          </w:p>
        </w:tc>
        <w:tc>
          <w:tcPr>
            <w:tcW w:w="747" w:type="dxa"/>
            <w:tcBorders>
              <w:top w:val="nil"/>
              <w:left w:val="nil"/>
              <w:bottom w:val="nil"/>
              <w:right w:val="nil"/>
            </w:tcBorders>
            <w:shd w:val="clear" w:color="auto" w:fill="auto"/>
            <w:hideMark/>
          </w:tcPr>
          <w:p w14:paraId="27E6CD4C" w14:textId="2957B76B" w:rsidR="00F55418" w:rsidRPr="00F55418" w:rsidRDefault="00F55418" w:rsidP="00F55418">
            <w:pPr>
              <w:jc w:val="center"/>
              <w:rPr>
                <w:rFonts w:cs="Times New Roman"/>
                <w:sz w:val="18"/>
                <w:szCs w:val="18"/>
              </w:rPr>
            </w:pPr>
            <w:r w:rsidRPr="00F55418">
              <w:rPr>
                <w:sz w:val="18"/>
                <w:szCs w:val="18"/>
              </w:rPr>
              <w:t>18,2</w:t>
            </w:r>
          </w:p>
        </w:tc>
        <w:tc>
          <w:tcPr>
            <w:tcW w:w="820" w:type="dxa"/>
            <w:tcBorders>
              <w:top w:val="nil"/>
              <w:left w:val="nil"/>
              <w:bottom w:val="nil"/>
              <w:right w:val="nil"/>
            </w:tcBorders>
            <w:shd w:val="clear" w:color="auto" w:fill="auto"/>
            <w:hideMark/>
          </w:tcPr>
          <w:p w14:paraId="5C5EACC8" w14:textId="7E7F688C" w:rsidR="00F55418" w:rsidRPr="00F55418" w:rsidRDefault="00F55418" w:rsidP="00F55418">
            <w:pPr>
              <w:jc w:val="center"/>
              <w:rPr>
                <w:rFonts w:cs="Times New Roman"/>
                <w:sz w:val="18"/>
                <w:szCs w:val="18"/>
              </w:rPr>
            </w:pPr>
            <w:r w:rsidRPr="00F55418">
              <w:rPr>
                <w:sz w:val="18"/>
                <w:szCs w:val="18"/>
              </w:rPr>
              <w:t>17,9</w:t>
            </w:r>
          </w:p>
        </w:tc>
        <w:tc>
          <w:tcPr>
            <w:tcW w:w="684" w:type="dxa"/>
            <w:tcBorders>
              <w:top w:val="nil"/>
              <w:left w:val="nil"/>
              <w:bottom w:val="nil"/>
              <w:right w:val="nil"/>
            </w:tcBorders>
            <w:shd w:val="clear" w:color="auto" w:fill="auto"/>
            <w:hideMark/>
          </w:tcPr>
          <w:p w14:paraId="37175C22" w14:textId="78387410" w:rsidR="00F55418" w:rsidRPr="00F55418" w:rsidRDefault="00F55418" w:rsidP="00F55418">
            <w:pPr>
              <w:jc w:val="center"/>
              <w:rPr>
                <w:rFonts w:cs="Times New Roman"/>
                <w:sz w:val="18"/>
                <w:szCs w:val="18"/>
              </w:rPr>
            </w:pPr>
            <w:r w:rsidRPr="00F55418">
              <w:rPr>
                <w:sz w:val="18"/>
                <w:szCs w:val="18"/>
              </w:rPr>
              <w:t>18,3</w:t>
            </w:r>
          </w:p>
        </w:tc>
        <w:tc>
          <w:tcPr>
            <w:tcW w:w="659" w:type="dxa"/>
            <w:tcBorders>
              <w:top w:val="nil"/>
              <w:left w:val="nil"/>
              <w:bottom w:val="nil"/>
              <w:right w:val="nil"/>
            </w:tcBorders>
            <w:shd w:val="clear" w:color="auto" w:fill="auto"/>
            <w:hideMark/>
          </w:tcPr>
          <w:p w14:paraId="16365846" w14:textId="52DDF9F2" w:rsidR="00F55418" w:rsidRPr="00F55418" w:rsidRDefault="00F55418" w:rsidP="00F55418">
            <w:pPr>
              <w:jc w:val="center"/>
              <w:rPr>
                <w:rFonts w:cs="Times New Roman"/>
                <w:sz w:val="18"/>
                <w:szCs w:val="18"/>
              </w:rPr>
            </w:pPr>
            <w:r w:rsidRPr="00F55418">
              <w:rPr>
                <w:sz w:val="18"/>
                <w:szCs w:val="18"/>
              </w:rPr>
              <w:t>17,9</w:t>
            </w:r>
          </w:p>
        </w:tc>
        <w:tc>
          <w:tcPr>
            <w:tcW w:w="638" w:type="dxa"/>
            <w:tcBorders>
              <w:top w:val="nil"/>
              <w:left w:val="nil"/>
              <w:bottom w:val="nil"/>
              <w:right w:val="nil"/>
            </w:tcBorders>
            <w:shd w:val="clear" w:color="auto" w:fill="auto"/>
            <w:hideMark/>
          </w:tcPr>
          <w:p w14:paraId="3DE539B1" w14:textId="005E116A" w:rsidR="00F55418" w:rsidRPr="00F55418" w:rsidRDefault="00F55418" w:rsidP="00F55418">
            <w:pPr>
              <w:jc w:val="center"/>
              <w:rPr>
                <w:rFonts w:cs="Times New Roman"/>
                <w:sz w:val="18"/>
                <w:szCs w:val="18"/>
              </w:rPr>
            </w:pPr>
            <w:r w:rsidRPr="00F55418">
              <w:rPr>
                <w:sz w:val="18"/>
                <w:szCs w:val="18"/>
              </w:rPr>
              <w:t>17,7</w:t>
            </w:r>
          </w:p>
        </w:tc>
      </w:tr>
      <w:tr w:rsidR="00F55418" w:rsidRPr="00F55418" w14:paraId="4167B9FA" w14:textId="77777777" w:rsidTr="00304C90">
        <w:trPr>
          <w:trHeight w:val="283"/>
        </w:trPr>
        <w:tc>
          <w:tcPr>
            <w:tcW w:w="3519" w:type="dxa"/>
            <w:tcBorders>
              <w:top w:val="nil"/>
              <w:left w:val="nil"/>
              <w:bottom w:val="nil"/>
              <w:right w:val="nil"/>
            </w:tcBorders>
            <w:shd w:val="clear" w:color="auto" w:fill="auto"/>
            <w:vAlign w:val="center"/>
            <w:hideMark/>
          </w:tcPr>
          <w:p w14:paraId="28A99A8A" w14:textId="77777777" w:rsidR="00F55418" w:rsidRPr="00F55418" w:rsidRDefault="00F55418" w:rsidP="00F55418">
            <w:pPr>
              <w:rPr>
                <w:rFonts w:cs="Times New Roman"/>
                <w:sz w:val="18"/>
                <w:szCs w:val="18"/>
              </w:rPr>
            </w:pPr>
            <w:r w:rsidRPr="00F55418">
              <w:rPr>
                <w:rFonts w:cs="Times New Roman"/>
                <w:sz w:val="18"/>
                <w:szCs w:val="18"/>
              </w:rPr>
              <w:t>12a. Dane z produkcie a dovozu</w:t>
            </w:r>
          </w:p>
        </w:tc>
        <w:tc>
          <w:tcPr>
            <w:tcW w:w="1272" w:type="dxa"/>
            <w:tcBorders>
              <w:top w:val="nil"/>
              <w:left w:val="nil"/>
              <w:bottom w:val="nil"/>
              <w:right w:val="nil"/>
            </w:tcBorders>
            <w:shd w:val="clear" w:color="auto" w:fill="auto"/>
            <w:vAlign w:val="center"/>
            <w:hideMark/>
          </w:tcPr>
          <w:p w14:paraId="0D9A758E" w14:textId="77777777" w:rsidR="00F55418" w:rsidRPr="00F55418" w:rsidRDefault="00F55418" w:rsidP="00F55418">
            <w:pPr>
              <w:jc w:val="center"/>
              <w:rPr>
                <w:rFonts w:cs="Times New Roman"/>
                <w:sz w:val="18"/>
                <w:szCs w:val="18"/>
              </w:rPr>
            </w:pPr>
            <w:r w:rsidRPr="00F55418">
              <w:rPr>
                <w:rFonts w:cs="Times New Roman"/>
                <w:sz w:val="18"/>
                <w:szCs w:val="18"/>
              </w:rPr>
              <w:t>D.2</w:t>
            </w:r>
          </w:p>
        </w:tc>
        <w:tc>
          <w:tcPr>
            <w:tcW w:w="784" w:type="dxa"/>
            <w:tcBorders>
              <w:top w:val="nil"/>
              <w:left w:val="nil"/>
              <w:bottom w:val="nil"/>
              <w:right w:val="nil"/>
            </w:tcBorders>
            <w:shd w:val="clear" w:color="auto" w:fill="auto"/>
            <w:hideMark/>
          </w:tcPr>
          <w:p w14:paraId="799C7EC2" w14:textId="206E1474" w:rsidR="00F55418" w:rsidRPr="00F55418" w:rsidRDefault="00F55418" w:rsidP="00F55418">
            <w:pPr>
              <w:jc w:val="center"/>
              <w:rPr>
                <w:rFonts w:cs="Times New Roman"/>
                <w:sz w:val="18"/>
                <w:szCs w:val="18"/>
              </w:rPr>
            </w:pPr>
            <w:r w:rsidRPr="00F55418">
              <w:rPr>
                <w:sz w:val="18"/>
                <w:szCs w:val="18"/>
              </w:rPr>
              <w:t xml:space="preserve"> 9 803   </w:t>
            </w:r>
          </w:p>
        </w:tc>
        <w:tc>
          <w:tcPr>
            <w:tcW w:w="747" w:type="dxa"/>
            <w:tcBorders>
              <w:top w:val="nil"/>
              <w:left w:val="nil"/>
              <w:bottom w:val="nil"/>
              <w:right w:val="nil"/>
            </w:tcBorders>
            <w:shd w:val="clear" w:color="auto" w:fill="auto"/>
            <w:hideMark/>
          </w:tcPr>
          <w:p w14:paraId="03B7BED5" w14:textId="141CABAB" w:rsidR="00F55418" w:rsidRPr="00F55418" w:rsidRDefault="00F55418" w:rsidP="00F55418">
            <w:pPr>
              <w:jc w:val="center"/>
              <w:rPr>
                <w:rFonts w:cs="Times New Roman"/>
                <w:sz w:val="18"/>
                <w:szCs w:val="18"/>
              </w:rPr>
            </w:pPr>
            <w:r w:rsidRPr="00F55418">
              <w:rPr>
                <w:sz w:val="18"/>
                <w:szCs w:val="18"/>
              </w:rPr>
              <w:t>10,9</w:t>
            </w:r>
          </w:p>
        </w:tc>
        <w:tc>
          <w:tcPr>
            <w:tcW w:w="820" w:type="dxa"/>
            <w:tcBorders>
              <w:top w:val="nil"/>
              <w:left w:val="nil"/>
              <w:bottom w:val="nil"/>
              <w:right w:val="nil"/>
            </w:tcBorders>
            <w:shd w:val="clear" w:color="auto" w:fill="auto"/>
            <w:hideMark/>
          </w:tcPr>
          <w:p w14:paraId="3B20A9A7" w14:textId="322BC8DE" w:rsidR="00F55418" w:rsidRPr="00F55418" w:rsidRDefault="00F55418" w:rsidP="00F55418">
            <w:pPr>
              <w:jc w:val="center"/>
              <w:rPr>
                <w:rFonts w:cs="Times New Roman"/>
                <w:sz w:val="18"/>
                <w:szCs w:val="18"/>
              </w:rPr>
            </w:pPr>
            <w:r w:rsidRPr="00F55418">
              <w:rPr>
                <w:sz w:val="18"/>
                <w:szCs w:val="18"/>
              </w:rPr>
              <w:t>10,8</w:t>
            </w:r>
          </w:p>
        </w:tc>
        <w:tc>
          <w:tcPr>
            <w:tcW w:w="684" w:type="dxa"/>
            <w:tcBorders>
              <w:top w:val="nil"/>
              <w:left w:val="nil"/>
              <w:bottom w:val="nil"/>
              <w:right w:val="nil"/>
            </w:tcBorders>
            <w:shd w:val="clear" w:color="auto" w:fill="auto"/>
            <w:hideMark/>
          </w:tcPr>
          <w:p w14:paraId="6F192EF3" w14:textId="4070F132" w:rsidR="00F55418" w:rsidRPr="00F55418" w:rsidRDefault="00F55418" w:rsidP="00F55418">
            <w:pPr>
              <w:jc w:val="center"/>
              <w:rPr>
                <w:rFonts w:cs="Times New Roman"/>
                <w:sz w:val="18"/>
                <w:szCs w:val="18"/>
              </w:rPr>
            </w:pPr>
            <w:r w:rsidRPr="00F55418">
              <w:rPr>
                <w:sz w:val="18"/>
                <w:szCs w:val="18"/>
              </w:rPr>
              <w:t>10,9</w:t>
            </w:r>
          </w:p>
        </w:tc>
        <w:tc>
          <w:tcPr>
            <w:tcW w:w="659" w:type="dxa"/>
            <w:tcBorders>
              <w:top w:val="nil"/>
              <w:left w:val="nil"/>
              <w:bottom w:val="nil"/>
              <w:right w:val="nil"/>
            </w:tcBorders>
            <w:shd w:val="clear" w:color="auto" w:fill="auto"/>
            <w:hideMark/>
          </w:tcPr>
          <w:p w14:paraId="342B24D4" w14:textId="4229315E" w:rsidR="00F55418" w:rsidRPr="00F55418" w:rsidRDefault="00F55418" w:rsidP="00F55418">
            <w:pPr>
              <w:jc w:val="center"/>
              <w:rPr>
                <w:rFonts w:cs="Times New Roman"/>
                <w:sz w:val="18"/>
                <w:szCs w:val="18"/>
              </w:rPr>
            </w:pPr>
            <w:r w:rsidRPr="00F55418">
              <w:rPr>
                <w:sz w:val="18"/>
                <w:szCs w:val="18"/>
              </w:rPr>
              <w:t>10,6</w:t>
            </w:r>
          </w:p>
        </w:tc>
        <w:tc>
          <w:tcPr>
            <w:tcW w:w="638" w:type="dxa"/>
            <w:tcBorders>
              <w:top w:val="nil"/>
              <w:left w:val="nil"/>
              <w:bottom w:val="nil"/>
              <w:right w:val="nil"/>
            </w:tcBorders>
            <w:shd w:val="clear" w:color="auto" w:fill="auto"/>
            <w:hideMark/>
          </w:tcPr>
          <w:p w14:paraId="763098ED" w14:textId="5FDFD1B9" w:rsidR="00F55418" w:rsidRPr="00F55418" w:rsidRDefault="00F55418" w:rsidP="00F55418">
            <w:pPr>
              <w:jc w:val="center"/>
              <w:rPr>
                <w:rFonts w:cs="Times New Roman"/>
                <w:sz w:val="18"/>
                <w:szCs w:val="18"/>
              </w:rPr>
            </w:pPr>
            <w:r w:rsidRPr="00F55418">
              <w:rPr>
                <w:sz w:val="18"/>
                <w:szCs w:val="18"/>
              </w:rPr>
              <w:t>10,5</w:t>
            </w:r>
          </w:p>
        </w:tc>
      </w:tr>
      <w:tr w:rsidR="00F55418" w:rsidRPr="00F55418" w14:paraId="54043B89" w14:textId="77777777" w:rsidTr="00304C90">
        <w:trPr>
          <w:trHeight w:val="283"/>
        </w:trPr>
        <w:tc>
          <w:tcPr>
            <w:tcW w:w="3519" w:type="dxa"/>
            <w:tcBorders>
              <w:top w:val="nil"/>
              <w:left w:val="nil"/>
              <w:bottom w:val="nil"/>
              <w:right w:val="nil"/>
            </w:tcBorders>
            <w:shd w:val="clear" w:color="auto" w:fill="auto"/>
            <w:vAlign w:val="center"/>
            <w:hideMark/>
          </w:tcPr>
          <w:p w14:paraId="43568BA7" w14:textId="77777777" w:rsidR="00F55418" w:rsidRPr="00F55418" w:rsidRDefault="00F55418" w:rsidP="00F55418">
            <w:pPr>
              <w:rPr>
                <w:rFonts w:cs="Times New Roman"/>
                <w:sz w:val="18"/>
                <w:szCs w:val="18"/>
              </w:rPr>
            </w:pPr>
            <w:r w:rsidRPr="00F55418">
              <w:rPr>
                <w:rFonts w:cs="Times New Roman"/>
                <w:sz w:val="18"/>
                <w:szCs w:val="18"/>
              </w:rPr>
              <w:t>12b. Bežné dane z dôchodkov, majetku atď.</w:t>
            </w:r>
          </w:p>
        </w:tc>
        <w:tc>
          <w:tcPr>
            <w:tcW w:w="1272" w:type="dxa"/>
            <w:tcBorders>
              <w:top w:val="nil"/>
              <w:left w:val="nil"/>
              <w:bottom w:val="nil"/>
              <w:right w:val="nil"/>
            </w:tcBorders>
            <w:shd w:val="clear" w:color="auto" w:fill="auto"/>
            <w:vAlign w:val="center"/>
            <w:hideMark/>
          </w:tcPr>
          <w:p w14:paraId="6A386BB8" w14:textId="77777777" w:rsidR="00F55418" w:rsidRPr="00F55418" w:rsidRDefault="00F55418" w:rsidP="00F55418">
            <w:pPr>
              <w:jc w:val="center"/>
              <w:rPr>
                <w:rFonts w:cs="Times New Roman"/>
                <w:sz w:val="18"/>
                <w:szCs w:val="18"/>
              </w:rPr>
            </w:pPr>
            <w:r w:rsidRPr="00F55418">
              <w:rPr>
                <w:rFonts w:cs="Times New Roman"/>
                <w:sz w:val="18"/>
                <w:szCs w:val="18"/>
              </w:rPr>
              <w:t>D.5</w:t>
            </w:r>
          </w:p>
        </w:tc>
        <w:tc>
          <w:tcPr>
            <w:tcW w:w="784" w:type="dxa"/>
            <w:tcBorders>
              <w:top w:val="nil"/>
              <w:left w:val="nil"/>
              <w:bottom w:val="nil"/>
              <w:right w:val="nil"/>
            </w:tcBorders>
            <w:shd w:val="clear" w:color="auto" w:fill="auto"/>
            <w:hideMark/>
          </w:tcPr>
          <w:p w14:paraId="11895AD2" w14:textId="767186CE" w:rsidR="00F55418" w:rsidRPr="00F55418" w:rsidRDefault="00F55418" w:rsidP="00F55418">
            <w:pPr>
              <w:jc w:val="center"/>
              <w:rPr>
                <w:rFonts w:cs="Times New Roman"/>
                <w:sz w:val="18"/>
                <w:szCs w:val="18"/>
              </w:rPr>
            </w:pPr>
            <w:r w:rsidRPr="00F55418">
              <w:rPr>
                <w:sz w:val="18"/>
                <w:szCs w:val="18"/>
              </w:rPr>
              <w:t xml:space="preserve"> 6 579   </w:t>
            </w:r>
          </w:p>
        </w:tc>
        <w:tc>
          <w:tcPr>
            <w:tcW w:w="747" w:type="dxa"/>
            <w:tcBorders>
              <w:top w:val="nil"/>
              <w:left w:val="nil"/>
              <w:bottom w:val="nil"/>
              <w:right w:val="nil"/>
            </w:tcBorders>
            <w:shd w:val="clear" w:color="auto" w:fill="auto"/>
            <w:hideMark/>
          </w:tcPr>
          <w:p w14:paraId="5D6DF01F" w14:textId="46D7E26A" w:rsidR="00F55418" w:rsidRPr="00F55418" w:rsidRDefault="00F55418" w:rsidP="00F55418">
            <w:pPr>
              <w:jc w:val="center"/>
              <w:rPr>
                <w:rFonts w:cs="Times New Roman"/>
                <w:sz w:val="18"/>
                <w:szCs w:val="18"/>
              </w:rPr>
            </w:pPr>
            <w:r w:rsidRPr="00F55418">
              <w:rPr>
                <w:sz w:val="18"/>
                <w:szCs w:val="18"/>
              </w:rPr>
              <w:t>7,3</w:t>
            </w:r>
          </w:p>
        </w:tc>
        <w:tc>
          <w:tcPr>
            <w:tcW w:w="820" w:type="dxa"/>
            <w:tcBorders>
              <w:top w:val="nil"/>
              <w:left w:val="nil"/>
              <w:bottom w:val="nil"/>
              <w:right w:val="nil"/>
            </w:tcBorders>
            <w:shd w:val="clear" w:color="auto" w:fill="auto"/>
            <w:hideMark/>
          </w:tcPr>
          <w:p w14:paraId="5DA1BA30" w14:textId="5A50C909" w:rsidR="00F55418" w:rsidRPr="00F55418" w:rsidRDefault="00F55418" w:rsidP="00F55418">
            <w:pPr>
              <w:jc w:val="center"/>
              <w:rPr>
                <w:rFonts w:cs="Times New Roman"/>
                <w:sz w:val="18"/>
                <w:szCs w:val="18"/>
              </w:rPr>
            </w:pPr>
            <w:r w:rsidRPr="00F55418">
              <w:rPr>
                <w:sz w:val="18"/>
                <w:szCs w:val="18"/>
              </w:rPr>
              <w:t>7,1</w:t>
            </w:r>
          </w:p>
        </w:tc>
        <w:tc>
          <w:tcPr>
            <w:tcW w:w="684" w:type="dxa"/>
            <w:tcBorders>
              <w:top w:val="nil"/>
              <w:left w:val="nil"/>
              <w:bottom w:val="nil"/>
              <w:right w:val="nil"/>
            </w:tcBorders>
            <w:shd w:val="clear" w:color="auto" w:fill="auto"/>
            <w:hideMark/>
          </w:tcPr>
          <w:p w14:paraId="2070B6FB" w14:textId="0F3120C3" w:rsidR="00F55418" w:rsidRPr="00F55418" w:rsidRDefault="00F55418" w:rsidP="00F55418">
            <w:pPr>
              <w:jc w:val="center"/>
              <w:rPr>
                <w:rFonts w:cs="Times New Roman"/>
                <w:sz w:val="18"/>
                <w:szCs w:val="18"/>
              </w:rPr>
            </w:pPr>
            <w:r w:rsidRPr="00F55418">
              <w:rPr>
                <w:sz w:val="18"/>
                <w:szCs w:val="18"/>
              </w:rPr>
              <w:t>7,3</w:t>
            </w:r>
          </w:p>
        </w:tc>
        <w:tc>
          <w:tcPr>
            <w:tcW w:w="659" w:type="dxa"/>
            <w:tcBorders>
              <w:top w:val="nil"/>
              <w:left w:val="nil"/>
              <w:bottom w:val="nil"/>
              <w:right w:val="nil"/>
            </w:tcBorders>
            <w:shd w:val="clear" w:color="auto" w:fill="auto"/>
            <w:hideMark/>
          </w:tcPr>
          <w:p w14:paraId="1F28721C" w14:textId="44F54C71" w:rsidR="00F55418" w:rsidRPr="00F55418" w:rsidRDefault="00F55418" w:rsidP="00F55418">
            <w:pPr>
              <w:jc w:val="center"/>
              <w:rPr>
                <w:rFonts w:cs="Times New Roman"/>
                <w:sz w:val="18"/>
                <w:szCs w:val="18"/>
              </w:rPr>
            </w:pPr>
            <w:r w:rsidRPr="00F55418">
              <w:rPr>
                <w:sz w:val="18"/>
                <w:szCs w:val="18"/>
              </w:rPr>
              <w:t>7,3</w:t>
            </w:r>
          </w:p>
        </w:tc>
        <w:tc>
          <w:tcPr>
            <w:tcW w:w="638" w:type="dxa"/>
            <w:tcBorders>
              <w:top w:val="nil"/>
              <w:left w:val="nil"/>
              <w:bottom w:val="nil"/>
              <w:right w:val="nil"/>
            </w:tcBorders>
            <w:shd w:val="clear" w:color="auto" w:fill="auto"/>
            <w:hideMark/>
          </w:tcPr>
          <w:p w14:paraId="6DAE551D" w14:textId="5317887B" w:rsidR="00F55418" w:rsidRPr="00F55418" w:rsidRDefault="00F55418" w:rsidP="00F55418">
            <w:pPr>
              <w:jc w:val="center"/>
              <w:rPr>
                <w:rFonts w:cs="Times New Roman"/>
                <w:sz w:val="18"/>
                <w:szCs w:val="18"/>
              </w:rPr>
            </w:pPr>
            <w:r w:rsidRPr="00F55418">
              <w:rPr>
                <w:sz w:val="18"/>
                <w:szCs w:val="18"/>
              </w:rPr>
              <w:t>7,2</w:t>
            </w:r>
          </w:p>
        </w:tc>
      </w:tr>
      <w:tr w:rsidR="00F55418" w:rsidRPr="00F55418" w14:paraId="094DCF2C" w14:textId="77777777" w:rsidTr="00304C90">
        <w:trPr>
          <w:trHeight w:val="283"/>
        </w:trPr>
        <w:tc>
          <w:tcPr>
            <w:tcW w:w="3519" w:type="dxa"/>
            <w:tcBorders>
              <w:top w:val="nil"/>
              <w:left w:val="nil"/>
              <w:bottom w:val="nil"/>
              <w:right w:val="nil"/>
            </w:tcBorders>
            <w:shd w:val="clear" w:color="auto" w:fill="auto"/>
            <w:vAlign w:val="center"/>
            <w:hideMark/>
          </w:tcPr>
          <w:p w14:paraId="416CD64E" w14:textId="77777777" w:rsidR="00F55418" w:rsidRPr="00F55418" w:rsidRDefault="00F55418" w:rsidP="00F55418">
            <w:pPr>
              <w:rPr>
                <w:rFonts w:cs="Times New Roman"/>
                <w:sz w:val="18"/>
                <w:szCs w:val="18"/>
              </w:rPr>
            </w:pPr>
            <w:r w:rsidRPr="00F55418">
              <w:rPr>
                <w:rFonts w:cs="Times New Roman"/>
                <w:sz w:val="18"/>
                <w:szCs w:val="18"/>
              </w:rPr>
              <w:t>12c. Dane z kapitálu</w:t>
            </w:r>
          </w:p>
        </w:tc>
        <w:tc>
          <w:tcPr>
            <w:tcW w:w="1272" w:type="dxa"/>
            <w:tcBorders>
              <w:top w:val="nil"/>
              <w:left w:val="nil"/>
              <w:bottom w:val="nil"/>
              <w:right w:val="nil"/>
            </w:tcBorders>
            <w:shd w:val="clear" w:color="auto" w:fill="auto"/>
            <w:vAlign w:val="center"/>
            <w:hideMark/>
          </w:tcPr>
          <w:p w14:paraId="07663885" w14:textId="77777777" w:rsidR="00F55418" w:rsidRPr="00F55418" w:rsidRDefault="00F55418" w:rsidP="00F55418">
            <w:pPr>
              <w:jc w:val="center"/>
              <w:rPr>
                <w:rFonts w:cs="Times New Roman"/>
                <w:sz w:val="18"/>
                <w:szCs w:val="18"/>
              </w:rPr>
            </w:pPr>
            <w:r w:rsidRPr="00F55418">
              <w:rPr>
                <w:rFonts w:cs="Times New Roman"/>
                <w:sz w:val="18"/>
                <w:szCs w:val="18"/>
              </w:rPr>
              <w:t>D.91</w:t>
            </w:r>
          </w:p>
        </w:tc>
        <w:tc>
          <w:tcPr>
            <w:tcW w:w="784" w:type="dxa"/>
            <w:tcBorders>
              <w:top w:val="nil"/>
              <w:left w:val="nil"/>
              <w:bottom w:val="nil"/>
              <w:right w:val="nil"/>
            </w:tcBorders>
            <w:shd w:val="clear" w:color="auto" w:fill="auto"/>
            <w:hideMark/>
          </w:tcPr>
          <w:p w14:paraId="7792F30C" w14:textId="30F2C0A0" w:rsidR="00F55418" w:rsidRPr="00F55418" w:rsidRDefault="00F55418" w:rsidP="00F55418">
            <w:pPr>
              <w:jc w:val="center"/>
              <w:rPr>
                <w:rFonts w:cs="Times New Roman"/>
                <w:sz w:val="18"/>
                <w:szCs w:val="18"/>
              </w:rPr>
            </w:pPr>
            <w:r w:rsidRPr="00F55418">
              <w:rPr>
                <w:sz w:val="18"/>
                <w:szCs w:val="18"/>
              </w:rPr>
              <w:t xml:space="preserve"> -     </w:t>
            </w:r>
          </w:p>
        </w:tc>
        <w:tc>
          <w:tcPr>
            <w:tcW w:w="747" w:type="dxa"/>
            <w:tcBorders>
              <w:top w:val="nil"/>
              <w:left w:val="nil"/>
              <w:bottom w:val="nil"/>
              <w:right w:val="nil"/>
            </w:tcBorders>
            <w:shd w:val="clear" w:color="auto" w:fill="auto"/>
            <w:hideMark/>
          </w:tcPr>
          <w:p w14:paraId="5B82FE0E" w14:textId="54E70048" w:rsidR="00F55418" w:rsidRPr="00F55418" w:rsidRDefault="00F55418" w:rsidP="00F55418">
            <w:pPr>
              <w:jc w:val="center"/>
              <w:rPr>
                <w:rFonts w:cs="Times New Roman"/>
                <w:sz w:val="18"/>
                <w:szCs w:val="18"/>
              </w:rPr>
            </w:pPr>
            <w:r w:rsidRPr="00F55418">
              <w:rPr>
                <w:sz w:val="18"/>
                <w:szCs w:val="18"/>
              </w:rPr>
              <w:t>0,0</w:t>
            </w:r>
          </w:p>
        </w:tc>
        <w:tc>
          <w:tcPr>
            <w:tcW w:w="820" w:type="dxa"/>
            <w:tcBorders>
              <w:top w:val="nil"/>
              <w:left w:val="nil"/>
              <w:bottom w:val="nil"/>
              <w:right w:val="nil"/>
            </w:tcBorders>
            <w:shd w:val="clear" w:color="auto" w:fill="auto"/>
            <w:hideMark/>
          </w:tcPr>
          <w:p w14:paraId="4B59521A" w14:textId="2A90B158" w:rsidR="00F55418" w:rsidRPr="00F55418" w:rsidRDefault="00F55418" w:rsidP="00F55418">
            <w:pPr>
              <w:jc w:val="center"/>
              <w:rPr>
                <w:rFonts w:cs="Times New Roman"/>
                <w:sz w:val="18"/>
                <w:szCs w:val="18"/>
              </w:rPr>
            </w:pPr>
            <w:r w:rsidRPr="00F55418">
              <w:rPr>
                <w:sz w:val="18"/>
                <w:szCs w:val="18"/>
              </w:rPr>
              <w:t>0,0</w:t>
            </w:r>
          </w:p>
        </w:tc>
        <w:tc>
          <w:tcPr>
            <w:tcW w:w="684" w:type="dxa"/>
            <w:tcBorders>
              <w:top w:val="nil"/>
              <w:left w:val="nil"/>
              <w:bottom w:val="nil"/>
              <w:right w:val="nil"/>
            </w:tcBorders>
            <w:shd w:val="clear" w:color="auto" w:fill="auto"/>
            <w:hideMark/>
          </w:tcPr>
          <w:p w14:paraId="3CAF8251" w14:textId="1AB87D7B" w:rsidR="00F55418" w:rsidRPr="00F55418" w:rsidRDefault="00F55418" w:rsidP="00F55418">
            <w:pPr>
              <w:jc w:val="center"/>
              <w:rPr>
                <w:rFonts w:cs="Times New Roman"/>
                <w:sz w:val="18"/>
                <w:szCs w:val="18"/>
              </w:rPr>
            </w:pPr>
            <w:r w:rsidRPr="00F55418">
              <w:rPr>
                <w:sz w:val="18"/>
                <w:szCs w:val="18"/>
              </w:rPr>
              <w:t>0,0</w:t>
            </w:r>
          </w:p>
        </w:tc>
        <w:tc>
          <w:tcPr>
            <w:tcW w:w="659" w:type="dxa"/>
            <w:tcBorders>
              <w:top w:val="nil"/>
              <w:left w:val="nil"/>
              <w:bottom w:val="nil"/>
              <w:right w:val="nil"/>
            </w:tcBorders>
            <w:shd w:val="clear" w:color="auto" w:fill="auto"/>
            <w:hideMark/>
          </w:tcPr>
          <w:p w14:paraId="34273338" w14:textId="0AB345FA" w:rsidR="00F55418" w:rsidRPr="00F55418" w:rsidRDefault="00F55418" w:rsidP="00F55418">
            <w:pPr>
              <w:jc w:val="center"/>
              <w:rPr>
                <w:rFonts w:cs="Times New Roman"/>
                <w:sz w:val="18"/>
                <w:szCs w:val="18"/>
              </w:rPr>
            </w:pPr>
            <w:r w:rsidRPr="00F55418">
              <w:rPr>
                <w:sz w:val="18"/>
                <w:szCs w:val="18"/>
              </w:rPr>
              <w:t>0,0</w:t>
            </w:r>
          </w:p>
        </w:tc>
        <w:tc>
          <w:tcPr>
            <w:tcW w:w="638" w:type="dxa"/>
            <w:tcBorders>
              <w:top w:val="nil"/>
              <w:left w:val="nil"/>
              <w:bottom w:val="nil"/>
              <w:right w:val="nil"/>
            </w:tcBorders>
            <w:shd w:val="clear" w:color="auto" w:fill="auto"/>
            <w:hideMark/>
          </w:tcPr>
          <w:p w14:paraId="5EE4C45B" w14:textId="2CE04605" w:rsidR="00F55418" w:rsidRPr="00F55418" w:rsidRDefault="00F55418" w:rsidP="00F55418">
            <w:pPr>
              <w:jc w:val="center"/>
              <w:rPr>
                <w:rFonts w:cs="Times New Roman"/>
                <w:sz w:val="18"/>
                <w:szCs w:val="18"/>
              </w:rPr>
            </w:pPr>
            <w:r w:rsidRPr="00F55418">
              <w:rPr>
                <w:sz w:val="18"/>
                <w:szCs w:val="18"/>
              </w:rPr>
              <w:t>0,0</w:t>
            </w:r>
          </w:p>
        </w:tc>
      </w:tr>
      <w:tr w:rsidR="00F55418" w:rsidRPr="00F55418" w14:paraId="150E0F84" w14:textId="77777777" w:rsidTr="00304C90">
        <w:trPr>
          <w:trHeight w:val="283"/>
        </w:trPr>
        <w:tc>
          <w:tcPr>
            <w:tcW w:w="3519" w:type="dxa"/>
            <w:tcBorders>
              <w:top w:val="nil"/>
              <w:left w:val="nil"/>
              <w:bottom w:val="nil"/>
              <w:right w:val="nil"/>
            </w:tcBorders>
            <w:shd w:val="clear" w:color="auto" w:fill="auto"/>
            <w:vAlign w:val="center"/>
            <w:hideMark/>
          </w:tcPr>
          <w:p w14:paraId="091184FC" w14:textId="77777777" w:rsidR="00F55418" w:rsidRPr="00F55418" w:rsidRDefault="00F55418" w:rsidP="00F55418">
            <w:pPr>
              <w:rPr>
                <w:rFonts w:cs="Times New Roman"/>
                <w:sz w:val="18"/>
                <w:szCs w:val="18"/>
              </w:rPr>
            </w:pPr>
            <w:r w:rsidRPr="00F55418">
              <w:rPr>
                <w:rFonts w:cs="Times New Roman"/>
                <w:sz w:val="18"/>
                <w:szCs w:val="18"/>
              </w:rPr>
              <w:t xml:space="preserve">13. Príspevky na sociálne zabezpečenie </w:t>
            </w:r>
          </w:p>
        </w:tc>
        <w:tc>
          <w:tcPr>
            <w:tcW w:w="1272" w:type="dxa"/>
            <w:tcBorders>
              <w:top w:val="nil"/>
              <w:left w:val="nil"/>
              <w:bottom w:val="nil"/>
              <w:right w:val="nil"/>
            </w:tcBorders>
            <w:shd w:val="clear" w:color="auto" w:fill="auto"/>
            <w:vAlign w:val="center"/>
            <w:hideMark/>
          </w:tcPr>
          <w:p w14:paraId="00275B4B" w14:textId="77777777" w:rsidR="00F55418" w:rsidRPr="00F55418" w:rsidRDefault="00F55418" w:rsidP="00F55418">
            <w:pPr>
              <w:jc w:val="center"/>
              <w:rPr>
                <w:rFonts w:cs="Times New Roman"/>
                <w:sz w:val="18"/>
                <w:szCs w:val="18"/>
              </w:rPr>
            </w:pPr>
            <w:r w:rsidRPr="00F55418">
              <w:rPr>
                <w:rFonts w:cs="Times New Roman"/>
                <w:sz w:val="18"/>
                <w:szCs w:val="18"/>
              </w:rPr>
              <w:t>D.61</w:t>
            </w:r>
          </w:p>
        </w:tc>
        <w:tc>
          <w:tcPr>
            <w:tcW w:w="784" w:type="dxa"/>
            <w:tcBorders>
              <w:top w:val="nil"/>
              <w:left w:val="nil"/>
              <w:bottom w:val="nil"/>
              <w:right w:val="nil"/>
            </w:tcBorders>
            <w:shd w:val="clear" w:color="auto" w:fill="auto"/>
            <w:hideMark/>
          </w:tcPr>
          <w:p w14:paraId="00E5F204" w14:textId="7CB71387" w:rsidR="00F55418" w:rsidRPr="00F55418" w:rsidRDefault="00F55418" w:rsidP="00F55418">
            <w:pPr>
              <w:jc w:val="center"/>
              <w:rPr>
                <w:rFonts w:cs="Times New Roman"/>
                <w:sz w:val="18"/>
                <w:szCs w:val="18"/>
              </w:rPr>
            </w:pPr>
            <w:r w:rsidRPr="00F55418">
              <w:rPr>
                <w:sz w:val="18"/>
                <w:szCs w:val="18"/>
              </w:rPr>
              <w:t xml:space="preserve"> 13 357   </w:t>
            </w:r>
          </w:p>
        </w:tc>
        <w:tc>
          <w:tcPr>
            <w:tcW w:w="747" w:type="dxa"/>
            <w:tcBorders>
              <w:top w:val="nil"/>
              <w:left w:val="nil"/>
              <w:bottom w:val="nil"/>
              <w:right w:val="nil"/>
            </w:tcBorders>
            <w:shd w:val="clear" w:color="auto" w:fill="auto"/>
            <w:hideMark/>
          </w:tcPr>
          <w:p w14:paraId="1082258D" w14:textId="278FD28C" w:rsidR="00F55418" w:rsidRPr="00F55418" w:rsidRDefault="00F55418" w:rsidP="00F55418">
            <w:pPr>
              <w:jc w:val="center"/>
              <w:rPr>
                <w:rFonts w:cs="Times New Roman"/>
                <w:sz w:val="18"/>
                <w:szCs w:val="18"/>
              </w:rPr>
            </w:pPr>
            <w:r w:rsidRPr="00F55418">
              <w:rPr>
                <w:sz w:val="18"/>
                <w:szCs w:val="18"/>
              </w:rPr>
              <w:t>14,8</w:t>
            </w:r>
          </w:p>
        </w:tc>
        <w:tc>
          <w:tcPr>
            <w:tcW w:w="820" w:type="dxa"/>
            <w:tcBorders>
              <w:top w:val="nil"/>
              <w:left w:val="nil"/>
              <w:bottom w:val="nil"/>
              <w:right w:val="nil"/>
            </w:tcBorders>
            <w:shd w:val="clear" w:color="auto" w:fill="auto"/>
            <w:hideMark/>
          </w:tcPr>
          <w:p w14:paraId="6BE74682" w14:textId="66ABF889" w:rsidR="00F55418" w:rsidRPr="00F55418" w:rsidRDefault="00F55418" w:rsidP="00F55418">
            <w:pPr>
              <w:jc w:val="center"/>
              <w:rPr>
                <w:rFonts w:cs="Times New Roman"/>
                <w:sz w:val="18"/>
                <w:szCs w:val="18"/>
              </w:rPr>
            </w:pPr>
            <w:r w:rsidRPr="00F55418">
              <w:rPr>
                <w:sz w:val="18"/>
                <w:szCs w:val="18"/>
              </w:rPr>
              <w:t>14,7</w:t>
            </w:r>
          </w:p>
        </w:tc>
        <w:tc>
          <w:tcPr>
            <w:tcW w:w="684" w:type="dxa"/>
            <w:tcBorders>
              <w:top w:val="nil"/>
              <w:left w:val="nil"/>
              <w:bottom w:val="nil"/>
              <w:right w:val="nil"/>
            </w:tcBorders>
            <w:shd w:val="clear" w:color="auto" w:fill="auto"/>
            <w:hideMark/>
          </w:tcPr>
          <w:p w14:paraId="2288D5CD" w14:textId="088E2767" w:rsidR="00F55418" w:rsidRPr="00F55418" w:rsidRDefault="00F55418" w:rsidP="00F55418">
            <w:pPr>
              <w:jc w:val="center"/>
              <w:rPr>
                <w:rFonts w:cs="Times New Roman"/>
                <w:sz w:val="18"/>
                <w:szCs w:val="18"/>
              </w:rPr>
            </w:pPr>
            <w:r w:rsidRPr="00F55418">
              <w:rPr>
                <w:sz w:val="18"/>
                <w:szCs w:val="18"/>
              </w:rPr>
              <w:t>14,4</w:t>
            </w:r>
          </w:p>
        </w:tc>
        <w:tc>
          <w:tcPr>
            <w:tcW w:w="659" w:type="dxa"/>
            <w:tcBorders>
              <w:top w:val="nil"/>
              <w:left w:val="nil"/>
              <w:bottom w:val="nil"/>
              <w:right w:val="nil"/>
            </w:tcBorders>
            <w:shd w:val="clear" w:color="auto" w:fill="auto"/>
            <w:hideMark/>
          </w:tcPr>
          <w:p w14:paraId="767ED497" w14:textId="677BBD99" w:rsidR="00F55418" w:rsidRPr="00F55418" w:rsidRDefault="00F55418" w:rsidP="00F55418">
            <w:pPr>
              <w:jc w:val="center"/>
              <w:rPr>
                <w:rFonts w:cs="Times New Roman"/>
                <w:sz w:val="18"/>
                <w:szCs w:val="18"/>
              </w:rPr>
            </w:pPr>
            <w:r w:rsidRPr="00F55418">
              <w:rPr>
                <w:sz w:val="18"/>
                <w:szCs w:val="18"/>
              </w:rPr>
              <w:t>14,3</w:t>
            </w:r>
          </w:p>
        </w:tc>
        <w:tc>
          <w:tcPr>
            <w:tcW w:w="638" w:type="dxa"/>
            <w:tcBorders>
              <w:top w:val="nil"/>
              <w:left w:val="nil"/>
              <w:bottom w:val="nil"/>
              <w:right w:val="nil"/>
            </w:tcBorders>
            <w:shd w:val="clear" w:color="auto" w:fill="auto"/>
            <w:hideMark/>
          </w:tcPr>
          <w:p w14:paraId="7AAE8AC1" w14:textId="693BF885" w:rsidR="00F55418" w:rsidRPr="00F55418" w:rsidRDefault="00F55418" w:rsidP="00F55418">
            <w:pPr>
              <w:jc w:val="center"/>
              <w:rPr>
                <w:rFonts w:cs="Times New Roman"/>
                <w:sz w:val="18"/>
                <w:szCs w:val="18"/>
              </w:rPr>
            </w:pPr>
            <w:r w:rsidRPr="00F55418">
              <w:rPr>
                <w:sz w:val="18"/>
                <w:szCs w:val="18"/>
              </w:rPr>
              <w:t>14,2</w:t>
            </w:r>
          </w:p>
        </w:tc>
      </w:tr>
      <w:tr w:rsidR="00F55418" w:rsidRPr="00F55418" w14:paraId="0B1C67D6" w14:textId="77777777" w:rsidTr="00304C90">
        <w:trPr>
          <w:trHeight w:val="283"/>
        </w:trPr>
        <w:tc>
          <w:tcPr>
            <w:tcW w:w="3519" w:type="dxa"/>
            <w:tcBorders>
              <w:top w:val="nil"/>
              <w:left w:val="nil"/>
              <w:bottom w:val="nil"/>
              <w:right w:val="nil"/>
            </w:tcBorders>
            <w:shd w:val="clear" w:color="auto" w:fill="auto"/>
            <w:vAlign w:val="center"/>
            <w:hideMark/>
          </w:tcPr>
          <w:p w14:paraId="5776091A" w14:textId="77777777" w:rsidR="00F55418" w:rsidRPr="00F55418" w:rsidRDefault="00F55418" w:rsidP="00F55418">
            <w:pPr>
              <w:rPr>
                <w:rFonts w:cs="Times New Roman"/>
                <w:sz w:val="18"/>
                <w:szCs w:val="18"/>
              </w:rPr>
            </w:pPr>
            <w:r w:rsidRPr="00F55418">
              <w:rPr>
                <w:rFonts w:cs="Times New Roman"/>
                <w:sz w:val="18"/>
                <w:szCs w:val="18"/>
              </w:rPr>
              <w:t>14.Dôchodky z majetku</w:t>
            </w:r>
          </w:p>
        </w:tc>
        <w:tc>
          <w:tcPr>
            <w:tcW w:w="1272" w:type="dxa"/>
            <w:tcBorders>
              <w:top w:val="nil"/>
              <w:left w:val="nil"/>
              <w:bottom w:val="nil"/>
              <w:right w:val="nil"/>
            </w:tcBorders>
            <w:shd w:val="clear" w:color="auto" w:fill="auto"/>
            <w:vAlign w:val="center"/>
            <w:hideMark/>
          </w:tcPr>
          <w:p w14:paraId="66481597" w14:textId="77777777" w:rsidR="00F55418" w:rsidRPr="00F55418" w:rsidRDefault="00F55418" w:rsidP="00F55418">
            <w:pPr>
              <w:jc w:val="center"/>
              <w:rPr>
                <w:rFonts w:cs="Times New Roman"/>
                <w:sz w:val="18"/>
                <w:szCs w:val="18"/>
              </w:rPr>
            </w:pPr>
            <w:r w:rsidRPr="00F55418">
              <w:rPr>
                <w:rFonts w:cs="Times New Roman"/>
                <w:sz w:val="18"/>
                <w:szCs w:val="18"/>
              </w:rPr>
              <w:t>D.4</w:t>
            </w:r>
          </w:p>
        </w:tc>
        <w:tc>
          <w:tcPr>
            <w:tcW w:w="784" w:type="dxa"/>
            <w:tcBorders>
              <w:top w:val="nil"/>
              <w:left w:val="nil"/>
              <w:bottom w:val="nil"/>
              <w:right w:val="nil"/>
            </w:tcBorders>
            <w:shd w:val="clear" w:color="auto" w:fill="auto"/>
            <w:hideMark/>
          </w:tcPr>
          <w:p w14:paraId="76713850" w14:textId="42B9661E" w:rsidR="00F55418" w:rsidRPr="00F55418" w:rsidRDefault="00F55418" w:rsidP="00F55418">
            <w:pPr>
              <w:jc w:val="center"/>
              <w:rPr>
                <w:rFonts w:cs="Times New Roman"/>
                <w:sz w:val="18"/>
                <w:szCs w:val="18"/>
              </w:rPr>
            </w:pPr>
            <w:r w:rsidRPr="00F55418">
              <w:rPr>
                <w:sz w:val="18"/>
                <w:szCs w:val="18"/>
              </w:rPr>
              <w:t xml:space="preserve"> 654   </w:t>
            </w:r>
          </w:p>
        </w:tc>
        <w:tc>
          <w:tcPr>
            <w:tcW w:w="747" w:type="dxa"/>
            <w:tcBorders>
              <w:top w:val="nil"/>
              <w:left w:val="nil"/>
              <w:bottom w:val="nil"/>
              <w:right w:val="nil"/>
            </w:tcBorders>
            <w:shd w:val="clear" w:color="auto" w:fill="auto"/>
            <w:hideMark/>
          </w:tcPr>
          <w:p w14:paraId="708A5BEE" w14:textId="5F264C32" w:rsidR="00F55418" w:rsidRPr="00F55418" w:rsidRDefault="00F55418" w:rsidP="00F55418">
            <w:pPr>
              <w:jc w:val="center"/>
              <w:rPr>
                <w:rFonts w:cs="Times New Roman"/>
                <w:sz w:val="18"/>
                <w:szCs w:val="18"/>
              </w:rPr>
            </w:pPr>
            <w:r w:rsidRPr="00F55418">
              <w:rPr>
                <w:sz w:val="18"/>
                <w:szCs w:val="18"/>
              </w:rPr>
              <w:t>0,7</w:t>
            </w:r>
          </w:p>
        </w:tc>
        <w:tc>
          <w:tcPr>
            <w:tcW w:w="820" w:type="dxa"/>
            <w:tcBorders>
              <w:top w:val="nil"/>
              <w:left w:val="nil"/>
              <w:bottom w:val="nil"/>
              <w:right w:val="nil"/>
            </w:tcBorders>
            <w:shd w:val="clear" w:color="auto" w:fill="auto"/>
            <w:hideMark/>
          </w:tcPr>
          <w:p w14:paraId="06F5B7DE" w14:textId="28663CBD" w:rsidR="00F55418" w:rsidRPr="00F55418" w:rsidRDefault="00F55418" w:rsidP="00F55418">
            <w:pPr>
              <w:jc w:val="center"/>
              <w:rPr>
                <w:rFonts w:cs="Times New Roman"/>
                <w:sz w:val="18"/>
                <w:szCs w:val="18"/>
              </w:rPr>
            </w:pPr>
            <w:r w:rsidRPr="00F55418">
              <w:rPr>
                <w:sz w:val="18"/>
                <w:szCs w:val="18"/>
              </w:rPr>
              <w:t>0,6</w:t>
            </w:r>
          </w:p>
        </w:tc>
        <w:tc>
          <w:tcPr>
            <w:tcW w:w="684" w:type="dxa"/>
            <w:tcBorders>
              <w:top w:val="nil"/>
              <w:left w:val="nil"/>
              <w:bottom w:val="nil"/>
              <w:right w:val="nil"/>
            </w:tcBorders>
            <w:shd w:val="clear" w:color="auto" w:fill="auto"/>
            <w:hideMark/>
          </w:tcPr>
          <w:p w14:paraId="1B9B839C" w14:textId="0C2298B1" w:rsidR="00F55418" w:rsidRPr="00F55418" w:rsidRDefault="00F55418" w:rsidP="00F55418">
            <w:pPr>
              <w:jc w:val="center"/>
              <w:rPr>
                <w:rFonts w:cs="Times New Roman"/>
                <w:sz w:val="18"/>
                <w:szCs w:val="18"/>
              </w:rPr>
            </w:pPr>
            <w:r w:rsidRPr="00F55418">
              <w:rPr>
                <w:sz w:val="18"/>
                <w:szCs w:val="18"/>
              </w:rPr>
              <w:t>0,6</w:t>
            </w:r>
          </w:p>
        </w:tc>
        <w:tc>
          <w:tcPr>
            <w:tcW w:w="659" w:type="dxa"/>
            <w:tcBorders>
              <w:top w:val="nil"/>
              <w:left w:val="nil"/>
              <w:bottom w:val="nil"/>
              <w:right w:val="nil"/>
            </w:tcBorders>
            <w:shd w:val="clear" w:color="auto" w:fill="auto"/>
            <w:hideMark/>
          </w:tcPr>
          <w:p w14:paraId="3814C7D9" w14:textId="46AE9508" w:rsidR="00F55418" w:rsidRPr="00F55418" w:rsidRDefault="00F55418" w:rsidP="00F55418">
            <w:pPr>
              <w:jc w:val="center"/>
              <w:rPr>
                <w:rFonts w:cs="Times New Roman"/>
                <w:sz w:val="18"/>
                <w:szCs w:val="18"/>
              </w:rPr>
            </w:pPr>
            <w:r w:rsidRPr="00F55418">
              <w:rPr>
                <w:sz w:val="18"/>
                <w:szCs w:val="18"/>
              </w:rPr>
              <w:t>0,5</w:t>
            </w:r>
          </w:p>
        </w:tc>
        <w:tc>
          <w:tcPr>
            <w:tcW w:w="638" w:type="dxa"/>
            <w:tcBorders>
              <w:top w:val="nil"/>
              <w:left w:val="nil"/>
              <w:bottom w:val="nil"/>
              <w:right w:val="nil"/>
            </w:tcBorders>
            <w:shd w:val="clear" w:color="auto" w:fill="auto"/>
            <w:hideMark/>
          </w:tcPr>
          <w:p w14:paraId="104390F3" w14:textId="11E3984A" w:rsidR="00F55418" w:rsidRPr="00F55418" w:rsidRDefault="00F55418" w:rsidP="00F55418">
            <w:pPr>
              <w:jc w:val="center"/>
              <w:rPr>
                <w:rFonts w:cs="Times New Roman"/>
                <w:sz w:val="18"/>
                <w:szCs w:val="18"/>
              </w:rPr>
            </w:pPr>
            <w:r w:rsidRPr="00F55418">
              <w:rPr>
                <w:sz w:val="18"/>
                <w:szCs w:val="18"/>
              </w:rPr>
              <w:t>0,5</w:t>
            </w:r>
          </w:p>
        </w:tc>
      </w:tr>
      <w:tr w:rsidR="00F55418" w:rsidRPr="00F55418" w14:paraId="6C616A5B" w14:textId="77777777" w:rsidTr="00304C90">
        <w:trPr>
          <w:trHeight w:val="283"/>
        </w:trPr>
        <w:tc>
          <w:tcPr>
            <w:tcW w:w="3519" w:type="dxa"/>
            <w:tcBorders>
              <w:top w:val="nil"/>
              <w:left w:val="nil"/>
              <w:bottom w:val="nil"/>
              <w:right w:val="nil"/>
            </w:tcBorders>
            <w:shd w:val="clear" w:color="auto" w:fill="auto"/>
            <w:vAlign w:val="center"/>
            <w:hideMark/>
          </w:tcPr>
          <w:p w14:paraId="5BC84100" w14:textId="77777777" w:rsidR="00F55418" w:rsidRPr="00F55418" w:rsidRDefault="00F55418" w:rsidP="00F55418">
            <w:pPr>
              <w:rPr>
                <w:rFonts w:cs="Times New Roman"/>
                <w:sz w:val="18"/>
                <w:szCs w:val="18"/>
              </w:rPr>
            </w:pPr>
            <w:r w:rsidRPr="00F55418">
              <w:rPr>
                <w:rFonts w:cs="Times New Roman"/>
                <w:sz w:val="18"/>
                <w:szCs w:val="18"/>
              </w:rPr>
              <w:t>15. Ostatné</w:t>
            </w:r>
          </w:p>
        </w:tc>
        <w:tc>
          <w:tcPr>
            <w:tcW w:w="1272" w:type="dxa"/>
            <w:tcBorders>
              <w:top w:val="nil"/>
              <w:left w:val="nil"/>
              <w:bottom w:val="nil"/>
              <w:right w:val="nil"/>
            </w:tcBorders>
            <w:shd w:val="clear" w:color="auto" w:fill="auto"/>
            <w:vAlign w:val="center"/>
            <w:hideMark/>
          </w:tcPr>
          <w:p w14:paraId="2C72890C" w14:textId="77777777" w:rsidR="00F55418" w:rsidRPr="00F55418" w:rsidRDefault="00F55418" w:rsidP="00F55418">
            <w:pPr>
              <w:jc w:val="center"/>
              <w:rPr>
                <w:rFonts w:cs="Times New Roman"/>
                <w:sz w:val="18"/>
                <w:szCs w:val="18"/>
              </w:rPr>
            </w:pPr>
            <w:r w:rsidRPr="00F55418">
              <w:rPr>
                <w:rFonts w:cs="Times New Roman"/>
                <w:sz w:val="18"/>
                <w:szCs w:val="18"/>
                <w:vertAlign w:val="superscript"/>
              </w:rPr>
              <w:t>[4]</w:t>
            </w:r>
          </w:p>
        </w:tc>
        <w:tc>
          <w:tcPr>
            <w:tcW w:w="784" w:type="dxa"/>
            <w:tcBorders>
              <w:top w:val="nil"/>
              <w:left w:val="nil"/>
              <w:bottom w:val="nil"/>
              <w:right w:val="nil"/>
            </w:tcBorders>
            <w:shd w:val="clear" w:color="auto" w:fill="auto"/>
            <w:hideMark/>
          </w:tcPr>
          <w:p w14:paraId="4100685A" w14:textId="7485E206" w:rsidR="00F55418" w:rsidRPr="00F55418" w:rsidRDefault="00F55418" w:rsidP="00F55418">
            <w:pPr>
              <w:jc w:val="center"/>
              <w:rPr>
                <w:rFonts w:cs="Times New Roman"/>
                <w:sz w:val="18"/>
                <w:szCs w:val="18"/>
              </w:rPr>
            </w:pPr>
            <w:r w:rsidRPr="00F55418">
              <w:rPr>
                <w:sz w:val="18"/>
                <w:szCs w:val="18"/>
              </w:rPr>
              <w:t xml:space="preserve"> 5 624   </w:t>
            </w:r>
          </w:p>
        </w:tc>
        <w:tc>
          <w:tcPr>
            <w:tcW w:w="747" w:type="dxa"/>
            <w:tcBorders>
              <w:top w:val="nil"/>
              <w:left w:val="nil"/>
              <w:bottom w:val="nil"/>
              <w:right w:val="nil"/>
            </w:tcBorders>
            <w:shd w:val="clear" w:color="auto" w:fill="auto"/>
            <w:hideMark/>
          </w:tcPr>
          <w:p w14:paraId="47B01A1D" w14:textId="70B7D331" w:rsidR="00F55418" w:rsidRPr="00F55418" w:rsidRDefault="00F55418" w:rsidP="00F55418">
            <w:pPr>
              <w:jc w:val="center"/>
              <w:rPr>
                <w:rFonts w:cs="Times New Roman"/>
                <w:sz w:val="18"/>
                <w:szCs w:val="18"/>
              </w:rPr>
            </w:pPr>
            <w:r w:rsidRPr="00F55418">
              <w:rPr>
                <w:sz w:val="18"/>
                <w:szCs w:val="18"/>
              </w:rPr>
              <w:t>6,2</w:t>
            </w:r>
          </w:p>
        </w:tc>
        <w:tc>
          <w:tcPr>
            <w:tcW w:w="820" w:type="dxa"/>
            <w:tcBorders>
              <w:top w:val="nil"/>
              <w:left w:val="nil"/>
              <w:bottom w:val="nil"/>
              <w:right w:val="nil"/>
            </w:tcBorders>
            <w:shd w:val="clear" w:color="auto" w:fill="auto"/>
            <w:hideMark/>
          </w:tcPr>
          <w:p w14:paraId="49E6A712" w14:textId="1A93FB6D" w:rsidR="00F55418" w:rsidRPr="00F55418" w:rsidRDefault="00F55418" w:rsidP="00F55418">
            <w:pPr>
              <w:jc w:val="center"/>
              <w:rPr>
                <w:rFonts w:cs="Times New Roman"/>
                <w:sz w:val="18"/>
                <w:szCs w:val="18"/>
              </w:rPr>
            </w:pPr>
            <w:r w:rsidRPr="00F55418">
              <w:rPr>
                <w:sz w:val="18"/>
                <w:szCs w:val="18"/>
              </w:rPr>
              <w:t>6,8</w:t>
            </w:r>
          </w:p>
        </w:tc>
        <w:tc>
          <w:tcPr>
            <w:tcW w:w="684" w:type="dxa"/>
            <w:tcBorders>
              <w:top w:val="nil"/>
              <w:left w:val="nil"/>
              <w:bottom w:val="nil"/>
              <w:right w:val="nil"/>
            </w:tcBorders>
            <w:shd w:val="clear" w:color="auto" w:fill="auto"/>
            <w:hideMark/>
          </w:tcPr>
          <w:p w14:paraId="30A443E4" w14:textId="293A0E03" w:rsidR="00F55418" w:rsidRPr="00F55418" w:rsidRDefault="00F55418" w:rsidP="00F55418">
            <w:pPr>
              <w:jc w:val="center"/>
              <w:rPr>
                <w:rFonts w:cs="Times New Roman"/>
                <w:sz w:val="18"/>
                <w:szCs w:val="18"/>
              </w:rPr>
            </w:pPr>
            <w:r w:rsidRPr="00F55418">
              <w:rPr>
                <w:sz w:val="18"/>
                <w:szCs w:val="18"/>
              </w:rPr>
              <w:t>5,1</w:t>
            </w:r>
          </w:p>
        </w:tc>
        <w:tc>
          <w:tcPr>
            <w:tcW w:w="659" w:type="dxa"/>
            <w:tcBorders>
              <w:top w:val="nil"/>
              <w:left w:val="nil"/>
              <w:bottom w:val="nil"/>
              <w:right w:val="nil"/>
            </w:tcBorders>
            <w:shd w:val="clear" w:color="auto" w:fill="auto"/>
            <w:hideMark/>
          </w:tcPr>
          <w:p w14:paraId="28CD6050" w14:textId="14B0FC37" w:rsidR="00F55418" w:rsidRPr="00F55418" w:rsidRDefault="00F55418" w:rsidP="00F55418">
            <w:pPr>
              <w:jc w:val="center"/>
              <w:rPr>
                <w:rFonts w:cs="Times New Roman"/>
                <w:sz w:val="18"/>
                <w:szCs w:val="18"/>
              </w:rPr>
            </w:pPr>
            <w:r w:rsidRPr="00F55418">
              <w:rPr>
                <w:sz w:val="18"/>
                <w:szCs w:val="18"/>
              </w:rPr>
              <w:t>5,2</w:t>
            </w:r>
          </w:p>
        </w:tc>
        <w:tc>
          <w:tcPr>
            <w:tcW w:w="638" w:type="dxa"/>
            <w:tcBorders>
              <w:top w:val="nil"/>
              <w:left w:val="nil"/>
              <w:bottom w:val="nil"/>
              <w:right w:val="nil"/>
            </w:tcBorders>
            <w:shd w:val="clear" w:color="auto" w:fill="auto"/>
            <w:hideMark/>
          </w:tcPr>
          <w:p w14:paraId="69F4B8C6" w14:textId="7AB860B7" w:rsidR="00F55418" w:rsidRPr="00F55418" w:rsidRDefault="00F55418" w:rsidP="00F55418">
            <w:pPr>
              <w:jc w:val="center"/>
              <w:rPr>
                <w:rFonts w:cs="Times New Roman"/>
                <w:sz w:val="18"/>
                <w:szCs w:val="18"/>
              </w:rPr>
            </w:pPr>
            <w:r w:rsidRPr="00F55418">
              <w:rPr>
                <w:sz w:val="18"/>
                <w:szCs w:val="18"/>
              </w:rPr>
              <w:t>5,2</w:t>
            </w:r>
          </w:p>
        </w:tc>
      </w:tr>
      <w:tr w:rsidR="00F55418" w:rsidRPr="00F55418" w14:paraId="71AC0C88" w14:textId="77777777" w:rsidTr="00304C90">
        <w:trPr>
          <w:trHeight w:val="283"/>
        </w:trPr>
        <w:tc>
          <w:tcPr>
            <w:tcW w:w="3519" w:type="dxa"/>
            <w:tcBorders>
              <w:top w:val="nil"/>
              <w:left w:val="nil"/>
              <w:bottom w:val="nil"/>
              <w:right w:val="nil"/>
            </w:tcBorders>
            <w:shd w:val="clear" w:color="auto" w:fill="auto"/>
            <w:vAlign w:val="center"/>
            <w:hideMark/>
          </w:tcPr>
          <w:p w14:paraId="703A0A82" w14:textId="77777777" w:rsidR="00F55418" w:rsidRPr="00F55418" w:rsidRDefault="00F55418" w:rsidP="00F55418">
            <w:pPr>
              <w:rPr>
                <w:rFonts w:cs="Times New Roman"/>
                <w:sz w:val="18"/>
                <w:szCs w:val="18"/>
              </w:rPr>
            </w:pPr>
            <w:r w:rsidRPr="00F55418">
              <w:rPr>
                <w:rFonts w:cs="Times New Roman"/>
                <w:sz w:val="18"/>
                <w:szCs w:val="18"/>
              </w:rPr>
              <w:t>16=6. Celkové príjmy</w:t>
            </w:r>
          </w:p>
        </w:tc>
        <w:tc>
          <w:tcPr>
            <w:tcW w:w="1272" w:type="dxa"/>
            <w:tcBorders>
              <w:top w:val="nil"/>
              <w:left w:val="nil"/>
              <w:bottom w:val="nil"/>
              <w:right w:val="nil"/>
            </w:tcBorders>
            <w:shd w:val="clear" w:color="auto" w:fill="auto"/>
            <w:vAlign w:val="center"/>
            <w:hideMark/>
          </w:tcPr>
          <w:p w14:paraId="7DB21B54" w14:textId="77777777" w:rsidR="00F55418" w:rsidRPr="00F55418" w:rsidRDefault="00F55418" w:rsidP="00F55418">
            <w:pPr>
              <w:jc w:val="center"/>
              <w:rPr>
                <w:rFonts w:cs="Times New Roman"/>
                <w:sz w:val="18"/>
                <w:szCs w:val="18"/>
              </w:rPr>
            </w:pPr>
            <w:r w:rsidRPr="00F55418">
              <w:rPr>
                <w:rFonts w:cs="Times New Roman"/>
                <w:sz w:val="18"/>
                <w:szCs w:val="18"/>
              </w:rPr>
              <w:t>TR</w:t>
            </w:r>
          </w:p>
        </w:tc>
        <w:tc>
          <w:tcPr>
            <w:tcW w:w="784" w:type="dxa"/>
            <w:tcBorders>
              <w:top w:val="nil"/>
              <w:left w:val="nil"/>
              <w:bottom w:val="nil"/>
              <w:right w:val="nil"/>
            </w:tcBorders>
            <w:shd w:val="clear" w:color="auto" w:fill="auto"/>
            <w:hideMark/>
          </w:tcPr>
          <w:p w14:paraId="34CF5A54" w14:textId="12340ABE" w:rsidR="00F55418" w:rsidRPr="00F55418" w:rsidRDefault="00F55418" w:rsidP="00F55418">
            <w:pPr>
              <w:jc w:val="center"/>
              <w:rPr>
                <w:rFonts w:cs="Times New Roman"/>
                <w:sz w:val="18"/>
                <w:szCs w:val="18"/>
              </w:rPr>
            </w:pPr>
            <w:r w:rsidRPr="00F55418">
              <w:rPr>
                <w:sz w:val="18"/>
                <w:szCs w:val="18"/>
              </w:rPr>
              <w:t xml:space="preserve"> 36 017   </w:t>
            </w:r>
          </w:p>
        </w:tc>
        <w:tc>
          <w:tcPr>
            <w:tcW w:w="747" w:type="dxa"/>
            <w:tcBorders>
              <w:top w:val="nil"/>
              <w:left w:val="nil"/>
              <w:bottom w:val="nil"/>
              <w:right w:val="nil"/>
            </w:tcBorders>
            <w:shd w:val="clear" w:color="auto" w:fill="auto"/>
            <w:hideMark/>
          </w:tcPr>
          <w:p w14:paraId="11C92940" w14:textId="4136FD8B" w:rsidR="00F55418" w:rsidRPr="00F55418" w:rsidRDefault="00F55418" w:rsidP="00F55418">
            <w:pPr>
              <w:jc w:val="center"/>
              <w:rPr>
                <w:rFonts w:cs="Times New Roman"/>
                <w:sz w:val="18"/>
                <w:szCs w:val="18"/>
              </w:rPr>
            </w:pPr>
            <w:r w:rsidRPr="00F55418">
              <w:rPr>
                <w:sz w:val="18"/>
                <w:szCs w:val="18"/>
              </w:rPr>
              <w:t>39,9</w:t>
            </w:r>
          </w:p>
        </w:tc>
        <w:tc>
          <w:tcPr>
            <w:tcW w:w="820" w:type="dxa"/>
            <w:tcBorders>
              <w:top w:val="nil"/>
              <w:left w:val="nil"/>
              <w:bottom w:val="nil"/>
              <w:right w:val="nil"/>
            </w:tcBorders>
            <w:shd w:val="clear" w:color="auto" w:fill="auto"/>
            <w:hideMark/>
          </w:tcPr>
          <w:p w14:paraId="6D4042D4" w14:textId="06C6486B" w:rsidR="00F55418" w:rsidRPr="00F55418" w:rsidRDefault="00F55418" w:rsidP="00F55418">
            <w:pPr>
              <w:jc w:val="center"/>
              <w:rPr>
                <w:rFonts w:cs="Times New Roman"/>
                <w:sz w:val="18"/>
                <w:szCs w:val="18"/>
              </w:rPr>
            </w:pPr>
            <w:r w:rsidRPr="00F55418">
              <w:rPr>
                <w:sz w:val="18"/>
                <w:szCs w:val="18"/>
              </w:rPr>
              <w:t>39,9</w:t>
            </w:r>
          </w:p>
        </w:tc>
        <w:tc>
          <w:tcPr>
            <w:tcW w:w="684" w:type="dxa"/>
            <w:tcBorders>
              <w:top w:val="nil"/>
              <w:left w:val="nil"/>
              <w:bottom w:val="nil"/>
              <w:right w:val="nil"/>
            </w:tcBorders>
            <w:shd w:val="clear" w:color="auto" w:fill="auto"/>
            <w:hideMark/>
          </w:tcPr>
          <w:p w14:paraId="5550C343" w14:textId="23E48C0B" w:rsidR="00F55418" w:rsidRPr="00F55418" w:rsidRDefault="00F55418" w:rsidP="00F55418">
            <w:pPr>
              <w:jc w:val="center"/>
              <w:rPr>
                <w:rFonts w:cs="Times New Roman"/>
                <w:sz w:val="18"/>
                <w:szCs w:val="18"/>
              </w:rPr>
            </w:pPr>
            <w:r w:rsidRPr="00F55418">
              <w:rPr>
                <w:sz w:val="18"/>
                <w:szCs w:val="18"/>
              </w:rPr>
              <w:t>38,4</w:t>
            </w:r>
          </w:p>
        </w:tc>
        <w:tc>
          <w:tcPr>
            <w:tcW w:w="659" w:type="dxa"/>
            <w:tcBorders>
              <w:top w:val="nil"/>
              <w:left w:val="nil"/>
              <w:bottom w:val="nil"/>
              <w:right w:val="nil"/>
            </w:tcBorders>
            <w:shd w:val="clear" w:color="auto" w:fill="auto"/>
            <w:hideMark/>
          </w:tcPr>
          <w:p w14:paraId="165FD21C" w14:textId="70251FEF" w:rsidR="00F55418" w:rsidRPr="00F55418" w:rsidRDefault="00F55418" w:rsidP="00F55418">
            <w:pPr>
              <w:jc w:val="center"/>
              <w:rPr>
                <w:rFonts w:cs="Times New Roman"/>
                <w:sz w:val="18"/>
                <w:szCs w:val="18"/>
              </w:rPr>
            </w:pPr>
            <w:r w:rsidRPr="00F55418">
              <w:rPr>
                <w:sz w:val="18"/>
                <w:szCs w:val="18"/>
              </w:rPr>
              <w:t>37,9</w:t>
            </w:r>
          </w:p>
        </w:tc>
        <w:tc>
          <w:tcPr>
            <w:tcW w:w="638" w:type="dxa"/>
            <w:tcBorders>
              <w:top w:val="nil"/>
              <w:left w:val="nil"/>
              <w:bottom w:val="nil"/>
              <w:right w:val="nil"/>
            </w:tcBorders>
            <w:shd w:val="clear" w:color="auto" w:fill="auto"/>
            <w:hideMark/>
          </w:tcPr>
          <w:p w14:paraId="750C3DCE" w14:textId="4FB2EF7B" w:rsidR="00F55418" w:rsidRPr="00F55418" w:rsidRDefault="00F55418" w:rsidP="00F55418">
            <w:pPr>
              <w:jc w:val="center"/>
              <w:rPr>
                <w:rFonts w:cs="Times New Roman"/>
                <w:sz w:val="18"/>
                <w:szCs w:val="18"/>
              </w:rPr>
            </w:pPr>
            <w:r w:rsidRPr="00F55418">
              <w:rPr>
                <w:sz w:val="18"/>
                <w:szCs w:val="18"/>
              </w:rPr>
              <w:t>37,7</w:t>
            </w:r>
          </w:p>
        </w:tc>
      </w:tr>
      <w:tr w:rsidR="00F55418" w:rsidRPr="00F55418" w14:paraId="33D770F6" w14:textId="77777777" w:rsidTr="00304C90">
        <w:trPr>
          <w:trHeight w:val="283"/>
        </w:trPr>
        <w:tc>
          <w:tcPr>
            <w:tcW w:w="3519" w:type="dxa"/>
            <w:tcBorders>
              <w:top w:val="nil"/>
              <w:left w:val="nil"/>
              <w:bottom w:val="single" w:sz="4" w:space="0" w:color="auto"/>
              <w:right w:val="nil"/>
            </w:tcBorders>
            <w:shd w:val="clear" w:color="auto" w:fill="auto"/>
            <w:noWrap/>
            <w:vAlign w:val="center"/>
            <w:hideMark/>
          </w:tcPr>
          <w:p w14:paraId="7069B19E" w14:textId="77777777" w:rsidR="00F55418" w:rsidRPr="00F55418" w:rsidRDefault="00F55418" w:rsidP="00F55418">
            <w:pPr>
              <w:rPr>
                <w:rFonts w:cs="Times New Roman"/>
                <w:sz w:val="18"/>
                <w:szCs w:val="18"/>
              </w:rPr>
            </w:pPr>
            <w:r w:rsidRPr="00F55418">
              <w:rPr>
                <w:rFonts w:cs="Times New Roman"/>
                <w:sz w:val="18"/>
                <w:szCs w:val="18"/>
              </w:rPr>
              <w:t>p. m.: Daňové zaťaženie (D.2+D.5+D.61+D.91-D.995)</w:t>
            </w:r>
          </w:p>
        </w:tc>
        <w:tc>
          <w:tcPr>
            <w:tcW w:w="1272" w:type="dxa"/>
            <w:tcBorders>
              <w:top w:val="nil"/>
              <w:left w:val="nil"/>
              <w:bottom w:val="single" w:sz="4" w:space="0" w:color="auto"/>
              <w:right w:val="nil"/>
            </w:tcBorders>
            <w:shd w:val="clear" w:color="auto" w:fill="auto"/>
            <w:vAlign w:val="center"/>
            <w:hideMark/>
          </w:tcPr>
          <w:p w14:paraId="21CFF01D" w14:textId="77777777" w:rsidR="00F55418" w:rsidRPr="00F55418" w:rsidRDefault="00F55418" w:rsidP="00F55418">
            <w:pPr>
              <w:jc w:val="center"/>
              <w:rPr>
                <w:rFonts w:cs="Times New Roman"/>
                <w:sz w:val="18"/>
                <w:szCs w:val="18"/>
              </w:rPr>
            </w:pPr>
            <w:r w:rsidRPr="00F55418">
              <w:rPr>
                <w:rFonts w:cs="Times New Roman"/>
                <w:sz w:val="18"/>
                <w:szCs w:val="18"/>
                <w:vertAlign w:val="superscript"/>
              </w:rPr>
              <w:t>[5]</w:t>
            </w:r>
          </w:p>
        </w:tc>
        <w:tc>
          <w:tcPr>
            <w:tcW w:w="784" w:type="dxa"/>
            <w:tcBorders>
              <w:top w:val="nil"/>
              <w:left w:val="nil"/>
              <w:bottom w:val="nil"/>
              <w:right w:val="nil"/>
            </w:tcBorders>
            <w:shd w:val="clear" w:color="auto" w:fill="auto"/>
            <w:hideMark/>
          </w:tcPr>
          <w:p w14:paraId="413B49CC" w14:textId="19D98CF3" w:rsidR="00F55418" w:rsidRPr="00F55418" w:rsidRDefault="00F55418" w:rsidP="00F55418">
            <w:pPr>
              <w:jc w:val="center"/>
              <w:rPr>
                <w:rFonts w:cs="Times New Roman"/>
                <w:sz w:val="18"/>
                <w:szCs w:val="18"/>
              </w:rPr>
            </w:pPr>
            <w:r w:rsidRPr="00F55418">
              <w:rPr>
                <w:sz w:val="18"/>
                <w:szCs w:val="18"/>
              </w:rPr>
              <w:t xml:space="preserve"> 29 739   </w:t>
            </w:r>
          </w:p>
        </w:tc>
        <w:tc>
          <w:tcPr>
            <w:tcW w:w="747" w:type="dxa"/>
            <w:tcBorders>
              <w:top w:val="nil"/>
              <w:left w:val="nil"/>
              <w:bottom w:val="nil"/>
              <w:right w:val="nil"/>
            </w:tcBorders>
            <w:shd w:val="clear" w:color="auto" w:fill="auto"/>
            <w:hideMark/>
          </w:tcPr>
          <w:p w14:paraId="1A8AF8F8" w14:textId="2282D266" w:rsidR="00F55418" w:rsidRPr="00F55418" w:rsidRDefault="00F55418" w:rsidP="00F55418">
            <w:pPr>
              <w:jc w:val="center"/>
              <w:rPr>
                <w:rFonts w:cs="Times New Roman"/>
                <w:sz w:val="18"/>
                <w:szCs w:val="18"/>
              </w:rPr>
            </w:pPr>
            <w:r w:rsidRPr="00F55418">
              <w:rPr>
                <w:sz w:val="18"/>
                <w:szCs w:val="18"/>
              </w:rPr>
              <w:t>33,0</w:t>
            </w:r>
          </w:p>
        </w:tc>
        <w:tc>
          <w:tcPr>
            <w:tcW w:w="820" w:type="dxa"/>
            <w:tcBorders>
              <w:top w:val="nil"/>
              <w:left w:val="nil"/>
              <w:bottom w:val="nil"/>
              <w:right w:val="nil"/>
            </w:tcBorders>
            <w:shd w:val="clear" w:color="auto" w:fill="auto"/>
            <w:hideMark/>
          </w:tcPr>
          <w:p w14:paraId="607DFE1C" w14:textId="7B48D4FA" w:rsidR="00F55418" w:rsidRPr="00F55418" w:rsidRDefault="00F55418" w:rsidP="00F55418">
            <w:pPr>
              <w:jc w:val="center"/>
              <w:rPr>
                <w:rFonts w:cs="Times New Roman"/>
                <w:sz w:val="18"/>
                <w:szCs w:val="18"/>
              </w:rPr>
            </w:pPr>
            <w:r w:rsidRPr="00F55418">
              <w:rPr>
                <w:sz w:val="18"/>
                <w:szCs w:val="18"/>
              </w:rPr>
              <w:t>32,6</w:t>
            </w:r>
          </w:p>
        </w:tc>
        <w:tc>
          <w:tcPr>
            <w:tcW w:w="684" w:type="dxa"/>
            <w:tcBorders>
              <w:top w:val="nil"/>
              <w:left w:val="nil"/>
              <w:bottom w:val="nil"/>
              <w:right w:val="nil"/>
            </w:tcBorders>
            <w:shd w:val="clear" w:color="auto" w:fill="auto"/>
            <w:hideMark/>
          </w:tcPr>
          <w:p w14:paraId="5C8A64F7" w14:textId="330DB18D" w:rsidR="00F55418" w:rsidRPr="00F55418" w:rsidRDefault="00F55418" w:rsidP="00F55418">
            <w:pPr>
              <w:jc w:val="center"/>
              <w:rPr>
                <w:rFonts w:cs="Times New Roman"/>
                <w:sz w:val="18"/>
                <w:szCs w:val="18"/>
              </w:rPr>
            </w:pPr>
            <w:r w:rsidRPr="00F55418">
              <w:rPr>
                <w:sz w:val="18"/>
                <w:szCs w:val="18"/>
              </w:rPr>
              <w:t>32,7</w:t>
            </w:r>
          </w:p>
        </w:tc>
        <w:tc>
          <w:tcPr>
            <w:tcW w:w="659" w:type="dxa"/>
            <w:tcBorders>
              <w:top w:val="nil"/>
              <w:left w:val="nil"/>
              <w:bottom w:val="nil"/>
              <w:right w:val="nil"/>
            </w:tcBorders>
            <w:shd w:val="clear" w:color="auto" w:fill="auto"/>
            <w:hideMark/>
          </w:tcPr>
          <w:p w14:paraId="44504E0B" w14:textId="405313CA" w:rsidR="00F55418" w:rsidRPr="00F55418" w:rsidRDefault="00F55418" w:rsidP="00F55418">
            <w:pPr>
              <w:jc w:val="center"/>
              <w:rPr>
                <w:rFonts w:cs="Times New Roman"/>
                <w:sz w:val="18"/>
                <w:szCs w:val="18"/>
              </w:rPr>
            </w:pPr>
            <w:r w:rsidRPr="00F55418">
              <w:rPr>
                <w:sz w:val="18"/>
                <w:szCs w:val="18"/>
              </w:rPr>
              <w:t>32,2</w:t>
            </w:r>
          </w:p>
        </w:tc>
        <w:tc>
          <w:tcPr>
            <w:tcW w:w="638" w:type="dxa"/>
            <w:tcBorders>
              <w:top w:val="nil"/>
              <w:left w:val="nil"/>
              <w:bottom w:val="single" w:sz="4" w:space="0" w:color="auto"/>
              <w:right w:val="nil"/>
            </w:tcBorders>
            <w:shd w:val="clear" w:color="auto" w:fill="auto"/>
            <w:hideMark/>
          </w:tcPr>
          <w:p w14:paraId="57CECE91" w14:textId="62C2F414" w:rsidR="00F55418" w:rsidRPr="00F55418" w:rsidRDefault="00F55418" w:rsidP="00F55418">
            <w:pPr>
              <w:jc w:val="center"/>
              <w:rPr>
                <w:rFonts w:cs="Times New Roman"/>
                <w:sz w:val="18"/>
                <w:szCs w:val="18"/>
              </w:rPr>
            </w:pPr>
            <w:r w:rsidRPr="00F55418">
              <w:rPr>
                <w:sz w:val="18"/>
                <w:szCs w:val="18"/>
              </w:rPr>
              <w:t>32,0</w:t>
            </w:r>
          </w:p>
        </w:tc>
      </w:tr>
      <w:tr w:rsidR="00D73008" w:rsidRPr="00F55418" w14:paraId="2BBE351D" w14:textId="77777777" w:rsidTr="00387AE5">
        <w:trPr>
          <w:trHeight w:val="283"/>
        </w:trPr>
        <w:tc>
          <w:tcPr>
            <w:tcW w:w="9123" w:type="dxa"/>
            <w:gridSpan w:val="8"/>
            <w:tcBorders>
              <w:top w:val="single" w:sz="4" w:space="0" w:color="auto"/>
              <w:left w:val="nil"/>
              <w:bottom w:val="single" w:sz="6" w:space="0" w:color="auto"/>
              <w:right w:val="nil"/>
            </w:tcBorders>
            <w:shd w:val="clear" w:color="auto" w:fill="auto"/>
            <w:vAlign w:val="center"/>
            <w:hideMark/>
          </w:tcPr>
          <w:p w14:paraId="6B155080" w14:textId="77777777" w:rsidR="00D73008" w:rsidRPr="00F55418" w:rsidRDefault="00D73008" w:rsidP="00387AE5">
            <w:pPr>
              <w:jc w:val="center"/>
              <w:rPr>
                <w:rFonts w:cs="Times New Roman"/>
                <w:b/>
                <w:bCs/>
                <w:sz w:val="18"/>
                <w:szCs w:val="18"/>
              </w:rPr>
            </w:pPr>
            <w:r w:rsidRPr="00F55418">
              <w:rPr>
                <w:rFonts w:cs="Times New Roman"/>
                <w:b/>
                <w:bCs/>
                <w:sz w:val="18"/>
                <w:szCs w:val="18"/>
              </w:rPr>
              <w:t>Vybrané zložky výdavkov</w:t>
            </w:r>
          </w:p>
        </w:tc>
      </w:tr>
      <w:tr w:rsidR="00F55418" w:rsidRPr="00F55418" w14:paraId="76707B82" w14:textId="77777777" w:rsidTr="00304C90">
        <w:trPr>
          <w:trHeight w:val="283"/>
        </w:trPr>
        <w:tc>
          <w:tcPr>
            <w:tcW w:w="3519" w:type="dxa"/>
            <w:tcBorders>
              <w:top w:val="single" w:sz="6" w:space="0" w:color="auto"/>
              <w:left w:val="nil"/>
              <w:bottom w:val="nil"/>
              <w:right w:val="nil"/>
            </w:tcBorders>
            <w:shd w:val="clear" w:color="auto" w:fill="auto"/>
            <w:hideMark/>
          </w:tcPr>
          <w:p w14:paraId="3B0861B1" w14:textId="77777777" w:rsidR="00F55418" w:rsidRPr="00F55418" w:rsidRDefault="00F55418" w:rsidP="00F55418">
            <w:pPr>
              <w:rPr>
                <w:rFonts w:cs="Times New Roman"/>
                <w:sz w:val="18"/>
                <w:szCs w:val="18"/>
              </w:rPr>
            </w:pPr>
            <w:r w:rsidRPr="00F55418">
              <w:rPr>
                <w:rFonts w:cs="Times New Roman"/>
                <w:sz w:val="18"/>
                <w:szCs w:val="18"/>
              </w:rPr>
              <w:t>17. Odmeny zamestnancov + Medzispotreba</w:t>
            </w:r>
          </w:p>
        </w:tc>
        <w:tc>
          <w:tcPr>
            <w:tcW w:w="1272" w:type="dxa"/>
            <w:tcBorders>
              <w:top w:val="single" w:sz="6" w:space="0" w:color="auto"/>
              <w:left w:val="nil"/>
              <w:bottom w:val="nil"/>
              <w:right w:val="nil"/>
            </w:tcBorders>
            <w:shd w:val="clear" w:color="auto" w:fill="auto"/>
            <w:hideMark/>
          </w:tcPr>
          <w:p w14:paraId="4B989A11" w14:textId="77777777" w:rsidR="00F55418" w:rsidRPr="00F55418" w:rsidRDefault="00F55418" w:rsidP="00F55418">
            <w:pPr>
              <w:jc w:val="center"/>
              <w:rPr>
                <w:rFonts w:cs="Times New Roman"/>
                <w:sz w:val="18"/>
                <w:szCs w:val="18"/>
              </w:rPr>
            </w:pPr>
            <w:r w:rsidRPr="00F55418">
              <w:rPr>
                <w:rFonts w:cs="Times New Roman"/>
                <w:sz w:val="18"/>
                <w:szCs w:val="18"/>
              </w:rPr>
              <w:t>D.1+P.2</w:t>
            </w:r>
          </w:p>
        </w:tc>
        <w:tc>
          <w:tcPr>
            <w:tcW w:w="784" w:type="dxa"/>
            <w:tcBorders>
              <w:top w:val="nil"/>
              <w:left w:val="nil"/>
              <w:bottom w:val="nil"/>
              <w:right w:val="nil"/>
            </w:tcBorders>
            <w:shd w:val="clear" w:color="auto" w:fill="auto"/>
            <w:hideMark/>
          </w:tcPr>
          <w:p w14:paraId="385B650E" w14:textId="0697EDFF" w:rsidR="00F55418" w:rsidRPr="00F55418" w:rsidRDefault="00F55418" w:rsidP="00F55418">
            <w:pPr>
              <w:jc w:val="center"/>
              <w:rPr>
                <w:rFonts w:cs="Times New Roman"/>
                <w:sz w:val="18"/>
                <w:szCs w:val="18"/>
              </w:rPr>
            </w:pPr>
            <w:r w:rsidRPr="00F55418">
              <w:rPr>
                <w:sz w:val="18"/>
                <w:szCs w:val="18"/>
              </w:rPr>
              <w:t xml:space="preserve"> 13 288   </w:t>
            </w:r>
          </w:p>
        </w:tc>
        <w:tc>
          <w:tcPr>
            <w:tcW w:w="747" w:type="dxa"/>
            <w:tcBorders>
              <w:top w:val="nil"/>
              <w:left w:val="nil"/>
              <w:bottom w:val="nil"/>
              <w:right w:val="nil"/>
            </w:tcBorders>
            <w:shd w:val="clear" w:color="auto" w:fill="auto"/>
            <w:hideMark/>
          </w:tcPr>
          <w:p w14:paraId="25408CA0" w14:textId="3585A199" w:rsidR="00F55418" w:rsidRPr="00F55418" w:rsidRDefault="00F55418" w:rsidP="00F55418">
            <w:pPr>
              <w:jc w:val="center"/>
              <w:rPr>
                <w:rFonts w:cs="Times New Roman"/>
                <w:sz w:val="18"/>
                <w:szCs w:val="18"/>
              </w:rPr>
            </w:pPr>
            <w:r w:rsidRPr="00F55418">
              <w:rPr>
                <w:sz w:val="18"/>
                <w:szCs w:val="18"/>
              </w:rPr>
              <w:t>14,7</w:t>
            </w:r>
          </w:p>
        </w:tc>
        <w:tc>
          <w:tcPr>
            <w:tcW w:w="820" w:type="dxa"/>
            <w:tcBorders>
              <w:top w:val="nil"/>
              <w:left w:val="nil"/>
              <w:bottom w:val="nil"/>
              <w:right w:val="nil"/>
            </w:tcBorders>
            <w:shd w:val="clear" w:color="auto" w:fill="auto"/>
            <w:hideMark/>
          </w:tcPr>
          <w:p w14:paraId="385F94FE" w14:textId="0F780290" w:rsidR="00F55418" w:rsidRPr="00F55418" w:rsidRDefault="00F55418" w:rsidP="00F55418">
            <w:pPr>
              <w:jc w:val="center"/>
              <w:rPr>
                <w:rFonts w:cs="Times New Roman"/>
                <w:sz w:val="18"/>
                <w:szCs w:val="18"/>
              </w:rPr>
            </w:pPr>
            <w:r w:rsidRPr="00F55418">
              <w:rPr>
                <w:sz w:val="18"/>
                <w:szCs w:val="18"/>
              </w:rPr>
              <w:t>14,9</w:t>
            </w:r>
          </w:p>
        </w:tc>
        <w:tc>
          <w:tcPr>
            <w:tcW w:w="684" w:type="dxa"/>
            <w:tcBorders>
              <w:top w:val="nil"/>
              <w:left w:val="nil"/>
              <w:bottom w:val="nil"/>
              <w:right w:val="nil"/>
            </w:tcBorders>
            <w:shd w:val="clear" w:color="auto" w:fill="auto"/>
            <w:hideMark/>
          </w:tcPr>
          <w:p w14:paraId="45E396F6" w14:textId="49555A22" w:rsidR="00F55418" w:rsidRPr="00F55418" w:rsidRDefault="00F55418" w:rsidP="00F55418">
            <w:pPr>
              <w:jc w:val="center"/>
              <w:rPr>
                <w:rFonts w:cs="Times New Roman"/>
                <w:sz w:val="18"/>
                <w:szCs w:val="18"/>
              </w:rPr>
            </w:pPr>
            <w:r w:rsidRPr="00F55418">
              <w:rPr>
                <w:sz w:val="18"/>
                <w:szCs w:val="18"/>
              </w:rPr>
              <w:t>14,6</w:t>
            </w:r>
          </w:p>
        </w:tc>
        <w:tc>
          <w:tcPr>
            <w:tcW w:w="659" w:type="dxa"/>
            <w:tcBorders>
              <w:top w:val="nil"/>
              <w:left w:val="nil"/>
              <w:bottom w:val="nil"/>
              <w:right w:val="nil"/>
            </w:tcBorders>
            <w:shd w:val="clear" w:color="auto" w:fill="auto"/>
            <w:hideMark/>
          </w:tcPr>
          <w:p w14:paraId="4723282B" w14:textId="58315B04" w:rsidR="00F55418" w:rsidRPr="00F55418" w:rsidRDefault="00F55418" w:rsidP="00F55418">
            <w:pPr>
              <w:jc w:val="center"/>
              <w:rPr>
                <w:rFonts w:cs="Times New Roman"/>
                <w:sz w:val="18"/>
                <w:szCs w:val="18"/>
              </w:rPr>
            </w:pPr>
            <w:r w:rsidRPr="00F55418">
              <w:rPr>
                <w:sz w:val="18"/>
                <w:szCs w:val="18"/>
              </w:rPr>
              <w:t>14,4</w:t>
            </w:r>
          </w:p>
        </w:tc>
        <w:tc>
          <w:tcPr>
            <w:tcW w:w="638" w:type="dxa"/>
            <w:tcBorders>
              <w:top w:val="nil"/>
              <w:left w:val="nil"/>
              <w:bottom w:val="nil"/>
              <w:right w:val="nil"/>
            </w:tcBorders>
            <w:shd w:val="clear" w:color="auto" w:fill="auto"/>
            <w:hideMark/>
          </w:tcPr>
          <w:p w14:paraId="2AC8DA6E" w14:textId="01AEAC6A" w:rsidR="00F55418" w:rsidRPr="00F55418" w:rsidRDefault="00F55418" w:rsidP="00F55418">
            <w:pPr>
              <w:jc w:val="center"/>
              <w:rPr>
                <w:rFonts w:cs="Times New Roman"/>
                <w:sz w:val="18"/>
                <w:szCs w:val="18"/>
              </w:rPr>
            </w:pPr>
            <w:r w:rsidRPr="00F55418">
              <w:rPr>
                <w:sz w:val="18"/>
                <w:szCs w:val="18"/>
              </w:rPr>
              <w:t>14,1</w:t>
            </w:r>
          </w:p>
        </w:tc>
      </w:tr>
      <w:tr w:rsidR="00F55418" w:rsidRPr="00F55418" w14:paraId="4C328F2C" w14:textId="77777777" w:rsidTr="00304C90">
        <w:trPr>
          <w:trHeight w:val="283"/>
        </w:trPr>
        <w:tc>
          <w:tcPr>
            <w:tcW w:w="3519" w:type="dxa"/>
            <w:tcBorders>
              <w:top w:val="nil"/>
              <w:left w:val="nil"/>
              <w:bottom w:val="nil"/>
              <w:right w:val="nil"/>
            </w:tcBorders>
            <w:shd w:val="clear" w:color="auto" w:fill="auto"/>
            <w:hideMark/>
          </w:tcPr>
          <w:p w14:paraId="543F2A5A" w14:textId="77777777" w:rsidR="00F55418" w:rsidRPr="00F55418" w:rsidRDefault="00F55418" w:rsidP="00F55418">
            <w:pPr>
              <w:rPr>
                <w:rFonts w:cs="Times New Roman"/>
                <w:sz w:val="18"/>
                <w:szCs w:val="18"/>
              </w:rPr>
            </w:pPr>
            <w:r w:rsidRPr="00F55418">
              <w:rPr>
                <w:rFonts w:cs="Times New Roman"/>
                <w:sz w:val="18"/>
                <w:szCs w:val="18"/>
              </w:rPr>
              <w:t>17a. Odmeny zamestnancov</w:t>
            </w:r>
          </w:p>
        </w:tc>
        <w:tc>
          <w:tcPr>
            <w:tcW w:w="1272" w:type="dxa"/>
            <w:tcBorders>
              <w:top w:val="nil"/>
              <w:left w:val="nil"/>
              <w:bottom w:val="nil"/>
              <w:right w:val="nil"/>
            </w:tcBorders>
            <w:shd w:val="clear" w:color="auto" w:fill="auto"/>
            <w:hideMark/>
          </w:tcPr>
          <w:p w14:paraId="1648AFEA" w14:textId="77777777" w:rsidR="00F55418" w:rsidRPr="00F55418" w:rsidRDefault="00F55418" w:rsidP="00F55418">
            <w:pPr>
              <w:jc w:val="center"/>
              <w:rPr>
                <w:rFonts w:cs="Times New Roman"/>
                <w:sz w:val="18"/>
                <w:szCs w:val="18"/>
              </w:rPr>
            </w:pPr>
            <w:r w:rsidRPr="00F55418">
              <w:rPr>
                <w:rFonts w:cs="Times New Roman"/>
                <w:sz w:val="18"/>
                <w:szCs w:val="18"/>
              </w:rPr>
              <w:t>D.1</w:t>
            </w:r>
          </w:p>
        </w:tc>
        <w:tc>
          <w:tcPr>
            <w:tcW w:w="784" w:type="dxa"/>
            <w:tcBorders>
              <w:top w:val="nil"/>
              <w:left w:val="nil"/>
              <w:bottom w:val="nil"/>
              <w:right w:val="nil"/>
            </w:tcBorders>
            <w:shd w:val="clear" w:color="auto" w:fill="auto"/>
            <w:hideMark/>
          </w:tcPr>
          <w:p w14:paraId="7D916917" w14:textId="4D32C976" w:rsidR="00F55418" w:rsidRPr="00F55418" w:rsidRDefault="00F55418" w:rsidP="00F55418">
            <w:pPr>
              <w:jc w:val="center"/>
              <w:rPr>
                <w:rFonts w:cs="Times New Roman"/>
                <w:sz w:val="18"/>
                <w:szCs w:val="18"/>
              </w:rPr>
            </w:pPr>
            <w:r w:rsidRPr="00F55418">
              <w:rPr>
                <w:sz w:val="18"/>
                <w:szCs w:val="18"/>
              </w:rPr>
              <w:t xml:space="preserve"> 8 395   </w:t>
            </w:r>
          </w:p>
        </w:tc>
        <w:tc>
          <w:tcPr>
            <w:tcW w:w="747" w:type="dxa"/>
            <w:tcBorders>
              <w:top w:val="nil"/>
              <w:left w:val="nil"/>
              <w:bottom w:val="nil"/>
              <w:right w:val="nil"/>
            </w:tcBorders>
            <w:shd w:val="clear" w:color="auto" w:fill="auto"/>
            <w:hideMark/>
          </w:tcPr>
          <w:p w14:paraId="4E798354" w14:textId="132C6278" w:rsidR="00F55418" w:rsidRPr="00F55418" w:rsidRDefault="00F55418" w:rsidP="00F55418">
            <w:pPr>
              <w:jc w:val="center"/>
              <w:rPr>
                <w:rFonts w:cs="Times New Roman"/>
                <w:sz w:val="18"/>
                <w:szCs w:val="18"/>
              </w:rPr>
            </w:pPr>
            <w:r w:rsidRPr="00F55418">
              <w:rPr>
                <w:sz w:val="18"/>
                <w:szCs w:val="18"/>
              </w:rPr>
              <w:t>9,3</w:t>
            </w:r>
          </w:p>
        </w:tc>
        <w:tc>
          <w:tcPr>
            <w:tcW w:w="820" w:type="dxa"/>
            <w:tcBorders>
              <w:top w:val="nil"/>
              <w:left w:val="nil"/>
              <w:bottom w:val="nil"/>
              <w:right w:val="nil"/>
            </w:tcBorders>
            <w:shd w:val="clear" w:color="auto" w:fill="auto"/>
            <w:hideMark/>
          </w:tcPr>
          <w:p w14:paraId="26AFFD9E" w14:textId="723436CA" w:rsidR="00F55418" w:rsidRPr="00F55418" w:rsidRDefault="00F55418" w:rsidP="00F55418">
            <w:pPr>
              <w:jc w:val="center"/>
              <w:rPr>
                <w:rFonts w:cs="Times New Roman"/>
                <w:sz w:val="18"/>
                <w:szCs w:val="18"/>
              </w:rPr>
            </w:pPr>
            <w:r w:rsidRPr="00F55418">
              <w:rPr>
                <w:sz w:val="18"/>
                <w:szCs w:val="18"/>
              </w:rPr>
              <w:t>9,5</w:t>
            </w:r>
          </w:p>
        </w:tc>
        <w:tc>
          <w:tcPr>
            <w:tcW w:w="684" w:type="dxa"/>
            <w:tcBorders>
              <w:top w:val="nil"/>
              <w:left w:val="nil"/>
              <w:bottom w:val="nil"/>
              <w:right w:val="nil"/>
            </w:tcBorders>
            <w:shd w:val="clear" w:color="auto" w:fill="auto"/>
            <w:hideMark/>
          </w:tcPr>
          <w:p w14:paraId="48A1508B" w14:textId="62BFD3A9" w:rsidR="00F55418" w:rsidRPr="00F55418" w:rsidRDefault="00F55418" w:rsidP="00F55418">
            <w:pPr>
              <w:jc w:val="center"/>
              <w:rPr>
                <w:rFonts w:cs="Times New Roman"/>
                <w:sz w:val="18"/>
                <w:szCs w:val="18"/>
              </w:rPr>
            </w:pPr>
            <w:r w:rsidRPr="00F55418">
              <w:rPr>
                <w:sz w:val="18"/>
                <w:szCs w:val="18"/>
              </w:rPr>
              <w:t>9,5</w:t>
            </w:r>
          </w:p>
        </w:tc>
        <w:tc>
          <w:tcPr>
            <w:tcW w:w="659" w:type="dxa"/>
            <w:tcBorders>
              <w:top w:val="nil"/>
              <w:left w:val="nil"/>
              <w:bottom w:val="nil"/>
              <w:right w:val="nil"/>
            </w:tcBorders>
            <w:shd w:val="clear" w:color="auto" w:fill="auto"/>
            <w:hideMark/>
          </w:tcPr>
          <w:p w14:paraId="6F9BBC89" w14:textId="3895617E" w:rsidR="00F55418" w:rsidRPr="00F55418" w:rsidRDefault="00F55418" w:rsidP="00F55418">
            <w:pPr>
              <w:jc w:val="center"/>
              <w:rPr>
                <w:rFonts w:cs="Times New Roman"/>
                <w:sz w:val="18"/>
                <w:szCs w:val="18"/>
              </w:rPr>
            </w:pPr>
            <w:r w:rsidRPr="00F55418">
              <w:rPr>
                <w:sz w:val="18"/>
                <w:szCs w:val="18"/>
              </w:rPr>
              <w:t>9,4</w:t>
            </w:r>
          </w:p>
        </w:tc>
        <w:tc>
          <w:tcPr>
            <w:tcW w:w="638" w:type="dxa"/>
            <w:tcBorders>
              <w:top w:val="nil"/>
              <w:left w:val="nil"/>
              <w:bottom w:val="nil"/>
              <w:right w:val="nil"/>
            </w:tcBorders>
            <w:shd w:val="clear" w:color="auto" w:fill="auto"/>
            <w:hideMark/>
          </w:tcPr>
          <w:p w14:paraId="449CBE05" w14:textId="40A9ACD4" w:rsidR="00F55418" w:rsidRPr="00F55418" w:rsidRDefault="00F55418" w:rsidP="00F55418">
            <w:pPr>
              <w:jc w:val="center"/>
              <w:rPr>
                <w:rFonts w:cs="Times New Roman"/>
                <w:sz w:val="18"/>
                <w:szCs w:val="18"/>
              </w:rPr>
            </w:pPr>
            <w:r w:rsidRPr="00F55418">
              <w:rPr>
                <w:sz w:val="18"/>
                <w:szCs w:val="18"/>
              </w:rPr>
              <w:t>9,2</w:t>
            </w:r>
          </w:p>
        </w:tc>
      </w:tr>
      <w:tr w:rsidR="00F55418" w:rsidRPr="00F55418" w14:paraId="47115166" w14:textId="77777777" w:rsidTr="00304C90">
        <w:trPr>
          <w:trHeight w:val="283"/>
        </w:trPr>
        <w:tc>
          <w:tcPr>
            <w:tcW w:w="3519" w:type="dxa"/>
            <w:tcBorders>
              <w:top w:val="nil"/>
              <w:left w:val="nil"/>
              <w:bottom w:val="nil"/>
              <w:right w:val="nil"/>
            </w:tcBorders>
            <w:shd w:val="clear" w:color="auto" w:fill="auto"/>
            <w:hideMark/>
          </w:tcPr>
          <w:p w14:paraId="4AAB5E28" w14:textId="77777777" w:rsidR="00F55418" w:rsidRPr="00F55418" w:rsidRDefault="00F55418" w:rsidP="00F55418">
            <w:pPr>
              <w:rPr>
                <w:rFonts w:cs="Times New Roman"/>
                <w:sz w:val="18"/>
                <w:szCs w:val="18"/>
              </w:rPr>
            </w:pPr>
            <w:r w:rsidRPr="00F55418">
              <w:rPr>
                <w:rFonts w:cs="Times New Roman"/>
                <w:sz w:val="18"/>
                <w:szCs w:val="18"/>
              </w:rPr>
              <w:t>17b. Medzispotreba</w:t>
            </w:r>
          </w:p>
        </w:tc>
        <w:tc>
          <w:tcPr>
            <w:tcW w:w="1272" w:type="dxa"/>
            <w:tcBorders>
              <w:top w:val="nil"/>
              <w:left w:val="nil"/>
              <w:bottom w:val="nil"/>
              <w:right w:val="nil"/>
            </w:tcBorders>
            <w:shd w:val="clear" w:color="auto" w:fill="auto"/>
            <w:hideMark/>
          </w:tcPr>
          <w:p w14:paraId="2B47EFD6" w14:textId="77777777" w:rsidR="00F55418" w:rsidRPr="00F55418" w:rsidRDefault="00F55418" w:rsidP="00F55418">
            <w:pPr>
              <w:jc w:val="center"/>
              <w:rPr>
                <w:rFonts w:cs="Times New Roman"/>
                <w:sz w:val="18"/>
                <w:szCs w:val="18"/>
              </w:rPr>
            </w:pPr>
            <w:r w:rsidRPr="00F55418">
              <w:rPr>
                <w:rFonts w:cs="Times New Roman"/>
                <w:sz w:val="18"/>
                <w:szCs w:val="18"/>
              </w:rPr>
              <w:t>P.2</w:t>
            </w:r>
          </w:p>
        </w:tc>
        <w:tc>
          <w:tcPr>
            <w:tcW w:w="784" w:type="dxa"/>
            <w:tcBorders>
              <w:top w:val="nil"/>
              <w:left w:val="nil"/>
              <w:bottom w:val="nil"/>
              <w:right w:val="nil"/>
            </w:tcBorders>
            <w:shd w:val="clear" w:color="auto" w:fill="auto"/>
            <w:hideMark/>
          </w:tcPr>
          <w:p w14:paraId="01C8AD47" w14:textId="75B224BF" w:rsidR="00F55418" w:rsidRPr="00F55418" w:rsidRDefault="00F55418" w:rsidP="00F55418">
            <w:pPr>
              <w:jc w:val="center"/>
              <w:rPr>
                <w:rFonts w:cs="Times New Roman"/>
                <w:sz w:val="18"/>
                <w:szCs w:val="18"/>
              </w:rPr>
            </w:pPr>
            <w:r w:rsidRPr="00F55418">
              <w:rPr>
                <w:sz w:val="18"/>
                <w:szCs w:val="18"/>
              </w:rPr>
              <w:t xml:space="preserve"> 4 893   </w:t>
            </w:r>
          </w:p>
        </w:tc>
        <w:tc>
          <w:tcPr>
            <w:tcW w:w="747" w:type="dxa"/>
            <w:tcBorders>
              <w:top w:val="nil"/>
              <w:left w:val="nil"/>
              <w:bottom w:val="nil"/>
              <w:right w:val="nil"/>
            </w:tcBorders>
            <w:shd w:val="clear" w:color="auto" w:fill="auto"/>
            <w:hideMark/>
          </w:tcPr>
          <w:p w14:paraId="0AAC29AE" w14:textId="6F9C419E" w:rsidR="00F55418" w:rsidRPr="00F55418" w:rsidRDefault="00F55418" w:rsidP="00F55418">
            <w:pPr>
              <w:jc w:val="center"/>
              <w:rPr>
                <w:rFonts w:cs="Times New Roman"/>
                <w:sz w:val="18"/>
                <w:szCs w:val="18"/>
              </w:rPr>
            </w:pPr>
            <w:r w:rsidRPr="00F55418">
              <w:rPr>
                <w:sz w:val="18"/>
                <w:szCs w:val="18"/>
              </w:rPr>
              <w:t>5,4</w:t>
            </w:r>
          </w:p>
        </w:tc>
        <w:tc>
          <w:tcPr>
            <w:tcW w:w="820" w:type="dxa"/>
            <w:tcBorders>
              <w:top w:val="nil"/>
              <w:left w:val="nil"/>
              <w:bottom w:val="nil"/>
              <w:right w:val="nil"/>
            </w:tcBorders>
            <w:shd w:val="clear" w:color="auto" w:fill="auto"/>
            <w:hideMark/>
          </w:tcPr>
          <w:p w14:paraId="09C7A420" w14:textId="64D6B2DE" w:rsidR="00F55418" w:rsidRPr="00F55418" w:rsidRDefault="00F55418" w:rsidP="00F55418">
            <w:pPr>
              <w:jc w:val="center"/>
              <w:rPr>
                <w:rFonts w:cs="Times New Roman"/>
                <w:sz w:val="18"/>
                <w:szCs w:val="18"/>
              </w:rPr>
            </w:pPr>
            <w:r w:rsidRPr="00F55418">
              <w:rPr>
                <w:sz w:val="18"/>
                <w:szCs w:val="18"/>
              </w:rPr>
              <w:t>5,5</w:t>
            </w:r>
          </w:p>
        </w:tc>
        <w:tc>
          <w:tcPr>
            <w:tcW w:w="684" w:type="dxa"/>
            <w:tcBorders>
              <w:top w:val="nil"/>
              <w:left w:val="nil"/>
              <w:bottom w:val="nil"/>
              <w:right w:val="nil"/>
            </w:tcBorders>
            <w:shd w:val="clear" w:color="auto" w:fill="auto"/>
            <w:hideMark/>
          </w:tcPr>
          <w:p w14:paraId="4AF014AA" w14:textId="513BBEF7" w:rsidR="00F55418" w:rsidRPr="00F55418" w:rsidRDefault="00F55418" w:rsidP="00F55418">
            <w:pPr>
              <w:jc w:val="center"/>
              <w:rPr>
                <w:rFonts w:cs="Times New Roman"/>
                <w:sz w:val="18"/>
                <w:szCs w:val="18"/>
              </w:rPr>
            </w:pPr>
            <w:r w:rsidRPr="00F55418">
              <w:rPr>
                <w:sz w:val="18"/>
                <w:szCs w:val="18"/>
              </w:rPr>
              <w:t>5,0</w:t>
            </w:r>
          </w:p>
        </w:tc>
        <w:tc>
          <w:tcPr>
            <w:tcW w:w="659" w:type="dxa"/>
            <w:tcBorders>
              <w:top w:val="nil"/>
              <w:left w:val="nil"/>
              <w:bottom w:val="nil"/>
              <w:right w:val="nil"/>
            </w:tcBorders>
            <w:shd w:val="clear" w:color="auto" w:fill="auto"/>
            <w:hideMark/>
          </w:tcPr>
          <w:p w14:paraId="77559F6A" w14:textId="0BCB60B8" w:rsidR="00F55418" w:rsidRPr="00F55418" w:rsidRDefault="00F55418" w:rsidP="00F55418">
            <w:pPr>
              <w:jc w:val="center"/>
              <w:rPr>
                <w:rFonts w:cs="Times New Roman"/>
                <w:sz w:val="18"/>
                <w:szCs w:val="18"/>
              </w:rPr>
            </w:pPr>
            <w:r w:rsidRPr="00F55418">
              <w:rPr>
                <w:sz w:val="18"/>
                <w:szCs w:val="18"/>
              </w:rPr>
              <w:t>5,1</w:t>
            </w:r>
          </w:p>
        </w:tc>
        <w:tc>
          <w:tcPr>
            <w:tcW w:w="638" w:type="dxa"/>
            <w:tcBorders>
              <w:top w:val="nil"/>
              <w:left w:val="nil"/>
              <w:bottom w:val="nil"/>
              <w:right w:val="nil"/>
            </w:tcBorders>
            <w:shd w:val="clear" w:color="auto" w:fill="auto"/>
            <w:hideMark/>
          </w:tcPr>
          <w:p w14:paraId="2AD1A0C4" w14:textId="7B50ED99" w:rsidR="00F55418" w:rsidRPr="00F55418" w:rsidRDefault="00F55418" w:rsidP="00F55418">
            <w:pPr>
              <w:jc w:val="center"/>
              <w:rPr>
                <w:rFonts w:cs="Times New Roman"/>
                <w:sz w:val="18"/>
                <w:szCs w:val="18"/>
              </w:rPr>
            </w:pPr>
            <w:r w:rsidRPr="00F55418">
              <w:rPr>
                <w:sz w:val="18"/>
                <w:szCs w:val="18"/>
              </w:rPr>
              <w:t>4,9</w:t>
            </w:r>
          </w:p>
        </w:tc>
      </w:tr>
      <w:tr w:rsidR="00F55418" w:rsidRPr="00F55418" w14:paraId="6EAF9EDB" w14:textId="77777777" w:rsidTr="00304C90">
        <w:trPr>
          <w:trHeight w:val="283"/>
        </w:trPr>
        <w:tc>
          <w:tcPr>
            <w:tcW w:w="3519" w:type="dxa"/>
            <w:tcBorders>
              <w:top w:val="nil"/>
              <w:left w:val="nil"/>
              <w:bottom w:val="nil"/>
              <w:right w:val="nil"/>
            </w:tcBorders>
            <w:shd w:val="clear" w:color="auto" w:fill="auto"/>
            <w:hideMark/>
          </w:tcPr>
          <w:p w14:paraId="7E6C99DB" w14:textId="77777777" w:rsidR="00F55418" w:rsidRPr="00F55418" w:rsidRDefault="00F55418" w:rsidP="00F55418">
            <w:pPr>
              <w:rPr>
                <w:rFonts w:cs="Times New Roman"/>
                <w:sz w:val="18"/>
                <w:szCs w:val="18"/>
              </w:rPr>
            </w:pPr>
            <w:r w:rsidRPr="00F55418">
              <w:rPr>
                <w:rFonts w:cs="Times New Roman"/>
                <w:sz w:val="18"/>
                <w:szCs w:val="18"/>
              </w:rPr>
              <w:t>18. Celkové sociálne transfery</w:t>
            </w:r>
          </w:p>
        </w:tc>
        <w:tc>
          <w:tcPr>
            <w:tcW w:w="1272" w:type="dxa"/>
            <w:tcBorders>
              <w:top w:val="nil"/>
              <w:left w:val="nil"/>
              <w:bottom w:val="nil"/>
              <w:right w:val="nil"/>
            </w:tcBorders>
            <w:shd w:val="clear" w:color="auto" w:fill="auto"/>
            <w:hideMark/>
          </w:tcPr>
          <w:p w14:paraId="275764AA" w14:textId="77777777" w:rsidR="00F55418" w:rsidRPr="00F55418" w:rsidRDefault="00F55418" w:rsidP="00F55418">
            <w:pPr>
              <w:jc w:val="center"/>
              <w:rPr>
                <w:rFonts w:cs="Times New Roman"/>
                <w:sz w:val="18"/>
                <w:szCs w:val="18"/>
              </w:rPr>
            </w:pPr>
            <w:r w:rsidRPr="00F55418">
              <w:rPr>
                <w:rFonts w:cs="Times New Roman"/>
                <w:sz w:val="18"/>
                <w:szCs w:val="18"/>
              </w:rPr>
              <w:t>D6</w:t>
            </w:r>
          </w:p>
        </w:tc>
        <w:tc>
          <w:tcPr>
            <w:tcW w:w="784" w:type="dxa"/>
            <w:tcBorders>
              <w:top w:val="nil"/>
              <w:left w:val="nil"/>
              <w:bottom w:val="nil"/>
              <w:right w:val="nil"/>
            </w:tcBorders>
            <w:shd w:val="clear" w:color="auto" w:fill="auto"/>
            <w:hideMark/>
          </w:tcPr>
          <w:p w14:paraId="5EBD9C35" w14:textId="049E94F5" w:rsidR="00F55418" w:rsidRPr="00F55418" w:rsidRDefault="00F55418" w:rsidP="00F55418">
            <w:pPr>
              <w:jc w:val="center"/>
              <w:rPr>
                <w:rFonts w:cs="Times New Roman"/>
                <w:sz w:val="18"/>
                <w:szCs w:val="18"/>
              </w:rPr>
            </w:pPr>
            <w:r w:rsidRPr="00F55418">
              <w:rPr>
                <w:sz w:val="18"/>
                <w:szCs w:val="18"/>
              </w:rPr>
              <w:t xml:space="preserve"> 16 334   </w:t>
            </w:r>
          </w:p>
        </w:tc>
        <w:tc>
          <w:tcPr>
            <w:tcW w:w="747" w:type="dxa"/>
            <w:tcBorders>
              <w:top w:val="nil"/>
              <w:left w:val="nil"/>
              <w:bottom w:val="nil"/>
              <w:right w:val="nil"/>
            </w:tcBorders>
            <w:shd w:val="clear" w:color="auto" w:fill="auto"/>
            <w:hideMark/>
          </w:tcPr>
          <w:p w14:paraId="2B1E7DEA" w14:textId="6EA6B81B" w:rsidR="00F55418" w:rsidRPr="00F55418" w:rsidRDefault="00F55418" w:rsidP="00F55418">
            <w:pPr>
              <w:jc w:val="center"/>
              <w:rPr>
                <w:rFonts w:cs="Times New Roman"/>
                <w:sz w:val="18"/>
                <w:szCs w:val="18"/>
              </w:rPr>
            </w:pPr>
            <w:r w:rsidRPr="00F55418">
              <w:rPr>
                <w:sz w:val="18"/>
                <w:szCs w:val="18"/>
              </w:rPr>
              <w:t>18,1</w:t>
            </w:r>
          </w:p>
        </w:tc>
        <w:tc>
          <w:tcPr>
            <w:tcW w:w="820" w:type="dxa"/>
            <w:tcBorders>
              <w:top w:val="nil"/>
              <w:left w:val="nil"/>
              <w:bottom w:val="nil"/>
              <w:right w:val="nil"/>
            </w:tcBorders>
            <w:shd w:val="clear" w:color="auto" w:fill="auto"/>
            <w:hideMark/>
          </w:tcPr>
          <w:p w14:paraId="4BD1399F" w14:textId="36EA7715" w:rsidR="00F55418" w:rsidRPr="00F55418" w:rsidRDefault="00F55418" w:rsidP="00F55418">
            <w:pPr>
              <w:jc w:val="center"/>
              <w:rPr>
                <w:rFonts w:cs="Times New Roman"/>
                <w:sz w:val="18"/>
                <w:szCs w:val="18"/>
              </w:rPr>
            </w:pPr>
            <w:r w:rsidRPr="00F55418">
              <w:rPr>
                <w:sz w:val="18"/>
                <w:szCs w:val="18"/>
              </w:rPr>
              <w:t>17,7</w:t>
            </w:r>
          </w:p>
        </w:tc>
        <w:tc>
          <w:tcPr>
            <w:tcW w:w="684" w:type="dxa"/>
            <w:tcBorders>
              <w:top w:val="nil"/>
              <w:left w:val="nil"/>
              <w:bottom w:val="nil"/>
              <w:right w:val="nil"/>
            </w:tcBorders>
            <w:shd w:val="clear" w:color="auto" w:fill="auto"/>
            <w:hideMark/>
          </w:tcPr>
          <w:p w14:paraId="349C6AC5" w14:textId="4E621A4B" w:rsidR="00F55418" w:rsidRPr="00F55418" w:rsidRDefault="00F55418" w:rsidP="00F55418">
            <w:pPr>
              <w:jc w:val="center"/>
              <w:rPr>
                <w:rFonts w:cs="Times New Roman"/>
                <w:sz w:val="18"/>
                <w:szCs w:val="18"/>
              </w:rPr>
            </w:pPr>
            <w:r w:rsidRPr="00F55418">
              <w:rPr>
                <w:sz w:val="18"/>
                <w:szCs w:val="18"/>
              </w:rPr>
              <w:t>17,1</w:t>
            </w:r>
          </w:p>
        </w:tc>
        <w:tc>
          <w:tcPr>
            <w:tcW w:w="659" w:type="dxa"/>
            <w:tcBorders>
              <w:top w:val="nil"/>
              <w:left w:val="nil"/>
              <w:bottom w:val="nil"/>
              <w:right w:val="nil"/>
            </w:tcBorders>
            <w:shd w:val="clear" w:color="auto" w:fill="auto"/>
            <w:hideMark/>
          </w:tcPr>
          <w:p w14:paraId="6FB8D185" w14:textId="66F9A590" w:rsidR="00F55418" w:rsidRPr="00F55418" w:rsidRDefault="00F55418" w:rsidP="00F55418">
            <w:pPr>
              <w:jc w:val="center"/>
              <w:rPr>
                <w:rFonts w:cs="Times New Roman"/>
                <w:sz w:val="18"/>
                <w:szCs w:val="18"/>
              </w:rPr>
            </w:pPr>
            <w:r w:rsidRPr="00F55418">
              <w:rPr>
                <w:sz w:val="18"/>
                <w:szCs w:val="18"/>
              </w:rPr>
              <w:t>16,8</w:t>
            </w:r>
          </w:p>
        </w:tc>
        <w:tc>
          <w:tcPr>
            <w:tcW w:w="638" w:type="dxa"/>
            <w:tcBorders>
              <w:top w:val="nil"/>
              <w:left w:val="nil"/>
              <w:bottom w:val="nil"/>
              <w:right w:val="nil"/>
            </w:tcBorders>
            <w:shd w:val="clear" w:color="auto" w:fill="auto"/>
            <w:hideMark/>
          </w:tcPr>
          <w:p w14:paraId="204ABFDF" w14:textId="5B7096A7" w:rsidR="00F55418" w:rsidRPr="00F55418" w:rsidRDefault="00F55418" w:rsidP="00F55418">
            <w:pPr>
              <w:jc w:val="center"/>
              <w:rPr>
                <w:rFonts w:cs="Times New Roman"/>
                <w:sz w:val="18"/>
                <w:szCs w:val="18"/>
              </w:rPr>
            </w:pPr>
            <w:r w:rsidRPr="00F55418">
              <w:rPr>
                <w:sz w:val="18"/>
                <w:szCs w:val="18"/>
              </w:rPr>
              <w:t>16,5</w:t>
            </w:r>
          </w:p>
        </w:tc>
      </w:tr>
      <w:tr w:rsidR="00F55418" w:rsidRPr="00F55418" w14:paraId="7087FAA8" w14:textId="77777777" w:rsidTr="00304C90">
        <w:trPr>
          <w:trHeight w:val="283"/>
        </w:trPr>
        <w:tc>
          <w:tcPr>
            <w:tcW w:w="3519" w:type="dxa"/>
            <w:tcBorders>
              <w:top w:val="nil"/>
              <w:left w:val="nil"/>
              <w:bottom w:val="nil"/>
              <w:right w:val="nil"/>
            </w:tcBorders>
            <w:shd w:val="clear" w:color="auto" w:fill="auto"/>
            <w:hideMark/>
          </w:tcPr>
          <w:p w14:paraId="626E3762" w14:textId="77777777" w:rsidR="00F55418" w:rsidRPr="00F55418" w:rsidRDefault="00F55418" w:rsidP="00F55418">
            <w:pPr>
              <w:rPr>
                <w:rFonts w:cs="Times New Roman"/>
                <w:sz w:val="18"/>
                <w:szCs w:val="18"/>
              </w:rPr>
            </w:pPr>
            <w:r w:rsidRPr="00F55418">
              <w:rPr>
                <w:rFonts w:cs="Times New Roman"/>
                <w:sz w:val="18"/>
                <w:szCs w:val="18"/>
              </w:rPr>
              <w:lastRenderedPageBreak/>
              <w:t xml:space="preserve"> z toho: dávky v nezamestnanosti</w:t>
            </w:r>
          </w:p>
        </w:tc>
        <w:tc>
          <w:tcPr>
            <w:tcW w:w="1272" w:type="dxa"/>
            <w:tcBorders>
              <w:top w:val="nil"/>
              <w:left w:val="nil"/>
              <w:bottom w:val="nil"/>
              <w:right w:val="nil"/>
            </w:tcBorders>
            <w:shd w:val="clear" w:color="auto" w:fill="auto"/>
            <w:hideMark/>
          </w:tcPr>
          <w:p w14:paraId="394FA64F" w14:textId="77777777" w:rsidR="00F55418" w:rsidRPr="00F55418" w:rsidRDefault="00F55418" w:rsidP="00F55418">
            <w:pPr>
              <w:jc w:val="center"/>
              <w:rPr>
                <w:rFonts w:cs="Times New Roman"/>
                <w:sz w:val="18"/>
                <w:szCs w:val="18"/>
              </w:rPr>
            </w:pPr>
            <w:r w:rsidRPr="00F55418">
              <w:rPr>
                <w:rFonts w:cs="Times New Roman"/>
                <w:sz w:val="18"/>
                <w:szCs w:val="18"/>
                <w:vertAlign w:val="superscript"/>
              </w:rPr>
              <w:t>[6]</w:t>
            </w:r>
          </w:p>
        </w:tc>
        <w:tc>
          <w:tcPr>
            <w:tcW w:w="784" w:type="dxa"/>
            <w:tcBorders>
              <w:top w:val="nil"/>
              <w:left w:val="nil"/>
              <w:bottom w:val="nil"/>
              <w:right w:val="nil"/>
            </w:tcBorders>
            <w:shd w:val="clear" w:color="auto" w:fill="auto"/>
            <w:hideMark/>
          </w:tcPr>
          <w:p w14:paraId="3FABFA45" w14:textId="6B26D452" w:rsidR="00F55418" w:rsidRPr="00F55418" w:rsidRDefault="00F55418" w:rsidP="00F55418">
            <w:pPr>
              <w:jc w:val="center"/>
              <w:rPr>
                <w:rFonts w:cs="Times New Roman"/>
                <w:sz w:val="18"/>
                <w:szCs w:val="18"/>
              </w:rPr>
            </w:pPr>
            <w:r w:rsidRPr="00F55418">
              <w:rPr>
                <w:sz w:val="18"/>
                <w:szCs w:val="18"/>
              </w:rPr>
              <w:t xml:space="preserve"> 184   </w:t>
            </w:r>
          </w:p>
        </w:tc>
        <w:tc>
          <w:tcPr>
            <w:tcW w:w="747" w:type="dxa"/>
            <w:tcBorders>
              <w:top w:val="nil"/>
              <w:left w:val="nil"/>
              <w:bottom w:val="nil"/>
              <w:right w:val="nil"/>
            </w:tcBorders>
            <w:shd w:val="clear" w:color="auto" w:fill="auto"/>
            <w:hideMark/>
          </w:tcPr>
          <w:p w14:paraId="43ACED2D" w14:textId="2773320F" w:rsidR="00F55418" w:rsidRPr="00F55418" w:rsidRDefault="00F55418" w:rsidP="00F55418">
            <w:pPr>
              <w:jc w:val="center"/>
              <w:rPr>
                <w:rFonts w:cs="Times New Roman"/>
                <w:sz w:val="18"/>
                <w:szCs w:val="18"/>
              </w:rPr>
            </w:pPr>
            <w:r w:rsidRPr="00F55418">
              <w:rPr>
                <w:sz w:val="18"/>
                <w:szCs w:val="18"/>
              </w:rPr>
              <w:t>0,2</w:t>
            </w:r>
          </w:p>
        </w:tc>
        <w:tc>
          <w:tcPr>
            <w:tcW w:w="820" w:type="dxa"/>
            <w:tcBorders>
              <w:top w:val="nil"/>
              <w:left w:val="nil"/>
              <w:bottom w:val="nil"/>
              <w:right w:val="nil"/>
            </w:tcBorders>
            <w:shd w:val="clear" w:color="auto" w:fill="auto"/>
            <w:hideMark/>
          </w:tcPr>
          <w:p w14:paraId="5C13B575" w14:textId="00AEDF2C" w:rsidR="00F55418" w:rsidRPr="00F55418" w:rsidRDefault="00F55418" w:rsidP="00F55418">
            <w:pPr>
              <w:jc w:val="center"/>
              <w:rPr>
                <w:rFonts w:cs="Times New Roman"/>
                <w:sz w:val="18"/>
                <w:szCs w:val="18"/>
              </w:rPr>
            </w:pPr>
            <w:r w:rsidRPr="00F55418">
              <w:rPr>
                <w:sz w:val="18"/>
                <w:szCs w:val="18"/>
              </w:rPr>
              <w:t>0,2</w:t>
            </w:r>
          </w:p>
        </w:tc>
        <w:tc>
          <w:tcPr>
            <w:tcW w:w="684" w:type="dxa"/>
            <w:tcBorders>
              <w:top w:val="nil"/>
              <w:left w:val="nil"/>
              <w:bottom w:val="nil"/>
              <w:right w:val="nil"/>
            </w:tcBorders>
            <w:shd w:val="clear" w:color="auto" w:fill="auto"/>
            <w:hideMark/>
          </w:tcPr>
          <w:p w14:paraId="7B2528BC" w14:textId="51474CA7" w:rsidR="00F55418" w:rsidRPr="00F55418" w:rsidRDefault="00F55418" w:rsidP="00F55418">
            <w:pPr>
              <w:jc w:val="center"/>
              <w:rPr>
                <w:rFonts w:cs="Times New Roman"/>
                <w:sz w:val="18"/>
                <w:szCs w:val="18"/>
              </w:rPr>
            </w:pPr>
            <w:r w:rsidRPr="00F55418">
              <w:rPr>
                <w:sz w:val="18"/>
                <w:szCs w:val="18"/>
              </w:rPr>
              <w:t>0,2</w:t>
            </w:r>
          </w:p>
        </w:tc>
        <w:tc>
          <w:tcPr>
            <w:tcW w:w="659" w:type="dxa"/>
            <w:tcBorders>
              <w:top w:val="nil"/>
              <w:left w:val="nil"/>
              <w:bottom w:val="nil"/>
              <w:right w:val="nil"/>
            </w:tcBorders>
            <w:shd w:val="clear" w:color="auto" w:fill="auto"/>
            <w:hideMark/>
          </w:tcPr>
          <w:p w14:paraId="5B98AF54" w14:textId="42FF2D72" w:rsidR="00F55418" w:rsidRPr="00F55418" w:rsidRDefault="00F55418" w:rsidP="00F55418">
            <w:pPr>
              <w:jc w:val="center"/>
              <w:rPr>
                <w:rFonts w:cs="Times New Roman"/>
                <w:sz w:val="18"/>
                <w:szCs w:val="18"/>
              </w:rPr>
            </w:pPr>
            <w:r w:rsidRPr="00F55418">
              <w:rPr>
                <w:sz w:val="18"/>
                <w:szCs w:val="18"/>
              </w:rPr>
              <w:t>0,2</w:t>
            </w:r>
          </w:p>
        </w:tc>
        <w:tc>
          <w:tcPr>
            <w:tcW w:w="638" w:type="dxa"/>
            <w:tcBorders>
              <w:top w:val="nil"/>
              <w:left w:val="nil"/>
              <w:bottom w:val="nil"/>
              <w:right w:val="nil"/>
            </w:tcBorders>
            <w:shd w:val="clear" w:color="auto" w:fill="auto"/>
            <w:hideMark/>
          </w:tcPr>
          <w:p w14:paraId="0B8B0D40" w14:textId="77687E44" w:rsidR="00F55418" w:rsidRPr="00F55418" w:rsidRDefault="00F55418" w:rsidP="00F55418">
            <w:pPr>
              <w:jc w:val="center"/>
              <w:rPr>
                <w:rFonts w:cs="Times New Roman"/>
                <w:sz w:val="18"/>
                <w:szCs w:val="18"/>
              </w:rPr>
            </w:pPr>
            <w:r w:rsidRPr="00F55418">
              <w:rPr>
                <w:sz w:val="18"/>
                <w:szCs w:val="18"/>
              </w:rPr>
              <w:t>0,2</w:t>
            </w:r>
          </w:p>
        </w:tc>
      </w:tr>
      <w:tr w:rsidR="00F55418" w:rsidRPr="00F55418" w14:paraId="07AF07CB" w14:textId="77777777" w:rsidTr="00304C90">
        <w:trPr>
          <w:trHeight w:val="283"/>
        </w:trPr>
        <w:tc>
          <w:tcPr>
            <w:tcW w:w="3519" w:type="dxa"/>
            <w:tcBorders>
              <w:top w:val="nil"/>
              <w:left w:val="nil"/>
              <w:bottom w:val="nil"/>
              <w:right w:val="nil"/>
            </w:tcBorders>
            <w:shd w:val="clear" w:color="auto" w:fill="auto"/>
            <w:hideMark/>
          </w:tcPr>
          <w:p w14:paraId="2BA7F7E4" w14:textId="77777777" w:rsidR="00F55418" w:rsidRPr="00F55418" w:rsidRDefault="00F55418" w:rsidP="00F55418">
            <w:pPr>
              <w:rPr>
                <w:rFonts w:cs="Times New Roman"/>
                <w:sz w:val="18"/>
                <w:szCs w:val="18"/>
              </w:rPr>
            </w:pPr>
            <w:r w:rsidRPr="00F55418">
              <w:rPr>
                <w:rFonts w:cs="Times New Roman"/>
                <w:sz w:val="18"/>
                <w:szCs w:val="18"/>
              </w:rPr>
              <w:t>18a. Naturálne sociálne transfery</w:t>
            </w:r>
          </w:p>
        </w:tc>
        <w:tc>
          <w:tcPr>
            <w:tcW w:w="1272" w:type="dxa"/>
            <w:tcBorders>
              <w:top w:val="nil"/>
              <w:left w:val="nil"/>
              <w:bottom w:val="nil"/>
              <w:right w:val="nil"/>
            </w:tcBorders>
            <w:shd w:val="clear" w:color="auto" w:fill="auto"/>
            <w:hideMark/>
          </w:tcPr>
          <w:p w14:paraId="65DDBF37" w14:textId="77777777" w:rsidR="00F55418" w:rsidRPr="00F55418" w:rsidRDefault="00F55418" w:rsidP="00F55418">
            <w:pPr>
              <w:jc w:val="center"/>
              <w:rPr>
                <w:rFonts w:cs="Times New Roman"/>
                <w:sz w:val="18"/>
                <w:szCs w:val="18"/>
              </w:rPr>
            </w:pPr>
            <w:r w:rsidRPr="00F55418">
              <w:rPr>
                <w:rFonts w:cs="Times New Roman"/>
                <w:sz w:val="18"/>
                <w:szCs w:val="18"/>
              </w:rPr>
              <w:t>D.632</w:t>
            </w:r>
          </w:p>
        </w:tc>
        <w:tc>
          <w:tcPr>
            <w:tcW w:w="784" w:type="dxa"/>
            <w:tcBorders>
              <w:top w:val="nil"/>
              <w:left w:val="nil"/>
              <w:bottom w:val="nil"/>
              <w:right w:val="nil"/>
            </w:tcBorders>
            <w:shd w:val="clear" w:color="auto" w:fill="auto"/>
            <w:hideMark/>
          </w:tcPr>
          <w:p w14:paraId="06FD9593" w14:textId="4A9681FF" w:rsidR="00F55418" w:rsidRPr="00F55418" w:rsidRDefault="00F55418" w:rsidP="00F55418">
            <w:pPr>
              <w:jc w:val="center"/>
              <w:rPr>
                <w:rFonts w:cs="Times New Roman"/>
                <w:sz w:val="18"/>
                <w:szCs w:val="18"/>
              </w:rPr>
            </w:pPr>
            <w:r w:rsidRPr="00F55418">
              <w:rPr>
                <w:sz w:val="18"/>
                <w:szCs w:val="18"/>
              </w:rPr>
              <w:t xml:space="preserve"> 4 478   </w:t>
            </w:r>
          </w:p>
        </w:tc>
        <w:tc>
          <w:tcPr>
            <w:tcW w:w="747" w:type="dxa"/>
            <w:tcBorders>
              <w:top w:val="nil"/>
              <w:left w:val="nil"/>
              <w:bottom w:val="nil"/>
              <w:right w:val="nil"/>
            </w:tcBorders>
            <w:shd w:val="clear" w:color="auto" w:fill="auto"/>
            <w:hideMark/>
          </w:tcPr>
          <w:p w14:paraId="495FCDCB" w14:textId="7C26C1FE" w:rsidR="00F55418" w:rsidRPr="00F55418" w:rsidRDefault="00F55418" w:rsidP="00F55418">
            <w:pPr>
              <w:jc w:val="center"/>
              <w:rPr>
                <w:rFonts w:cs="Times New Roman"/>
                <w:sz w:val="18"/>
                <w:szCs w:val="18"/>
              </w:rPr>
            </w:pPr>
            <w:r w:rsidRPr="00F55418">
              <w:rPr>
                <w:sz w:val="18"/>
                <w:szCs w:val="18"/>
              </w:rPr>
              <w:t>5,0</w:t>
            </w:r>
          </w:p>
        </w:tc>
        <w:tc>
          <w:tcPr>
            <w:tcW w:w="820" w:type="dxa"/>
            <w:tcBorders>
              <w:top w:val="nil"/>
              <w:left w:val="nil"/>
              <w:bottom w:val="nil"/>
              <w:right w:val="nil"/>
            </w:tcBorders>
            <w:shd w:val="clear" w:color="auto" w:fill="auto"/>
            <w:hideMark/>
          </w:tcPr>
          <w:p w14:paraId="7B66B0B8" w14:textId="23CBD78A" w:rsidR="00F55418" w:rsidRPr="00F55418" w:rsidRDefault="00F55418" w:rsidP="00F55418">
            <w:pPr>
              <w:jc w:val="center"/>
              <w:rPr>
                <w:rFonts w:cs="Times New Roman"/>
                <w:sz w:val="18"/>
                <w:szCs w:val="18"/>
              </w:rPr>
            </w:pPr>
            <w:r w:rsidRPr="00F55418">
              <w:rPr>
                <w:sz w:val="18"/>
                <w:szCs w:val="18"/>
              </w:rPr>
              <w:t>4,9</w:t>
            </w:r>
          </w:p>
        </w:tc>
        <w:tc>
          <w:tcPr>
            <w:tcW w:w="684" w:type="dxa"/>
            <w:tcBorders>
              <w:top w:val="nil"/>
              <w:left w:val="nil"/>
              <w:bottom w:val="nil"/>
              <w:right w:val="nil"/>
            </w:tcBorders>
            <w:shd w:val="clear" w:color="auto" w:fill="auto"/>
            <w:hideMark/>
          </w:tcPr>
          <w:p w14:paraId="2D968A17" w14:textId="6F1D5F90" w:rsidR="00F55418" w:rsidRPr="00F55418" w:rsidRDefault="00F55418" w:rsidP="00F55418">
            <w:pPr>
              <w:jc w:val="center"/>
              <w:rPr>
                <w:rFonts w:cs="Times New Roman"/>
                <w:sz w:val="18"/>
                <w:szCs w:val="18"/>
              </w:rPr>
            </w:pPr>
            <w:r w:rsidRPr="00F55418">
              <w:rPr>
                <w:sz w:val="18"/>
                <w:szCs w:val="18"/>
              </w:rPr>
              <w:t>4,8</w:t>
            </w:r>
          </w:p>
        </w:tc>
        <w:tc>
          <w:tcPr>
            <w:tcW w:w="659" w:type="dxa"/>
            <w:tcBorders>
              <w:top w:val="nil"/>
              <w:left w:val="nil"/>
              <w:bottom w:val="nil"/>
              <w:right w:val="nil"/>
            </w:tcBorders>
            <w:shd w:val="clear" w:color="auto" w:fill="auto"/>
            <w:hideMark/>
          </w:tcPr>
          <w:p w14:paraId="033C68F4" w14:textId="63881AFA" w:rsidR="00F55418" w:rsidRPr="00F55418" w:rsidRDefault="00F55418" w:rsidP="00F55418">
            <w:pPr>
              <w:jc w:val="center"/>
              <w:rPr>
                <w:rFonts w:cs="Times New Roman"/>
                <w:sz w:val="18"/>
                <w:szCs w:val="18"/>
              </w:rPr>
            </w:pPr>
            <w:r w:rsidRPr="00F55418">
              <w:rPr>
                <w:sz w:val="18"/>
                <w:szCs w:val="18"/>
              </w:rPr>
              <w:t>4,8</w:t>
            </w:r>
          </w:p>
        </w:tc>
        <w:tc>
          <w:tcPr>
            <w:tcW w:w="638" w:type="dxa"/>
            <w:tcBorders>
              <w:top w:val="nil"/>
              <w:left w:val="nil"/>
              <w:bottom w:val="nil"/>
              <w:right w:val="nil"/>
            </w:tcBorders>
            <w:shd w:val="clear" w:color="auto" w:fill="auto"/>
            <w:hideMark/>
          </w:tcPr>
          <w:p w14:paraId="3F930EE4" w14:textId="00EA7F0E" w:rsidR="00F55418" w:rsidRPr="00F55418" w:rsidRDefault="00F55418" w:rsidP="00F55418">
            <w:pPr>
              <w:jc w:val="center"/>
              <w:rPr>
                <w:rFonts w:cs="Times New Roman"/>
                <w:sz w:val="18"/>
                <w:szCs w:val="18"/>
              </w:rPr>
            </w:pPr>
            <w:r w:rsidRPr="00F55418">
              <w:rPr>
                <w:sz w:val="18"/>
                <w:szCs w:val="18"/>
              </w:rPr>
              <w:t>4,8</w:t>
            </w:r>
          </w:p>
        </w:tc>
      </w:tr>
      <w:tr w:rsidR="00F55418" w:rsidRPr="00F55418" w14:paraId="0D637E95" w14:textId="77777777" w:rsidTr="00304C90">
        <w:trPr>
          <w:trHeight w:val="283"/>
        </w:trPr>
        <w:tc>
          <w:tcPr>
            <w:tcW w:w="3519" w:type="dxa"/>
            <w:tcBorders>
              <w:top w:val="nil"/>
              <w:left w:val="nil"/>
              <w:bottom w:val="nil"/>
              <w:right w:val="nil"/>
            </w:tcBorders>
            <w:shd w:val="clear" w:color="auto" w:fill="auto"/>
            <w:hideMark/>
          </w:tcPr>
          <w:p w14:paraId="60CA9B62" w14:textId="77777777" w:rsidR="00F55418" w:rsidRPr="00F55418" w:rsidRDefault="00F55418" w:rsidP="00F55418">
            <w:pPr>
              <w:rPr>
                <w:rFonts w:cs="Times New Roman"/>
                <w:sz w:val="18"/>
                <w:szCs w:val="18"/>
              </w:rPr>
            </w:pPr>
            <w:r w:rsidRPr="00F55418">
              <w:rPr>
                <w:rFonts w:cs="Times New Roman"/>
                <w:sz w:val="18"/>
                <w:szCs w:val="18"/>
              </w:rPr>
              <w:t>18b. Sociálne dávky okrem naturálnych soc. transferov</w:t>
            </w:r>
          </w:p>
        </w:tc>
        <w:tc>
          <w:tcPr>
            <w:tcW w:w="1272" w:type="dxa"/>
            <w:tcBorders>
              <w:top w:val="nil"/>
              <w:left w:val="nil"/>
              <w:bottom w:val="nil"/>
              <w:right w:val="nil"/>
            </w:tcBorders>
            <w:shd w:val="clear" w:color="auto" w:fill="auto"/>
            <w:hideMark/>
          </w:tcPr>
          <w:p w14:paraId="57B7F7FC" w14:textId="77777777" w:rsidR="00F55418" w:rsidRPr="00F55418" w:rsidRDefault="00F55418" w:rsidP="00F55418">
            <w:pPr>
              <w:jc w:val="center"/>
              <w:rPr>
                <w:rFonts w:cs="Times New Roman"/>
                <w:sz w:val="18"/>
                <w:szCs w:val="18"/>
              </w:rPr>
            </w:pPr>
            <w:r w:rsidRPr="00F55418">
              <w:rPr>
                <w:rFonts w:cs="Times New Roman"/>
                <w:sz w:val="18"/>
                <w:szCs w:val="18"/>
              </w:rPr>
              <w:t>D.62</w:t>
            </w:r>
          </w:p>
        </w:tc>
        <w:tc>
          <w:tcPr>
            <w:tcW w:w="784" w:type="dxa"/>
            <w:tcBorders>
              <w:top w:val="nil"/>
              <w:left w:val="nil"/>
              <w:bottom w:val="nil"/>
              <w:right w:val="nil"/>
            </w:tcBorders>
            <w:shd w:val="clear" w:color="auto" w:fill="auto"/>
            <w:hideMark/>
          </w:tcPr>
          <w:p w14:paraId="47B16247" w14:textId="399D0525" w:rsidR="00F55418" w:rsidRPr="00F55418" w:rsidRDefault="00F55418" w:rsidP="00F55418">
            <w:pPr>
              <w:jc w:val="center"/>
              <w:rPr>
                <w:rFonts w:cs="Times New Roman"/>
                <w:sz w:val="18"/>
                <w:szCs w:val="18"/>
              </w:rPr>
            </w:pPr>
            <w:r w:rsidRPr="00F55418">
              <w:rPr>
                <w:sz w:val="18"/>
                <w:szCs w:val="18"/>
              </w:rPr>
              <w:t xml:space="preserve"> 11 856   </w:t>
            </w:r>
          </w:p>
        </w:tc>
        <w:tc>
          <w:tcPr>
            <w:tcW w:w="747" w:type="dxa"/>
            <w:tcBorders>
              <w:top w:val="nil"/>
              <w:left w:val="nil"/>
              <w:bottom w:val="nil"/>
              <w:right w:val="nil"/>
            </w:tcBorders>
            <w:shd w:val="clear" w:color="auto" w:fill="auto"/>
            <w:hideMark/>
          </w:tcPr>
          <w:p w14:paraId="7B140E90" w14:textId="0C34C292" w:rsidR="00F55418" w:rsidRPr="00F55418" w:rsidRDefault="00F55418" w:rsidP="00F55418">
            <w:pPr>
              <w:jc w:val="center"/>
              <w:rPr>
                <w:rFonts w:cs="Times New Roman"/>
                <w:sz w:val="18"/>
                <w:szCs w:val="18"/>
              </w:rPr>
            </w:pPr>
            <w:r w:rsidRPr="00F55418">
              <w:rPr>
                <w:sz w:val="18"/>
                <w:szCs w:val="18"/>
              </w:rPr>
              <w:t>13,1</w:t>
            </w:r>
          </w:p>
        </w:tc>
        <w:tc>
          <w:tcPr>
            <w:tcW w:w="820" w:type="dxa"/>
            <w:tcBorders>
              <w:top w:val="nil"/>
              <w:left w:val="nil"/>
              <w:bottom w:val="nil"/>
              <w:right w:val="nil"/>
            </w:tcBorders>
            <w:shd w:val="clear" w:color="auto" w:fill="auto"/>
            <w:hideMark/>
          </w:tcPr>
          <w:p w14:paraId="4B7FA32C" w14:textId="5E4EDB22" w:rsidR="00F55418" w:rsidRPr="00F55418" w:rsidRDefault="00F55418" w:rsidP="00F55418">
            <w:pPr>
              <w:jc w:val="center"/>
              <w:rPr>
                <w:rFonts w:cs="Times New Roman"/>
                <w:sz w:val="18"/>
                <w:szCs w:val="18"/>
              </w:rPr>
            </w:pPr>
            <w:r w:rsidRPr="00F55418">
              <w:rPr>
                <w:sz w:val="18"/>
                <w:szCs w:val="18"/>
              </w:rPr>
              <w:t>12,8</w:t>
            </w:r>
          </w:p>
        </w:tc>
        <w:tc>
          <w:tcPr>
            <w:tcW w:w="684" w:type="dxa"/>
            <w:tcBorders>
              <w:top w:val="nil"/>
              <w:left w:val="nil"/>
              <w:bottom w:val="nil"/>
              <w:right w:val="nil"/>
            </w:tcBorders>
            <w:shd w:val="clear" w:color="auto" w:fill="auto"/>
            <w:hideMark/>
          </w:tcPr>
          <w:p w14:paraId="7AA3A85F" w14:textId="4645C222" w:rsidR="00F55418" w:rsidRPr="00F55418" w:rsidRDefault="00F55418" w:rsidP="00F55418">
            <w:pPr>
              <w:jc w:val="center"/>
              <w:rPr>
                <w:rFonts w:cs="Times New Roman"/>
                <w:sz w:val="18"/>
                <w:szCs w:val="18"/>
              </w:rPr>
            </w:pPr>
            <w:r w:rsidRPr="00F55418">
              <w:rPr>
                <w:sz w:val="18"/>
                <w:szCs w:val="18"/>
              </w:rPr>
              <w:t>12,3</w:t>
            </w:r>
          </w:p>
        </w:tc>
        <w:tc>
          <w:tcPr>
            <w:tcW w:w="659" w:type="dxa"/>
            <w:tcBorders>
              <w:top w:val="nil"/>
              <w:left w:val="nil"/>
              <w:bottom w:val="nil"/>
              <w:right w:val="nil"/>
            </w:tcBorders>
            <w:shd w:val="clear" w:color="auto" w:fill="auto"/>
            <w:hideMark/>
          </w:tcPr>
          <w:p w14:paraId="737F3919" w14:textId="0462128A" w:rsidR="00F55418" w:rsidRPr="00F55418" w:rsidRDefault="00F55418" w:rsidP="00F55418">
            <w:pPr>
              <w:jc w:val="center"/>
              <w:rPr>
                <w:rFonts w:cs="Times New Roman"/>
                <w:sz w:val="18"/>
                <w:szCs w:val="18"/>
              </w:rPr>
            </w:pPr>
            <w:r w:rsidRPr="00F55418">
              <w:rPr>
                <w:sz w:val="18"/>
                <w:szCs w:val="18"/>
              </w:rPr>
              <w:t>12,0</w:t>
            </w:r>
          </w:p>
        </w:tc>
        <w:tc>
          <w:tcPr>
            <w:tcW w:w="638" w:type="dxa"/>
            <w:tcBorders>
              <w:top w:val="nil"/>
              <w:left w:val="nil"/>
              <w:bottom w:val="nil"/>
              <w:right w:val="nil"/>
            </w:tcBorders>
            <w:shd w:val="clear" w:color="auto" w:fill="auto"/>
            <w:hideMark/>
          </w:tcPr>
          <w:p w14:paraId="72BE6632" w14:textId="3008DBF3" w:rsidR="00F55418" w:rsidRPr="00F55418" w:rsidRDefault="00F55418" w:rsidP="00F55418">
            <w:pPr>
              <w:jc w:val="center"/>
              <w:rPr>
                <w:rFonts w:cs="Times New Roman"/>
                <w:sz w:val="18"/>
                <w:szCs w:val="18"/>
              </w:rPr>
            </w:pPr>
            <w:r w:rsidRPr="00F55418">
              <w:rPr>
                <w:sz w:val="18"/>
                <w:szCs w:val="18"/>
              </w:rPr>
              <w:t>11,7</w:t>
            </w:r>
          </w:p>
        </w:tc>
      </w:tr>
      <w:tr w:rsidR="00F55418" w:rsidRPr="00F55418" w14:paraId="61FDB3F9" w14:textId="77777777" w:rsidTr="00304C90">
        <w:trPr>
          <w:trHeight w:val="283"/>
        </w:trPr>
        <w:tc>
          <w:tcPr>
            <w:tcW w:w="3519" w:type="dxa"/>
            <w:tcBorders>
              <w:top w:val="nil"/>
              <w:left w:val="nil"/>
              <w:bottom w:val="nil"/>
              <w:right w:val="nil"/>
            </w:tcBorders>
            <w:shd w:val="clear" w:color="auto" w:fill="auto"/>
            <w:hideMark/>
          </w:tcPr>
          <w:p w14:paraId="3CFBDBB1" w14:textId="77777777" w:rsidR="00F55418" w:rsidRPr="00F55418" w:rsidRDefault="00F55418" w:rsidP="00F55418">
            <w:pPr>
              <w:rPr>
                <w:rFonts w:cs="Times New Roman"/>
                <w:sz w:val="18"/>
                <w:szCs w:val="18"/>
              </w:rPr>
            </w:pPr>
            <w:r w:rsidRPr="00F55418">
              <w:rPr>
                <w:rFonts w:cs="Times New Roman"/>
                <w:sz w:val="18"/>
                <w:szCs w:val="18"/>
              </w:rPr>
              <w:t>19.=9. Úrokové náklady</w:t>
            </w:r>
          </w:p>
        </w:tc>
        <w:tc>
          <w:tcPr>
            <w:tcW w:w="1272" w:type="dxa"/>
            <w:tcBorders>
              <w:top w:val="nil"/>
              <w:left w:val="nil"/>
              <w:bottom w:val="nil"/>
              <w:right w:val="nil"/>
            </w:tcBorders>
            <w:shd w:val="clear" w:color="auto" w:fill="auto"/>
            <w:hideMark/>
          </w:tcPr>
          <w:p w14:paraId="2527ECAB" w14:textId="77777777" w:rsidR="00F55418" w:rsidRPr="00F55418" w:rsidRDefault="00F55418" w:rsidP="00F55418">
            <w:pPr>
              <w:jc w:val="center"/>
              <w:rPr>
                <w:rFonts w:cs="Times New Roman"/>
                <w:sz w:val="18"/>
                <w:szCs w:val="18"/>
              </w:rPr>
            </w:pPr>
            <w:r w:rsidRPr="00F55418">
              <w:rPr>
                <w:rFonts w:cs="Times New Roman"/>
                <w:sz w:val="18"/>
                <w:szCs w:val="18"/>
              </w:rPr>
              <w:t xml:space="preserve">D.41 </w:t>
            </w:r>
          </w:p>
        </w:tc>
        <w:tc>
          <w:tcPr>
            <w:tcW w:w="784" w:type="dxa"/>
            <w:tcBorders>
              <w:top w:val="nil"/>
              <w:left w:val="nil"/>
              <w:bottom w:val="nil"/>
              <w:right w:val="nil"/>
            </w:tcBorders>
            <w:shd w:val="clear" w:color="auto" w:fill="auto"/>
            <w:hideMark/>
          </w:tcPr>
          <w:p w14:paraId="07AF2E05" w14:textId="70870504" w:rsidR="00F55418" w:rsidRPr="00F55418" w:rsidRDefault="00F55418" w:rsidP="00F55418">
            <w:pPr>
              <w:jc w:val="center"/>
              <w:rPr>
                <w:rFonts w:cs="Times New Roman"/>
                <w:sz w:val="18"/>
                <w:szCs w:val="18"/>
              </w:rPr>
            </w:pPr>
            <w:r w:rsidRPr="00F55418">
              <w:rPr>
                <w:sz w:val="18"/>
                <w:szCs w:val="18"/>
              </w:rPr>
              <w:t xml:space="preserve"> 1 176   </w:t>
            </w:r>
          </w:p>
        </w:tc>
        <w:tc>
          <w:tcPr>
            <w:tcW w:w="747" w:type="dxa"/>
            <w:tcBorders>
              <w:top w:val="nil"/>
              <w:left w:val="nil"/>
              <w:bottom w:val="nil"/>
              <w:right w:val="nil"/>
            </w:tcBorders>
            <w:shd w:val="clear" w:color="auto" w:fill="auto"/>
            <w:hideMark/>
          </w:tcPr>
          <w:p w14:paraId="66853DBF" w14:textId="386C362D" w:rsidR="00F55418" w:rsidRPr="00F55418" w:rsidRDefault="00F55418" w:rsidP="00F55418">
            <w:pPr>
              <w:jc w:val="center"/>
              <w:rPr>
                <w:rFonts w:cs="Times New Roman"/>
                <w:sz w:val="18"/>
                <w:szCs w:val="18"/>
              </w:rPr>
            </w:pPr>
            <w:r w:rsidRPr="00F55418">
              <w:rPr>
                <w:sz w:val="18"/>
                <w:szCs w:val="18"/>
              </w:rPr>
              <w:t>1,3</w:t>
            </w:r>
          </w:p>
        </w:tc>
        <w:tc>
          <w:tcPr>
            <w:tcW w:w="820" w:type="dxa"/>
            <w:tcBorders>
              <w:top w:val="nil"/>
              <w:left w:val="nil"/>
              <w:bottom w:val="nil"/>
              <w:right w:val="nil"/>
            </w:tcBorders>
            <w:shd w:val="clear" w:color="auto" w:fill="auto"/>
            <w:hideMark/>
          </w:tcPr>
          <w:p w14:paraId="209EB09D" w14:textId="50EAAB66" w:rsidR="00F55418" w:rsidRPr="00F55418" w:rsidRDefault="00F55418" w:rsidP="00F55418">
            <w:pPr>
              <w:jc w:val="center"/>
              <w:rPr>
                <w:rFonts w:cs="Times New Roman"/>
                <w:sz w:val="18"/>
                <w:szCs w:val="18"/>
              </w:rPr>
            </w:pPr>
            <w:r w:rsidRPr="00F55418">
              <w:rPr>
                <w:sz w:val="18"/>
                <w:szCs w:val="18"/>
              </w:rPr>
              <w:t>1,3</w:t>
            </w:r>
          </w:p>
        </w:tc>
        <w:tc>
          <w:tcPr>
            <w:tcW w:w="684" w:type="dxa"/>
            <w:tcBorders>
              <w:top w:val="nil"/>
              <w:left w:val="nil"/>
              <w:bottom w:val="nil"/>
              <w:right w:val="nil"/>
            </w:tcBorders>
            <w:shd w:val="clear" w:color="auto" w:fill="auto"/>
            <w:hideMark/>
          </w:tcPr>
          <w:p w14:paraId="02EA43EA" w14:textId="7F9C583B" w:rsidR="00F55418" w:rsidRPr="00F55418" w:rsidRDefault="00F55418" w:rsidP="00F55418">
            <w:pPr>
              <w:jc w:val="center"/>
              <w:rPr>
                <w:rFonts w:cs="Times New Roman"/>
                <w:sz w:val="18"/>
                <w:szCs w:val="18"/>
              </w:rPr>
            </w:pPr>
            <w:r w:rsidRPr="00F55418">
              <w:rPr>
                <w:sz w:val="18"/>
                <w:szCs w:val="18"/>
              </w:rPr>
              <w:t>1,3</w:t>
            </w:r>
          </w:p>
        </w:tc>
        <w:tc>
          <w:tcPr>
            <w:tcW w:w="659" w:type="dxa"/>
            <w:tcBorders>
              <w:top w:val="nil"/>
              <w:left w:val="nil"/>
              <w:bottom w:val="nil"/>
              <w:right w:val="nil"/>
            </w:tcBorders>
            <w:shd w:val="clear" w:color="auto" w:fill="auto"/>
            <w:hideMark/>
          </w:tcPr>
          <w:p w14:paraId="703C296B" w14:textId="74B4E908" w:rsidR="00F55418" w:rsidRPr="00F55418" w:rsidRDefault="00F55418" w:rsidP="00F55418">
            <w:pPr>
              <w:jc w:val="center"/>
              <w:rPr>
                <w:rFonts w:cs="Times New Roman"/>
                <w:sz w:val="18"/>
                <w:szCs w:val="18"/>
              </w:rPr>
            </w:pPr>
            <w:r w:rsidRPr="00F55418">
              <w:rPr>
                <w:sz w:val="18"/>
                <w:szCs w:val="18"/>
              </w:rPr>
              <w:t>1,1</w:t>
            </w:r>
          </w:p>
        </w:tc>
        <w:tc>
          <w:tcPr>
            <w:tcW w:w="638" w:type="dxa"/>
            <w:tcBorders>
              <w:top w:val="nil"/>
              <w:left w:val="nil"/>
              <w:bottom w:val="nil"/>
              <w:right w:val="nil"/>
            </w:tcBorders>
            <w:shd w:val="clear" w:color="auto" w:fill="auto"/>
            <w:hideMark/>
          </w:tcPr>
          <w:p w14:paraId="4F0DDDAA" w14:textId="151A8DA4" w:rsidR="00F55418" w:rsidRPr="00F55418" w:rsidRDefault="00F55418" w:rsidP="00F55418">
            <w:pPr>
              <w:jc w:val="center"/>
              <w:rPr>
                <w:rFonts w:cs="Times New Roman"/>
                <w:sz w:val="18"/>
                <w:szCs w:val="18"/>
              </w:rPr>
            </w:pPr>
            <w:r w:rsidRPr="00F55418">
              <w:rPr>
                <w:sz w:val="18"/>
                <w:szCs w:val="18"/>
              </w:rPr>
              <w:t>1,0</w:t>
            </w:r>
          </w:p>
        </w:tc>
      </w:tr>
      <w:tr w:rsidR="00F55418" w:rsidRPr="00F55418" w14:paraId="14BB7832" w14:textId="77777777" w:rsidTr="00304C90">
        <w:trPr>
          <w:trHeight w:val="283"/>
        </w:trPr>
        <w:tc>
          <w:tcPr>
            <w:tcW w:w="3519" w:type="dxa"/>
            <w:tcBorders>
              <w:top w:val="nil"/>
              <w:left w:val="nil"/>
              <w:bottom w:val="nil"/>
              <w:right w:val="nil"/>
            </w:tcBorders>
            <w:shd w:val="clear" w:color="auto" w:fill="auto"/>
            <w:hideMark/>
          </w:tcPr>
          <w:p w14:paraId="5CEE42E7" w14:textId="77777777" w:rsidR="00F55418" w:rsidRPr="00F55418" w:rsidRDefault="00F55418" w:rsidP="00F55418">
            <w:pPr>
              <w:rPr>
                <w:rFonts w:cs="Times New Roman"/>
                <w:sz w:val="18"/>
                <w:szCs w:val="18"/>
              </w:rPr>
            </w:pPr>
            <w:r w:rsidRPr="00F55418">
              <w:rPr>
                <w:rFonts w:cs="Times New Roman"/>
                <w:sz w:val="18"/>
                <w:szCs w:val="18"/>
              </w:rPr>
              <w:t>20. Subvencie</w:t>
            </w:r>
          </w:p>
        </w:tc>
        <w:tc>
          <w:tcPr>
            <w:tcW w:w="1272" w:type="dxa"/>
            <w:tcBorders>
              <w:top w:val="nil"/>
              <w:left w:val="nil"/>
              <w:bottom w:val="nil"/>
              <w:right w:val="nil"/>
            </w:tcBorders>
            <w:shd w:val="clear" w:color="auto" w:fill="auto"/>
            <w:hideMark/>
          </w:tcPr>
          <w:p w14:paraId="3B8983E4" w14:textId="77777777" w:rsidR="00F55418" w:rsidRPr="00F55418" w:rsidRDefault="00F55418" w:rsidP="00F55418">
            <w:pPr>
              <w:jc w:val="center"/>
              <w:rPr>
                <w:rFonts w:cs="Times New Roman"/>
                <w:sz w:val="18"/>
                <w:szCs w:val="18"/>
              </w:rPr>
            </w:pPr>
            <w:r w:rsidRPr="00F55418">
              <w:rPr>
                <w:rFonts w:cs="Times New Roman"/>
                <w:sz w:val="18"/>
                <w:szCs w:val="18"/>
              </w:rPr>
              <w:t>D.3</w:t>
            </w:r>
          </w:p>
        </w:tc>
        <w:tc>
          <w:tcPr>
            <w:tcW w:w="784" w:type="dxa"/>
            <w:tcBorders>
              <w:top w:val="nil"/>
              <w:left w:val="nil"/>
              <w:bottom w:val="nil"/>
              <w:right w:val="nil"/>
            </w:tcBorders>
            <w:shd w:val="clear" w:color="auto" w:fill="auto"/>
            <w:hideMark/>
          </w:tcPr>
          <w:p w14:paraId="259591DA" w14:textId="618AEE6F" w:rsidR="00F55418" w:rsidRPr="00F55418" w:rsidRDefault="00F55418" w:rsidP="00F55418">
            <w:pPr>
              <w:jc w:val="center"/>
              <w:rPr>
                <w:rFonts w:cs="Times New Roman"/>
                <w:sz w:val="18"/>
                <w:szCs w:val="18"/>
              </w:rPr>
            </w:pPr>
            <w:r w:rsidRPr="00F55418">
              <w:rPr>
                <w:sz w:val="18"/>
                <w:szCs w:val="18"/>
              </w:rPr>
              <w:t xml:space="preserve"> 399   </w:t>
            </w:r>
          </w:p>
        </w:tc>
        <w:tc>
          <w:tcPr>
            <w:tcW w:w="747" w:type="dxa"/>
            <w:tcBorders>
              <w:top w:val="nil"/>
              <w:left w:val="nil"/>
              <w:bottom w:val="nil"/>
              <w:right w:val="nil"/>
            </w:tcBorders>
            <w:shd w:val="clear" w:color="auto" w:fill="auto"/>
            <w:hideMark/>
          </w:tcPr>
          <w:p w14:paraId="760931BB" w14:textId="11A54848" w:rsidR="00F55418" w:rsidRPr="00F55418" w:rsidRDefault="00F55418" w:rsidP="00F55418">
            <w:pPr>
              <w:jc w:val="center"/>
              <w:rPr>
                <w:rFonts w:cs="Times New Roman"/>
                <w:sz w:val="18"/>
                <w:szCs w:val="18"/>
              </w:rPr>
            </w:pPr>
            <w:r w:rsidRPr="00F55418">
              <w:rPr>
                <w:sz w:val="18"/>
                <w:szCs w:val="18"/>
              </w:rPr>
              <w:t>0,4</w:t>
            </w:r>
          </w:p>
        </w:tc>
        <w:tc>
          <w:tcPr>
            <w:tcW w:w="820" w:type="dxa"/>
            <w:tcBorders>
              <w:top w:val="nil"/>
              <w:left w:val="nil"/>
              <w:bottom w:val="nil"/>
              <w:right w:val="nil"/>
            </w:tcBorders>
            <w:shd w:val="clear" w:color="auto" w:fill="auto"/>
            <w:hideMark/>
          </w:tcPr>
          <w:p w14:paraId="59C5D575" w14:textId="0B34067B" w:rsidR="00F55418" w:rsidRPr="00F55418" w:rsidRDefault="00F55418" w:rsidP="00F55418">
            <w:pPr>
              <w:jc w:val="center"/>
              <w:rPr>
                <w:rFonts w:cs="Times New Roman"/>
                <w:sz w:val="18"/>
                <w:szCs w:val="18"/>
              </w:rPr>
            </w:pPr>
            <w:r w:rsidRPr="00F55418">
              <w:rPr>
                <w:sz w:val="18"/>
                <w:szCs w:val="18"/>
              </w:rPr>
              <w:t>0,5</w:t>
            </w:r>
          </w:p>
        </w:tc>
        <w:tc>
          <w:tcPr>
            <w:tcW w:w="684" w:type="dxa"/>
            <w:tcBorders>
              <w:top w:val="nil"/>
              <w:left w:val="nil"/>
              <w:bottom w:val="nil"/>
              <w:right w:val="nil"/>
            </w:tcBorders>
            <w:shd w:val="clear" w:color="auto" w:fill="auto"/>
            <w:hideMark/>
          </w:tcPr>
          <w:p w14:paraId="159AD388" w14:textId="41FFEEB7" w:rsidR="00F55418" w:rsidRPr="00F55418" w:rsidRDefault="00F55418" w:rsidP="00F55418">
            <w:pPr>
              <w:jc w:val="center"/>
              <w:rPr>
                <w:rFonts w:cs="Times New Roman"/>
                <w:sz w:val="18"/>
                <w:szCs w:val="18"/>
              </w:rPr>
            </w:pPr>
            <w:r w:rsidRPr="00F55418">
              <w:rPr>
                <w:sz w:val="18"/>
                <w:szCs w:val="18"/>
              </w:rPr>
              <w:t>0,5</w:t>
            </w:r>
          </w:p>
        </w:tc>
        <w:tc>
          <w:tcPr>
            <w:tcW w:w="659" w:type="dxa"/>
            <w:tcBorders>
              <w:top w:val="nil"/>
              <w:left w:val="nil"/>
              <w:bottom w:val="nil"/>
              <w:right w:val="nil"/>
            </w:tcBorders>
            <w:shd w:val="clear" w:color="auto" w:fill="auto"/>
            <w:hideMark/>
          </w:tcPr>
          <w:p w14:paraId="6FB1BCB4" w14:textId="485F17A0" w:rsidR="00F55418" w:rsidRPr="00F55418" w:rsidRDefault="00F55418" w:rsidP="00F55418">
            <w:pPr>
              <w:jc w:val="center"/>
              <w:rPr>
                <w:rFonts w:cs="Times New Roman"/>
                <w:sz w:val="18"/>
                <w:szCs w:val="18"/>
              </w:rPr>
            </w:pPr>
            <w:r w:rsidRPr="00F55418">
              <w:rPr>
                <w:sz w:val="18"/>
                <w:szCs w:val="18"/>
              </w:rPr>
              <w:t>0,5</w:t>
            </w:r>
          </w:p>
        </w:tc>
        <w:tc>
          <w:tcPr>
            <w:tcW w:w="638" w:type="dxa"/>
            <w:tcBorders>
              <w:top w:val="nil"/>
              <w:left w:val="nil"/>
              <w:bottom w:val="nil"/>
              <w:right w:val="nil"/>
            </w:tcBorders>
            <w:shd w:val="clear" w:color="auto" w:fill="auto"/>
            <w:hideMark/>
          </w:tcPr>
          <w:p w14:paraId="10A13D5B" w14:textId="20ECCFDC" w:rsidR="00F55418" w:rsidRPr="00F55418" w:rsidRDefault="00F55418" w:rsidP="00F55418">
            <w:pPr>
              <w:jc w:val="center"/>
              <w:rPr>
                <w:rFonts w:cs="Times New Roman"/>
                <w:sz w:val="18"/>
                <w:szCs w:val="18"/>
              </w:rPr>
            </w:pPr>
            <w:r w:rsidRPr="00F55418">
              <w:rPr>
                <w:sz w:val="18"/>
                <w:szCs w:val="18"/>
              </w:rPr>
              <w:t>0,4</w:t>
            </w:r>
          </w:p>
        </w:tc>
      </w:tr>
      <w:tr w:rsidR="00F55418" w:rsidRPr="00F55418" w14:paraId="34460ECA" w14:textId="77777777" w:rsidTr="00304C90">
        <w:trPr>
          <w:trHeight w:val="283"/>
        </w:trPr>
        <w:tc>
          <w:tcPr>
            <w:tcW w:w="3519" w:type="dxa"/>
            <w:tcBorders>
              <w:top w:val="nil"/>
              <w:left w:val="nil"/>
              <w:bottom w:val="nil"/>
              <w:right w:val="nil"/>
            </w:tcBorders>
            <w:shd w:val="clear" w:color="auto" w:fill="auto"/>
            <w:hideMark/>
          </w:tcPr>
          <w:p w14:paraId="76FEC91D" w14:textId="77777777" w:rsidR="00F55418" w:rsidRPr="00F55418" w:rsidRDefault="00F55418" w:rsidP="00F55418">
            <w:pPr>
              <w:rPr>
                <w:rFonts w:cs="Times New Roman"/>
                <w:sz w:val="18"/>
                <w:szCs w:val="18"/>
              </w:rPr>
            </w:pPr>
            <w:r w:rsidRPr="00F55418">
              <w:rPr>
                <w:rFonts w:cs="Times New Roman"/>
                <w:sz w:val="18"/>
                <w:szCs w:val="18"/>
              </w:rPr>
              <w:t>21. Tvorba hrubého fixného kapitálu</w:t>
            </w:r>
          </w:p>
        </w:tc>
        <w:tc>
          <w:tcPr>
            <w:tcW w:w="1272" w:type="dxa"/>
            <w:tcBorders>
              <w:top w:val="nil"/>
              <w:left w:val="nil"/>
              <w:bottom w:val="nil"/>
              <w:right w:val="nil"/>
            </w:tcBorders>
            <w:shd w:val="clear" w:color="auto" w:fill="auto"/>
            <w:hideMark/>
          </w:tcPr>
          <w:p w14:paraId="27764B28" w14:textId="77777777" w:rsidR="00F55418" w:rsidRPr="00F55418" w:rsidRDefault="00F55418" w:rsidP="00F55418">
            <w:pPr>
              <w:jc w:val="center"/>
              <w:rPr>
                <w:rFonts w:cs="Times New Roman"/>
                <w:sz w:val="18"/>
                <w:szCs w:val="18"/>
              </w:rPr>
            </w:pPr>
            <w:r w:rsidRPr="00F55418">
              <w:rPr>
                <w:rFonts w:cs="Times New Roman"/>
                <w:sz w:val="18"/>
                <w:szCs w:val="18"/>
              </w:rPr>
              <w:t>P.51g</w:t>
            </w:r>
          </w:p>
        </w:tc>
        <w:tc>
          <w:tcPr>
            <w:tcW w:w="784" w:type="dxa"/>
            <w:tcBorders>
              <w:top w:val="nil"/>
              <w:left w:val="nil"/>
              <w:bottom w:val="nil"/>
              <w:right w:val="nil"/>
            </w:tcBorders>
            <w:shd w:val="clear" w:color="auto" w:fill="auto"/>
            <w:hideMark/>
          </w:tcPr>
          <w:p w14:paraId="002E0D7C" w14:textId="6274F09D" w:rsidR="00F55418" w:rsidRPr="00F55418" w:rsidRDefault="00F55418" w:rsidP="00F55418">
            <w:pPr>
              <w:jc w:val="center"/>
              <w:rPr>
                <w:rFonts w:cs="Times New Roman"/>
                <w:sz w:val="18"/>
                <w:szCs w:val="18"/>
              </w:rPr>
            </w:pPr>
            <w:r w:rsidRPr="00F55418">
              <w:rPr>
                <w:sz w:val="18"/>
                <w:szCs w:val="18"/>
              </w:rPr>
              <w:t xml:space="preserve"> 3 218   </w:t>
            </w:r>
          </w:p>
        </w:tc>
        <w:tc>
          <w:tcPr>
            <w:tcW w:w="747" w:type="dxa"/>
            <w:tcBorders>
              <w:top w:val="nil"/>
              <w:left w:val="nil"/>
              <w:bottom w:val="nil"/>
              <w:right w:val="nil"/>
            </w:tcBorders>
            <w:shd w:val="clear" w:color="auto" w:fill="auto"/>
            <w:hideMark/>
          </w:tcPr>
          <w:p w14:paraId="01C7FA42" w14:textId="157F7B2E" w:rsidR="00F55418" w:rsidRPr="00F55418" w:rsidRDefault="00F55418" w:rsidP="00F55418">
            <w:pPr>
              <w:jc w:val="center"/>
              <w:rPr>
                <w:rFonts w:cs="Times New Roman"/>
                <w:sz w:val="18"/>
                <w:szCs w:val="18"/>
              </w:rPr>
            </w:pPr>
            <w:r w:rsidRPr="00F55418">
              <w:rPr>
                <w:sz w:val="18"/>
                <w:szCs w:val="18"/>
              </w:rPr>
              <w:t>3,6</w:t>
            </w:r>
          </w:p>
        </w:tc>
        <w:tc>
          <w:tcPr>
            <w:tcW w:w="820" w:type="dxa"/>
            <w:tcBorders>
              <w:top w:val="nil"/>
              <w:left w:val="nil"/>
              <w:bottom w:val="nil"/>
              <w:right w:val="nil"/>
            </w:tcBorders>
            <w:shd w:val="clear" w:color="auto" w:fill="auto"/>
            <w:hideMark/>
          </w:tcPr>
          <w:p w14:paraId="6FD86FE5" w14:textId="21016793" w:rsidR="00F55418" w:rsidRPr="00F55418" w:rsidRDefault="00F55418" w:rsidP="00F55418">
            <w:pPr>
              <w:jc w:val="center"/>
              <w:rPr>
                <w:rFonts w:cs="Times New Roman"/>
                <w:sz w:val="18"/>
                <w:szCs w:val="18"/>
              </w:rPr>
            </w:pPr>
            <w:r w:rsidRPr="00F55418">
              <w:rPr>
                <w:sz w:val="18"/>
                <w:szCs w:val="18"/>
              </w:rPr>
              <w:t>2,7</w:t>
            </w:r>
          </w:p>
        </w:tc>
        <w:tc>
          <w:tcPr>
            <w:tcW w:w="684" w:type="dxa"/>
            <w:tcBorders>
              <w:top w:val="nil"/>
              <w:left w:val="nil"/>
              <w:bottom w:val="nil"/>
              <w:right w:val="nil"/>
            </w:tcBorders>
            <w:shd w:val="clear" w:color="auto" w:fill="auto"/>
            <w:hideMark/>
          </w:tcPr>
          <w:p w14:paraId="5D499C10" w14:textId="6A6A7BF6" w:rsidR="00F55418" w:rsidRPr="00F55418" w:rsidRDefault="00F55418" w:rsidP="00F55418">
            <w:pPr>
              <w:jc w:val="center"/>
              <w:rPr>
                <w:rFonts w:cs="Times New Roman"/>
                <w:sz w:val="18"/>
                <w:szCs w:val="18"/>
              </w:rPr>
            </w:pPr>
            <w:r w:rsidRPr="00F55418">
              <w:rPr>
                <w:sz w:val="18"/>
                <w:szCs w:val="18"/>
              </w:rPr>
              <w:t>2,7</w:t>
            </w:r>
          </w:p>
        </w:tc>
        <w:tc>
          <w:tcPr>
            <w:tcW w:w="659" w:type="dxa"/>
            <w:tcBorders>
              <w:top w:val="nil"/>
              <w:left w:val="nil"/>
              <w:bottom w:val="nil"/>
              <w:right w:val="nil"/>
            </w:tcBorders>
            <w:shd w:val="clear" w:color="auto" w:fill="auto"/>
            <w:hideMark/>
          </w:tcPr>
          <w:p w14:paraId="6BF503C7" w14:textId="4E4FFE90" w:rsidR="00F55418" w:rsidRPr="00F55418" w:rsidRDefault="00F55418" w:rsidP="00F55418">
            <w:pPr>
              <w:jc w:val="center"/>
              <w:rPr>
                <w:rFonts w:cs="Times New Roman"/>
                <w:sz w:val="18"/>
                <w:szCs w:val="18"/>
              </w:rPr>
            </w:pPr>
            <w:r w:rsidRPr="00F55418">
              <w:rPr>
                <w:sz w:val="18"/>
                <w:szCs w:val="18"/>
              </w:rPr>
              <w:t>2,5</w:t>
            </w:r>
          </w:p>
        </w:tc>
        <w:tc>
          <w:tcPr>
            <w:tcW w:w="638" w:type="dxa"/>
            <w:tcBorders>
              <w:top w:val="nil"/>
              <w:left w:val="nil"/>
              <w:bottom w:val="nil"/>
              <w:right w:val="nil"/>
            </w:tcBorders>
            <w:shd w:val="clear" w:color="auto" w:fill="auto"/>
            <w:hideMark/>
          </w:tcPr>
          <w:p w14:paraId="319ECDB3" w14:textId="1EB61F6E" w:rsidR="00F55418" w:rsidRPr="00F55418" w:rsidRDefault="00F55418" w:rsidP="00F55418">
            <w:pPr>
              <w:jc w:val="center"/>
              <w:rPr>
                <w:rFonts w:cs="Times New Roman"/>
                <w:sz w:val="18"/>
                <w:szCs w:val="18"/>
              </w:rPr>
            </w:pPr>
            <w:r w:rsidRPr="00F55418">
              <w:rPr>
                <w:sz w:val="18"/>
                <w:szCs w:val="18"/>
              </w:rPr>
              <w:t>3,1</w:t>
            </w:r>
          </w:p>
        </w:tc>
      </w:tr>
      <w:tr w:rsidR="00F55418" w:rsidRPr="00F55418" w14:paraId="26875FCE" w14:textId="77777777" w:rsidTr="00304C90">
        <w:trPr>
          <w:trHeight w:val="283"/>
        </w:trPr>
        <w:tc>
          <w:tcPr>
            <w:tcW w:w="3519" w:type="dxa"/>
            <w:tcBorders>
              <w:top w:val="nil"/>
              <w:left w:val="nil"/>
              <w:bottom w:val="nil"/>
              <w:right w:val="nil"/>
            </w:tcBorders>
            <w:shd w:val="clear" w:color="auto" w:fill="auto"/>
            <w:hideMark/>
          </w:tcPr>
          <w:p w14:paraId="7EB22F26" w14:textId="77777777" w:rsidR="00F55418" w:rsidRPr="00F55418" w:rsidRDefault="00F55418" w:rsidP="00F55418">
            <w:pPr>
              <w:rPr>
                <w:rFonts w:cs="Times New Roman"/>
                <w:sz w:val="18"/>
                <w:szCs w:val="18"/>
              </w:rPr>
            </w:pPr>
            <w:r w:rsidRPr="00F55418">
              <w:rPr>
                <w:rFonts w:cs="Times New Roman"/>
                <w:sz w:val="18"/>
                <w:szCs w:val="18"/>
              </w:rPr>
              <w:t>22. Kapitálové transfery</w:t>
            </w:r>
          </w:p>
        </w:tc>
        <w:tc>
          <w:tcPr>
            <w:tcW w:w="1272" w:type="dxa"/>
            <w:tcBorders>
              <w:top w:val="nil"/>
              <w:left w:val="nil"/>
              <w:bottom w:val="nil"/>
              <w:right w:val="nil"/>
            </w:tcBorders>
            <w:shd w:val="clear" w:color="auto" w:fill="auto"/>
            <w:hideMark/>
          </w:tcPr>
          <w:p w14:paraId="14C7C7DB" w14:textId="77777777" w:rsidR="00F55418" w:rsidRPr="00F55418" w:rsidRDefault="00F55418" w:rsidP="00F55418">
            <w:pPr>
              <w:jc w:val="center"/>
              <w:rPr>
                <w:rFonts w:cs="Times New Roman"/>
                <w:sz w:val="18"/>
                <w:szCs w:val="18"/>
              </w:rPr>
            </w:pPr>
            <w:r w:rsidRPr="00F55418">
              <w:rPr>
                <w:rFonts w:cs="Times New Roman"/>
                <w:sz w:val="18"/>
                <w:szCs w:val="18"/>
              </w:rPr>
              <w:t>D.9</w:t>
            </w:r>
          </w:p>
        </w:tc>
        <w:tc>
          <w:tcPr>
            <w:tcW w:w="784" w:type="dxa"/>
            <w:tcBorders>
              <w:top w:val="nil"/>
              <w:left w:val="nil"/>
              <w:bottom w:val="nil"/>
              <w:right w:val="nil"/>
            </w:tcBorders>
            <w:shd w:val="clear" w:color="auto" w:fill="auto"/>
            <w:hideMark/>
          </w:tcPr>
          <w:p w14:paraId="4F4AEA8F" w14:textId="00085C88" w:rsidR="00F55418" w:rsidRPr="00F55418" w:rsidRDefault="00F55418" w:rsidP="00F55418">
            <w:pPr>
              <w:jc w:val="center"/>
              <w:rPr>
                <w:rFonts w:cs="Times New Roman"/>
                <w:sz w:val="18"/>
                <w:szCs w:val="18"/>
              </w:rPr>
            </w:pPr>
            <w:r w:rsidRPr="00F55418">
              <w:rPr>
                <w:sz w:val="18"/>
                <w:szCs w:val="18"/>
              </w:rPr>
              <w:t xml:space="preserve"> 325   </w:t>
            </w:r>
          </w:p>
        </w:tc>
        <w:tc>
          <w:tcPr>
            <w:tcW w:w="747" w:type="dxa"/>
            <w:tcBorders>
              <w:top w:val="nil"/>
              <w:left w:val="nil"/>
              <w:bottom w:val="nil"/>
              <w:right w:val="nil"/>
            </w:tcBorders>
            <w:shd w:val="clear" w:color="auto" w:fill="auto"/>
            <w:hideMark/>
          </w:tcPr>
          <w:p w14:paraId="08154D2A" w14:textId="3517763E" w:rsidR="00F55418" w:rsidRPr="00F55418" w:rsidRDefault="00F55418" w:rsidP="00F55418">
            <w:pPr>
              <w:jc w:val="center"/>
              <w:rPr>
                <w:rFonts w:cs="Times New Roman"/>
                <w:sz w:val="18"/>
                <w:szCs w:val="18"/>
              </w:rPr>
            </w:pPr>
            <w:r w:rsidRPr="00F55418">
              <w:rPr>
                <w:sz w:val="18"/>
                <w:szCs w:val="18"/>
              </w:rPr>
              <w:t>0,4</w:t>
            </w:r>
          </w:p>
        </w:tc>
        <w:tc>
          <w:tcPr>
            <w:tcW w:w="820" w:type="dxa"/>
            <w:tcBorders>
              <w:top w:val="nil"/>
              <w:left w:val="nil"/>
              <w:bottom w:val="nil"/>
              <w:right w:val="nil"/>
            </w:tcBorders>
            <w:shd w:val="clear" w:color="auto" w:fill="auto"/>
            <w:hideMark/>
          </w:tcPr>
          <w:p w14:paraId="343DF63C" w14:textId="4563CE57" w:rsidR="00F55418" w:rsidRPr="00F55418" w:rsidRDefault="00F55418" w:rsidP="00F55418">
            <w:pPr>
              <w:jc w:val="center"/>
              <w:rPr>
                <w:rFonts w:cs="Times New Roman"/>
                <w:sz w:val="18"/>
                <w:szCs w:val="18"/>
              </w:rPr>
            </w:pPr>
            <w:r w:rsidRPr="00F55418">
              <w:rPr>
                <w:sz w:val="18"/>
                <w:szCs w:val="18"/>
              </w:rPr>
              <w:t>0,3</w:t>
            </w:r>
          </w:p>
        </w:tc>
        <w:tc>
          <w:tcPr>
            <w:tcW w:w="684" w:type="dxa"/>
            <w:tcBorders>
              <w:top w:val="nil"/>
              <w:left w:val="nil"/>
              <w:bottom w:val="nil"/>
              <w:right w:val="nil"/>
            </w:tcBorders>
            <w:shd w:val="clear" w:color="auto" w:fill="auto"/>
            <w:hideMark/>
          </w:tcPr>
          <w:p w14:paraId="481C3B8E" w14:textId="25C731D1" w:rsidR="00F55418" w:rsidRPr="00F55418" w:rsidRDefault="00F55418" w:rsidP="00F55418">
            <w:pPr>
              <w:jc w:val="center"/>
              <w:rPr>
                <w:rFonts w:cs="Times New Roman"/>
                <w:sz w:val="18"/>
                <w:szCs w:val="18"/>
              </w:rPr>
            </w:pPr>
            <w:r w:rsidRPr="00F55418">
              <w:rPr>
                <w:sz w:val="18"/>
                <w:szCs w:val="18"/>
              </w:rPr>
              <w:t>0,1</w:t>
            </w:r>
          </w:p>
        </w:tc>
        <w:tc>
          <w:tcPr>
            <w:tcW w:w="659" w:type="dxa"/>
            <w:tcBorders>
              <w:top w:val="nil"/>
              <w:left w:val="nil"/>
              <w:bottom w:val="nil"/>
              <w:right w:val="nil"/>
            </w:tcBorders>
            <w:shd w:val="clear" w:color="auto" w:fill="auto"/>
            <w:hideMark/>
          </w:tcPr>
          <w:p w14:paraId="7E2595AB" w14:textId="4A9E48C3" w:rsidR="00F55418" w:rsidRPr="00F55418" w:rsidRDefault="00F55418" w:rsidP="00F55418">
            <w:pPr>
              <w:jc w:val="center"/>
              <w:rPr>
                <w:rFonts w:cs="Times New Roman"/>
                <w:sz w:val="18"/>
                <w:szCs w:val="18"/>
              </w:rPr>
            </w:pPr>
            <w:r w:rsidRPr="00F55418">
              <w:rPr>
                <w:sz w:val="18"/>
                <w:szCs w:val="18"/>
              </w:rPr>
              <w:t>0,1</w:t>
            </w:r>
          </w:p>
        </w:tc>
        <w:tc>
          <w:tcPr>
            <w:tcW w:w="638" w:type="dxa"/>
            <w:tcBorders>
              <w:top w:val="nil"/>
              <w:left w:val="nil"/>
              <w:bottom w:val="nil"/>
              <w:right w:val="nil"/>
            </w:tcBorders>
            <w:shd w:val="clear" w:color="auto" w:fill="auto"/>
            <w:hideMark/>
          </w:tcPr>
          <w:p w14:paraId="02EBAE39" w14:textId="61DA7343" w:rsidR="00F55418" w:rsidRPr="00F55418" w:rsidRDefault="00F55418" w:rsidP="00F55418">
            <w:pPr>
              <w:jc w:val="center"/>
              <w:rPr>
                <w:rFonts w:cs="Times New Roman"/>
                <w:sz w:val="18"/>
                <w:szCs w:val="18"/>
              </w:rPr>
            </w:pPr>
            <w:r w:rsidRPr="00F55418">
              <w:rPr>
                <w:sz w:val="18"/>
                <w:szCs w:val="18"/>
              </w:rPr>
              <w:t>0,1</w:t>
            </w:r>
          </w:p>
        </w:tc>
      </w:tr>
      <w:tr w:rsidR="00F55418" w:rsidRPr="00F55418" w14:paraId="6DC8F593" w14:textId="77777777" w:rsidTr="00304C90">
        <w:trPr>
          <w:trHeight w:val="283"/>
        </w:trPr>
        <w:tc>
          <w:tcPr>
            <w:tcW w:w="3519" w:type="dxa"/>
            <w:tcBorders>
              <w:top w:val="nil"/>
              <w:left w:val="nil"/>
              <w:bottom w:val="nil"/>
              <w:right w:val="nil"/>
            </w:tcBorders>
            <w:shd w:val="clear" w:color="auto" w:fill="auto"/>
            <w:hideMark/>
          </w:tcPr>
          <w:p w14:paraId="327323ED" w14:textId="77777777" w:rsidR="00F55418" w:rsidRPr="00F55418" w:rsidRDefault="00F55418" w:rsidP="00F55418">
            <w:pPr>
              <w:rPr>
                <w:rFonts w:cs="Times New Roman"/>
                <w:sz w:val="18"/>
                <w:szCs w:val="18"/>
              </w:rPr>
            </w:pPr>
            <w:r w:rsidRPr="00F55418">
              <w:rPr>
                <w:rFonts w:cs="Times New Roman"/>
                <w:sz w:val="18"/>
                <w:szCs w:val="18"/>
              </w:rPr>
              <w:t>23. Ostatné</w:t>
            </w:r>
          </w:p>
        </w:tc>
        <w:tc>
          <w:tcPr>
            <w:tcW w:w="1272" w:type="dxa"/>
            <w:tcBorders>
              <w:top w:val="nil"/>
              <w:left w:val="nil"/>
              <w:bottom w:val="nil"/>
              <w:right w:val="nil"/>
            </w:tcBorders>
            <w:shd w:val="clear" w:color="auto" w:fill="auto"/>
            <w:hideMark/>
          </w:tcPr>
          <w:p w14:paraId="06360D86" w14:textId="77777777" w:rsidR="00F55418" w:rsidRPr="00F55418" w:rsidRDefault="00F55418" w:rsidP="00F55418">
            <w:pPr>
              <w:jc w:val="center"/>
              <w:rPr>
                <w:rFonts w:cs="Times New Roman"/>
                <w:sz w:val="18"/>
                <w:szCs w:val="18"/>
              </w:rPr>
            </w:pPr>
            <w:r w:rsidRPr="00F55418">
              <w:rPr>
                <w:rFonts w:cs="Times New Roman"/>
                <w:sz w:val="18"/>
                <w:szCs w:val="18"/>
                <w:vertAlign w:val="superscript"/>
              </w:rPr>
              <w:t>[7]</w:t>
            </w:r>
          </w:p>
        </w:tc>
        <w:tc>
          <w:tcPr>
            <w:tcW w:w="784" w:type="dxa"/>
            <w:tcBorders>
              <w:top w:val="nil"/>
              <w:left w:val="nil"/>
              <w:bottom w:val="nil"/>
              <w:right w:val="nil"/>
            </w:tcBorders>
            <w:shd w:val="clear" w:color="auto" w:fill="auto"/>
            <w:hideMark/>
          </w:tcPr>
          <w:p w14:paraId="62B179A9" w14:textId="408B16AD" w:rsidR="00F55418" w:rsidRPr="00F55418" w:rsidRDefault="00F55418" w:rsidP="00F55418">
            <w:pPr>
              <w:jc w:val="center"/>
              <w:rPr>
                <w:rFonts w:cs="Times New Roman"/>
                <w:sz w:val="18"/>
                <w:szCs w:val="18"/>
              </w:rPr>
            </w:pPr>
            <w:r w:rsidRPr="00F55418">
              <w:rPr>
                <w:sz w:val="18"/>
                <w:szCs w:val="18"/>
              </w:rPr>
              <w:t xml:space="preserve"> 1 906   </w:t>
            </w:r>
          </w:p>
        </w:tc>
        <w:tc>
          <w:tcPr>
            <w:tcW w:w="747" w:type="dxa"/>
            <w:tcBorders>
              <w:top w:val="nil"/>
              <w:left w:val="nil"/>
              <w:bottom w:val="nil"/>
              <w:right w:val="nil"/>
            </w:tcBorders>
            <w:shd w:val="clear" w:color="auto" w:fill="auto"/>
            <w:hideMark/>
          </w:tcPr>
          <w:p w14:paraId="4D953A23" w14:textId="006F617A" w:rsidR="00F55418" w:rsidRPr="00F55418" w:rsidRDefault="00F55418" w:rsidP="00F55418">
            <w:pPr>
              <w:jc w:val="center"/>
              <w:rPr>
                <w:rFonts w:cs="Times New Roman"/>
                <w:sz w:val="18"/>
                <w:szCs w:val="18"/>
              </w:rPr>
            </w:pPr>
            <w:r w:rsidRPr="00F55418">
              <w:rPr>
                <w:sz w:val="18"/>
                <w:szCs w:val="18"/>
              </w:rPr>
              <w:t>2,1</w:t>
            </w:r>
          </w:p>
        </w:tc>
        <w:tc>
          <w:tcPr>
            <w:tcW w:w="820" w:type="dxa"/>
            <w:tcBorders>
              <w:top w:val="nil"/>
              <w:left w:val="nil"/>
              <w:bottom w:val="nil"/>
              <w:right w:val="nil"/>
            </w:tcBorders>
            <w:shd w:val="clear" w:color="auto" w:fill="auto"/>
            <w:hideMark/>
          </w:tcPr>
          <w:p w14:paraId="70E42036" w14:textId="7D299986" w:rsidR="00F55418" w:rsidRPr="00F55418" w:rsidRDefault="00F55418" w:rsidP="00F55418">
            <w:pPr>
              <w:jc w:val="center"/>
              <w:rPr>
                <w:rFonts w:cs="Times New Roman"/>
                <w:sz w:val="18"/>
                <w:szCs w:val="18"/>
              </w:rPr>
            </w:pPr>
            <w:r w:rsidRPr="00F55418">
              <w:rPr>
                <w:sz w:val="18"/>
                <w:szCs w:val="18"/>
              </w:rPr>
              <w:t>3,2</w:t>
            </w:r>
          </w:p>
        </w:tc>
        <w:tc>
          <w:tcPr>
            <w:tcW w:w="684" w:type="dxa"/>
            <w:tcBorders>
              <w:top w:val="nil"/>
              <w:left w:val="nil"/>
              <w:bottom w:val="nil"/>
              <w:right w:val="nil"/>
            </w:tcBorders>
            <w:shd w:val="clear" w:color="auto" w:fill="auto"/>
            <w:hideMark/>
          </w:tcPr>
          <w:p w14:paraId="7AB4AD1A" w14:textId="01C0752A" w:rsidR="00F55418" w:rsidRPr="00F55418" w:rsidRDefault="00F55418" w:rsidP="00F55418">
            <w:pPr>
              <w:jc w:val="center"/>
              <w:rPr>
                <w:rFonts w:cs="Times New Roman"/>
                <w:sz w:val="18"/>
                <w:szCs w:val="18"/>
              </w:rPr>
            </w:pPr>
            <w:r w:rsidRPr="00F55418">
              <w:rPr>
                <w:sz w:val="18"/>
                <w:szCs w:val="18"/>
              </w:rPr>
              <w:t>2,1</w:t>
            </w:r>
          </w:p>
        </w:tc>
        <w:tc>
          <w:tcPr>
            <w:tcW w:w="659" w:type="dxa"/>
            <w:tcBorders>
              <w:top w:val="nil"/>
              <w:left w:val="nil"/>
              <w:bottom w:val="nil"/>
              <w:right w:val="nil"/>
            </w:tcBorders>
            <w:shd w:val="clear" w:color="auto" w:fill="auto"/>
            <w:hideMark/>
          </w:tcPr>
          <w:p w14:paraId="0061B775" w14:textId="06092C69" w:rsidR="00F55418" w:rsidRPr="00F55418" w:rsidRDefault="00F55418" w:rsidP="00F55418">
            <w:pPr>
              <w:jc w:val="center"/>
              <w:rPr>
                <w:rFonts w:cs="Times New Roman"/>
                <w:sz w:val="18"/>
                <w:szCs w:val="18"/>
              </w:rPr>
            </w:pPr>
            <w:r w:rsidRPr="00F55418">
              <w:rPr>
                <w:sz w:val="18"/>
                <w:szCs w:val="18"/>
              </w:rPr>
              <w:t>2,6</w:t>
            </w:r>
          </w:p>
        </w:tc>
        <w:tc>
          <w:tcPr>
            <w:tcW w:w="638" w:type="dxa"/>
            <w:tcBorders>
              <w:top w:val="nil"/>
              <w:left w:val="nil"/>
              <w:bottom w:val="nil"/>
              <w:right w:val="nil"/>
            </w:tcBorders>
            <w:shd w:val="clear" w:color="auto" w:fill="auto"/>
            <w:hideMark/>
          </w:tcPr>
          <w:p w14:paraId="3FC7C478" w14:textId="068DE2D0" w:rsidR="00F55418" w:rsidRPr="00F55418" w:rsidRDefault="00F55418" w:rsidP="00F55418">
            <w:pPr>
              <w:jc w:val="center"/>
              <w:rPr>
                <w:rFonts w:cs="Times New Roman"/>
                <w:sz w:val="18"/>
                <w:szCs w:val="18"/>
              </w:rPr>
            </w:pPr>
            <w:r w:rsidRPr="00F55418">
              <w:rPr>
                <w:sz w:val="18"/>
                <w:szCs w:val="18"/>
              </w:rPr>
              <w:t>2,5</w:t>
            </w:r>
          </w:p>
        </w:tc>
      </w:tr>
      <w:tr w:rsidR="00F55418" w:rsidRPr="00F55418" w14:paraId="51B4DFDE" w14:textId="77777777" w:rsidTr="00304C90">
        <w:trPr>
          <w:trHeight w:val="283"/>
        </w:trPr>
        <w:tc>
          <w:tcPr>
            <w:tcW w:w="3519" w:type="dxa"/>
            <w:tcBorders>
              <w:top w:val="nil"/>
              <w:left w:val="nil"/>
              <w:right w:val="nil"/>
            </w:tcBorders>
            <w:shd w:val="clear" w:color="auto" w:fill="auto"/>
            <w:hideMark/>
          </w:tcPr>
          <w:p w14:paraId="518209A7" w14:textId="77777777" w:rsidR="00F55418" w:rsidRPr="00F55418" w:rsidRDefault="00F55418" w:rsidP="00F55418">
            <w:pPr>
              <w:rPr>
                <w:rFonts w:cs="Times New Roman"/>
                <w:sz w:val="18"/>
                <w:szCs w:val="18"/>
              </w:rPr>
            </w:pPr>
            <w:r w:rsidRPr="00F55418">
              <w:rPr>
                <w:rFonts w:cs="Times New Roman"/>
                <w:sz w:val="18"/>
                <w:szCs w:val="18"/>
              </w:rPr>
              <w:t>24=7. Celkové výdavky</w:t>
            </w:r>
          </w:p>
        </w:tc>
        <w:tc>
          <w:tcPr>
            <w:tcW w:w="1272" w:type="dxa"/>
            <w:tcBorders>
              <w:top w:val="nil"/>
              <w:left w:val="nil"/>
              <w:right w:val="nil"/>
            </w:tcBorders>
            <w:shd w:val="clear" w:color="auto" w:fill="auto"/>
            <w:hideMark/>
          </w:tcPr>
          <w:p w14:paraId="04B93240" w14:textId="77777777" w:rsidR="00F55418" w:rsidRPr="00F55418" w:rsidRDefault="00F55418" w:rsidP="00F55418">
            <w:pPr>
              <w:jc w:val="center"/>
              <w:rPr>
                <w:rFonts w:cs="Times New Roman"/>
                <w:sz w:val="18"/>
                <w:szCs w:val="18"/>
              </w:rPr>
            </w:pPr>
            <w:r w:rsidRPr="00F55418">
              <w:rPr>
                <w:rFonts w:cs="Times New Roman"/>
                <w:sz w:val="18"/>
                <w:szCs w:val="18"/>
              </w:rPr>
              <w:t>TE [1]</w:t>
            </w:r>
          </w:p>
        </w:tc>
        <w:tc>
          <w:tcPr>
            <w:tcW w:w="784" w:type="dxa"/>
            <w:tcBorders>
              <w:top w:val="nil"/>
              <w:left w:val="nil"/>
              <w:bottom w:val="nil"/>
              <w:right w:val="nil"/>
            </w:tcBorders>
            <w:shd w:val="clear" w:color="auto" w:fill="auto"/>
            <w:hideMark/>
          </w:tcPr>
          <w:p w14:paraId="4FC967EA" w14:textId="00AF026E" w:rsidR="00F55418" w:rsidRPr="00F55418" w:rsidRDefault="00F55418" w:rsidP="00F55418">
            <w:pPr>
              <w:jc w:val="center"/>
              <w:rPr>
                <w:rFonts w:cs="Times New Roman"/>
                <w:sz w:val="18"/>
                <w:szCs w:val="18"/>
              </w:rPr>
            </w:pPr>
            <w:r w:rsidRPr="00F55418">
              <w:rPr>
                <w:sz w:val="18"/>
                <w:szCs w:val="18"/>
              </w:rPr>
              <w:t xml:space="preserve"> 36 646   </w:t>
            </w:r>
          </w:p>
        </w:tc>
        <w:tc>
          <w:tcPr>
            <w:tcW w:w="747" w:type="dxa"/>
            <w:tcBorders>
              <w:top w:val="nil"/>
              <w:left w:val="nil"/>
              <w:bottom w:val="nil"/>
              <w:right w:val="nil"/>
            </w:tcBorders>
            <w:shd w:val="clear" w:color="auto" w:fill="auto"/>
            <w:hideMark/>
          </w:tcPr>
          <w:p w14:paraId="7CA44B5A" w14:textId="043B4EE2" w:rsidR="00F55418" w:rsidRPr="00F55418" w:rsidRDefault="00F55418" w:rsidP="00F55418">
            <w:pPr>
              <w:jc w:val="center"/>
              <w:rPr>
                <w:rFonts w:cs="Times New Roman"/>
                <w:sz w:val="18"/>
                <w:szCs w:val="18"/>
              </w:rPr>
            </w:pPr>
            <w:r w:rsidRPr="00F55418">
              <w:rPr>
                <w:sz w:val="18"/>
                <w:szCs w:val="18"/>
              </w:rPr>
              <w:t>40,6</w:t>
            </w:r>
          </w:p>
        </w:tc>
        <w:tc>
          <w:tcPr>
            <w:tcW w:w="820" w:type="dxa"/>
            <w:tcBorders>
              <w:top w:val="nil"/>
              <w:left w:val="nil"/>
              <w:bottom w:val="nil"/>
              <w:right w:val="nil"/>
            </w:tcBorders>
            <w:shd w:val="clear" w:color="auto" w:fill="auto"/>
            <w:hideMark/>
          </w:tcPr>
          <w:p w14:paraId="45EBC99C" w14:textId="32BF7EAC" w:rsidR="00F55418" w:rsidRPr="00F55418" w:rsidRDefault="00F55418" w:rsidP="00F55418">
            <w:pPr>
              <w:jc w:val="center"/>
              <w:rPr>
                <w:rFonts w:cs="Times New Roman"/>
                <w:sz w:val="18"/>
                <w:szCs w:val="18"/>
              </w:rPr>
            </w:pPr>
            <w:r w:rsidRPr="00F55418">
              <w:rPr>
                <w:sz w:val="18"/>
                <w:szCs w:val="18"/>
              </w:rPr>
              <w:t>40,6</w:t>
            </w:r>
          </w:p>
        </w:tc>
        <w:tc>
          <w:tcPr>
            <w:tcW w:w="684" w:type="dxa"/>
            <w:tcBorders>
              <w:top w:val="nil"/>
              <w:left w:val="nil"/>
              <w:bottom w:val="nil"/>
              <w:right w:val="nil"/>
            </w:tcBorders>
            <w:shd w:val="clear" w:color="auto" w:fill="auto"/>
            <w:hideMark/>
          </w:tcPr>
          <w:p w14:paraId="01A240B7" w14:textId="69BDC3D0" w:rsidR="00F55418" w:rsidRPr="00F55418" w:rsidRDefault="00F55418" w:rsidP="00F55418">
            <w:pPr>
              <w:jc w:val="center"/>
              <w:rPr>
                <w:rFonts w:cs="Times New Roman"/>
                <w:sz w:val="18"/>
                <w:szCs w:val="18"/>
              </w:rPr>
            </w:pPr>
            <w:r w:rsidRPr="00F55418">
              <w:rPr>
                <w:sz w:val="18"/>
                <w:szCs w:val="18"/>
              </w:rPr>
              <w:t>38,4</w:t>
            </w:r>
          </w:p>
        </w:tc>
        <w:tc>
          <w:tcPr>
            <w:tcW w:w="659" w:type="dxa"/>
            <w:tcBorders>
              <w:top w:val="nil"/>
              <w:left w:val="nil"/>
              <w:bottom w:val="nil"/>
              <w:right w:val="nil"/>
            </w:tcBorders>
            <w:shd w:val="clear" w:color="auto" w:fill="auto"/>
            <w:hideMark/>
          </w:tcPr>
          <w:p w14:paraId="48995431" w14:textId="1FCA21B6" w:rsidR="00F55418" w:rsidRPr="00F55418" w:rsidRDefault="00F55418" w:rsidP="00F55418">
            <w:pPr>
              <w:jc w:val="center"/>
              <w:rPr>
                <w:rFonts w:cs="Times New Roman"/>
                <w:sz w:val="18"/>
                <w:szCs w:val="18"/>
              </w:rPr>
            </w:pPr>
            <w:r w:rsidRPr="00F55418">
              <w:rPr>
                <w:sz w:val="18"/>
                <w:szCs w:val="18"/>
              </w:rPr>
              <w:t>37,9</w:t>
            </w:r>
          </w:p>
        </w:tc>
        <w:tc>
          <w:tcPr>
            <w:tcW w:w="638" w:type="dxa"/>
            <w:tcBorders>
              <w:top w:val="nil"/>
              <w:left w:val="nil"/>
              <w:bottom w:val="nil"/>
              <w:right w:val="nil"/>
            </w:tcBorders>
            <w:shd w:val="clear" w:color="auto" w:fill="auto"/>
            <w:hideMark/>
          </w:tcPr>
          <w:p w14:paraId="3D3FBFFB" w14:textId="39C39375" w:rsidR="00F55418" w:rsidRPr="00F55418" w:rsidRDefault="00F55418" w:rsidP="00F55418">
            <w:pPr>
              <w:jc w:val="center"/>
              <w:rPr>
                <w:rFonts w:cs="Times New Roman"/>
                <w:sz w:val="18"/>
                <w:szCs w:val="18"/>
              </w:rPr>
            </w:pPr>
            <w:r w:rsidRPr="00F55418">
              <w:rPr>
                <w:sz w:val="18"/>
                <w:szCs w:val="18"/>
              </w:rPr>
              <w:t>37,7</w:t>
            </w:r>
          </w:p>
        </w:tc>
      </w:tr>
      <w:tr w:rsidR="00F55418" w:rsidRPr="00F55418" w14:paraId="1A9AA6B1" w14:textId="77777777" w:rsidTr="00304C90">
        <w:trPr>
          <w:trHeight w:val="283"/>
        </w:trPr>
        <w:tc>
          <w:tcPr>
            <w:tcW w:w="3519" w:type="dxa"/>
            <w:tcBorders>
              <w:top w:val="nil"/>
              <w:left w:val="nil"/>
              <w:bottom w:val="single" w:sz="8" w:space="0" w:color="auto"/>
              <w:right w:val="nil"/>
            </w:tcBorders>
            <w:shd w:val="clear" w:color="auto" w:fill="auto"/>
            <w:hideMark/>
          </w:tcPr>
          <w:p w14:paraId="22FD1FC4" w14:textId="77777777" w:rsidR="00F55418" w:rsidRPr="00F55418" w:rsidRDefault="00F55418" w:rsidP="00F55418">
            <w:pPr>
              <w:rPr>
                <w:rFonts w:cs="Times New Roman"/>
                <w:sz w:val="18"/>
                <w:szCs w:val="18"/>
              </w:rPr>
            </w:pPr>
            <w:r w:rsidRPr="00F55418">
              <w:rPr>
                <w:rFonts w:cs="Times New Roman"/>
                <w:sz w:val="18"/>
                <w:szCs w:val="18"/>
              </w:rPr>
              <w:t>p. m.: Spotreba vlády (nominálna)</w:t>
            </w:r>
          </w:p>
        </w:tc>
        <w:tc>
          <w:tcPr>
            <w:tcW w:w="1272" w:type="dxa"/>
            <w:tcBorders>
              <w:top w:val="nil"/>
              <w:left w:val="nil"/>
              <w:bottom w:val="single" w:sz="8" w:space="0" w:color="auto"/>
              <w:right w:val="nil"/>
            </w:tcBorders>
            <w:shd w:val="clear" w:color="auto" w:fill="auto"/>
            <w:hideMark/>
          </w:tcPr>
          <w:p w14:paraId="63B86D0E" w14:textId="77777777" w:rsidR="00F55418" w:rsidRPr="00F55418" w:rsidRDefault="00F55418" w:rsidP="00F55418">
            <w:pPr>
              <w:jc w:val="center"/>
              <w:rPr>
                <w:rFonts w:cs="Times New Roman"/>
                <w:sz w:val="18"/>
                <w:szCs w:val="18"/>
              </w:rPr>
            </w:pPr>
            <w:r w:rsidRPr="00F55418">
              <w:rPr>
                <w:rFonts w:cs="Times New Roman"/>
                <w:sz w:val="18"/>
                <w:szCs w:val="18"/>
              </w:rPr>
              <w:t>P.3</w:t>
            </w:r>
          </w:p>
        </w:tc>
        <w:tc>
          <w:tcPr>
            <w:tcW w:w="784" w:type="dxa"/>
            <w:tcBorders>
              <w:top w:val="nil"/>
              <w:left w:val="nil"/>
              <w:bottom w:val="single" w:sz="4" w:space="0" w:color="auto"/>
              <w:right w:val="nil"/>
            </w:tcBorders>
            <w:shd w:val="clear" w:color="auto" w:fill="auto"/>
            <w:hideMark/>
          </w:tcPr>
          <w:p w14:paraId="353C9D89" w14:textId="6035A420" w:rsidR="00F55418" w:rsidRPr="00F55418" w:rsidRDefault="00F55418" w:rsidP="00F55418">
            <w:pPr>
              <w:jc w:val="center"/>
              <w:rPr>
                <w:rFonts w:cs="Times New Roman"/>
                <w:sz w:val="18"/>
                <w:szCs w:val="18"/>
              </w:rPr>
            </w:pPr>
            <w:r w:rsidRPr="00F55418">
              <w:rPr>
                <w:sz w:val="18"/>
                <w:szCs w:val="18"/>
              </w:rPr>
              <w:t xml:space="preserve"> 17 446   </w:t>
            </w:r>
          </w:p>
        </w:tc>
        <w:tc>
          <w:tcPr>
            <w:tcW w:w="747" w:type="dxa"/>
            <w:tcBorders>
              <w:top w:val="nil"/>
              <w:left w:val="nil"/>
              <w:bottom w:val="single" w:sz="4" w:space="0" w:color="auto"/>
              <w:right w:val="nil"/>
            </w:tcBorders>
            <w:shd w:val="clear" w:color="auto" w:fill="auto"/>
            <w:hideMark/>
          </w:tcPr>
          <w:p w14:paraId="71745660" w14:textId="11FA7C17" w:rsidR="00F55418" w:rsidRPr="00F55418" w:rsidRDefault="00F55418" w:rsidP="00F55418">
            <w:pPr>
              <w:jc w:val="center"/>
              <w:rPr>
                <w:rFonts w:cs="Times New Roman"/>
                <w:sz w:val="18"/>
                <w:szCs w:val="18"/>
              </w:rPr>
            </w:pPr>
            <w:r w:rsidRPr="00F55418">
              <w:rPr>
                <w:sz w:val="18"/>
                <w:szCs w:val="18"/>
              </w:rPr>
              <w:t>19,3</w:t>
            </w:r>
          </w:p>
        </w:tc>
        <w:tc>
          <w:tcPr>
            <w:tcW w:w="820" w:type="dxa"/>
            <w:tcBorders>
              <w:top w:val="nil"/>
              <w:left w:val="nil"/>
              <w:bottom w:val="single" w:sz="4" w:space="0" w:color="auto"/>
              <w:right w:val="nil"/>
            </w:tcBorders>
            <w:shd w:val="clear" w:color="auto" w:fill="auto"/>
            <w:hideMark/>
          </w:tcPr>
          <w:p w14:paraId="17229744" w14:textId="67FB64CE" w:rsidR="00F55418" w:rsidRPr="00F55418" w:rsidRDefault="00F55418" w:rsidP="00F55418">
            <w:pPr>
              <w:jc w:val="center"/>
              <w:rPr>
                <w:rFonts w:cs="Times New Roman"/>
                <w:sz w:val="18"/>
                <w:szCs w:val="18"/>
              </w:rPr>
            </w:pPr>
            <w:r w:rsidRPr="00F55418">
              <w:rPr>
                <w:sz w:val="18"/>
                <w:szCs w:val="18"/>
              </w:rPr>
              <w:t>19,2</w:t>
            </w:r>
          </w:p>
        </w:tc>
        <w:tc>
          <w:tcPr>
            <w:tcW w:w="684" w:type="dxa"/>
            <w:tcBorders>
              <w:top w:val="nil"/>
              <w:left w:val="nil"/>
              <w:bottom w:val="single" w:sz="4" w:space="0" w:color="auto"/>
              <w:right w:val="nil"/>
            </w:tcBorders>
            <w:shd w:val="clear" w:color="auto" w:fill="auto"/>
            <w:hideMark/>
          </w:tcPr>
          <w:p w14:paraId="2511BEE2" w14:textId="50D8D728" w:rsidR="00F55418" w:rsidRPr="00F55418" w:rsidRDefault="00F55418" w:rsidP="00F55418">
            <w:pPr>
              <w:jc w:val="center"/>
              <w:rPr>
                <w:rFonts w:cs="Times New Roman"/>
                <w:sz w:val="18"/>
                <w:szCs w:val="18"/>
              </w:rPr>
            </w:pPr>
            <w:r w:rsidRPr="00F55418">
              <w:rPr>
                <w:sz w:val="18"/>
                <w:szCs w:val="18"/>
              </w:rPr>
              <w:t>19,2</w:t>
            </w:r>
          </w:p>
        </w:tc>
        <w:tc>
          <w:tcPr>
            <w:tcW w:w="659" w:type="dxa"/>
            <w:tcBorders>
              <w:top w:val="nil"/>
              <w:left w:val="nil"/>
              <w:bottom w:val="single" w:sz="4" w:space="0" w:color="auto"/>
              <w:right w:val="nil"/>
            </w:tcBorders>
            <w:shd w:val="clear" w:color="auto" w:fill="auto"/>
            <w:hideMark/>
          </w:tcPr>
          <w:p w14:paraId="34D499E7" w14:textId="381EC840" w:rsidR="00F55418" w:rsidRPr="00F55418" w:rsidRDefault="00F55418" w:rsidP="00F55418">
            <w:pPr>
              <w:jc w:val="center"/>
              <w:rPr>
                <w:rFonts w:cs="Times New Roman"/>
                <w:sz w:val="18"/>
                <w:szCs w:val="18"/>
              </w:rPr>
            </w:pPr>
            <w:r w:rsidRPr="00F55418">
              <w:rPr>
                <w:sz w:val="18"/>
                <w:szCs w:val="18"/>
              </w:rPr>
              <w:t>18,9</w:t>
            </w:r>
          </w:p>
        </w:tc>
        <w:tc>
          <w:tcPr>
            <w:tcW w:w="638" w:type="dxa"/>
            <w:tcBorders>
              <w:top w:val="nil"/>
              <w:left w:val="nil"/>
              <w:bottom w:val="single" w:sz="4" w:space="0" w:color="auto"/>
              <w:right w:val="nil"/>
            </w:tcBorders>
            <w:shd w:val="clear" w:color="auto" w:fill="auto"/>
            <w:hideMark/>
          </w:tcPr>
          <w:p w14:paraId="5B20F66D" w14:textId="4A3A88BB" w:rsidR="00F55418" w:rsidRPr="00F55418" w:rsidRDefault="00F55418" w:rsidP="00F55418">
            <w:pPr>
              <w:jc w:val="center"/>
              <w:rPr>
                <w:rFonts w:cs="Times New Roman"/>
                <w:sz w:val="18"/>
                <w:szCs w:val="18"/>
              </w:rPr>
            </w:pPr>
            <w:r w:rsidRPr="00F55418">
              <w:rPr>
                <w:sz w:val="18"/>
                <w:szCs w:val="18"/>
              </w:rPr>
              <w:t>18,7</w:t>
            </w:r>
          </w:p>
        </w:tc>
      </w:tr>
      <w:tr w:rsidR="00D73008" w:rsidRPr="00F55418" w14:paraId="5F0D3929" w14:textId="77777777" w:rsidTr="00387AE5">
        <w:trPr>
          <w:trHeight w:val="227"/>
        </w:trPr>
        <w:tc>
          <w:tcPr>
            <w:tcW w:w="5575" w:type="dxa"/>
            <w:gridSpan w:val="3"/>
            <w:tcBorders>
              <w:top w:val="single" w:sz="8" w:space="0" w:color="auto"/>
              <w:left w:val="nil"/>
              <w:bottom w:val="nil"/>
              <w:right w:val="nil"/>
            </w:tcBorders>
            <w:shd w:val="clear" w:color="auto" w:fill="auto"/>
            <w:noWrap/>
            <w:vAlign w:val="center"/>
            <w:hideMark/>
          </w:tcPr>
          <w:p w14:paraId="39F987C7" w14:textId="77777777" w:rsidR="00D73008" w:rsidRPr="00F55418" w:rsidRDefault="00D73008" w:rsidP="00387AE5">
            <w:pPr>
              <w:rPr>
                <w:rFonts w:cs="Times New Roman"/>
                <w:i/>
                <w:sz w:val="18"/>
                <w:szCs w:val="18"/>
              </w:rPr>
            </w:pPr>
            <w:r w:rsidRPr="00F55418">
              <w:rPr>
                <w:rFonts w:cs="Times New Roman"/>
                <w:i/>
                <w:sz w:val="18"/>
                <w:szCs w:val="18"/>
              </w:rPr>
              <w:t>[1] Upravené o čisté toky týkajúce sa swapov tak, aby TR-TE=B.9</w:t>
            </w:r>
          </w:p>
        </w:tc>
        <w:tc>
          <w:tcPr>
            <w:tcW w:w="747" w:type="dxa"/>
            <w:tcBorders>
              <w:top w:val="single" w:sz="8" w:space="0" w:color="auto"/>
              <w:left w:val="nil"/>
              <w:bottom w:val="nil"/>
              <w:right w:val="nil"/>
            </w:tcBorders>
            <w:shd w:val="clear" w:color="auto" w:fill="auto"/>
            <w:noWrap/>
            <w:vAlign w:val="bottom"/>
            <w:hideMark/>
          </w:tcPr>
          <w:p w14:paraId="34DAAEF7" w14:textId="77777777" w:rsidR="00D73008" w:rsidRPr="00F55418" w:rsidRDefault="00D73008" w:rsidP="00387AE5">
            <w:pPr>
              <w:rPr>
                <w:rFonts w:cs="Times New Roman"/>
                <w:i/>
                <w:color w:val="000000"/>
                <w:sz w:val="18"/>
                <w:szCs w:val="18"/>
              </w:rPr>
            </w:pPr>
            <w:r w:rsidRPr="00F55418">
              <w:rPr>
                <w:rFonts w:cs="Times New Roman"/>
                <w:i/>
                <w:color w:val="000000"/>
                <w:sz w:val="18"/>
                <w:szCs w:val="18"/>
              </w:rPr>
              <w:t> </w:t>
            </w:r>
          </w:p>
        </w:tc>
        <w:tc>
          <w:tcPr>
            <w:tcW w:w="820" w:type="dxa"/>
            <w:tcBorders>
              <w:top w:val="single" w:sz="8" w:space="0" w:color="auto"/>
              <w:left w:val="nil"/>
              <w:bottom w:val="nil"/>
              <w:right w:val="nil"/>
            </w:tcBorders>
            <w:shd w:val="clear" w:color="auto" w:fill="auto"/>
            <w:noWrap/>
            <w:vAlign w:val="bottom"/>
            <w:hideMark/>
          </w:tcPr>
          <w:p w14:paraId="4477131F" w14:textId="77777777" w:rsidR="00D73008" w:rsidRPr="00F55418" w:rsidRDefault="00D73008" w:rsidP="00387AE5">
            <w:pPr>
              <w:rPr>
                <w:rFonts w:cs="Times New Roman"/>
                <w:i/>
                <w:color w:val="000000"/>
                <w:sz w:val="18"/>
                <w:szCs w:val="18"/>
              </w:rPr>
            </w:pPr>
            <w:r w:rsidRPr="00F55418">
              <w:rPr>
                <w:rFonts w:cs="Times New Roman"/>
                <w:i/>
                <w:color w:val="000000"/>
                <w:sz w:val="18"/>
                <w:szCs w:val="18"/>
              </w:rPr>
              <w:t> </w:t>
            </w:r>
          </w:p>
        </w:tc>
        <w:tc>
          <w:tcPr>
            <w:tcW w:w="1981" w:type="dxa"/>
            <w:gridSpan w:val="3"/>
            <w:tcBorders>
              <w:top w:val="single" w:sz="8" w:space="0" w:color="auto"/>
              <w:left w:val="nil"/>
              <w:bottom w:val="nil"/>
              <w:right w:val="nil"/>
            </w:tcBorders>
            <w:shd w:val="clear" w:color="auto" w:fill="auto"/>
            <w:noWrap/>
            <w:vAlign w:val="center"/>
            <w:hideMark/>
          </w:tcPr>
          <w:p w14:paraId="27255A7D" w14:textId="77777777" w:rsidR="00D73008" w:rsidRPr="00F55418" w:rsidRDefault="00D73008" w:rsidP="00387AE5">
            <w:pPr>
              <w:jc w:val="right"/>
              <w:rPr>
                <w:rFonts w:cs="Times New Roman"/>
                <w:i/>
                <w:iCs/>
                <w:sz w:val="18"/>
                <w:szCs w:val="18"/>
              </w:rPr>
            </w:pPr>
            <w:r w:rsidRPr="00F55418">
              <w:rPr>
                <w:rFonts w:cs="Times New Roman"/>
                <w:i/>
                <w:iCs/>
                <w:sz w:val="18"/>
                <w:szCs w:val="18"/>
              </w:rPr>
              <w:t>Zdroj: MFSR</w:t>
            </w:r>
          </w:p>
        </w:tc>
      </w:tr>
      <w:tr w:rsidR="00D73008" w:rsidRPr="00F55418" w14:paraId="5ECEB9BA" w14:textId="77777777" w:rsidTr="00387AE5">
        <w:trPr>
          <w:trHeight w:val="227"/>
        </w:trPr>
        <w:tc>
          <w:tcPr>
            <w:tcW w:w="8485" w:type="dxa"/>
            <w:gridSpan w:val="7"/>
            <w:tcBorders>
              <w:top w:val="nil"/>
              <w:left w:val="nil"/>
              <w:bottom w:val="nil"/>
              <w:right w:val="nil"/>
            </w:tcBorders>
            <w:shd w:val="clear" w:color="auto" w:fill="auto"/>
            <w:vAlign w:val="center"/>
            <w:hideMark/>
          </w:tcPr>
          <w:p w14:paraId="1956CC3D" w14:textId="77777777" w:rsidR="00D73008" w:rsidRPr="00F55418" w:rsidRDefault="00D73008" w:rsidP="00387AE5">
            <w:pPr>
              <w:rPr>
                <w:rFonts w:cs="Times New Roman"/>
                <w:i/>
                <w:sz w:val="18"/>
                <w:szCs w:val="18"/>
              </w:rPr>
            </w:pPr>
            <w:r w:rsidRPr="00F55418">
              <w:rPr>
                <w:rFonts w:cs="Times New Roman"/>
                <w:i/>
                <w:sz w:val="18"/>
                <w:szCs w:val="18"/>
              </w:rPr>
              <w:t>[2] Primárne saldo je počítané ako (B.9, položka 8) plus (D.41, položka 9)</w:t>
            </w:r>
          </w:p>
        </w:tc>
        <w:tc>
          <w:tcPr>
            <w:tcW w:w="638" w:type="dxa"/>
            <w:tcBorders>
              <w:top w:val="nil"/>
              <w:left w:val="nil"/>
              <w:bottom w:val="nil"/>
              <w:right w:val="nil"/>
            </w:tcBorders>
            <w:shd w:val="clear" w:color="auto" w:fill="auto"/>
            <w:noWrap/>
            <w:vAlign w:val="bottom"/>
            <w:hideMark/>
          </w:tcPr>
          <w:p w14:paraId="31E5FAAE" w14:textId="77777777" w:rsidR="00D73008" w:rsidRPr="00F55418" w:rsidRDefault="00D73008" w:rsidP="00387AE5">
            <w:pPr>
              <w:rPr>
                <w:rFonts w:cs="Times New Roman"/>
                <w:i/>
                <w:sz w:val="18"/>
                <w:szCs w:val="18"/>
              </w:rPr>
            </w:pPr>
          </w:p>
        </w:tc>
      </w:tr>
      <w:tr w:rsidR="00D73008" w:rsidRPr="00F55418" w14:paraId="5F05E075" w14:textId="77777777" w:rsidTr="00387AE5">
        <w:trPr>
          <w:trHeight w:val="227"/>
        </w:trPr>
        <w:tc>
          <w:tcPr>
            <w:tcW w:w="8485" w:type="dxa"/>
            <w:gridSpan w:val="7"/>
            <w:tcBorders>
              <w:top w:val="nil"/>
              <w:left w:val="nil"/>
              <w:bottom w:val="nil"/>
              <w:right w:val="nil"/>
            </w:tcBorders>
            <w:shd w:val="clear" w:color="auto" w:fill="auto"/>
            <w:vAlign w:val="center"/>
            <w:hideMark/>
          </w:tcPr>
          <w:p w14:paraId="3BB81094" w14:textId="77777777" w:rsidR="00D73008" w:rsidRPr="00F55418" w:rsidRDefault="00D73008" w:rsidP="00387AE5">
            <w:pPr>
              <w:rPr>
                <w:rFonts w:cs="Times New Roman"/>
                <w:i/>
                <w:sz w:val="18"/>
                <w:szCs w:val="18"/>
              </w:rPr>
            </w:pPr>
            <w:r w:rsidRPr="00F55418">
              <w:rPr>
                <w:rFonts w:cs="Times New Roman"/>
                <w:i/>
                <w:sz w:val="18"/>
                <w:szCs w:val="18"/>
              </w:rPr>
              <w:t>[3] Kladné znamienko predstavuje pozitívny vplyv jednorazového opatrenia na saldo VS</w:t>
            </w:r>
          </w:p>
        </w:tc>
        <w:tc>
          <w:tcPr>
            <w:tcW w:w="638" w:type="dxa"/>
            <w:tcBorders>
              <w:top w:val="nil"/>
              <w:left w:val="nil"/>
              <w:bottom w:val="nil"/>
              <w:right w:val="nil"/>
            </w:tcBorders>
            <w:shd w:val="clear" w:color="auto" w:fill="auto"/>
            <w:noWrap/>
            <w:vAlign w:val="bottom"/>
            <w:hideMark/>
          </w:tcPr>
          <w:p w14:paraId="1F60C8D9" w14:textId="77777777" w:rsidR="00D73008" w:rsidRPr="00F55418" w:rsidRDefault="00D73008" w:rsidP="00387AE5">
            <w:pPr>
              <w:rPr>
                <w:rFonts w:cs="Times New Roman"/>
                <w:i/>
                <w:sz w:val="18"/>
                <w:szCs w:val="18"/>
              </w:rPr>
            </w:pPr>
          </w:p>
        </w:tc>
      </w:tr>
      <w:tr w:rsidR="00D73008" w:rsidRPr="00F55418" w14:paraId="643DF59F" w14:textId="77777777" w:rsidTr="00387AE5">
        <w:trPr>
          <w:trHeight w:val="227"/>
        </w:trPr>
        <w:tc>
          <w:tcPr>
            <w:tcW w:w="8485" w:type="dxa"/>
            <w:gridSpan w:val="7"/>
            <w:tcBorders>
              <w:top w:val="nil"/>
              <w:left w:val="nil"/>
              <w:bottom w:val="nil"/>
              <w:right w:val="nil"/>
            </w:tcBorders>
            <w:shd w:val="clear" w:color="auto" w:fill="auto"/>
            <w:vAlign w:val="center"/>
            <w:hideMark/>
          </w:tcPr>
          <w:p w14:paraId="7F80C81C" w14:textId="77777777" w:rsidR="00D73008" w:rsidRPr="00F55418" w:rsidRDefault="00D73008" w:rsidP="00387AE5">
            <w:pPr>
              <w:rPr>
                <w:rFonts w:cs="Times New Roman"/>
                <w:i/>
                <w:sz w:val="18"/>
                <w:szCs w:val="18"/>
              </w:rPr>
            </w:pPr>
            <w:r w:rsidRPr="00F55418">
              <w:rPr>
                <w:rFonts w:cs="Times New Roman"/>
                <w:i/>
                <w:sz w:val="18"/>
                <w:szCs w:val="18"/>
              </w:rPr>
              <w:t>[4] P.11+P.12+P.131+D.39+D.7+D.9 (okrem D.91)</w:t>
            </w:r>
          </w:p>
        </w:tc>
        <w:tc>
          <w:tcPr>
            <w:tcW w:w="638" w:type="dxa"/>
            <w:tcBorders>
              <w:top w:val="nil"/>
              <w:left w:val="nil"/>
              <w:bottom w:val="nil"/>
              <w:right w:val="nil"/>
            </w:tcBorders>
            <w:shd w:val="clear" w:color="auto" w:fill="auto"/>
            <w:noWrap/>
            <w:vAlign w:val="bottom"/>
            <w:hideMark/>
          </w:tcPr>
          <w:p w14:paraId="0A89D1B0" w14:textId="77777777" w:rsidR="00D73008" w:rsidRPr="00F55418" w:rsidRDefault="00D73008" w:rsidP="00387AE5">
            <w:pPr>
              <w:rPr>
                <w:rFonts w:cs="Times New Roman"/>
                <w:i/>
                <w:sz w:val="18"/>
                <w:szCs w:val="18"/>
              </w:rPr>
            </w:pPr>
          </w:p>
        </w:tc>
      </w:tr>
      <w:tr w:rsidR="00D73008" w:rsidRPr="00F55418" w14:paraId="3026F079" w14:textId="77777777" w:rsidTr="00387AE5">
        <w:trPr>
          <w:trHeight w:val="227"/>
        </w:trPr>
        <w:tc>
          <w:tcPr>
            <w:tcW w:w="8485" w:type="dxa"/>
            <w:gridSpan w:val="7"/>
            <w:tcBorders>
              <w:top w:val="nil"/>
              <w:left w:val="nil"/>
              <w:bottom w:val="nil"/>
              <w:right w:val="nil"/>
            </w:tcBorders>
            <w:shd w:val="clear" w:color="auto" w:fill="auto"/>
            <w:vAlign w:val="center"/>
            <w:hideMark/>
          </w:tcPr>
          <w:p w14:paraId="3804C6CE" w14:textId="77777777" w:rsidR="00D73008" w:rsidRPr="00F55418" w:rsidRDefault="00D73008" w:rsidP="00387AE5">
            <w:pPr>
              <w:rPr>
                <w:rFonts w:cs="Times New Roman"/>
                <w:i/>
                <w:sz w:val="18"/>
                <w:szCs w:val="18"/>
              </w:rPr>
            </w:pPr>
            <w:r w:rsidRPr="00F55418">
              <w:rPr>
                <w:rFonts w:cs="Times New Roman"/>
                <w:i/>
                <w:sz w:val="18"/>
                <w:szCs w:val="18"/>
              </w:rPr>
              <w:t>[5] Vrátane vyberaných EÚ</w:t>
            </w:r>
          </w:p>
        </w:tc>
        <w:tc>
          <w:tcPr>
            <w:tcW w:w="638" w:type="dxa"/>
            <w:tcBorders>
              <w:top w:val="nil"/>
              <w:left w:val="nil"/>
              <w:bottom w:val="nil"/>
              <w:right w:val="nil"/>
            </w:tcBorders>
            <w:shd w:val="clear" w:color="auto" w:fill="auto"/>
            <w:noWrap/>
            <w:vAlign w:val="bottom"/>
            <w:hideMark/>
          </w:tcPr>
          <w:p w14:paraId="2A4B91D9" w14:textId="77777777" w:rsidR="00D73008" w:rsidRPr="00F55418" w:rsidRDefault="00D73008" w:rsidP="00387AE5">
            <w:pPr>
              <w:rPr>
                <w:rFonts w:cs="Times New Roman"/>
                <w:i/>
                <w:sz w:val="18"/>
                <w:szCs w:val="18"/>
              </w:rPr>
            </w:pPr>
          </w:p>
        </w:tc>
      </w:tr>
      <w:tr w:rsidR="00D73008" w:rsidRPr="00F55418" w14:paraId="499D1C5B" w14:textId="77777777" w:rsidTr="00387AE5">
        <w:trPr>
          <w:trHeight w:val="227"/>
        </w:trPr>
        <w:tc>
          <w:tcPr>
            <w:tcW w:w="8485" w:type="dxa"/>
            <w:gridSpan w:val="7"/>
            <w:tcBorders>
              <w:top w:val="nil"/>
              <w:left w:val="nil"/>
              <w:bottom w:val="nil"/>
              <w:right w:val="nil"/>
            </w:tcBorders>
            <w:shd w:val="clear" w:color="auto" w:fill="auto"/>
            <w:vAlign w:val="center"/>
            <w:hideMark/>
          </w:tcPr>
          <w:p w14:paraId="60E4261A" w14:textId="77777777" w:rsidR="00D73008" w:rsidRPr="00F55418" w:rsidRDefault="00D73008" w:rsidP="00387AE5">
            <w:pPr>
              <w:rPr>
                <w:rFonts w:cs="Times New Roman"/>
                <w:i/>
                <w:sz w:val="18"/>
                <w:szCs w:val="18"/>
              </w:rPr>
            </w:pPr>
            <w:r w:rsidRPr="00F55418">
              <w:rPr>
                <w:rFonts w:cs="Times New Roman"/>
                <w:i/>
                <w:sz w:val="18"/>
                <w:szCs w:val="18"/>
              </w:rPr>
              <w:t>[6] Zahŕňa hotovostné dávky (D.621 a D.624) a naturálne dávky (D.631) súvisiace s dávkami v nezamestnanosti</w:t>
            </w:r>
          </w:p>
        </w:tc>
        <w:tc>
          <w:tcPr>
            <w:tcW w:w="638" w:type="dxa"/>
            <w:tcBorders>
              <w:top w:val="nil"/>
              <w:left w:val="nil"/>
              <w:bottom w:val="nil"/>
              <w:right w:val="nil"/>
            </w:tcBorders>
            <w:shd w:val="clear" w:color="auto" w:fill="auto"/>
            <w:noWrap/>
            <w:vAlign w:val="bottom"/>
            <w:hideMark/>
          </w:tcPr>
          <w:p w14:paraId="2B968C9D" w14:textId="77777777" w:rsidR="00D73008" w:rsidRPr="00F55418" w:rsidRDefault="00D73008" w:rsidP="00387AE5">
            <w:pPr>
              <w:rPr>
                <w:rFonts w:cs="Times New Roman"/>
                <w:i/>
                <w:sz w:val="18"/>
                <w:szCs w:val="18"/>
              </w:rPr>
            </w:pPr>
          </w:p>
        </w:tc>
      </w:tr>
      <w:tr w:rsidR="00D73008" w:rsidRPr="00F55418" w14:paraId="0FFB3434" w14:textId="77777777" w:rsidTr="00387AE5">
        <w:trPr>
          <w:trHeight w:val="227"/>
        </w:trPr>
        <w:tc>
          <w:tcPr>
            <w:tcW w:w="9123" w:type="dxa"/>
            <w:gridSpan w:val="8"/>
            <w:tcBorders>
              <w:top w:val="nil"/>
              <w:left w:val="nil"/>
              <w:bottom w:val="nil"/>
              <w:right w:val="nil"/>
            </w:tcBorders>
            <w:shd w:val="clear" w:color="auto" w:fill="auto"/>
            <w:vAlign w:val="center"/>
            <w:hideMark/>
          </w:tcPr>
          <w:p w14:paraId="2B55A72D" w14:textId="77777777" w:rsidR="00D73008" w:rsidRPr="00F55418" w:rsidRDefault="00D73008" w:rsidP="00387AE5">
            <w:pPr>
              <w:rPr>
                <w:rFonts w:cs="Times New Roman"/>
                <w:i/>
                <w:sz w:val="18"/>
                <w:szCs w:val="18"/>
              </w:rPr>
            </w:pPr>
            <w:r w:rsidRPr="00F55418">
              <w:rPr>
                <w:rFonts w:cs="Times New Roman"/>
                <w:i/>
                <w:sz w:val="18"/>
                <w:szCs w:val="18"/>
              </w:rPr>
              <w:t>[7] D.29+D4 (okrem D.41)+ D.5+D.7+P.52+P.53+K.2+D.8</w:t>
            </w:r>
          </w:p>
        </w:tc>
      </w:tr>
    </w:tbl>
    <w:p w14:paraId="330E73FA" w14:textId="77777777" w:rsidR="00D73008" w:rsidRPr="00B21C97" w:rsidRDefault="00D73008" w:rsidP="00D73008">
      <w:pPr>
        <w:rPr>
          <w:highlight w:val="yellow"/>
        </w:rPr>
      </w:pPr>
    </w:p>
    <w:tbl>
      <w:tblPr>
        <w:tblW w:w="9315" w:type="dxa"/>
        <w:tblCellMar>
          <w:left w:w="70" w:type="dxa"/>
          <w:right w:w="70" w:type="dxa"/>
        </w:tblCellMar>
        <w:tblLook w:val="04A0" w:firstRow="1" w:lastRow="0" w:firstColumn="1" w:lastColumn="0" w:noHBand="0" w:noVBand="1"/>
      </w:tblPr>
      <w:tblGrid>
        <w:gridCol w:w="4252"/>
        <w:gridCol w:w="964"/>
        <w:gridCol w:w="964"/>
        <w:gridCol w:w="964"/>
        <w:gridCol w:w="470"/>
        <w:gridCol w:w="494"/>
        <w:gridCol w:w="947"/>
        <w:gridCol w:w="17"/>
        <w:gridCol w:w="243"/>
      </w:tblGrid>
      <w:tr w:rsidR="00D73008" w:rsidRPr="00152128" w14:paraId="7F8462FB" w14:textId="77777777" w:rsidTr="00387AE5">
        <w:trPr>
          <w:gridAfter w:val="2"/>
          <w:wAfter w:w="260" w:type="dxa"/>
          <w:trHeight w:val="283"/>
        </w:trPr>
        <w:tc>
          <w:tcPr>
            <w:tcW w:w="9055" w:type="dxa"/>
            <w:gridSpan w:val="7"/>
            <w:tcBorders>
              <w:top w:val="nil"/>
              <w:left w:val="nil"/>
              <w:bottom w:val="single" w:sz="8" w:space="0" w:color="auto"/>
              <w:right w:val="nil"/>
            </w:tcBorders>
            <w:shd w:val="clear" w:color="auto" w:fill="auto"/>
            <w:noWrap/>
            <w:vAlign w:val="bottom"/>
            <w:hideMark/>
          </w:tcPr>
          <w:p w14:paraId="4C84036E" w14:textId="3E9D3078" w:rsidR="00D73008" w:rsidRPr="00152128" w:rsidRDefault="00D73008" w:rsidP="00387AE5">
            <w:pPr>
              <w:rPr>
                <w:rFonts w:eastAsiaTheme="minorHAnsi"/>
                <w:b/>
                <w:color w:val="2C9ADC"/>
                <w:lang w:eastAsia="en-US"/>
              </w:rPr>
            </w:pPr>
            <w:bookmarkStart w:id="249" w:name="_Toc480905415"/>
            <w:bookmarkStart w:id="250" w:name="_Toc6314222"/>
            <w:r w:rsidRPr="00F26E77">
              <w:rPr>
                <w:rFonts w:eastAsiaTheme="minorHAnsi"/>
                <w:b/>
                <w:color w:val="2C9ADC"/>
                <w:lang w:eastAsia="en-US"/>
              </w:rPr>
              <w:t xml:space="preserve">TABUĽKA </w:t>
            </w:r>
            <w:r w:rsidRPr="00F26E77">
              <w:rPr>
                <w:rFonts w:eastAsiaTheme="minorHAnsi"/>
                <w:b/>
                <w:color w:val="2C9ADC"/>
                <w:lang w:eastAsia="en-US"/>
              </w:rPr>
              <w:fldChar w:fldCharType="begin"/>
            </w:r>
            <w:r w:rsidRPr="00F26E77">
              <w:rPr>
                <w:rFonts w:eastAsiaTheme="minorHAnsi"/>
                <w:b/>
                <w:color w:val="2C9ADC"/>
                <w:lang w:eastAsia="en-US"/>
              </w:rPr>
              <w:instrText xml:space="preserve"> SEQ TABUĽKA \* ARABIC </w:instrText>
            </w:r>
            <w:r w:rsidRPr="00F26E77">
              <w:rPr>
                <w:rFonts w:eastAsiaTheme="minorHAnsi"/>
                <w:b/>
                <w:color w:val="2C9ADC"/>
                <w:lang w:eastAsia="en-US"/>
              </w:rPr>
              <w:fldChar w:fldCharType="separate"/>
            </w:r>
            <w:r w:rsidR="00D5739E">
              <w:rPr>
                <w:rFonts w:eastAsiaTheme="minorHAnsi"/>
                <w:b/>
                <w:noProof/>
                <w:color w:val="2C9ADC"/>
                <w:lang w:eastAsia="en-US"/>
              </w:rPr>
              <w:t>23</w:t>
            </w:r>
            <w:r w:rsidRPr="00F26E77">
              <w:rPr>
                <w:rFonts w:eastAsiaTheme="minorHAnsi"/>
                <w:b/>
                <w:color w:val="2C9ADC"/>
                <w:lang w:eastAsia="en-US"/>
              </w:rPr>
              <w:fldChar w:fldCharType="end"/>
            </w:r>
            <w:r w:rsidRPr="00152128">
              <w:rPr>
                <w:rFonts w:eastAsiaTheme="minorHAnsi"/>
                <w:b/>
                <w:color w:val="2C9ADC"/>
                <w:lang w:eastAsia="en-US"/>
              </w:rPr>
              <w:t xml:space="preserve"> (Tabuľka 2b) - Scenár nezmenených politík</w:t>
            </w:r>
            <w:bookmarkEnd w:id="249"/>
            <w:bookmarkEnd w:id="250"/>
          </w:p>
        </w:tc>
      </w:tr>
      <w:tr w:rsidR="00D73008" w:rsidRPr="00F26E77" w14:paraId="4ED9C39B" w14:textId="77777777" w:rsidTr="00387AE5">
        <w:trPr>
          <w:gridAfter w:val="1"/>
          <w:wAfter w:w="243" w:type="dxa"/>
          <w:trHeight w:val="283"/>
        </w:trPr>
        <w:tc>
          <w:tcPr>
            <w:tcW w:w="4252" w:type="dxa"/>
            <w:tcBorders>
              <w:top w:val="nil"/>
              <w:left w:val="nil"/>
              <w:bottom w:val="nil"/>
              <w:right w:val="nil"/>
            </w:tcBorders>
            <w:shd w:val="clear" w:color="auto" w:fill="auto"/>
            <w:vAlign w:val="center"/>
            <w:hideMark/>
          </w:tcPr>
          <w:p w14:paraId="14D63717" w14:textId="77777777" w:rsidR="00D73008" w:rsidRPr="00F26E77" w:rsidRDefault="00D73008" w:rsidP="00387AE5">
            <w:pPr>
              <w:rPr>
                <w:rFonts w:cs="Times New Roman"/>
                <w:b/>
                <w:bCs/>
                <w:color w:val="2C9ADC"/>
                <w:sz w:val="20"/>
                <w:szCs w:val="20"/>
              </w:rPr>
            </w:pPr>
          </w:p>
        </w:tc>
        <w:tc>
          <w:tcPr>
            <w:tcW w:w="964" w:type="dxa"/>
            <w:tcBorders>
              <w:top w:val="nil"/>
              <w:left w:val="nil"/>
              <w:bottom w:val="nil"/>
              <w:right w:val="nil"/>
            </w:tcBorders>
            <w:shd w:val="clear" w:color="auto" w:fill="auto"/>
            <w:vAlign w:val="center"/>
            <w:hideMark/>
          </w:tcPr>
          <w:p w14:paraId="790C233A" w14:textId="77777777" w:rsidR="00D73008" w:rsidRPr="00F26E77" w:rsidRDefault="00D73008" w:rsidP="00387AE5">
            <w:pPr>
              <w:jc w:val="center"/>
              <w:rPr>
                <w:rFonts w:cs="Times New Roman"/>
                <w:b/>
                <w:bCs/>
                <w:color w:val="000000"/>
                <w:sz w:val="18"/>
                <w:szCs w:val="18"/>
              </w:rPr>
            </w:pPr>
            <w:r w:rsidRPr="00F26E77">
              <w:rPr>
                <w:b/>
                <w:sz w:val="18"/>
                <w:szCs w:val="18"/>
              </w:rPr>
              <w:t>2019</w:t>
            </w:r>
            <w:r>
              <w:rPr>
                <w:b/>
                <w:sz w:val="18"/>
                <w:szCs w:val="18"/>
              </w:rPr>
              <w:t xml:space="preserve"> OS</w:t>
            </w:r>
          </w:p>
        </w:tc>
        <w:tc>
          <w:tcPr>
            <w:tcW w:w="964" w:type="dxa"/>
            <w:tcBorders>
              <w:top w:val="nil"/>
              <w:left w:val="nil"/>
              <w:bottom w:val="nil"/>
              <w:right w:val="nil"/>
            </w:tcBorders>
            <w:shd w:val="clear" w:color="auto" w:fill="auto"/>
            <w:vAlign w:val="center"/>
            <w:hideMark/>
          </w:tcPr>
          <w:p w14:paraId="61B058E9" w14:textId="77777777" w:rsidR="00D73008" w:rsidRPr="00F26E77" w:rsidRDefault="00D73008" w:rsidP="00387AE5">
            <w:pPr>
              <w:jc w:val="center"/>
              <w:rPr>
                <w:rFonts w:cs="Times New Roman"/>
                <w:b/>
                <w:bCs/>
                <w:color w:val="000000"/>
                <w:sz w:val="18"/>
                <w:szCs w:val="18"/>
              </w:rPr>
            </w:pPr>
            <w:r w:rsidRPr="00F26E77">
              <w:rPr>
                <w:b/>
                <w:sz w:val="18"/>
                <w:szCs w:val="18"/>
              </w:rPr>
              <w:t>2019</w:t>
            </w:r>
            <w:r>
              <w:rPr>
                <w:b/>
                <w:sz w:val="18"/>
                <w:szCs w:val="18"/>
              </w:rPr>
              <w:t xml:space="preserve"> OS</w:t>
            </w:r>
          </w:p>
        </w:tc>
        <w:tc>
          <w:tcPr>
            <w:tcW w:w="964" w:type="dxa"/>
            <w:tcBorders>
              <w:top w:val="nil"/>
              <w:left w:val="nil"/>
              <w:bottom w:val="nil"/>
              <w:right w:val="nil"/>
            </w:tcBorders>
            <w:shd w:val="clear" w:color="auto" w:fill="auto"/>
            <w:vAlign w:val="center"/>
            <w:hideMark/>
          </w:tcPr>
          <w:p w14:paraId="454FD1C3" w14:textId="77777777" w:rsidR="00D73008" w:rsidRPr="00F26E77" w:rsidRDefault="00D73008" w:rsidP="00387AE5">
            <w:pPr>
              <w:jc w:val="center"/>
              <w:rPr>
                <w:rFonts w:cs="Times New Roman"/>
                <w:b/>
                <w:bCs/>
                <w:color w:val="000000"/>
                <w:sz w:val="18"/>
                <w:szCs w:val="18"/>
              </w:rPr>
            </w:pPr>
            <w:r w:rsidRPr="00F26E77">
              <w:rPr>
                <w:b/>
                <w:sz w:val="18"/>
                <w:szCs w:val="18"/>
              </w:rPr>
              <w:t>2020</w:t>
            </w:r>
            <w:r>
              <w:rPr>
                <w:b/>
                <w:sz w:val="18"/>
                <w:szCs w:val="18"/>
              </w:rPr>
              <w:t xml:space="preserve"> NPC</w:t>
            </w:r>
          </w:p>
        </w:tc>
        <w:tc>
          <w:tcPr>
            <w:tcW w:w="964" w:type="dxa"/>
            <w:gridSpan w:val="2"/>
            <w:tcBorders>
              <w:top w:val="nil"/>
              <w:left w:val="nil"/>
              <w:bottom w:val="nil"/>
              <w:right w:val="nil"/>
            </w:tcBorders>
            <w:shd w:val="clear" w:color="auto" w:fill="auto"/>
            <w:vAlign w:val="center"/>
            <w:hideMark/>
          </w:tcPr>
          <w:p w14:paraId="222F0DFE" w14:textId="77777777" w:rsidR="00D73008" w:rsidRPr="00F26E77" w:rsidRDefault="00D73008" w:rsidP="00387AE5">
            <w:pPr>
              <w:jc w:val="center"/>
              <w:rPr>
                <w:rFonts w:cs="Times New Roman"/>
                <w:b/>
                <w:bCs/>
                <w:color w:val="000000"/>
                <w:sz w:val="18"/>
                <w:szCs w:val="18"/>
              </w:rPr>
            </w:pPr>
            <w:r w:rsidRPr="00F26E77">
              <w:rPr>
                <w:b/>
                <w:sz w:val="18"/>
                <w:szCs w:val="18"/>
              </w:rPr>
              <w:t>2021</w:t>
            </w:r>
            <w:r>
              <w:rPr>
                <w:b/>
                <w:sz w:val="18"/>
                <w:szCs w:val="18"/>
              </w:rPr>
              <w:t xml:space="preserve"> NPC</w:t>
            </w:r>
          </w:p>
        </w:tc>
        <w:tc>
          <w:tcPr>
            <w:tcW w:w="964" w:type="dxa"/>
            <w:gridSpan w:val="2"/>
            <w:tcBorders>
              <w:top w:val="nil"/>
              <w:left w:val="nil"/>
              <w:bottom w:val="nil"/>
              <w:right w:val="nil"/>
            </w:tcBorders>
            <w:shd w:val="clear" w:color="auto" w:fill="auto"/>
            <w:vAlign w:val="center"/>
            <w:hideMark/>
          </w:tcPr>
          <w:p w14:paraId="02388F30" w14:textId="77777777" w:rsidR="00D73008" w:rsidRPr="00F26E77" w:rsidRDefault="00D73008" w:rsidP="00387AE5">
            <w:pPr>
              <w:jc w:val="center"/>
              <w:rPr>
                <w:rFonts w:cs="Times New Roman"/>
                <w:b/>
                <w:bCs/>
                <w:color w:val="000000"/>
                <w:sz w:val="18"/>
                <w:szCs w:val="18"/>
              </w:rPr>
            </w:pPr>
            <w:r w:rsidRPr="00F26E77">
              <w:rPr>
                <w:b/>
                <w:sz w:val="18"/>
                <w:szCs w:val="18"/>
              </w:rPr>
              <w:t>2022</w:t>
            </w:r>
            <w:r>
              <w:rPr>
                <w:b/>
                <w:sz w:val="18"/>
                <w:szCs w:val="18"/>
              </w:rPr>
              <w:t xml:space="preserve"> NPC</w:t>
            </w:r>
          </w:p>
        </w:tc>
      </w:tr>
      <w:tr w:rsidR="00D73008" w:rsidRPr="00F26E77" w14:paraId="779DC0D0" w14:textId="77777777" w:rsidTr="00387AE5">
        <w:trPr>
          <w:gridAfter w:val="1"/>
          <w:wAfter w:w="243" w:type="dxa"/>
          <w:trHeight w:val="283"/>
        </w:trPr>
        <w:tc>
          <w:tcPr>
            <w:tcW w:w="4252" w:type="dxa"/>
            <w:tcBorders>
              <w:top w:val="nil"/>
              <w:left w:val="nil"/>
              <w:bottom w:val="nil"/>
              <w:right w:val="nil"/>
            </w:tcBorders>
            <w:shd w:val="clear" w:color="auto" w:fill="auto"/>
            <w:vAlign w:val="center"/>
            <w:hideMark/>
          </w:tcPr>
          <w:p w14:paraId="133200BB" w14:textId="77777777" w:rsidR="00D73008" w:rsidRPr="00F26E77" w:rsidRDefault="00D73008" w:rsidP="00387AE5">
            <w:pPr>
              <w:jc w:val="center"/>
              <w:rPr>
                <w:rFonts w:cs="Times New Roman"/>
                <w:b/>
                <w:bCs/>
                <w:color w:val="000000"/>
                <w:sz w:val="18"/>
                <w:szCs w:val="18"/>
              </w:rPr>
            </w:pPr>
          </w:p>
        </w:tc>
        <w:tc>
          <w:tcPr>
            <w:tcW w:w="964" w:type="dxa"/>
            <w:tcBorders>
              <w:top w:val="nil"/>
              <w:left w:val="nil"/>
              <w:bottom w:val="nil"/>
              <w:right w:val="nil"/>
            </w:tcBorders>
            <w:shd w:val="clear" w:color="auto" w:fill="auto"/>
            <w:vAlign w:val="center"/>
            <w:hideMark/>
          </w:tcPr>
          <w:p w14:paraId="0052D43D" w14:textId="77777777" w:rsidR="00D73008" w:rsidRPr="00F26E77" w:rsidRDefault="00D73008" w:rsidP="00387AE5">
            <w:pPr>
              <w:jc w:val="center"/>
              <w:rPr>
                <w:rFonts w:cs="Times New Roman"/>
                <w:color w:val="000000"/>
                <w:sz w:val="18"/>
                <w:szCs w:val="18"/>
              </w:rPr>
            </w:pPr>
            <w:r w:rsidRPr="00F26E77">
              <w:rPr>
                <w:sz w:val="18"/>
                <w:szCs w:val="18"/>
              </w:rPr>
              <w:t>mil. eur</w:t>
            </w:r>
          </w:p>
        </w:tc>
        <w:tc>
          <w:tcPr>
            <w:tcW w:w="964" w:type="dxa"/>
            <w:tcBorders>
              <w:top w:val="nil"/>
              <w:left w:val="nil"/>
              <w:bottom w:val="nil"/>
              <w:right w:val="nil"/>
            </w:tcBorders>
            <w:shd w:val="clear" w:color="auto" w:fill="auto"/>
            <w:vAlign w:val="center"/>
            <w:hideMark/>
          </w:tcPr>
          <w:p w14:paraId="04A4D486" w14:textId="77777777" w:rsidR="00D73008" w:rsidRPr="00F26E77" w:rsidRDefault="00D73008" w:rsidP="00387AE5">
            <w:pPr>
              <w:jc w:val="center"/>
              <w:rPr>
                <w:rFonts w:cs="Times New Roman"/>
                <w:color w:val="000000"/>
                <w:sz w:val="18"/>
                <w:szCs w:val="18"/>
              </w:rPr>
            </w:pPr>
            <w:r w:rsidRPr="00F26E77">
              <w:rPr>
                <w:sz w:val="18"/>
                <w:szCs w:val="18"/>
              </w:rPr>
              <w:t>% HDP</w:t>
            </w:r>
          </w:p>
        </w:tc>
        <w:tc>
          <w:tcPr>
            <w:tcW w:w="964" w:type="dxa"/>
            <w:tcBorders>
              <w:top w:val="nil"/>
              <w:left w:val="nil"/>
              <w:bottom w:val="nil"/>
              <w:right w:val="nil"/>
            </w:tcBorders>
            <w:shd w:val="clear" w:color="auto" w:fill="auto"/>
            <w:vAlign w:val="center"/>
            <w:hideMark/>
          </w:tcPr>
          <w:p w14:paraId="4279BA2D" w14:textId="77777777" w:rsidR="00D73008" w:rsidRPr="00F26E77" w:rsidRDefault="00D73008" w:rsidP="00387AE5">
            <w:pPr>
              <w:jc w:val="center"/>
              <w:rPr>
                <w:rFonts w:cs="Times New Roman"/>
                <w:color w:val="000000"/>
                <w:sz w:val="18"/>
                <w:szCs w:val="18"/>
              </w:rPr>
            </w:pPr>
            <w:r w:rsidRPr="00F26E77">
              <w:rPr>
                <w:sz w:val="18"/>
                <w:szCs w:val="18"/>
              </w:rPr>
              <w:t>% HDP</w:t>
            </w:r>
          </w:p>
        </w:tc>
        <w:tc>
          <w:tcPr>
            <w:tcW w:w="964" w:type="dxa"/>
            <w:gridSpan w:val="2"/>
            <w:tcBorders>
              <w:top w:val="nil"/>
              <w:left w:val="nil"/>
              <w:bottom w:val="nil"/>
              <w:right w:val="nil"/>
            </w:tcBorders>
            <w:shd w:val="clear" w:color="auto" w:fill="auto"/>
            <w:vAlign w:val="center"/>
            <w:hideMark/>
          </w:tcPr>
          <w:p w14:paraId="52E8199D" w14:textId="77777777" w:rsidR="00D73008" w:rsidRPr="00F26E77" w:rsidRDefault="00D73008" w:rsidP="00387AE5">
            <w:pPr>
              <w:jc w:val="center"/>
              <w:rPr>
                <w:rFonts w:cs="Times New Roman"/>
                <w:color w:val="000000"/>
                <w:sz w:val="18"/>
                <w:szCs w:val="18"/>
              </w:rPr>
            </w:pPr>
            <w:r w:rsidRPr="00F26E77">
              <w:rPr>
                <w:sz w:val="18"/>
                <w:szCs w:val="18"/>
              </w:rPr>
              <w:t>% HDP</w:t>
            </w:r>
          </w:p>
        </w:tc>
        <w:tc>
          <w:tcPr>
            <w:tcW w:w="964" w:type="dxa"/>
            <w:gridSpan w:val="2"/>
            <w:tcBorders>
              <w:top w:val="nil"/>
              <w:left w:val="nil"/>
              <w:bottom w:val="nil"/>
              <w:right w:val="nil"/>
            </w:tcBorders>
            <w:shd w:val="clear" w:color="auto" w:fill="auto"/>
            <w:vAlign w:val="center"/>
            <w:hideMark/>
          </w:tcPr>
          <w:p w14:paraId="2D2B77C0" w14:textId="77777777" w:rsidR="00D73008" w:rsidRPr="00F26E77" w:rsidRDefault="00D73008" w:rsidP="00387AE5">
            <w:pPr>
              <w:jc w:val="center"/>
              <w:rPr>
                <w:rFonts w:cs="Times New Roman"/>
                <w:color w:val="000000"/>
                <w:sz w:val="18"/>
                <w:szCs w:val="18"/>
              </w:rPr>
            </w:pPr>
            <w:r w:rsidRPr="00F26E77">
              <w:rPr>
                <w:sz w:val="18"/>
                <w:szCs w:val="18"/>
              </w:rPr>
              <w:t>% HDP</w:t>
            </w:r>
          </w:p>
        </w:tc>
      </w:tr>
      <w:tr w:rsidR="00D73008" w:rsidRPr="00F26E77" w14:paraId="1534B46E" w14:textId="77777777" w:rsidTr="00387AE5">
        <w:trPr>
          <w:gridAfter w:val="1"/>
          <w:wAfter w:w="243" w:type="dxa"/>
          <w:trHeight w:val="283"/>
        </w:trPr>
        <w:tc>
          <w:tcPr>
            <w:tcW w:w="4252" w:type="dxa"/>
            <w:tcBorders>
              <w:top w:val="single" w:sz="4" w:space="0" w:color="auto"/>
              <w:left w:val="nil"/>
              <w:right w:val="nil"/>
            </w:tcBorders>
            <w:shd w:val="clear" w:color="000000" w:fill="FFFFFF"/>
            <w:vAlign w:val="center"/>
            <w:hideMark/>
          </w:tcPr>
          <w:p w14:paraId="79FAD103" w14:textId="77777777" w:rsidR="00D73008" w:rsidRPr="00F26E77" w:rsidRDefault="00D73008" w:rsidP="00387AE5">
            <w:pPr>
              <w:rPr>
                <w:rFonts w:cs="Times New Roman"/>
                <w:color w:val="000000"/>
                <w:sz w:val="18"/>
                <w:szCs w:val="18"/>
              </w:rPr>
            </w:pPr>
            <w:r w:rsidRPr="00F26E77">
              <w:rPr>
                <w:rFonts w:cs="Times New Roman"/>
                <w:color w:val="000000"/>
                <w:sz w:val="18"/>
                <w:szCs w:val="18"/>
              </w:rPr>
              <w:t>1. Celkové príjmy za predpokladu scenára bez zmien politík</w:t>
            </w:r>
          </w:p>
        </w:tc>
        <w:tc>
          <w:tcPr>
            <w:tcW w:w="964" w:type="dxa"/>
            <w:tcBorders>
              <w:top w:val="single" w:sz="4" w:space="0" w:color="auto"/>
              <w:left w:val="nil"/>
              <w:bottom w:val="nil"/>
              <w:right w:val="nil"/>
            </w:tcBorders>
            <w:shd w:val="clear" w:color="auto" w:fill="auto"/>
            <w:vAlign w:val="center"/>
            <w:hideMark/>
          </w:tcPr>
          <w:p w14:paraId="26315E32" w14:textId="77777777" w:rsidR="00D73008" w:rsidRPr="00F26E77" w:rsidRDefault="00D73008" w:rsidP="00387AE5">
            <w:pPr>
              <w:jc w:val="center"/>
              <w:rPr>
                <w:rFonts w:cs="Times New Roman"/>
                <w:color w:val="000000"/>
                <w:sz w:val="18"/>
                <w:szCs w:val="18"/>
              </w:rPr>
            </w:pPr>
            <w:r w:rsidRPr="00F26E77">
              <w:rPr>
                <w:sz w:val="18"/>
                <w:szCs w:val="18"/>
              </w:rPr>
              <w:t>37 616</w:t>
            </w:r>
          </w:p>
        </w:tc>
        <w:tc>
          <w:tcPr>
            <w:tcW w:w="964" w:type="dxa"/>
            <w:tcBorders>
              <w:top w:val="single" w:sz="4" w:space="0" w:color="auto"/>
              <w:left w:val="nil"/>
              <w:bottom w:val="nil"/>
              <w:right w:val="nil"/>
            </w:tcBorders>
            <w:shd w:val="clear" w:color="auto" w:fill="auto"/>
            <w:vAlign w:val="center"/>
            <w:hideMark/>
          </w:tcPr>
          <w:p w14:paraId="4EF7729D" w14:textId="77777777" w:rsidR="00D73008" w:rsidRPr="00F26E77" w:rsidRDefault="00D73008" w:rsidP="00387AE5">
            <w:pPr>
              <w:jc w:val="center"/>
              <w:rPr>
                <w:rFonts w:cs="Times New Roman"/>
                <w:color w:val="000000"/>
                <w:sz w:val="18"/>
                <w:szCs w:val="18"/>
              </w:rPr>
            </w:pPr>
            <w:r w:rsidRPr="00F26E77">
              <w:rPr>
                <w:sz w:val="18"/>
                <w:szCs w:val="18"/>
              </w:rPr>
              <w:t>39,1</w:t>
            </w:r>
          </w:p>
        </w:tc>
        <w:tc>
          <w:tcPr>
            <w:tcW w:w="964" w:type="dxa"/>
            <w:tcBorders>
              <w:top w:val="single" w:sz="4" w:space="0" w:color="auto"/>
              <w:left w:val="nil"/>
              <w:bottom w:val="nil"/>
              <w:right w:val="nil"/>
            </w:tcBorders>
            <w:shd w:val="clear" w:color="auto" w:fill="auto"/>
            <w:vAlign w:val="center"/>
            <w:hideMark/>
          </w:tcPr>
          <w:p w14:paraId="05F4D1B2" w14:textId="77777777" w:rsidR="00D73008" w:rsidRPr="00F26E77" w:rsidRDefault="00D73008" w:rsidP="00387AE5">
            <w:pPr>
              <w:jc w:val="center"/>
              <w:rPr>
                <w:rFonts w:cs="Times New Roman"/>
                <w:color w:val="000000"/>
                <w:sz w:val="18"/>
                <w:szCs w:val="18"/>
              </w:rPr>
            </w:pPr>
            <w:r w:rsidRPr="00F26E77">
              <w:rPr>
                <w:sz w:val="18"/>
                <w:szCs w:val="18"/>
              </w:rPr>
              <w:t>38,3</w:t>
            </w:r>
          </w:p>
        </w:tc>
        <w:tc>
          <w:tcPr>
            <w:tcW w:w="964" w:type="dxa"/>
            <w:gridSpan w:val="2"/>
            <w:tcBorders>
              <w:top w:val="single" w:sz="4" w:space="0" w:color="auto"/>
              <w:left w:val="nil"/>
              <w:bottom w:val="nil"/>
              <w:right w:val="nil"/>
            </w:tcBorders>
            <w:shd w:val="clear" w:color="auto" w:fill="auto"/>
            <w:vAlign w:val="center"/>
            <w:hideMark/>
          </w:tcPr>
          <w:p w14:paraId="1C1D5948" w14:textId="77777777" w:rsidR="00D73008" w:rsidRPr="00F26E77" w:rsidRDefault="00D73008" w:rsidP="00387AE5">
            <w:pPr>
              <w:jc w:val="center"/>
              <w:rPr>
                <w:rFonts w:cs="Times New Roman"/>
                <w:color w:val="000000"/>
                <w:sz w:val="18"/>
                <w:szCs w:val="18"/>
              </w:rPr>
            </w:pPr>
            <w:r w:rsidRPr="00F26E77">
              <w:rPr>
                <w:sz w:val="18"/>
                <w:szCs w:val="18"/>
              </w:rPr>
              <w:t>37,9</w:t>
            </w:r>
          </w:p>
        </w:tc>
        <w:tc>
          <w:tcPr>
            <w:tcW w:w="964" w:type="dxa"/>
            <w:gridSpan w:val="2"/>
            <w:tcBorders>
              <w:top w:val="single" w:sz="4" w:space="0" w:color="auto"/>
              <w:left w:val="nil"/>
              <w:bottom w:val="nil"/>
              <w:right w:val="nil"/>
            </w:tcBorders>
            <w:shd w:val="clear" w:color="auto" w:fill="auto"/>
            <w:vAlign w:val="center"/>
            <w:hideMark/>
          </w:tcPr>
          <w:p w14:paraId="2CF6DACD" w14:textId="77777777" w:rsidR="00D73008" w:rsidRPr="00F26E77" w:rsidRDefault="00D73008" w:rsidP="00387AE5">
            <w:pPr>
              <w:jc w:val="center"/>
              <w:rPr>
                <w:rFonts w:cs="Times New Roman"/>
                <w:color w:val="000000"/>
                <w:sz w:val="18"/>
                <w:szCs w:val="18"/>
              </w:rPr>
            </w:pPr>
            <w:r w:rsidRPr="00F26E77">
              <w:rPr>
                <w:sz w:val="18"/>
                <w:szCs w:val="18"/>
              </w:rPr>
              <w:t>37,7</w:t>
            </w:r>
          </w:p>
        </w:tc>
      </w:tr>
      <w:tr w:rsidR="00D73008" w:rsidRPr="00F26E77" w14:paraId="2EDDC446" w14:textId="77777777" w:rsidTr="00387AE5">
        <w:trPr>
          <w:gridAfter w:val="1"/>
          <w:wAfter w:w="243" w:type="dxa"/>
          <w:trHeight w:val="283"/>
        </w:trPr>
        <w:tc>
          <w:tcPr>
            <w:tcW w:w="4252" w:type="dxa"/>
            <w:tcBorders>
              <w:top w:val="nil"/>
              <w:left w:val="nil"/>
              <w:bottom w:val="single" w:sz="8" w:space="0" w:color="auto"/>
              <w:right w:val="nil"/>
            </w:tcBorders>
            <w:shd w:val="clear" w:color="000000" w:fill="FFFFFF"/>
            <w:vAlign w:val="center"/>
            <w:hideMark/>
          </w:tcPr>
          <w:p w14:paraId="21FA9E27" w14:textId="77777777" w:rsidR="00D73008" w:rsidRPr="00F26E77" w:rsidRDefault="00D73008" w:rsidP="00387AE5">
            <w:pPr>
              <w:rPr>
                <w:rFonts w:cs="Times New Roman"/>
                <w:color w:val="000000"/>
                <w:sz w:val="18"/>
                <w:szCs w:val="18"/>
              </w:rPr>
            </w:pPr>
            <w:r w:rsidRPr="00F26E77">
              <w:rPr>
                <w:rFonts w:cs="Times New Roman"/>
                <w:color w:val="000000"/>
                <w:sz w:val="18"/>
                <w:szCs w:val="18"/>
              </w:rPr>
              <w:t>2. Celkové výdavky za predpokladu scenára bez zmien politík</w:t>
            </w:r>
          </w:p>
        </w:tc>
        <w:tc>
          <w:tcPr>
            <w:tcW w:w="964" w:type="dxa"/>
            <w:tcBorders>
              <w:top w:val="nil"/>
              <w:left w:val="nil"/>
              <w:bottom w:val="single" w:sz="4" w:space="0" w:color="auto"/>
              <w:right w:val="nil"/>
            </w:tcBorders>
            <w:shd w:val="clear" w:color="auto" w:fill="auto"/>
            <w:vAlign w:val="center"/>
            <w:hideMark/>
          </w:tcPr>
          <w:p w14:paraId="26920EDE" w14:textId="77777777" w:rsidR="00D73008" w:rsidRPr="00F26E77" w:rsidRDefault="00D73008" w:rsidP="00387AE5">
            <w:pPr>
              <w:jc w:val="center"/>
              <w:rPr>
                <w:rFonts w:cs="Times New Roman"/>
                <w:color w:val="000000"/>
                <w:sz w:val="18"/>
                <w:szCs w:val="18"/>
              </w:rPr>
            </w:pPr>
            <w:r w:rsidRPr="00F26E77">
              <w:rPr>
                <w:sz w:val="18"/>
                <w:szCs w:val="18"/>
              </w:rPr>
              <w:t>37 616</w:t>
            </w:r>
          </w:p>
        </w:tc>
        <w:tc>
          <w:tcPr>
            <w:tcW w:w="964" w:type="dxa"/>
            <w:tcBorders>
              <w:top w:val="nil"/>
              <w:left w:val="nil"/>
              <w:bottom w:val="single" w:sz="4" w:space="0" w:color="auto"/>
              <w:right w:val="nil"/>
            </w:tcBorders>
            <w:shd w:val="clear" w:color="auto" w:fill="auto"/>
            <w:vAlign w:val="center"/>
            <w:hideMark/>
          </w:tcPr>
          <w:p w14:paraId="4C51262D" w14:textId="77777777" w:rsidR="00D73008" w:rsidRPr="00F26E77" w:rsidRDefault="00D73008" w:rsidP="00387AE5">
            <w:pPr>
              <w:jc w:val="center"/>
              <w:rPr>
                <w:rFonts w:cs="Times New Roman"/>
                <w:color w:val="000000"/>
                <w:sz w:val="18"/>
                <w:szCs w:val="18"/>
              </w:rPr>
            </w:pPr>
            <w:r w:rsidRPr="00F26E77">
              <w:rPr>
                <w:sz w:val="18"/>
                <w:szCs w:val="18"/>
              </w:rPr>
              <w:t>39,1</w:t>
            </w:r>
          </w:p>
        </w:tc>
        <w:tc>
          <w:tcPr>
            <w:tcW w:w="964" w:type="dxa"/>
            <w:tcBorders>
              <w:top w:val="nil"/>
              <w:left w:val="nil"/>
              <w:bottom w:val="single" w:sz="4" w:space="0" w:color="auto"/>
              <w:right w:val="nil"/>
            </w:tcBorders>
            <w:shd w:val="clear" w:color="auto" w:fill="auto"/>
            <w:vAlign w:val="center"/>
            <w:hideMark/>
          </w:tcPr>
          <w:p w14:paraId="603269C8" w14:textId="77777777" w:rsidR="00D73008" w:rsidRPr="00F26E77" w:rsidRDefault="00D73008" w:rsidP="00387AE5">
            <w:pPr>
              <w:jc w:val="center"/>
              <w:rPr>
                <w:rFonts w:cs="Times New Roman"/>
                <w:color w:val="000000"/>
                <w:sz w:val="18"/>
                <w:szCs w:val="18"/>
              </w:rPr>
            </w:pPr>
            <w:r w:rsidRPr="00F26E77">
              <w:rPr>
                <w:sz w:val="18"/>
                <w:szCs w:val="18"/>
              </w:rPr>
              <w:t>37,9</w:t>
            </w:r>
          </w:p>
        </w:tc>
        <w:tc>
          <w:tcPr>
            <w:tcW w:w="964" w:type="dxa"/>
            <w:gridSpan w:val="2"/>
            <w:tcBorders>
              <w:top w:val="nil"/>
              <w:left w:val="nil"/>
              <w:bottom w:val="single" w:sz="4" w:space="0" w:color="auto"/>
              <w:right w:val="nil"/>
            </w:tcBorders>
            <w:shd w:val="clear" w:color="auto" w:fill="auto"/>
            <w:vAlign w:val="center"/>
            <w:hideMark/>
          </w:tcPr>
          <w:p w14:paraId="09110AE8" w14:textId="77777777" w:rsidR="00D73008" w:rsidRPr="00F26E77" w:rsidRDefault="00D73008" w:rsidP="00387AE5">
            <w:pPr>
              <w:jc w:val="center"/>
              <w:rPr>
                <w:rFonts w:cs="Times New Roman"/>
                <w:color w:val="000000"/>
                <w:sz w:val="18"/>
                <w:szCs w:val="18"/>
              </w:rPr>
            </w:pPr>
            <w:r w:rsidRPr="00F26E77">
              <w:rPr>
                <w:sz w:val="18"/>
                <w:szCs w:val="18"/>
              </w:rPr>
              <w:t>37,5</w:t>
            </w:r>
          </w:p>
        </w:tc>
        <w:tc>
          <w:tcPr>
            <w:tcW w:w="964" w:type="dxa"/>
            <w:gridSpan w:val="2"/>
            <w:tcBorders>
              <w:top w:val="nil"/>
              <w:left w:val="nil"/>
              <w:bottom w:val="single" w:sz="4" w:space="0" w:color="auto"/>
              <w:right w:val="nil"/>
            </w:tcBorders>
            <w:shd w:val="clear" w:color="auto" w:fill="auto"/>
            <w:vAlign w:val="center"/>
            <w:hideMark/>
          </w:tcPr>
          <w:p w14:paraId="6DDC1350" w14:textId="77777777" w:rsidR="00D73008" w:rsidRPr="00F26E77" w:rsidRDefault="00D73008" w:rsidP="00387AE5">
            <w:pPr>
              <w:jc w:val="center"/>
              <w:rPr>
                <w:rFonts w:cs="Times New Roman"/>
                <w:color w:val="000000"/>
                <w:sz w:val="18"/>
                <w:szCs w:val="18"/>
              </w:rPr>
            </w:pPr>
            <w:r w:rsidRPr="00F26E77">
              <w:rPr>
                <w:sz w:val="18"/>
                <w:szCs w:val="18"/>
              </w:rPr>
              <w:t>37,5</w:t>
            </w:r>
          </w:p>
        </w:tc>
      </w:tr>
      <w:tr w:rsidR="00D73008" w:rsidRPr="00B21C97" w14:paraId="6E9A0A58" w14:textId="77777777" w:rsidTr="00387AE5">
        <w:trPr>
          <w:trHeight w:val="283"/>
        </w:trPr>
        <w:tc>
          <w:tcPr>
            <w:tcW w:w="7614" w:type="dxa"/>
            <w:gridSpan w:val="5"/>
            <w:tcBorders>
              <w:top w:val="nil"/>
              <w:left w:val="nil"/>
              <w:bottom w:val="nil"/>
              <w:right w:val="nil"/>
            </w:tcBorders>
            <w:shd w:val="clear" w:color="auto" w:fill="auto"/>
            <w:vAlign w:val="center"/>
            <w:hideMark/>
          </w:tcPr>
          <w:p w14:paraId="0CBF6D9A" w14:textId="77777777" w:rsidR="00D73008" w:rsidRPr="00F26E77" w:rsidRDefault="00D73008" w:rsidP="00387AE5">
            <w:pPr>
              <w:rPr>
                <w:rFonts w:cs="Times New Roman"/>
                <w:color w:val="000000"/>
                <w:sz w:val="16"/>
                <w:szCs w:val="16"/>
              </w:rPr>
            </w:pPr>
            <w:r w:rsidRPr="00F26E77">
              <w:rPr>
                <w:rFonts w:cs="Times New Roman"/>
                <w:color w:val="000000"/>
                <w:sz w:val="16"/>
                <w:szCs w:val="16"/>
              </w:rPr>
              <w:t xml:space="preserve">Pozn.: Pre účely scenára </w:t>
            </w:r>
            <w:r>
              <w:rPr>
                <w:rFonts w:cs="Times New Roman"/>
                <w:color w:val="000000"/>
                <w:sz w:val="16"/>
                <w:szCs w:val="16"/>
              </w:rPr>
              <w:t>nezmenených politík na roky 2020</w:t>
            </w:r>
            <w:r w:rsidRPr="00F26E77">
              <w:rPr>
                <w:rFonts w:cs="Times New Roman"/>
                <w:color w:val="000000"/>
                <w:sz w:val="16"/>
                <w:szCs w:val="16"/>
              </w:rPr>
              <w:t xml:space="preserve"> až 202</w:t>
            </w:r>
            <w:r>
              <w:rPr>
                <w:rFonts w:cs="Times New Roman"/>
                <w:color w:val="000000"/>
                <w:sz w:val="16"/>
                <w:szCs w:val="16"/>
              </w:rPr>
              <w:t>2</w:t>
            </w:r>
            <w:r w:rsidRPr="00F26E77">
              <w:rPr>
                <w:rFonts w:cs="Times New Roman"/>
                <w:color w:val="000000"/>
                <w:sz w:val="16"/>
                <w:szCs w:val="16"/>
              </w:rPr>
              <w:t xml:space="preserve"> sa vychádzalo z očakávanej skutočnosti roku 201</w:t>
            </w:r>
            <w:r>
              <w:rPr>
                <w:rFonts w:cs="Times New Roman"/>
                <w:color w:val="000000"/>
                <w:sz w:val="16"/>
                <w:szCs w:val="16"/>
              </w:rPr>
              <w:t>9.</w:t>
            </w:r>
          </w:p>
        </w:tc>
        <w:tc>
          <w:tcPr>
            <w:tcW w:w="1701" w:type="dxa"/>
            <w:gridSpan w:val="4"/>
            <w:tcBorders>
              <w:top w:val="nil"/>
              <w:left w:val="nil"/>
              <w:bottom w:val="nil"/>
              <w:right w:val="nil"/>
            </w:tcBorders>
            <w:shd w:val="clear" w:color="000000" w:fill="FFFFFF"/>
            <w:vAlign w:val="center"/>
            <w:hideMark/>
          </w:tcPr>
          <w:p w14:paraId="26DC5AF4" w14:textId="77777777" w:rsidR="00D73008" w:rsidRPr="00F26E77" w:rsidRDefault="00D73008" w:rsidP="00387AE5">
            <w:pPr>
              <w:jc w:val="center"/>
              <w:rPr>
                <w:rFonts w:cs="Times New Roman"/>
                <w:i/>
                <w:iCs/>
                <w:color w:val="000000"/>
                <w:sz w:val="16"/>
                <w:szCs w:val="16"/>
              </w:rPr>
            </w:pPr>
            <w:r w:rsidRPr="00F26E77">
              <w:rPr>
                <w:rFonts w:cs="Times New Roman"/>
                <w:i/>
                <w:iCs/>
                <w:color w:val="000000"/>
                <w:sz w:val="16"/>
                <w:szCs w:val="16"/>
              </w:rPr>
              <w:t xml:space="preserve">             Zdroj: MFSR</w:t>
            </w:r>
          </w:p>
        </w:tc>
      </w:tr>
    </w:tbl>
    <w:p w14:paraId="268BCBA7" w14:textId="77777777" w:rsidR="00D73008" w:rsidRPr="00B21C97" w:rsidRDefault="00D73008" w:rsidP="00D73008">
      <w:pPr>
        <w:rPr>
          <w:highlight w:val="yellow"/>
        </w:rPr>
      </w:pPr>
    </w:p>
    <w:tbl>
      <w:tblPr>
        <w:tblW w:w="9138" w:type="dxa"/>
        <w:tblCellMar>
          <w:left w:w="70" w:type="dxa"/>
          <w:right w:w="70" w:type="dxa"/>
        </w:tblCellMar>
        <w:tblLook w:val="04A0" w:firstRow="1" w:lastRow="0" w:firstColumn="1" w:lastColumn="0" w:noHBand="0" w:noVBand="1"/>
      </w:tblPr>
      <w:tblGrid>
        <w:gridCol w:w="3740"/>
        <w:gridCol w:w="1280"/>
        <w:gridCol w:w="25"/>
        <w:gridCol w:w="650"/>
        <w:gridCol w:w="805"/>
        <w:gridCol w:w="35"/>
        <w:gridCol w:w="650"/>
        <w:gridCol w:w="275"/>
        <w:gridCol w:w="375"/>
        <w:gridCol w:w="650"/>
        <w:gridCol w:w="575"/>
        <w:gridCol w:w="78"/>
      </w:tblGrid>
      <w:tr w:rsidR="00D73008" w:rsidRPr="00152128" w14:paraId="04AD10F0" w14:textId="77777777" w:rsidTr="00387AE5">
        <w:trPr>
          <w:trHeight w:val="283"/>
        </w:trPr>
        <w:tc>
          <w:tcPr>
            <w:tcW w:w="9138" w:type="dxa"/>
            <w:gridSpan w:val="12"/>
            <w:tcBorders>
              <w:top w:val="nil"/>
              <w:left w:val="nil"/>
              <w:bottom w:val="single" w:sz="8" w:space="0" w:color="auto"/>
              <w:right w:val="nil"/>
            </w:tcBorders>
            <w:shd w:val="clear" w:color="auto" w:fill="auto"/>
            <w:noWrap/>
            <w:vAlign w:val="bottom"/>
            <w:hideMark/>
          </w:tcPr>
          <w:p w14:paraId="5C109EE8" w14:textId="0729D24D" w:rsidR="00D73008" w:rsidRPr="00152128" w:rsidRDefault="00D73008" w:rsidP="00387AE5">
            <w:pPr>
              <w:rPr>
                <w:rFonts w:eastAsiaTheme="minorHAnsi"/>
                <w:b/>
                <w:color w:val="2C9ADC"/>
                <w:lang w:eastAsia="en-US"/>
              </w:rPr>
            </w:pPr>
            <w:bookmarkStart w:id="251" w:name="_Toc480905416"/>
            <w:bookmarkStart w:id="252" w:name="_Toc6314223"/>
            <w:r w:rsidRPr="00F26E77">
              <w:rPr>
                <w:rFonts w:eastAsiaTheme="minorHAnsi"/>
                <w:b/>
                <w:color w:val="2C9ADC"/>
                <w:lang w:eastAsia="en-US"/>
              </w:rPr>
              <w:t xml:space="preserve">TABUĽKA </w:t>
            </w:r>
            <w:r w:rsidRPr="00F26E77">
              <w:rPr>
                <w:rFonts w:eastAsiaTheme="minorHAnsi"/>
                <w:b/>
                <w:color w:val="2C9ADC"/>
                <w:lang w:eastAsia="en-US"/>
              </w:rPr>
              <w:fldChar w:fldCharType="begin"/>
            </w:r>
            <w:r w:rsidRPr="00F26E77">
              <w:rPr>
                <w:rFonts w:eastAsiaTheme="minorHAnsi"/>
                <w:b/>
                <w:color w:val="2C9ADC"/>
                <w:lang w:eastAsia="en-US"/>
              </w:rPr>
              <w:instrText xml:space="preserve"> SEQ TABUĽKA \* ARABIC </w:instrText>
            </w:r>
            <w:r w:rsidRPr="00F26E77">
              <w:rPr>
                <w:rFonts w:eastAsiaTheme="minorHAnsi"/>
                <w:b/>
                <w:color w:val="2C9ADC"/>
                <w:lang w:eastAsia="en-US"/>
              </w:rPr>
              <w:fldChar w:fldCharType="separate"/>
            </w:r>
            <w:r w:rsidR="00D5739E">
              <w:rPr>
                <w:rFonts w:eastAsiaTheme="minorHAnsi"/>
                <w:b/>
                <w:noProof/>
                <w:color w:val="2C9ADC"/>
                <w:lang w:eastAsia="en-US"/>
              </w:rPr>
              <w:t>24</w:t>
            </w:r>
            <w:r w:rsidRPr="00F26E77">
              <w:rPr>
                <w:rFonts w:eastAsiaTheme="minorHAnsi"/>
                <w:b/>
                <w:color w:val="2C9ADC"/>
                <w:lang w:eastAsia="en-US"/>
              </w:rPr>
              <w:fldChar w:fldCharType="end"/>
            </w:r>
            <w:r w:rsidRPr="00152128">
              <w:rPr>
                <w:rFonts w:eastAsiaTheme="minorHAnsi"/>
                <w:b/>
                <w:color w:val="2C9ADC"/>
                <w:lang w:eastAsia="en-US"/>
              </w:rPr>
              <w:t xml:space="preserve"> (Tabuľka 2c) - Výdavky vylúčené z výdavkového agregátu</w:t>
            </w:r>
            <w:bookmarkEnd w:id="251"/>
            <w:bookmarkEnd w:id="252"/>
          </w:p>
        </w:tc>
      </w:tr>
      <w:tr w:rsidR="00D73008" w:rsidRPr="00F26E77" w14:paraId="3E6F6D3D" w14:textId="77777777" w:rsidTr="00387AE5">
        <w:trPr>
          <w:trHeight w:val="283"/>
        </w:trPr>
        <w:tc>
          <w:tcPr>
            <w:tcW w:w="5045" w:type="dxa"/>
            <w:gridSpan w:val="3"/>
            <w:tcBorders>
              <w:top w:val="nil"/>
              <w:left w:val="nil"/>
              <w:bottom w:val="nil"/>
              <w:right w:val="nil"/>
            </w:tcBorders>
            <w:shd w:val="clear" w:color="auto" w:fill="auto"/>
            <w:vAlign w:val="center"/>
            <w:hideMark/>
          </w:tcPr>
          <w:p w14:paraId="7E6F74D1" w14:textId="77777777" w:rsidR="00D73008" w:rsidRPr="00F26E77" w:rsidRDefault="00D73008" w:rsidP="00387AE5">
            <w:pPr>
              <w:rPr>
                <w:rFonts w:cs="Times New Roman"/>
                <w:color w:val="000000"/>
                <w:sz w:val="18"/>
                <w:szCs w:val="18"/>
              </w:rPr>
            </w:pPr>
            <w:r w:rsidRPr="00F26E77">
              <w:rPr>
                <w:rFonts w:cs="Times New Roman"/>
                <w:color w:val="000000"/>
                <w:sz w:val="18"/>
                <w:szCs w:val="18"/>
              </w:rPr>
              <w:t> </w:t>
            </w:r>
          </w:p>
        </w:tc>
        <w:tc>
          <w:tcPr>
            <w:tcW w:w="650" w:type="dxa"/>
            <w:tcBorders>
              <w:top w:val="single" w:sz="8" w:space="0" w:color="auto"/>
              <w:left w:val="nil"/>
              <w:bottom w:val="nil"/>
              <w:right w:val="nil"/>
            </w:tcBorders>
            <w:shd w:val="clear" w:color="auto" w:fill="auto"/>
            <w:vAlign w:val="center"/>
            <w:hideMark/>
          </w:tcPr>
          <w:p w14:paraId="14E16785" w14:textId="77777777" w:rsidR="00D73008" w:rsidRPr="00F26E77" w:rsidRDefault="00D73008" w:rsidP="00387AE5">
            <w:pPr>
              <w:jc w:val="center"/>
              <w:rPr>
                <w:rFonts w:cs="Times New Roman"/>
                <w:b/>
                <w:bCs/>
                <w:color w:val="000000"/>
                <w:sz w:val="18"/>
                <w:szCs w:val="18"/>
              </w:rPr>
            </w:pPr>
            <w:r w:rsidRPr="00F26E77">
              <w:rPr>
                <w:b/>
                <w:bCs/>
                <w:color w:val="000000"/>
                <w:sz w:val="18"/>
                <w:szCs w:val="18"/>
              </w:rPr>
              <w:t>201</w:t>
            </w:r>
            <w:r>
              <w:rPr>
                <w:b/>
                <w:bCs/>
                <w:color w:val="000000"/>
                <w:sz w:val="18"/>
                <w:szCs w:val="18"/>
              </w:rPr>
              <w:t>8</w:t>
            </w:r>
          </w:p>
        </w:tc>
        <w:tc>
          <w:tcPr>
            <w:tcW w:w="840" w:type="dxa"/>
            <w:gridSpan w:val="2"/>
            <w:tcBorders>
              <w:top w:val="single" w:sz="8" w:space="0" w:color="auto"/>
              <w:left w:val="nil"/>
              <w:bottom w:val="nil"/>
              <w:right w:val="nil"/>
            </w:tcBorders>
            <w:shd w:val="clear" w:color="auto" w:fill="auto"/>
            <w:vAlign w:val="center"/>
            <w:hideMark/>
          </w:tcPr>
          <w:p w14:paraId="264D1AE1" w14:textId="77777777" w:rsidR="00D73008" w:rsidRPr="00F26E77" w:rsidRDefault="00D73008" w:rsidP="00387AE5">
            <w:pPr>
              <w:jc w:val="center"/>
              <w:rPr>
                <w:rFonts w:cs="Times New Roman"/>
                <w:b/>
                <w:bCs/>
                <w:color w:val="000000"/>
                <w:sz w:val="18"/>
                <w:szCs w:val="18"/>
              </w:rPr>
            </w:pPr>
            <w:r w:rsidRPr="00F26E77">
              <w:rPr>
                <w:b/>
                <w:bCs/>
                <w:color w:val="000000"/>
                <w:sz w:val="18"/>
                <w:szCs w:val="18"/>
              </w:rPr>
              <w:t>201</w:t>
            </w:r>
            <w:r>
              <w:rPr>
                <w:b/>
                <w:bCs/>
                <w:color w:val="000000"/>
                <w:sz w:val="18"/>
                <w:szCs w:val="18"/>
              </w:rPr>
              <w:t>8</w:t>
            </w:r>
          </w:p>
        </w:tc>
        <w:tc>
          <w:tcPr>
            <w:tcW w:w="650" w:type="dxa"/>
            <w:tcBorders>
              <w:top w:val="single" w:sz="8" w:space="0" w:color="auto"/>
              <w:left w:val="nil"/>
              <w:bottom w:val="nil"/>
              <w:right w:val="nil"/>
            </w:tcBorders>
            <w:shd w:val="clear" w:color="auto" w:fill="auto"/>
            <w:vAlign w:val="center"/>
            <w:hideMark/>
          </w:tcPr>
          <w:p w14:paraId="770D011A" w14:textId="77777777" w:rsidR="00D73008" w:rsidRPr="00F26E77" w:rsidRDefault="00D73008" w:rsidP="00387AE5">
            <w:pPr>
              <w:jc w:val="center"/>
              <w:rPr>
                <w:rFonts w:cs="Times New Roman"/>
                <w:b/>
                <w:bCs/>
                <w:color w:val="000000"/>
                <w:sz w:val="18"/>
                <w:szCs w:val="18"/>
              </w:rPr>
            </w:pPr>
            <w:r w:rsidRPr="00F26E77">
              <w:rPr>
                <w:b/>
                <w:bCs/>
                <w:color w:val="000000"/>
                <w:sz w:val="18"/>
                <w:szCs w:val="18"/>
              </w:rPr>
              <w:t>2</w:t>
            </w:r>
            <w:r>
              <w:rPr>
                <w:b/>
                <w:bCs/>
                <w:color w:val="000000"/>
                <w:sz w:val="18"/>
                <w:szCs w:val="18"/>
              </w:rPr>
              <w:t>019</w:t>
            </w:r>
          </w:p>
        </w:tc>
        <w:tc>
          <w:tcPr>
            <w:tcW w:w="650" w:type="dxa"/>
            <w:gridSpan w:val="2"/>
            <w:tcBorders>
              <w:top w:val="single" w:sz="8" w:space="0" w:color="auto"/>
              <w:left w:val="nil"/>
              <w:bottom w:val="nil"/>
              <w:right w:val="nil"/>
            </w:tcBorders>
            <w:shd w:val="clear" w:color="auto" w:fill="auto"/>
            <w:vAlign w:val="center"/>
            <w:hideMark/>
          </w:tcPr>
          <w:p w14:paraId="48F03AB4" w14:textId="77777777" w:rsidR="00D73008" w:rsidRPr="00F26E77" w:rsidRDefault="00D73008" w:rsidP="00387AE5">
            <w:pPr>
              <w:jc w:val="center"/>
              <w:rPr>
                <w:rFonts w:cs="Times New Roman"/>
                <w:b/>
                <w:bCs/>
                <w:color w:val="000000"/>
                <w:sz w:val="18"/>
                <w:szCs w:val="18"/>
              </w:rPr>
            </w:pPr>
            <w:r w:rsidRPr="00F26E77">
              <w:rPr>
                <w:b/>
                <w:bCs/>
                <w:color w:val="000000"/>
                <w:sz w:val="18"/>
                <w:szCs w:val="18"/>
              </w:rPr>
              <w:t>2</w:t>
            </w:r>
            <w:r>
              <w:rPr>
                <w:b/>
                <w:bCs/>
                <w:color w:val="000000"/>
                <w:sz w:val="18"/>
                <w:szCs w:val="18"/>
              </w:rPr>
              <w:t>020</w:t>
            </w:r>
          </w:p>
        </w:tc>
        <w:tc>
          <w:tcPr>
            <w:tcW w:w="650" w:type="dxa"/>
            <w:tcBorders>
              <w:top w:val="single" w:sz="8" w:space="0" w:color="auto"/>
              <w:left w:val="nil"/>
              <w:bottom w:val="nil"/>
              <w:right w:val="nil"/>
            </w:tcBorders>
            <w:shd w:val="clear" w:color="auto" w:fill="auto"/>
            <w:vAlign w:val="center"/>
            <w:hideMark/>
          </w:tcPr>
          <w:p w14:paraId="4308F9C3" w14:textId="77777777" w:rsidR="00D73008" w:rsidRPr="00F26E77" w:rsidRDefault="00D73008" w:rsidP="00387AE5">
            <w:pPr>
              <w:jc w:val="center"/>
              <w:rPr>
                <w:rFonts w:cs="Times New Roman"/>
                <w:b/>
                <w:bCs/>
                <w:color w:val="000000"/>
                <w:sz w:val="18"/>
                <w:szCs w:val="18"/>
              </w:rPr>
            </w:pPr>
            <w:r>
              <w:rPr>
                <w:b/>
                <w:bCs/>
                <w:color w:val="000000"/>
                <w:sz w:val="18"/>
                <w:szCs w:val="18"/>
              </w:rPr>
              <w:t>2021</w:t>
            </w:r>
          </w:p>
        </w:tc>
        <w:tc>
          <w:tcPr>
            <w:tcW w:w="653" w:type="dxa"/>
            <w:gridSpan w:val="2"/>
            <w:tcBorders>
              <w:top w:val="single" w:sz="8" w:space="0" w:color="auto"/>
              <w:left w:val="nil"/>
              <w:bottom w:val="nil"/>
              <w:right w:val="nil"/>
            </w:tcBorders>
            <w:shd w:val="clear" w:color="auto" w:fill="auto"/>
            <w:vAlign w:val="center"/>
            <w:hideMark/>
          </w:tcPr>
          <w:p w14:paraId="4A6276AB" w14:textId="77777777" w:rsidR="00D73008" w:rsidRPr="00F26E77" w:rsidRDefault="00D73008" w:rsidP="00387AE5">
            <w:pPr>
              <w:jc w:val="center"/>
              <w:rPr>
                <w:rFonts w:cs="Times New Roman"/>
                <w:b/>
                <w:bCs/>
                <w:color w:val="000000"/>
                <w:sz w:val="18"/>
                <w:szCs w:val="18"/>
              </w:rPr>
            </w:pPr>
            <w:r>
              <w:rPr>
                <w:b/>
                <w:bCs/>
                <w:color w:val="000000"/>
                <w:sz w:val="18"/>
                <w:szCs w:val="18"/>
              </w:rPr>
              <w:t>2022</w:t>
            </w:r>
          </w:p>
        </w:tc>
      </w:tr>
      <w:tr w:rsidR="00D73008" w:rsidRPr="00F26E77" w14:paraId="09E07498" w14:textId="77777777" w:rsidTr="00387AE5">
        <w:trPr>
          <w:trHeight w:val="283"/>
        </w:trPr>
        <w:tc>
          <w:tcPr>
            <w:tcW w:w="5045" w:type="dxa"/>
            <w:gridSpan w:val="3"/>
            <w:tcBorders>
              <w:top w:val="nil"/>
              <w:left w:val="nil"/>
              <w:bottom w:val="single" w:sz="4" w:space="0" w:color="auto"/>
              <w:right w:val="nil"/>
            </w:tcBorders>
            <w:shd w:val="clear" w:color="auto" w:fill="auto"/>
            <w:vAlign w:val="center"/>
            <w:hideMark/>
          </w:tcPr>
          <w:p w14:paraId="53BEA54F" w14:textId="77777777" w:rsidR="00D73008" w:rsidRPr="00F26E77" w:rsidRDefault="00D73008" w:rsidP="00387AE5">
            <w:pPr>
              <w:rPr>
                <w:rFonts w:cs="Times New Roman"/>
                <w:color w:val="000000"/>
                <w:sz w:val="18"/>
                <w:szCs w:val="18"/>
              </w:rPr>
            </w:pPr>
            <w:r w:rsidRPr="00F26E77">
              <w:rPr>
                <w:rFonts w:cs="Times New Roman"/>
                <w:color w:val="000000"/>
                <w:sz w:val="18"/>
                <w:szCs w:val="18"/>
              </w:rPr>
              <w:t> </w:t>
            </w:r>
          </w:p>
        </w:tc>
        <w:tc>
          <w:tcPr>
            <w:tcW w:w="650" w:type="dxa"/>
            <w:tcBorders>
              <w:top w:val="nil"/>
              <w:left w:val="nil"/>
              <w:bottom w:val="single" w:sz="4" w:space="0" w:color="auto"/>
              <w:right w:val="nil"/>
            </w:tcBorders>
            <w:shd w:val="clear" w:color="auto" w:fill="auto"/>
            <w:vAlign w:val="center"/>
            <w:hideMark/>
          </w:tcPr>
          <w:p w14:paraId="53D8B3F8" w14:textId="77777777" w:rsidR="00D73008" w:rsidRPr="00F26E77" w:rsidRDefault="00D73008" w:rsidP="00387AE5">
            <w:pPr>
              <w:jc w:val="center"/>
              <w:rPr>
                <w:rFonts w:cs="Times New Roman"/>
                <w:color w:val="000000"/>
                <w:sz w:val="18"/>
                <w:szCs w:val="18"/>
              </w:rPr>
            </w:pPr>
            <w:r w:rsidRPr="00F26E77">
              <w:rPr>
                <w:color w:val="000000"/>
                <w:sz w:val="18"/>
                <w:szCs w:val="18"/>
              </w:rPr>
              <w:t>mil. eur</w:t>
            </w:r>
          </w:p>
        </w:tc>
        <w:tc>
          <w:tcPr>
            <w:tcW w:w="840" w:type="dxa"/>
            <w:gridSpan w:val="2"/>
            <w:tcBorders>
              <w:top w:val="nil"/>
              <w:left w:val="nil"/>
              <w:bottom w:val="single" w:sz="4" w:space="0" w:color="auto"/>
              <w:right w:val="nil"/>
            </w:tcBorders>
            <w:shd w:val="clear" w:color="auto" w:fill="auto"/>
            <w:vAlign w:val="center"/>
            <w:hideMark/>
          </w:tcPr>
          <w:p w14:paraId="3B7D1CFE" w14:textId="77777777" w:rsidR="00D73008" w:rsidRPr="00F26E77" w:rsidRDefault="00D73008" w:rsidP="00387AE5">
            <w:pPr>
              <w:jc w:val="center"/>
              <w:rPr>
                <w:rFonts w:cs="Times New Roman"/>
                <w:color w:val="000000"/>
                <w:sz w:val="18"/>
                <w:szCs w:val="18"/>
              </w:rPr>
            </w:pPr>
            <w:r w:rsidRPr="00F26E77">
              <w:rPr>
                <w:color w:val="000000"/>
                <w:sz w:val="18"/>
                <w:szCs w:val="18"/>
              </w:rPr>
              <w:t>% HDP</w:t>
            </w:r>
          </w:p>
        </w:tc>
        <w:tc>
          <w:tcPr>
            <w:tcW w:w="650" w:type="dxa"/>
            <w:tcBorders>
              <w:top w:val="nil"/>
              <w:left w:val="nil"/>
              <w:bottom w:val="single" w:sz="4" w:space="0" w:color="auto"/>
              <w:right w:val="nil"/>
            </w:tcBorders>
            <w:shd w:val="clear" w:color="auto" w:fill="auto"/>
            <w:vAlign w:val="center"/>
            <w:hideMark/>
          </w:tcPr>
          <w:p w14:paraId="49CE0554" w14:textId="77777777" w:rsidR="00D73008" w:rsidRPr="00F26E77" w:rsidRDefault="00D73008" w:rsidP="00387AE5">
            <w:pPr>
              <w:jc w:val="center"/>
              <w:rPr>
                <w:rFonts w:cs="Times New Roman"/>
                <w:color w:val="000000"/>
                <w:sz w:val="18"/>
                <w:szCs w:val="18"/>
              </w:rPr>
            </w:pPr>
            <w:r w:rsidRPr="00F26E77">
              <w:rPr>
                <w:color w:val="000000"/>
                <w:sz w:val="18"/>
                <w:szCs w:val="18"/>
              </w:rPr>
              <w:t>% HDP</w:t>
            </w:r>
          </w:p>
        </w:tc>
        <w:tc>
          <w:tcPr>
            <w:tcW w:w="650" w:type="dxa"/>
            <w:gridSpan w:val="2"/>
            <w:tcBorders>
              <w:top w:val="nil"/>
              <w:left w:val="nil"/>
              <w:bottom w:val="single" w:sz="4" w:space="0" w:color="auto"/>
              <w:right w:val="nil"/>
            </w:tcBorders>
            <w:shd w:val="clear" w:color="auto" w:fill="auto"/>
            <w:vAlign w:val="center"/>
            <w:hideMark/>
          </w:tcPr>
          <w:p w14:paraId="7FAF452C" w14:textId="77777777" w:rsidR="00D73008" w:rsidRPr="00F26E77" w:rsidRDefault="00D73008" w:rsidP="00387AE5">
            <w:pPr>
              <w:jc w:val="center"/>
              <w:rPr>
                <w:rFonts w:cs="Times New Roman"/>
                <w:color w:val="000000"/>
                <w:sz w:val="18"/>
                <w:szCs w:val="18"/>
              </w:rPr>
            </w:pPr>
            <w:r w:rsidRPr="00F26E77">
              <w:rPr>
                <w:color w:val="000000"/>
                <w:sz w:val="18"/>
                <w:szCs w:val="18"/>
              </w:rPr>
              <w:t>% HDP</w:t>
            </w:r>
          </w:p>
        </w:tc>
        <w:tc>
          <w:tcPr>
            <w:tcW w:w="650" w:type="dxa"/>
            <w:tcBorders>
              <w:top w:val="nil"/>
              <w:left w:val="nil"/>
              <w:bottom w:val="single" w:sz="4" w:space="0" w:color="auto"/>
              <w:right w:val="nil"/>
            </w:tcBorders>
            <w:shd w:val="clear" w:color="auto" w:fill="auto"/>
            <w:vAlign w:val="center"/>
            <w:hideMark/>
          </w:tcPr>
          <w:p w14:paraId="01FDAB24" w14:textId="77777777" w:rsidR="00D73008" w:rsidRPr="00F26E77" w:rsidRDefault="00D73008" w:rsidP="00387AE5">
            <w:pPr>
              <w:jc w:val="center"/>
              <w:rPr>
                <w:rFonts w:cs="Times New Roman"/>
                <w:color w:val="000000"/>
                <w:sz w:val="18"/>
                <w:szCs w:val="18"/>
              </w:rPr>
            </w:pPr>
            <w:r w:rsidRPr="00F26E77">
              <w:rPr>
                <w:color w:val="000000"/>
                <w:sz w:val="18"/>
                <w:szCs w:val="18"/>
              </w:rPr>
              <w:t>% HDP</w:t>
            </w:r>
          </w:p>
        </w:tc>
        <w:tc>
          <w:tcPr>
            <w:tcW w:w="653" w:type="dxa"/>
            <w:gridSpan w:val="2"/>
            <w:tcBorders>
              <w:top w:val="nil"/>
              <w:left w:val="nil"/>
              <w:bottom w:val="single" w:sz="4" w:space="0" w:color="auto"/>
              <w:right w:val="nil"/>
            </w:tcBorders>
            <w:shd w:val="clear" w:color="auto" w:fill="auto"/>
            <w:vAlign w:val="center"/>
            <w:hideMark/>
          </w:tcPr>
          <w:p w14:paraId="7B9B24D2" w14:textId="77777777" w:rsidR="00D73008" w:rsidRPr="00F26E77" w:rsidRDefault="00D73008" w:rsidP="00387AE5">
            <w:pPr>
              <w:jc w:val="center"/>
              <w:rPr>
                <w:rFonts w:cs="Times New Roman"/>
                <w:color w:val="000000"/>
                <w:sz w:val="18"/>
                <w:szCs w:val="18"/>
              </w:rPr>
            </w:pPr>
            <w:r w:rsidRPr="00F26E77">
              <w:rPr>
                <w:color w:val="000000"/>
                <w:sz w:val="18"/>
                <w:szCs w:val="18"/>
              </w:rPr>
              <w:t>% HDP</w:t>
            </w:r>
          </w:p>
        </w:tc>
      </w:tr>
      <w:tr w:rsidR="007A7242" w:rsidRPr="00F26E77" w14:paraId="1A9768C2" w14:textId="77777777" w:rsidTr="007A7242">
        <w:trPr>
          <w:trHeight w:val="283"/>
        </w:trPr>
        <w:tc>
          <w:tcPr>
            <w:tcW w:w="5045" w:type="dxa"/>
            <w:gridSpan w:val="3"/>
            <w:tcBorders>
              <w:top w:val="nil"/>
              <w:left w:val="nil"/>
              <w:bottom w:val="nil"/>
              <w:right w:val="nil"/>
            </w:tcBorders>
            <w:shd w:val="clear" w:color="auto" w:fill="auto"/>
            <w:vAlign w:val="center"/>
            <w:hideMark/>
          </w:tcPr>
          <w:p w14:paraId="02E5AFC8" w14:textId="77777777" w:rsidR="007A7242" w:rsidRPr="00F26E77" w:rsidRDefault="007A7242" w:rsidP="007A7242">
            <w:pPr>
              <w:rPr>
                <w:rFonts w:cs="Times New Roman"/>
                <w:color w:val="000000"/>
                <w:sz w:val="18"/>
                <w:szCs w:val="18"/>
              </w:rPr>
            </w:pPr>
            <w:r w:rsidRPr="00F26E77">
              <w:rPr>
                <w:rFonts w:cs="Times New Roman"/>
                <w:color w:val="000000"/>
                <w:sz w:val="18"/>
                <w:szCs w:val="18"/>
              </w:rPr>
              <w:t>1. Výdavky na programy EÚ plne kryté príjmami z fondov EÚ</w:t>
            </w:r>
          </w:p>
        </w:tc>
        <w:tc>
          <w:tcPr>
            <w:tcW w:w="650" w:type="dxa"/>
            <w:tcBorders>
              <w:top w:val="nil"/>
              <w:left w:val="nil"/>
              <w:bottom w:val="nil"/>
              <w:right w:val="nil"/>
            </w:tcBorders>
            <w:shd w:val="clear" w:color="auto" w:fill="auto"/>
            <w:vAlign w:val="center"/>
            <w:hideMark/>
          </w:tcPr>
          <w:p w14:paraId="409546DA" w14:textId="30C847EF" w:rsidR="007A7242" w:rsidRPr="007A7242" w:rsidRDefault="007A7242" w:rsidP="007A7242">
            <w:pPr>
              <w:jc w:val="center"/>
              <w:rPr>
                <w:rFonts w:cs="Times New Roman"/>
                <w:color w:val="000000"/>
                <w:sz w:val="18"/>
                <w:szCs w:val="18"/>
                <w:highlight w:val="yellow"/>
              </w:rPr>
            </w:pPr>
            <w:r w:rsidRPr="007A7242">
              <w:rPr>
                <w:sz w:val="18"/>
                <w:szCs w:val="18"/>
              </w:rPr>
              <w:t>1011</w:t>
            </w:r>
          </w:p>
        </w:tc>
        <w:tc>
          <w:tcPr>
            <w:tcW w:w="840" w:type="dxa"/>
            <w:gridSpan w:val="2"/>
            <w:tcBorders>
              <w:top w:val="nil"/>
              <w:left w:val="nil"/>
              <w:bottom w:val="nil"/>
              <w:right w:val="nil"/>
            </w:tcBorders>
            <w:shd w:val="clear" w:color="auto" w:fill="auto"/>
            <w:vAlign w:val="center"/>
            <w:hideMark/>
          </w:tcPr>
          <w:p w14:paraId="39CBDFB5" w14:textId="54E0AD47" w:rsidR="007A7242" w:rsidRPr="007A7242" w:rsidRDefault="007A7242" w:rsidP="007A7242">
            <w:pPr>
              <w:jc w:val="center"/>
              <w:rPr>
                <w:rFonts w:cs="Times New Roman"/>
                <w:color w:val="000000"/>
                <w:sz w:val="18"/>
                <w:szCs w:val="18"/>
                <w:highlight w:val="yellow"/>
              </w:rPr>
            </w:pPr>
            <w:r w:rsidRPr="007A7242">
              <w:rPr>
                <w:sz w:val="18"/>
                <w:szCs w:val="18"/>
              </w:rPr>
              <w:t>1,1</w:t>
            </w:r>
          </w:p>
        </w:tc>
        <w:tc>
          <w:tcPr>
            <w:tcW w:w="650" w:type="dxa"/>
            <w:tcBorders>
              <w:top w:val="nil"/>
              <w:left w:val="nil"/>
              <w:bottom w:val="nil"/>
              <w:right w:val="nil"/>
            </w:tcBorders>
            <w:shd w:val="clear" w:color="auto" w:fill="auto"/>
            <w:vAlign w:val="center"/>
            <w:hideMark/>
          </w:tcPr>
          <w:p w14:paraId="5D51EA4F" w14:textId="07EEC46C" w:rsidR="007A7242" w:rsidRPr="007A7242" w:rsidRDefault="007A7242" w:rsidP="007A7242">
            <w:pPr>
              <w:jc w:val="center"/>
              <w:rPr>
                <w:rFonts w:cs="Times New Roman"/>
                <w:color w:val="000000"/>
                <w:sz w:val="18"/>
                <w:szCs w:val="18"/>
              </w:rPr>
            </w:pPr>
            <w:r w:rsidRPr="007A7242">
              <w:rPr>
                <w:sz w:val="18"/>
                <w:szCs w:val="18"/>
              </w:rPr>
              <w:t>0,7</w:t>
            </w:r>
          </w:p>
        </w:tc>
        <w:tc>
          <w:tcPr>
            <w:tcW w:w="650" w:type="dxa"/>
            <w:gridSpan w:val="2"/>
            <w:tcBorders>
              <w:top w:val="nil"/>
              <w:left w:val="nil"/>
              <w:bottom w:val="nil"/>
              <w:right w:val="nil"/>
            </w:tcBorders>
            <w:shd w:val="clear" w:color="auto" w:fill="auto"/>
            <w:vAlign w:val="center"/>
            <w:hideMark/>
          </w:tcPr>
          <w:p w14:paraId="2A96C473" w14:textId="7B135926" w:rsidR="007A7242" w:rsidRPr="007A7242" w:rsidRDefault="007A7242" w:rsidP="007A7242">
            <w:pPr>
              <w:jc w:val="center"/>
              <w:rPr>
                <w:rFonts w:cs="Times New Roman"/>
                <w:color w:val="000000"/>
                <w:sz w:val="18"/>
                <w:szCs w:val="18"/>
              </w:rPr>
            </w:pPr>
            <w:r w:rsidRPr="007A7242">
              <w:rPr>
                <w:sz w:val="18"/>
                <w:szCs w:val="18"/>
              </w:rPr>
              <w:t>0,6</w:t>
            </w:r>
          </w:p>
        </w:tc>
        <w:tc>
          <w:tcPr>
            <w:tcW w:w="650" w:type="dxa"/>
            <w:tcBorders>
              <w:top w:val="nil"/>
              <w:left w:val="nil"/>
              <w:bottom w:val="nil"/>
              <w:right w:val="nil"/>
            </w:tcBorders>
            <w:shd w:val="clear" w:color="auto" w:fill="auto"/>
            <w:vAlign w:val="center"/>
            <w:hideMark/>
          </w:tcPr>
          <w:p w14:paraId="74FB2AE5" w14:textId="07E7B7F6" w:rsidR="007A7242" w:rsidRPr="007A7242" w:rsidRDefault="007A7242" w:rsidP="007A7242">
            <w:pPr>
              <w:jc w:val="center"/>
              <w:rPr>
                <w:rFonts w:cs="Times New Roman"/>
                <w:color w:val="000000"/>
                <w:sz w:val="18"/>
                <w:szCs w:val="18"/>
              </w:rPr>
            </w:pPr>
            <w:r w:rsidRPr="007A7242">
              <w:rPr>
                <w:sz w:val="18"/>
                <w:szCs w:val="18"/>
              </w:rPr>
              <w:t>0,8</w:t>
            </w:r>
          </w:p>
        </w:tc>
        <w:tc>
          <w:tcPr>
            <w:tcW w:w="653" w:type="dxa"/>
            <w:gridSpan w:val="2"/>
            <w:tcBorders>
              <w:top w:val="nil"/>
              <w:left w:val="nil"/>
              <w:bottom w:val="nil"/>
              <w:right w:val="nil"/>
            </w:tcBorders>
            <w:shd w:val="clear" w:color="auto" w:fill="auto"/>
            <w:vAlign w:val="center"/>
            <w:hideMark/>
          </w:tcPr>
          <w:p w14:paraId="62A97918" w14:textId="28C041D2" w:rsidR="007A7242" w:rsidRPr="007A7242" w:rsidRDefault="007A7242" w:rsidP="007A7242">
            <w:pPr>
              <w:jc w:val="center"/>
              <w:rPr>
                <w:rFonts w:cs="Times New Roman"/>
                <w:color w:val="000000"/>
                <w:sz w:val="18"/>
                <w:szCs w:val="18"/>
              </w:rPr>
            </w:pPr>
            <w:r w:rsidRPr="007A7242">
              <w:rPr>
                <w:sz w:val="18"/>
                <w:szCs w:val="18"/>
              </w:rPr>
              <w:t>1,0</w:t>
            </w:r>
          </w:p>
        </w:tc>
      </w:tr>
      <w:tr w:rsidR="007A7242" w:rsidRPr="00F26E77" w14:paraId="3E28EA20" w14:textId="77777777" w:rsidTr="007A7242">
        <w:trPr>
          <w:trHeight w:val="283"/>
        </w:trPr>
        <w:tc>
          <w:tcPr>
            <w:tcW w:w="5045" w:type="dxa"/>
            <w:gridSpan w:val="3"/>
            <w:tcBorders>
              <w:top w:val="nil"/>
              <w:left w:val="nil"/>
              <w:bottom w:val="nil"/>
              <w:right w:val="nil"/>
            </w:tcBorders>
            <w:shd w:val="clear" w:color="auto" w:fill="auto"/>
            <w:vAlign w:val="center"/>
            <w:hideMark/>
          </w:tcPr>
          <w:p w14:paraId="3D9AA88D" w14:textId="77777777" w:rsidR="007A7242" w:rsidRPr="00F26E77" w:rsidRDefault="007A7242" w:rsidP="007A7242">
            <w:pPr>
              <w:rPr>
                <w:rFonts w:cs="Times New Roman"/>
                <w:color w:val="000000"/>
                <w:sz w:val="18"/>
                <w:szCs w:val="18"/>
              </w:rPr>
            </w:pPr>
            <w:r w:rsidRPr="00F26E77">
              <w:rPr>
                <w:rFonts w:cs="Times New Roman"/>
                <w:color w:val="000000"/>
                <w:sz w:val="18"/>
                <w:szCs w:val="18"/>
              </w:rPr>
              <w:t>1.a. z toho investície plne kryté z príjmami z fondov EÚ</w:t>
            </w:r>
          </w:p>
        </w:tc>
        <w:tc>
          <w:tcPr>
            <w:tcW w:w="650" w:type="dxa"/>
            <w:tcBorders>
              <w:top w:val="nil"/>
              <w:left w:val="nil"/>
              <w:bottom w:val="nil"/>
              <w:right w:val="nil"/>
            </w:tcBorders>
            <w:shd w:val="clear" w:color="auto" w:fill="auto"/>
            <w:vAlign w:val="center"/>
            <w:hideMark/>
          </w:tcPr>
          <w:p w14:paraId="71410D66" w14:textId="7BD77BB3" w:rsidR="007A7242" w:rsidRPr="007A7242" w:rsidRDefault="007A7242" w:rsidP="007A7242">
            <w:pPr>
              <w:jc w:val="center"/>
              <w:rPr>
                <w:rFonts w:cs="Times New Roman"/>
                <w:color w:val="000000"/>
                <w:sz w:val="18"/>
                <w:szCs w:val="18"/>
                <w:highlight w:val="yellow"/>
              </w:rPr>
            </w:pPr>
            <w:r w:rsidRPr="007A7242">
              <w:rPr>
                <w:sz w:val="18"/>
                <w:szCs w:val="18"/>
              </w:rPr>
              <w:t>749</w:t>
            </w:r>
          </w:p>
        </w:tc>
        <w:tc>
          <w:tcPr>
            <w:tcW w:w="840" w:type="dxa"/>
            <w:gridSpan w:val="2"/>
            <w:tcBorders>
              <w:top w:val="nil"/>
              <w:left w:val="nil"/>
              <w:bottom w:val="nil"/>
              <w:right w:val="nil"/>
            </w:tcBorders>
            <w:shd w:val="clear" w:color="auto" w:fill="auto"/>
            <w:vAlign w:val="center"/>
            <w:hideMark/>
          </w:tcPr>
          <w:p w14:paraId="67ABFCA3" w14:textId="79E65747" w:rsidR="007A7242" w:rsidRPr="007A7242" w:rsidRDefault="007A7242" w:rsidP="007A7242">
            <w:pPr>
              <w:jc w:val="center"/>
              <w:rPr>
                <w:rFonts w:cs="Times New Roman"/>
                <w:color w:val="000000"/>
                <w:sz w:val="18"/>
                <w:szCs w:val="18"/>
                <w:highlight w:val="yellow"/>
              </w:rPr>
            </w:pPr>
            <w:r w:rsidRPr="007A7242">
              <w:rPr>
                <w:sz w:val="18"/>
                <w:szCs w:val="18"/>
              </w:rPr>
              <w:t>0,8</w:t>
            </w:r>
          </w:p>
        </w:tc>
        <w:tc>
          <w:tcPr>
            <w:tcW w:w="650" w:type="dxa"/>
            <w:tcBorders>
              <w:top w:val="nil"/>
              <w:left w:val="nil"/>
              <w:bottom w:val="nil"/>
              <w:right w:val="nil"/>
            </w:tcBorders>
            <w:shd w:val="clear" w:color="auto" w:fill="auto"/>
            <w:vAlign w:val="center"/>
            <w:hideMark/>
          </w:tcPr>
          <w:p w14:paraId="4C07D959" w14:textId="23B71B73" w:rsidR="007A7242" w:rsidRPr="007A7242" w:rsidRDefault="007A7242" w:rsidP="007A7242">
            <w:pPr>
              <w:jc w:val="center"/>
              <w:rPr>
                <w:rFonts w:cs="Times New Roman"/>
                <w:color w:val="000000"/>
                <w:sz w:val="18"/>
                <w:szCs w:val="18"/>
              </w:rPr>
            </w:pPr>
            <w:r w:rsidRPr="007A7242">
              <w:rPr>
                <w:sz w:val="18"/>
                <w:szCs w:val="18"/>
              </w:rPr>
              <w:t>0,3</w:t>
            </w:r>
          </w:p>
        </w:tc>
        <w:tc>
          <w:tcPr>
            <w:tcW w:w="650" w:type="dxa"/>
            <w:gridSpan w:val="2"/>
            <w:tcBorders>
              <w:top w:val="nil"/>
              <w:left w:val="nil"/>
              <w:bottom w:val="nil"/>
              <w:right w:val="nil"/>
            </w:tcBorders>
            <w:shd w:val="clear" w:color="auto" w:fill="auto"/>
            <w:vAlign w:val="center"/>
            <w:hideMark/>
          </w:tcPr>
          <w:p w14:paraId="642A06E4" w14:textId="485C902B" w:rsidR="007A7242" w:rsidRPr="007A7242" w:rsidRDefault="007A7242" w:rsidP="007A7242">
            <w:pPr>
              <w:jc w:val="center"/>
              <w:rPr>
                <w:rFonts w:cs="Times New Roman"/>
                <w:color w:val="000000"/>
                <w:sz w:val="18"/>
                <w:szCs w:val="18"/>
              </w:rPr>
            </w:pPr>
            <w:r w:rsidRPr="007A7242">
              <w:rPr>
                <w:sz w:val="18"/>
                <w:szCs w:val="18"/>
              </w:rPr>
              <w:t>0,1</w:t>
            </w:r>
          </w:p>
        </w:tc>
        <w:tc>
          <w:tcPr>
            <w:tcW w:w="650" w:type="dxa"/>
            <w:tcBorders>
              <w:top w:val="nil"/>
              <w:left w:val="nil"/>
              <w:bottom w:val="nil"/>
              <w:right w:val="nil"/>
            </w:tcBorders>
            <w:shd w:val="clear" w:color="auto" w:fill="auto"/>
            <w:vAlign w:val="center"/>
            <w:hideMark/>
          </w:tcPr>
          <w:p w14:paraId="3B5757AF" w14:textId="6628A510" w:rsidR="007A7242" w:rsidRPr="007A7242" w:rsidRDefault="007A7242" w:rsidP="007A7242">
            <w:pPr>
              <w:jc w:val="center"/>
              <w:rPr>
                <w:rFonts w:cs="Times New Roman"/>
                <w:color w:val="000000"/>
                <w:sz w:val="18"/>
                <w:szCs w:val="18"/>
              </w:rPr>
            </w:pPr>
            <w:r w:rsidRPr="007A7242">
              <w:rPr>
                <w:sz w:val="18"/>
                <w:szCs w:val="18"/>
              </w:rPr>
              <w:t>0,0</w:t>
            </w:r>
          </w:p>
        </w:tc>
        <w:tc>
          <w:tcPr>
            <w:tcW w:w="653" w:type="dxa"/>
            <w:gridSpan w:val="2"/>
            <w:tcBorders>
              <w:top w:val="nil"/>
              <w:left w:val="nil"/>
              <w:bottom w:val="nil"/>
              <w:right w:val="nil"/>
            </w:tcBorders>
            <w:shd w:val="clear" w:color="auto" w:fill="auto"/>
            <w:vAlign w:val="center"/>
            <w:hideMark/>
          </w:tcPr>
          <w:p w14:paraId="20CB9BE8" w14:textId="076AD555" w:rsidR="007A7242" w:rsidRPr="007A7242" w:rsidRDefault="007A7242" w:rsidP="007A7242">
            <w:pPr>
              <w:jc w:val="center"/>
              <w:rPr>
                <w:rFonts w:cs="Times New Roman"/>
                <w:color w:val="000000"/>
                <w:sz w:val="18"/>
                <w:szCs w:val="18"/>
              </w:rPr>
            </w:pPr>
            <w:r w:rsidRPr="007A7242">
              <w:rPr>
                <w:sz w:val="18"/>
                <w:szCs w:val="18"/>
              </w:rPr>
              <w:t>0,3</w:t>
            </w:r>
          </w:p>
        </w:tc>
      </w:tr>
      <w:tr w:rsidR="007A7242" w:rsidRPr="00F26E77" w14:paraId="701D2501" w14:textId="77777777" w:rsidTr="007A7242">
        <w:trPr>
          <w:trHeight w:val="283"/>
        </w:trPr>
        <w:tc>
          <w:tcPr>
            <w:tcW w:w="5045" w:type="dxa"/>
            <w:gridSpan w:val="3"/>
            <w:tcBorders>
              <w:top w:val="nil"/>
              <w:left w:val="nil"/>
              <w:bottom w:val="nil"/>
              <w:right w:val="nil"/>
            </w:tcBorders>
            <w:shd w:val="clear" w:color="000000" w:fill="FFFFFF"/>
            <w:vAlign w:val="center"/>
            <w:hideMark/>
          </w:tcPr>
          <w:p w14:paraId="42AA951B" w14:textId="77777777" w:rsidR="007A7242" w:rsidRPr="00F26E77" w:rsidRDefault="007A7242" w:rsidP="007A7242">
            <w:pPr>
              <w:rPr>
                <w:rFonts w:cs="Times New Roman"/>
                <w:color w:val="000000"/>
                <w:sz w:val="18"/>
                <w:szCs w:val="18"/>
              </w:rPr>
            </w:pPr>
            <w:r w:rsidRPr="00F26E77">
              <w:rPr>
                <w:rFonts w:cs="Times New Roman"/>
                <w:color w:val="000000"/>
                <w:sz w:val="18"/>
                <w:szCs w:val="18"/>
              </w:rPr>
              <w:t>2. Výdavky na dávky v nezamestnanosti nesúvisiace s opatreniami vlády (cyklická zložka)</w:t>
            </w:r>
          </w:p>
        </w:tc>
        <w:tc>
          <w:tcPr>
            <w:tcW w:w="650" w:type="dxa"/>
            <w:tcBorders>
              <w:top w:val="nil"/>
              <w:left w:val="nil"/>
              <w:bottom w:val="nil"/>
              <w:right w:val="nil"/>
            </w:tcBorders>
            <w:shd w:val="clear" w:color="auto" w:fill="auto"/>
            <w:vAlign w:val="center"/>
            <w:hideMark/>
          </w:tcPr>
          <w:p w14:paraId="25271197" w14:textId="583CB4AB" w:rsidR="007A7242" w:rsidRPr="007A7242" w:rsidRDefault="007A7242" w:rsidP="007A7242">
            <w:pPr>
              <w:jc w:val="center"/>
              <w:rPr>
                <w:rFonts w:cs="Times New Roman"/>
                <w:color w:val="000000"/>
                <w:sz w:val="18"/>
                <w:szCs w:val="18"/>
                <w:highlight w:val="yellow"/>
              </w:rPr>
            </w:pPr>
            <w:r w:rsidRPr="007A7242">
              <w:rPr>
                <w:sz w:val="18"/>
                <w:szCs w:val="18"/>
              </w:rPr>
              <w:t>-9</w:t>
            </w:r>
          </w:p>
        </w:tc>
        <w:tc>
          <w:tcPr>
            <w:tcW w:w="840" w:type="dxa"/>
            <w:gridSpan w:val="2"/>
            <w:tcBorders>
              <w:top w:val="nil"/>
              <w:left w:val="nil"/>
              <w:bottom w:val="nil"/>
              <w:right w:val="nil"/>
            </w:tcBorders>
            <w:shd w:val="clear" w:color="auto" w:fill="auto"/>
            <w:vAlign w:val="center"/>
            <w:hideMark/>
          </w:tcPr>
          <w:p w14:paraId="66DA8D18" w14:textId="137B0EDC" w:rsidR="007A7242" w:rsidRPr="007A7242" w:rsidRDefault="007A7242" w:rsidP="007A7242">
            <w:pPr>
              <w:jc w:val="center"/>
              <w:rPr>
                <w:rFonts w:cs="Times New Roman"/>
                <w:color w:val="000000"/>
                <w:sz w:val="18"/>
                <w:szCs w:val="18"/>
                <w:highlight w:val="yellow"/>
              </w:rPr>
            </w:pPr>
            <w:r w:rsidRPr="007A7242">
              <w:rPr>
                <w:sz w:val="18"/>
                <w:szCs w:val="18"/>
              </w:rPr>
              <w:t>0,0</w:t>
            </w:r>
          </w:p>
        </w:tc>
        <w:tc>
          <w:tcPr>
            <w:tcW w:w="650" w:type="dxa"/>
            <w:tcBorders>
              <w:top w:val="nil"/>
              <w:left w:val="nil"/>
              <w:bottom w:val="nil"/>
              <w:right w:val="nil"/>
            </w:tcBorders>
            <w:shd w:val="clear" w:color="auto" w:fill="auto"/>
            <w:vAlign w:val="center"/>
            <w:hideMark/>
          </w:tcPr>
          <w:p w14:paraId="6963B73F" w14:textId="5B1CFFCD" w:rsidR="007A7242" w:rsidRPr="007A7242" w:rsidRDefault="007A7242" w:rsidP="007A7242">
            <w:pPr>
              <w:jc w:val="center"/>
              <w:rPr>
                <w:rFonts w:cs="Times New Roman"/>
                <w:color w:val="000000"/>
                <w:sz w:val="18"/>
                <w:szCs w:val="18"/>
              </w:rPr>
            </w:pPr>
            <w:r w:rsidRPr="007A7242">
              <w:rPr>
                <w:sz w:val="18"/>
                <w:szCs w:val="18"/>
              </w:rPr>
              <w:t>0,0</w:t>
            </w:r>
          </w:p>
        </w:tc>
        <w:tc>
          <w:tcPr>
            <w:tcW w:w="650" w:type="dxa"/>
            <w:gridSpan w:val="2"/>
            <w:tcBorders>
              <w:top w:val="nil"/>
              <w:left w:val="nil"/>
              <w:bottom w:val="nil"/>
              <w:right w:val="nil"/>
            </w:tcBorders>
            <w:shd w:val="clear" w:color="auto" w:fill="auto"/>
            <w:vAlign w:val="center"/>
            <w:hideMark/>
          </w:tcPr>
          <w:p w14:paraId="3179CA73" w14:textId="254C87FA" w:rsidR="007A7242" w:rsidRPr="007A7242" w:rsidRDefault="007A7242" w:rsidP="007A7242">
            <w:pPr>
              <w:jc w:val="center"/>
              <w:rPr>
                <w:rFonts w:cs="Times New Roman"/>
                <w:color w:val="000000"/>
                <w:sz w:val="18"/>
                <w:szCs w:val="18"/>
              </w:rPr>
            </w:pPr>
            <w:r w:rsidRPr="007A7242">
              <w:rPr>
                <w:sz w:val="18"/>
                <w:szCs w:val="18"/>
              </w:rPr>
              <w:t>0,0</w:t>
            </w:r>
          </w:p>
        </w:tc>
        <w:tc>
          <w:tcPr>
            <w:tcW w:w="650" w:type="dxa"/>
            <w:tcBorders>
              <w:top w:val="nil"/>
              <w:left w:val="nil"/>
              <w:bottom w:val="nil"/>
              <w:right w:val="nil"/>
            </w:tcBorders>
            <w:shd w:val="clear" w:color="auto" w:fill="auto"/>
            <w:vAlign w:val="center"/>
            <w:hideMark/>
          </w:tcPr>
          <w:p w14:paraId="28585A19" w14:textId="736DA954" w:rsidR="007A7242" w:rsidRPr="007A7242" w:rsidRDefault="007A7242" w:rsidP="007A7242">
            <w:pPr>
              <w:jc w:val="center"/>
              <w:rPr>
                <w:rFonts w:cs="Times New Roman"/>
                <w:color w:val="000000"/>
                <w:sz w:val="18"/>
                <w:szCs w:val="18"/>
              </w:rPr>
            </w:pPr>
            <w:r w:rsidRPr="007A7242">
              <w:rPr>
                <w:sz w:val="18"/>
                <w:szCs w:val="18"/>
              </w:rPr>
              <w:t>0,0</w:t>
            </w:r>
          </w:p>
        </w:tc>
        <w:tc>
          <w:tcPr>
            <w:tcW w:w="653" w:type="dxa"/>
            <w:gridSpan w:val="2"/>
            <w:tcBorders>
              <w:top w:val="nil"/>
              <w:left w:val="nil"/>
              <w:bottom w:val="nil"/>
              <w:right w:val="nil"/>
            </w:tcBorders>
            <w:shd w:val="clear" w:color="auto" w:fill="auto"/>
            <w:vAlign w:val="center"/>
            <w:hideMark/>
          </w:tcPr>
          <w:p w14:paraId="60852D06" w14:textId="6CF2BB09" w:rsidR="007A7242" w:rsidRPr="007A7242" w:rsidRDefault="007A7242" w:rsidP="007A7242">
            <w:pPr>
              <w:jc w:val="center"/>
              <w:rPr>
                <w:rFonts w:cs="Times New Roman"/>
                <w:color w:val="000000"/>
                <w:sz w:val="18"/>
                <w:szCs w:val="18"/>
              </w:rPr>
            </w:pPr>
            <w:r w:rsidRPr="007A7242">
              <w:rPr>
                <w:sz w:val="18"/>
                <w:szCs w:val="18"/>
              </w:rPr>
              <w:t>0,0</w:t>
            </w:r>
          </w:p>
        </w:tc>
      </w:tr>
      <w:tr w:rsidR="007A7242" w:rsidRPr="00F26E77" w14:paraId="7B69D887" w14:textId="77777777" w:rsidTr="007A7242">
        <w:trPr>
          <w:trHeight w:val="283"/>
        </w:trPr>
        <w:tc>
          <w:tcPr>
            <w:tcW w:w="5045" w:type="dxa"/>
            <w:gridSpan w:val="3"/>
            <w:tcBorders>
              <w:top w:val="nil"/>
              <w:left w:val="nil"/>
              <w:right w:val="nil"/>
            </w:tcBorders>
            <w:shd w:val="clear" w:color="000000" w:fill="FFFFFF"/>
            <w:vAlign w:val="center"/>
            <w:hideMark/>
          </w:tcPr>
          <w:p w14:paraId="292191CC" w14:textId="77777777" w:rsidR="007A7242" w:rsidRPr="007A7242" w:rsidRDefault="007A7242" w:rsidP="007A7242">
            <w:pPr>
              <w:rPr>
                <w:rFonts w:cs="Times New Roman"/>
                <w:color w:val="000000"/>
                <w:sz w:val="18"/>
                <w:szCs w:val="18"/>
              </w:rPr>
            </w:pPr>
            <w:r w:rsidRPr="007A7242">
              <w:rPr>
                <w:rFonts w:cs="Times New Roman"/>
                <w:color w:val="000000"/>
                <w:sz w:val="18"/>
                <w:szCs w:val="18"/>
              </w:rPr>
              <w:t xml:space="preserve">3. Zmena príjmov z titulu opatrení </w:t>
            </w:r>
          </w:p>
        </w:tc>
        <w:tc>
          <w:tcPr>
            <w:tcW w:w="650" w:type="dxa"/>
            <w:tcBorders>
              <w:top w:val="nil"/>
              <w:left w:val="nil"/>
              <w:bottom w:val="nil"/>
              <w:right w:val="nil"/>
            </w:tcBorders>
            <w:shd w:val="clear" w:color="auto" w:fill="auto"/>
            <w:vAlign w:val="center"/>
            <w:hideMark/>
          </w:tcPr>
          <w:p w14:paraId="07E31176" w14:textId="5129DE91" w:rsidR="007A7242" w:rsidRPr="007A7242" w:rsidRDefault="007A7242" w:rsidP="007A7242">
            <w:pPr>
              <w:jc w:val="center"/>
              <w:rPr>
                <w:rFonts w:cs="Times New Roman"/>
                <w:color w:val="000000"/>
                <w:sz w:val="18"/>
                <w:szCs w:val="18"/>
              </w:rPr>
            </w:pPr>
            <w:r w:rsidRPr="007A7242">
              <w:rPr>
                <w:sz w:val="18"/>
                <w:szCs w:val="18"/>
              </w:rPr>
              <w:t>-54</w:t>
            </w:r>
          </w:p>
        </w:tc>
        <w:tc>
          <w:tcPr>
            <w:tcW w:w="840" w:type="dxa"/>
            <w:gridSpan w:val="2"/>
            <w:tcBorders>
              <w:top w:val="nil"/>
              <w:left w:val="nil"/>
              <w:bottom w:val="nil"/>
              <w:right w:val="nil"/>
            </w:tcBorders>
            <w:shd w:val="clear" w:color="auto" w:fill="auto"/>
            <w:vAlign w:val="center"/>
            <w:hideMark/>
          </w:tcPr>
          <w:p w14:paraId="2D2180E2" w14:textId="5EDABB33" w:rsidR="007A7242" w:rsidRPr="007A7242" w:rsidRDefault="007A7242" w:rsidP="007A7242">
            <w:pPr>
              <w:jc w:val="center"/>
              <w:rPr>
                <w:rFonts w:cs="Times New Roman"/>
                <w:color w:val="000000"/>
                <w:sz w:val="18"/>
                <w:szCs w:val="18"/>
              </w:rPr>
            </w:pPr>
            <w:r w:rsidRPr="007A7242">
              <w:rPr>
                <w:sz w:val="18"/>
                <w:szCs w:val="18"/>
              </w:rPr>
              <w:t>-0,1</w:t>
            </w:r>
          </w:p>
        </w:tc>
        <w:tc>
          <w:tcPr>
            <w:tcW w:w="650" w:type="dxa"/>
            <w:tcBorders>
              <w:top w:val="nil"/>
              <w:left w:val="nil"/>
              <w:bottom w:val="nil"/>
              <w:right w:val="nil"/>
            </w:tcBorders>
            <w:shd w:val="clear" w:color="auto" w:fill="auto"/>
            <w:vAlign w:val="center"/>
            <w:hideMark/>
          </w:tcPr>
          <w:p w14:paraId="795A2D99" w14:textId="790949ED" w:rsidR="007A7242" w:rsidRPr="007A7242" w:rsidRDefault="007A7242" w:rsidP="007A7242">
            <w:pPr>
              <w:jc w:val="center"/>
              <w:rPr>
                <w:rFonts w:cs="Times New Roman"/>
                <w:color w:val="000000"/>
                <w:sz w:val="18"/>
                <w:szCs w:val="18"/>
              </w:rPr>
            </w:pPr>
            <w:r w:rsidRPr="007A7242">
              <w:rPr>
                <w:sz w:val="18"/>
                <w:szCs w:val="18"/>
              </w:rPr>
              <w:t>0,2</w:t>
            </w:r>
          </w:p>
        </w:tc>
        <w:tc>
          <w:tcPr>
            <w:tcW w:w="650" w:type="dxa"/>
            <w:gridSpan w:val="2"/>
            <w:tcBorders>
              <w:top w:val="nil"/>
              <w:left w:val="nil"/>
              <w:bottom w:val="nil"/>
              <w:right w:val="nil"/>
            </w:tcBorders>
            <w:shd w:val="clear" w:color="auto" w:fill="auto"/>
            <w:vAlign w:val="center"/>
            <w:hideMark/>
          </w:tcPr>
          <w:p w14:paraId="13943C13" w14:textId="095A427B" w:rsidR="007A7242" w:rsidRPr="007A7242" w:rsidRDefault="007A7242" w:rsidP="007A7242">
            <w:pPr>
              <w:jc w:val="center"/>
              <w:rPr>
                <w:rFonts w:cs="Times New Roman"/>
                <w:color w:val="000000"/>
                <w:sz w:val="18"/>
                <w:szCs w:val="18"/>
              </w:rPr>
            </w:pPr>
            <w:r w:rsidRPr="007A7242">
              <w:rPr>
                <w:sz w:val="18"/>
                <w:szCs w:val="18"/>
              </w:rPr>
              <w:t>0,1</w:t>
            </w:r>
          </w:p>
        </w:tc>
        <w:tc>
          <w:tcPr>
            <w:tcW w:w="650" w:type="dxa"/>
            <w:tcBorders>
              <w:top w:val="nil"/>
              <w:left w:val="nil"/>
              <w:bottom w:val="nil"/>
              <w:right w:val="nil"/>
            </w:tcBorders>
            <w:shd w:val="clear" w:color="auto" w:fill="auto"/>
            <w:vAlign w:val="center"/>
            <w:hideMark/>
          </w:tcPr>
          <w:p w14:paraId="38D15130" w14:textId="4B96331F" w:rsidR="007A7242" w:rsidRPr="007A7242" w:rsidRDefault="007A7242" w:rsidP="007A7242">
            <w:pPr>
              <w:jc w:val="center"/>
              <w:rPr>
                <w:rFonts w:cs="Times New Roman"/>
                <w:color w:val="000000"/>
                <w:sz w:val="18"/>
                <w:szCs w:val="18"/>
              </w:rPr>
            </w:pPr>
            <w:r w:rsidRPr="007A7242">
              <w:rPr>
                <w:sz w:val="18"/>
                <w:szCs w:val="18"/>
              </w:rPr>
              <w:t>-0,2</w:t>
            </w:r>
          </w:p>
        </w:tc>
        <w:tc>
          <w:tcPr>
            <w:tcW w:w="653" w:type="dxa"/>
            <w:gridSpan w:val="2"/>
            <w:tcBorders>
              <w:top w:val="nil"/>
              <w:left w:val="nil"/>
              <w:bottom w:val="nil"/>
              <w:right w:val="nil"/>
            </w:tcBorders>
            <w:shd w:val="clear" w:color="auto" w:fill="auto"/>
            <w:vAlign w:val="center"/>
            <w:hideMark/>
          </w:tcPr>
          <w:p w14:paraId="51245F53" w14:textId="5159B672" w:rsidR="007A7242" w:rsidRPr="007A7242" w:rsidRDefault="007A7242" w:rsidP="007A7242">
            <w:pPr>
              <w:jc w:val="center"/>
              <w:rPr>
                <w:rFonts w:cs="Times New Roman"/>
                <w:color w:val="000000"/>
                <w:sz w:val="18"/>
                <w:szCs w:val="18"/>
              </w:rPr>
            </w:pPr>
            <w:r w:rsidRPr="007A7242">
              <w:rPr>
                <w:sz w:val="18"/>
                <w:szCs w:val="18"/>
              </w:rPr>
              <w:t>0,0</w:t>
            </w:r>
          </w:p>
        </w:tc>
      </w:tr>
      <w:tr w:rsidR="007A7242" w:rsidRPr="00F26E77" w14:paraId="7EBB3D07" w14:textId="77777777" w:rsidTr="007A7242">
        <w:trPr>
          <w:trHeight w:val="283"/>
        </w:trPr>
        <w:tc>
          <w:tcPr>
            <w:tcW w:w="5045" w:type="dxa"/>
            <w:gridSpan w:val="3"/>
            <w:tcBorders>
              <w:top w:val="nil"/>
              <w:left w:val="nil"/>
              <w:bottom w:val="single" w:sz="8" w:space="0" w:color="auto"/>
              <w:right w:val="nil"/>
            </w:tcBorders>
            <w:shd w:val="clear" w:color="000000" w:fill="FFFFFF"/>
            <w:vAlign w:val="center"/>
            <w:hideMark/>
          </w:tcPr>
          <w:p w14:paraId="26A4AA08" w14:textId="77777777" w:rsidR="007A7242" w:rsidRPr="00F26E77" w:rsidRDefault="007A7242" w:rsidP="007A7242">
            <w:pPr>
              <w:rPr>
                <w:rFonts w:cs="Times New Roman"/>
                <w:color w:val="000000"/>
                <w:sz w:val="18"/>
                <w:szCs w:val="18"/>
              </w:rPr>
            </w:pPr>
            <w:r w:rsidRPr="00F26E77">
              <w:rPr>
                <w:rFonts w:cs="Times New Roman"/>
                <w:color w:val="000000"/>
                <w:sz w:val="18"/>
                <w:szCs w:val="18"/>
              </w:rPr>
              <w:t>4. Automatická zmena príjmov z dôvodu uplatňovania legislatívy</w:t>
            </w:r>
          </w:p>
        </w:tc>
        <w:tc>
          <w:tcPr>
            <w:tcW w:w="650" w:type="dxa"/>
            <w:tcBorders>
              <w:top w:val="nil"/>
              <w:left w:val="nil"/>
              <w:bottom w:val="single" w:sz="4" w:space="0" w:color="auto"/>
              <w:right w:val="nil"/>
            </w:tcBorders>
            <w:shd w:val="clear" w:color="auto" w:fill="auto"/>
            <w:vAlign w:val="center"/>
            <w:hideMark/>
          </w:tcPr>
          <w:p w14:paraId="161BB978" w14:textId="4D71AEF0" w:rsidR="007A7242" w:rsidRPr="007A7242" w:rsidRDefault="007A7242" w:rsidP="007A7242">
            <w:pPr>
              <w:jc w:val="center"/>
              <w:rPr>
                <w:rFonts w:cs="Times New Roman"/>
                <w:color w:val="000000"/>
                <w:sz w:val="18"/>
                <w:szCs w:val="18"/>
                <w:highlight w:val="yellow"/>
              </w:rPr>
            </w:pPr>
            <w:r w:rsidRPr="007A7242">
              <w:rPr>
                <w:sz w:val="18"/>
                <w:szCs w:val="18"/>
              </w:rPr>
              <w:t>0</w:t>
            </w:r>
          </w:p>
        </w:tc>
        <w:tc>
          <w:tcPr>
            <w:tcW w:w="840" w:type="dxa"/>
            <w:gridSpan w:val="2"/>
            <w:tcBorders>
              <w:top w:val="nil"/>
              <w:left w:val="nil"/>
              <w:bottom w:val="single" w:sz="4" w:space="0" w:color="auto"/>
              <w:right w:val="nil"/>
            </w:tcBorders>
            <w:shd w:val="clear" w:color="auto" w:fill="auto"/>
            <w:vAlign w:val="center"/>
            <w:hideMark/>
          </w:tcPr>
          <w:p w14:paraId="40A6EBCA" w14:textId="482B6D5A" w:rsidR="007A7242" w:rsidRPr="007A7242" w:rsidRDefault="007A7242" w:rsidP="007A7242">
            <w:pPr>
              <w:jc w:val="center"/>
              <w:rPr>
                <w:rFonts w:cs="Times New Roman"/>
                <w:color w:val="000000"/>
                <w:sz w:val="18"/>
                <w:szCs w:val="18"/>
                <w:highlight w:val="yellow"/>
              </w:rPr>
            </w:pPr>
            <w:r w:rsidRPr="007A7242">
              <w:rPr>
                <w:sz w:val="18"/>
                <w:szCs w:val="18"/>
              </w:rPr>
              <w:t>0,0</w:t>
            </w:r>
          </w:p>
        </w:tc>
        <w:tc>
          <w:tcPr>
            <w:tcW w:w="650" w:type="dxa"/>
            <w:tcBorders>
              <w:top w:val="nil"/>
              <w:left w:val="nil"/>
              <w:bottom w:val="single" w:sz="4" w:space="0" w:color="auto"/>
              <w:right w:val="nil"/>
            </w:tcBorders>
            <w:shd w:val="clear" w:color="auto" w:fill="auto"/>
            <w:vAlign w:val="center"/>
            <w:hideMark/>
          </w:tcPr>
          <w:p w14:paraId="5EB06AE4" w14:textId="6B7AD03F" w:rsidR="007A7242" w:rsidRPr="007A7242" w:rsidRDefault="007A7242" w:rsidP="007A7242">
            <w:pPr>
              <w:jc w:val="center"/>
              <w:rPr>
                <w:rFonts w:cs="Times New Roman"/>
                <w:color w:val="000000"/>
                <w:sz w:val="18"/>
                <w:szCs w:val="18"/>
              </w:rPr>
            </w:pPr>
            <w:r w:rsidRPr="007A7242">
              <w:rPr>
                <w:sz w:val="18"/>
                <w:szCs w:val="18"/>
              </w:rPr>
              <w:t>0,0</w:t>
            </w:r>
          </w:p>
        </w:tc>
        <w:tc>
          <w:tcPr>
            <w:tcW w:w="650" w:type="dxa"/>
            <w:gridSpan w:val="2"/>
            <w:tcBorders>
              <w:top w:val="nil"/>
              <w:left w:val="nil"/>
              <w:bottom w:val="single" w:sz="4" w:space="0" w:color="auto"/>
              <w:right w:val="nil"/>
            </w:tcBorders>
            <w:shd w:val="clear" w:color="auto" w:fill="auto"/>
            <w:vAlign w:val="center"/>
            <w:hideMark/>
          </w:tcPr>
          <w:p w14:paraId="310183BF" w14:textId="03823D8F" w:rsidR="007A7242" w:rsidRPr="007A7242" w:rsidRDefault="007A7242" w:rsidP="007A7242">
            <w:pPr>
              <w:jc w:val="center"/>
              <w:rPr>
                <w:rFonts w:cs="Times New Roman"/>
                <w:color w:val="000000"/>
                <w:sz w:val="18"/>
                <w:szCs w:val="18"/>
              </w:rPr>
            </w:pPr>
            <w:r w:rsidRPr="007A7242">
              <w:rPr>
                <w:sz w:val="18"/>
                <w:szCs w:val="18"/>
              </w:rPr>
              <w:t>0,0</w:t>
            </w:r>
          </w:p>
        </w:tc>
        <w:tc>
          <w:tcPr>
            <w:tcW w:w="650" w:type="dxa"/>
            <w:tcBorders>
              <w:top w:val="nil"/>
              <w:left w:val="nil"/>
              <w:bottom w:val="single" w:sz="4" w:space="0" w:color="auto"/>
              <w:right w:val="nil"/>
            </w:tcBorders>
            <w:shd w:val="clear" w:color="auto" w:fill="auto"/>
            <w:vAlign w:val="center"/>
            <w:hideMark/>
          </w:tcPr>
          <w:p w14:paraId="222804D7" w14:textId="7191B654" w:rsidR="007A7242" w:rsidRPr="007A7242" w:rsidRDefault="007A7242" w:rsidP="007A7242">
            <w:pPr>
              <w:jc w:val="center"/>
              <w:rPr>
                <w:rFonts w:cs="Times New Roman"/>
                <w:color w:val="000000"/>
                <w:sz w:val="18"/>
                <w:szCs w:val="18"/>
              </w:rPr>
            </w:pPr>
            <w:r w:rsidRPr="007A7242">
              <w:rPr>
                <w:sz w:val="18"/>
                <w:szCs w:val="18"/>
              </w:rPr>
              <w:t>0,0</w:t>
            </w:r>
          </w:p>
        </w:tc>
        <w:tc>
          <w:tcPr>
            <w:tcW w:w="653" w:type="dxa"/>
            <w:gridSpan w:val="2"/>
            <w:tcBorders>
              <w:top w:val="nil"/>
              <w:left w:val="nil"/>
              <w:bottom w:val="single" w:sz="4" w:space="0" w:color="auto"/>
              <w:right w:val="nil"/>
            </w:tcBorders>
            <w:shd w:val="clear" w:color="auto" w:fill="auto"/>
            <w:vAlign w:val="center"/>
            <w:hideMark/>
          </w:tcPr>
          <w:p w14:paraId="744E6666" w14:textId="478F3340" w:rsidR="007A7242" w:rsidRPr="007A7242" w:rsidRDefault="007A7242" w:rsidP="007A7242">
            <w:pPr>
              <w:jc w:val="center"/>
              <w:rPr>
                <w:rFonts w:cs="Times New Roman"/>
                <w:color w:val="000000"/>
                <w:sz w:val="18"/>
                <w:szCs w:val="18"/>
              </w:rPr>
            </w:pPr>
            <w:r w:rsidRPr="007A7242">
              <w:rPr>
                <w:sz w:val="18"/>
                <w:szCs w:val="18"/>
              </w:rPr>
              <w:t>0,0</w:t>
            </w:r>
          </w:p>
        </w:tc>
      </w:tr>
      <w:tr w:rsidR="00D73008" w:rsidRPr="00B21C97" w14:paraId="6CE92329" w14:textId="77777777" w:rsidTr="00387AE5">
        <w:trPr>
          <w:trHeight w:val="283"/>
        </w:trPr>
        <w:tc>
          <w:tcPr>
            <w:tcW w:w="5045" w:type="dxa"/>
            <w:gridSpan w:val="3"/>
            <w:tcBorders>
              <w:top w:val="single" w:sz="8" w:space="0" w:color="auto"/>
              <w:left w:val="nil"/>
              <w:bottom w:val="nil"/>
              <w:right w:val="nil"/>
            </w:tcBorders>
            <w:shd w:val="clear" w:color="auto" w:fill="auto"/>
            <w:vAlign w:val="center"/>
            <w:hideMark/>
          </w:tcPr>
          <w:p w14:paraId="70213DFC" w14:textId="77777777" w:rsidR="00D73008" w:rsidRPr="00F26E77" w:rsidRDefault="00D73008" w:rsidP="00387AE5">
            <w:pPr>
              <w:jc w:val="center"/>
              <w:rPr>
                <w:rFonts w:cs="Times New Roman"/>
                <w:color w:val="000000"/>
                <w:sz w:val="18"/>
                <w:szCs w:val="18"/>
              </w:rPr>
            </w:pPr>
          </w:p>
        </w:tc>
        <w:tc>
          <w:tcPr>
            <w:tcW w:w="650" w:type="dxa"/>
            <w:tcBorders>
              <w:top w:val="single" w:sz="8" w:space="0" w:color="auto"/>
              <w:left w:val="nil"/>
              <w:bottom w:val="nil"/>
              <w:right w:val="nil"/>
            </w:tcBorders>
            <w:shd w:val="clear" w:color="auto" w:fill="auto"/>
            <w:vAlign w:val="center"/>
            <w:hideMark/>
          </w:tcPr>
          <w:p w14:paraId="4653E3E8" w14:textId="77777777" w:rsidR="00D73008" w:rsidRPr="00F26E77" w:rsidRDefault="00D73008" w:rsidP="00387AE5">
            <w:pPr>
              <w:rPr>
                <w:rFonts w:ascii="Times New Roman" w:hAnsi="Times New Roman" w:cs="Times New Roman"/>
                <w:sz w:val="20"/>
                <w:szCs w:val="20"/>
              </w:rPr>
            </w:pPr>
          </w:p>
        </w:tc>
        <w:tc>
          <w:tcPr>
            <w:tcW w:w="840" w:type="dxa"/>
            <w:gridSpan w:val="2"/>
            <w:tcBorders>
              <w:top w:val="single" w:sz="8" w:space="0" w:color="auto"/>
              <w:left w:val="nil"/>
              <w:bottom w:val="nil"/>
              <w:right w:val="nil"/>
            </w:tcBorders>
            <w:shd w:val="clear" w:color="auto" w:fill="auto"/>
            <w:vAlign w:val="center"/>
            <w:hideMark/>
          </w:tcPr>
          <w:p w14:paraId="1B5B22C3" w14:textId="77777777" w:rsidR="00D73008" w:rsidRPr="00F26E77" w:rsidRDefault="00D73008" w:rsidP="00387AE5">
            <w:pPr>
              <w:rPr>
                <w:rFonts w:ascii="Times New Roman" w:hAnsi="Times New Roman" w:cs="Times New Roman"/>
                <w:sz w:val="20"/>
                <w:szCs w:val="20"/>
              </w:rPr>
            </w:pPr>
          </w:p>
        </w:tc>
        <w:tc>
          <w:tcPr>
            <w:tcW w:w="650" w:type="dxa"/>
            <w:tcBorders>
              <w:top w:val="single" w:sz="8" w:space="0" w:color="auto"/>
              <w:left w:val="nil"/>
              <w:bottom w:val="nil"/>
              <w:right w:val="nil"/>
            </w:tcBorders>
            <w:shd w:val="clear" w:color="auto" w:fill="auto"/>
            <w:vAlign w:val="center"/>
            <w:hideMark/>
          </w:tcPr>
          <w:p w14:paraId="12514066" w14:textId="77777777" w:rsidR="00D73008" w:rsidRPr="00F26E77" w:rsidRDefault="00D73008" w:rsidP="00387AE5">
            <w:pPr>
              <w:rPr>
                <w:rFonts w:ascii="Times New Roman" w:hAnsi="Times New Roman" w:cs="Times New Roman"/>
                <w:sz w:val="20"/>
                <w:szCs w:val="20"/>
              </w:rPr>
            </w:pPr>
          </w:p>
        </w:tc>
        <w:tc>
          <w:tcPr>
            <w:tcW w:w="650" w:type="dxa"/>
            <w:gridSpan w:val="2"/>
            <w:tcBorders>
              <w:top w:val="single" w:sz="8" w:space="0" w:color="auto"/>
              <w:left w:val="nil"/>
              <w:bottom w:val="nil"/>
              <w:right w:val="nil"/>
            </w:tcBorders>
            <w:shd w:val="clear" w:color="auto" w:fill="auto"/>
            <w:vAlign w:val="center"/>
            <w:hideMark/>
          </w:tcPr>
          <w:p w14:paraId="52204D50" w14:textId="77777777" w:rsidR="00D73008" w:rsidRPr="00F26E77" w:rsidRDefault="00D73008" w:rsidP="00387AE5">
            <w:pPr>
              <w:rPr>
                <w:rFonts w:ascii="Times New Roman" w:hAnsi="Times New Roman" w:cs="Times New Roman"/>
                <w:sz w:val="20"/>
                <w:szCs w:val="20"/>
              </w:rPr>
            </w:pPr>
          </w:p>
        </w:tc>
        <w:tc>
          <w:tcPr>
            <w:tcW w:w="1303" w:type="dxa"/>
            <w:gridSpan w:val="3"/>
            <w:tcBorders>
              <w:top w:val="single" w:sz="8" w:space="0" w:color="auto"/>
              <w:left w:val="nil"/>
              <w:bottom w:val="nil"/>
              <w:right w:val="nil"/>
            </w:tcBorders>
            <w:shd w:val="clear" w:color="auto" w:fill="auto"/>
            <w:vAlign w:val="center"/>
            <w:hideMark/>
          </w:tcPr>
          <w:p w14:paraId="3C42E21C" w14:textId="77777777" w:rsidR="00D73008" w:rsidRPr="00F26E77" w:rsidRDefault="00D73008" w:rsidP="00387AE5">
            <w:pPr>
              <w:jc w:val="right"/>
              <w:rPr>
                <w:rFonts w:cs="Times New Roman"/>
                <w:i/>
                <w:iCs/>
                <w:color w:val="000000"/>
                <w:sz w:val="16"/>
                <w:szCs w:val="16"/>
              </w:rPr>
            </w:pPr>
            <w:r w:rsidRPr="00F26E77">
              <w:rPr>
                <w:rFonts w:cs="Times New Roman"/>
                <w:i/>
                <w:iCs/>
                <w:color w:val="000000"/>
                <w:sz w:val="16"/>
                <w:szCs w:val="16"/>
              </w:rPr>
              <w:t>Zdroj: MFSR</w:t>
            </w:r>
          </w:p>
        </w:tc>
      </w:tr>
      <w:tr w:rsidR="00D73008" w:rsidRPr="00152128" w14:paraId="06BCE463" w14:textId="77777777" w:rsidTr="00387AE5">
        <w:trPr>
          <w:gridAfter w:val="1"/>
          <w:wAfter w:w="78" w:type="dxa"/>
          <w:trHeight w:val="283"/>
        </w:trPr>
        <w:tc>
          <w:tcPr>
            <w:tcW w:w="9060" w:type="dxa"/>
            <w:gridSpan w:val="11"/>
            <w:tcBorders>
              <w:top w:val="nil"/>
              <w:left w:val="nil"/>
              <w:bottom w:val="single" w:sz="8" w:space="0" w:color="auto"/>
              <w:right w:val="nil"/>
            </w:tcBorders>
            <w:shd w:val="clear" w:color="auto" w:fill="auto"/>
            <w:noWrap/>
            <w:vAlign w:val="bottom"/>
            <w:hideMark/>
          </w:tcPr>
          <w:p w14:paraId="46F6D7AD" w14:textId="3E328E3D" w:rsidR="00D73008" w:rsidRPr="00152128" w:rsidRDefault="00D73008" w:rsidP="00387AE5">
            <w:pPr>
              <w:rPr>
                <w:rFonts w:eastAsiaTheme="minorHAnsi"/>
                <w:b/>
                <w:color w:val="2C9ADC"/>
                <w:lang w:eastAsia="en-US"/>
              </w:rPr>
            </w:pPr>
            <w:bookmarkStart w:id="253" w:name="_Toc480905417"/>
            <w:bookmarkStart w:id="254" w:name="_Toc6314224"/>
            <w:r w:rsidRPr="00152128">
              <w:rPr>
                <w:rFonts w:eastAsiaTheme="minorHAnsi"/>
                <w:b/>
                <w:color w:val="2C9ADC"/>
                <w:lang w:eastAsia="en-US"/>
              </w:rPr>
              <w:t xml:space="preserve">TABUĽKA </w:t>
            </w:r>
            <w:r w:rsidRPr="00152128">
              <w:rPr>
                <w:rFonts w:eastAsiaTheme="minorHAnsi"/>
                <w:b/>
                <w:color w:val="2C9ADC"/>
                <w:lang w:eastAsia="en-US"/>
              </w:rPr>
              <w:fldChar w:fldCharType="begin"/>
            </w:r>
            <w:r w:rsidRPr="00152128">
              <w:rPr>
                <w:rFonts w:eastAsiaTheme="minorHAnsi"/>
                <w:b/>
                <w:color w:val="2C9ADC"/>
                <w:lang w:eastAsia="en-US"/>
              </w:rPr>
              <w:instrText xml:space="preserve"> SEQ TABUĽKA \* ARABIC </w:instrText>
            </w:r>
            <w:r w:rsidRPr="00152128">
              <w:rPr>
                <w:rFonts w:eastAsiaTheme="minorHAnsi"/>
                <w:b/>
                <w:color w:val="2C9ADC"/>
                <w:lang w:eastAsia="en-US"/>
              </w:rPr>
              <w:fldChar w:fldCharType="separate"/>
            </w:r>
            <w:r w:rsidR="00D5739E">
              <w:rPr>
                <w:rFonts w:eastAsiaTheme="minorHAnsi"/>
                <w:b/>
                <w:noProof/>
                <w:color w:val="2C9ADC"/>
                <w:lang w:eastAsia="en-US"/>
              </w:rPr>
              <w:t>25</w:t>
            </w:r>
            <w:r w:rsidRPr="00152128">
              <w:rPr>
                <w:rFonts w:eastAsiaTheme="minorHAnsi"/>
                <w:b/>
                <w:color w:val="2C9ADC"/>
                <w:lang w:eastAsia="en-US"/>
              </w:rPr>
              <w:fldChar w:fldCharType="end"/>
            </w:r>
            <w:r w:rsidRPr="00152128">
              <w:rPr>
                <w:rFonts w:eastAsiaTheme="minorHAnsi"/>
                <w:b/>
                <w:color w:val="2C9ADC"/>
                <w:lang w:eastAsia="en-US"/>
              </w:rPr>
              <w:t xml:space="preserve"> (Tabuľka 3) - Výdavky verejnej správy (% HDP)</w:t>
            </w:r>
            <w:bookmarkEnd w:id="253"/>
            <w:bookmarkEnd w:id="254"/>
          </w:p>
        </w:tc>
      </w:tr>
      <w:tr w:rsidR="00D73008" w:rsidRPr="00F26E77" w14:paraId="1AFF17FF" w14:textId="77777777" w:rsidTr="00387AE5">
        <w:trPr>
          <w:gridAfter w:val="1"/>
          <w:wAfter w:w="78" w:type="dxa"/>
          <w:trHeight w:val="283"/>
        </w:trPr>
        <w:tc>
          <w:tcPr>
            <w:tcW w:w="3740" w:type="dxa"/>
            <w:tcBorders>
              <w:top w:val="single" w:sz="8" w:space="0" w:color="auto"/>
              <w:left w:val="nil"/>
              <w:bottom w:val="single" w:sz="6" w:space="0" w:color="auto"/>
              <w:right w:val="nil"/>
            </w:tcBorders>
            <w:shd w:val="clear" w:color="000000" w:fill="FFFFFF"/>
            <w:vAlign w:val="center"/>
          </w:tcPr>
          <w:p w14:paraId="179269F5" w14:textId="77777777" w:rsidR="00D73008" w:rsidRPr="00F26E77" w:rsidRDefault="00D73008" w:rsidP="00387AE5">
            <w:pPr>
              <w:rPr>
                <w:rFonts w:cs="Times New Roman"/>
                <w:sz w:val="18"/>
                <w:szCs w:val="18"/>
              </w:rPr>
            </w:pPr>
          </w:p>
        </w:tc>
        <w:tc>
          <w:tcPr>
            <w:tcW w:w="1280" w:type="dxa"/>
            <w:tcBorders>
              <w:top w:val="single" w:sz="8" w:space="0" w:color="auto"/>
              <w:left w:val="nil"/>
              <w:bottom w:val="single" w:sz="6" w:space="0" w:color="auto"/>
              <w:right w:val="nil"/>
            </w:tcBorders>
            <w:shd w:val="clear" w:color="000000" w:fill="FFFFFF"/>
            <w:vAlign w:val="center"/>
          </w:tcPr>
          <w:p w14:paraId="66F79420" w14:textId="77777777" w:rsidR="00D73008" w:rsidRPr="00F26E77" w:rsidRDefault="00D73008" w:rsidP="00387AE5">
            <w:pPr>
              <w:tabs>
                <w:tab w:val="left" w:pos="510"/>
                <w:tab w:val="center" w:pos="570"/>
              </w:tabs>
              <w:jc w:val="center"/>
              <w:rPr>
                <w:rFonts w:cs="Times New Roman"/>
                <w:sz w:val="18"/>
                <w:szCs w:val="18"/>
              </w:rPr>
            </w:pPr>
            <w:r w:rsidRPr="00F26E77">
              <w:rPr>
                <w:rFonts w:cs="Times New Roman"/>
                <w:b/>
                <w:bCs/>
                <w:sz w:val="18"/>
                <w:szCs w:val="18"/>
              </w:rPr>
              <w:t>COFOG kód</w:t>
            </w:r>
          </w:p>
        </w:tc>
        <w:tc>
          <w:tcPr>
            <w:tcW w:w="1480" w:type="dxa"/>
            <w:gridSpan w:val="3"/>
            <w:tcBorders>
              <w:top w:val="nil"/>
              <w:left w:val="nil"/>
              <w:bottom w:val="single" w:sz="4" w:space="0" w:color="auto"/>
              <w:right w:val="nil"/>
            </w:tcBorders>
            <w:shd w:val="clear" w:color="auto" w:fill="auto"/>
            <w:vAlign w:val="center"/>
          </w:tcPr>
          <w:p w14:paraId="42FA6B56" w14:textId="77777777" w:rsidR="00D73008" w:rsidRPr="00F26E77" w:rsidRDefault="00D73008" w:rsidP="00387AE5">
            <w:pPr>
              <w:jc w:val="center"/>
              <w:rPr>
                <w:rFonts w:cs="Times New Roman"/>
                <w:b/>
                <w:sz w:val="18"/>
                <w:szCs w:val="18"/>
              </w:rPr>
            </w:pPr>
            <w:r w:rsidRPr="00F26E77">
              <w:rPr>
                <w:b/>
                <w:sz w:val="18"/>
                <w:szCs w:val="18"/>
              </w:rPr>
              <w:t>2017</w:t>
            </w:r>
          </w:p>
        </w:tc>
        <w:tc>
          <w:tcPr>
            <w:tcW w:w="960" w:type="dxa"/>
            <w:gridSpan w:val="3"/>
            <w:tcBorders>
              <w:top w:val="nil"/>
              <w:left w:val="nil"/>
              <w:bottom w:val="single" w:sz="4" w:space="0" w:color="auto"/>
              <w:right w:val="nil"/>
            </w:tcBorders>
            <w:shd w:val="clear" w:color="auto" w:fill="auto"/>
            <w:vAlign w:val="center"/>
          </w:tcPr>
          <w:p w14:paraId="1BF4A8AC" w14:textId="77777777" w:rsidR="00D73008" w:rsidRPr="00F26E77" w:rsidRDefault="00D73008" w:rsidP="00387AE5">
            <w:pPr>
              <w:jc w:val="center"/>
              <w:rPr>
                <w:rFonts w:cs="Times New Roman"/>
                <w:b/>
                <w:sz w:val="18"/>
                <w:szCs w:val="18"/>
              </w:rPr>
            </w:pPr>
            <w:r w:rsidRPr="00F26E77">
              <w:rPr>
                <w:b/>
                <w:sz w:val="18"/>
                <w:szCs w:val="18"/>
              </w:rPr>
              <w:t>2019 R</w:t>
            </w:r>
          </w:p>
        </w:tc>
        <w:tc>
          <w:tcPr>
            <w:tcW w:w="1600" w:type="dxa"/>
            <w:gridSpan w:val="3"/>
            <w:tcBorders>
              <w:top w:val="nil"/>
              <w:left w:val="nil"/>
              <w:bottom w:val="single" w:sz="4" w:space="0" w:color="auto"/>
              <w:right w:val="nil"/>
            </w:tcBorders>
            <w:shd w:val="clear" w:color="auto" w:fill="auto"/>
            <w:vAlign w:val="center"/>
          </w:tcPr>
          <w:p w14:paraId="13F78D94" w14:textId="77777777" w:rsidR="00D73008" w:rsidRPr="00F26E77" w:rsidRDefault="00D73008" w:rsidP="00387AE5">
            <w:pPr>
              <w:jc w:val="center"/>
              <w:rPr>
                <w:rFonts w:cs="Times New Roman"/>
                <w:b/>
                <w:sz w:val="18"/>
                <w:szCs w:val="18"/>
              </w:rPr>
            </w:pPr>
            <w:r w:rsidRPr="00F26E77">
              <w:rPr>
                <w:b/>
                <w:sz w:val="18"/>
                <w:szCs w:val="18"/>
              </w:rPr>
              <w:t>2022</w:t>
            </w:r>
          </w:p>
        </w:tc>
      </w:tr>
      <w:tr w:rsidR="00D73008" w:rsidRPr="00F26E77" w14:paraId="31D673AB" w14:textId="77777777" w:rsidTr="00387AE5">
        <w:trPr>
          <w:gridAfter w:val="1"/>
          <w:wAfter w:w="78" w:type="dxa"/>
          <w:trHeight w:val="283"/>
        </w:trPr>
        <w:tc>
          <w:tcPr>
            <w:tcW w:w="3740" w:type="dxa"/>
            <w:tcBorders>
              <w:top w:val="single" w:sz="6" w:space="0" w:color="auto"/>
              <w:left w:val="nil"/>
              <w:bottom w:val="nil"/>
              <w:right w:val="nil"/>
            </w:tcBorders>
            <w:shd w:val="clear" w:color="000000" w:fill="FFFFFF"/>
            <w:vAlign w:val="center"/>
            <w:hideMark/>
          </w:tcPr>
          <w:p w14:paraId="47485213" w14:textId="77777777" w:rsidR="00D73008" w:rsidRPr="00F26E77" w:rsidRDefault="00D73008" w:rsidP="00387AE5">
            <w:pPr>
              <w:rPr>
                <w:rFonts w:cs="Times New Roman"/>
                <w:sz w:val="18"/>
                <w:szCs w:val="18"/>
              </w:rPr>
            </w:pPr>
            <w:r w:rsidRPr="00F26E77">
              <w:rPr>
                <w:rFonts w:cs="Times New Roman"/>
                <w:sz w:val="18"/>
                <w:szCs w:val="18"/>
              </w:rPr>
              <w:t>1. Všeobecné verejné služby</w:t>
            </w:r>
          </w:p>
        </w:tc>
        <w:tc>
          <w:tcPr>
            <w:tcW w:w="1280" w:type="dxa"/>
            <w:tcBorders>
              <w:top w:val="single" w:sz="6" w:space="0" w:color="auto"/>
              <w:left w:val="nil"/>
              <w:bottom w:val="nil"/>
              <w:right w:val="nil"/>
            </w:tcBorders>
            <w:shd w:val="clear" w:color="000000" w:fill="FFFFFF"/>
            <w:vAlign w:val="center"/>
            <w:hideMark/>
          </w:tcPr>
          <w:p w14:paraId="3C8184D6" w14:textId="77777777" w:rsidR="00D73008" w:rsidRPr="00F26E77" w:rsidRDefault="00D73008" w:rsidP="00387AE5">
            <w:pPr>
              <w:tabs>
                <w:tab w:val="left" w:pos="510"/>
                <w:tab w:val="center" w:pos="570"/>
              </w:tabs>
              <w:jc w:val="center"/>
              <w:rPr>
                <w:rFonts w:cs="Times New Roman"/>
                <w:sz w:val="18"/>
                <w:szCs w:val="18"/>
              </w:rPr>
            </w:pPr>
            <w:r w:rsidRPr="00F26E77">
              <w:rPr>
                <w:rFonts w:cs="Times New Roman"/>
                <w:sz w:val="18"/>
                <w:szCs w:val="18"/>
              </w:rPr>
              <w:t>1</w:t>
            </w:r>
          </w:p>
        </w:tc>
        <w:tc>
          <w:tcPr>
            <w:tcW w:w="1480" w:type="dxa"/>
            <w:gridSpan w:val="3"/>
            <w:tcBorders>
              <w:top w:val="nil"/>
              <w:left w:val="nil"/>
              <w:bottom w:val="nil"/>
              <w:right w:val="nil"/>
            </w:tcBorders>
            <w:shd w:val="clear" w:color="auto" w:fill="auto"/>
            <w:vAlign w:val="center"/>
            <w:hideMark/>
          </w:tcPr>
          <w:p w14:paraId="4FD1C8BA" w14:textId="77777777" w:rsidR="00D73008" w:rsidRPr="007723D7" w:rsidRDefault="00D73008" w:rsidP="00387AE5">
            <w:pPr>
              <w:jc w:val="center"/>
              <w:rPr>
                <w:rFonts w:cs="Times New Roman"/>
                <w:sz w:val="18"/>
                <w:szCs w:val="18"/>
              </w:rPr>
            </w:pPr>
            <w:r w:rsidRPr="007723D7">
              <w:rPr>
                <w:sz w:val="18"/>
                <w:szCs w:val="18"/>
              </w:rPr>
              <w:t>5,6</w:t>
            </w:r>
          </w:p>
        </w:tc>
        <w:tc>
          <w:tcPr>
            <w:tcW w:w="960" w:type="dxa"/>
            <w:gridSpan w:val="3"/>
            <w:tcBorders>
              <w:top w:val="nil"/>
              <w:left w:val="nil"/>
              <w:bottom w:val="nil"/>
              <w:right w:val="nil"/>
            </w:tcBorders>
            <w:shd w:val="clear" w:color="auto" w:fill="auto"/>
            <w:vAlign w:val="center"/>
            <w:hideMark/>
          </w:tcPr>
          <w:p w14:paraId="3E0E703F" w14:textId="77777777" w:rsidR="00D73008" w:rsidRPr="007723D7" w:rsidRDefault="00D73008" w:rsidP="00387AE5">
            <w:pPr>
              <w:jc w:val="center"/>
              <w:rPr>
                <w:rFonts w:cs="Times New Roman"/>
                <w:sz w:val="18"/>
                <w:szCs w:val="18"/>
              </w:rPr>
            </w:pPr>
            <w:r w:rsidRPr="007723D7">
              <w:rPr>
                <w:sz w:val="18"/>
                <w:szCs w:val="18"/>
              </w:rPr>
              <w:t>4,7</w:t>
            </w:r>
          </w:p>
        </w:tc>
        <w:tc>
          <w:tcPr>
            <w:tcW w:w="1600" w:type="dxa"/>
            <w:gridSpan w:val="3"/>
            <w:tcBorders>
              <w:top w:val="nil"/>
              <w:left w:val="nil"/>
              <w:bottom w:val="nil"/>
              <w:right w:val="nil"/>
            </w:tcBorders>
            <w:shd w:val="clear" w:color="auto" w:fill="auto"/>
            <w:vAlign w:val="center"/>
            <w:hideMark/>
          </w:tcPr>
          <w:p w14:paraId="4AF4F136" w14:textId="77777777" w:rsidR="00D73008" w:rsidRPr="007723D7" w:rsidRDefault="00D73008" w:rsidP="00387AE5">
            <w:pPr>
              <w:jc w:val="center"/>
              <w:rPr>
                <w:rFonts w:cs="Times New Roman"/>
                <w:sz w:val="18"/>
                <w:szCs w:val="18"/>
              </w:rPr>
            </w:pPr>
            <w:r w:rsidRPr="007723D7">
              <w:rPr>
                <w:sz w:val="18"/>
                <w:szCs w:val="18"/>
              </w:rPr>
              <w:t>4,8</w:t>
            </w:r>
          </w:p>
        </w:tc>
      </w:tr>
      <w:tr w:rsidR="00D73008" w:rsidRPr="00F26E77" w14:paraId="03A15B6F"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0B2032CD" w14:textId="77777777" w:rsidR="00D73008" w:rsidRPr="00F26E77" w:rsidRDefault="00D73008" w:rsidP="00387AE5">
            <w:pPr>
              <w:rPr>
                <w:rFonts w:cs="Times New Roman"/>
                <w:sz w:val="18"/>
                <w:szCs w:val="18"/>
              </w:rPr>
            </w:pPr>
            <w:r w:rsidRPr="00F26E77">
              <w:rPr>
                <w:rFonts w:cs="Times New Roman"/>
                <w:sz w:val="18"/>
                <w:szCs w:val="18"/>
              </w:rPr>
              <w:t>2. Obrana</w:t>
            </w:r>
          </w:p>
        </w:tc>
        <w:tc>
          <w:tcPr>
            <w:tcW w:w="1280" w:type="dxa"/>
            <w:tcBorders>
              <w:top w:val="nil"/>
              <w:left w:val="nil"/>
              <w:bottom w:val="nil"/>
              <w:right w:val="nil"/>
            </w:tcBorders>
            <w:shd w:val="clear" w:color="000000" w:fill="FFFFFF"/>
            <w:vAlign w:val="center"/>
            <w:hideMark/>
          </w:tcPr>
          <w:p w14:paraId="6D49A77B" w14:textId="77777777" w:rsidR="00D73008" w:rsidRPr="00F26E77" w:rsidRDefault="00D73008" w:rsidP="00387AE5">
            <w:pPr>
              <w:jc w:val="center"/>
              <w:rPr>
                <w:rFonts w:cs="Times New Roman"/>
                <w:sz w:val="18"/>
                <w:szCs w:val="18"/>
              </w:rPr>
            </w:pPr>
            <w:r w:rsidRPr="00F26E77">
              <w:rPr>
                <w:rFonts w:cs="Times New Roman"/>
                <w:sz w:val="18"/>
                <w:szCs w:val="18"/>
              </w:rPr>
              <w:t>2</w:t>
            </w:r>
          </w:p>
        </w:tc>
        <w:tc>
          <w:tcPr>
            <w:tcW w:w="1480" w:type="dxa"/>
            <w:gridSpan w:val="3"/>
            <w:tcBorders>
              <w:top w:val="nil"/>
              <w:left w:val="nil"/>
              <w:bottom w:val="nil"/>
              <w:right w:val="nil"/>
            </w:tcBorders>
            <w:shd w:val="clear" w:color="auto" w:fill="auto"/>
            <w:vAlign w:val="center"/>
            <w:hideMark/>
          </w:tcPr>
          <w:p w14:paraId="3DAAFEB0" w14:textId="77777777" w:rsidR="00D73008" w:rsidRPr="007723D7" w:rsidRDefault="00D73008" w:rsidP="00387AE5">
            <w:pPr>
              <w:jc w:val="center"/>
              <w:rPr>
                <w:rFonts w:cs="Times New Roman"/>
                <w:sz w:val="18"/>
                <w:szCs w:val="18"/>
              </w:rPr>
            </w:pPr>
            <w:r w:rsidRPr="007723D7">
              <w:rPr>
                <w:sz w:val="18"/>
                <w:szCs w:val="18"/>
              </w:rPr>
              <w:t>1,0</w:t>
            </w:r>
          </w:p>
        </w:tc>
        <w:tc>
          <w:tcPr>
            <w:tcW w:w="960" w:type="dxa"/>
            <w:gridSpan w:val="3"/>
            <w:tcBorders>
              <w:top w:val="nil"/>
              <w:left w:val="nil"/>
              <w:bottom w:val="nil"/>
              <w:right w:val="nil"/>
            </w:tcBorders>
            <w:shd w:val="clear" w:color="auto" w:fill="auto"/>
            <w:vAlign w:val="center"/>
            <w:hideMark/>
          </w:tcPr>
          <w:p w14:paraId="63F97A15" w14:textId="77777777" w:rsidR="00D73008" w:rsidRPr="007723D7" w:rsidRDefault="00D73008" w:rsidP="00387AE5">
            <w:pPr>
              <w:jc w:val="center"/>
              <w:rPr>
                <w:rFonts w:cs="Times New Roman"/>
                <w:sz w:val="18"/>
                <w:szCs w:val="18"/>
              </w:rPr>
            </w:pPr>
            <w:r w:rsidRPr="007723D7">
              <w:rPr>
                <w:sz w:val="18"/>
                <w:szCs w:val="18"/>
              </w:rPr>
              <w:t>1,2</w:t>
            </w:r>
          </w:p>
        </w:tc>
        <w:tc>
          <w:tcPr>
            <w:tcW w:w="1600" w:type="dxa"/>
            <w:gridSpan w:val="3"/>
            <w:tcBorders>
              <w:top w:val="nil"/>
              <w:left w:val="nil"/>
              <w:bottom w:val="nil"/>
              <w:right w:val="nil"/>
            </w:tcBorders>
            <w:shd w:val="clear" w:color="auto" w:fill="auto"/>
            <w:vAlign w:val="center"/>
            <w:hideMark/>
          </w:tcPr>
          <w:p w14:paraId="74CD50CA" w14:textId="77777777" w:rsidR="00D73008" w:rsidRPr="007723D7" w:rsidRDefault="00D73008" w:rsidP="00387AE5">
            <w:pPr>
              <w:jc w:val="center"/>
              <w:rPr>
                <w:rFonts w:cs="Times New Roman"/>
                <w:sz w:val="18"/>
                <w:szCs w:val="18"/>
              </w:rPr>
            </w:pPr>
            <w:r w:rsidRPr="007723D7">
              <w:rPr>
                <w:sz w:val="18"/>
                <w:szCs w:val="18"/>
              </w:rPr>
              <w:t>1,5</w:t>
            </w:r>
          </w:p>
        </w:tc>
      </w:tr>
      <w:tr w:rsidR="00D73008" w:rsidRPr="00F26E77" w14:paraId="63CAD296"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603D6326" w14:textId="77777777" w:rsidR="00D73008" w:rsidRPr="00F26E77" w:rsidRDefault="00D73008" w:rsidP="00387AE5">
            <w:pPr>
              <w:rPr>
                <w:rFonts w:cs="Times New Roman"/>
                <w:sz w:val="18"/>
                <w:szCs w:val="18"/>
              </w:rPr>
            </w:pPr>
            <w:r w:rsidRPr="00F26E77">
              <w:rPr>
                <w:rFonts w:cs="Times New Roman"/>
                <w:sz w:val="18"/>
                <w:szCs w:val="18"/>
              </w:rPr>
              <w:t>3. Verejný poriadok a bezpečnosť</w:t>
            </w:r>
          </w:p>
        </w:tc>
        <w:tc>
          <w:tcPr>
            <w:tcW w:w="1280" w:type="dxa"/>
            <w:tcBorders>
              <w:top w:val="nil"/>
              <w:left w:val="nil"/>
              <w:bottom w:val="nil"/>
              <w:right w:val="nil"/>
            </w:tcBorders>
            <w:shd w:val="clear" w:color="000000" w:fill="FFFFFF"/>
            <w:vAlign w:val="center"/>
            <w:hideMark/>
          </w:tcPr>
          <w:p w14:paraId="2E11A0FE" w14:textId="77777777" w:rsidR="00D73008" w:rsidRPr="00F26E77" w:rsidRDefault="00D73008" w:rsidP="00387AE5">
            <w:pPr>
              <w:jc w:val="center"/>
              <w:rPr>
                <w:rFonts w:cs="Times New Roman"/>
                <w:sz w:val="18"/>
                <w:szCs w:val="18"/>
              </w:rPr>
            </w:pPr>
            <w:r w:rsidRPr="00F26E77">
              <w:rPr>
                <w:rFonts w:cs="Times New Roman"/>
                <w:sz w:val="18"/>
                <w:szCs w:val="18"/>
              </w:rPr>
              <w:t>3</w:t>
            </w:r>
          </w:p>
        </w:tc>
        <w:tc>
          <w:tcPr>
            <w:tcW w:w="1480" w:type="dxa"/>
            <w:gridSpan w:val="3"/>
            <w:tcBorders>
              <w:top w:val="nil"/>
              <w:left w:val="nil"/>
              <w:bottom w:val="nil"/>
              <w:right w:val="nil"/>
            </w:tcBorders>
            <w:shd w:val="clear" w:color="auto" w:fill="auto"/>
            <w:vAlign w:val="center"/>
            <w:hideMark/>
          </w:tcPr>
          <w:p w14:paraId="7559F13C" w14:textId="77777777" w:rsidR="00D73008" w:rsidRPr="007723D7" w:rsidRDefault="00D73008" w:rsidP="00387AE5">
            <w:pPr>
              <w:jc w:val="center"/>
              <w:rPr>
                <w:rFonts w:cs="Times New Roman"/>
                <w:sz w:val="18"/>
                <w:szCs w:val="18"/>
              </w:rPr>
            </w:pPr>
            <w:r w:rsidRPr="007723D7">
              <w:rPr>
                <w:sz w:val="18"/>
                <w:szCs w:val="18"/>
              </w:rPr>
              <w:t>2,1</w:t>
            </w:r>
          </w:p>
        </w:tc>
        <w:tc>
          <w:tcPr>
            <w:tcW w:w="960" w:type="dxa"/>
            <w:gridSpan w:val="3"/>
            <w:tcBorders>
              <w:top w:val="nil"/>
              <w:left w:val="nil"/>
              <w:bottom w:val="nil"/>
              <w:right w:val="nil"/>
            </w:tcBorders>
            <w:shd w:val="clear" w:color="auto" w:fill="auto"/>
            <w:vAlign w:val="center"/>
            <w:hideMark/>
          </w:tcPr>
          <w:p w14:paraId="16887725" w14:textId="77777777" w:rsidR="00D73008" w:rsidRPr="007723D7" w:rsidRDefault="00D73008" w:rsidP="00387AE5">
            <w:pPr>
              <w:jc w:val="center"/>
              <w:rPr>
                <w:rFonts w:cs="Times New Roman"/>
                <w:sz w:val="18"/>
                <w:szCs w:val="18"/>
              </w:rPr>
            </w:pPr>
            <w:r w:rsidRPr="007723D7">
              <w:rPr>
                <w:sz w:val="18"/>
                <w:szCs w:val="18"/>
              </w:rPr>
              <w:t>2,0</w:t>
            </w:r>
          </w:p>
        </w:tc>
        <w:tc>
          <w:tcPr>
            <w:tcW w:w="1600" w:type="dxa"/>
            <w:gridSpan w:val="3"/>
            <w:tcBorders>
              <w:top w:val="nil"/>
              <w:left w:val="nil"/>
              <w:bottom w:val="nil"/>
              <w:right w:val="nil"/>
            </w:tcBorders>
            <w:shd w:val="clear" w:color="auto" w:fill="auto"/>
            <w:vAlign w:val="center"/>
            <w:hideMark/>
          </w:tcPr>
          <w:p w14:paraId="0C4F9319" w14:textId="77777777" w:rsidR="00D73008" w:rsidRPr="007723D7" w:rsidRDefault="00D73008" w:rsidP="00387AE5">
            <w:pPr>
              <w:jc w:val="center"/>
              <w:rPr>
                <w:rFonts w:cs="Times New Roman"/>
                <w:sz w:val="18"/>
                <w:szCs w:val="18"/>
              </w:rPr>
            </w:pPr>
            <w:r w:rsidRPr="007723D7">
              <w:rPr>
                <w:sz w:val="18"/>
                <w:szCs w:val="18"/>
              </w:rPr>
              <w:t>2,2</w:t>
            </w:r>
          </w:p>
        </w:tc>
      </w:tr>
      <w:tr w:rsidR="00D73008" w:rsidRPr="00F26E77" w14:paraId="6E6E12BC"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76FDC0A5" w14:textId="77777777" w:rsidR="00D73008" w:rsidRPr="00F26E77" w:rsidRDefault="00D73008" w:rsidP="00387AE5">
            <w:pPr>
              <w:rPr>
                <w:rFonts w:cs="Times New Roman"/>
                <w:sz w:val="18"/>
                <w:szCs w:val="18"/>
              </w:rPr>
            </w:pPr>
            <w:r w:rsidRPr="00F26E77">
              <w:rPr>
                <w:rFonts w:cs="Times New Roman"/>
                <w:sz w:val="18"/>
                <w:szCs w:val="18"/>
              </w:rPr>
              <w:t>4. Ekonomická oblasť</w:t>
            </w:r>
          </w:p>
        </w:tc>
        <w:tc>
          <w:tcPr>
            <w:tcW w:w="1280" w:type="dxa"/>
            <w:tcBorders>
              <w:top w:val="nil"/>
              <w:left w:val="nil"/>
              <w:bottom w:val="nil"/>
              <w:right w:val="nil"/>
            </w:tcBorders>
            <w:shd w:val="clear" w:color="000000" w:fill="FFFFFF"/>
            <w:vAlign w:val="center"/>
            <w:hideMark/>
          </w:tcPr>
          <w:p w14:paraId="7FD47951" w14:textId="77777777" w:rsidR="00D73008" w:rsidRPr="00F26E77" w:rsidRDefault="00D73008" w:rsidP="00387AE5">
            <w:pPr>
              <w:jc w:val="center"/>
              <w:rPr>
                <w:rFonts w:cs="Times New Roman"/>
                <w:sz w:val="18"/>
                <w:szCs w:val="18"/>
              </w:rPr>
            </w:pPr>
            <w:r w:rsidRPr="00F26E77">
              <w:rPr>
                <w:rFonts w:cs="Times New Roman"/>
                <w:sz w:val="18"/>
                <w:szCs w:val="18"/>
              </w:rPr>
              <w:t>4</w:t>
            </w:r>
          </w:p>
        </w:tc>
        <w:tc>
          <w:tcPr>
            <w:tcW w:w="1480" w:type="dxa"/>
            <w:gridSpan w:val="3"/>
            <w:tcBorders>
              <w:top w:val="nil"/>
              <w:left w:val="nil"/>
              <w:bottom w:val="nil"/>
              <w:right w:val="nil"/>
            </w:tcBorders>
            <w:shd w:val="clear" w:color="auto" w:fill="auto"/>
            <w:vAlign w:val="center"/>
            <w:hideMark/>
          </w:tcPr>
          <w:p w14:paraId="153F108A" w14:textId="77777777" w:rsidR="00D73008" w:rsidRPr="007723D7" w:rsidRDefault="00D73008" w:rsidP="00387AE5">
            <w:pPr>
              <w:jc w:val="center"/>
              <w:rPr>
                <w:rFonts w:cs="Times New Roman"/>
                <w:sz w:val="18"/>
                <w:szCs w:val="18"/>
              </w:rPr>
            </w:pPr>
            <w:r w:rsidRPr="007723D7">
              <w:rPr>
                <w:sz w:val="18"/>
                <w:szCs w:val="18"/>
              </w:rPr>
              <w:t>4,1</w:t>
            </w:r>
          </w:p>
        </w:tc>
        <w:tc>
          <w:tcPr>
            <w:tcW w:w="960" w:type="dxa"/>
            <w:gridSpan w:val="3"/>
            <w:tcBorders>
              <w:top w:val="nil"/>
              <w:left w:val="nil"/>
              <w:bottom w:val="nil"/>
              <w:right w:val="nil"/>
            </w:tcBorders>
            <w:shd w:val="clear" w:color="auto" w:fill="auto"/>
            <w:vAlign w:val="center"/>
            <w:hideMark/>
          </w:tcPr>
          <w:p w14:paraId="2F6A3834" w14:textId="77777777" w:rsidR="00D73008" w:rsidRPr="007723D7" w:rsidRDefault="00D73008" w:rsidP="00387AE5">
            <w:pPr>
              <w:jc w:val="center"/>
              <w:rPr>
                <w:rFonts w:cs="Times New Roman"/>
                <w:sz w:val="18"/>
                <w:szCs w:val="18"/>
              </w:rPr>
            </w:pPr>
            <w:r w:rsidRPr="007723D7">
              <w:rPr>
                <w:sz w:val="18"/>
                <w:szCs w:val="18"/>
              </w:rPr>
              <w:t>4,0</w:t>
            </w:r>
          </w:p>
        </w:tc>
        <w:tc>
          <w:tcPr>
            <w:tcW w:w="1600" w:type="dxa"/>
            <w:gridSpan w:val="3"/>
            <w:tcBorders>
              <w:top w:val="nil"/>
              <w:left w:val="nil"/>
              <w:bottom w:val="nil"/>
              <w:right w:val="nil"/>
            </w:tcBorders>
            <w:shd w:val="clear" w:color="auto" w:fill="auto"/>
            <w:vAlign w:val="center"/>
            <w:hideMark/>
          </w:tcPr>
          <w:p w14:paraId="18FAF3F7" w14:textId="77777777" w:rsidR="00D73008" w:rsidRPr="007723D7" w:rsidRDefault="00D73008" w:rsidP="00387AE5">
            <w:pPr>
              <w:jc w:val="center"/>
              <w:rPr>
                <w:rFonts w:cs="Times New Roman"/>
                <w:sz w:val="18"/>
                <w:szCs w:val="18"/>
              </w:rPr>
            </w:pPr>
            <w:r w:rsidRPr="007723D7">
              <w:rPr>
                <w:sz w:val="18"/>
                <w:szCs w:val="18"/>
              </w:rPr>
              <w:t>3,6</w:t>
            </w:r>
          </w:p>
        </w:tc>
      </w:tr>
      <w:tr w:rsidR="00D73008" w:rsidRPr="00F26E77" w14:paraId="396A4978"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0FD1A57E" w14:textId="77777777" w:rsidR="00D73008" w:rsidRPr="00F26E77" w:rsidRDefault="00D73008" w:rsidP="00387AE5">
            <w:pPr>
              <w:rPr>
                <w:rFonts w:cs="Times New Roman"/>
                <w:sz w:val="18"/>
                <w:szCs w:val="18"/>
              </w:rPr>
            </w:pPr>
            <w:r w:rsidRPr="00F26E77">
              <w:rPr>
                <w:rFonts w:cs="Times New Roman"/>
                <w:sz w:val="18"/>
                <w:szCs w:val="18"/>
              </w:rPr>
              <w:t>5. Ochrana životného prostredia</w:t>
            </w:r>
          </w:p>
        </w:tc>
        <w:tc>
          <w:tcPr>
            <w:tcW w:w="1280" w:type="dxa"/>
            <w:tcBorders>
              <w:top w:val="nil"/>
              <w:left w:val="nil"/>
              <w:bottom w:val="nil"/>
              <w:right w:val="nil"/>
            </w:tcBorders>
            <w:shd w:val="clear" w:color="000000" w:fill="FFFFFF"/>
            <w:vAlign w:val="center"/>
            <w:hideMark/>
          </w:tcPr>
          <w:p w14:paraId="78C69B87" w14:textId="77777777" w:rsidR="00D73008" w:rsidRPr="00F26E77" w:rsidRDefault="00D73008" w:rsidP="00387AE5">
            <w:pPr>
              <w:jc w:val="center"/>
              <w:rPr>
                <w:rFonts w:cs="Times New Roman"/>
                <w:sz w:val="18"/>
                <w:szCs w:val="18"/>
              </w:rPr>
            </w:pPr>
            <w:r w:rsidRPr="00F26E77">
              <w:rPr>
                <w:rFonts w:cs="Times New Roman"/>
                <w:sz w:val="18"/>
                <w:szCs w:val="18"/>
              </w:rPr>
              <w:t>5</w:t>
            </w:r>
          </w:p>
        </w:tc>
        <w:tc>
          <w:tcPr>
            <w:tcW w:w="1480" w:type="dxa"/>
            <w:gridSpan w:val="3"/>
            <w:tcBorders>
              <w:top w:val="nil"/>
              <w:left w:val="nil"/>
              <w:bottom w:val="nil"/>
              <w:right w:val="nil"/>
            </w:tcBorders>
            <w:shd w:val="clear" w:color="auto" w:fill="auto"/>
            <w:vAlign w:val="center"/>
            <w:hideMark/>
          </w:tcPr>
          <w:p w14:paraId="76497231" w14:textId="77777777" w:rsidR="00D73008" w:rsidRPr="007723D7" w:rsidRDefault="00D73008" w:rsidP="00387AE5">
            <w:pPr>
              <w:jc w:val="center"/>
              <w:rPr>
                <w:rFonts w:cs="Times New Roman"/>
                <w:sz w:val="18"/>
                <w:szCs w:val="18"/>
              </w:rPr>
            </w:pPr>
            <w:r w:rsidRPr="007723D7">
              <w:rPr>
                <w:sz w:val="18"/>
                <w:szCs w:val="18"/>
              </w:rPr>
              <w:t>0,7</w:t>
            </w:r>
          </w:p>
        </w:tc>
        <w:tc>
          <w:tcPr>
            <w:tcW w:w="960" w:type="dxa"/>
            <w:gridSpan w:val="3"/>
            <w:tcBorders>
              <w:top w:val="nil"/>
              <w:left w:val="nil"/>
              <w:bottom w:val="nil"/>
              <w:right w:val="nil"/>
            </w:tcBorders>
            <w:shd w:val="clear" w:color="auto" w:fill="auto"/>
            <w:vAlign w:val="center"/>
            <w:hideMark/>
          </w:tcPr>
          <w:p w14:paraId="7AAEAE38" w14:textId="77777777" w:rsidR="00D73008" w:rsidRPr="007723D7" w:rsidRDefault="00D73008" w:rsidP="00387AE5">
            <w:pPr>
              <w:jc w:val="center"/>
              <w:rPr>
                <w:rFonts w:cs="Times New Roman"/>
                <w:sz w:val="18"/>
                <w:szCs w:val="18"/>
              </w:rPr>
            </w:pPr>
            <w:r w:rsidRPr="007723D7">
              <w:rPr>
                <w:sz w:val="18"/>
                <w:szCs w:val="18"/>
              </w:rPr>
              <w:t>0,6</w:t>
            </w:r>
          </w:p>
        </w:tc>
        <w:tc>
          <w:tcPr>
            <w:tcW w:w="1600" w:type="dxa"/>
            <w:gridSpan w:val="3"/>
            <w:tcBorders>
              <w:top w:val="nil"/>
              <w:left w:val="nil"/>
              <w:bottom w:val="nil"/>
              <w:right w:val="nil"/>
            </w:tcBorders>
            <w:shd w:val="clear" w:color="auto" w:fill="auto"/>
            <w:vAlign w:val="center"/>
            <w:hideMark/>
          </w:tcPr>
          <w:p w14:paraId="1A5E9441" w14:textId="77777777" w:rsidR="00D73008" w:rsidRPr="007723D7" w:rsidRDefault="00D73008" w:rsidP="00387AE5">
            <w:pPr>
              <w:jc w:val="center"/>
              <w:rPr>
                <w:rFonts w:cs="Times New Roman"/>
                <w:sz w:val="18"/>
                <w:szCs w:val="18"/>
              </w:rPr>
            </w:pPr>
            <w:r w:rsidRPr="007723D7">
              <w:rPr>
                <w:sz w:val="18"/>
                <w:szCs w:val="18"/>
              </w:rPr>
              <w:t>0,6</w:t>
            </w:r>
          </w:p>
        </w:tc>
      </w:tr>
      <w:tr w:rsidR="00D73008" w:rsidRPr="00F26E77" w14:paraId="41541181"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3D9161DA" w14:textId="77777777" w:rsidR="00D73008" w:rsidRPr="00F26E77" w:rsidRDefault="00D73008" w:rsidP="00387AE5">
            <w:pPr>
              <w:rPr>
                <w:rFonts w:cs="Times New Roman"/>
                <w:sz w:val="18"/>
                <w:szCs w:val="18"/>
              </w:rPr>
            </w:pPr>
            <w:r w:rsidRPr="00F26E77">
              <w:rPr>
                <w:rFonts w:cs="Times New Roman"/>
                <w:sz w:val="18"/>
                <w:szCs w:val="18"/>
              </w:rPr>
              <w:t>6. Bývanie a občianska vybavenosť</w:t>
            </w:r>
          </w:p>
        </w:tc>
        <w:tc>
          <w:tcPr>
            <w:tcW w:w="1280" w:type="dxa"/>
            <w:tcBorders>
              <w:top w:val="nil"/>
              <w:left w:val="nil"/>
              <w:bottom w:val="nil"/>
              <w:right w:val="nil"/>
            </w:tcBorders>
            <w:shd w:val="clear" w:color="000000" w:fill="FFFFFF"/>
            <w:vAlign w:val="center"/>
            <w:hideMark/>
          </w:tcPr>
          <w:p w14:paraId="0D63B932" w14:textId="77777777" w:rsidR="00D73008" w:rsidRPr="00F26E77" w:rsidRDefault="00D73008" w:rsidP="00387AE5">
            <w:pPr>
              <w:jc w:val="center"/>
              <w:rPr>
                <w:rFonts w:cs="Times New Roman"/>
                <w:sz w:val="18"/>
                <w:szCs w:val="18"/>
              </w:rPr>
            </w:pPr>
            <w:r w:rsidRPr="00F26E77">
              <w:rPr>
                <w:rFonts w:cs="Times New Roman"/>
                <w:sz w:val="18"/>
                <w:szCs w:val="18"/>
              </w:rPr>
              <w:t>6</w:t>
            </w:r>
          </w:p>
        </w:tc>
        <w:tc>
          <w:tcPr>
            <w:tcW w:w="1480" w:type="dxa"/>
            <w:gridSpan w:val="3"/>
            <w:tcBorders>
              <w:top w:val="nil"/>
              <w:left w:val="nil"/>
              <w:bottom w:val="nil"/>
              <w:right w:val="nil"/>
            </w:tcBorders>
            <w:shd w:val="clear" w:color="auto" w:fill="auto"/>
            <w:vAlign w:val="center"/>
            <w:hideMark/>
          </w:tcPr>
          <w:p w14:paraId="45C47434" w14:textId="77777777" w:rsidR="00D73008" w:rsidRPr="007723D7" w:rsidRDefault="00D73008" w:rsidP="00387AE5">
            <w:pPr>
              <w:jc w:val="center"/>
              <w:rPr>
                <w:rFonts w:cs="Times New Roman"/>
                <w:sz w:val="18"/>
                <w:szCs w:val="18"/>
              </w:rPr>
            </w:pPr>
            <w:r w:rsidRPr="007723D7">
              <w:rPr>
                <w:sz w:val="18"/>
                <w:szCs w:val="18"/>
              </w:rPr>
              <w:t>0,5</w:t>
            </w:r>
          </w:p>
        </w:tc>
        <w:tc>
          <w:tcPr>
            <w:tcW w:w="960" w:type="dxa"/>
            <w:gridSpan w:val="3"/>
            <w:tcBorders>
              <w:top w:val="nil"/>
              <w:left w:val="nil"/>
              <w:bottom w:val="nil"/>
              <w:right w:val="nil"/>
            </w:tcBorders>
            <w:shd w:val="clear" w:color="auto" w:fill="auto"/>
            <w:vAlign w:val="center"/>
            <w:hideMark/>
          </w:tcPr>
          <w:p w14:paraId="1CAABBD8" w14:textId="77777777" w:rsidR="00D73008" w:rsidRPr="007723D7" w:rsidRDefault="00D73008" w:rsidP="00387AE5">
            <w:pPr>
              <w:jc w:val="center"/>
              <w:rPr>
                <w:rFonts w:cs="Times New Roman"/>
                <w:sz w:val="18"/>
                <w:szCs w:val="18"/>
              </w:rPr>
            </w:pPr>
            <w:r w:rsidRPr="007723D7">
              <w:rPr>
                <w:sz w:val="18"/>
                <w:szCs w:val="18"/>
              </w:rPr>
              <w:t>0,4</w:t>
            </w:r>
          </w:p>
        </w:tc>
        <w:tc>
          <w:tcPr>
            <w:tcW w:w="1600" w:type="dxa"/>
            <w:gridSpan w:val="3"/>
            <w:tcBorders>
              <w:top w:val="nil"/>
              <w:left w:val="nil"/>
              <w:bottom w:val="nil"/>
              <w:right w:val="nil"/>
            </w:tcBorders>
            <w:shd w:val="clear" w:color="auto" w:fill="auto"/>
            <w:vAlign w:val="center"/>
            <w:hideMark/>
          </w:tcPr>
          <w:p w14:paraId="5CF515D9" w14:textId="77777777" w:rsidR="00D73008" w:rsidRPr="007723D7" w:rsidRDefault="00D73008" w:rsidP="00387AE5">
            <w:pPr>
              <w:jc w:val="center"/>
              <w:rPr>
                <w:rFonts w:cs="Times New Roman"/>
                <w:sz w:val="18"/>
                <w:szCs w:val="18"/>
              </w:rPr>
            </w:pPr>
            <w:r w:rsidRPr="007723D7">
              <w:rPr>
                <w:sz w:val="18"/>
                <w:szCs w:val="18"/>
              </w:rPr>
              <w:t>0,4</w:t>
            </w:r>
          </w:p>
        </w:tc>
      </w:tr>
      <w:tr w:rsidR="00D73008" w:rsidRPr="00F26E77" w14:paraId="1E6964CE"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51305C60" w14:textId="77777777" w:rsidR="00D73008" w:rsidRPr="00F26E77" w:rsidRDefault="00D73008" w:rsidP="00387AE5">
            <w:pPr>
              <w:rPr>
                <w:rFonts w:cs="Times New Roman"/>
                <w:sz w:val="18"/>
                <w:szCs w:val="18"/>
              </w:rPr>
            </w:pPr>
            <w:r w:rsidRPr="00F26E77">
              <w:rPr>
                <w:rFonts w:cs="Times New Roman"/>
                <w:sz w:val="18"/>
                <w:szCs w:val="18"/>
              </w:rPr>
              <w:t>7. Zdravotníctvo</w:t>
            </w:r>
          </w:p>
        </w:tc>
        <w:tc>
          <w:tcPr>
            <w:tcW w:w="1280" w:type="dxa"/>
            <w:tcBorders>
              <w:top w:val="nil"/>
              <w:left w:val="nil"/>
              <w:bottom w:val="nil"/>
              <w:right w:val="nil"/>
            </w:tcBorders>
            <w:shd w:val="clear" w:color="000000" w:fill="FFFFFF"/>
            <w:vAlign w:val="center"/>
            <w:hideMark/>
          </w:tcPr>
          <w:p w14:paraId="4754B8E6" w14:textId="77777777" w:rsidR="00D73008" w:rsidRPr="00F26E77" w:rsidRDefault="00D73008" w:rsidP="00387AE5">
            <w:pPr>
              <w:jc w:val="center"/>
              <w:rPr>
                <w:rFonts w:cs="Times New Roman"/>
                <w:sz w:val="18"/>
                <w:szCs w:val="18"/>
              </w:rPr>
            </w:pPr>
            <w:r w:rsidRPr="00F26E77">
              <w:rPr>
                <w:rFonts w:cs="Times New Roman"/>
                <w:sz w:val="18"/>
                <w:szCs w:val="18"/>
              </w:rPr>
              <w:t>7</w:t>
            </w:r>
          </w:p>
        </w:tc>
        <w:tc>
          <w:tcPr>
            <w:tcW w:w="1480" w:type="dxa"/>
            <w:gridSpan w:val="3"/>
            <w:tcBorders>
              <w:top w:val="nil"/>
              <w:left w:val="nil"/>
              <w:bottom w:val="nil"/>
              <w:right w:val="nil"/>
            </w:tcBorders>
            <w:shd w:val="clear" w:color="auto" w:fill="auto"/>
            <w:vAlign w:val="center"/>
            <w:hideMark/>
          </w:tcPr>
          <w:p w14:paraId="18462A38" w14:textId="77777777" w:rsidR="00D73008" w:rsidRPr="007723D7" w:rsidRDefault="00D73008" w:rsidP="00387AE5">
            <w:pPr>
              <w:jc w:val="center"/>
              <w:rPr>
                <w:rFonts w:cs="Times New Roman"/>
                <w:sz w:val="18"/>
                <w:szCs w:val="18"/>
              </w:rPr>
            </w:pPr>
            <w:r w:rsidRPr="007723D7">
              <w:rPr>
                <w:sz w:val="18"/>
                <w:szCs w:val="18"/>
              </w:rPr>
              <w:t>7,1</w:t>
            </w:r>
          </w:p>
        </w:tc>
        <w:tc>
          <w:tcPr>
            <w:tcW w:w="960" w:type="dxa"/>
            <w:gridSpan w:val="3"/>
            <w:tcBorders>
              <w:top w:val="nil"/>
              <w:left w:val="nil"/>
              <w:bottom w:val="nil"/>
              <w:right w:val="nil"/>
            </w:tcBorders>
            <w:shd w:val="clear" w:color="auto" w:fill="auto"/>
            <w:vAlign w:val="center"/>
            <w:hideMark/>
          </w:tcPr>
          <w:p w14:paraId="56CE77F1" w14:textId="77777777" w:rsidR="00D73008" w:rsidRPr="007723D7" w:rsidRDefault="00D73008" w:rsidP="00387AE5">
            <w:pPr>
              <w:jc w:val="center"/>
              <w:rPr>
                <w:rFonts w:cs="Times New Roman"/>
                <w:sz w:val="18"/>
                <w:szCs w:val="18"/>
              </w:rPr>
            </w:pPr>
            <w:r w:rsidRPr="007723D7">
              <w:rPr>
                <w:sz w:val="18"/>
                <w:szCs w:val="18"/>
              </w:rPr>
              <w:t>7,2</w:t>
            </w:r>
          </w:p>
        </w:tc>
        <w:tc>
          <w:tcPr>
            <w:tcW w:w="1600" w:type="dxa"/>
            <w:gridSpan w:val="3"/>
            <w:tcBorders>
              <w:top w:val="nil"/>
              <w:left w:val="nil"/>
              <w:bottom w:val="nil"/>
              <w:right w:val="nil"/>
            </w:tcBorders>
            <w:shd w:val="clear" w:color="auto" w:fill="auto"/>
            <w:vAlign w:val="center"/>
            <w:hideMark/>
          </w:tcPr>
          <w:p w14:paraId="49DC2AF9" w14:textId="77777777" w:rsidR="00D73008" w:rsidRPr="007723D7" w:rsidRDefault="00D73008" w:rsidP="00387AE5">
            <w:pPr>
              <w:jc w:val="center"/>
              <w:rPr>
                <w:rFonts w:cs="Times New Roman"/>
                <w:sz w:val="18"/>
                <w:szCs w:val="18"/>
              </w:rPr>
            </w:pPr>
            <w:r w:rsidRPr="007723D7">
              <w:rPr>
                <w:sz w:val="18"/>
                <w:szCs w:val="18"/>
              </w:rPr>
              <w:t>6,9</w:t>
            </w:r>
          </w:p>
        </w:tc>
      </w:tr>
      <w:tr w:rsidR="00D73008" w:rsidRPr="00F26E77" w14:paraId="0B7D4C3A"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4C4CFE37" w14:textId="77777777" w:rsidR="00D73008" w:rsidRPr="00F26E77" w:rsidRDefault="00D73008" w:rsidP="00387AE5">
            <w:pPr>
              <w:rPr>
                <w:rFonts w:cs="Times New Roman"/>
                <w:sz w:val="18"/>
                <w:szCs w:val="18"/>
              </w:rPr>
            </w:pPr>
            <w:r w:rsidRPr="00F26E77">
              <w:rPr>
                <w:rFonts w:cs="Times New Roman"/>
                <w:sz w:val="18"/>
                <w:szCs w:val="18"/>
              </w:rPr>
              <w:t>8. Rekreácia, kultúra a náboženstvo</w:t>
            </w:r>
          </w:p>
        </w:tc>
        <w:tc>
          <w:tcPr>
            <w:tcW w:w="1280" w:type="dxa"/>
            <w:tcBorders>
              <w:top w:val="nil"/>
              <w:left w:val="nil"/>
              <w:bottom w:val="nil"/>
              <w:right w:val="nil"/>
            </w:tcBorders>
            <w:shd w:val="clear" w:color="000000" w:fill="FFFFFF"/>
            <w:vAlign w:val="center"/>
            <w:hideMark/>
          </w:tcPr>
          <w:p w14:paraId="40C1537B" w14:textId="77777777" w:rsidR="00D73008" w:rsidRPr="00F26E77" w:rsidRDefault="00D73008" w:rsidP="00387AE5">
            <w:pPr>
              <w:jc w:val="center"/>
              <w:rPr>
                <w:rFonts w:cs="Times New Roman"/>
                <w:sz w:val="18"/>
                <w:szCs w:val="18"/>
              </w:rPr>
            </w:pPr>
            <w:r w:rsidRPr="00F26E77">
              <w:rPr>
                <w:rFonts w:cs="Times New Roman"/>
                <w:sz w:val="18"/>
                <w:szCs w:val="18"/>
              </w:rPr>
              <w:t>8</w:t>
            </w:r>
          </w:p>
        </w:tc>
        <w:tc>
          <w:tcPr>
            <w:tcW w:w="1480" w:type="dxa"/>
            <w:gridSpan w:val="3"/>
            <w:tcBorders>
              <w:top w:val="nil"/>
              <w:left w:val="nil"/>
              <w:bottom w:val="nil"/>
              <w:right w:val="nil"/>
            </w:tcBorders>
            <w:shd w:val="clear" w:color="auto" w:fill="auto"/>
            <w:vAlign w:val="center"/>
            <w:hideMark/>
          </w:tcPr>
          <w:p w14:paraId="53AC64CF" w14:textId="77777777" w:rsidR="00D73008" w:rsidRPr="007723D7" w:rsidRDefault="00D73008" w:rsidP="00387AE5">
            <w:pPr>
              <w:jc w:val="center"/>
              <w:rPr>
                <w:rFonts w:cs="Times New Roman"/>
                <w:sz w:val="18"/>
                <w:szCs w:val="18"/>
              </w:rPr>
            </w:pPr>
            <w:r w:rsidRPr="007723D7">
              <w:rPr>
                <w:sz w:val="18"/>
                <w:szCs w:val="18"/>
              </w:rPr>
              <w:t>0,8</w:t>
            </w:r>
          </w:p>
        </w:tc>
        <w:tc>
          <w:tcPr>
            <w:tcW w:w="960" w:type="dxa"/>
            <w:gridSpan w:val="3"/>
            <w:tcBorders>
              <w:top w:val="nil"/>
              <w:left w:val="nil"/>
              <w:bottom w:val="nil"/>
              <w:right w:val="nil"/>
            </w:tcBorders>
            <w:shd w:val="clear" w:color="auto" w:fill="auto"/>
            <w:vAlign w:val="center"/>
            <w:hideMark/>
          </w:tcPr>
          <w:p w14:paraId="17A42BD9" w14:textId="77777777" w:rsidR="00D73008" w:rsidRPr="007723D7" w:rsidRDefault="00D73008" w:rsidP="00387AE5">
            <w:pPr>
              <w:jc w:val="center"/>
              <w:rPr>
                <w:rFonts w:cs="Times New Roman"/>
                <w:sz w:val="18"/>
                <w:szCs w:val="18"/>
              </w:rPr>
            </w:pPr>
            <w:r w:rsidRPr="007723D7">
              <w:rPr>
                <w:sz w:val="18"/>
                <w:szCs w:val="18"/>
              </w:rPr>
              <w:t>0,9</w:t>
            </w:r>
          </w:p>
        </w:tc>
        <w:tc>
          <w:tcPr>
            <w:tcW w:w="1600" w:type="dxa"/>
            <w:gridSpan w:val="3"/>
            <w:tcBorders>
              <w:top w:val="nil"/>
              <w:left w:val="nil"/>
              <w:bottom w:val="nil"/>
              <w:right w:val="nil"/>
            </w:tcBorders>
            <w:shd w:val="clear" w:color="auto" w:fill="auto"/>
            <w:vAlign w:val="center"/>
            <w:hideMark/>
          </w:tcPr>
          <w:p w14:paraId="1032E4B9" w14:textId="77777777" w:rsidR="00D73008" w:rsidRPr="007723D7" w:rsidRDefault="00D73008" w:rsidP="00387AE5">
            <w:pPr>
              <w:jc w:val="center"/>
              <w:rPr>
                <w:rFonts w:cs="Times New Roman"/>
                <w:sz w:val="18"/>
                <w:szCs w:val="18"/>
              </w:rPr>
            </w:pPr>
            <w:r w:rsidRPr="007723D7">
              <w:rPr>
                <w:sz w:val="18"/>
                <w:szCs w:val="18"/>
              </w:rPr>
              <w:t>0,9</w:t>
            </w:r>
          </w:p>
        </w:tc>
      </w:tr>
      <w:tr w:rsidR="00D73008" w:rsidRPr="00F26E77" w14:paraId="29032120" w14:textId="77777777" w:rsidTr="00387AE5">
        <w:trPr>
          <w:gridAfter w:val="1"/>
          <w:wAfter w:w="78" w:type="dxa"/>
          <w:trHeight w:val="283"/>
        </w:trPr>
        <w:tc>
          <w:tcPr>
            <w:tcW w:w="3740" w:type="dxa"/>
            <w:tcBorders>
              <w:top w:val="nil"/>
              <w:left w:val="nil"/>
              <w:bottom w:val="nil"/>
              <w:right w:val="nil"/>
            </w:tcBorders>
            <w:shd w:val="clear" w:color="000000" w:fill="FFFFFF"/>
            <w:vAlign w:val="center"/>
            <w:hideMark/>
          </w:tcPr>
          <w:p w14:paraId="60E1F754" w14:textId="77777777" w:rsidR="00D73008" w:rsidRPr="00F26E77" w:rsidRDefault="00D73008" w:rsidP="00387AE5">
            <w:pPr>
              <w:rPr>
                <w:rFonts w:cs="Times New Roman"/>
                <w:sz w:val="18"/>
                <w:szCs w:val="18"/>
              </w:rPr>
            </w:pPr>
            <w:r w:rsidRPr="00F26E77">
              <w:rPr>
                <w:rFonts w:cs="Times New Roman"/>
                <w:sz w:val="18"/>
                <w:szCs w:val="18"/>
              </w:rPr>
              <w:t>9. Vzdelávanie</w:t>
            </w:r>
          </w:p>
        </w:tc>
        <w:tc>
          <w:tcPr>
            <w:tcW w:w="1280" w:type="dxa"/>
            <w:tcBorders>
              <w:top w:val="nil"/>
              <w:left w:val="nil"/>
              <w:bottom w:val="nil"/>
              <w:right w:val="nil"/>
            </w:tcBorders>
            <w:shd w:val="clear" w:color="000000" w:fill="FFFFFF"/>
            <w:vAlign w:val="center"/>
            <w:hideMark/>
          </w:tcPr>
          <w:p w14:paraId="57DA3C70" w14:textId="77777777" w:rsidR="00D73008" w:rsidRPr="00F26E77" w:rsidRDefault="00D73008" w:rsidP="00387AE5">
            <w:pPr>
              <w:jc w:val="center"/>
              <w:rPr>
                <w:rFonts w:cs="Times New Roman"/>
                <w:sz w:val="18"/>
                <w:szCs w:val="18"/>
              </w:rPr>
            </w:pPr>
            <w:r w:rsidRPr="00F26E77">
              <w:rPr>
                <w:rFonts w:cs="Times New Roman"/>
                <w:sz w:val="18"/>
                <w:szCs w:val="18"/>
              </w:rPr>
              <w:t>9</w:t>
            </w:r>
          </w:p>
        </w:tc>
        <w:tc>
          <w:tcPr>
            <w:tcW w:w="1480" w:type="dxa"/>
            <w:gridSpan w:val="3"/>
            <w:tcBorders>
              <w:top w:val="nil"/>
              <w:left w:val="nil"/>
              <w:bottom w:val="nil"/>
              <w:right w:val="nil"/>
            </w:tcBorders>
            <w:shd w:val="clear" w:color="auto" w:fill="auto"/>
            <w:vAlign w:val="center"/>
            <w:hideMark/>
          </w:tcPr>
          <w:p w14:paraId="6A4D763E" w14:textId="77777777" w:rsidR="00D73008" w:rsidRPr="007723D7" w:rsidRDefault="00D73008" w:rsidP="00387AE5">
            <w:pPr>
              <w:jc w:val="center"/>
              <w:rPr>
                <w:rFonts w:cs="Times New Roman"/>
                <w:sz w:val="18"/>
                <w:szCs w:val="18"/>
              </w:rPr>
            </w:pPr>
            <w:r w:rsidRPr="007723D7">
              <w:rPr>
                <w:sz w:val="18"/>
                <w:szCs w:val="18"/>
              </w:rPr>
              <w:t>3,8</w:t>
            </w:r>
          </w:p>
        </w:tc>
        <w:tc>
          <w:tcPr>
            <w:tcW w:w="960" w:type="dxa"/>
            <w:gridSpan w:val="3"/>
            <w:tcBorders>
              <w:top w:val="nil"/>
              <w:left w:val="nil"/>
              <w:bottom w:val="nil"/>
              <w:right w:val="nil"/>
            </w:tcBorders>
            <w:shd w:val="clear" w:color="auto" w:fill="auto"/>
            <w:vAlign w:val="center"/>
            <w:hideMark/>
          </w:tcPr>
          <w:p w14:paraId="38BE1565" w14:textId="77777777" w:rsidR="00D73008" w:rsidRPr="007723D7" w:rsidRDefault="00D73008" w:rsidP="00387AE5">
            <w:pPr>
              <w:jc w:val="center"/>
              <w:rPr>
                <w:rFonts w:cs="Times New Roman"/>
                <w:sz w:val="18"/>
                <w:szCs w:val="18"/>
              </w:rPr>
            </w:pPr>
            <w:r w:rsidRPr="007723D7">
              <w:rPr>
                <w:sz w:val="18"/>
                <w:szCs w:val="18"/>
              </w:rPr>
              <w:t>4,1</w:t>
            </w:r>
          </w:p>
        </w:tc>
        <w:tc>
          <w:tcPr>
            <w:tcW w:w="1600" w:type="dxa"/>
            <w:gridSpan w:val="3"/>
            <w:tcBorders>
              <w:top w:val="nil"/>
              <w:left w:val="nil"/>
              <w:bottom w:val="nil"/>
              <w:right w:val="nil"/>
            </w:tcBorders>
            <w:shd w:val="clear" w:color="auto" w:fill="auto"/>
            <w:vAlign w:val="center"/>
            <w:hideMark/>
          </w:tcPr>
          <w:p w14:paraId="6F479A9B" w14:textId="77777777" w:rsidR="00D73008" w:rsidRPr="007723D7" w:rsidRDefault="00D73008" w:rsidP="00387AE5">
            <w:pPr>
              <w:jc w:val="center"/>
              <w:rPr>
                <w:rFonts w:cs="Times New Roman"/>
                <w:sz w:val="18"/>
                <w:szCs w:val="18"/>
              </w:rPr>
            </w:pPr>
            <w:r w:rsidRPr="007723D7">
              <w:rPr>
                <w:sz w:val="18"/>
                <w:szCs w:val="18"/>
              </w:rPr>
              <w:t>4,1</w:t>
            </w:r>
          </w:p>
        </w:tc>
      </w:tr>
      <w:tr w:rsidR="00D73008" w:rsidRPr="00F26E77" w14:paraId="000E5C9E" w14:textId="77777777" w:rsidTr="00387AE5">
        <w:trPr>
          <w:gridAfter w:val="1"/>
          <w:wAfter w:w="78" w:type="dxa"/>
          <w:trHeight w:val="283"/>
        </w:trPr>
        <w:tc>
          <w:tcPr>
            <w:tcW w:w="3740" w:type="dxa"/>
            <w:tcBorders>
              <w:top w:val="nil"/>
              <w:left w:val="nil"/>
              <w:bottom w:val="single" w:sz="4" w:space="0" w:color="auto"/>
              <w:right w:val="nil"/>
            </w:tcBorders>
            <w:shd w:val="clear" w:color="000000" w:fill="FFFFFF"/>
            <w:vAlign w:val="center"/>
            <w:hideMark/>
          </w:tcPr>
          <w:p w14:paraId="781A82FE" w14:textId="77777777" w:rsidR="00D73008" w:rsidRPr="00F26E77" w:rsidRDefault="00D73008" w:rsidP="00387AE5">
            <w:pPr>
              <w:rPr>
                <w:rFonts w:cs="Times New Roman"/>
                <w:sz w:val="18"/>
                <w:szCs w:val="18"/>
              </w:rPr>
            </w:pPr>
            <w:r w:rsidRPr="00F26E77">
              <w:rPr>
                <w:rFonts w:cs="Times New Roman"/>
                <w:sz w:val="18"/>
                <w:szCs w:val="18"/>
              </w:rPr>
              <w:t>10. Sociálne zabezpečenie</w:t>
            </w:r>
          </w:p>
        </w:tc>
        <w:tc>
          <w:tcPr>
            <w:tcW w:w="1280" w:type="dxa"/>
            <w:tcBorders>
              <w:top w:val="nil"/>
              <w:left w:val="nil"/>
              <w:bottom w:val="single" w:sz="4" w:space="0" w:color="auto"/>
              <w:right w:val="nil"/>
            </w:tcBorders>
            <w:shd w:val="clear" w:color="000000" w:fill="FFFFFF"/>
            <w:vAlign w:val="center"/>
            <w:hideMark/>
          </w:tcPr>
          <w:p w14:paraId="2C203739" w14:textId="77777777" w:rsidR="00D73008" w:rsidRPr="00F26E77" w:rsidRDefault="00D73008" w:rsidP="00387AE5">
            <w:pPr>
              <w:jc w:val="center"/>
              <w:rPr>
                <w:rFonts w:cs="Times New Roman"/>
                <w:sz w:val="18"/>
                <w:szCs w:val="18"/>
              </w:rPr>
            </w:pPr>
            <w:r w:rsidRPr="00F26E77">
              <w:rPr>
                <w:rFonts w:cs="Times New Roman"/>
                <w:sz w:val="18"/>
                <w:szCs w:val="18"/>
              </w:rPr>
              <w:t>10</w:t>
            </w:r>
          </w:p>
        </w:tc>
        <w:tc>
          <w:tcPr>
            <w:tcW w:w="1480" w:type="dxa"/>
            <w:gridSpan w:val="3"/>
            <w:tcBorders>
              <w:top w:val="nil"/>
              <w:left w:val="nil"/>
              <w:bottom w:val="nil"/>
              <w:right w:val="nil"/>
            </w:tcBorders>
            <w:shd w:val="clear" w:color="auto" w:fill="auto"/>
            <w:vAlign w:val="center"/>
            <w:hideMark/>
          </w:tcPr>
          <w:p w14:paraId="6AF33D60" w14:textId="77777777" w:rsidR="00D73008" w:rsidRPr="007723D7" w:rsidRDefault="00D73008" w:rsidP="00387AE5">
            <w:pPr>
              <w:jc w:val="center"/>
              <w:rPr>
                <w:rFonts w:cs="Times New Roman"/>
                <w:sz w:val="18"/>
                <w:szCs w:val="18"/>
              </w:rPr>
            </w:pPr>
            <w:r w:rsidRPr="007723D7">
              <w:rPr>
                <w:sz w:val="18"/>
                <w:szCs w:val="18"/>
              </w:rPr>
              <w:t>14,5</w:t>
            </w:r>
          </w:p>
        </w:tc>
        <w:tc>
          <w:tcPr>
            <w:tcW w:w="960" w:type="dxa"/>
            <w:gridSpan w:val="3"/>
            <w:tcBorders>
              <w:top w:val="nil"/>
              <w:left w:val="nil"/>
              <w:bottom w:val="nil"/>
              <w:right w:val="nil"/>
            </w:tcBorders>
            <w:shd w:val="clear" w:color="auto" w:fill="auto"/>
            <w:vAlign w:val="center"/>
            <w:hideMark/>
          </w:tcPr>
          <w:p w14:paraId="10868A82" w14:textId="77777777" w:rsidR="00D73008" w:rsidRPr="007723D7" w:rsidRDefault="00D73008" w:rsidP="00387AE5">
            <w:pPr>
              <w:jc w:val="center"/>
              <w:rPr>
                <w:rFonts w:cs="Times New Roman"/>
                <w:sz w:val="18"/>
                <w:szCs w:val="18"/>
              </w:rPr>
            </w:pPr>
            <w:r w:rsidRPr="007723D7">
              <w:rPr>
                <w:sz w:val="18"/>
                <w:szCs w:val="18"/>
              </w:rPr>
              <w:t>13,5</w:t>
            </w:r>
          </w:p>
        </w:tc>
        <w:tc>
          <w:tcPr>
            <w:tcW w:w="1600" w:type="dxa"/>
            <w:gridSpan w:val="3"/>
            <w:tcBorders>
              <w:top w:val="nil"/>
              <w:left w:val="nil"/>
              <w:bottom w:val="nil"/>
              <w:right w:val="nil"/>
            </w:tcBorders>
            <w:shd w:val="clear" w:color="auto" w:fill="auto"/>
            <w:vAlign w:val="center"/>
            <w:hideMark/>
          </w:tcPr>
          <w:p w14:paraId="147C4FCE" w14:textId="77777777" w:rsidR="00D73008" w:rsidRPr="007723D7" w:rsidRDefault="00D73008" w:rsidP="00387AE5">
            <w:pPr>
              <w:jc w:val="center"/>
              <w:rPr>
                <w:rFonts w:cs="Times New Roman"/>
                <w:sz w:val="18"/>
                <w:szCs w:val="18"/>
              </w:rPr>
            </w:pPr>
            <w:r w:rsidRPr="007723D7">
              <w:rPr>
                <w:sz w:val="18"/>
                <w:szCs w:val="18"/>
              </w:rPr>
              <w:t>12,6</w:t>
            </w:r>
          </w:p>
        </w:tc>
      </w:tr>
      <w:tr w:rsidR="00D73008" w:rsidRPr="00F26E77" w14:paraId="668F41FF" w14:textId="77777777" w:rsidTr="00387AE5">
        <w:trPr>
          <w:gridAfter w:val="1"/>
          <w:wAfter w:w="78" w:type="dxa"/>
          <w:trHeight w:val="283"/>
        </w:trPr>
        <w:tc>
          <w:tcPr>
            <w:tcW w:w="3740" w:type="dxa"/>
            <w:tcBorders>
              <w:top w:val="single" w:sz="4" w:space="0" w:color="auto"/>
              <w:left w:val="nil"/>
              <w:bottom w:val="single" w:sz="8" w:space="0" w:color="auto"/>
              <w:right w:val="nil"/>
            </w:tcBorders>
            <w:shd w:val="clear" w:color="000000" w:fill="FFFFFF"/>
            <w:noWrap/>
            <w:vAlign w:val="center"/>
            <w:hideMark/>
          </w:tcPr>
          <w:p w14:paraId="4203D784" w14:textId="77777777" w:rsidR="00D73008" w:rsidRPr="00F26E77" w:rsidRDefault="00D73008" w:rsidP="00387AE5">
            <w:pPr>
              <w:rPr>
                <w:rFonts w:cs="Times New Roman"/>
                <w:b/>
                <w:bCs/>
                <w:sz w:val="18"/>
                <w:szCs w:val="18"/>
              </w:rPr>
            </w:pPr>
            <w:r w:rsidRPr="00F26E77">
              <w:rPr>
                <w:rFonts w:cs="Times New Roman"/>
                <w:b/>
                <w:bCs/>
                <w:sz w:val="18"/>
                <w:szCs w:val="18"/>
              </w:rPr>
              <w:t>11. Celkové výdavky</w:t>
            </w:r>
          </w:p>
        </w:tc>
        <w:tc>
          <w:tcPr>
            <w:tcW w:w="1280" w:type="dxa"/>
            <w:tcBorders>
              <w:top w:val="single" w:sz="4" w:space="0" w:color="auto"/>
              <w:left w:val="nil"/>
              <w:bottom w:val="single" w:sz="8" w:space="0" w:color="auto"/>
              <w:right w:val="nil"/>
            </w:tcBorders>
            <w:shd w:val="clear" w:color="000000" w:fill="FFFFFF"/>
            <w:noWrap/>
            <w:vAlign w:val="center"/>
            <w:hideMark/>
          </w:tcPr>
          <w:p w14:paraId="286FACB0" w14:textId="77777777" w:rsidR="00D73008" w:rsidRPr="00F26E77" w:rsidRDefault="00D73008" w:rsidP="00387AE5">
            <w:pPr>
              <w:jc w:val="center"/>
              <w:rPr>
                <w:rFonts w:cs="Times New Roman"/>
                <w:b/>
                <w:bCs/>
                <w:sz w:val="18"/>
                <w:szCs w:val="18"/>
              </w:rPr>
            </w:pPr>
            <w:r w:rsidRPr="00F26E77">
              <w:rPr>
                <w:rFonts w:cs="Times New Roman"/>
                <w:b/>
                <w:bCs/>
                <w:sz w:val="18"/>
                <w:szCs w:val="18"/>
              </w:rPr>
              <w:t>TE</w:t>
            </w:r>
          </w:p>
        </w:tc>
        <w:tc>
          <w:tcPr>
            <w:tcW w:w="1480" w:type="dxa"/>
            <w:gridSpan w:val="3"/>
            <w:tcBorders>
              <w:top w:val="single" w:sz="4" w:space="0" w:color="auto"/>
              <w:left w:val="nil"/>
              <w:bottom w:val="single" w:sz="4" w:space="0" w:color="auto"/>
              <w:right w:val="nil"/>
            </w:tcBorders>
            <w:shd w:val="clear" w:color="000000" w:fill="FFFFFF"/>
            <w:vAlign w:val="center"/>
            <w:hideMark/>
          </w:tcPr>
          <w:p w14:paraId="5F4092DC" w14:textId="77777777" w:rsidR="00D73008" w:rsidRPr="007723D7" w:rsidRDefault="00D73008" w:rsidP="00387AE5">
            <w:pPr>
              <w:jc w:val="center"/>
              <w:rPr>
                <w:rFonts w:cs="Times New Roman"/>
                <w:b/>
                <w:bCs/>
                <w:sz w:val="18"/>
                <w:szCs w:val="18"/>
              </w:rPr>
            </w:pPr>
            <w:r w:rsidRPr="007723D7">
              <w:rPr>
                <w:sz w:val="18"/>
                <w:szCs w:val="18"/>
              </w:rPr>
              <w:t>40,2</w:t>
            </w:r>
          </w:p>
        </w:tc>
        <w:tc>
          <w:tcPr>
            <w:tcW w:w="960" w:type="dxa"/>
            <w:gridSpan w:val="3"/>
            <w:tcBorders>
              <w:top w:val="single" w:sz="4" w:space="0" w:color="auto"/>
              <w:left w:val="nil"/>
              <w:bottom w:val="single" w:sz="4" w:space="0" w:color="auto"/>
              <w:right w:val="nil"/>
            </w:tcBorders>
            <w:shd w:val="clear" w:color="000000" w:fill="FFFFFF"/>
            <w:vAlign w:val="center"/>
            <w:hideMark/>
          </w:tcPr>
          <w:p w14:paraId="4B4EE13B" w14:textId="77777777" w:rsidR="00D73008" w:rsidRPr="007723D7" w:rsidRDefault="00D73008" w:rsidP="00387AE5">
            <w:pPr>
              <w:jc w:val="center"/>
              <w:rPr>
                <w:rFonts w:cs="Times New Roman"/>
                <w:b/>
                <w:bCs/>
                <w:sz w:val="18"/>
                <w:szCs w:val="18"/>
              </w:rPr>
            </w:pPr>
            <w:r w:rsidRPr="007723D7">
              <w:rPr>
                <w:sz w:val="18"/>
                <w:szCs w:val="18"/>
              </w:rPr>
              <w:t>38,7</w:t>
            </w:r>
          </w:p>
        </w:tc>
        <w:tc>
          <w:tcPr>
            <w:tcW w:w="1600" w:type="dxa"/>
            <w:gridSpan w:val="3"/>
            <w:tcBorders>
              <w:top w:val="single" w:sz="4" w:space="0" w:color="auto"/>
              <w:left w:val="nil"/>
              <w:bottom w:val="single" w:sz="4" w:space="0" w:color="auto"/>
              <w:right w:val="nil"/>
            </w:tcBorders>
            <w:shd w:val="clear" w:color="000000" w:fill="FFFFFF"/>
            <w:vAlign w:val="center"/>
            <w:hideMark/>
          </w:tcPr>
          <w:p w14:paraId="2C237013" w14:textId="77777777" w:rsidR="00D73008" w:rsidRPr="007723D7" w:rsidRDefault="00D73008" w:rsidP="00387AE5">
            <w:pPr>
              <w:jc w:val="center"/>
              <w:rPr>
                <w:rFonts w:cs="Times New Roman"/>
                <w:b/>
                <w:bCs/>
                <w:sz w:val="18"/>
                <w:szCs w:val="18"/>
              </w:rPr>
            </w:pPr>
            <w:r w:rsidRPr="007723D7">
              <w:rPr>
                <w:sz w:val="18"/>
                <w:szCs w:val="18"/>
              </w:rPr>
              <w:t>37,7</w:t>
            </w:r>
          </w:p>
        </w:tc>
      </w:tr>
      <w:tr w:rsidR="00D73008" w:rsidRPr="00F26E77" w14:paraId="6131B0C9" w14:textId="77777777" w:rsidTr="00387AE5">
        <w:trPr>
          <w:gridAfter w:val="1"/>
          <w:wAfter w:w="78" w:type="dxa"/>
          <w:trHeight w:val="283"/>
        </w:trPr>
        <w:tc>
          <w:tcPr>
            <w:tcW w:w="5020" w:type="dxa"/>
            <w:gridSpan w:val="2"/>
            <w:tcBorders>
              <w:top w:val="single" w:sz="8" w:space="0" w:color="auto"/>
              <w:left w:val="nil"/>
              <w:bottom w:val="nil"/>
              <w:right w:val="nil"/>
            </w:tcBorders>
            <w:shd w:val="clear" w:color="000000" w:fill="FFFFFF"/>
            <w:hideMark/>
          </w:tcPr>
          <w:p w14:paraId="20E3BD37" w14:textId="77777777" w:rsidR="00D73008" w:rsidRPr="00F26E77" w:rsidRDefault="00D73008" w:rsidP="00387AE5">
            <w:pPr>
              <w:rPr>
                <w:rFonts w:cs="Times New Roman"/>
                <w:sz w:val="18"/>
                <w:szCs w:val="18"/>
              </w:rPr>
            </w:pPr>
            <w:r w:rsidRPr="00F26E77">
              <w:rPr>
                <w:rFonts w:cs="Times New Roman"/>
                <w:sz w:val="18"/>
                <w:szCs w:val="18"/>
              </w:rPr>
              <w:t>R - Schválený rozpočet.</w:t>
            </w:r>
          </w:p>
        </w:tc>
        <w:tc>
          <w:tcPr>
            <w:tcW w:w="1480" w:type="dxa"/>
            <w:gridSpan w:val="3"/>
            <w:tcBorders>
              <w:top w:val="single" w:sz="8" w:space="0" w:color="auto"/>
              <w:left w:val="nil"/>
              <w:bottom w:val="nil"/>
              <w:right w:val="nil"/>
            </w:tcBorders>
            <w:shd w:val="clear" w:color="auto" w:fill="auto"/>
            <w:noWrap/>
            <w:vAlign w:val="bottom"/>
            <w:hideMark/>
          </w:tcPr>
          <w:p w14:paraId="5BDE97D5" w14:textId="77777777" w:rsidR="00D73008" w:rsidRPr="00F26E77" w:rsidRDefault="00D73008" w:rsidP="00387AE5">
            <w:pPr>
              <w:rPr>
                <w:rFonts w:cs="Times New Roman"/>
                <w:sz w:val="18"/>
                <w:szCs w:val="18"/>
              </w:rPr>
            </w:pPr>
          </w:p>
        </w:tc>
        <w:tc>
          <w:tcPr>
            <w:tcW w:w="960" w:type="dxa"/>
            <w:gridSpan w:val="3"/>
            <w:tcBorders>
              <w:top w:val="single" w:sz="8" w:space="0" w:color="auto"/>
              <w:left w:val="nil"/>
              <w:bottom w:val="nil"/>
              <w:right w:val="nil"/>
            </w:tcBorders>
            <w:shd w:val="clear" w:color="auto" w:fill="auto"/>
            <w:hideMark/>
          </w:tcPr>
          <w:p w14:paraId="0573B0B5" w14:textId="77777777" w:rsidR="00D73008" w:rsidRPr="00F26E77" w:rsidRDefault="00D73008" w:rsidP="00387AE5">
            <w:pPr>
              <w:rPr>
                <w:rFonts w:cs="Times New Roman"/>
                <w:i/>
                <w:iCs/>
                <w:sz w:val="18"/>
                <w:szCs w:val="18"/>
              </w:rPr>
            </w:pPr>
            <w:r w:rsidRPr="00F26E77">
              <w:rPr>
                <w:rFonts w:cs="Times New Roman"/>
                <w:i/>
                <w:iCs/>
                <w:sz w:val="18"/>
                <w:szCs w:val="18"/>
              </w:rPr>
              <w:t> </w:t>
            </w:r>
          </w:p>
        </w:tc>
        <w:tc>
          <w:tcPr>
            <w:tcW w:w="1600" w:type="dxa"/>
            <w:gridSpan w:val="3"/>
            <w:tcBorders>
              <w:top w:val="single" w:sz="8" w:space="0" w:color="auto"/>
              <w:left w:val="nil"/>
              <w:bottom w:val="nil"/>
              <w:right w:val="nil"/>
            </w:tcBorders>
            <w:shd w:val="clear" w:color="auto" w:fill="auto"/>
            <w:hideMark/>
          </w:tcPr>
          <w:p w14:paraId="424EB990" w14:textId="1CAA5CD2" w:rsidR="00D73008" w:rsidRPr="00F26E77" w:rsidRDefault="0090687F" w:rsidP="0090687F">
            <w:pPr>
              <w:jc w:val="right"/>
              <w:rPr>
                <w:rFonts w:cs="Times New Roman"/>
                <w:i/>
                <w:iCs/>
                <w:sz w:val="18"/>
                <w:szCs w:val="18"/>
              </w:rPr>
            </w:pPr>
            <w:r>
              <w:rPr>
                <w:rFonts w:cs="Times New Roman"/>
                <w:i/>
                <w:iCs/>
                <w:sz w:val="18"/>
                <w:szCs w:val="18"/>
              </w:rPr>
              <w:t>Z</w:t>
            </w:r>
            <w:r w:rsidR="00D73008" w:rsidRPr="00F26E77">
              <w:rPr>
                <w:rFonts w:cs="Times New Roman"/>
                <w:i/>
                <w:iCs/>
                <w:sz w:val="18"/>
                <w:szCs w:val="18"/>
              </w:rPr>
              <w:t xml:space="preserve">droj: Eurostat, MFSR </w:t>
            </w:r>
          </w:p>
        </w:tc>
      </w:tr>
    </w:tbl>
    <w:p w14:paraId="4A58094D" w14:textId="77777777" w:rsidR="00D73008" w:rsidRPr="00B21C97" w:rsidRDefault="00D73008" w:rsidP="00D73008">
      <w:pPr>
        <w:rPr>
          <w:highlight w:val="yellow"/>
        </w:rPr>
      </w:pPr>
    </w:p>
    <w:p w14:paraId="2E69B999" w14:textId="77777777" w:rsidR="00D73008" w:rsidRPr="00B21C97" w:rsidRDefault="00D73008" w:rsidP="00D73008">
      <w:pPr>
        <w:rPr>
          <w:highlight w:val="yellow"/>
        </w:rPr>
      </w:pPr>
    </w:p>
    <w:tbl>
      <w:tblPr>
        <w:tblW w:w="8879" w:type="dxa"/>
        <w:tblLayout w:type="fixed"/>
        <w:tblCellMar>
          <w:left w:w="70" w:type="dxa"/>
          <w:right w:w="70" w:type="dxa"/>
        </w:tblCellMar>
        <w:tblLook w:val="04A0" w:firstRow="1" w:lastRow="0" w:firstColumn="1" w:lastColumn="0" w:noHBand="0" w:noVBand="1"/>
      </w:tblPr>
      <w:tblGrid>
        <w:gridCol w:w="4394"/>
        <w:gridCol w:w="436"/>
        <w:gridCol w:w="839"/>
        <w:gridCol w:w="567"/>
        <w:gridCol w:w="567"/>
        <w:gridCol w:w="709"/>
        <w:gridCol w:w="589"/>
        <w:gridCol w:w="778"/>
      </w:tblGrid>
      <w:tr w:rsidR="00D73008" w:rsidRPr="00152128" w14:paraId="10563516" w14:textId="77777777" w:rsidTr="00387AE5">
        <w:trPr>
          <w:trHeight w:val="344"/>
        </w:trPr>
        <w:tc>
          <w:tcPr>
            <w:tcW w:w="6236" w:type="dxa"/>
            <w:gridSpan w:val="4"/>
            <w:tcBorders>
              <w:top w:val="nil"/>
              <w:left w:val="nil"/>
              <w:bottom w:val="single" w:sz="8" w:space="0" w:color="auto"/>
              <w:right w:val="nil"/>
            </w:tcBorders>
            <w:shd w:val="clear" w:color="auto" w:fill="auto"/>
            <w:noWrap/>
            <w:vAlign w:val="bottom"/>
            <w:hideMark/>
          </w:tcPr>
          <w:p w14:paraId="2901E844" w14:textId="4E012D41" w:rsidR="00D73008" w:rsidRPr="00152128" w:rsidRDefault="00D73008" w:rsidP="00387AE5">
            <w:pPr>
              <w:rPr>
                <w:rFonts w:eastAsiaTheme="minorHAnsi"/>
                <w:b/>
                <w:color w:val="2C9ADC"/>
                <w:lang w:eastAsia="en-US"/>
              </w:rPr>
            </w:pPr>
            <w:bookmarkStart w:id="255" w:name="_Toc480905418"/>
            <w:bookmarkStart w:id="256" w:name="_Toc6314225"/>
            <w:r w:rsidRPr="00146C3B">
              <w:rPr>
                <w:rFonts w:eastAsiaTheme="minorHAnsi"/>
                <w:b/>
                <w:color w:val="2C9ADC"/>
                <w:lang w:eastAsia="en-US"/>
              </w:rPr>
              <w:t xml:space="preserve">TABUĽKA </w:t>
            </w:r>
            <w:r w:rsidRPr="00146C3B">
              <w:rPr>
                <w:rFonts w:eastAsiaTheme="minorHAnsi"/>
                <w:b/>
                <w:color w:val="2C9ADC"/>
                <w:lang w:eastAsia="en-US"/>
              </w:rPr>
              <w:fldChar w:fldCharType="begin"/>
            </w:r>
            <w:r w:rsidRPr="00146C3B">
              <w:rPr>
                <w:rFonts w:eastAsiaTheme="minorHAnsi"/>
                <w:b/>
                <w:color w:val="2C9ADC"/>
                <w:lang w:eastAsia="en-US"/>
              </w:rPr>
              <w:instrText xml:space="preserve"> SEQ TABUĽKA \* ARABIC </w:instrText>
            </w:r>
            <w:r w:rsidRPr="00146C3B">
              <w:rPr>
                <w:rFonts w:eastAsiaTheme="minorHAnsi"/>
                <w:b/>
                <w:color w:val="2C9ADC"/>
                <w:lang w:eastAsia="en-US"/>
              </w:rPr>
              <w:fldChar w:fldCharType="separate"/>
            </w:r>
            <w:r w:rsidR="00D5739E">
              <w:rPr>
                <w:rFonts w:eastAsiaTheme="minorHAnsi"/>
                <w:b/>
                <w:noProof/>
                <w:color w:val="2C9ADC"/>
                <w:lang w:eastAsia="en-US"/>
              </w:rPr>
              <w:t>26</w:t>
            </w:r>
            <w:r w:rsidRPr="00146C3B">
              <w:rPr>
                <w:rFonts w:eastAsiaTheme="minorHAnsi"/>
                <w:b/>
                <w:color w:val="2C9ADC"/>
                <w:lang w:eastAsia="en-US"/>
              </w:rPr>
              <w:fldChar w:fldCharType="end"/>
            </w:r>
            <w:r w:rsidRPr="00152128">
              <w:rPr>
                <w:rFonts w:eastAsiaTheme="minorHAnsi"/>
                <w:b/>
                <w:color w:val="2C9ADC"/>
                <w:lang w:eastAsia="en-US"/>
              </w:rPr>
              <w:t xml:space="preserve"> (Tabuľka 4) - Vývoj dlhu verejnej správy (% HDP)</w:t>
            </w:r>
            <w:bookmarkEnd w:id="255"/>
            <w:bookmarkEnd w:id="256"/>
          </w:p>
        </w:tc>
        <w:tc>
          <w:tcPr>
            <w:tcW w:w="2643" w:type="dxa"/>
            <w:gridSpan w:val="4"/>
            <w:tcBorders>
              <w:top w:val="nil"/>
              <w:left w:val="nil"/>
              <w:bottom w:val="single" w:sz="8" w:space="0" w:color="auto"/>
              <w:right w:val="nil"/>
            </w:tcBorders>
            <w:shd w:val="clear" w:color="auto" w:fill="auto"/>
            <w:noWrap/>
            <w:vAlign w:val="bottom"/>
            <w:hideMark/>
          </w:tcPr>
          <w:p w14:paraId="49384FB2" w14:textId="77777777" w:rsidR="00D73008" w:rsidRPr="00152128" w:rsidRDefault="00D73008" w:rsidP="00387AE5">
            <w:pPr>
              <w:rPr>
                <w:rFonts w:eastAsiaTheme="minorHAnsi"/>
                <w:b/>
                <w:color w:val="2C9ADC"/>
                <w:lang w:eastAsia="en-US"/>
              </w:rPr>
            </w:pPr>
            <w:r w:rsidRPr="00152128">
              <w:rPr>
                <w:rFonts w:eastAsiaTheme="minorHAnsi"/>
                <w:b/>
                <w:color w:val="2C9ADC"/>
                <w:lang w:eastAsia="en-US"/>
              </w:rPr>
              <w:t> </w:t>
            </w:r>
          </w:p>
        </w:tc>
      </w:tr>
      <w:tr w:rsidR="00D73008" w:rsidRPr="00146C3B" w14:paraId="458CB465" w14:textId="77777777" w:rsidTr="00387AE5">
        <w:trPr>
          <w:trHeight w:val="283"/>
        </w:trPr>
        <w:tc>
          <w:tcPr>
            <w:tcW w:w="4394" w:type="dxa"/>
            <w:tcBorders>
              <w:top w:val="nil"/>
              <w:left w:val="nil"/>
              <w:bottom w:val="single" w:sz="4" w:space="0" w:color="auto"/>
              <w:right w:val="nil"/>
            </w:tcBorders>
            <w:shd w:val="clear" w:color="auto" w:fill="auto"/>
            <w:vAlign w:val="center"/>
            <w:hideMark/>
          </w:tcPr>
          <w:p w14:paraId="563F432A" w14:textId="77777777" w:rsidR="00D73008" w:rsidRPr="00146C3B" w:rsidRDefault="00D73008" w:rsidP="00387AE5">
            <w:pPr>
              <w:jc w:val="center"/>
              <w:rPr>
                <w:rFonts w:cs="Times New Roman"/>
                <w:color w:val="000000"/>
                <w:sz w:val="18"/>
                <w:szCs w:val="18"/>
              </w:rPr>
            </w:pPr>
            <w:r w:rsidRPr="00146C3B">
              <w:rPr>
                <w:rFonts w:cs="Times New Roman"/>
                <w:color w:val="000000"/>
                <w:sz w:val="18"/>
                <w:szCs w:val="18"/>
              </w:rPr>
              <w:t> </w:t>
            </w:r>
          </w:p>
        </w:tc>
        <w:tc>
          <w:tcPr>
            <w:tcW w:w="436" w:type="dxa"/>
            <w:tcBorders>
              <w:top w:val="nil"/>
              <w:left w:val="nil"/>
              <w:bottom w:val="single" w:sz="4" w:space="0" w:color="auto"/>
              <w:right w:val="nil"/>
            </w:tcBorders>
            <w:shd w:val="clear" w:color="auto" w:fill="auto"/>
            <w:vAlign w:val="center"/>
            <w:hideMark/>
          </w:tcPr>
          <w:p w14:paraId="5400889C" w14:textId="77777777" w:rsidR="00D73008" w:rsidRPr="00146C3B" w:rsidRDefault="00D73008" w:rsidP="00387AE5">
            <w:pPr>
              <w:jc w:val="center"/>
              <w:rPr>
                <w:rFonts w:cs="Times New Roman"/>
                <w:color w:val="000000"/>
                <w:sz w:val="18"/>
                <w:szCs w:val="18"/>
              </w:rPr>
            </w:pPr>
            <w:r w:rsidRPr="00146C3B">
              <w:rPr>
                <w:rFonts w:cs="Times New Roman"/>
                <w:color w:val="000000"/>
                <w:sz w:val="18"/>
                <w:szCs w:val="18"/>
              </w:rPr>
              <w:t>ESA kód</w:t>
            </w:r>
          </w:p>
        </w:tc>
        <w:tc>
          <w:tcPr>
            <w:tcW w:w="839" w:type="dxa"/>
            <w:tcBorders>
              <w:top w:val="nil"/>
              <w:left w:val="nil"/>
              <w:bottom w:val="single" w:sz="4" w:space="0" w:color="auto"/>
              <w:right w:val="nil"/>
            </w:tcBorders>
            <w:shd w:val="clear" w:color="auto" w:fill="auto"/>
            <w:hideMark/>
          </w:tcPr>
          <w:p w14:paraId="3385A728" w14:textId="77777777" w:rsidR="00D73008" w:rsidRPr="00146C3B" w:rsidRDefault="00D73008" w:rsidP="00387AE5">
            <w:pPr>
              <w:jc w:val="center"/>
              <w:rPr>
                <w:rFonts w:cs="Times New Roman"/>
                <w:b/>
                <w:bCs/>
                <w:color w:val="000000"/>
                <w:sz w:val="18"/>
                <w:szCs w:val="18"/>
              </w:rPr>
            </w:pPr>
            <w:r w:rsidRPr="00146C3B">
              <w:rPr>
                <w:b/>
                <w:sz w:val="18"/>
                <w:szCs w:val="18"/>
              </w:rPr>
              <w:t>2017</w:t>
            </w:r>
          </w:p>
        </w:tc>
        <w:tc>
          <w:tcPr>
            <w:tcW w:w="567" w:type="dxa"/>
            <w:tcBorders>
              <w:top w:val="nil"/>
              <w:left w:val="nil"/>
              <w:bottom w:val="single" w:sz="4" w:space="0" w:color="auto"/>
              <w:right w:val="nil"/>
            </w:tcBorders>
            <w:shd w:val="clear" w:color="auto" w:fill="auto"/>
            <w:hideMark/>
          </w:tcPr>
          <w:p w14:paraId="296A853F" w14:textId="77777777" w:rsidR="00D73008" w:rsidRPr="00146C3B" w:rsidRDefault="00D73008" w:rsidP="00387AE5">
            <w:pPr>
              <w:jc w:val="center"/>
              <w:rPr>
                <w:rFonts w:cs="Times New Roman"/>
                <w:b/>
                <w:bCs/>
                <w:color w:val="000000"/>
                <w:sz w:val="18"/>
                <w:szCs w:val="18"/>
              </w:rPr>
            </w:pPr>
            <w:r w:rsidRPr="00146C3B">
              <w:rPr>
                <w:b/>
                <w:sz w:val="18"/>
                <w:szCs w:val="18"/>
              </w:rPr>
              <w:t>2018</w:t>
            </w:r>
          </w:p>
        </w:tc>
        <w:tc>
          <w:tcPr>
            <w:tcW w:w="567" w:type="dxa"/>
            <w:tcBorders>
              <w:top w:val="nil"/>
              <w:left w:val="nil"/>
              <w:bottom w:val="single" w:sz="4" w:space="0" w:color="auto"/>
              <w:right w:val="nil"/>
            </w:tcBorders>
            <w:shd w:val="clear" w:color="auto" w:fill="auto"/>
            <w:hideMark/>
          </w:tcPr>
          <w:p w14:paraId="768681F3" w14:textId="77777777" w:rsidR="00D73008" w:rsidRPr="00146C3B" w:rsidRDefault="00D73008" w:rsidP="00387AE5">
            <w:pPr>
              <w:jc w:val="center"/>
              <w:rPr>
                <w:rFonts w:cs="Times New Roman"/>
                <w:b/>
                <w:bCs/>
                <w:color w:val="000000"/>
                <w:sz w:val="18"/>
                <w:szCs w:val="18"/>
              </w:rPr>
            </w:pPr>
            <w:r w:rsidRPr="00146C3B">
              <w:rPr>
                <w:b/>
                <w:sz w:val="18"/>
                <w:szCs w:val="18"/>
              </w:rPr>
              <w:t>2019</w:t>
            </w:r>
          </w:p>
        </w:tc>
        <w:tc>
          <w:tcPr>
            <w:tcW w:w="709" w:type="dxa"/>
            <w:tcBorders>
              <w:top w:val="nil"/>
              <w:left w:val="nil"/>
              <w:bottom w:val="single" w:sz="4" w:space="0" w:color="auto"/>
              <w:right w:val="nil"/>
            </w:tcBorders>
            <w:shd w:val="clear" w:color="auto" w:fill="auto"/>
            <w:hideMark/>
          </w:tcPr>
          <w:p w14:paraId="21342CBC" w14:textId="77777777" w:rsidR="00D73008" w:rsidRPr="00146C3B" w:rsidRDefault="00D73008" w:rsidP="00387AE5">
            <w:pPr>
              <w:jc w:val="center"/>
              <w:rPr>
                <w:rFonts w:cs="Times New Roman"/>
                <w:b/>
                <w:bCs/>
                <w:color w:val="000000"/>
                <w:sz w:val="18"/>
                <w:szCs w:val="18"/>
              </w:rPr>
            </w:pPr>
            <w:r w:rsidRPr="00146C3B">
              <w:rPr>
                <w:b/>
                <w:sz w:val="18"/>
                <w:szCs w:val="18"/>
              </w:rPr>
              <w:t>2020</w:t>
            </w:r>
          </w:p>
        </w:tc>
        <w:tc>
          <w:tcPr>
            <w:tcW w:w="589" w:type="dxa"/>
            <w:tcBorders>
              <w:top w:val="nil"/>
              <w:left w:val="nil"/>
              <w:bottom w:val="single" w:sz="4" w:space="0" w:color="auto"/>
              <w:right w:val="nil"/>
            </w:tcBorders>
            <w:shd w:val="clear" w:color="auto" w:fill="auto"/>
            <w:hideMark/>
          </w:tcPr>
          <w:p w14:paraId="69A4D9AC" w14:textId="77777777" w:rsidR="00D73008" w:rsidRPr="00146C3B" w:rsidRDefault="00D73008" w:rsidP="00387AE5">
            <w:pPr>
              <w:jc w:val="center"/>
              <w:rPr>
                <w:rFonts w:cs="Times New Roman"/>
                <w:b/>
                <w:bCs/>
                <w:color w:val="000000"/>
                <w:sz w:val="18"/>
                <w:szCs w:val="18"/>
              </w:rPr>
            </w:pPr>
            <w:r w:rsidRPr="00146C3B">
              <w:rPr>
                <w:b/>
                <w:sz w:val="18"/>
                <w:szCs w:val="18"/>
              </w:rPr>
              <w:t>2021</w:t>
            </w:r>
          </w:p>
        </w:tc>
        <w:tc>
          <w:tcPr>
            <w:tcW w:w="778" w:type="dxa"/>
            <w:tcBorders>
              <w:top w:val="nil"/>
              <w:left w:val="nil"/>
              <w:bottom w:val="single" w:sz="4" w:space="0" w:color="auto"/>
              <w:right w:val="nil"/>
            </w:tcBorders>
            <w:shd w:val="clear" w:color="auto" w:fill="auto"/>
            <w:hideMark/>
          </w:tcPr>
          <w:p w14:paraId="743F9038" w14:textId="77777777" w:rsidR="00D73008" w:rsidRPr="00146C3B" w:rsidRDefault="00D73008" w:rsidP="00387AE5">
            <w:pPr>
              <w:jc w:val="center"/>
              <w:rPr>
                <w:rFonts w:cs="Times New Roman"/>
                <w:b/>
                <w:bCs/>
                <w:color w:val="000000"/>
                <w:sz w:val="18"/>
                <w:szCs w:val="18"/>
              </w:rPr>
            </w:pPr>
            <w:r w:rsidRPr="00146C3B">
              <w:rPr>
                <w:b/>
                <w:sz w:val="18"/>
                <w:szCs w:val="18"/>
              </w:rPr>
              <w:t>2022</w:t>
            </w:r>
          </w:p>
        </w:tc>
      </w:tr>
      <w:tr w:rsidR="00D73008" w:rsidRPr="00146C3B" w14:paraId="59FB3A15" w14:textId="77777777" w:rsidTr="00387AE5">
        <w:trPr>
          <w:trHeight w:val="283"/>
        </w:trPr>
        <w:tc>
          <w:tcPr>
            <w:tcW w:w="4394" w:type="dxa"/>
            <w:tcBorders>
              <w:top w:val="nil"/>
              <w:left w:val="nil"/>
              <w:bottom w:val="nil"/>
              <w:right w:val="nil"/>
            </w:tcBorders>
            <w:shd w:val="clear" w:color="auto" w:fill="auto"/>
            <w:noWrap/>
            <w:vAlign w:val="center"/>
            <w:hideMark/>
          </w:tcPr>
          <w:p w14:paraId="41F170DD" w14:textId="77777777" w:rsidR="00D73008" w:rsidRPr="00146C3B" w:rsidRDefault="00D73008" w:rsidP="00387AE5">
            <w:pPr>
              <w:rPr>
                <w:rFonts w:cs="Times New Roman"/>
                <w:color w:val="000000"/>
                <w:sz w:val="18"/>
                <w:szCs w:val="18"/>
              </w:rPr>
            </w:pPr>
            <w:r w:rsidRPr="00146C3B">
              <w:rPr>
                <w:rFonts w:cs="Times New Roman"/>
                <w:color w:val="000000"/>
                <w:sz w:val="18"/>
                <w:szCs w:val="18"/>
              </w:rPr>
              <w:t>1. Hrubý dlh</w:t>
            </w:r>
          </w:p>
        </w:tc>
        <w:tc>
          <w:tcPr>
            <w:tcW w:w="436" w:type="dxa"/>
            <w:tcBorders>
              <w:top w:val="nil"/>
              <w:left w:val="nil"/>
              <w:bottom w:val="nil"/>
              <w:right w:val="nil"/>
            </w:tcBorders>
            <w:shd w:val="clear" w:color="auto" w:fill="auto"/>
            <w:noWrap/>
            <w:vAlign w:val="center"/>
            <w:hideMark/>
          </w:tcPr>
          <w:p w14:paraId="6683B6E2"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hideMark/>
          </w:tcPr>
          <w:p w14:paraId="660BEBD1" w14:textId="77777777" w:rsidR="00D73008" w:rsidRPr="00146C3B" w:rsidRDefault="00D73008" w:rsidP="00387AE5">
            <w:pPr>
              <w:jc w:val="center"/>
              <w:rPr>
                <w:rFonts w:cs="Times New Roman"/>
                <w:color w:val="000000"/>
                <w:sz w:val="18"/>
                <w:szCs w:val="18"/>
              </w:rPr>
            </w:pPr>
            <w:r w:rsidRPr="00146C3B">
              <w:rPr>
                <w:sz w:val="18"/>
                <w:szCs w:val="18"/>
              </w:rPr>
              <w:t>50,9</w:t>
            </w:r>
          </w:p>
        </w:tc>
        <w:tc>
          <w:tcPr>
            <w:tcW w:w="567" w:type="dxa"/>
            <w:tcBorders>
              <w:top w:val="nil"/>
              <w:left w:val="nil"/>
              <w:bottom w:val="nil"/>
              <w:right w:val="nil"/>
            </w:tcBorders>
            <w:shd w:val="clear" w:color="auto" w:fill="auto"/>
            <w:hideMark/>
          </w:tcPr>
          <w:p w14:paraId="7262AA75" w14:textId="77777777" w:rsidR="00D73008" w:rsidRPr="00146C3B" w:rsidRDefault="00D73008" w:rsidP="00387AE5">
            <w:pPr>
              <w:jc w:val="center"/>
              <w:rPr>
                <w:rFonts w:cs="Times New Roman"/>
                <w:color w:val="000000"/>
                <w:sz w:val="18"/>
                <w:szCs w:val="18"/>
              </w:rPr>
            </w:pPr>
            <w:r w:rsidRPr="00146C3B">
              <w:rPr>
                <w:sz w:val="18"/>
                <w:szCs w:val="18"/>
              </w:rPr>
              <w:t>48,9</w:t>
            </w:r>
          </w:p>
        </w:tc>
        <w:tc>
          <w:tcPr>
            <w:tcW w:w="567" w:type="dxa"/>
            <w:tcBorders>
              <w:top w:val="nil"/>
              <w:left w:val="nil"/>
              <w:bottom w:val="nil"/>
              <w:right w:val="nil"/>
            </w:tcBorders>
            <w:shd w:val="clear" w:color="auto" w:fill="auto"/>
            <w:hideMark/>
          </w:tcPr>
          <w:p w14:paraId="4E323C2B" w14:textId="77777777" w:rsidR="00D73008" w:rsidRPr="00146C3B" w:rsidRDefault="00D73008" w:rsidP="00387AE5">
            <w:pPr>
              <w:jc w:val="center"/>
              <w:rPr>
                <w:rFonts w:cs="Times New Roman"/>
                <w:color w:val="000000"/>
                <w:sz w:val="18"/>
                <w:szCs w:val="18"/>
              </w:rPr>
            </w:pPr>
            <w:r w:rsidRPr="00146C3B">
              <w:rPr>
                <w:sz w:val="18"/>
                <w:szCs w:val="18"/>
              </w:rPr>
              <w:t>47,5</w:t>
            </w:r>
          </w:p>
        </w:tc>
        <w:tc>
          <w:tcPr>
            <w:tcW w:w="709" w:type="dxa"/>
            <w:tcBorders>
              <w:top w:val="nil"/>
              <w:left w:val="nil"/>
              <w:bottom w:val="nil"/>
              <w:right w:val="nil"/>
            </w:tcBorders>
            <w:shd w:val="clear" w:color="auto" w:fill="auto"/>
            <w:hideMark/>
          </w:tcPr>
          <w:p w14:paraId="783B2C96" w14:textId="77777777" w:rsidR="00D73008" w:rsidRPr="00146C3B" w:rsidRDefault="00D73008" w:rsidP="00387AE5">
            <w:pPr>
              <w:jc w:val="center"/>
              <w:rPr>
                <w:rFonts w:cs="Times New Roman"/>
                <w:color w:val="000000"/>
                <w:sz w:val="18"/>
                <w:szCs w:val="18"/>
              </w:rPr>
            </w:pPr>
            <w:r w:rsidRPr="00146C3B">
              <w:rPr>
                <w:sz w:val="18"/>
                <w:szCs w:val="18"/>
              </w:rPr>
              <w:t>45,9</w:t>
            </w:r>
          </w:p>
        </w:tc>
        <w:tc>
          <w:tcPr>
            <w:tcW w:w="589" w:type="dxa"/>
            <w:tcBorders>
              <w:top w:val="nil"/>
              <w:left w:val="nil"/>
              <w:bottom w:val="nil"/>
              <w:right w:val="nil"/>
            </w:tcBorders>
            <w:shd w:val="clear" w:color="auto" w:fill="auto"/>
            <w:hideMark/>
          </w:tcPr>
          <w:p w14:paraId="112A7713" w14:textId="77777777" w:rsidR="00D73008" w:rsidRPr="00146C3B" w:rsidRDefault="00D73008" w:rsidP="00387AE5">
            <w:pPr>
              <w:jc w:val="center"/>
              <w:rPr>
                <w:rFonts w:cs="Times New Roman"/>
                <w:color w:val="000000"/>
                <w:sz w:val="18"/>
                <w:szCs w:val="18"/>
              </w:rPr>
            </w:pPr>
            <w:r w:rsidRPr="00146C3B">
              <w:rPr>
                <w:sz w:val="18"/>
                <w:szCs w:val="18"/>
              </w:rPr>
              <w:t>44,9</w:t>
            </w:r>
          </w:p>
        </w:tc>
        <w:tc>
          <w:tcPr>
            <w:tcW w:w="778" w:type="dxa"/>
            <w:tcBorders>
              <w:top w:val="nil"/>
              <w:left w:val="nil"/>
              <w:bottom w:val="nil"/>
              <w:right w:val="nil"/>
            </w:tcBorders>
            <w:shd w:val="clear" w:color="auto" w:fill="auto"/>
            <w:hideMark/>
          </w:tcPr>
          <w:p w14:paraId="2526BBB1" w14:textId="77777777" w:rsidR="00D73008" w:rsidRPr="00146C3B" w:rsidRDefault="00D73008" w:rsidP="00387AE5">
            <w:pPr>
              <w:jc w:val="center"/>
              <w:rPr>
                <w:rFonts w:cs="Times New Roman"/>
                <w:color w:val="000000"/>
                <w:sz w:val="18"/>
                <w:szCs w:val="18"/>
              </w:rPr>
            </w:pPr>
            <w:r w:rsidRPr="00146C3B">
              <w:rPr>
                <w:sz w:val="18"/>
                <w:szCs w:val="18"/>
              </w:rPr>
              <w:t>44,4</w:t>
            </w:r>
          </w:p>
        </w:tc>
      </w:tr>
      <w:tr w:rsidR="00D73008" w:rsidRPr="00146C3B" w14:paraId="3E19E7AA" w14:textId="77777777" w:rsidTr="00387AE5">
        <w:trPr>
          <w:trHeight w:val="283"/>
        </w:trPr>
        <w:tc>
          <w:tcPr>
            <w:tcW w:w="4394" w:type="dxa"/>
            <w:tcBorders>
              <w:top w:val="nil"/>
              <w:left w:val="nil"/>
              <w:bottom w:val="single" w:sz="4" w:space="0" w:color="auto"/>
              <w:right w:val="nil"/>
            </w:tcBorders>
            <w:shd w:val="clear" w:color="auto" w:fill="auto"/>
            <w:vAlign w:val="center"/>
            <w:hideMark/>
          </w:tcPr>
          <w:p w14:paraId="15F02E18" w14:textId="77777777" w:rsidR="00D73008" w:rsidRPr="00146C3B" w:rsidRDefault="00D73008" w:rsidP="00387AE5">
            <w:pPr>
              <w:rPr>
                <w:rFonts w:cs="Times New Roman"/>
                <w:color w:val="000000"/>
                <w:sz w:val="18"/>
                <w:szCs w:val="18"/>
              </w:rPr>
            </w:pPr>
            <w:r w:rsidRPr="00146C3B">
              <w:rPr>
                <w:rFonts w:cs="Times New Roman"/>
                <w:color w:val="000000"/>
                <w:sz w:val="18"/>
                <w:szCs w:val="18"/>
              </w:rPr>
              <w:t>2. Zmena hrubého dlhu</w:t>
            </w:r>
          </w:p>
        </w:tc>
        <w:tc>
          <w:tcPr>
            <w:tcW w:w="436" w:type="dxa"/>
            <w:tcBorders>
              <w:top w:val="nil"/>
              <w:left w:val="nil"/>
              <w:bottom w:val="single" w:sz="4" w:space="0" w:color="auto"/>
              <w:right w:val="nil"/>
            </w:tcBorders>
            <w:shd w:val="clear" w:color="auto" w:fill="auto"/>
            <w:vAlign w:val="center"/>
            <w:hideMark/>
          </w:tcPr>
          <w:p w14:paraId="3A2508DD"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hideMark/>
          </w:tcPr>
          <w:p w14:paraId="39D1DE54" w14:textId="77777777" w:rsidR="00D73008" w:rsidRPr="00146C3B" w:rsidRDefault="00D73008" w:rsidP="00387AE5">
            <w:pPr>
              <w:jc w:val="center"/>
              <w:rPr>
                <w:rFonts w:cs="Times New Roman"/>
                <w:color w:val="000000"/>
                <w:sz w:val="18"/>
                <w:szCs w:val="18"/>
              </w:rPr>
            </w:pPr>
            <w:r w:rsidRPr="00146C3B">
              <w:rPr>
                <w:sz w:val="18"/>
                <w:szCs w:val="18"/>
              </w:rPr>
              <w:t>-0,8</w:t>
            </w:r>
          </w:p>
        </w:tc>
        <w:tc>
          <w:tcPr>
            <w:tcW w:w="567" w:type="dxa"/>
            <w:tcBorders>
              <w:top w:val="nil"/>
              <w:left w:val="nil"/>
              <w:bottom w:val="nil"/>
              <w:right w:val="nil"/>
            </w:tcBorders>
            <w:shd w:val="clear" w:color="auto" w:fill="auto"/>
            <w:hideMark/>
          </w:tcPr>
          <w:p w14:paraId="434B0067" w14:textId="77777777" w:rsidR="00D73008" w:rsidRPr="00146C3B" w:rsidRDefault="00D73008" w:rsidP="00387AE5">
            <w:pPr>
              <w:jc w:val="center"/>
              <w:rPr>
                <w:rFonts w:cs="Times New Roman"/>
                <w:color w:val="000000"/>
                <w:sz w:val="18"/>
                <w:szCs w:val="18"/>
              </w:rPr>
            </w:pPr>
            <w:r w:rsidRPr="00146C3B">
              <w:rPr>
                <w:sz w:val="18"/>
                <w:szCs w:val="18"/>
              </w:rPr>
              <w:t>-2,0</w:t>
            </w:r>
          </w:p>
        </w:tc>
        <w:tc>
          <w:tcPr>
            <w:tcW w:w="567" w:type="dxa"/>
            <w:tcBorders>
              <w:top w:val="nil"/>
              <w:left w:val="nil"/>
              <w:bottom w:val="nil"/>
              <w:right w:val="nil"/>
            </w:tcBorders>
            <w:shd w:val="clear" w:color="auto" w:fill="auto"/>
            <w:hideMark/>
          </w:tcPr>
          <w:p w14:paraId="2F5B38A0" w14:textId="77777777" w:rsidR="00D73008" w:rsidRPr="00146C3B" w:rsidRDefault="00D73008" w:rsidP="00387AE5">
            <w:pPr>
              <w:jc w:val="center"/>
              <w:rPr>
                <w:rFonts w:cs="Times New Roman"/>
                <w:color w:val="000000"/>
                <w:sz w:val="18"/>
                <w:szCs w:val="18"/>
              </w:rPr>
            </w:pPr>
            <w:r w:rsidRPr="00146C3B">
              <w:rPr>
                <w:sz w:val="18"/>
                <w:szCs w:val="18"/>
              </w:rPr>
              <w:t>-1,4</w:t>
            </w:r>
          </w:p>
        </w:tc>
        <w:tc>
          <w:tcPr>
            <w:tcW w:w="709" w:type="dxa"/>
            <w:tcBorders>
              <w:top w:val="nil"/>
              <w:left w:val="nil"/>
              <w:bottom w:val="nil"/>
              <w:right w:val="nil"/>
            </w:tcBorders>
            <w:shd w:val="clear" w:color="auto" w:fill="auto"/>
            <w:hideMark/>
          </w:tcPr>
          <w:p w14:paraId="5998175C" w14:textId="77777777" w:rsidR="00D73008" w:rsidRPr="00146C3B" w:rsidRDefault="00D73008" w:rsidP="00387AE5">
            <w:pPr>
              <w:jc w:val="center"/>
              <w:rPr>
                <w:rFonts w:cs="Times New Roman"/>
                <w:color w:val="000000"/>
                <w:sz w:val="18"/>
                <w:szCs w:val="18"/>
              </w:rPr>
            </w:pPr>
            <w:r w:rsidRPr="00146C3B">
              <w:rPr>
                <w:sz w:val="18"/>
                <w:szCs w:val="18"/>
              </w:rPr>
              <w:t>-1,6</w:t>
            </w:r>
          </w:p>
        </w:tc>
        <w:tc>
          <w:tcPr>
            <w:tcW w:w="589" w:type="dxa"/>
            <w:tcBorders>
              <w:top w:val="nil"/>
              <w:left w:val="nil"/>
              <w:bottom w:val="nil"/>
              <w:right w:val="nil"/>
            </w:tcBorders>
            <w:shd w:val="clear" w:color="auto" w:fill="auto"/>
            <w:hideMark/>
          </w:tcPr>
          <w:p w14:paraId="3AC4F7F8" w14:textId="77777777" w:rsidR="00D73008" w:rsidRPr="00146C3B" w:rsidRDefault="00D73008" w:rsidP="00387AE5">
            <w:pPr>
              <w:jc w:val="center"/>
              <w:rPr>
                <w:rFonts w:cs="Times New Roman"/>
                <w:color w:val="000000"/>
                <w:sz w:val="18"/>
                <w:szCs w:val="18"/>
              </w:rPr>
            </w:pPr>
            <w:r w:rsidRPr="00146C3B">
              <w:rPr>
                <w:sz w:val="18"/>
                <w:szCs w:val="18"/>
              </w:rPr>
              <w:t>-1,0</w:t>
            </w:r>
          </w:p>
        </w:tc>
        <w:tc>
          <w:tcPr>
            <w:tcW w:w="778" w:type="dxa"/>
            <w:tcBorders>
              <w:top w:val="nil"/>
              <w:left w:val="nil"/>
              <w:bottom w:val="nil"/>
              <w:right w:val="nil"/>
            </w:tcBorders>
            <w:shd w:val="clear" w:color="auto" w:fill="auto"/>
            <w:hideMark/>
          </w:tcPr>
          <w:p w14:paraId="3169ACE0" w14:textId="77777777" w:rsidR="00D73008" w:rsidRPr="00146C3B" w:rsidRDefault="00D73008" w:rsidP="00387AE5">
            <w:pPr>
              <w:jc w:val="center"/>
              <w:rPr>
                <w:rFonts w:cs="Times New Roman"/>
                <w:color w:val="000000"/>
                <w:sz w:val="18"/>
                <w:szCs w:val="18"/>
              </w:rPr>
            </w:pPr>
            <w:r w:rsidRPr="00146C3B">
              <w:rPr>
                <w:sz w:val="18"/>
                <w:szCs w:val="18"/>
              </w:rPr>
              <w:t>-0,6</w:t>
            </w:r>
          </w:p>
        </w:tc>
      </w:tr>
      <w:tr w:rsidR="00D73008" w:rsidRPr="00146C3B" w14:paraId="11A656D2" w14:textId="77777777" w:rsidTr="00387AE5">
        <w:trPr>
          <w:trHeight w:val="283"/>
        </w:trPr>
        <w:tc>
          <w:tcPr>
            <w:tcW w:w="7512" w:type="dxa"/>
            <w:gridSpan w:val="6"/>
            <w:tcBorders>
              <w:top w:val="single" w:sz="4" w:space="0" w:color="auto"/>
              <w:left w:val="nil"/>
              <w:bottom w:val="single" w:sz="6" w:space="0" w:color="auto"/>
              <w:right w:val="nil"/>
            </w:tcBorders>
            <w:shd w:val="clear" w:color="auto" w:fill="auto"/>
            <w:vAlign w:val="center"/>
            <w:hideMark/>
          </w:tcPr>
          <w:p w14:paraId="02D939E1" w14:textId="77777777" w:rsidR="00D73008" w:rsidRPr="00146C3B" w:rsidRDefault="00D73008" w:rsidP="00387AE5">
            <w:pPr>
              <w:jc w:val="center"/>
              <w:rPr>
                <w:rFonts w:cs="Times New Roman"/>
                <w:b/>
                <w:bCs/>
                <w:color w:val="000000"/>
                <w:sz w:val="18"/>
                <w:szCs w:val="18"/>
              </w:rPr>
            </w:pPr>
            <w:r w:rsidRPr="00146C3B">
              <w:rPr>
                <w:rFonts w:cs="Times New Roman"/>
                <w:b/>
                <w:bCs/>
                <w:color w:val="000000"/>
                <w:sz w:val="18"/>
                <w:szCs w:val="18"/>
              </w:rPr>
              <w:t>Príspevky k zmene hrubého dlhu</w:t>
            </w:r>
          </w:p>
        </w:tc>
        <w:tc>
          <w:tcPr>
            <w:tcW w:w="589" w:type="dxa"/>
            <w:tcBorders>
              <w:top w:val="single" w:sz="4" w:space="0" w:color="auto"/>
              <w:left w:val="nil"/>
              <w:bottom w:val="single" w:sz="6" w:space="0" w:color="auto"/>
              <w:right w:val="nil"/>
            </w:tcBorders>
            <w:shd w:val="clear" w:color="auto" w:fill="auto"/>
            <w:vAlign w:val="center"/>
            <w:hideMark/>
          </w:tcPr>
          <w:p w14:paraId="628E2D66" w14:textId="77777777" w:rsidR="00D73008" w:rsidRPr="00146C3B" w:rsidRDefault="00D73008" w:rsidP="00387AE5">
            <w:pPr>
              <w:jc w:val="center"/>
              <w:rPr>
                <w:rFonts w:cs="Times New Roman"/>
                <w:b/>
                <w:bCs/>
                <w:color w:val="000000"/>
                <w:sz w:val="18"/>
                <w:szCs w:val="18"/>
              </w:rPr>
            </w:pPr>
            <w:r w:rsidRPr="00146C3B">
              <w:rPr>
                <w:rFonts w:cs="Times New Roman"/>
                <w:b/>
                <w:bCs/>
                <w:color w:val="000000"/>
                <w:sz w:val="18"/>
                <w:szCs w:val="18"/>
              </w:rPr>
              <w:t> </w:t>
            </w:r>
          </w:p>
        </w:tc>
        <w:tc>
          <w:tcPr>
            <w:tcW w:w="778" w:type="dxa"/>
            <w:tcBorders>
              <w:top w:val="single" w:sz="4" w:space="0" w:color="auto"/>
              <w:left w:val="nil"/>
              <w:bottom w:val="single" w:sz="6" w:space="0" w:color="auto"/>
              <w:right w:val="nil"/>
            </w:tcBorders>
            <w:shd w:val="clear" w:color="auto" w:fill="auto"/>
            <w:vAlign w:val="center"/>
            <w:hideMark/>
          </w:tcPr>
          <w:p w14:paraId="037098E6" w14:textId="77777777" w:rsidR="00D73008" w:rsidRPr="00146C3B" w:rsidRDefault="00D73008" w:rsidP="00387AE5">
            <w:pPr>
              <w:jc w:val="center"/>
              <w:rPr>
                <w:rFonts w:cs="Times New Roman"/>
                <w:b/>
                <w:bCs/>
                <w:color w:val="000000"/>
                <w:sz w:val="18"/>
                <w:szCs w:val="18"/>
              </w:rPr>
            </w:pPr>
            <w:r w:rsidRPr="00146C3B">
              <w:rPr>
                <w:rFonts w:cs="Times New Roman"/>
                <w:b/>
                <w:bCs/>
                <w:color w:val="000000"/>
                <w:sz w:val="18"/>
                <w:szCs w:val="18"/>
              </w:rPr>
              <w:t> </w:t>
            </w:r>
          </w:p>
        </w:tc>
      </w:tr>
      <w:tr w:rsidR="00D73008" w:rsidRPr="00146C3B" w14:paraId="118E3E18" w14:textId="77777777" w:rsidTr="00387AE5">
        <w:trPr>
          <w:trHeight w:val="283"/>
        </w:trPr>
        <w:tc>
          <w:tcPr>
            <w:tcW w:w="4394" w:type="dxa"/>
            <w:tcBorders>
              <w:top w:val="single" w:sz="6" w:space="0" w:color="auto"/>
              <w:left w:val="nil"/>
              <w:bottom w:val="nil"/>
              <w:right w:val="nil"/>
            </w:tcBorders>
            <w:shd w:val="clear" w:color="auto" w:fill="auto"/>
            <w:noWrap/>
            <w:vAlign w:val="center"/>
            <w:hideMark/>
          </w:tcPr>
          <w:p w14:paraId="355D70A9" w14:textId="77777777" w:rsidR="00D73008" w:rsidRPr="00146C3B" w:rsidRDefault="00D73008" w:rsidP="00387AE5">
            <w:pPr>
              <w:rPr>
                <w:rFonts w:cs="Times New Roman"/>
                <w:color w:val="000000"/>
                <w:sz w:val="18"/>
                <w:szCs w:val="18"/>
              </w:rPr>
            </w:pPr>
            <w:r w:rsidRPr="00146C3B">
              <w:rPr>
                <w:rFonts w:cs="Times New Roman"/>
                <w:color w:val="000000"/>
                <w:sz w:val="18"/>
                <w:szCs w:val="18"/>
              </w:rPr>
              <w:t>3. Primárne saldo</w:t>
            </w:r>
          </w:p>
        </w:tc>
        <w:tc>
          <w:tcPr>
            <w:tcW w:w="436" w:type="dxa"/>
            <w:tcBorders>
              <w:top w:val="single" w:sz="6" w:space="0" w:color="auto"/>
              <w:left w:val="nil"/>
              <w:bottom w:val="nil"/>
              <w:right w:val="nil"/>
            </w:tcBorders>
            <w:shd w:val="clear" w:color="auto" w:fill="auto"/>
            <w:noWrap/>
            <w:vAlign w:val="center"/>
            <w:hideMark/>
          </w:tcPr>
          <w:p w14:paraId="5CB7C9FA"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11CC59B5" w14:textId="77777777" w:rsidR="00D73008" w:rsidRPr="00146C3B" w:rsidRDefault="00D73008" w:rsidP="00387AE5">
            <w:pPr>
              <w:jc w:val="center"/>
              <w:rPr>
                <w:rFonts w:cs="Times New Roman"/>
                <w:color w:val="000000"/>
                <w:sz w:val="18"/>
                <w:szCs w:val="18"/>
              </w:rPr>
            </w:pPr>
            <w:r w:rsidRPr="00146C3B">
              <w:rPr>
                <w:sz w:val="18"/>
                <w:szCs w:val="18"/>
              </w:rPr>
              <w:t>-0,6</w:t>
            </w:r>
          </w:p>
        </w:tc>
        <w:tc>
          <w:tcPr>
            <w:tcW w:w="567" w:type="dxa"/>
            <w:tcBorders>
              <w:top w:val="nil"/>
              <w:left w:val="nil"/>
              <w:bottom w:val="nil"/>
              <w:right w:val="nil"/>
            </w:tcBorders>
            <w:shd w:val="clear" w:color="auto" w:fill="auto"/>
            <w:vAlign w:val="center"/>
            <w:hideMark/>
          </w:tcPr>
          <w:p w14:paraId="679A3F15" w14:textId="77777777" w:rsidR="00D73008" w:rsidRPr="00146C3B" w:rsidRDefault="00D73008" w:rsidP="00387AE5">
            <w:pPr>
              <w:jc w:val="center"/>
              <w:rPr>
                <w:rFonts w:cs="Times New Roman"/>
                <w:color w:val="000000"/>
                <w:sz w:val="18"/>
                <w:szCs w:val="18"/>
              </w:rPr>
            </w:pPr>
            <w:r w:rsidRPr="00146C3B">
              <w:rPr>
                <w:sz w:val="18"/>
                <w:szCs w:val="18"/>
              </w:rPr>
              <w:t>-0,6</w:t>
            </w:r>
          </w:p>
        </w:tc>
        <w:tc>
          <w:tcPr>
            <w:tcW w:w="567" w:type="dxa"/>
            <w:tcBorders>
              <w:top w:val="nil"/>
              <w:left w:val="nil"/>
              <w:bottom w:val="nil"/>
              <w:right w:val="nil"/>
            </w:tcBorders>
            <w:shd w:val="clear" w:color="auto" w:fill="auto"/>
            <w:vAlign w:val="center"/>
            <w:hideMark/>
          </w:tcPr>
          <w:p w14:paraId="2372E9AA" w14:textId="77777777" w:rsidR="00D73008" w:rsidRPr="00146C3B" w:rsidRDefault="00D73008" w:rsidP="00387AE5">
            <w:pPr>
              <w:jc w:val="center"/>
              <w:rPr>
                <w:rFonts w:cs="Times New Roman"/>
                <w:color w:val="000000"/>
                <w:sz w:val="18"/>
                <w:szCs w:val="18"/>
              </w:rPr>
            </w:pPr>
            <w:r w:rsidRPr="00146C3B">
              <w:rPr>
                <w:sz w:val="18"/>
                <w:szCs w:val="18"/>
              </w:rPr>
              <w:t>-1,2</w:t>
            </w:r>
          </w:p>
        </w:tc>
        <w:tc>
          <w:tcPr>
            <w:tcW w:w="709" w:type="dxa"/>
            <w:tcBorders>
              <w:top w:val="nil"/>
              <w:left w:val="nil"/>
              <w:bottom w:val="nil"/>
              <w:right w:val="nil"/>
            </w:tcBorders>
            <w:shd w:val="clear" w:color="auto" w:fill="auto"/>
            <w:vAlign w:val="center"/>
            <w:hideMark/>
          </w:tcPr>
          <w:p w14:paraId="0A7ADADB" w14:textId="77777777" w:rsidR="00D73008" w:rsidRPr="00146C3B" w:rsidRDefault="00D73008" w:rsidP="00387AE5">
            <w:pPr>
              <w:jc w:val="center"/>
              <w:rPr>
                <w:rFonts w:cs="Times New Roman"/>
                <w:color w:val="000000"/>
                <w:sz w:val="18"/>
                <w:szCs w:val="18"/>
              </w:rPr>
            </w:pPr>
            <w:r w:rsidRPr="00146C3B">
              <w:rPr>
                <w:sz w:val="18"/>
                <w:szCs w:val="18"/>
              </w:rPr>
              <w:t>-1,1</w:t>
            </w:r>
          </w:p>
        </w:tc>
        <w:tc>
          <w:tcPr>
            <w:tcW w:w="589" w:type="dxa"/>
            <w:tcBorders>
              <w:top w:val="nil"/>
              <w:left w:val="nil"/>
              <w:bottom w:val="nil"/>
              <w:right w:val="nil"/>
            </w:tcBorders>
            <w:shd w:val="clear" w:color="auto" w:fill="auto"/>
            <w:vAlign w:val="center"/>
            <w:hideMark/>
          </w:tcPr>
          <w:p w14:paraId="262AAA99" w14:textId="77777777" w:rsidR="00D73008" w:rsidRPr="00146C3B" w:rsidRDefault="00D73008" w:rsidP="00387AE5">
            <w:pPr>
              <w:jc w:val="center"/>
              <w:rPr>
                <w:rFonts w:cs="Times New Roman"/>
                <w:color w:val="000000"/>
                <w:sz w:val="18"/>
                <w:szCs w:val="18"/>
              </w:rPr>
            </w:pPr>
            <w:r w:rsidRPr="00146C3B">
              <w:rPr>
                <w:sz w:val="18"/>
                <w:szCs w:val="18"/>
              </w:rPr>
              <w:t>-1,0</w:t>
            </w:r>
          </w:p>
        </w:tc>
        <w:tc>
          <w:tcPr>
            <w:tcW w:w="778" w:type="dxa"/>
            <w:tcBorders>
              <w:top w:val="nil"/>
              <w:left w:val="nil"/>
              <w:bottom w:val="nil"/>
              <w:right w:val="nil"/>
            </w:tcBorders>
            <w:shd w:val="clear" w:color="auto" w:fill="auto"/>
            <w:vAlign w:val="center"/>
            <w:hideMark/>
          </w:tcPr>
          <w:p w14:paraId="4DDF7B69" w14:textId="77777777" w:rsidR="00D73008" w:rsidRPr="00146C3B" w:rsidRDefault="00D73008" w:rsidP="00387AE5">
            <w:pPr>
              <w:jc w:val="center"/>
              <w:rPr>
                <w:rFonts w:cs="Times New Roman"/>
                <w:color w:val="000000"/>
                <w:sz w:val="18"/>
                <w:szCs w:val="18"/>
              </w:rPr>
            </w:pPr>
            <w:r w:rsidRPr="00146C3B">
              <w:rPr>
                <w:sz w:val="18"/>
                <w:szCs w:val="18"/>
              </w:rPr>
              <w:t>-1,0</w:t>
            </w:r>
          </w:p>
        </w:tc>
      </w:tr>
      <w:tr w:rsidR="00D73008" w:rsidRPr="00146C3B" w14:paraId="40F51161" w14:textId="77777777" w:rsidTr="00387AE5">
        <w:trPr>
          <w:trHeight w:val="283"/>
        </w:trPr>
        <w:tc>
          <w:tcPr>
            <w:tcW w:w="4830" w:type="dxa"/>
            <w:gridSpan w:val="2"/>
            <w:tcBorders>
              <w:top w:val="nil"/>
              <w:left w:val="nil"/>
              <w:bottom w:val="nil"/>
              <w:right w:val="nil"/>
            </w:tcBorders>
            <w:shd w:val="clear" w:color="auto" w:fill="auto"/>
            <w:noWrap/>
            <w:vAlign w:val="center"/>
            <w:hideMark/>
          </w:tcPr>
          <w:p w14:paraId="18F0D51F" w14:textId="77777777" w:rsidR="00D73008" w:rsidRPr="00146C3B" w:rsidRDefault="00D73008" w:rsidP="00387AE5">
            <w:pPr>
              <w:rPr>
                <w:rFonts w:cs="Times New Roman"/>
                <w:color w:val="000000"/>
                <w:sz w:val="18"/>
                <w:szCs w:val="18"/>
              </w:rPr>
            </w:pPr>
            <w:r w:rsidRPr="00146C3B">
              <w:rPr>
                <w:rFonts w:cs="Times New Roman"/>
                <w:color w:val="000000"/>
                <w:sz w:val="18"/>
                <w:szCs w:val="18"/>
              </w:rPr>
              <w:t xml:space="preserve">4. Úroky                                                                                        </w:t>
            </w:r>
          </w:p>
        </w:tc>
        <w:tc>
          <w:tcPr>
            <w:tcW w:w="839" w:type="dxa"/>
            <w:tcBorders>
              <w:top w:val="nil"/>
              <w:left w:val="nil"/>
              <w:bottom w:val="nil"/>
              <w:right w:val="nil"/>
            </w:tcBorders>
            <w:shd w:val="clear" w:color="auto" w:fill="auto"/>
            <w:vAlign w:val="center"/>
            <w:hideMark/>
          </w:tcPr>
          <w:p w14:paraId="6A2CB4CA" w14:textId="77777777" w:rsidR="00D73008" w:rsidRPr="00146C3B" w:rsidRDefault="00D73008" w:rsidP="00387AE5">
            <w:pPr>
              <w:jc w:val="center"/>
              <w:rPr>
                <w:rFonts w:cs="Times New Roman"/>
                <w:color w:val="000000"/>
                <w:sz w:val="18"/>
                <w:szCs w:val="18"/>
              </w:rPr>
            </w:pPr>
            <w:r w:rsidRPr="00146C3B">
              <w:rPr>
                <w:rFonts w:cs="Times New Roman"/>
                <w:color w:val="000000"/>
                <w:sz w:val="18"/>
                <w:szCs w:val="18"/>
              </w:rPr>
              <w:t>1,4</w:t>
            </w:r>
          </w:p>
        </w:tc>
        <w:tc>
          <w:tcPr>
            <w:tcW w:w="567" w:type="dxa"/>
            <w:tcBorders>
              <w:top w:val="nil"/>
              <w:left w:val="nil"/>
              <w:bottom w:val="nil"/>
              <w:right w:val="nil"/>
            </w:tcBorders>
            <w:shd w:val="clear" w:color="auto" w:fill="auto"/>
            <w:vAlign w:val="center"/>
            <w:hideMark/>
          </w:tcPr>
          <w:p w14:paraId="5020A1DE" w14:textId="77777777" w:rsidR="00D73008" w:rsidRPr="00146C3B" w:rsidRDefault="00D73008" w:rsidP="00387AE5">
            <w:pPr>
              <w:jc w:val="center"/>
              <w:rPr>
                <w:rFonts w:cs="Times New Roman"/>
                <w:color w:val="000000"/>
                <w:sz w:val="18"/>
                <w:szCs w:val="18"/>
              </w:rPr>
            </w:pPr>
            <w:r w:rsidRPr="00146C3B">
              <w:rPr>
                <w:sz w:val="18"/>
                <w:szCs w:val="18"/>
              </w:rPr>
              <w:t>1,3</w:t>
            </w:r>
          </w:p>
        </w:tc>
        <w:tc>
          <w:tcPr>
            <w:tcW w:w="567" w:type="dxa"/>
            <w:tcBorders>
              <w:top w:val="nil"/>
              <w:left w:val="nil"/>
              <w:bottom w:val="nil"/>
              <w:right w:val="nil"/>
            </w:tcBorders>
            <w:shd w:val="clear" w:color="auto" w:fill="auto"/>
            <w:vAlign w:val="center"/>
            <w:hideMark/>
          </w:tcPr>
          <w:p w14:paraId="0EEE9E7D" w14:textId="77777777" w:rsidR="00D73008" w:rsidRPr="00146C3B" w:rsidRDefault="00D73008" w:rsidP="00387AE5">
            <w:pPr>
              <w:jc w:val="center"/>
              <w:rPr>
                <w:rFonts w:cs="Times New Roman"/>
                <w:color w:val="000000"/>
                <w:sz w:val="18"/>
                <w:szCs w:val="18"/>
              </w:rPr>
            </w:pPr>
            <w:r w:rsidRPr="00146C3B">
              <w:rPr>
                <w:sz w:val="18"/>
                <w:szCs w:val="18"/>
              </w:rPr>
              <w:t>1,2</w:t>
            </w:r>
          </w:p>
        </w:tc>
        <w:tc>
          <w:tcPr>
            <w:tcW w:w="709" w:type="dxa"/>
            <w:tcBorders>
              <w:top w:val="nil"/>
              <w:left w:val="nil"/>
              <w:bottom w:val="nil"/>
              <w:right w:val="nil"/>
            </w:tcBorders>
            <w:shd w:val="clear" w:color="auto" w:fill="auto"/>
            <w:vAlign w:val="center"/>
            <w:hideMark/>
          </w:tcPr>
          <w:p w14:paraId="7342D6E8" w14:textId="77777777" w:rsidR="00D73008" w:rsidRPr="00146C3B" w:rsidRDefault="00D73008" w:rsidP="00387AE5">
            <w:pPr>
              <w:jc w:val="center"/>
              <w:rPr>
                <w:rFonts w:cs="Times New Roman"/>
                <w:color w:val="000000"/>
                <w:sz w:val="18"/>
                <w:szCs w:val="18"/>
              </w:rPr>
            </w:pPr>
            <w:r w:rsidRPr="00146C3B">
              <w:rPr>
                <w:sz w:val="18"/>
                <w:szCs w:val="18"/>
              </w:rPr>
              <w:t>1,1</w:t>
            </w:r>
          </w:p>
        </w:tc>
        <w:tc>
          <w:tcPr>
            <w:tcW w:w="589" w:type="dxa"/>
            <w:tcBorders>
              <w:top w:val="nil"/>
              <w:left w:val="nil"/>
              <w:bottom w:val="nil"/>
              <w:right w:val="nil"/>
            </w:tcBorders>
            <w:shd w:val="clear" w:color="auto" w:fill="auto"/>
            <w:vAlign w:val="center"/>
            <w:hideMark/>
          </w:tcPr>
          <w:p w14:paraId="663B76A5" w14:textId="77777777" w:rsidR="00D73008" w:rsidRPr="00146C3B" w:rsidRDefault="00D73008" w:rsidP="00387AE5">
            <w:pPr>
              <w:jc w:val="center"/>
              <w:rPr>
                <w:rFonts w:cs="Times New Roman"/>
                <w:color w:val="000000"/>
                <w:sz w:val="18"/>
                <w:szCs w:val="18"/>
              </w:rPr>
            </w:pPr>
            <w:r w:rsidRPr="00146C3B">
              <w:rPr>
                <w:sz w:val="18"/>
                <w:szCs w:val="18"/>
              </w:rPr>
              <w:t>1,0</w:t>
            </w:r>
          </w:p>
        </w:tc>
        <w:tc>
          <w:tcPr>
            <w:tcW w:w="778" w:type="dxa"/>
            <w:tcBorders>
              <w:top w:val="nil"/>
              <w:left w:val="nil"/>
              <w:bottom w:val="nil"/>
              <w:right w:val="nil"/>
            </w:tcBorders>
            <w:shd w:val="clear" w:color="auto" w:fill="auto"/>
            <w:vAlign w:val="center"/>
            <w:hideMark/>
          </w:tcPr>
          <w:p w14:paraId="1243753B" w14:textId="77777777" w:rsidR="00D73008" w:rsidRPr="00146C3B" w:rsidRDefault="00D73008" w:rsidP="00387AE5">
            <w:pPr>
              <w:jc w:val="center"/>
              <w:rPr>
                <w:rFonts w:cs="Times New Roman"/>
                <w:color w:val="000000"/>
                <w:sz w:val="18"/>
                <w:szCs w:val="18"/>
              </w:rPr>
            </w:pPr>
            <w:r w:rsidRPr="00146C3B">
              <w:rPr>
                <w:sz w:val="18"/>
                <w:szCs w:val="18"/>
              </w:rPr>
              <w:t>1,0</w:t>
            </w:r>
          </w:p>
        </w:tc>
      </w:tr>
      <w:tr w:rsidR="00D73008" w:rsidRPr="00146C3B" w14:paraId="74941C6D" w14:textId="77777777" w:rsidTr="00387AE5">
        <w:trPr>
          <w:trHeight w:val="283"/>
        </w:trPr>
        <w:tc>
          <w:tcPr>
            <w:tcW w:w="4394" w:type="dxa"/>
            <w:tcBorders>
              <w:top w:val="nil"/>
              <w:left w:val="nil"/>
              <w:bottom w:val="nil"/>
              <w:right w:val="nil"/>
            </w:tcBorders>
            <w:shd w:val="clear" w:color="auto" w:fill="auto"/>
            <w:vAlign w:val="center"/>
            <w:hideMark/>
          </w:tcPr>
          <w:p w14:paraId="14A891E1" w14:textId="77777777" w:rsidR="00D73008" w:rsidRPr="00146C3B" w:rsidRDefault="00D73008" w:rsidP="00387AE5">
            <w:pPr>
              <w:rPr>
                <w:rFonts w:cs="Times New Roman"/>
                <w:color w:val="000000"/>
                <w:sz w:val="18"/>
                <w:szCs w:val="18"/>
              </w:rPr>
            </w:pPr>
            <w:r w:rsidRPr="00146C3B">
              <w:rPr>
                <w:rFonts w:cs="Times New Roman"/>
                <w:color w:val="000000"/>
                <w:sz w:val="18"/>
                <w:szCs w:val="18"/>
              </w:rPr>
              <w:t>5. Zosúladenie dlhu a deficitu</w:t>
            </w:r>
          </w:p>
        </w:tc>
        <w:tc>
          <w:tcPr>
            <w:tcW w:w="436" w:type="dxa"/>
            <w:tcBorders>
              <w:top w:val="nil"/>
              <w:left w:val="nil"/>
              <w:bottom w:val="nil"/>
              <w:right w:val="nil"/>
            </w:tcBorders>
            <w:shd w:val="clear" w:color="auto" w:fill="auto"/>
            <w:vAlign w:val="center"/>
            <w:hideMark/>
          </w:tcPr>
          <w:p w14:paraId="21F11DD6"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3A125DF4" w14:textId="77777777" w:rsidR="00D73008" w:rsidRPr="00146C3B" w:rsidRDefault="00D73008" w:rsidP="00387AE5">
            <w:pPr>
              <w:jc w:val="center"/>
              <w:rPr>
                <w:rFonts w:cs="Times New Roman"/>
                <w:color w:val="000000"/>
                <w:sz w:val="18"/>
                <w:szCs w:val="18"/>
              </w:rPr>
            </w:pPr>
            <w:r w:rsidRPr="00146C3B">
              <w:rPr>
                <w:sz w:val="18"/>
                <w:szCs w:val="18"/>
              </w:rPr>
              <w:t>0,6</w:t>
            </w:r>
          </w:p>
        </w:tc>
        <w:tc>
          <w:tcPr>
            <w:tcW w:w="567" w:type="dxa"/>
            <w:tcBorders>
              <w:top w:val="nil"/>
              <w:left w:val="nil"/>
              <w:bottom w:val="nil"/>
              <w:right w:val="nil"/>
            </w:tcBorders>
            <w:shd w:val="clear" w:color="auto" w:fill="auto"/>
            <w:vAlign w:val="center"/>
            <w:hideMark/>
          </w:tcPr>
          <w:p w14:paraId="6DAB30DB" w14:textId="77777777" w:rsidR="00D73008" w:rsidRPr="00146C3B" w:rsidRDefault="00D73008" w:rsidP="00387AE5">
            <w:pPr>
              <w:jc w:val="center"/>
              <w:rPr>
                <w:rFonts w:cs="Times New Roman"/>
                <w:color w:val="000000"/>
                <w:sz w:val="18"/>
                <w:szCs w:val="18"/>
              </w:rPr>
            </w:pPr>
            <w:r w:rsidRPr="00146C3B">
              <w:rPr>
                <w:sz w:val="18"/>
                <w:szCs w:val="18"/>
              </w:rPr>
              <w:t>0,3</w:t>
            </w:r>
          </w:p>
        </w:tc>
        <w:tc>
          <w:tcPr>
            <w:tcW w:w="567" w:type="dxa"/>
            <w:tcBorders>
              <w:top w:val="nil"/>
              <w:left w:val="nil"/>
              <w:bottom w:val="nil"/>
              <w:right w:val="nil"/>
            </w:tcBorders>
            <w:shd w:val="clear" w:color="auto" w:fill="auto"/>
            <w:vAlign w:val="center"/>
            <w:hideMark/>
          </w:tcPr>
          <w:p w14:paraId="5B7E2BE1" w14:textId="77777777" w:rsidR="00D73008" w:rsidRPr="00146C3B" w:rsidRDefault="00D73008" w:rsidP="00387AE5">
            <w:pPr>
              <w:jc w:val="center"/>
              <w:rPr>
                <w:rFonts w:cs="Times New Roman"/>
                <w:color w:val="000000"/>
                <w:sz w:val="18"/>
                <w:szCs w:val="18"/>
              </w:rPr>
            </w:pPr>
            <w:r w:rsidRPr="00146C3B">
              <w:rPr>
                <w:sz w:val="18"/>
                <w:szCs w:val="18"/>
              </w:rPr>
              <w:t>1,7</w:t>
            </w:r>
          </w:p>
        </w:tc>
        <w:tc>
          <w:tcPr>
            <w:tcW w:w="709" w:type="dxa"/>
            <w:tcBorders>
              <w:top w:val="nil"/>
              <w:left w:val="nil"/>
              <w:bottom w:val="nil"/>
              <w:right w:val="nil"/>
            </w:tcBorders>
            <w:shd w:val="clear" w:color="auto" w:fill="auto"/>
            <w:vAlign w:val="center"/>
            <w:hideMark/>
          </w:tcPr>
          <w:p w14:paraId="12664D5A" w14:textId="77777777" w:rsidR="00D73008" w:rsidRPr="00146C3B" w:rsidRDefault="00D73008" w:rsidP="00387AE5">
            <w:pPr>
              <w:jc w:val="center"/>
              <w:rPr>
                <w:rFonts w:cs="Times New Roman"/>
                <w:color w:val="000000"/>
                <w:sz w:val="18"/>
                <w:szCs w:val="18"/>
              </w:rPr>
            </w:pPr>
            <w:r w:rsidRPr="00146C3B">
              <w:rPr>
                <w:sz w:val="18"/>
                <w:szCs w:val="18"/>
              </w:rPr>
              <w:t>1,2</w:t>
            </w:r>
          </w:p>
        </w:tc>
        <w:tc>
          <w:tcPr>
            <w:tcW w:w="589" w:type="dxa"/>
            <w:tcBorders>
              <w:top w:val="nil"/>
              <w:left w:val="nil"/>
              <w:bottom w:val="nil"/>
              <w:right w:val="nil"/>
            </w:tcBorders>
            <w:shd w:val="clear" w:color="auto" w:fill="auto"/>
            <w:vAlign w:val="center"/>
            <w:hideMark/>
          </w:tcPr>
          <w:p w14:paraId="79B23DC6" w14:textId="77777777" w:rsidR="00D73008" w:rsidRPr="00146C3B" w:rsidRDefault="00D73008" w:rsidP="00387AE5">
            <w:pPr>
              <w:jc w:val="center"/>
              <w:rPr>
                <w:rFonts w:cs="Times New Roman"/>
                <w:color w:val="000000"/>
                <w:sz w:val="18"/>
                <w:szCs w:val="18"/>
              </w:rPr>
            </w:pPr>
            <w:r w:rsidRPr="00146C3B">
              <w:rPr>
                <w:sz w:val="18"/>
                <w:szCs w:val="18"/>
              </w:rPr>
              <w:t>1,5</w:t>
            </w:r>
          </w:p>
        </w:tc>
        <w:tc>
          <w:tcPr>
            <w:tcW w:w="778" w:type="dxa"/>
            <w:tcBorders>
              <w:top w:val="nil"/>
              <w:left w:val="nil"/>
              <w:bottom w:val="nil"/>
              <w:right w:val="nil"/>
            </w:tcBorders>
            <w:shd w:val="clear" w:color="auto" w:fill="auto"/>
            <w:vAlign w:val="center"/>
            <w:hideMark/>
          </w:tcPr>
          <w:p w14:paraId="45F8CB17" w14:textId="77777777" w:rsidR="00D73008" w:rsidRPr="00146C3B" w:rsidRDefault="00D73008" w:rsidP="00387AE5">
            <w:pPr>
              <w:jc w:val="center"/>
              <w:rPr>
                <w:rFonts w:cs="Times New Roman"/>
                <w:color w:val="000000"/>
                <w:sz w:val="18"/>
                <w:szCs w:val="18"/>
              </w:rPr>
            </w:pPr>
            <w:r w:rsidRPr="00146C3B">
              <w:rPr>
                <w:sz w:val="18"/>
                <w:szCs w:val="18"/>
              </w:rPr>
              <w:t>1,6</w:t>
            </w:r>
          </w:p>
        </w:tc>
      </w:tr>
      <w:tr w:rsidR="00D73008" w:rsidRPr="00146C3B" w14:paraId="1E573ADD" w14:textId="77777777" w:rsidTr="00387AE5">
        <w:trPr>
          <w:trHeight w:val="283"/>
        </w:trPr>
        <w:tc>
          <w:tcPr>
            <w:tcW w:w="4394" w:type="dxa"/>
            <w:tcBorders>
              <w:top w:val="nil"/>
              <w:left w:val="nil"/>
              <w:bottom w:val="nil"/>
              <w:right w:val="nil"/>
            </w:tcBorders>
            <w:shd w:val="clear" w:color="auto" w:fill="auto"/>
            <w:vAlign w:val="center"/>
            <w:hideMark/>
          </w:tcPr>
          <w:p w14:paraId="71137117" w14:textId="77777777" w:rsidR="00D73008" w:rsidRPr="00146C3B" w:rsidRDefault="00D73008" w:rsidP="00387AE5">
            <w:pPr>
              <w:rPr>
                <w:rFonts w:cs="Times New Roman"/>
                <w:color w:val="000000"/>
                <w:sz w:val="18"/>
                <w:szCs w:val="18"/>
              </w:rPr>
            </w:pPr>
            <w:r w:rsidRPr="00146C3B">
              <w:rPr>
                <w:rFonts w:cs="Times New Roman"/>
                <w:color w:val="000000"/>
                <w:sz w:val="18"/>
                <w:szCs w:val="18"/>
              </w:rPr>
              <w:t>z toho:</w:t>
            </w:r>
          </w:p>
        </w:tc>
        <w:tc>
          <w:tcPr>
            <w:tcW w:w="436" w:type="dxa"/>
            <w:tcBorders>
              <w:top w:val="nil"/>
              <w:left w:val="nil"/>
              <w:bottom w:val="nil"/>
              <w:right w:val="nil"/>
            </w:tcBorders>
            <w:shd w:val="clear" w:color="auto" w:fill="auto"/>
            <w:vAlign w:val="center"/>
            <w:hideMark/>
          </w:tcPr>
          <w:p w14:paraId="11E663FD"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4E96924A" w14:textId="77777777" w:rsidR="00D73008" w:rsidRPr="00146C3B" w:rsidRDefault="00D73008" w:rsidP="00387AE5">
            <w:pPr>
              <w:jc w:val="center"/>
              <w:rPr>
                <w:rFonts w:ascii="Times New Roman" w:hAnsi="Times New Roman" w:cs="Times New Roman"/>
                <w:sz w:val="18"/>
                <w:szCs w:val="18"/>
              </w:rPr>
            </w:pPr>
          </w:p>
        </w:tc>
        <w:tc>
          <w:tcPr>
            <w:tcW w:w="567" w:type="dxa"/>
            <w:tcBorders>
              <w:top w:val="nil"/>
              <w:left w:val="nil"/>
              <w:bottom w:val="nil"/>
              <w:right w:val="nil"/>
            </w:tcBorders>
            <w:shd w:val="clear" w:color="auto" w:fill="auto"/>
            <w:vAlign w:val="center"/>
            <w:hideMark/>
          </w:tcPr>
          <w:p w14:paraId="0176EF43" w14:textId="77777777" w:rsidR="00D73008" w:rsidRPr="00146C3B" w:rsidRDefault="00D73008" w:rsidP="00387AE5">
            <w:pPr>
              <w:jc w:val="center"/>
              <w:rPr>
                <w:rFonts w:ascii="Times New Roman" w:hAnsi="Times New Roman" w:cs="Times New Roman"/>
                <w:sz w:val="18"/>
                <w:szCs w:val="18"/>
              </w:rPr>
            </w:pPr>
          </w:p>
        </w:tc>
        <w:tc>
          <w:tcPr>
            <w:tcW w:w="567" w:type="dxa"/>
            <w:tcBorders>
              <w:top w:val="nil"/>
              <w:left w:val="nil"/>
              <w:bottom w:val="nil"/>
              <w:right w:val="nil"/>
            </w:tcBorders>
            <w:shd w:val="clear" w:color="auto" w:fill="auto"/>
            <w:vAlign w:val="center"/>
            <w:hideMark/>
          </w:tcPr>
          <w:p w14:paraId="4AC590AA" w14:textId="77777777" w:rsidR="00D73008" w:rsidRPr="00146C3B" w:rsidRDefault="00D73008" w:rsidP="00387AE5">
            <w:pPr>
              <w:jc w:val="center"/>
              <w:rPr>
                <w:rFonts w:ascii="Times New Roman" w:hAnsi="Times New Roman" w:cs="Times New Roman"/>
                <w:sz w:val="18"/>
                <w:szCs w:val="18"/>
              </w:rPr>
            </w:pPr>
          </w:p>
        </w:tc>
        <w:tc>
          <w:tcPr>
            <w:tcW w:w="709" w:type="dxa"/>
            <w:tcBorders>
              <w:top w:val="nil"/>
              <w:left w:val="nil"/>
              <w:bottom w:val="nil"/>
              <w:right w:val="nil"/>
            </w:tcBorders>
            <w:shd w:val="clear" w:color="auto" w:fill="auto"/>
            <w:vAlign w:val="center"/>
            <w:hideMark/>
          </w:tcPr>
          <w:p w14:paraId="184BB3DC" w14:textId="77777777" w:rsidR="00D73008" w:rsidRPr="00146C3B" w:rsidRDefault="00D73008" w:rsidP="00387AE5">
            <w:pPr>
              <w:jc w:val="center"/>
              <w:rPr>
                <w:rFonts w:ascii="Times New Roman" w:hAnsi="Times New Roman" w:cs="Times New Roman"/>
                <w:sz w:val="18"/>
                <w:szCs w:val="18"/>
              </w:rPr>
            </w:pPr>
          </w:p>
        </w:tc>
        <w:tc>
          <w:tcPr>
            <w:tcW w:w="589" w:type="dxa"/>
            <w:tcBorders>
              <w:top w:val="nil"/>
              <w:left w:val="nil"/>
              <w:bottom w:val="nil"/>
              <w:right w:val="nil"/>
            </w:tcBorders>
            <w:shd w:val="clear" w:color="auto" w:fill="auto"/>
            <w:vAlign w:val="center"/>
            <w:hideMark/>
          </w:tcPr>
          <w:p w14:paraId="2B3FC5A8" w14:textId="77777777" w:rsidR="00D73008" w:rsidRPr="00146C3B" w:rsidRDefault="00D73008" w:rsidP="00387AE5">
            <w:pPr>
              <w:jc w:val="center"/>
              <w:rPr>
                <w:rFonts w:ascii="Times New Roman" w:hAnsi="Times New Roman" w:cs="Times New Roman"/>
                <w:sz w:val="18"/>
                <w:szCs w:val="18"/>
              </w:rPr>
            </w:pPr>
          </w:p>
        </w:tc>
        <w:tc>
          <w:tcPr>
            <w:tcW w:w="778" w:type="dxa"/>
            <w:tcBorders>
              <w:top w:val="nil"/>
              <w:left w:val="nil"/>
              <w:bottom w:val="nil"/>
              <w:right w:val="nil"/>
            </w:tcBorders>
            <w:shd w:val="clear" w:color="auto" w:fill="auto"/>
            <w:vAlign w:val="center"/>
            <w:hideMark/>
          </w:tcPr>
          <w:p w14:paraId="488E837D" w14:textId="77777777" w:rsidR="00D73008" w:rsidRPr="00146C3B" w:rsidRDefault="00D73008" w:rsidP="00387AE5">
            <w:pPr>
              <w:jc w:val="center"/>
              <w:rPr>
                <w:rFonts w:ascii="Times New Roman" w:hAnsi="Times New Roman" w:cs="Times New Roman"/>
                <w:sz w:val="18"/>
                <w:szCs w:val="18"/>
              </w:rPr>
            </w:pPr>
          </w:p>
        </w:tc>
      </w:tr>
      <w:tr w:rsidR="00D73008" w:rsidRPr="00146C3B" w14:paraId="6821B0A1" w14:textId="77777777" w:rsidTr="00387AE5">
        <w:trPr>
          <w:trHeight w:val="283"/>
        </w:trPr>
        <w:tc>
          <w:tcPr>
            <w:tcW w:w="4394" w:type="dxa"/>
            <w:tcBorders>
              <w:top w:val="nil"/>
              <w:left w:val="nil"/>
              <w:bottom w:val="nil"/>
              <w:right w:val="nil"/>
            </w:tcBorders>
            <w:shd w:val="clear" w:color="auto" w:fill="auto"/>
            <w:noWrap/>
            <w:vAlign w:val="center"/>
            <w:hideMark/>
          </w:tcPr>
          <w:p w14:paraId="1379EBB5" w14:textId="77777777" w:rsidR="00D73008" w:rsidRPr="00146C3B" w:rsidRDefault="00D73008" w:rsidP="00387AE5">
            <w:pPr>
              <w:ind w:firstLineChars="100" w:firstLine="180"/>
              <w:rPr>
                <w:rFonts w:cs="Times New Roman"/>
                <w:color w:val="000000"/>
                <w:sz w:val="18"/>
                <w:szCs w:val="18"/>
              </w:rPr>
            </w:pPr>
            <w:r w:rsidRPr="00146C3B">
              <w:rPr>
                <w:rFonts w:cs="Times New Roman"/>
                <w:color w:val="000000"/>
                <w:sz w:val="18"/>
                <w:szCs w:val="18"/>
              </w:rPr>
              <w:t>- Rozdiely medzi cash a akruálom</w:t>
            </w:r>
          </w:p>
        </w:tc>
        <w:tc>
          <w:tcPr>
            <w:tcW w:w="436" w:type="dxa"/>
            <w:tcBorders>
              <w:top w:val="nil"/>
              <w:left w:val="nil"/>
              <w:bottom w:val="nil"/>
              <w:right w:val="nil"/>
            </w:tcBorders>
            <w:shd w:val="clear" w:color="auto" w:fill="auto"/>
            <w:noWrap/>
            <w:vAlign w:val="center"/>
            <w:hideMark/>
          </w:tcPr>
          <w:p w14:paraId="475433CE" w14:textId="77777777" w:rsidR="00D73008" w:rsidRPr="00146C3B" w:rsidRDefault="00D73008" w:rsidP="00387AE5">
            <w:pPr>
              <w:ind w:firstLineChars="100" w:firstLine="180"/>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04543065" w14:textId="77777777" w:rsidR="00D73008" w:rsidRPr="00146C3B" w:rsidRDefault="00D73008" w:rsidP="00387AE5">
            <w:pPr>
              <w:jc w:val="center"/>
              <w:rPr>
                <w:rFonts w:cs="Times New Roman"/>
                <w:color w:val="000000"/>
                <w:sz w:val="18"/>
                <w:szCs w:val="18"/>
              </w:rPr>
            </w:pPr>
            <w:r w:rsidRPr="00146C3B">
              <w:rPr>
                <w:sz w:val="18"/>
                <w:szCs w:val="18"/>
              </w:rPr>
              <w:t>0,0</w:t>
            </w:r>
          </w:p>
        </w:tc>
        <w:tc>
          <w:tcPr>
            <w:tcW w:w="567" w:type="dxa"/>
            <w:tcBorders>
              <w:top w:val="nil"/>
              <w:left w:val="nil"/>
              <w:bottom w:val="nil"/>
              <w:right w:val="nil"/>
            </w:tcBorders>
            <w:shd w:val="clear" w:color="auto" w:fill="auto"/>
            <w:vAlign w:val="center"/>
            <w:hideMark/>
          </w:tcPr>
          <w:p w14:paraId="2CD13BE7" w14:textId="77777777" w:rsidR="00D73008" w:rsidRPr="00146C3B" w:rsidRDefault="00D73008" w:rsidP="00387AE5">
            <w:pPr>
              <w:jc w:val="center"/>
              <w:rPr>
                <w:rFonts w:cs="Times New Roman"/>
                <w:color w:val="000000"/>
                <w:sz w:val="18"/>
                <w:szCs w:val="18"/>
              </w:rPr>
            </w:pPr>
            <w:r w:rsidRPr="00146C3B">
              <w:rPr>
                <w:sz w:val="18"/>
                <w:szCs w:val="18"/>
              </w:rPr>
              <w:t>-0,3</w:t>
            </w:r>
          </w:p>
        </w:tc>
        <w:tc>
          <w:tcPr>
            <w:tcW w:w="567" w:type="dxa"/>
            <w:tcBorders>
              <w:top w:val="nil"/>
              <w:left w:val="nil"/>
              <w:bottom w:val="nil"/>
              <w:right w:val="nil"/>
            </w:tcBorders>
            <w:shd w:val="clear" w:color="auto" w:fill="auto"/>
            <w:vAlign w:val="center"/>
            <w:hideMark/>
          </w:tcPr>
          <w:p w14:paraId="71F3E302" w14:textId="77777777" w:rsidR="00D73008" w:rsidRPr="00146C3B" w:rsidRDefault="00D73008" w:rsidP="00387AE5">
            <w:pPr>
              <w:jc w:val="center"/>
              <w:rPr>
                <w:rFonts w:cs="Times New Roman"/>
                <w:color w:val="000000"/>
                <w:sz w:val="18"/>
                <w:szCs w:val="18"/>
              </w:rPr>
            </w:pPr>
            <w:r w:rsidRPr="00146C3B">
              <w:rPr>
                <w:sz w:val="18"/>
                <w:szCs w:val="18"/>
              </w:rPr>
              <w:t>1,2</w:t>
            </w:r>
          </w:p>
        </w:tc>
        <w:tc>
          <w:tcPr>
            <w:tcW w:w="709" w:type="dxa"/>
            <w:tcBorders>
              <w:top w:val="nil"/>
              <w:left w:val="nil"/>
              <w:bottom w:val="nil"/>
              <w:right w:val="nil"/>
            </w:tcBorders>
            <w:shd w:val="clear" w:color="auto" w:fill="auto"/>
            <w:vAlign w:val="center"/>
            <w:hideMark/>
          </w:tcPr>
          <w:p w14:paraId="3458B89E" w14:textId="77777777" w:rsidR="00D73008" w:rsidRPr="00146C3B" w:rsidRDefault="00D73008" w:rsidP="00387AE5">
            <w:pPr>
              <w:jc w:val="center"/>
              <w:rPr>
                <w:rFonts w:cs="Times New Roman"/>
                <w:color w:val="000000"/>
                <w:sz w:val="18"/>
                <w:szCs w:val="18"/>
              </w:rPr>
            </w:pPr>
            <w:r w:rsidRPr="00146C3B">
              <w:rPr>
                <w:sz w:val="18"/>
                <w:szCs w:val="18"/>
              </w:rPr>
              <w:t>1,0</w:t>
            </w:r>
          </w:p>
        </w:tc>
        <w:tc>
          <w:tcPr>
            <w:tcW w:w="589" w:type="dxa"/>
            <w:tcBorders>
              <w:top w:val="nil"/>
              <w:left w:val="nil"/>
              <w:bottom w:val="nil"/>
              <w:right w:val="nil"/>
            </w:tcBorders>
            <w:shd w:val="clear" w:color="auto" w:fill="auto"/>
            <w:vAlign w:val="center"/>
            <w:hideMark/>
          </w:tcPr>
          <w:p w14:paraId="4AAF46A9" w14:textId="77777777" w:rsidR="00D73008" w:rsidRPr="00146C3B" w:rsidRDefault="00D73008" w:rsidP="00387AE5">
            <w:pPr>
              <w:jc w:val="center"/>
              <w:rPr>
                <w:rFonts w:cs="Times New Roman"/>
                <w:color w:val="000000"/>
                <w:sz w:val="18"/>
                <w:szCs w:val="18"/>
              </w:rPr>
            </w:pPr>
            <w:r w:rsidRPr="00146C3B">
              <w:rPr>
                <w:sz w:val="18"/>
                <w:szCs w:val="18"/>
              </w:rPr>
              <w:t>0,7</w:t>
            </w:r>
          </w:p>
        </w:tc>
        <w:tc>
          <w:tcPr>
            <w:tcW w:w="778" w:type="dxa"/>
            <w:tcBorders>
              <w:top w:val="nil"/>
              <w:left w:val="nil"/>
              <w:bottom w:val="nil"/>
              <w:right w:val="nil"/>
            </w:tcBorders>
            <w:shd w:val="clear" w:color="auto" w:fill="auto"/>
            <w:vAlign w:val="center"/>
            <w:hideMark/>
          </w:tcPr>
          <w:p w14:paraId="4136A340" w14:textId="77777777" w:rsidR="00D73008" w:rsidRPr="00146C3B" w:rsidRDefault="00D73008" w:rsidP="00387AE5">
            <w:pPr>
              <w:jc w:val="center"/>
              <w:rPr>
                <w:rFonts w:cs="Times New Roman"/>
                <w:color w:val="000000"/>
                <w:sz w:val="18"/>
                <w:szCs w:val="18"/>
              </w:rPr>
            </w:pPr>
            <w:r w:rsidRPr="00146C3B">
              <w:rPr>
                <w:sz w:val="18"/>
                <w:szCs w:val="18"/>
              </w:rPr>
              <w:t>0,1</w:t>
            </w:r>
          </w:p>
        </w:tc>
      </w:tr>
      <w:tr w:rsidR="00D73008" w:rsidRPr="00146C3B" w14:paraId="5E8DDE68" w14:textId="77777777" w:rsidTr="00387AE5">
        <w:trPr>
          <w:trHeight w:val="283"/>
        </w:trPr>
        <w:tc>
          <w:tcPr>
            <w:tcW w:w="4394" w:type="dxa"/>
            <w:tcBorders>
              <w:top w:val="nil"/>
              <w:left w:val="nil"/>
              <w:bottom w:val="nil"/>
              <w:right w:val="nil"/>
            </w:tcBorders>
            <w:shd w:val="clear" w:color="auto" w:fill="auto"/>
            <w:noWrap/>
            <w:vAlign w:val="center"/>
            <w:hideMark/>
          </w:tcPr>
          <w:p w14:paraId="6F81FD48" w14:textId="77777777" w:rsidR="00D73008" w:rsidRPr="00146C3B" w:rsidRDefault="00D73008" w:rsidP="00387AE5">
            <w:pPr>
              <w:ind w:firstLineChars="100" w:firstLine="180"/>
              <w:rPr>
                <w:rFonts w:cs="Times New Roman"/>
                <w:color w:val="000000"/>
                <w:sz w:val="18"/>
                <w:szCs w:val="18"/>
              </w:rPr>
            </w:pPr>
            <w:r w:rsidRPr="00146C3B">
              <w:rPr>
                <w:rFonts w:cs="Times New Roman"/>
                <w:color w:val="000000"/>
                <w:sz w:val="18"/>
                <w:szCs w:val="18"/>
              </w:rPr>
              <w:t>- Čistý nárast finančných aktív</w:t>
            </w:r>
          </w:p>
        </w:tc>
        <w:tc>
          <w:tcPr>
            <w:tcW w:w="436" w:type="dxa"/>
            <w:tcBorders>
              <w:top w:val="nil"/>
              <w:left w:val="nil"/>
              <w:bottom w:val="nil"/>
              <w:right w:val="nil"/>
            </w:tcBorders>
            <w:shd w:val="clear" w:color="auto" w:fill="auto"/>
            <w:noWrap/>
            <w:vAlign w:val="center"/>
            <w:hideMark/>
          </w:tcPr>
          <w:p w14:paraId="68DEA977" w14:textId="77777777" w:rsidR="00D73008" w:rsidRPr="00146C3B" w:rsidRDefault="00D73008" w:rsidP="00387AE5">
            <w:pPr>
              <w:ind w:firstLineChars="100" w:firstLine="180"/>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4118333D" w14:textId="77777777" w:rsidR="00D73008" w:rsidRPr="00146C3B" w:rsidRDefault="00D73008" w:rsidP="00387AE5">
            <w:pPr>
              <w:jc w:val="center"/>
              <w:rPr>
                <w:rFonts w:cs="Times New Roman"/>
                <w:color w:val="000000"/>
                <w:sz w:val="18"/>
                <w:szCs w:val="18"/>
              </w:rPr>
            </w:pPr>
            <w:r w:rsidRPr="00146C3B">
              <w:rPr>
                <w:sz w:val="18"/>
                <w:szCs w:val="18"/>
              </w:rPr>
              <w:t>0,7</w:t>
            </w:r>
          </w:p>
        </w:tc>
        <w:tc>
          <w:tcPr>
            <w:tcW w:w="567" w:type="dxa"/>
            <w:tcBorders>
              <w:top w:val="nil"/>
              <w:left w:val="nil"/>
              <w:bottom w:val="nil"/>
              <w:right w:val="nil"/>
            </w:tcBorders>
            <w:shd w:val="clear" w:color="auto" w:fill="auto"/>
            <w:vAlign w:val="center"/>
            <w:hideMark/>
          </w:tcPr>
          <w:p w14:paraId="58729269" w14:textId="77777777" w:rsidR="00D73008" w:rsidRPr="00146C3B" w:rsidRDefault="00D73008" w:rsidP="00387AE5">
            <w:pPr>
              <w:jc w:val="center"/>
              <w:rPr>
                <w:rFonts w:cs="Times New Roman"/>
                <w:color w:val="000000"/>
                <w:sz w:val="18"/>
                <w:szCs w:val="18"/>
              </w:rPr>
            </w:pPr>
            <w:r w:rsidRPr="00146C3B">
              <w:rPr>
                <w:sz w:val="18"/>
                <w:szCs w:val="18"/>
              </w:rPr>
              <w:t>0,7</w:t>
            </w:r>
          </w:p>
        </w:tc>
        <w:tc>
          <w:tcPr>
            <w:tcW w:w="567" w:type="dxa"/>
            <w:tcBorders>
              <w:top w:val="nil"/>
              <w:left w:val="nil"/>
              <w:bottom w:val="nil"/>
              <w:right w:val="nil"/>
            </w:tcBorders>
            <w:shd w:val="clear" w:color="auto" w:fill="auto"/>
            <w:vAlign w:val="center"/>
            <w:hideMark/>
          </w:tcPr>
          <w:p w14:paraId="3E67AB86" w14:textId="77777777" w:rsidR="00D73008" w:rsidRPr="00146C3B" w:rsidRDefault="00D73008" w:rsidP="00387AE5">
            <w:pPr>
              <w:jc w:val="center"/>
              <w:rPr>
                <w:rFonts w:cs="Times New Roman"/>
                <w:color w:val="000000"/>
                <w:sz w:val="18"/>
                <w:szCs w:val="18"/>
              </w:rPr>
            </w:pPr>
            <w:r w:rsidRPr="00146C3B">
              <w:rPr>
                <w:sz w:val="18"/>
                <w:szCs w:val="18"/>
              </w:rPr>
              <w:t>0,7</w:t>
            </w:r>
          </w:p>
        </w:tc>
        <w:tc>
          <w:tcPr>
            <w:tcW w:w="709" w:type="dxa"/>
            <w:tcBorders>
              <w:top w:val="nil"/>
              <w:left w:val="nil"/>
              <w:bottom w:val="nil"/>
              <w:right w:val="nil"/>
            </w:tcBorders>
            <w:shd w:val="clear" w:color="auto" w:fill="auto"/>
            <w:vAlign w:val="center"/>
            <w:hideMark/>
          </w:tcPr>
          <w:p w14:paraId="2A2C044E" w14:textId="77777777" w:rsidR="00D73008" w:rsidRPr="00146C3B" w:rsidRDefault="00D73008" w:rsidP="00387AE5">
            <w:pPr>
              <w:jc w:val="center"/>
              <w:rPr>
                <w:rFonts w:cs="Times New Roman"/>
                <w:color w:val="000000"/>
                <w:sz w:val="18"/>
                <w:szCs w:val="18"/>
              </w:rPr>
            </w:pPr>
            <w:r w:rsidRPr="00146C3B">
              <w:rPr>
                <w:sz w:val="18"/>
                <w:szCs w:val="18"/>
              </w:rPr>
              <w:t>0,3</w:t>
            </w:r>
          </w:p>
        </w:tc>
        <w:tc>
          <w:tcPr>
            <w:tcW w:w="589" w:type="dxa"/>
            <w:tcBorders>
              <w:top w:val="nil"/>
              <w:left w:val="nil"/>
              <w:bottom w:val="nil"/>
              <w:right w:val="nil"/>
            </w:tcBorders>
            <w:shd w:val="clear" w:color="auto" w:fill="auto"/>
            <w:vAlign w:val="center"/>
            <w:hideMark/>
          </w:tcPr>
          <w:p w14:paraId="75ADE8E4" w14:textId="77777777" w:rsidR="00D73008" w:rsidRPr="00146C3B" w:rsidRDefault="00D73008" w:rsidP="00387AE5">
            <w:pPr>
              <w:jc w:val="center"/>
              <w:rPr>
                <w:rFonts w:cs="Times New Roman"/>
                <w:color w:val="000000"/>
                <w:sz w:val="18"/>
                <w:szCs w:val="18"/>
              </w:rPr>
            </w:pPr>
            <w:r w:rsidRPr="00146C3B">
              <w:rPr>
                <w:sz w:val="18"/>
                <w:szCs w:val="18"/>
              </w:rPr>
              <w:t>0,6</w:t>
            </w:r>
          </w:p>
        </w:tc>
        <w:tc>
          <w:tcPr>
            <w:tcW w:w="778" w:type="dxa"/>
            <w:tcBorders>
              <w:top w:val="nil"/>
              <w:left w:val="nil"/>
              <w:bottom w:val="nil"/>
              <w:right w:val="nil"/>
            </w:tcBorders>
            <w:shd w:val="clear" w:color="auto" w:fill="auto"/>
            <w:vAlign w:val="center"/>
            <w:hideMark/>
          </w:tcPr>
          <w:p w14:paraId="2BCC7AC0" w14:textId="77777777" w:rsidR="00D73008" w:rsidRPr="00146C3B" w:rsidRDefault="00D73008" w:rsidP="00387AE5">
            <w:pPr>
              <w:jc w:val="center"/>
              <w:rPr>
                <w:rFonts w:cs="Times New Roman"/>
                <w:color w:val="000000"/>
                <w:sz w:val="18"/>
                <w:szCs w:val="18"/>
              </w:rPr>
            </w:pPr>
            <w:r w:rsidRPr="00146C3B">
              <w:rPr>
                <w:sz w:val="18"/>
                <w:szCs w:val="18"/>
              </w:rPr>
              <w:t>1,2</w:t>
            </w:r>
          </w:p>
        </w:tc>
      </w:tr>
      <w:tr w:rsidR="00D73008" w:rsidRPr="00146C3B" w14:paraId="00C26105" w14:textId="77777777" w:rsidTr="00387AE5">
        <w:trPr>
          <w:trHeight w:val="283"/>
        </w:trPr>
        <w:tc>
          <w:tcPr>
            <w:tcW w:w="4394" w:type="dxa"/>
            <w:tcBorders>
              <w:top w:val="nil"/>
              <w:left w:val="nil"/>
              <w:bottom w:val="nil"/>
              <w:right w:val="nil"/>
            </w:tcBorders>
            <w:shd w:val="clear" w:color="auto" w:fill="auto"/>
            <w:noWrap/>
            <w:vAlign w:val="center"/>
            <w:hideMark/>
          </w:tcPr>
          <w:p w14:paraId="039A20A4" w14:textId="77777777" w:rsidR="00D73008" w:rsidRPr="00146C3B" w:rsidRDefault="00D73008" w:rsidP="00387AE5">
            <w:pPr>
              <w:ind w:firstLineChars="100" w:firstLine="180"/>
              <w:rPr>
                <w:rFonts w:cs="Times New Roman"/>
                <w:color w:val="000000"/>
                <w:sz w:val="18"/>
                <w:szCs w:val="18"/>
              </w:rPr>
            </w:pPr>
            <w:r w:rsidRPr="00146C3B">
              <w:rPr>
                <w:rFonts w:cs="Times New Roman"/>
                <w:color w:val="000000"/>
                <w:sz w:val="18"/>
                <w:szCs w:val="18"/>
              </w:rPr>
              <w:t xml:space="preserve">      z toho: príjmy z privatizácie</w:t>
            </w:r>
          </w:p>
        </w:tc>
        <w:tc>
          <w:tcPr>
            <w:tcW w:w="436" w:type="dxa"/>
            <w:tcBorders>
              <w:top w:val="nil"/>
              <w:left w:val="nil"/>
              <w:bottom w:val="nil"/>
              <w:right w:val="nil"/>
            </w:tcBorders>
            <w:shd w:val="clear" w:color="auto" w:fill="auto"/>
            <w:noWrap/>
            <w:vAlign w:val="center"/>
            <w:hideMark/>
          </w:tcPr>
          <w:p w14:paraId="4AE2D36C" w14:textId="77777777" w:rsidR="00D73008" w:rsidRPr="00146C3B" w:rsidRDefault="00D73008" w:rsidP="00387AE5">
            <w:pPr>
              <w:ind w:firstLineChars="100" w:firstLine="180"/>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7AD5B7A3" w14:textId="77777777" w:rsidR="00D73008" w:rsidRPr="00146C3B" w:rsidRDefault="00D73008" w:rsidP="00387AE5">
            <w:pPr>
              <w:jc w:val="center"/>
              <w:rPr>
                <w:rFonts w:cs="Times New Roman"/>
                <w:color w:val="000000"/>
                <w:sz w:val="18"/>
                <w:szCs w:val="18"/>
              </w:rPr>
            </w:pPr>
            <w:r w:rsidRPr="00146C3B">
              <w:rPr>
                <w:sz w:val="18"/>
                <w:szCs w:val="18"/>
              </w:rPr>
              <w:t>0,0</w:t>
            </w:r>
          </w:p>
        </w:tc>
        <w:tc>
          <w:tcPr>
            <w:tcW w:w="567" w:type="dxa"/>
            <w:tcBorders>
              <w:top w:val="nil"/>
              <w:left w:val="nil"/>
              <w:bottom w:val="nil"/>
              <w:right w:val="nil"/>
            </w:tcBorders>
            <w:shd w:val="clear" w:color="auto" w:fill="auto"/>
            <w:vAlign w:val="center"/>
            <w:hideMark/>
          </w:tcPr>
          <w:p w14:paraId="73F2ED82" w14:textId="77777777" w:rsidR="00D73008" w:rsidRPr="00146C3B" w:rsidRDefault="00D73008" w:rsidP="00387AE5">
            <w:pPr>
              <w:jc w:val="center"/>
              <w:rPr>
                <w:rFonts w:cs="Times New Roman"/>
                <w:color w:val="000000"/>
                <w:sz w:val="18"/>
                <w:szCs w:val="18"/>
              </w:rPr>
            </w:pPr>
            <w:r w:rsidRPr="00146C3B">
              <w:rPr>
                <w:sz w:val="18"/>
                <w:szCs w:val="18"/>
              </w:rPr>
              <w:t>0,0</w:t>
            </w:r>
          </w:p>
        </w:tc>
        <w:tc>
          <w:tcPr>
            <w:tcW w:w="567" w:type="dxa"/>
            <w:tcBorders>
              <w:top w:val="nil"/>
              <w:left w:val="nil"/>
              <w:bottom w:val="nil"/>
              <w:right w:val="nil"/>
            </w:tcBorders>
            <w:shd w:val="clear" w:color="auto" w:fill="auto"/>
            <w:vAlign w:val="center"/>
            <w:hideMark/>
          </w:tcPr>
          <w:p w14:paraId="498E99D3" w14:textId="77777777" w:rsidR="00D73008" w:rsidRPr="00146C3B" w:rsidRDefault="00D73008" w:rsidP="00387AE5">
            <w:pPr>
              <w:jc w:val="center"/>
              <w:rPr>
                <w:rFonts w:cs="Times New Roman"/>
                <w:color w:val="000000"/>
                <w:sz w:val="18"/>
                <w:szCs w:val="18"/>
              </w:rPr>
            </w:pPr>
            <w:r w:rsidRPr="00146C3B">
              <w:rPr>
                <w:sz w:val="18"/>
                <w:szCs w:val="18"/>
              </w:rPr>
              <w:t>0,0</w:t>
            </w:r>
          </w:p>
        </w:tc>
        <w:tc>
          <w:tcPr>
            <w:tcW w:w="709" w:type="dxa"/>
            <w:tcBorders>
              <w:top w:val="nil"/>
              <w:left w:val="nil"/>
              <w:bottom w:val="nil"/>
              <w:right w:val="nil"/>
            </w:tcBorders>
            <w:shd w:val="clear" w:color="auto" w:fill="auto"/>
            <w:vAlign w:val="center"/>
            <w:hideMark/>
          </w:tcPr>
          <w:p w14:paraId="7EB00865" w14:textId="77777777" w:rsidR="00D73008" w:rsidRPr="00146C3B" w:rsidRDefault="00D73008" w:rsidP="00387AE5">
            <w:pPr>
              <w:jc w:val="center"/>
              <w:rPr>
                <w:rFonts w:cs="Times New Roman"/>
                <w:color w:val="000000"/>
                <w:sz w:val="18"/>
                <w:szCs w:val="18"/>
              </w:rPr>
            </w:pPr>
            <w:r w:rsidRPr="00146C3B">
              <w:rPr>
                <w:sz w:val="18"/>
                <w:szCs w:val="18"/>
              </w:rPr>
              <w:t>0,0</w:t>
            </w:r>
          </w:p>
        </w:tc>
        <w:tc>
          <w:tcPr>
            <w:tcW w:w="589" w:type="dxa"/>
            <w:tcBorders>
              <w:top w:val="nil"/>
              <w:left w:val="nil"/>
              <w:bottom w:val="nil"/>
              <w:right w:val="nil"/>
            </w:tcBorders>
            <w:shd w:val="clear" w:color="auto" w:fill="auto"/>
            <w:vAlign w:val="center"/>
            <w:hideMark/>
          </w:tcPr>
          <w:p w14:paraId="423EF53D" w14:textId="77777777" w:rsidR="00D73008" w:rsidRPr="00146C3B" w:rsidRDefault="00D73008" w:rsidP="00387AE5">
            <w:pPr>
              <w:jc w:val="center"/>
              <w:rPr>
                <w:rFonts w:cs="Times New Roman"/>
                <w:color w:val="000000"/>
                <w:sz w:val="18"/>
                <w:szCs w:val="18"/>
              </w:rPr>
            </w:pPr>
            <w:r w:rsidRPr="00146C3B">
              <w:rPr>
                <w:sz w:val="18"/>
                <w:szCs w:val="18"/>
              </w:rPr>
              <w:t>0,0</w:t>
            </w:r>
          </w:p>
        </w:tc>
        <w:tc>
          <w:tcPr>
            <w:tcW w:w="778" w:type="dxa"/>
            <w:tcBorders>
              <w:top w:val="nil"/>
              <w:left w:val="nil"/>
              <w:bottom w:val="nil"/>
              <w:right w:val="nil"/>
            </w:tcBorders>
            <w:shd w:val="clear" w:color="auto" w:fill="auto"/>
            <w:vAlign w:val="center"/>
            <w:hideMark/>
          </w:tcPr>
          <w:p w14:paraId="04530A64" w14:textId="77777777" w:rsidR="00D73008" w:rsidRPr="00146C3B" w:rsidRDefault="00D73008" w:rsidP="00387AE5">
            <w:pPr>
              <w:jc w:val="center"/>
              <w:rPr>
                <w:rFonts w:cs="Times New Roman"/>
                <w:color w:val="000000"/>
                <w:sz w:val="18"/>
                <w:szCs w:val="18"/>
              </w:rPr>
            </w:pPr>
            <w:r w:rsidRPr="00146C3B">
              <w:rPr>
                <w:sz w:val="18"/>
                <w:szCs w:val="18"/>
              </w:rPr>
              <w:t>0,0</w:t>
            </w:r>
          </w:p>
        </w:tc>
      </w:tr>
      <w:tr w:rsidR="00D73008" w:rsidRPr="00146C3B" w14:paraId="16E4FC4C" w14:textId="77777777" w:rsidTr="00387AE5">
        <w:trPr>
          <w:trHeight w:val="283"/>
        </w:trPr>
        <w:tc>
          <w:tcPr>
            <w:tcW w:w="4394" w:type="dxa"/>
            <w:tcBorders>
              <w:top w:val="nil"/>
              <w:left w:val="nil"/>
              <w:bottom w:val="nil"/>
              <w:right w:val="nil"/>
            </w:tcBorders>
            <w:shd w:val="clear" w:color="auto" w:fill="auto"/>
            <w:noWrap/>
            <w:vAlign w:val="center"/>
            <w:hideMark/>
          </w:tcPr>
          <w:p w14:paraId="3C10A341" w14:textId="77777777" w:rsidR="00D73008" w:rsidRPr="00146C3B" w:rsidRDefault="00D73008" w:rsidP="00387AE5">
            <w:pPr>
              <w:ind w:firstLineChars="100" w:firstLine="180"/>
              <w:rPr>
                <w:rFonts w:cs="Times New Roman"/>
                <w:color w:val="000000"/>
                <w:sz w:val="18"/>
                <w:szCs w:val="18"/>
              </w:rPr>
            </w:pPr>
            <w:r w:rsidRPr="00146C3B">
              <w:rPr>
                <w:rFonts w:cs="Times New Roman"/>
                <w:color w:val="000000"/>
                <w:sz w:val="18"/>
                <w:szCs w:val="18"/>
              </w:rPr>
              <w:t>- Efekty zhodnotenia a iné</w:t>
            </w:r>
          </w:p>
        </w:tc>
        <w:tc>
          <w:tcPr>
            <w:tcW w:w="436" w:type="dxa"/>
            <w:tcBorders>
              <w:top w:val="nil"/>
              <w:left w:val="nil"/>
              <w:bottom w:val="nil"/>
              <w:right w:val="nil"/>
            </w:tcBorders>
            <w:shd w:val="clear" w:color="auto" w:fill="auto"/>
            <w:noWrap/>
            <w:vAlign w:val="center"/>
            <w:hideMark/>
          </w:tcPr>
          <w:p w14:paraId="6553D56B" w14:textId="77777777" w:rsidR="00D73008" w:rsidRPr="00146C3B" w:rsidRDefault="00D73008" w:rsidP="00387AE5">
            <w:pPr>
              <w:ind w:firstLineChars="100" w:firstLine="180"/>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5C2F693F" w14:textId="77777777" w:rsidR="00D73008" w:rsidRPr="00146C3B" w:rsidRDefault="00D73008" w:rsidP="00387AE5">
            <w:pPr>
              <w:jc w:val="center"/>
              <w:rPr>
                <w:rFonts w:cs="Times New Roman"/>
                <w:color w:val="000000"/>
                <w:sz w:val="18"/>
                <w:szCs w:val="18"/>
              </w:rPr>
            </w:pPr>
            <w:r w:rsidRPr="00146C3B">
              <w:rPr>
                <w:sz w:val="18"/>
                <w:szCs w:val="18"/>
              </w:rPr>
              <w:t>-0,1</w:t>
            </w:r>
          </w:p>
        </w:tc>
        <w:tc>
          <w:tcPr>
            <w:tcW w:w="567" w:type="dxa"/>
            <w:tcBorders>
              <w:top w:val="nil"/>
              <w:left w:val="nil"/>
              <w:bottom w:val="nil"/>
              <w:right w:val="nil"/>
            </w:tcBorders>
            <w:shd w:val="clear" w:color="auto" w:fill="auto"/>
            <w:vAlign w:val="center"/>
            <w:hideMark/>
          </w:tcPr>
          <w:p w14:paraId="21E58E00" w14:textId="77777777" w:rsidR="00D73008" w:rsidRPr="00146C3B" w:rsidRDefault="00D73008" w:rsidP="00387AE5">
            <w:pPr>
              <w:jc w:val="center"/>
              <w:rPr>
                <w:rFonts w:cs="Times New Roman"/>
                <w:color w:val="000000"/>
                <w:sz w:val="18"/>
                <w:szCs w:val="18"/>
              </w:rPr>
            </w:pPr>
            <w:r w:rsidRPr="00146C3B">
              <w:rPr>
                <w:sz w:val="18"/>
                <w:szCs w:val="18"/>
              </w:rPr>
              <w:t>-0,1</w:t>
            </w:r>
          </w:p>
        </w:tc>
        <w:tc>
          <w:tcPr>
            <w:tcW w:w="567" w:type="dxa"/>
            <w:tcBorders>
              <w:top w:val="nil"/>
              <w:left w:val="nil"/>
              <w:bottom w:val="nil"/>
              <w:right w:val="nil"/>
            </w:tcBorders>
            <w:shd w:val="clear" w:color="auto" w:fill="auto"/>
            <w:vAlign w:val="center"/>
            <w:hideMark/>
          </w:tcPr>
          <w:p w14:paraId="7E854FFE" w14:textId="77777777" w:rsidR="00D73008" w:rsidRPr="00146C3B" w:rsidRDefault="00D73008" w:rsidP="00387AE5">
            <w:pPr>
              <w:jc w:val="center"/>
              <w:rPr>
                <w:rFonts w:cs="Times New Roman"/>
                <w:color w:val="000000"/>
                <w:sz w:val="18"/>
                <w:szCs w:val="18"/>
              </w:rPr>
            </w:pPr>
            <w:r w:rsidRPr="00146C3B">
              <w:rPr>
                <w:sz w:val="18"/>
                <w:szCs w:val="18"/>
              </w:rPr>
              <w:t>-0,2</w:t>
            </w:r>
          </w:p>
        </w:tc>
        <w:tc>
          <w:tcPr>
            <w:tcW w:w="709" w:type="dxa"/>
            <w:tcBorders>
              <w:top w:val="nil"/>
              <w:left w:val="nil"/>
              <w:bottom w:val="nil"/>
              <w:right w:val="nil"/>
            </w:tcBorders>
            <w:shd w:val="clear" w:color="auto" w:fill="auto"/>
            <w:vAlign w:val="center"/>
            <w:hideMark/>
          </w:tcPr>
          <w:p w14:paraId="5B5AB3BD" w14:textId="77777777" w:rsidR="00D73008" w:rsidRPr="00146C3B" w:rsidRDefault="00D73008" w:rsidP="00387AE5">
            <w:pPr>
              <w:jc w:val="center"/>
              <w:rPr>
                <w:rFonts w:cs="Times New Roman"/>
                <w:color w:val="000000"/>
                <w:sz w:val="18"/>
                <w:szCs w:val="18"/>
              </w:rPr>
            </w:pPr>
            <w:r w:rsidRPr="00146C3B">
              <w:rPr>
                <w:sz w:val="18"/>
                <w:szCs w:val="18"/>
              </w:rPr>
              <w:t>-0,1</w:t>
            </w:r>
          </w:p>
        </w:tc>
        <w:tc>
          <w:tcPr>
            <w:tcW w:w="589" w:type="dxa"/>
            <w:tcBorders>
              <w:top w:val="nil"/>
              <w:left w:val="nil"/>
              <w:bottom w:val="nil"/>
              <w:right w:val="nil"/>
            </w:tcBorders>
            <w:shd w:val="clear" w:color="auto" w:fill="auto"/>
            <w:vAlign w:val="center"/>
            <w:hideMark/>
          </w:tcPr>
          <w:p w14:paraId="41AE4C3A" w14:textId="77777777" w:rsidR="00D73008" w:rsidRPr="00146C3B" w:rsidRDefault="00D73008" w:rsidP="00387AE5">
            <w:pPr>
              <w:jc w:val="center"/>
              <w:rPr>
                <w:rFonts w:cs="Times New Roman"/>
                <w:color w:val="000000"/>
                <w:sz w:val="18"/>
                <w:szCs w:val="18"/>
              </w:rPr>
            </w:pPr>
            <w:r w:rsidRPr="00146C3B">
              <w:rPr>
                <w:sz w:val="18"/>
                <w:szCs w:val="18"/>
              </w:rPr>
              <w:t>0,2</w:t>
            </w:r>
          </w:p>
        </w:tc>
        <w:tc>
          <w:tcPr>
            <w:tcW w:w="778" w:type="dxa"/>
            <w:tcBorders>
              <w:top w:val="nil"/>
              <w:left w:val="nil"/>
              <w:bottom w:val="nil"/>
              <w:right w:val="nil"/>
            </w:tcBorders>
            <w:shd w:val="clear" w:color="auto" w:fill="auto"/>
            <w:vAlign w:val="center"/>
            <w:hideMark/>
          </w:tcPr>
          <w:p w14:paraId="56AF1C7E" w14:textId="77777777" w:rsidR="00D73008" w:rsidRPr="00146C3B" w:rsidRDefault="00D73008" w:rsidP="00387AE5">
            <w:pPr>
              <w:jc w:val="center"/>
              <w:rPr>
                <w:rFonts w:cs="Times New Roman"/>
                <w:color w:val="000000"/>
                <w:sz w:val="18"/>
                <w:szCs w:val="18"/>
              </w:rPr>
            </w:pPr>
            <w:r w:rsidRPr="00146C3B">
              <w:rPr>
                <w:sz w:val="18"/>
                <w:szCs w:val="18"/>
              </w:rPr>
              <w:t>0,3</w:t>
            </w:r>
          </w:p>
        </w:tc>
      </w:tr>
      <w:tr w:rsidR="00D73008" w:rsidRPr="00146C3B" w14:paraId="153A2B12" w14:textId="77777777" w:rsidTr="00387AE5">
        <w:trPr>
          <w:trHeight w:val="283"/>
        </w:trPr>
        <w:tc>
          <w:tcPr>
            <w:tcW w:w="4394" w:type="dxa"/>
            <w:tcBorders>
              <w:top w:val="nil"/>
              <w:left w:val="nil"/>
              <w:bottom w:val="single" w:sz="4" w:space="0" w:color="auto"/>
              <w:right w:val="nil"/>
            </w:tcBorders>
            <w:shd w:val="clear" w:color="auto" w:fill="auto"/>
            <w:noWrap/>
            <w:vAlign w:val="center"/>
            <w:hideMark/>
          </w:tcPr>
          <w:p w14:paraId="69AFA003" w14:textId="77777777" w:rsidR="00D73008" w:rsidRPr="00146C3B" w:rsidRDefault="00D73008" w:rsidP="00387AE5">
            <w:pPr>
              <w:rPr>
                <w:rFonts w:cs="Times New Roman"/>
                <w:color w:val="000000"/>
                <w:sz w:val="18"/>
                <w:szCs w:val="18"/>
              </w:rPr>
            </w:pPr>
            <w:r w:rsidRPr="00146C3B">
              <w:rPr>
                <w:rFonts w:cs="Times New Roman"/>
                <w:color w:val="000000"/>
                <w:sz w:val="18"/>
                <w:szCs w:val="18"/>
              </w:rPr>
              <w:t>p. m. Implicitná úroková miera</w:t>
            </w:r>
          </w:p>
        </w:tc>
        <w:tc>
          <w:tcPr>
            <w:tcW w:w="436" w:type="dxa"/>
            <w:tcBorders>
              <w:top w:val="nil"/>
              <w:left w:val="nil"/>
              <w:bottom w:val="single" w:sz="4" w:space="0" w:color="auto"/>
              <w:right w:val="nil"/>
            </w:tcBorders>
            <w:shd w:val="clear" w:color="auto" w:fill="auto"/>
            <w:noWrap/>
            <w:vAlign w:val="center"/>
            <w:hideMark/>
          </w:tcPr>
          <w:p w14:paraId="119A79F8"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6E45E1A1" w14:textId="77777777" w:rsidR="00D73008" w:rsidRPr="00146C3B" w:rsidRDefault="00D73008" w:rsidP="00387AE5">
            <w:pPr>
              <w:jc w:val="center"/>
              <w:rPr>
                <w:rFonts w:cs="Times New Roman"/>
                <w:color w:val="000000"/>
                <w:sz w:val="18"/>
                <w:szCs w:val="18"/>
              </w:rPr>
            </w:pPr>
            <w:r w:rsidRPr="00146C3B">
              <w:rPr>
                <w:sz w:val="18"/>
                <w:szCs w:val="18"/>
              </w:rPr>
              <w:t>2,8</w:t>
            </w:r>
          </w:p>
        </w:tc>
        <w:tc>
          <w:tcPr>
            <w:tcW w:w="567" w:type="dxa"/>
            <w:tcBorders>
              <w:top w:val="nil"/>
              <w:left w:val="nil"/>
              <w:bottom w:val="nil"/>
              <w:right w:val="nil"/>
            </w:tcBorders>
            <w:shd w:val="clear" w:color="auto" w:fill="auto"/>
            <w:vAlign w:val="center"/>
            <w:hideMark/>
          </w:tcPr>
          <w:p w14:paraId="09EDC2B8" w14:textId="77777777" w:rsidR="00D73008" w:rsidRPr="00146C3B" w:rsidRDefault="00D73008" w:rsidP="00387AE5">
            <w:pPr>
              <w:jc w:val="center"/>
              <w:rPr>
                <w:rFonts w:cs="Times New Roman"/>
                <w:color w:val="000000"/>
                <w:sz w:val="18"/>
                <w:szCs w:val="18"/>
              </w:rPr>
            </w:pPr>
            <w:r w:rsidRPr="00146C3B">
              <w:rPr>
                <w:sz w:val="18"/>
                <w:szCs w:val="18"/>
              </w:rPr>
              <w:t>2,6</w:t>
            </w:r>
          </w:p>
        </w:tc>
        <w:tc>
          <w:tcPr>
            <w:tcW w:w="567" w:type="dxa"/>
            <w:tcBorders>
              <w:top w:val="nil"/>
              <w:left w:val="nil"/>
              <w:bottom w:val="nil"/>
              <w:right w:val="nil"/>
            </w:tcBorders>
            <w:shd w:val="clear" w:color="auto" w:fill="auto"/>
            <w:vAlign w:val="center"/>
            <w:hideMark/>
          </w:tcPr>
          <w:p w14:paraId="0153CF9C" w14:textId="77777777" w:rsidR="00D73008" w:rsidRPr="00146C3B" w:rsidRDefault="00D73008" w:rsidP="00387AE5">
            <w:pPr>
              <w:jc w:val="center"/>
              <w:rPr>
                <w:rFonts w:cs="Times New Roman"/>
                <w:color w:val="000000"/>
                <w:sz w:val="18"/>
                <w:szCs w:val="18"/>
              </w:rPr>
            </w:pPr>
            <w:r w:rsidRPr="00146C3B">
              <w:rPr>
                <w:sz w:val="18"/>
                <w:szCs w:val="18"/>
              </w:rPr>
              <w:t>2,5</w:t>
            </w:r>
          </w:p>
        </w:tc>
        <w:tc>
          <w:tcPr>
            <w:tcW w:w="709" w:type="dxa"/>
            <w:tcBorders>
              <w:top w:val="nil"/>
              <w:left w:val="nil"/>
              <w:bottom w:val="nil"/>
              <w:right w:val="nil"/>
            </w:tcBorders>
            <w:shd w:val="clear" w:color="auto" w:fill="auto"/>
            <w:vAlign w:val="center"/>
            <w:hideMark/>
          </w:tcPr>
          <w:p w14:paraId="07504115" w14:textId="77777777" w:rsidR="00D73008" w:rsidRPr="00146C3B" w:rsidRDefault="00D73008" w:rsidP="00387AE5">
            <w:pPr>
              <w:jc w:val="center"/>
              <w:rPr>
                <w:rFonts w:cs="Times New Roman"/>
                <w:color w:val="000000"/>
                <w:sz w:val="18"/>
                <w:szCs w:val="18"/>
              </w:rPr>
            </w:pPr>
            <w:r w:rsidRPr="00146C3B">
              <w:rPr>
                <w:sz w:val="18"/>
                <w:szCs w:val="18"/>
              </w:rPr>
              <w:t>2,4</w:t>
            </w:r>
          </w:p>
        </w:tc>
        <w:tc>
          <w:tcPr>
            <w:tcW w:w="589" w:type="dxa"/>
            <w:tcBorders>
              <w:top w:val="nil"/>
              <w:left w:val="nil"/>
              <w:bottom w:val="nil"/>
              <w:right w:val="nil"/>
            </w:tcBorders>
            <w:shd w:val="clear" w:color="auto" w:fill="auto"/>
            <w:vAlign w:val="center"/>
            <w:hideMark/>
          </w:tcPr>
          <w:p w14:paraId="2CDD78F4" w14:textId="77777777" w:rsidR="00D73008" w:rsidRPr="00146C3B" w:rsidRDefault="00D73008" w:rsidP="00387AE5">
            <w:pPr>
              <w:jc w:val="center"/>
              <w:rPr>
                <w:rFonts w:cs="Times New Roman"/>
                <w:color w:val="000000"/>
                <w:sz w:val="18"/>
                <w:szCs w:val="18"/>
              </w:rPr>
            </w:pPr>
            <w:r w:rsidRPr="00146C3B">
              <w:rPr>
                <w:sz w:val="18"/>
                <w:szCs w:val="18"/>
              </w:rPr>
              <w:t>2,3</w:t>
            </w:r>
          </w:p>
        </w:tc>
        <w:tc>
          <w:tcPr>
            <w:tcW w:w="778" w:type="dxa"/>
            <w:tcBorders>
              <w:top w:val="nil"/>
              <w:left w:val="nil"/>
              <w:bottom w:val="nil"/>
              <w:right w:val="nil"/>
            </w:tcBorders>
            <w:shd w:val="clear" w:color="auto" w:fill="auto"/>
            <w:vAlign w:val="center"/>
            <w:hideMark/>
          </w:tcPr>
          <w:p w14:paraId="47760211" w14:textId="77777777" w:rsidR="00D73008" w:rsidRPr="00146C3B" w:rsidRDefault="00D73008" w:rsidP="00387AE5">
            <w:pPr>
              <w:jc w:val="center"/>
              <w:rPr>
                <w:rFonts w:cs="Times New Roman"/>
                <w:color w:val="000000"/>
                <w:sz w:val="18"/>
                <w:szCs w:val="18"/>
              </w:rPr>
            </w:pPr>
            <w:r w:rsidRPr="00146C3B">
              <w:rPr>
                <w:sz w:val="18"/>
                <w:szCs w:val="18"/>
              </w:rPr>
              <w:t>2,3</w:t>
            </w:r>
          </w:p>
        </w:tc>
      </w:tr>
      <w:tr w:rsidR="00D73008" w:rsidRPr="00146C3B" w14:paraId="4D7F2CDD" w14:textId="77777777" w:rsidTr="00387AE5">
        <w:trPr>
          <w:trHeight w:val="283"/>
        </w:trPr>
        <w:tc>
          <w:tcPr>
            <w:tcW w:w="7512" w:type="dxa"/>
            <w:gridSpan w:val="6"/>
            <w:tcBorders>
              <w:top w:val="single" w:sz="4" w:space="0" w:color="auto"/>
              <w:left w:val="nil"/>
              <w:bottom w:val="single" w:sz="6" w:space="0" w:color="auto"/>
              <w:right w:val="nil"/>
            </w:tcBorders>
            <w:shd w:val="clear" w:color="auto" w:fill="auto"/>
            <w:vAlign w:val="center"/>
            <w:hideMark/>
          </w:tcPr>
          <w:p w14:paraId="73930816" w14:textId="77777777" w:rsidR="00D73008" w:rsidRPr="00146C3B" w:rsidRDefault="00D73008" w:rsidP="00387AE5">
            <w:pPr>
              <w:jc w:val="center"/>
              <w:rPr>
                <w:rFonts w:cs="Times New Roman"/>
                <w:b/>
                <w:bCs/>
                <w:color w:val="000000"/>
                <w:sz w:val="18"/>
                <w:szCs w:val="18"/>
              </w:rPr>
            </w:pPr>
            <w:r w:rsidRPr="00146C3B">
              <w:rPr>
                <w:rFonts w:cs="Times New Roman"/>
                <w:b/>
                <w:bCs/>
                <w:color w:val="000000"/>
                <w:sz w:val="18"/>
                <w:szCs w:val="18"/>
              </w:rPr>
              <w:t>Iné relevantné faktory</w:t>
            </w:r>
          </w:p>
        </w:tc>
        <w:tc>
          <w:tcPr>
            <w:tcW w:w="589" w:type="dxa"/>
            <w:tcBorders>
              <w:top w:val="single" w:sz="4" w:space="0" w:color="auto"/>
              <w:left w:val="nil"/>
              <w:bottom w:val="single" w:sz="6" w:space="0" w:color="auto"/>
              <w:right w:val="nil"/>
            </w:tcBorders>
            <w:shd w:val="clear" w:color="auto" w:fill="auto"/>
            <w:vAlign w:val="center"/>
            <w:hideMark/>
          </w:tcPr>
          <w:p w14:paraId="6AAA16D2" w14:textId="77777777" w:rsidR="00D73008" w:rsidRPr="00146C3B" w:rsidRDefault="00D73008" w:rsidP="00387AE5">
            <w:pPr>
              <w:jc w:val="center"/>
              <w:rPr>
                <w:rFonts w:cs="Times New Roman"/>
                <w:b/>
                <w:bCs/>
                <w:color w:val="000000"/>
                <w:sz w:val="18"/>
                <w:szCs w:val="18"/>
              </w:rPr>
            </w:pPr>
            <w:r w:rsidRPr="00146C3B">
              <w:rPr>
                <w:rFonts w:cs="Times New Roman"/>
                <w:b/>
                <w:bCs/>
                <w:color w:val="000000"/>
                <w:sz w:val="18"/>
                <w:szCs w:val="18"/>
              </w:rPr>
              <w:t> </w:t>
            </w:r>
          </w:p>
        </w:tc>
        <w:tc>
          <w:tcPr>
            <w:tcW w:w="778" w:type="dxa"/>
            <w:tcBorders>
              <w:top w:val="single" w:sz="4" w:space="0" w:color="auto"/>
              <w:left w:val="nil"/>
              <w:bottom w:val="single" w:sz="6" w:space="0" w:color="auto"/>
              <w:right w:val="nil"/>
            </w:tcBorders>
            <w:shd w:val="clear" w:color="auto" w:fill="auto"/>
            <w:vAlign w:val="center"/>
            <w:hideMark/>
          </w:tcPr>
          <w:p w14:paraId="1A3A669C" w14:textId="77777777" w:rsidR="00D73008" w:rsidRPr="00146C3B" w:rsidRDefault="00D73008" w:rsidP="00387AE5">
            <w:pPr>
              <w:jc w:val="center"/>
              <w:rPr>
                <w:rFonts w:cs="Times New Roman"/>
                <w:b/>
                <w:bCs/>
                <w:color w:val="000000"/>
                <w:sz w:val="18"/>
                <w:szCs w:val="18"/>
              </w:rPr>
            </w:pPr>
            <w:r w:rsidRPr="00146C3B">
              <w:rPr>
                <w:rFonts w:cs="Times New Roman"/>
                <w:b/>
                <w:bCs/>
                <w:color w:val="000000"/>
                <w:sz w:val="18"/>
                <w:szCs w:val="18"/>
              </w:rPr>
              <w:t> </w:t>
            </w:r>
          </w:p>
        </w:tc>
      </w:tr>
      <w:tr w:rsidR="00D73008" w:rsidRPr="00146C3B" w14:paraId="20A377F4" w14:textId="77777777" w:rsidTr="00387AE5">
        <w:trPr>
          <w:trHeight w:val="283"/>
        </w:trPr>
        <w:tc>
          <w:tcPr>
            <w:tcW w:w="4394" w:type="dxa"/>
            <w:tcBorders>
              <w:top w:val="single" w:sz="6" w:space="0" w:color="auto"/>
              <w:left w:val="nil"/>
              <w:bottom w:val="nil"/>
              <w:right w:val="nil"/>
            </w:tcBorders>
            <w:shd w:val="clear" w:color="auto" w:fill="auto"/>
            <w:noWrap/>
            <w:vAlign w:val="center"/>
            <w:hideMark/>
          </w:tcPr>
          <w:p w14:paraId="22E8EAFC" w14:textId="77777777" w:rsidR="00D73008" w:rsidRPr="00146C3B" w:rsidRDefault="00D73008" w:rsidP="00387AE5">
            <w:pPr>
              <w:rPr>
                <w:rFonts w:cs="Times New Roman"/>
                <w:color w:val="000000"/>
                <w:sz w:val="18"/>
                <w:szCs w:val="18"/>
              </w:rPr>
            </w:pPr>
            <w:r w:rsidRPr="00146C3B">
              <w:rPr>
                <w:rFonts w:cs="Times New Roman"/>
                <w:color w:val="000000"/>
                <w:sz w:val="18"/>
                <w:szCs w:val="18"/>
              </w:rPr>
              <w:t>6. Likvidné finančné aktíva</w:t>
            </w:r>
          </w:p>
        </w:tc>
        <w:tc>
          <w:tcPr>
            <w:tcW w:w="436" w:type="dxa"/>
            <w:tcBorders>
              <w:top w:val="single" w:sz="6" w:space="0" w:color="auto"/>
              <w:left w:val="nil"/>
              <w:bottom w:val="nil"/>
              <w:right w:val="nil"/>
            </w:tcBorders>
            <w:shd w:val="clear" w:color="auto" w:fill="auto"/>
            <w:noWrap/>
            <w:vAlign w:val="bottom"/>
            <w:hideMark/>
          </w:tcPr>
          <w:p w14:paraId="5C8B9113"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noWrap/>
            <w:vAlign w:val="center"/>
            <w:hideMark/>
          </w:tcPr>
          <w:p w14:paraId="71496356" w14:textId="77777777" w:rsidR="00D73008" w:rsidRPr="00146C3B" w:rsidRDefault="00D73008" w:rsidP="00387AE5">
            <w:pPr>
              <w:jc w:val="center"/>
              <w:rPr>
                <w:rFonts w:cs="Times New Roman"/>
                <w:color w:val="000000"/>
                <w:sz w:val="18"/>
                <w:szCs w:val="18"/>
              </w:rPr>
            </w:pPr>
            <w:r w:rsidRPr="00146C3B">
              <w:rPr>
                <w:sz w:val="18"/>
                <w:szCs w:val="18"/>
              </w:rPr>
              <w:t>5,6</w:t>
            </w:r>
          </w:p>
        </w:tc>
        <w:tc>
          <w:tcPr>
            <w:tcW w:w="567" w:type="dxa"/>
            <w:tcBorders>
              <w:top w:val="nil"/>
              <w:left w:val="nil"/>
              <w:bottom w:val="nil"/>
              <w:right w:val="nil"/>
            </w:tcBorders>
            <w:shd w:val="clear" w:color="auto" w:fill="auto"/>
            <w:noWrap/>
            <w:vAlign w:val="center"/>
            <w:hideMark/>
          </w:tcPr>
          <w:p w14:paraId="2774C77D" w14:textId="77777777" w:rsidR="00D73008" w:rsidRPr="00146C3B" w:rsidRDefault="00D73008" w:rsidP="00387AE5">
            <w:pPr>
              <w:jc w:val="center"/>
              <w:rPr>
                <w:rFonts w:cs="Times New Roman"/>
                <w:color w:val="000000"/>
                <w:sz w:val="18"/>
                <w:szCs w:val="18"/>
              </w:rPr>
            </w:pPr>
            <w:r w:rsidRPr="00146C3B">
              <w:rPr>
                <w:sz w:val="18"/>
                <w:szCs w:val="18"/>
              </w:rPr>
              <w:t>6,0</w:t>
            </w:r>
          </w:p>
        </w:tc>
        <w:tc>
          <w:tcPr>
            <w:tcW w:w="567" w:type="dxa"/>
            <w:tcBorders>
              <w:top w:val="nil"/>
              <w:left w:val="nil"/>
              <w:bottom w:val="nil"/>
              <w:right w:val="nil"/>
            </w:tcBorders>
            <w:shd w:val="clear" w:color="auto" w:fill="auto"/>
            <w:noWrap/>
            <w:vAlign w:val="center"/>
            <w:hideMark/>
          </w:tcPr>
          <w:p w14:paraId="4615D9F5" w14:textId="77777777" w:rsidR="00D73008" w:rsidRPr="00146C3B" w:rsidRDefault="00D73008" w:rsidP="00387AE5">
            <w:pPr>
              <w:jc w:val="center"/>
              <w:rPr>
                <w:rFonts w:cs="Times New Roman"/>
                <w:color w:val="000000"/>
                <w:sz w:val="18"/>
                <w:szCs w:val="18"/>
              </w:rPr>
            </w:pPr>
            <w:r w:rsidRPr="00146C3B">
              <w:rPr>
                <w:sz w:val="18"/>
                <w:szCs w:val="18"/>
              </w:rPr>
              <w:t>6,3</w:t>
            </w:r>
          </w:p>
        </w:tc>
        <w:tc>
          <w:tcPr>
            <w:tcW w:w="709" w:type="dxa"/>
            <w:tcBorders>
              <w:top w:val="nil"/>
              <w:left w:val="nil"/>
              <w:bottom w:val="nil"/>
              <w:right w:val="nil"/>
            </w:tcBorders>
            <w:shd w:val="clear" w:color="auto" w:fill="auto"/>
            <w:noWrap/>
            <w:vAlign w:val="center"/>
            <w:hideMark/>
          </w:tcPr>
          <w:p w14:paraId="4F5753C9" w14:textId="77777777" w:rsidR="00D73008" w:rsidRPr="00146C3B" w:rsidRDefault="00D73008" w:rsidP="00387AE5">
            <w:pPr>
              <w:jc w:val="center"/>
              <w:rPr>
                <w:rFonts w:cs="Times New Roman"/>
                <w:color w:val="000000"/>
                <w:sz w:val="18"/>
                <w:szCs w:val="18"/>
              </w:rPr>
            </w:pPr>
            <w:r w:rsidRPr="00146C3B">
              <w:rPr>
                <w:sz w:val="18"/>
                <w:szCs w:val="18"/>
              </w:rPr>
              <w:t>6,1</w:t>
            </w:r>
          </w:p>
        </w:tc>
        <w:tc>
          <w:tcPr>
            <w:tcW w:w="589" w:type="dxa"/>
            <w:tcBorders>
              <w:top w:val="nil"/>
              <w:left w:val="nil"/>
              <w:bottom w:val="nil"/>
              <w:right w:val="nil"/>
            </w:tcBorders>
            <w:shd w:val="clear" w:color="auto" w:fill="auto"/>
            <w:noWrap/>
            <w:vAlign w:val="center"/>
            <w:hideMark/>
          </w:tcPr>
          <w:p w14:paraId="6436204E" w14:textId="77777777" w:rsidR="00D73008" w:rsidRPr="00146C3B" w:rsidRDefault="00D73008" w:rsidP="00387AE5">
            <w:pPr>
              <w:jc w:val="center"/>
              <w:rPr>
                <w:rFonts w:cs="Times New Roman"/>
                <w:color w:val="000000"/>
                <w:sz w:val="18"/>
                <w:szCs w:val="18"/>
              </w:rPr>
            </w:pPr>
            <w:r w:rsidRPr="00146C3B">
              <w:rPr>
                <w:sz w:val="18"/>
                <w:szCs w:val="18"/>
              </w:rPr>
              <w:t>6,4</w:t>
            </w:r>
          </w:p>
        </w:tc>
        <w:tc>
          <w:tcPr>
            <w:tcW w:w="778" w:type="dxa"/>
            <w:tcBorders>
              <w:top w:val="nil"/>
              <w:left w:val="nil"/>
              <w:bottom w:val="nil"/>
              <w:right w:val="nil"/>
            </w:tcBorders>
            <w:shd w:val="clear" w:color="auto" w:fill="auto"/>
            <w:noWrap/>
            <w:vAlign w:val="center"/>
            <w:hideMark/>
          </w:tcPr>
          <w:p w14:paraId="0B824BD2" w14:textId="77777777" w:rsidR="00D73008" w:rsidRPr="00146C3B" w:rsidRDefault="00D73008" w:rsidP="00387AE5">
            <w:pPr>
              <w:jc w:val="center"/>
              <w:rPr>
                <w:rFonts w:cs="Times New Roman"/>
                <w:color w:val="000000"/>
                <w:sz w:val="18"/>
                <w:szCs w:val="18"/>
              </w:rPr>
            </w:pPr>
            <w:r w:rsidRPr="00146C3B">
              <w:rPr>
                <w:sz w:val="18"/>
                <w:szCs w:val="18"/>
              </w:rPr>
              <w:t>7,3</w:t>
            </w:r>
          </w:p>
        </w:tc>
      </w:tr>
      <w:tr w:rsidR="00D73008" w:rsidRPr="00146C3B" w14:paraId="19D66A0E" w14:textId="77777777" w:rsidTr="00387AE5">
        <w:trPr>
          <w:trHeight w:val="283"/>
        </w:trPr>
        <w:tc>
          <w:tcPr>
            <w:tcW w:w="4394" w:type="dxa"/>
            <w:tcBorders>
              <w:top w:val="nil"/>
              <w:left w:val="nil"/>
              <w:bottom w:val="nil"/>
              <w:right w:val="nil"/>
            </w:tcBorders>
            <w:shd w:val="clear" w:color="auto" w:fill="auto"/>
            <w:vAlign w:val="center"/>
            <w:hideMark/>
          </w:tcPr>
          <w:p w14:paraId="3A3D9C1D" w14:textId="77777777" w:rsidR="00D73008" w:rsidRPr="00146C3B" w:rsidRDefault="00D73008" w:rsidP="00387AE5">
            <w:pPr>
              <w:rPr>
                <w:rFonts w:cs="Times New Roman"/>
                <w:color w:val="000000"/>
                <w:sz w:val="18"/>
                <w:szCs w:val="18"/>
              </w:rPr>
            </w:pPr>
            <w:r w:rsidRPr="00146C3B">
              <w:rPr>
                <w:rFonts w:cs="Times New Roman"/>
                <w:color w:val="000000"/>
                <w:sz w:val="18"/>
                <w:szCs w:val="18"/>
              </w:rPr>
              <w:t>7. Čistý finančný dlh (1-6)</w:t>
            </w:r>
          </w:p>
        </w:tc>
        <w:tc>
          <w:tcPr>
            <w:tcW w:w="436" w:type="dxa"/>
            <w:tcBorders>
              <w:top w:val="nil"/>
              <w:left w:val="nil"/>
              <w:bottom w:val="nil"/>
              <w:right w:val="nil"/>
            </w:tcBorders>
            <w:shd w:val="clear" w:color="auto" w:fill="auto"/>
            <w:vAlign w:val="center"/>
            <w:hideMark/>
          </w:tcPr>
          <w:p w14:paraId="689AE185" w14:textId="77777777" w:rsidR="00D73008" w:rsidRPr="00146C3B" w:rsidRDefault="00D73008" w:rsidP="00387AE5">
            <w:pPr>
              <w:rPr>
                <w:rFonts w:cs="Times New Roman"/>
                <w:color w:val="000000"/>
                <w:sz w:val="18"/>
                <w:szCs w:val="18"/>
              </w:rPr>
            </w:pPr>
          </w:p>
        </w:tc>
        <w:tc>
          <w:tcPr>
            <w:tcW w:w="839" w:type="dxa"/>
            <w:tcBorders>
              <w:top w:val="nil"/>
              <w:left w:val="nil"/>
              <w:bottom w:val="nil"/>
              <w:right w:val="nil"/>
            </w:tcBorders>
            <w:shd w:val="clear" w:color="auto" w:fill="auto"/>
            <w:vAlign w:val="center"/>
            <w:hideMark/>
          </w:tcPr>
          <w:p w14:paraId="18CA951E" w14:textId="77777777" w:rsidR="00D73008" w:rsidRPr="00146C3B" w:rsidRDefault="00D73008" w:rsidP="00387AE5">
            <w:pPr>
              <w:jc w:val="center"/>
              <w:rPr>
                <w:rFonts w:cs="Times New Roman"/>
                <w:color w:val="000000"/>
                <w:sz w:val="18"/>
                <w:szCs w:val="18"/>
              </w:rPr>
            </w:pPr>
            <w:r w:rsidRPr="00146C3B">
              <w:rPr>
                <w:sz w:val="18"/>
                <w:szCs w:val="18"/>
              </w:rPr>
              <w:t>45,3</w:t>
            </w:r>
          </w:p>
        </w:tc>
        <w:tc>
          <w:tcPr>
            <w:tcW w:w="567" w:type="dxa"/>
            <w:tcBorders>
              <w:top w:val="nil"/>
              <w:left w:val="nil"/>
              <w:bottom w:val="nil"/>
              <w:right w:val="nil"/>
            </w:tcBorders>
            <w:shd w:val="clear" w:color="auto" w:fill="auto"/>
            <w:vAlign w:val="center"/>
            <w:hideMark/>
          </w:tcPr>
          <w:p w14:paraId="2EC765A8" w14:textId="77777777" w:rsidR="00D73008" w:rsidRPr="00146C3B" w:rsidRDefault="00D73008" w:rsidP="00387AE5">
            <w:pPr>
              <w:jc w:val="center"/>
              <w:rPr>
                <w:rFonts w:cs="Times New Roman"/>
                <w:color w:val="000000"/>
                <w:sz w:val="18"/>
                <w:szCs w:val="18"/>
              </w:rPr>
            </w:pPr>
            <w:r w:rsidRPr="00146C3B">
              <w:rPr>
                <w:sz w:val="18"/>
                <w:szCs w:val="18"/>
              </w:rPr>
              <w:t>43,0</w:t>
            </w:r>
          </w:p>
        </w:tc>
        <w:tc>
          <w:tcPr>
            <w:tcW w:w="567" w:type="dxa"/>
            <w:tcBorders>
              <w:top w:val="nil"/>
              <w:left w:val="nil"/>
              <w:bottom w:val="nil"/>
              <w:right w:val="nil"/>
            </w:tcBorders>
            <w:shd w:val="clear" w:color="auto" w:fill="auto"/>
            <w:vAlign w:val="center"/>
            <w:hideMark/>
          </w:tcPr>
          <w:p w14:paraId="3293BBFE" w14:textId="77777777" w:rsidR="00D73008" w:rsidRPr="00146C3B" w:rsidRDefault="00D73008" w:rsidP="00387AE5">
            <w:pPr>
              <w:jc w:val="center"/>
              <w:rPr>
                <w:rFonts w:cs="Times New Roman"/>
                <w:color w:val="000000"/>
                <w:sz w:val="18"/>
                <w:szCs w:val="18"/>
              </w:rPr>
            </w:pPr>
            <w:r w:rsidRPr="00146C3B">
              <w:rPr>
                <w:sz w:val="18"/>
                <w:szCs w:val="18"/>
              </w:rPr>
              <w:t>41,3</w:t>
            </w:r>
          </w:p>
        </w:tc>
        <w:tc>
          <w:tcPr>
            <w:tcW w:w="709" w:type="dxa"/>
            <w:tcBorders>
              <w:top w:val="nil"/>
              <w:left w:val="nil"/>
              <w:bottom w:val="nil"/>
              <w:right w:val="nil"/>
            </w:tcBorders>
            <w:shd w:val="clear" w:color="auto" w:fill="auto"/>
            <w:vAlign w:val="center"/>
            <w:hideMark/>
          </w:tcPr>
          <w:p w14:paraId="689FD092" w14:textId="77777777" w:rsidR="00D73008" w:rsidRPr="00146C3B" w:rsidRDefault="00D73008" w:rsidP="00387AE5">
            <w:pPr>
              <w:jc w:val="center"/>
              <w:rPr>
                <w:rFonts w:cs="Times New Roman"/>
                <w:color w:val="000000"/>
                <w:sz w:val="18"/>
                <w:szCs w:val="18"/>
              </w:rPr>
            </w:pPr>
            <w:r w:rsidRPr="00146C3B">
              <w:rPr>
                <w:sz w:val="18"/>
                <w:szCs w:val="18"/>
              </w:rPr>
              <w:t>39,8</w:t>
            </w:r>
          </w:p>
        </w:tc>
        <w:tc>
          <w:tcPr>
            <w:tcW w:w="589" w:type="dxa"/>
            <w:tcBorders>
              <w:top w:val="nil"/>
              <w:left w:val="nil"/>
              <w:bottom w:val="nil"/>
              <w:right w:val="nil"/>
            </w:tcBorders>
            <w:shd w:val="clear" w:color="auto" w:fill="auto"/>
            <w:vAlign w:val="center"/>
            <w:hideMark/>
          </w:tcPr>
          <w:p w14:paraId="56114DF3" w14:textId="77777777" w:rsidR="00D73008" w:rsidRPr="00146C3B" w:rsidRDefault="00D73008" w:rsidP="00387AE5">
            <w:pPr>
              <w:jc w:val="center"/>
              <w:rPr>
                <w:rFonts w:cs="Times New Roman"/>
                <w:color w:val="000000"/>
                <w:sz w:val="18"/>
                <w:szCs w:val="18"/>
              </w:rPr>
            </w:pPr>
            <w:r w:rsidRPr="00146C3B">
              <w:rPr>
                <w:sz w:val="18"/>
                <w:szCs w:val="18"/>
              </w:rPr>
              <w:t>38,5</w:t>
            </w:r>
          </w:p>
        </w:tc>
        <w:tc>
          <w:tcPr>
            <w:tcW w:w="778" w:type="dxa"/>
            <w:tcBorders>
              <w:top w:val="nil"/>
              <w:left w:val="nil"/>
              <w:bottom w:val="nil"/>
              <w:right w:val="nil"/>
            </w:tcBorders>
            <w:shd w:val="clear" w:color="auto" w:fill="auto"/>
            <w:vAlign w:val="center"/>
            <w:hideMark/>
          </w:tcPr>
          <w:p w14:paraId="70E8461B" w14:textId="77777777" w:rsidR="00D73008" w:rsidRPr="00146C3B" w:rsidRDefault="00D73008" w:rsidP="00387AE5">
            <w:pPr>
              <w:jc w:val="center"/>
              <w:rPr>
                <w:rFonts w:cs="Times New Roman"/>
                <w:color w:val="000000"/>
                <w:sz w:val="18"/>
                <w:szCs w:val="18"/>
              </w:rPr>
            </w:pPr>
            <w:r w:rsidRPr="00146C3B">
              <w:rPr>
                <w:sz w:val="18"/>
                <w:szCs w:val="18"/>
              </w:rPr>
              <w:t>37,1</w:t>
            </w:r>
          </w:p>
        </w:tc>
      </w:tr>
      <w:tr w:rsidR="00D73008" w:rsidRPr="0085303B" w14:paraId="3DBF2F38" w14:textId="77777777" w:rsidTr="00387AE5">
        <w:trPr>
          <w:trHeight w:val="283"/>
        </w:trPr>
        <w:tc>
          <w:tcPr>
            <w:tcW w:w="4830" w:type="dxa"/>
            <w:gridSpan w:val="2"/>
            <w:tcBorders>
              <w:top w:val="nil"/>
              <w:left w:val="nil"/>
              <w:bottom w:val="nil"/>
              <w:right w:val="nil"/>
            </w:tcBorders>
            <w:shd w:val="clear" w:color="auto" w:fill="auto"/>
            <w:vAlign w:val="center"/>
            <w:hideMark/>
          </w:tcPr>
          <w:p w14:paraId="51AF5275" w14:textId="77777777" w:rsidR="00D73008" w:rsidRPr="0085303B" w:rsidRDefault="00D73008" w:rsidP="00387AE5">
            <w:pPr>
              <w:rPr>
                <w:rFonts w:cs="Times New Roman"/>
                <w:color w:val="000000"/>
                <w:sz w:val="18"/>
                <w:szCs w:val="18"/>
              </w:rPr>
            </w:pPr>
            <w:r w:rsidRPr="0085303B">
              <w:rPr>
                <w:rFonts w:cs="Times New Roman"/>
                <w:color w:val="000000"/>
                <w:sz w:val="18"/>
                <w:szCs w:val="18"/>
              </w:rPr>
              <w:t>8. Splátky dlhu (existujúce dlhopisy) od konca predchádzajúceho roka</w:t>
            </w:r>
          </w:p>
        </w:tc>
        <w:tc>
          <w:tcPr>
            <w:tcW w:w="839" w:type="dxa"/>
            <w:tcBorders>
              <w:top w:val="nil"/>
              <w:left w:val="nil"/>
              <w:bottom w:val="nil"/>
              <w:right w:val="nil"/>
            </w:tcBorders>
            <w:shd w:val="clear" w:color="auto" w:fill="auto"/>
            <w:vAlign w:val="center"/>
            <w:hideMark/>
          </w:tcPr>
          <w:p w14:paraId="4DFB3542" w14:textId="77777777" w:rsidR="00D73008" w:rsidRPr="0085303B" w:rsidRDefault="00D73008" w:rsidP="00387AE5">
            <w:pPr>
              <w:jc w:val="center"/>
              <w:rPr>
                <w:rFonts w:cs="Times New Roman"/>
                <w:color w:val="000000"/>
                <w:sz w:val="18"/>
                <w:szCs w:val="18"/>
              </w:rPr>
            </w:pPr>
            <w:r w:rsidRPr="0085303B">
              <w:rPr>
                <w:sz w:val="18"/>
                <w:szCs w:val="18"/>
              </w:rPr>
              <w:t>-5,3</w:t>
            </w:r>
          </w:p>
        </w:tc>
        <w:tc>
          <w:tcPr>
            <w:tcW w:w="567" w:type="dxa"/>
            <w:tcBorders>
              <w:top w:val="nil"/>
              <w:left w:val="nil"/>
              <w:bottom w:val="nil"/>
              <w:right w:val="nil"/>
            </w:tcBorders>
            <w:shd w:val="clear" w:color="auto" w:fill="auto"/>
            <w:vAlign w:val="center"/>
            <w:hideMark/>
          </w:tcPr>
          <w:p w14:paraId="39370E40" w14:textId="77777777" w:rsidR="00D73008" w:rsidRPr="0085303B" w:rsidRDefault="00D73008" w:rsidP="00387AE5">
            <w:pPr>
              <w:jc w:val="center"/>
              <w:rPr>
                <w:rFonts w:cs="Times New Roman"/>
                <w:color w:val="000000"/>
                <w:sz w:val="18"/>
                <w:szCs w:val="18"/>
              </w:rPr>
            </w:pPr>
            <w:r w:rsidRPr="0085303B">
              <w:rPr>
                <w:sz w:val="18"/>
                <w:szCs w:val="18"/>
              </w:rPr>
              <w:t>-3,5</w:t>
            </w:r>
          </w:p>
        </w:tc>
        <w:tc>
          <w:tcPr>
            <w:tcW w:w="567" w:type="dxa"/>
            <w:tcBorders>
              <w:top w:val="nil"/>
              <w:left w:val="nil"/>
              <w:bottom w:val="nil"/>
              <w:right w:val="nil"/>
            </w:tcBorders>
            <w:shd w:val="clear" w:color="auto" w:fill="auto"/>
            <w:vAlign w:val="center"/>
            <w:hideMark/>
          </w:tcPr>
          <w:p w14:paraId="102A8EF6" w14:textId="77777777" w:rsidR="00D73008" w:rsidRPr="0085303B" w:rsidRDefault="00D73008" w:rsidP="00387AE5">
            <w:pPr>
              <w:jc w:val="center"/>
              <w:rPr>
                <w:rFonts w:cs="Times New Roman"/>
                <w:color w:val="000000"/>
                <w:sz w:val="18"/>
                <w:szCs w:val="18"/>
              </w:rPr>
            </w:pPr>
            <w:r w:rsidRPr="0085303B">
              <w:rPr>
                <w:sz w:val="18"/>
                <w:szCs w:val="18"/>
              </w:rPr>
              <w:t>-1,7</w:t>
            </w:r>
          </w:p>
        </w:tc>
        <w:tc>
          <w:tcPr>
            <w:tcW w:w="709" w:type="dxa"/>
            <w:tcBorders>
              <w:top w:val="nil"/>
              <w:left w:val="nil"/>
              <w:bottom w:val="nil"/>
              <w:right w:val="nil"/>
            </w:tcBorders>
            <w:shd w:val="clear" w:color="auto" w:fill="auto"/>
            <w:vAlign w:val="center"/>
            <w:hideMark/>
          </w:tcPr>
          <w:p w14:paraId="4BBB2173" w14:textId="77777777" w:rsidR="00D73008" w:rsidRPr="0085303B" w:rsidRDefault="00D73008" w:rsidP="00387AE5">
            <w:pPr>
              <w:jc w:val="center"/>
              <w:rPr>
                <w:rFonts w:cs="Times New Roman"/>
                <w:color w:val="000000"/>
                <w:sz w:val="18"/>
                <w:szCs w:val="18"/>
              </w:rPr>
            </w:pPr>
            <w:r w:rsidRPr="0085303B">
              <w:rPr>
                <w:sz w:val="18"/>
                <w:szCs w:val="18"/>
              </w:rPr>
              <w:t>-2,9</w:t>
            </w:r>
          </w:p>
        </w:tc>
        <w:tc>
          <w:tcPr>
            <w:tcW w:w="589" w:type="dxa"/>
            <w:tcBorders>
              <w:top w:val="nil"/>
              <w:left w:val="nil"/>
              <w:bottom w:val="nil"/>
              <w:right w:val="nil"/>
            </w:tcBorders>
            <w:shd w:val="clear" w:color="auto" w:fill="auto"/>
            <w:vAlign w:val="center"/>
            <w:hideMark/>
          </w:tcPr>
          <w:p w14:paraId="64FF0773" w14:textId="77777777" w:rsidR="00D73008" w:rsidRPr="0085303B" w:rsidRDefault="00D73008" w:rsidP="00387AE5">
            <w:pPr>
              <w:jc w:val="center"/>
              <w:rPr>
                <w:rFonts w:cs="Times New Roman"/>
                <w:color w:val="000000"/>
                <w:sz w:val="18"/>
                <w:szCs w:val="18"/>
              </w:rPr>
            </w:pPr>
            <w:r w:rsidRPr="0085303B">
              <w:rPr>
                <w:sz w:val="18"/>
                <w:szCs w:val="18"/>
              </w:rPr>
              <w:t>-0,9</w:t>
            </w:r>
          </w:p>
        </w:tc>
        <w:tc>
          <w:tcPr>
            <w:tcW w:w="778" w:type="dxa"/>
            <w:tcBorders>
              <w:top w:val="nil"/>
              <w:left w:val="nil"/>
              <w:bottom w:val="nil"/>
              <w:right w:val="nil"/>
            </w:tcBorders>
            <w:shd w:val="clear" w:color="auto" w:fill="auto"/>
            <w:vAlign w:val="center"/>
            <w:hideMark/>
          </w:tcPr>
          <w:p w14:paraId="26CDBC57" w14:textId="77777777" w:rsidR="00D73008" w:rsidRPr="0085303B" w:rsidRDefault="00D73008" w:rsidP="00387AE5">
            <w:pPr>
              <w:jc w:val="center"/>
              <w:rPr>
                <w:rFonts w:cs="Times New Roman"/>
                <w:color w:val="000000"/>
                <w:sz w:val="18"/>
                <w:szCs w:val="18"/>
              </w:rPr>
            </w:pPr>
            <w:r w:rsidRPr="0085303B">
              <w:rPr>
                <w:sz w:val="18"/>
                <w:szCs w:val="18"/>
              </w:rPr>
              <w:t>-1,2</w:t>
            </w:r>
          </w:p>
        </w:tc>
      </w:tr>
      <w:tr w:rsidR="00D73008" w:rsidRPr="0085303B" w14:paraId="16DB19BB" w14:textId="77777777" w:rsidTr="00387AE5">
        <w:trPr>
          <w:trHeight w:val="283"/>
        </w:trPr>
        <w:tc>
          <w:tcPr>
            <w:tcW w:w="4830" w:type="dxa"/>
            <w:gridSpan w:val="2"/>
            <w:tcBorders>
              <w:top w:val="nil"/>
              <w:left w:val="nil"/>
              <w:right w:val="nil"/>
            </w:tcBorders>
            <w:shd w:val="clear" w:color="auto" w:fill="auto"/>
            <w:vAlign w:val="center"/>
            <w:hideMark/>
          </w:tcPr>
          <w:p w14:paraId="6A835A79" w14:textId="77777777" w:rsidR="00D73008" w:rsidRPr="0085303B" w:rsidRDefault="00D73008" w:rsidP="00387AE5">
            <w:pPr>
              <w:rPr>
                <w:rFonts w:cs="Times New Roman"/>
                <w:color w:val="000000"/>
                <w:sz w:val="18"/>
                <w:szCs w:val="18"/>
              </w:rPr>
            </w:pPr>
            <w:r w:rsidRPr="0085303B">
              <w:rPr>
                <w:rFonts w:cs="Times New Roman"/>
                <w:color w:val="000000"/>
                <w:sz w:val="18"/>
                <w:szCs w:val="18"/>
              </w:rPr>
              <w:t>9. Podiel dlhu denominovaného v zahraničnej mene **</w:t>
            </w:r>
          </w:p>
        </w:tc>
        <w:tc>
          <w:tcPr>
            <w:tcW w:w="839" w:type="dxa"/>
            <w:tcBorders>
              <w:top w:val="nil"/>
              <w:left w:val="nil"/>
              <w:right w:val="nil"/>
            </w:tcBorders>
            <w:shd w:val="clear" w:color="auto" w:fill="auto"/>
            <w:vAlign w:val="center"/>
            <w:hideMark/>
          </w:tcPr>
          <w:p w14:paraId="4C32B9B6" w14:textId="77777777" w:rsidR="00D73008" w:rsidRPr="0085303B" w:rsidRDefault="00D73008" w:rsidP="00387AE5">
            <w:pPr>
              <w:jc w:val="center"/>
              <w:rPr>
                <w:rFonts w:cs="Times New Roman"/>
                <w:color w:val="000000"/>
                <w:sz w:val="18"/>
                <w:szCs w:val="18"/>
              </w:rPr>
            </w:pPr>
            <w:r w:rsidRPr="0085303B">
              <w:rPr>
                <w:sz w:val="18"/>
                <w:szCs w:val="18"/>
              </w:rPr>
              <w:t>3,7</w:t>
            </w:r>
          </w:p>
        </w:tc>
        <w:tc>
          <w:tcPr>
            <w:tcW w:w="567" w:type="dxa"/>
            <w:tcBorders>
              <w:top w:val="nil"/>
              <w:left w:val="nil"/>
              <w:bottom w:val="nil"/>
              <w:right w:val="nil"/>
            </w:tcBorders>
            <w:shd w:val="clear" w:color="auto" w:fill="auto"/>
            <w:vAlign w:val="center"/>
            <w:hideMark/>
          </w:tcPr>
          <w:p w14:paraId="510B4838" w14:textId="77777777" w:rsidR="00D73008" w:rsidRPr="0085303B" w:rsidRDefault="00D73008" w:rsidP="00387AE5">
            <w:pPr>
              <w:jc w:val="center"/>
              <w:rPr>
                <w:rFonts w:cs="Times New Roman"/>
                <w:color w:val="000000"/>
                <w:sz w:val="18"/>
                <w:szCs w:val="18"/>
              </w:rPr>
            </w:pPr>
            <w:r w:rsidRPr="0085303B">
              <w:rPr>
                <w:sz w:val="18"/>
                <w:szCs w:val="18"/>
              </w:rPr>
              <w:t>3,0</w:t>
            </w:r>
          </w:p>
        </w:tc>
        <w:tc>
          <w:tcPr>
            <w:tcW w:w="567" w:type="dxa"/>
            <w:tcBorders>
              <w:top w:val="nil"/>
              <w:left w:val="nil"/>
              <w:bottom w:val="nil"/>
              <w:right w:val="nil"/>
            </w:tcBorders>
            <w:shd w:val="clear" w:color="auto" w:fill="auto"/>
            <w:vAlign w:val="center"/>
            <w:hideMark/>
          </w:tcPr>
          <w:p w14:paraId="38DE62A9" w14:textId="77777777" w:rsidR="00D73008" w:rsidRPr="0085303B" w:rsidRDefault="00D73008" w:rsidP="00387AE5">
            <w:pPr>
              <w:jc w:val="center"/>
              <w:rPr>
                <w:rFonts w:cs="Times New Roman"/>
                <w:color w:val="000000"/>
                <w:sz w:val="18"/>
                <w:szCs w:val="18"/>
              </w:rPr>
            </w:pPr>
            <w:r w:rsidRPr="0085303B">
              <w:rPr>
                <w:sz w:val="18"/>
                <w:szCs w:val="18"/>
              </w:rPr>
              <w:t>2,5</w:t>
            </w:r>
          </w:p>
        </w:tc>
        <w:tc>
          <w:tcPr>
            <w:tcW w:w="709" w:type="dxa"/>
            <w:tcBorders>
              <w:top w:val="nil"/>
              <w:left w:val="nil"/>
              <w:bottom w:val="nil"/>
              <w:right w:val="nil"/>
            </w:tcBorders>
            <w:shd w:val="clear" w:color="auto" w:fill="auto"/>
            <w:vAlign w:val="center"/>
            <w:hideMark/>
          </w:tcPr>
          <w:p w14:paraId="467BD0D3" w14:textId="77777777" w:rsidR="00D73008" w:rsidRPr="0085303B" w:rsidRDefault="00D73008" w:rsidP="00387AE5">
            <w:pPr>
              <w:jc w:val="center"/>
              <w:rPr>
                <w:rFonts w:cs="Times New Roman"/>
                <w:color w:val="000000"/>
                <w:sz w:val="18"/>
                <w:szCs w:val="18"/>
              </w:rPr>
            </w:pPr>
            <w:r w:rsidRPr="0085303B">
              <w:rPr>
                <w:sz w:val="18"/>
                <w:szCs w:val="18"/>
              </w:rPr>
              <w:t>2,0</w:t>
            </w:r>
          </w:p>
        </w:tc>
        <w:tc>
          <w:tcPr>
            <w:tcW w:w="589" w:type="dxa"/>
            <w:tcBorders>
              <w:top w:val="nil"/>
              <w:left w:val="nil"/>
              <w:bottom w:val="nil"/>
              <w:right w:val="nil"/>
            </w:tcBorders>
            <w:shd w:val="clear" w:color="auto" w:fill="auto"/>
            <w:vAlign w:val="center"/>
            <w:hideMark/>
          </w:tcPr>
          <w:p w14:paraId="170709EB" w14:textId="77777777" w:rsidR="00D73008" w:rsidRPr="0085303B" w:rsidRDefault="00D73008" w:rsidP="00387AE5">
            <w:pPr>
              <w:jc w:val="center"/>
              <w:rPr>
                <w:rFonts w:cs="Times New Roman"/>
                <w:color w:val="000000"/>
                <w:sz w:val="18"/>
                <w:szCs w:val="18"/>
              </w:rPr>
            </w:pPr>
            <w:r w:rsidRPr="0085303B">
              <w:rPr>
                <w:sz w:val="18"/>
                <w:szCs w:val="18"/>
              </w:rPr>
              <w:t>1,8</w:t>
            </w:r>
          </w:p>
        </w:tc>
        <w:tc>
          <w:tcPr>
            <w:tcW w:w="778" w:type="dxa"/>
            <w:tcBorders>
              <w:top w:val="nil"/>
              <w:left w:val="nil"/>
              <w:bottom w:val="nil"/>
              <w:right w:val="nil"/>
            </w:tcBorders>
            <w:shd w:val="clear" w:color="auto" w:fill="auto"/>
            <w:vAlign w:val="center"/>
            <w:hideMark/>
          </w:tcPr>
          <w:p w14:paraId="041438FE" w14:textId="77777777" w:rsidR="00D73008" w:rsidRPr="0085303B" w:rsidRDefault="00D73008" w:rsidP="00387AE5">
            <w:pPr>
              <w:jc w:val="center"/>
              <w:rPr>
                <w:rFonts w:cs="Times New Roman"/>
                <w:color w:val="000000"/>
                <w:sz w:val="18"/>
                <w:szCs w:val="18"/>
              </w:rPr>
            </w:pPr>
            <w:r w:rsidRPr="0085303B">
              <w:rPr>
                <w:sz w:val="18"/>
                <w:szCs w:val="18"/>
              </w:rPr>
              <w:t>1,7</w:t>
            </w:r>
          </w:p>
        </w:tc>
      </w:tr>
      <w:tr w:rsidR="00D73008" w:rsidRPr="0085303B" w14:paraId="6C117FA2" w14:textId="77777777" w:rsidTr="00387AE5">
        <w:trPr>
          <w:trHeight w:val="283"/>
        </w:trPr>
        <w:tc>
          <w:tcPr>
            <w:tcW w:w="4394" w:type="dxa"/>
            <w:tcBorders>
              <w:top w:val="nil"/>
              <w:left w:val="nil"/>
              <w:bottom w:val="single" w:sz="8" w:space="0" w:color="auto"/>
              <w:right w:val="nil"/>
            </w:tcBorders>
            <w:shd w:val="clear" w:color="auto" w:fill="auto"/>
            <w:vAlign w:val="center"/>
            <w:hideMark/>
          </w:tcPr>
          <w:p w14:paraId="6E76C9E9" w14:textId="77777777" w:rsidR="00D73008" w:rsidRPr="0085303B" w:rsidRDefault="00D73008" w:rsidP="00387AE5">
            <w:pPr>
              <w:rPr>
                <w:rFonts w:cs="Times New Roman"/>
                <w:color w:val="000000"/>
                <w:sz w:val="18"/>
                <w:szCs w:val="18"/>
              </w:rPr>
            </w:pPr>
            <w:r w:rsidRPr="0085303B">
              <w:rPr>
                <w:rFonts w:cs="Times New Roman"/>
                <w:color w:val="000000"/>
                <w:sz w:val="18"/>
                <w:szCs w:val="18"/>
              </w:rPr>
              <w:t>10. Priemerná splatnosť ***</w:t>
            </w:r>
          </w:p>
        </w:tc>
        <w:tc>
          <w:tcPr>
            <w:tcW w:w="436" w:type="dxa"/>
            <w:tcBorders>
              <w:top w:val="nil"/>
              <w:left w:val="nil"/>
              <w:bottom w:val="single" w:sz="8" w:space="0" w:color="auto"/>
              <w:right w:val="nil"/>
            </w:tcBorders>
            <w:shd w:val="clear" w:color="auto" w:fill="auto"/>
          </w:tcPr>
          <w:p w14:paraId="5E2CEB93" w14:textId="77777777" w:rsidR="00D73008" w:rsidRPr="0085303B" w:rsidRDefault="00D73008" w:rsidP="00387AE5">
            <w:pPr>
              <w:rPr>
                <w:rFonts w:ascii="Calibri" w:hAnsi="Calibri" w:cs="Times New Roman"/>
                <w:color w:val="000000"/>
                <w:sz w:val="18"/>
                <w:szCs w:val="18"/>
              </w:rPr>
            </w:pPr>
          </w:p>
        </w:tc>
        <w:tc>
          <w:tcPr>
            <w:tcW w:w="839" w:type="dxa"/>
            <w:tcBorders>
              <w:top w:val="nil"/>
              <w:left w:val="nil"/>
              <w:bottom w:val="single" w:sz="4" w:space="0" w:color="auto"/>
              <w:right w:val="nil"/>
            </w:tcBorders>
            <w:shd w:val="clear" w:color="auto" w:fill="auto"/>
            <w:vAlign w:val="center"/>
          </w:tcPr>
          <w:p w14:paraId="7C565106" w14:textId="77777777" w:rsidR="00D73008" w:rsidRPr="0085303B" w:rsidRDefault="00D73008" w:rsidP="00387AE5">
            <w:pPr>
              <w:jc w:val="center"/>
              <w:rPr>
                <w:rFonts w:cs="Times New Roman"/>
                <w:color w:val="000000"/>
                <w:sz w:val="18"/>
                <w:szCs w:val="18"/>
              </w:rPr>
            </w:pPr>
            <w:r w:rsidRPr="0085303B">
              <w:rPr>
                <w:sz w:val="18"/>
                <w:szCs w:val="18"/>
              </w:rPr>
              <w:t>7,9</w:t>
            </w:r>
          </w:p>
        </w:tc>
        <w:tc>
          <w:tcPr>
            <w:tcW w:w="567" w:type="dxa"/>
            <w:tcBorders>
              <w:top w:val="nil"/>
              <w:left w:val="nil"/>
              <w:bottom w:val="single" w:sz="4" w:space="0" w:color="auto"/>
              <w:right w:val="nil"/>
            </w:tcBorders>
            <w:shd w:val="clear" w:color="auto" w:fill="auto"/>
            <w:vAlign w:val="center"/>
          </w:tcPr>
          <w:p w14:paraId="166F3F3B" w14:textId="77777777" w:rsidR="00D73008" w:rsidRPr="0085303B" w:rsidRDefault="00D73008" w:rsidP="00387AE5">
            <w:pPr>
              <w:jc w:val="center"/>
              <w:rPr>
                <w:rFonts w:cs="Times New Roman"/>
                <w:color w:val="000000"/>
                <w:sz w:val="18"/>
                <w:szCs w:val="18"/>
              </w:rPr>
            </w:pPr>
            <w:r w:rsidRPr="0085303B">
              <w:rPr>
                <w:sz w:val="18"/>
                <w:szCs w:val="18"/>
              </w:rPr>
              <w:t>8,7</w:t>
            </w:r>
          </w:p>
        </w:tc>
        <w:tc>
          <w:tcPr>
            <w:tcW w:w="567" w:type="dxa"/>
            <w:tcBorders>
              <w:top w:val="nil"/>
              <w:left w:val="nil"/>
              <w:bottom w:val="single" w:sz="4" w:space="0" w:color="auto"/>
              <w:right w:val="nil"/>
            </w:tcBorders>
            <w:shd w:val="clear" w:color="auto" w:fill="auto"/>
            <w:vAlign w:val="center"/>
          </w:tcPr>
          <w:p w14:paraId="44D96B36" w14:textId="77777777" w:rsidR="00D73008" w:rsidRPr="0085303B" w:rsidRDefault="00D73008" w:rsidP="00387AE5">
            <w:pPr>
              <w:jc w:val="center"/>
              <w:rPr>
                <w:rFonts w:cs="Times New Roman"/>
                <w:color w:val="000000"/>
                <w:sz w:val="18"/>
                <w:szCs w:val="18"/>
              </w:rPr>
            </w:pPr>
            <w:r w:rsidRPr="0085303B">
              <w:rPr>
                <w:sz w:val="18"/>
                <w:szCs w:val="18"/>
              </w:rPr>
              <w:t>9,7</w:t>
            </w:r>
          </w:p>
        </w:tc>
        <w:tc>
          <w:tcPr>
            <w:tcW w:w="709" w:type="dxa"/>
            <w:tcBorders>
              <w:top w:val="nil"/>
              <w:left w:val="nil"/>
              <w:bottom w:val="single" w:sz="4" w:space="0" w:color="auto"/>
              <w:right w:val="nil"/>
            </w:tcBorders>
            <w:shd w:val="clear" w:color="auto" w:fill="auto"/>
            <w:vAlign w:val="center"/>
          </w:tcPr>
          <w:p w14:paraId="63F2D9F8" w14:textId="77777777" w:rsidR="00D73008" w:rsidRPr="0085303B" w:rsidRDefault="00D73008" w:rsidP="00387AE5">
            <w:pPr>
              <w:jc w:val="center"/>
              <w:rPr>
                <w:rFonts w:cs="Times New Roman"/>
                <w:color w:val="000000"/>
                <w:sz w:val="18"/>
                <w:szCs w:val="18"/>
              </w:rPr>
            </w:pPr>
            <w:r w:rsidRPr="0085303B">
              <w:rPr>
                <w:sz w:val="18"/>
                <w:szCs w:val="18"/>
              </w:rPr>
              <w:t>10,3</w:t>
            </w:r>
          </w:p>
        </w:tc>
        <w:tc>
          <w:tcPr>
            <w:tcW w:w="589" w:type="dxa"/>
            <w:tcBorders>
              <w:top w:val="nil"/>
              <w:left w:val="nil"/>
              <w:bottom w:val="single" w:sz="4" w:space="0" w:color="auto"/>
              <w:right w:val="nil"/>
            </w:tcBorders>
            <w:shd w:val="clear" w:color="auto" w:fill="auto"/>
            <w:vAlign w:val="center"/>
          </w:tcPr>
          <w:p w14:paraId="76A0F9C0" w14:textId="77777777" w:rsidR="00D73008" w:rsidRPr="0085303B" w:rsidRDefault="00D73008" w:rsidP="00387AE5">
            <w:pPr>
              <w:jc w:val="center"/>
              <w:rPr>
                <w:rFonts w:cs="Times New Roman"/>
                <w:color w:val="000000"/>
                <w:sz w:val="18"/>
                <w:szCs w:val="18"/>
              </w:rPr>
            </w:pPr>
            <w:r w:rsidRPr="0085303B">
              <w:rPr>
                <w:sz w:val="18"/>
                <w:szCs w:val="18"/>
              </w:rPr>
              <w:t>10,5</w:t>
            </w:r>
          </w:p>
        </w:tc>
        <w:tc>
          <w:tcPr>
            <w:tcW w:w="778" w:type="dxa"/>
            <w:tcBorders>
              <w:top w:val="nil"/>
              <w:left w:val="nil"/>
              <w:bottom w:val="single" w:sz="4" w:space="0" w:color="auto"/>
              <w:right w:val="nil"/>
            </w:tcBorders>
            <w:shd w:val="clear" w:color="auto" w:fill="auto"/>
            <w:vAlign w:val="center"/>
            <w:hideMark/>
          </w:tcPr>
          <w:p w14:paraId="189A21DB" w14:textId="77777777" w:rsidR="00D73008" w:rsidRPr="0085303B" w:rsidRDefault="00D73008" w:rsidP="00387AE5">
            <w:pPr>
              <w:jc w:val="center"/>
              <w:rPr>
                <w:rFonts w:cs="Times New Roman"/>
                <w:color w:val="000000"/>
                <w:sz w:val="18"/>
                <w:szCs w:val="18"/>
              </w:rPr>
            </w:pPr>
            <w:r w:rsidRPr="0085303B">
              <w:rPr>
                <w:sz w:val="18"/>
                <w:szCs w:val="18"/>
              </w:rPr>
              <w:t>10,8</w:t>
            </w:r>
          </w:p>
        </w:tc>
      </w:tr>
      <w:tr w:rsidR="00D73008" w:rsidRPr="0085303B" w14:paraId="5002871A" w14:textId="77777777" w:rsidTr="00387AE5">
        <w:trPr>
          <w:trHeight w:val="227"/>
        </w:trPr>
        <w:tc>
          <w:tcPr>
            <w:tcW w:w="7512" w:type="dxa"/>
            <w:gridSpan w:val="6"/>
            <w:tcBorders>
              <w:top w:val="nil"/>
              <w:left w:val="nil"/>
              <w:right w:val="nil"/>
            </w:tcBorders>
            <w:shd w:val="clear" w:color="auto" w:fill="auto"/>
            <w:vAlign w:val="center"/>
          </w:tcPr>
          <w:p w14:paraId="765A6914" w14:textId="77777777" w:rsidR="00D73008" w:rsidRPr="0085303B" w:rsidRDefault="00D73008" w:rsidP="00387AE5">
            <w:pPr>
              <w:rPr>
                <w:rFonts w:cs="Times New Roman"/>
                <w:i/>
                <w:color w:val="000000"/>
                <w:sz w:val="18"/>
                <w:szCs w:val="18"/>
              </w:rPr>
            </w:pPr>
            <w:r w:rsidRPr="0085303B">
              <w:rPr>
                <w:rFonts w:cs="Times New Roman"/>
                <w:i/>
                <w:color w:val="000000"/>
                <w:sz w:val="16"/>
                <w:szCs w:val="16"/>
              </w:rPr>
              <w:t>* Primárne saldo za rok 2019 vychádza z očakávanej skutočnosti na rok 2019</w:t>
            </w:r>
          </w:p>
        </w:tc>
        <w:tc>
          <w:tcPr>
            <w:tcW w:w="1367" w:type="dxa"/>
            <w:gridSpan w:val="2"/>
            <w:tcBorders>
              <w:top w:val="nil"/>
              <w:left w:val="nil"/>
              <w:right w:val="nil"/>
            </w:tcBorders>
            <w:shd w:val="clear" w:color="auto" w:fill="auto"/>
            <w:vAlign w:val="center"/>
          </w:tcPr>
          <w:p w14:paraId="057E0E98" w14:textId="77777777" w:rsidR="00D73008" w:rsidRPr="0085303B" w:rsidRDefault="00D73008" w:rsidP="00387AE5">
            <w:pPr>
              <w:jc w:val="right"/>
              <w:rPr>
                <w:rFonts w:cs="Times New Roman"/>
                <w:color w:val="000000"/>
                <w:sz w:val="18"/>
                <w:szCs w:val="18"/>
              </w:rPr>
            </w:pPr>
            <w:r w:rsidRPr="0085303B">
              <w:rPr>
                <w:rFonts w:cs="Times New Roman"/>
                <w:i/>
                <w:iCs/>
                <w:color w:val="000000"/>
                <w:sz w:val="16"/>
                <w:szCs w:val="16"/>
              </w:rPr>
              <w:t>Zdroj: MFSR</w:t>
            </w:r>
          </w:p>
        </w:tc>
      </w:tr>
      <w:tr w:rsidR="00D73008" w:rsidRPr="0085303B" w14:paraId="36886EBD" w14:textId="77777777" w:rsidTr="00387AE5">
        <w:trPr>
          <w:trHeight w:val="227"/>
        </w:trPr>
        <w:tc>
          <w:tcPr>
            <w:tcW w:w="4394" w:type="dxa"/>
            <w:tcBorders>
              <w:top w:val="nil"/>
              <w:left w:val="nil"/>
              <w:right w:val="nil"/>
            </w:tcBorders>
            <w:shd w:val="clear" w:color="auto" w:fill="auto"/>
            <w:vAlign w:val="center"/>
          </w:tcPr>
          <w:p w14:paraId="0C05DEE5" w14:textId="77777777" w:rsidR="00D73008" w:rsidRPr="0085303B" w:rsidRDefault="00D73008" w:rsidP="00387AE5">
            <w:pPr>
              <w:rPr>
                <w:rFonts w:cs="Times New Roman"/>
                <w:i/>
                <w:color w:val="000000"/>
                <w:sz w:val="18"/>
                <w:szCs w:val="18"/>
              </w:rPr>
            </w:pPr>
            <w:r w:rsidRPr="0085303B">
              <w:rPr>
                <w:rFonts w:cs="Times New Roman"/>
                <w:i/>
                <w:color w:val="000000"/>
                <w:sz w:val="16"/>
                <w:szCs w:val="16"/>
              </w:rPr>
              <w:t>** Vrátane úverov</w:t>
            </w:r>
          </w:p>
        </w:tc>
        <w:tc>
          <w:tcPr>
            <w:tcW w:w="436" w:type="dxa"/>
            <w:tcBorders>
              <w:top w:val="nil"/>
              <w:left w:val="nil"/>
              <w:right w:val="nil"/>
            </w:tcBorders>
            <w:shd w:val="clear" w:color="auto" w:fill="auto"/>
            <w:vAlign w:val="bottom"/>
          </w:tcPr>
          <w:p w14:paraId="5844A0A0" w14:textId="77777777" w:rsidR="00D73008" w:rsidRPr="0085303B" w:rsidRDefault="00D73008" w:rsidP="00387AE5">
            <w:pPr>
              <w:rPr>
                <w:rFonts w:ascii="Calibri" w:hAnsi="Calibri" w:cs="Times New Roman"/>
                <w:i/>
                <w:color w:val="000000"/>
              </w:rPr>
            </w:pPr>
          </w:p>
        </w:tc>
        <w:tc>
          <w:tcPr>
            <w:tcW w:w="839" w:type="dxa"/>
            <w:tcBorders>
              <w:top w:val="nil"/>
              <w:left w:val="nil"/>
              <w:right w:val="nil"/>
            </w:tcBorders>
            <w:shd w:val="clear" w:color="auto" w:fill="auto"/>
            <w:vAlign w:val="center"/>
          </w:tcPr>
          <w:p w14:paraId="5BD3051F" w14:textId="77777777" w:rsidR="00D73008" w:rsidRPr="0085303B" w:rsidRDefault="00D73008" w:rsidP="00387AE5">
            <w:pPr>
              <w:jc w:val="center"/>
              <w:rPr>
                <w:rFonts w:cs="Times New Roman"/>
                <w:i/>
                <w:color w:val="000000"/>
                <w:sz w:val="18"/>
                <w:szCs w:val="18"/>
              </w:rPr>
            </w:pPr>
          </w:p>
        </w:tc>
        <w:tc>
          <w:tcPr>
            <w:tcW w:w="567" w:type="dxa"/>
            <w:tcBorders>
              <w:top w:val="nil"/>
              <w:left w:val="nil"/>
              <w:right w:val="nil"/>
            </w:tcBorders>
            <w:shd w:val="clear" w:color="auto" w:fill="auto"/>
            <w:vAlign w:val="center"/>
          </w:tcPr>
          <w:p w14:paraId="49785EC9" w14:textId="77777777" w:rsidR="00D73008" w:rsidRPr="0085303B" w:rsidRDefault="00D73008" w:rsidP="00387AE5">
            <w:pPr>
              <w:jc w:val="center"/>
              <w:rPr>
                <w:rFonts w:cs="Times New Roman"/>
                <w:i/>
                <w:color w:val="000000"/>
                <w:sz w:val="18"/>
                <w:szCs w:val="18"/>
              </w:rPr>
            </w:pPr>
          </w:p>
        </w:tc>
        <w:tc>
          <w:tcPr>
            <w:tcW w:w="567" w:type="dxa"/>
            <w:tcBorders>
              <w:top w:val="nil"/>
              <w:left w:val="nil"/>
              <w:right w:val="nil"/>
            </w:tcBorders>
            <w:shd w:val="clear" w:color="auto" w:fill="auto"/>
            <w:vAlign w:val="center"/>
          </w:tcPr>
          <w:p w14:paraId="29D92DC5" w14:textId="77777777" w:rsidR="00D73008" w:rsidRPr="0085303B" w:rsidRDefault="00D73008" w:rsidP="00387AE5">
            <w:pPr>
              <w:jc w:val="center"/>
              <w:rPr>
                <w:rFonts w:cs="Times New Roman"/>
                <w:i/>
                <w:color w:val="000000"/>
                <w:sz w:val="18"/>
                <w:szCs w:val="18"/>
              </w:rPr>
            </w:pPr>
          </w:p>
        </w:tc>
        <w:tc>
          <w:tcPr>
            <w:tcW w:w="709" w:type="dxa"/>
            <w:tcBorders>
              <w:top w:val="nil"/>
              <w:left w:val="nil"/>
              <w:right w:val="nil"/>
            </w:tcBorders>
            <w:shd w:val="clear" w:color="auto" w:fill="auto"/>
            <w:vAlign w:val="center"/>
          </w:tcPr>
          <w:p w14:paraId="0BBDB5DD" w14:textId="77777777" w:rsidR="00D73008" w:rsidRPr="0085303B" w:rsidRDefault="00D73008" w:rsidP="00387AE5">
            <w:pPr>
              <w:jc w:val="center"/>
              <w:rPr>
                <w:rFonts w:cs="Times New Roman"/>
                <w:i/>
                <w:color w:val="000000"/>
                <w:sz w:val="18"/>
                <w:szCs w:val="18"/>
              </w:rPr>
            </w:pPr>
          </w:p>
        </w:tc>
        <w:tc>
          <w:tcPr>
            <w:tcW w:w="589" w:type="dxa"/>
            <w:tcBorders>
              <w:top w:val="nil"/>
              <w:left w:val="nil"/>
              <w:right w:val="nil"/>
            </w:tcBorders>
            <w:shd w:val="clear" w:color="auto" w:fill="auto"/>
            <w:vAlign w:val="center"/>
          </w:tcPr>
          <w:p w14:paraId="07F683DB" w14:textId="77777777" w:rsidR="00D73008" w:rsidRPr="0085303B" w:rsidRDefault="00D73008" w:rsidP="00387AE5">
            <w:pPr>
              <w:jc w:val="center"/>
              <w:rPr>
                <w:rFonts w:cs="Times New Roman"/>
                <w:color w:val="000000"/>
                <w:sz w:val="18"/>
                <w:szCs w:val="18"/>
              </w:rPr>
            </w:pPr>
          </w:p>
        </w:tc>
        <w:tc>
          <w:tcPr>
            <w:tcW w:w="778" w:type="dxa"/>
            <w:tcBorders>
              <w:top w:val="nil"/>
              <w:left w:val="nil"/>
              <w:right w:val="nil"/>
            </w:tcBorders>
            <w:shd w:val="clear" w:color="auto" w:fill="auto"/>
            <w:vAlign w:val="center"/>
          </w:tcPr>
          <w:p w14:paraId="172D0E40" w14:textId="77777777" w:rsidR="00D73008" w:rsidRPr="0085303B" w:rsidRDefault="00D73008" w:rsidP="00387AE5">
            <w:pPr>
              <w:jc w:val="center"/>
              <w:rPr>
                <w:rFonts w:cs="Times New Roman"/>
                <w:color w:val="000000"/>
                <w:sz w:val="18"/>
                <w:szCs w:val="18"/>
              </w:rPr>
            </w:pPr>
          </w:p>
        </w:tc>
      </w:tr>
      <w:tr w:rsidR="00D73008" w:rsidRPr="0085303B" w14:paraId="40536E8D" w14:textId="77777777" w:rsidTr="00387AE5">
        <w:trPr>
          <w:trHeight w:val="227"/>
        </w:trPr>
        <w:tc>
          <w:tcPr>
            <w:tcW w:w="7512" w:type="dxa"/>
            <w:gridSpan w:val="6"/>
            <w:tcBorders>
              <w:top w:val="nil"/>
              <w:left w:val="nil"/>
              <w:right w:val="nil"/>
            </w:tcBorders>
            <w:shd w:val="clear" w:color="auto" w:fill="auto"/>
            <w:vAlign w:val="center"/>
          </w:tcPr>
          <w:p w14:paraId="2B0D190F" w14:textId="77777777" w:rsidR="00D73008" w:rsidRPr="0085303B" w:rsidRDefault="00D73008" w:rsidP="00387AE5">
            <w:pPr>
              <w:rPr>
                <w:rFonts w:cs="Times New Roman"/>
                <w:i/>
                <w:color w:val="000000"/>
                <w:sz w:val="18"/>
                <w:szCs w:val="18"/>
              </w:rPr>
            </w:pPr>
            <w:r w:rsidRPr="0085303B">
              <w:rPr>
                <w:rFonts w:cs="Times New Roman"/>
                <w:i/>
                <w:color w:val="000000"/>
                <w:sz w:val="16"/>
                <w:szCs w:val="16"/>
              </w:rPr>
              <w:t>***  Ide o splatnosť štátneho dlhu k 31.12., pre rok 2019 ide o priemernú splatnosť k 17.4.2019</w:t>
            </w:r>
          </w:p>
        </w:tc>
        <w:tc>
          <w:tcPr>
            <w:tcW w:w="589" w:type="dxa"/>
            <w:tcBorders>
              <w:top w:val="nil"/>
              <w:left w:val="nil"/>
              <w:right w:val="nil"/>
            </w:tcBorders>
            <w:shd w:val="clear" w:color="auto" w:fill="auto"/>
            <w:vAlign w:val="center"/>
          </w:tcPr>
          <w:p w14:paraId="30872A78" w14:textId="77777777" w:rsidR="00D73008" w:rsidRPr="0085303B" w:rsidRDefault="00D73008" w:rsidP="00387AE5">
            <w:pPr>
              <w:jc w:val="center"/>
              <w:rPr>
                <w:rFonts w:cs="Times New Roman"/>
                <w:color w:val="000000"/>
                <w:sz w:val="18"/>
                <w:szCs w:val="18"/>
              </w:rPr>
            </w:pPr>
          </w:p>
        </w:tc>
        <w:tc>
          <w:tcPr>
            <w:tcW w:w="778" w:type="dxa"/>
            <w:tcBorders>
              <w:top w:val="nil"/>
              <w:left w:val="nil"/>
              <w:right w:val="nil"/>
            </w:tcBorders>
            <w:shd w:val="clear" w:color="auto" w:fill="auto"/>
            <w:vAlign w:val="center"/>
          </w:tcPr>
          <w:p w14:paraId="4C750526" w14:textId="77777777" w:rsidR="00D73008" w:rsidRPr="0085303B" w:rsidRDefault="00D73008" w:rsidP="00387AE5">
            <w:pPr>
              <w:jc w:val="center"/>
              <w:rPr>
                <w:rFonts w:cs="Times New Roman"/>
                <w:color w:val="000000"/>
                <w:sz w:val="18"/>
                <w:szCs w:val="18"/>
              </w:rPr>
            </w:pPr>
          </w:p>
        </w:tc>
      </w:tr>
    </w:tbl>
    <w:p w14:paraId="5BC4F8B4" w14:textId="77777777" w:rsidR="00D73008" w:rsidRPr="00B21C97" w:rsidRDefault="00D73008" w:rsidP="00D73008">
      <w:pPr>
        <w:rPr>
          <w:highlight w:val="yellow"/>
        </w:rPr>
      </w:pPr>
    </w:p>
    <w:tbl>
      <w:tblPr>
        <w:tblW w:w="9000" w:type="dxa"/>
        <w:tblCellMar>
          <w:left w:w="70" w:type="dxa"/>
          <w:right w:w="70" w:type="dxa"/>
        </w:tblCellMar>
        <w:tblLook w:val="04A0" w:firstRow="1" w:lastRow="0" w:firstColumn="1" w:lastColumn="0" w:noHBand="0" w:noVBand="1"/>
      </w:tblPr>
      <w:tblGrid>
        <w:gridCol w:w="3240"/>
        <w:gridCol w:w="960"/>
        <w:gridCol w:w="960"/>
        <w:gridCol w:w="960"/>
        <w:gridCol w:w="960"/>
        <w:gridCol w:w="960"/>
        <w:gridCol w:w="960"/>
      </w:tblGrid>
      <w:tr w:rsidR="00D73008" w:rsidRPr="00152128" w14:paraId="3DF26598" w14:textId="77777777" w:rsidTr="00387AE5">
        <w:trPr>
          <w:trHeight w:val="283"/>
        </w:trPr>
        <w:tc>
          <w:tcPr>
            <w:tcW w:w="6120" w:type="dxa"/>
            <w:gridSpan w:val="4"/>
            <w:tcBorders>
              <w:top w:val="nil"/>
              <w:left w:val="nil"/>
              <w:bottom w:val="single" w:sz="8" w:space="0" w:color="auto"/>
              <w:right w:val="nil"/>
            </w:tcBorders>
            <w:shd w:val="clear" w:color="auto" w:fill="auto"/>
            <w:noWrap/>
            <w:vAlign w:val="bottom"/>
            <w:hideMark/>
          </w:tcPr>
          <w:p w14:paraId="2E85F74B" w14:textId="5773DA8F" w:rsidR="00D73008" w:rsidRPr="00152128" w:rsidRDefault="00D73008" w:rsidP="00387AE5">
            <w:pPr>
              <w:rPr>
                <w:rFonts w:eastAsiaTheme="minorHAnsi"/>
                <w:b/>
                <w:color w:val="2C9ADC"/>
                <w:lang w:eastAsia="en-US"/>
              </w:rPr>
            </w:pPr>
            <w:bookmarkStart w:id="257" w:name="_Toc480905419"/>
            <w:bookmarkStart w:id="258" w:name="_Toc6314226"/>
            <w:r w:rsidRPr="001162D3">
              <w:rPr>
                <w:rFonts w:eastAsiaTheme="minorHAnsi"/>
                <w:b/>
                <w:color w:val="2C9ADC"/>
                <w:lang w:eastAsia="en-US"/>
              </w:rPr>
              <w:t xml:space="preserve">TABUĽKA </w:t>
            </w:r>
            <w:r w:rsidRPr="001162D3">
              <w:rPr>
                <w:rFonts w:eastAsiaTheme="minorHAnsi"/>
                <w:b/>
                <w:color w:val="2C9ADC"/>
                <w:lang w:eastAsia="en-US"/>
              </w:rPr>
              <w:fldChar w:fldCharType="begin"/>
            </w:r>
            <w:r w:rsidRPr="001162D3">
              <w:rPr>
                <w:rFonts w:eastAsiaTheme="minorHAnsi"/>
                <w:b/>
                <w:color w:val="2C9ADC"/>
                <w:lang w:eastAsia="en-US"/>
              </w:rPr>
              <w:instrText xml:space="preserve"> SEQ TABUĽKA \* ARABIC </w:instrText>
            </w:r>
            <w:r w:rsidRPr="001162D3">
              <w:rPr>
                <w:rFonts w:eastAsiaTheme="minorHAnsi"/>
                <w:b/>
                <w:color w:val="2C9ADC"/>
                <w:lang w:eastAsia="en-US"/>
              </w:rPr>
              <w:fldChar w:fldCharType="separate"/>
            </w:r>
            <w:r w:rsidR="00D5739E">
              <w:rPr>
                <w:rFonts w:eastAsiaTheme="minorHAnsi"/>
                <w:b/>
                <w:noProof/>
                <w:color w:val="2C9ADC"/>
                <w:lang w:eastAsia="en-US"/>
              </w:rPr>
              <w:t>27</w:t>
            </w:r>
            <w:r w:rsidRPr="001162D3">
              <w:rPr>
                <w:rFonts w:eastAsiaTheme="minorHAnsi"/>
                <w:b/>
                <w:color w:val="2C9ADC"/>
                <w:lang w:eastAsia="en-US"/>
              </w:rPr>
              <w:fldChar w:fldCharType="end"/>
            </w:r>
            <w:r w:rsidRPr="00152128">
              <w:rPr>
                <w:rFonts w:eastAsiaTheme="minorHAnsi"/>
                <w:b/>
                <w:color w:val="2C9ADC"/>
                <w:lang w:eastAsia="en-US"/>
              </w:rPr>
              <w:t xml:space="preserve"> (Tabuľka 5) - Cyklický vývoj</w:t>
            </w:r>
            <w:bookmarkEnd w:id="257"/>
            <w:bookmarkEnd w:id="258"/>
          </w:p>
        </w:tc>
        <w:tc>
          <w:tcPr>
            <w:tcW w:w="2880" w:type="dxa"/>
            <w:gridSpan w:val="3"/>
            <w:tcBorders>
              <w:top w:val="nil"/>
              <w:left w:val="nil"/>
              <w:bottom w:val="single" w:sz="8" w:space="0" w:color="auto"/>
              <w:right w:val="nil"/>
            </w:tcBorders>
            <w:shd w:val="clear" w:color="auto" w:fill="auto"/>
            <w:noWrap/>
            <w:vAlign w:val="bottom"/>
            <w:hideMark/>
          </w:tcPr>
          <w:p w14:paraId="646CD348" w14:textId="77777777" w:rsidR="00D73008" w:rsidRPr="00152128" w:rsidRDefault="00D73008" w:rsidP="00387AE5">
            <w:pPr>
              <w:rPr>
                <w:rFonts w:eastAsiaTheme="minorHAnsi"/>
                <w:b/>
                <w:color w:val="2C9ADC"/>
                <w:lang w:eastAsia="en-US"/>
              </w:rPr>
            </w:pPr>
            <w:r w:rsidRPr="00152128">
              <w:rPr>
                <w:rFonts w:eastAsiaTheme="minorHAnsi"/>
                <w:b/>
                <w:color w:val="2C9ADC"/>
                <w:lang w:eastAsia="en-US"/>
              </w:rPr>
              <w:t> </w:t>
            </w:r>
          </w:p>
        </w:tc>
      </w:tr>
      <w:tr w:rsidR="00D73008" w:rsidRPr="001162D3" w14:paraId="0F2CC11A" w14:textId="77777777" w:rsidTr="00387AE5">
        <w:trPr>
          <w:trHeight w:val="283"/>
        </w:trPr>
        <w:tc>
          <w:tcPr>
            <w:tcW w:w="3240" w:type="dxa"/>
            <w:tcBorders>
              <w:top w:val="nil"/>
              <w:left w:val="nil"/>
              <w:bottom w:val="nil"/>
              <w:right w:val="nil"/>
            </w:tcBorders>
            <w:shd w:val="clear" w:color="auto" w:fill="auto"/>
            <w:vAlign w:val="center"/>
            <w:hideMark/>
          </w:tcPr>
          <w:p w14:paraId="17305C67" w14:textId="77777777" w:rsidR="00D73008" w:rsidRPr="001162D3" w:rsidRDefault="00D73008" w:rsidP="00387AE5">
            <w:pPr>
              <w:jc w:val="center"/>
              <w:rPr>
                <w:rFonts w:cs="Times New Roman"/>
                <w:sz w:val="20"/>
                <w:szCs w:val="20"/>
              </w:rPr>
            </w:pPr>
            <w:r w:rsidRPr="001162D3">
              <w:rPr>
                <w:rFonts w:cs="Times New Roman"/>
                <w:sz w:val="20"/>
                <w:szCs w:val="20"/>
              </w:rPr>
              <w:t>(% HDP)</w:t>
            </w:r>
          </w:p>
        </w:tc>
        <w:tc>
          <w:tcPr>
            <w:tcW w:w="960" w:type="dxa"/>
            <w:tcBorders>
              <w:top w:val="nil"/>
              <w:left w:val="nil"/>
              <w:bottom w:val="nil"/>
              <w:right w:val="nil"/>
            </w:tcBorders>
            <w:shd w:val="clear" w:color="auto" w:fill="auto"/>
            <w:vAlign w:val="center"/>
            <w:hideMark/>
          </w:tcPr>
          <w:p w14:paraId="35558946" w14:textId="77777777" w:rsidR="00D73008" w:rsidRPr="001162D3" w:rsidRDefault="00D73008" w:rsidP="00387AE5">
            <w:pPr>
              <w:jc w:val="center"/>
              <w:rPr>
                <w:rFonts w:cs="Times New Roman"/>
                <w:sz w:val="18"/>
                <w:szCs w:val="18"/>
              </w:rPr>
            </w:pPr>
            <w:r w:rsidRPr="001162D3">
              <w:rPr>
                <w:rFonts w:cs="Times New Roman"/>
                <w:sz w:val="18"/>
                <w:szCs w:val="18"/>
              </w:rPr>
              <w:t>ESA kód</w:t>
            </w:r>
          </w:p>
        </w:tc>
        <w:tc>
          <w:tcPr>
            <w:tcW w:w="960" w:type="dxa"/>
            <w:tcBorders>
              <w:top w:val="nil"/>
              <w:left w:val="nil"/>
              <w:bottom w:val="single" w:sz="4" w:space="0" w:color="auto"/>
              <w:right w:val="nil"/>
            </w:tcBorders>
            <w:shd w:val="clear" w:color="auto" w:fill="auto"/>
            <w:hideMark/>
          </w:tcPr>
          <w:p w14:paraId="2D802290" w14:textId="77777777" w:rsidR="00D73008" w:rsidRPr="001162D3" w:rsidRDefault="00D73008" w:rsidP="00387AE5">
            <w:pPr>
              <w:jc w:val="center"/>
              <w:rPr>
                <w:rFonts w:cs="Times New Roman"/>
                <w:b/>
                <w:bCs/>
                <w:color w:val="000000"/>
                <w:sz w:val="18"/>
                <w:szCs w:val="18"/>
              </w:rPr>
            </w:pPr>
            <w:r w:rsidRPr="001162D3">
              <w:rPr>
                <w:b/>
                <w:sz w:val="18"/>
                <w:szCs w:val="18"/>
              </w:rPr>
              <w:t>2018</w:t>
            </w:r>
          </w:p>
        </w:tc>
        <w:tc>
          <w:tcPr>
            <w:tcW w:w="960" w:type="dxa"/>
            <w:tcBorders>
              <w:top w:val="nil"/>
              <w:left w:val="nil"/>
              <w:bottom w:val="single" w:sz="4" w:space="0" w:color="auto"/>
              <w:right w:val="nil"/>
            </w:tcBorders>
            <w:shd w:val="clear" w:color="auto" w:fill="auto"/>
            <w:hideMark/>
          </w:tcPr>
          <w:p w14:paraId="27BAC9E0" w14:textId="77777777" w:rsidR="00D73008" w:rsidRPr="001162D3" w:rsidRDefault="00D73008" w:rsidP="00387AE5">
            <w:pPr>
              <w:jc w:val="center"/>
              <w:rPr>
                <w:rFonts w:cs="Times New Roman"/>
                <w:b/>
                <w:bCs/>
                <w:color w:val="000000"/>
                <w:sz w:val="18"/>
                <w:szCs w:val="18"/>
              </w:rPr>
            </w:pPr>
            <w:r w:rsidRPr="001162D3">
              <w:rPr>
                <w:b/>
                <w:sz w:val="18"/>
                <w:szCs w:val="18"/>
              </w:rPr>
              <w:t>2019</w:t>
            </w:r>
          </w:p>
        </w:tc>
        <w:tc>
          <w:tcPr>
            <w:tcW w:w="960" w:type="dxa"/>
            <w:tcBorders>
              <w:top w:val="nil"/>
              <w:left w:val="nil"/>
              <w:bottom w:val="single" w:sz="4" w:space="0" w:color="auto"/>
              <w:right w:val="nil"/>
            </w:tcBorders>
            <w:shd w:val="clear" w:color="auto" w:fill="auto"/>
            <w:hideMark/>
          </w:tcPr>
          <w:p w14:paraId="43DF6EDE" w14:textId="77777777" w:rsidR="00D73008" w:rsidRPr="001162D3" w:rsidRDefault="00D73008" w:rsidP="00387AE5">
            <w:pPr>
              <w:jc w:val="center"/>
              <w:rPr>
                <w:rFonts w:cs="Times New Roman"/>
                <w:b/>
                <w:bCs/>
                <w:color w:val="000000"/>
                <w:sz w:val="18"/>
                <w:szCs w:val="18"/>
              </w:rPr>
            </w:pPr>
            <w:r w:rsidRPr="001162D3">
              <w:rPr>
                <w:b/>
                <w:sz w:val="18"/>
                <w:szCs w:val="18"/>
              </w:rPr>
              <w:t>2020</w:t>
            </w:r>
          </w:p>
        </w:tc>
        <w:tc>
          <w:tcPr>
            <w:tcW w:w="960" w:type="dxa"/>
            <w:tcBorders>
              <w:top w:val="nil"/>
              <w:left w:val="nil"/>
              <w:bottom w:val="single" w:sz="4" w:space="0" w:color="auto"/>
              <w:right w:val="nil"/>
            </w:tcBorders>
            <w:shd w:val="clear" w:color="auto" w:fill="auto"/>
            <w:hideMark/>
          </w:tcPr>
          <w:p w14:paraId="6DAD01FA" w14:textId="77777777" w:rsidR="00D73008" w:rsidRPr="001162D3" w:rsidRDefault="00D73008" w:rsidP="00387AE5">
            <w:pPr>
              <w:jc w:val="center"/>
              <w:rPr>
                <w:rFonts w:cs="Times New Roman"/>
                <w:b/>
                <w:bCs/>
                <w:color w:val="000000"/>
                <w:sz w:val="18"/>
                <w:szCs w:val="18"/>
              </w:rPr>
            </w:pPr>
            <w:r w:rsidRPr="001162D3">
              <w:rPr>
                <w:b/>
                <w:sz w:val="18"/>
                <w:szCs w:val="18"/>
              </w:rPr>
              <w:t>2021</w:t>
            </w:r>
          </w:p>
        </w:tc>
        <w:tc>
          <w:tcPr>
            <w:tcW w:w="960" w:type="dxa"/>
            <w:tcBorders>
              <w:top w:val="nil"/>
              <w:left w:val="nil"/>
              <w:bottom w:val="single" w:sz="4" w:space="0" w:color="auto"/>
              <w:right w:val="nil"/>
            </w:tcBorders>
            <w:shd w:val="clear" w:color="auto" w:fill="auto"/>
            <w:hideMark/>
          </w:tcPr>
          <w:p w14:paraId="2131D107" w14:textId="77777777" w:rsidR="00D73008" w:rsidRPr="001162D3" w:rsidRDefault="00D73008" w:rsidP="00387AE5">
            <w:pPr>
              <w:jc w:val="center"/>
              <w:rPr>
                <w:rFonts w:cs="Times New Roman"/>
                <w:b/>
                <w:bCs/>
                <w:color w:val="000000"/>
                <w:sz w:val="18"/>
                <w:szCs w:val="18"/>
              </w:rPr>
            </w:pPr>
            <w:r w:rsidRPr="001162D3">
              <w:rPr>
                <w:b/>
                <w:sz w:val="18"/>
                <w:szCs w:val="18"/>
              </w:rPr>
              <w:t>2022</w:t>
            </w:r>
          </w:p>
        </w:tc>
      </w:tr>
      <w:tr w:rsidR="00D73008" w:rsidRPr="001162D3" w14:paraId="6E1D5E62" w14:textId="77777777" w:rsidTr="00387AE5">
        <w:trPr>
          <w:trHeight w:val="283"/>
        </w:trPr>
        <w:tc>
          <w:tcPr>
            <w:tcW w:w="3240" w:type="dxa"/>
            <w:tcBorders>
              <w:top w:val="single" w:sz="4" w:space="0" w:color="auto"/>
              <w:left w:val="nil"/>
              <w:bottom w:val="nil"/>
              <w:right w:val="nil"/>
            </w:tcBorders>
            <w:shd w:val="clear" w:color="000000" w:fill="FFFFFF"/>
            <w:vAlign w:val="center"/>
            <w:hideMark/>
          </w:tcPr>
          <w:p w14:paraId="42F8C7D4" w14:textId="77777777" w:rsidR="00D73008" w:rsidRPr="001162D3" w:rsidRDefault="00D73008" w:rsidP="00387AE5">
            <w:pPr>
              <w:rPr>
                <w:rFonts w:cs="Times New Roman"/>
                <w:sz w:val="18"/>
                <w:szCs w:val="18"/>
              </w:rPr>
            </w:pPr>
            <w:r w:rsidRPr="001162D3">
              <w:rPr>
                <w:rFonts w:cs="Times New Roman"/>
                <w:sz w:val="18"/>
                <w:szCs w:val="18"/>
              </w:rPr>
              <w:t>1. Reálny rast HDP (%)</w:t>
            </w:r>
          </w:p>
        </w:tc>
        <w:tc>
          <w:tcPr>
            <w:tcW w:w="960" w:type="dxa"/>
            <w:tcBorders>
              <w:top w:val="single" w:sz="4" w:space="0" w:color="auto"/>
              <w:left w:val="nil"/>
              <w:bottom w:val="nil"/>
              <w:right w:val="nil"/>
            </w:tcBorders>
            <w:shd w:val="clear" w:color="000000" w:fill="FFFFFF"/>
            <w:vAlign w:val="center"/>
            <w:hideMark/>
          </w:tcPr>
          <w:p w14:paraId="5D16F17F"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543B7B0A" w14:textId="77777777" w:rsidR="00D73008" w:rsidRPr="001162D3" w:rsidRDefault="00D73008" w:rsidP="00387AE5">
            <w:pPr>
              <w:jc w:val="center"/>
              <w:rPr>
                <w:rFonts w:cs="Times New Roman"/>
                <w:color w:val="000000"/>
                <w:sz w:val="18"/>
                <w:szCs w:val="18"/>
              </w:rPr>
            </w:pPr>
            <w:r w:rsidRPr="001162D3">
              <w:rPr>
                <w:sz w:val="18"/>
                <w:szCs w:val="18"/>
              </w:rPr>
              <w:t>4,1</w:t>
            </w:r>
          </w:p>
        </w:tc>
        <w:tc>
          <w:tcPr>
            <w:tcW w:w="960" w:type="dxa"/>
            <w:tcBorders>
              <w:top w:val="nil"/>
              <w:left w:val="nil"/>
              <w:bottom w:val="nil"/>
              <w:right w:val="nil"/>
            </w:tcBorders>
            <w:shd w:val="clear" w:color="auto" w:fill="auto"/>
            <w:hideMark/>
          </w:tcPr>
          <w:p w14:paraId="08EC09AD" w14:textId="77777777" w:rsidR="00D73008" w:rsidRPr="001162D3" w:rsidRDefault="00D73008" w:rsidP="00387AE5">
            <w:pPr>
              <w:jc w:val="center"/>
              <w:rPr>
                <w:rFonts w:cs="Times New Roman"/>
                <w:color w:val="000000"/>
                <w:sz w:val="18"/>
                <w:szCs w:val="18"/>
              </w:rPr>
            </w:pPr>
            <w:r w:rsidRPr="001162D3">
              <w:rPr>
                <w:sz w:val="18"/>
                <w:szCs w:val="18"/>
              </w:rPr>
              <w:t>4,0</w:t>
            </w:r>
          </w:p>
        </w:tc>
        <w:tc>
          <w:tcPr>
            <w:tcW w:w="960" w:type="dxa"/>
            <w:tcBorders>
              <w:top w:val="nil"/>
              <w:left w:val="nil"/>
              <w:bottom w:val="nil"/>
              <w:right w:val="nil"/>
            </w:tcBorders>
            <w:shd w:val="clear" w:color="auto" w:fill="auto"/>
            <w:hideMark/>
          </w:tcPr>
          <w:p w14:paraId="623BD98F" w14:textId="77777777" w:rsidR="00D73008" w:rsidRPr="001162D3" w:rsidRDefault="00D73008" w:rsidP="00387AE5">
            <w:pPr>
              <w:jc w:val="center"/>
              <w:rPr>
                <w:rFonts w:cs="Times New Roman"/>
                <w:color w:val="000000"/>
                <w:sz w:val="18"/>
                <w:szCs w:val="18"/>
              </w:rPr>
            </w:pPr>
            <w:r w:rsidRPr="001162D3">
              <w:rPr>
                <w:sz w:val="18"/>
                <w:szCs w:val="18"/>
              </w:rPr>
              <w:t>3,7</w:t>
            </w:r>
          </w:p>
        </w:tc>
        <w:tc>
          <w:tcPr>
            <w:tcW w:w="960" w:type="dxa"/>
            <w:tcBorders>
              <w:top w:val="nil"/>
              <w:left w:val="nil"/>
              <w:bottom w:val="nil"/>
              <w:right w:val="nil"/>
            </w:tcBorders>
            <w:shd w:val="clear" w:color="auto" w:fill="auto"/>
            <w:hideMark/>
          </w:tcPr>
          <w:p w14:paraId="2D162721" w14:textId="77777777" w:rsidR="00D73008" w:rsidRPr="001162D3" w:rsidRDefault="00D73008" w:rsidP="00387AE5">
            <w:pPr>
              <w:jc w:val="center"/>
              <w:rPr>
                <w:rFonts w:cs="Times New Roman"/>
                <w:color w:val="000000"/>
                <w:sz w:val="18"/>
                <w:szCs w:val="18"/>
              </w:rPr>
            </w:pPr>
            <w:r w:rsidRPr="001162D3">
              <w:rPr>
                <w:sz w:val="18"/>
                <w:szCs w:val="18"/>
              </w:rPr>
              <w:t>3,2</w:t>
            </w:r>
          </w:p>
        </w:tc>
        <w:tc>
          <w:tcPr>
            <w:tcW w:w="960" w:type="dxa"/>
            <w:tcBorders>
              <w:top w:val="nil"/>
              <w:left w:val="nil"/>
              <w:bottom w:val="nil"/>
              <w:right w:val="nil"/>
            </w:tcBorders>
            <w:shd w:val="clear" w:color="auto" w:fill="auto"/>
            <w:hideMark/>
          </w:tcPr>
          <w:p w14:paraId="45E7F135" w14:textId="77777777" w:rsidR="00D73008" w:rsidRPr="001162D3" w:rsidRDefault="00D73008" w:rsidP="00387AE5">
            <w:pPr>
              <w:jc w:val="center"/>
              <w:rPr>
                <w:rFonts w:cs="Times New Roman"/>
                <w:color w:val="000000"/>
                <w:sz w:val="18"/>
                <w:szCs w:val="18"/>
              </w:rPr>
            </w:pPr>
            <w:r w:rsidRPr="001162D3">
              <w:rPr>
                <w:sz w:val="18"/>
                <w:szCs w:val="18"/>
              </w:rPr>
              <w:t>2,5</w:t>
            </w:r>
          </w:p>
        </w:tc>
      </w:tr>
      <w:tr w:rsidR="00D73008" w:rsidRPr="001162D3" w14:paraId="363695C0" w14:textId="77777777" w:rsidTr="00387AE5">
        <w:trPr>
          <w:trHeight w:val="283"/>
        </w:trPr>
        <w:tc>
          <w:tcPr>
            <w:tcW w:w="3240" w:type="dxa"/>
            <w:tcBorders>
              <w:top w:val="nil"/>
              <w:left w:val="nil"/>
              <w:bottom w:val="nil"/>
              <w:right w:val="nil"/>
            </w:tcBorders>
            <w:shd w:val="clear" w:color="000000" w:fill="FFFFFF"/>
            <w:vAlign w:val="center"/>
            <w:hideMark/>
          </w:tcPr>
          <w:p w14:paraId="77BAD786" w14:textId="77777777" w:rsidR="00D73008" w:rsidRPr="001162D3" w:rsidRDefault="00D73008" w:rsidP="00387AE5">
            <w:pPr>
              <w:rPr>
                <w:rFonts w:cs="Times New Roman"/>
                <w:sz w:val="18"/>
                <w:szCs w:val="18"/>
              </w:rPr>
            </w:pPr>
            <w:r w:rsidRPr="001162D3">
              <w:rPr>
                <w:rFonts w:cs="Times New Roman"/>
                <w:sz w:val="18"/>
                <w:szCs w:val="18"/>
              </w:rPr>
              <w:t>2. Čisté pôžičky verejnej správy*</w:t>
            </w:r>
          </w:p>
        </w:tc>
        <w:tc>
          <w:tcPr>
            <w:tcW w:w="960" w:type="dxa"/>
            <w:tcBorders>
              <w:top w:val="nil"/>
              <w:left w:val="nil"/>
              <w:bottom w:val="nil"/>
              <w:right w:val="nil"/>
            </w:tcBorders>
            <w:shd w:val="clear" w:color="000000" w:fill="FFFFFF"/>
            <w:vAlign w:val="center"/>
            <w:hideMark/>
          </w:tcPr>
          <w:p w14:paraId="55EB2EAF" w14:textId="77777777" w:rsidR="00D73008" w:rsidRPr="001162D3" w:rsidRDefault="00D73008" w:rsidP="00387AE5">
            <w:pPr>
              <w:jc w:val="center"/>
              <w:rPr>
                <w:rFonts w:cs="Times New Roman"/>
                <w:sz w:val="18"/>
                <w:szCs w:val="18"/>
              </w:rPr>
            </w:pPr>
            <w:r w:rsidRPr="001162D3">
              <w:rPr>
                <w:rFonts w:cs="Times New Roman"/>
                <w:sz w:val="18"/>
                <w:szCs w:val="18"/>
              </w:rPr>
              <w:t>B.9</w:t>
            </w:r>
          </w:p>
        </w:tc>
        <w:tc>
          <w:tcPr>
            <w:tcW w:w="960" w:type="dxa"/>
            <w:tcBorders>
              <w:top w:val="nil"/>
              <w:left w:val="nil"/>
              <w:bottom w:val="nil"/>
              <w:right w:val="nil"/>
            </w:tcBorders>
            <w:shd w:val="clear" w:color="auto" w:fill="auto"/>
            <w:hideMark/>
          </w:tcPr>
          <w:p w14:paraId="3A6AC4EB" w14:textId="77777777" w:rsidR="00D73008" w:rsidRPr="001162D3" w:rsidRDefault="00D73008" w:rsidP="00387AE5">
            <w:pPr>
              <w:jc w:val="center"/>
              <w:rPr>
                <w:rFonts w:cs="Times New Roman"/>
                <w:color w:val="000000"/>
                <w:sz w:val="18"/>
                <w:szCs w:val="18"/>
              </w:rPr>
            </w:pPr>
            <w:r w:rsidRPr="001162D3">
              <w:rPr>
                <w:sz w:val="18"/>
                <w:szCs w:val="18"/>
              </w:rPr>
              <w:t>-0,7</w:t>
            </w:r>
          </w:p>
        </w:tc>
        <w:tc>
          <w:tcPr>
            <w:tcW w:w="960" w:type="dxa"/>
            <w:tcBorders>
              <w:top w:val="nil"/>
              <w:left w:val="nil"/>
              <w:bottom w:val="nil"/>
              <w:right w:val="nil"/>
            </w:tcBorders>
            <w:shd w:val="clear" w:color="auto" w:fill="auto"/>
            <w:hideMark/>
          </w:tcPr>
          <w:p w14:paraId="2D1140F1"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09F521AA"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1C192E82"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0D19EA1A" w14:textId="77777777" w:rsidR="00D73008" w:rsidRPr="001162D3" w:rsidRDefault="00D73008" w:rsidP="00387AE5">
            <w:pPr>
              <w:jc w:val="center"/>
              <w:rPr>
                <w:rFonts w:cs="Times New Roman"/>
                <w:color w:val="000000"/>
                <w:sz w:val="18"/>
                <w:szCs w:val="18"/>
              </w:rPr>
            </w:pPr>
            <w:r w:rsidRPr="001162D3">
              <w:rPr>
                <w:sz w:val="18"/>
                <w:szCs w:val="18"/>
              </w:rPr>
              <w:t>0,0</w:t>
            </w:r>
          </w:p>
        </w:tc>
      </w:tr>
      <w:tr w:rsidR="00D73008" w:rsidRPr="001162D3" w14:paraId="7EB40333" w14:textId="77777777" w:rsidTr="00387AE5">
        <w:trPr>
          <w:trHeight w:val="283"/>
        </w:trPr>
        <w:tc>
          <w:tcPr>
            <w:tcW w:w="3240" w:type="dxa"/>
            <w:tcBorders>
              <w:top w:val="nil"/>
              <w:left w:val="nil"/>
              <w:bottom w:val="nil"/>
              <w:right w:val="nil"/>
            </w:tcBorders>
            <w:shd w:val="clear" w:color="000000" w:fill="FFFFFF"/>
            <w:vAlign w:val="center"/>
            <w:hideMark/>
          </w:tcPr>
          <w:p w14:paraId="671BCA54" w14:textId="77777777" w:rsidR="00D73008" w:rsidRPr="001162D3" w:rsidRDefault="00D73008" w:rsidP="00387AE5">
            <w:pPr>
              <w:rPr>
                <w:rFonts w:cs="Times New Roman"/>
                <w:sz w:val="18"/>
                <w:szCs w:val="18"/>
              </w:rPr>
            </w:pPr>
            <w:r w:rsidRPr="001162D3">
              <w:rPr>
                <w:rFonts w:cs="Times New Roman"/>
                <w:sz w:val="18"/>
                <w:szCs w:val="18"/>
              </w:rPr>
              <w:t>3. Úrokové náklady</w:t>
            </w:r>
          </w:p>
        </w:tc>
        <w:tc>
          <w:tcPr>
            <w:tcW w:w="960" w:type="dxa"/>
            <w:tcBorders>
              <w:top w:val="nil"/>
              <w:left w:val="nil"/>
              <w:bottom w:val="nil"/>
              <w:right w:val="nil"/>
            </w:tcBorders>
            <w:shd w:val="clear" w:color="000000" w:fill="FFFFFF"/>
            <w:vAlign w:val="center"/>
            <w:hideMark/>
          </w:tcPr>
          <w:p w14:paraId="302DE1B7" w14:textId="77777777" w:rsidR="00D73008" w:rsidRPr="001162D3" w:rsidRDefault="00D73008" w:rsidP="00387AE5">
            <w:pPr>
              <w:jc w:val="center"/>
              <w:rPr>
                <w:rFonts w:cs="Times New Roman"/>
                <w:sz w:val="18"/>
                <w:szCs w:val="18"/>
              </w:rPr>
            </w:pPr>
            <w:r w:rsidRPr="001162D3">
              <w:rPr>
                <w:rFonts w:cs="Times New Roman"/>
                <w:sz w:val="18"/>
                <w:szCs w:val="18"/>
              </w:rPr>
              <w:t>D.41</w:t>
            </w:r>
          </w:p>
        </w:tc>
        <w:tc>
          <w:tcPr>
            <w:tcW w:w="960" w:type="dxa"/>
            <w:tcBorders>
              <w:top w:val="nil"/>
              <w:left w:val="nil"/>
              <w:bottom w:val="nil"/>
              <w:right w:val="nil"/>
            </w:tcBorders>
            <w:shd w:val="clear" w:color="auto" w:fill="auto"/>
            <w:hideMark/>
          </w:tcPr>
          <w:p w14:paraId="6B390437" w14:textId="77777777" w:rsidR="00D73008" w:rsidRPr="001162D3" w:rsidRDefault="00D73008" w:rsidP="00387AE5">
            <w:pPr>
              <w:jc w:val="center"/>
              <w:rPr>
                <w:rFonts w:cs="Times New Roman"/>
                <w:color w:val="000000"/>
                <w:sz w:val="18"/>
                <w:szCs w:val="18"/>
              </w:rPr>
            </w:pPr>
            <w:r w:rsidRPr="001162D3">
              <w:rPr>
                <w:sz w:val="18"/>
                <w:szCs w:val="18"/>
              </w:rPr>
              <w:t>1,3</w:t>
            </w:r>
          </w:p>
        </w:tc>
        <w:tc>
          <w:tcPr>
            <w:tcW w:w="960" w:type="dxa"/>
            <w:tcBorders>
              <w:top w:val="nil"/>
              <w:left w:val="nil"/>
              <w:bottom w:val="nil"/>
              <w:right w:val="nil"/>
            </w:tcBorders>
            <w:shd w:val="clear" w:color="auto" w:fill="auto"/>
            <w:hideMark/>
          </w:tcPr>
          <w:p w14:paraId="0563B0EA" w14:textId="77777777" w:rsidR="00D73008" w:rsidRPr="001162D3" w:rsidRDefault="00D73008" w:rsidP="00387AE5">
            <w:pPr>
              <w:jc w:val="center"/>
              <w:rPr>
                <w:rFonts w:cs="Times New Roman"/>
                <w:color w:val="000000"/>
                <w:sz w:val="18"/>
                <w:szCs w:val="18"/>
              </w:rPr>
            </w:pPr>
            <w:r w:rsidRPr="001162D3">
              <w:rPr>
                <w:sz w:val="18"/>
                <w:szCs w:val="18"/>
              </w:rPr>
              <w:t>1,3</w:t>
            </w:r>
          </w:p>
        </w:tc>
        <w:tc>
          <w:tcPr>
            <w:tcW w:w="960" w:type="dxa"/>
            <w:tcBorders>
              <w:top w:val="nil"/>
              <w:left w:val="nil"/>
              <w:bottom w:val="nil"/>
              <w:right w:val="nil"/>
            </w:tcBorders>
            <w:shd w:val="clear" w:color="auto" w:fill="auto"/>
            <w:hideMark/>
          </w:tcPr>
          <w:p w14:paraId="5C86A918" w14:textId="77777777" w:rsidR="00D73008" w:rsidRPr="001162D3" w:rsidRDefault="00D73008" w:rsidP="00387AE5">
            <w:pPr>
              <w:jc w:val="center"/>
              <w:rPr>
                <w:rFonts w:cs="Times New Roman"/>
                <w:color w:val="000000"/>
                <w:sz w:val="18"/>
                <w:szCs w:val="18"/>
              </w:rPr>
            </w:pPr>
            <w:r w:rsidRPr="001162D3">
              <w:rPr>
                <w:sz w:val="18"/>
                <w:szCs w:val="18"/>
              </w:rPr>
              <w:t>1,1</w:t>
            </w:r>
          </w:p>
        </w:tc>
        <w:tc>
          <w:tcPr>
            <w:tcW w:w="960" w:type="dxa"/>
            <w:tcBorders>
              <w:top w:val="nil"/>
              <w:left w:val="nil"/>
              <w:bottom w:val="nil"/>
              <w:right w:val="nil"/>
            </w:tcBorders>
            <w:shd w:val="clear" w:color="auto" w:fill="auto"/>
            <w:hideMark/>
          </w:tcPr>
          <w:p w14:paraId="3511DE61" w14:textId="77777777" w:rsidR="00D73008" w:rsidRPr="001162D3" w:rsidRDefault="00D73008" w:rsidP="00387AE5">
            <w:pPr>
              <w:jc w:val="center"/>
              <w:rPr>
                <w:rFonts w:cs="Times New Roman"/>
                <w:color w:val="000000"/>
                <w:sz w:val="18"/>
                <w:szCs w:val="18"/>
              </w:rPr>
            </w:pPr>
            <w:r w:rsidRPr="001162D3">
              <w:rPr>
                <w:sz w:val="18"/>
                <w:szCs w:val="18"/>
              </w:rPr>
              <w:t>1,0</w:t>
            </w:r>
          </w:p>
        </w:tc>
        <w:tc>
          <w:tcPr>
            <w:tcW w:w="960" w:type="dxa"/>
            <w:tcBorders>
              <w:top w:val="nil"/>
              <w:left w:val="nil"/>
              <w:bottom w:val="nil"/>
              <w:right w:val="nil"/>
            </w:tcBorders>
            <w:shd w:val="clear" w:color="auto" w:fill="auto"/>
            <w:hideMark/>
          </w:tcPr>
          <w:p w14:paraId="098CEEDB" w14:textId="77777777" w:rsidR="00D73008" w:rsidRPr="001162D3" w:rsidRDefault="00D73008" w:rsidP="00387AE5">
            <w:pPr>
              <w:jc w:val="center"/>
              <w:rPr>
                <w:rFonts w:cs="Times New Roman"/>
                <w:color w:val="000000"/>
                <w:sz w:val="18"/>
                <w:szCs w:val="18"/>
              </w:rPr>
            </w:pPr>
            <w:r w:rsidRPr="001162D3">
              <w:rPr>
                <w:sz w:val="18"/>
                <w:szCs w:val="18"/>
              </w:rPr>
              <w:t>1,0</w:t>
            </w:r>
          </w:p>
        </w:tc>
      </w:tr>
      <w:tr w:rsidR="00D73008" w:rsidRPr="001162D3" w14:paraId="30CED534" w14:textId="77777777" w:rsidTr="00387AE5">
        <w:trPr>
          <w:trHeight w:val="283"/>
        </w:trPr>
        <w:tc>
          <w:tcPr>
            <w:tcW w:w="3240" w:type="dxa"/>
            <w:tcBorders>
              <w:top w:val="nil"/>
              <w:left w:val="nil"/>
              <w:bottom w:val="nil"/>
              <w:right w:val="nil"/>
            </w:tcBorders>
            <w:shd w:val="clear" w:color="000000" w:fill="FFFFFF"/>
            <w:vAlign w:val="center"/>
            <w:hideMark/>
          </w:tcPr>
          <w:p w14:paraId="5AEBABD8" w14:textId="77777777" w:rsidR="00D73008" w:rsidRPr="001162D3" w:rsidRDefault="00D73008" w:rsidP="00387AE5">
            <w:pPr>
              <w:rPr>
                <w:rFonts w:cs="Times New Roman"/>
                <w:sz w:val="18"/>
                <w:szCs w:val="18"/>
              </w:rPr>
            </w:pPr>
            <w:r w:rsidRPr="001162D3">
              <w:rPr>
                <w:rFonts w:cs="Times New Roman"/>
                <w:sz w:val="18"/>
                <w:szCs w:val="18"/>
              </w:rPr>
              <w:t>4. Jednorazové a dočasné opatrenia</w:t>
            </w:r>
          </w:p>
        </w:tc>
        <w:tc>
          <w:tcPr>
            <w:tcW w:w="960" w:type="dxa"/>
            <w:tcBorders>
              <w:top w:val="nil"/>
              <w:left w:val="nil"/>
              <w:bottom w:val="nil"/>
              <w:right w:val="nil"/>
            </w:tcBorders>
            <w:shd w:val="clear" w:color="000000" w:fill="FFFFFF"/>
            <w:vAlign w:val="center"/>
            <w:hideMark/>
          </w:tcPr>
          <w:p w14:paraId="1E2C621A" w14:textId="77777777" w:rsidR="00D73008" w:rsidRPr="001162D3" w:rsidRDefault="00D73008" w:rsidP="00387AE5">
            <w:pPr>
              <w:jc w:val="center"/>
              <w:rPr>
                <w:rFonts w:cs="Times New Roman"/>
                <w:sz w:val="18"/>
                <w:szCs w:val="18"/>
              </w:rPr>
            </w:pPr>
            <w:r w:rsidRPr="001162D3">
              <w:rPr>
                <w:rFonts w:cs="Times New Roman"/>
                <w:sz w:val="18"/>
                <w:szCs w:val="18"/>
                <w:vertAlign w:val="superscript"/>
              </w:rPr>
              <w:t>[1]</w:t>
            </w:r>
          </w:p>
        </w:tc>
        <w:tc>
          <w:tcPr>
            <w:tcW w:w="960" w:type="dxa"/>
            <w:tcBorders>
              <w:top w:val="nil"/>
              <w:left w:val="nil"/>
              <w:bottom w:val="nil"/>
              <w:right w:val="nil"/>
            </w:tcBorders>
            <w:shd w:val="clear" w:color="auto" w:fill="auto"/>
            <w:hideMark/>
          </w:tcPr>
          <w:p w14:paraId="27BC30C0"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79A6FD27"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164AC558"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4D818454"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7CBE6FAA" w14:textId="77777777" w:rsidR="00D73008" w:rsidRPr="001162D3" w:rsidRDefault="00D73008" w:rsidP="00387AE5">
            <w:pPr>
              <w:jc w:val="center"/>
              <w:rPr>
                <w:rFonts w:cs="Times New Roman"/>
                <w:color w:val="000000"/>
                <w:sz w:val="18"/>
                <w:szCs w:val="18"/>
              </w:rPr>
            </w:pPr>
            <w:r w:rsidRPr="001162D3">
              <w:rPr>
                <w:sz w:val="18"/>
                <w:szCs w:val="18"/>
              </w:rPr>
              <w:t>0,0</w:t>
            </w:r>
          </w:p>
        </w:tc>
      </w:tr>
      <w:tr w:rsidR="00D73008" w:rsidRPr="001162D3" w14:paraId="722A7D30" w14:textId="77777777" w:rsidTr="00387AE5">
        <w:trPr>
          <w:trHeight w:val="283"/>
        </w:trPr>
        <w:tc>
          <w:tcPr>
            <w:tcW w:w="3240" w:type="dxa"/>
            <w:tcBorders>
              <w:top w:val="nil"/>
              <w:left w:val="nil"/>
              <w:bottom w:val="nil"/>
              <w:right w:val="nil"/>
            </w:tcBorders>
            <w:shd w:val="clear" w:color="000000" w:fill="FFFFFF"/>
            <w:vAlign w:val="center"/>
            <w:hideMark/>
          </w:tcPr>
          <w:p w14:paraId="09D5FCE4" w14:textId="77777777" w:rsidR="00D73008" w:rsidRPr="001162D3" w:rsidRDefault="00D73008" w:rsidP="00387AE5">
            <w:pPr>
              <w:ind w:firstLineChars="100" w:firstLine="180"/>
              <w:rPr>
                <w:rFonts w:cs="Times New Roman"/>
                <w:sz w:val="18"/>
                <w:szCs w:val="18"/>
              </w:rPr>
            </w:pPr>
            <w:r w:rsidRPr="001162D3">
              <w:rPr>
                <w:rFonts w:cs="Times New Roman"/>
                <w:sz w:val="18"/>
                <w:szCs w:val="18"/>
              </w:rPr>
              <w:t>Z toho:</w:t>
            </w:r>
          </w:p>
        </w:tc>
        <w:tc>
          <w:tcPr>
            <w:tcW w:w="960" w:type="dxa"/>
            <w:tcBorders>
              <w:top w:val="nil"/>
              <w:left w:val="nil"/>
              <w:bottom w:val="nil"/>
              <w:right w:val="nil"/>
            </w:tcBorders>
            <w:shd w:val="clear" w:color="000000" w:fill="FFFFFF"/>
            <w:vAlign w:val="center"/>
            <w:hideMark/>
          </w:tcPr>
          <w:p w14:paraId="715377DD"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2A2A4C9A"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33C97867" w14:textId="77777777" w:rsidR="00D73008" w:rsidRPr="001162D3" w:rsidRDefault="00D73008" w:rsidP="00387AE5">
            <w:pPr>
              <w:jc w:val="center"/>
              <w:rPr>
                <w:rFonts w:ascii="Times New Roman" w:hAnsi="Times New Roman" w:cs="Times New Roman"/>
                <w:sz w:val="18"/>
                <w:szCs w:val="18"/>
              </w:rPr>
            </w:pPr>
          </w:p>
        </w:tc>
        <w:tc>
          <w:tcPr>
            <w:tcW w:w="960" w:type="dxa"/>
            <w:tcBorders>
              <w:top w:val="nil"/>
              <w:left w:val="nil"/>
              <w:bottom w:val="nil"/>
              <w:right w:val="nil"/>
            </w:tcBorders>
            <w:shd w:val="clear" w:color="auto" w:fill="auto"/>
            <w:hideMark/>
          </w:tcPr>
          <w:p w14:paraId="531CD3B2" w14:textId="77777777" w:rsidR="00D73008" w:rsidRPr="001162D3" w:rsidRDefault="00D73008" w:rsidP="00387AE5">
            <w:pPr>
              <w:jc w:val="center"/>
              <w:rPr>
                <w:rFonts w:ascii="Times New Roman" w:hAnsi="Times New Roman" w:cs="Times New Roman"/>
                <w:sz w:val="18"/>
                <w:szCs w:val="18"/>
              </w:rPr>
            </w:pPr>
          </w:p>
        </w:tc>
        <w:tc>
          <w:tcPr>
            <w:tcW w:w="960" w:type="dxa"/>
            <w:tcBorders>
              <w:top w:val="nil"/>
              <w:left w:val="nil"/>
              <w:bottom w:val="nil"/>
              <w:right w:val="nil"/>
            </w:tcBorders>
            <w:shd w:val="clear" w:color="auto" w:fill="auto"/>
            <w:hideMark/>
          </w:tcPr>
          <w:p w14:paraId="13F22A0F" w14:textId="77777777" w:rsidR="00D73008" w:rsidRPr="001162D3" w:rsidRDefault="00D73008" w:rsidP="00387AE5">
            <w:pPr>
              <w:jc w:val="center"/>
              <w:rPr>
                <w:rFonts w:ascii="Times New Roman" w:hAnsi="Times New Roman" w:cs="Times New Roman"/>
                <w:sz w:val="18"/>
                <w:szCs w:val="18"/>
              </w:rPr>
            </w:pPr>
          </w:p>
        </w:tc>
        <w:tc>
          <w:tcPr>
            <w:tcW w:w="960" w:type="dxa"/>
            <w:tcBorders>
              <w:top w:val="nil"/>
              <w:left w:val="nil"/>
              <w:bottom w:val="nil"/>
              <w:right w:val="nil"/>
            </w:tcBorders>
            <w:shd w:val="clear" w:color="auto" w:fill="auto"/>
            <w:hideMark/>
          </w:tcPr>
          <w:p w14:paraId="4C44457C" w14:textId="77777777" w:rsidR="00D73008" w:rsidRPr="001162D3" w:rsidRDefault="00D73008" w:rsidP="00387AE5">
            <w:pPr>
              <w:jc w:val="center"/>
              <w:rPr>
                <w:rFonts w:ascii="Times New Roman" w:hAnsi="Times New Roman" w:cs="Times New Roman"/>
                <w:sz w:val="18"/>
                <w:szCs w:val="18"/>
              </w:rPr>
            </w:pPr>
          </w:p>
        </w:tc>
      </w:tr>
      <w:tr w:rsidR="00D73008" w:rsidRPr="001162D3" w14:paraId="12B0E9ED" w14:textId="77777777" w:rsidTr="00387AE5">
        <w:trPr>
          <w:trHeight w:val="283"/>
        </w:trPr>
        <w:tc>
          <w:tcPr>
            <w:tcW w:w="3240" w:type="dxa"/>
            <w:tcBorders>
              <w:top w:val="nil"/>
              <w:left w:val="nil"/>
              <w:bottom w:val="nil"/>
              <w:right w:val="nil"/>
            </w:tcBorders>
            <w:shd w:val="clear" w:color="000000" w:fill="FFFFFF"/>
            <w:vAlign w:val="center"/>
            <w:hideMark/>
          </w:tcPr>
          <w:p w14:paraId="63117DCA" w14:textId="77777777" w:rsidR="00D73008" w:rsidRPr="001162D3" w:rsidRDefault="00D73008" w:rsidP="00387AE5">
            <w:pPr>
              <w:ind w:firstLineChars="100" w:firstLine="180"/>
              <w:rPr>
                <w:rFonts w:cs="Times New Roman"/>
                <w:sz w:val="18"/>
                <w:szCs w:val="18"/>
              </w:rPr>
            </w:pPr>
            <w:r w:rsidRPr="001162D3">
              <w:rPr>
                <w:rFonts w:cs="Times New Roman"/>
                <w:sz w:val="18"/>
                <w:szCs w:val="18"/>
              </w:rPr>
              <w:t>Opatrenia na príjmovej strane - verejná správa</w:t>
            </w:r>
          </w:p>
        </w:tc>
        <w:tc>
          <w:tcPr>
            <w:tcW w:w="960" w:type="dxa"/>
            <w:tcBorders>
              <w:top w:val="nil"/>
              <w:left w:val="nil"/>
              <w:bottom w:val="nil"/>
              <w:right w:val="nil"/>
            </w:tcBorders>
            <w:shd w:val="clear" w:color="000000" w:fill="FFFFFF"/>
            <w:vAlign w:val="center"/>
            <w:hideMark/>
          </w:tcPr>
          <w:p w14:paraId="3113A931"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5A4E8B79"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12499686"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2C2045EF"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6D279E97"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23FBEC9C" w14:textId="77777777" w:rsidR="00D73008" w:rsidRPr="001162D3" w:rsidRDefault="00D73008" w:rsidP="00387AE5">
            <w:pPr>
              <w:jc w:val="center"/>
              <w:rPr>
                <w:rFonts w:cs="Times New Roman"/>
                <w:color w:val="000000"/>
                <w:sz w:val="18"/>
                <w:szCs w:val="18"/>
              </w:rPr>
            </w:pPr>
            <w:r w:rsidRPr="001162D3">
              <w:rPr>
                <w:sz w:val="18"/>
                <w:szCs w:val="18"/>
              </w:rPr>
              <w:t>0,0</w:t>
            </w:r>
          </w:p>
        </w:tc>
      </w:tr>
      <w:tr w:rsidR="00D73008" w:rsidRPr="001162D3" w14:paraId="12EB66B9" w14:textId="77777777" w:rsidTr="00387AE5">
        <w:trPr>
          <w:trHeight w:val="283"/>
        </w:trPr>
        <w:tc>
          <w:tcPr>
            <w:tcW w:w="3240" w:type="dxa"/>
            <w:tcBorders>
              <w:top w:val="nil"/>
              <w:left w:val="nil"/>
              <w:bottom w:val="nil"/>
              <w:right w:val="nil"/>
            </w:tcBorders>
            <w:shd w:val="clear" w:color="000000" w:fill="FFFFFF"/>
            <w:vAlign w:val="center"/>
            <w:hideMark/>
          </w:tcPr>
          <w:p w14:paraId="280AE6FD" w14:textId="77777777" w:rsidR="00D73008" w:rsidRPr="001162D3" w:rsidRDefault="00D73008" w:rsidP="00387AE5">
            <w:pPr>
              <w:ind w:firstLineChars="100" w:firstLine="180"/>
              <w:rPr>
                <w:rFonts w:cs="Times New Roman"/>
                <w:sz w:val="18"/>
                <w:szCs w:val="18"/>
              </w:rPr>
            </w:pPr>
            <w:r w:rsidRPr="001162D3">
              <w:rPr>
                <w:rFonts w:cs="Times New Roman"/>
                <w:sz w:val="18"/>
                <w:szCs w:val="18"/>
              </w:rPr>
              <w:t>Opatrenia na výdavkovej strane - verejná správa</w:t>
            </w:r>
          </w:p>
        </w:tc>
        <w:tc>
          <w:tcPr>
            <w:tcW w:w="960" w:type="dxa"/>
            <w:tcBorders>
              <w:top w:val="nil"/>
              <w:left w:val="nil"/>
              <w:bottom w:val="nil"/>
              <w:right w:val="nil"/>
            </w:tcBorders>
            <w:shd w:val="clear" w:color="000000" w:fill="FFFFFF"/>
            <w:vAlign w:val="center"/>
            <w:hideMark/>
          </w:tcPr>
          <w:p w14:paraId="454C5319"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1C1CC219"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164EEEA9"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6D2677FF"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77D67116"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60" w:type="dxa"/>
            <w:tcBorders>
              <w:top w:val="nil"/>
              <w:left w:val="nil"/>
              <w:bottom w:val="nil"/>
              <w:right w:val="nil"/>
            </w:tcBorders>
            <w:shd w:val="clear" w:color="auto" w:fill="auto"/>
            <w:hideMark/>
          </w:tcPr>
          <w:p w14:paraId="78BD5824" w14:textId="77777777" w:rsidR="00D73008" w:rsidRPr="001162D3" w:rsidRDefault="00D73008" w:rsidP="00387AE5">
            <w:pPr>
              <w:jc w:val="center"/>
              <w:rPr>
                <w:rFonts w:cs="Times New Roman"/>
                <w:color w:val="000000"/>
                <w:sz w:val="18"/>
                <w:szCs w:val="18"/>
              </w:rPr>
            </w:pPr>
            <w:r w:rsidRPr="001162D3">
              <w:rPr>
                <w:sz w:val="18"/>
                <w:szCs w:val="18"/>
              </w:rPr>
              <w:t>0,0</w:t>
            </w:r>
          </w:p>
        </w:tc>
      </w:tr>
      <w:tr w:rsidR="00D73008" w:rsidRPr="001162D3" w14:paraId="5995F63B" w14:textId="77777777" w:rsidTr="00387AE5">
        <w:trPr>
          <w:trHeight w:val="283"/>
        </w:trPr>
        <w:tc>
          <w:tcPr>
            <w:tcW w:w="3240" w:type="dxa"/>
            <w:tcBorders>
              <w:top w:val="nil"/>
              <w:left w:val="nil"/>
              <w:bottom w:val="nil"/>
              <w:right w:val="nil"/>
            </w:tcBorders>
            <w:shd w:val="clear" w:color="auto" w:fill="auto"/>
            <w:vAlign w:val="center"/>
            <w:hideMark/>
          </w:tcPr>
          <w:p w14:paraId="6BD0949B" w14:textId="77777777" w:rsidR="00D73008" w:rsidRPr="001162D3" w:rsidRDefault="00D73008" w:rsidP="00387AE5">
            <w:pPr>
              <w:rPr>
                <w:rFonts w:cs="Times New Roman"/>
                <w:sz w:val="18"/>
                <w:szCs w:val="18"/>
              </w:rPr>
            </w:pPr>
            <w:r w:rsidRPr="001162D3">
              <w:rPr>
                <w:rFonts w:cs="Times New Roman"/>
                <w:sz w:val="18"/>
                <w:szCs w:val="18"/>
              </w:rPr>
              <w:t>5. Rast potenciálneho HDP (%)</w:t>
            </w:r>
          </w:p>
        </w:tc>
        <w:tc>
          <w:tcPr>
            <w:tcW w:w="960" w:type="dxa"/>
            <w:tcBorders>
              <w:top w:val="nil"/>
              <w:left w:val="nil"/>
              <w:bottom w:val="nil"/>
              <w:right w:val="nil"/>
            </w:tcBorders>
            <w:shd w:val="clear" w:color="auto" w:fill="auto"/>
            <w:vAlign w:val="center"/>
            <w:hideMark/>
          </w:tcPr>
          <w:p w14:paraId="3BE1F080"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65D43172" w14:textId="77777777" w:rsidR="00D73008" w:rsidRPr="001162D3" w:rsidRDefault="00D73008" w:rsidP="00387AE5">
            <w:pPr>
              <w:jc w:val="center"/>
              <w:rPr>
                <w:rFonts w:cs="Times New Roman"/>
                <w:color w:val="000000"/>
                <w:sz w:val="18"/>
                <w:szCs w:val="18"/>
              </w:rPr>
            </w:pPr>
            <w:r w:rsidRPr="001162D3">
              <w:rPr>
                <w:sz w:val="18"/>
                <w:szCs w:val="18"/>
              </w:rPr>
              <w:t>3,5</w:t>
            </w:r>
          </w:p>
        </w:tc>
        <w:tc>
          <w:tcPr>
            <w:tcW w:w="960" w:type="dxa"/>
            <w:tcBorders>
              <w:top w:val="nil"/>
              <w:left w:val="nil"/>
              <w:bottom w:val="nil"/>
              <w:right w:val="nil"/>
            </w:tcBorders>
            <w:shd w:val="clear" w:color="auto" w:fill="auto"/>
            <w:hideMark/>
          </w:tcPr>
          <w:p w14:paraId="1879BF2E" w14:textId="77777777" w:rsidR="00D73008" w:rsidRPr="001162D3" w:rsidRDefault="00D73008" w:rsidP="00387AE5">
            <w:pPr>
              <w:jc w:val="center"/>
              <w:rPr>
                <w:rFonts w:cs="Times New Roman"/>
                <w:color w:val="000000"/>
                <w:sz w:val="18"/>
                <w:szCs w:val="18"/>
              </w:rPr>
            </w:pPr>
            <w:r w:rsidRPr="001162D3">
              <w:rPr>
                <w:sz w:val="18"/>
                <w:szCs w:val="18"/>
              </w:rPr>
              <w:t>3,8</w:t>
            </w:r>
          </w:p>
        </w:tc>
        <w:tc>
          <w:tcPr>
            <w:tcW w:w="960" w:type="dxa"/>
            <w:tcBorders>
              <w:top w:val="nil"/>
              <w:left w:val="nil"/>
              <w:bottom w:val="nil"/>
              <w:right w:val="nil"/>
            </w:tcBorders>
            <w:shd w:val="clear" w:color="auto" w:fill="auto"/>
            <w:hideMark/>
          </w:tcPr>
          <w:p w14:paraId="11A7F63F" w14:textId="77777777" w:rsidR="00D73008" w:rsidRPr="001162D3" w:rsidRDefault="00D73008" w:rsidP="00387AE5">
            <w:pPr>
              <w:jc w:val="center"/>
              <w:rPr>
                <w:rFonts w:cs="Times New Roman"/>
                <w:color w:val="000000"/>
                <w:sz w:val="18"/>
                <w:szCs w:val="18"/>
              </w:rPr>
            </w:pPr>
            <w:r w:rsidRPr="001162D3">
              <w:rPr>
                <w:sz w:val="18"/>
                <w:szCs w:val="18"/>
              </w:rPr>
              <w:t>3,7</w:t>
            </w:r>
          </w:p>
        </w:tc>
        <w:tc>
          <w:tcPr>
            <w:tcW w:w="960" w:type="dxa"/>
            <w:tcBorders>
              <w:top w:val="nil"/>
              <w:left w:val="nil"/>
              <w:bottom w:val="nil"/>
              <w:right w:val="nil"/>
            </w:tcBorders>
            <w:shd w:val="clear" w:color="auto" w:fill="auto"/>
            <w:hideMark/>
          </w:tcPr>
          <w:p w14:paraId="739E7AA4" w14:textId="77777777" w:rsidR="00D73008" w:rsidRPr="001162D3" w:rsidRDefault="00D73008" w:rsidP="00387AE5">
            <w:pPr>
              <w:jc w:val="center"/>
              <w:rPr>
                <w:rFonts w:cs="Times New Roman"/>
                <w:color w:val="000000"/>
                <w:sz w:val="18"/>
                <w:szCs w:val="18"/>
              </w:rPr>
            </w:pPr>
            <w:r w:rsidRPr="001162D3">
              <w:rPr>
                <w:sz w:val="18"/>
                <w:szCs w:val="18"/>
              </w:rPr>
              <w:t>3,4</w:t>
            </w:r>
          </w:p>
        </w:tc>
        <w:tc>
          <w:tcPr>
            <w:tcW w:w="960" w:type="dxa"/>
            <w:tcBorders>
              <w:top w:val="nil"/>
              <w:left w:val="nil"/>
              <w:bottom w:val="nil"/>
              <w:right w:val="nil"/>
            </w:tcBorders>
            <w:shd w:val="clear" w:color="auto" w:fill="auto"/>
            <w:hideMark/>
          </w:tcPr>
          <w:p w14:paraId="21D3E8C8" w14:textId="77777777" w:rsidR="00D73008" w:rsidRPr="001162D3" w:rsidRDefault="00D73008" w:rsidP="00387AE5">
            <w:pPr>
              <w:jc w:val="center"/>
              <w:rPr>
                <w:rFonts w:cs="Times New Roman"/>
                <w:color w:val="000000"/>
                <w:sz w:val="18"/>
                <w:szCs w:val="18"/>
              </w:rPr>
            </w:pPr>
            <w:r w:rsidRPr="001162D3">
              <w:rPr>
                <w:sz w:val="18"/>
                <w:szCs w:val="18"/>
              </w:rPr>
              <w:t>2,9</w:t>
            </w:r>
          </w:p>
        </w:tc>
      </w:tr>
      <w:tr w:rsidR="00D73008" w:rsidRPr="001162D3" w14:paraId="73512025" w14:textId="77777777" w:rsidTr="00387AE5">
        <w:trPr>
          <w:trHeight w:val="283"/>
        </w:trPr>
        <w:tc>
          <w:tcPr>
            <w:tcW w:w="3240" w:type="dxa"/>
            <w:tcBorders>
              <w:top w:val="nil"/>
              <w:left w:val="nil"/>
              <w:bottom w:val="nil"/>
              <w:right w:val="nil"/>
            </w:tcBorders>
            <w:shd w:val="clear" w:color="auto" w:fill="auto"/>
            <w:vAlign w:val="center"/>
            <w:hideMark/>
          </w:tcPr>
          <w:p w14:paraId="69140A66" w14:textId="77777777" w:rsidR="00D73008" w:rsidRPr="001162D3" w:rsidRDefault="00D73008" w:rsidP="00387AE5">
            <w:pPr>
              <w:ind w:firstLineChars="200" w:firstLine="360"/>
              <w:rPr>
                <w:rFonts w:cs="Times New Roman"/>
                <w:sz w:val="18"/>
                <w:szCs w:val="18"/>
              </w:rPr>
            </w:pPr>
            <w:r w:rsidRPr="001162D3">
              <w:rPr>
                <w:rFonts w:cs="Times New Roman"/>
                <w:sz w:val="18"/>
                <w:szCs w:val="18"/>
              </w:rPr>
              <w:t>príspevky:</w:t>
            </w:r>
          </w:p>
        </w:tc>
        <w:tc>
          <w:tcPr>
            <w:tcW w:w="960" w:type="dxa"/>
            <w:tcBorders>
              <w:top w:val="nil"/>
              <w:left w:val="nil"/>
              <w:bottom w:val="nil"/>
              <w:right w:val="nil"/>
            </w:tcBorders>
            <w:shd w:val="clear" w:color="auto" w:fill="auto"/>
            <w:vAlign w:val="center"/>
            <w:hideMark/>
          </w:tcPr>
          <w:p w14:paraId="40DFEA82"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693455F1" w14:textId="77777777" w:rsidR="00D73008" w:rsidRPr="001162D3" w:rsidRDefault="00D73008" w:rsidP="00387AE5">
            <w:pPr>
              <w:jc w:val="center"/>
              <w:rPr>
                <w:rFonts w:cs="Times New Roman"/>
                <w:color w:val="000000"/>
                <w:sz w:val="18"/>
                <w:szCs w:val="18"/>
              </w:rPr>
            </w:pPr>
          </w:p>
        </w:tc>
        <w:tc>
          <w:tcPr>
            <w:tcW w:w="960" w:type="dxa"/>
            <w:tcBorders>
              <w:top w:val="nil"/>
              <w:left w:val="nil"/>
              <w:bottom w:val="nil"/>
              <w:right w:val="nil"/>
            </w:tcBorders>
            <w:shd w:val="clear" w:color="auto" w:fill="auto"/>
            <w:hideMark/>
          </w:tcPr>
          <w:p w14:paraId="17D1DACA" w14:textId="77777777" w:rsidR="00D73008" w:rsidRPr="001162D3" w:rsidRDefault="00D73008" w:rsidP="00387AE5">
            <w:pPr>
              <w:jc w:val="center"/>
              <w:rPr>
                <w:rFonts w:cs="Times New Roman"/>
                <w:color w:val="000000"/>
                <w:sz w:val="18"/>
                <w:szCs w:val="18"/>
              </w:rPr>
            </w:pPr>
          </w:p>
        </w:tc>
        <w:tc>
          <w:tcPr>
            <w:tcW w:w="960" w:type="dxa"/>
            <w:tcBorders>
              <w:top w:val="nil"/>
              <w:left w:val="nil"/>
              <w:bottom w:val="nil"/>
              <w:right w:val="nil"/>
            </w:tcBorders>
            <w:shd w:val="clear" w:color="auto" w:fill="auto"/>
            <w:hideMark/>
          </w:tcPr>
          <w:p w14:paraId="68C341DC" w14:textId="77777777" w:rsidR="00D73008" w:rsidRPr="001162D3" w:rsidRDefault="00D73008" w:rsidP="00387AE5">
            <w:pPr>
              <w:jc w:val="center"/>
              <w:rPr>
                <w:rFonts w:cs="Times New Roman"/>
                <w:color w:val="000000"/>
                <w:sz w:val="18"/>
                <w:szCs w:val="18"/>
              </w:rPr>
            </w:pPr>
          </w:p>
        </w:tc>
        <w:tc>
          <w:tcPr>
            <w:tcW w:w="960" w:type="dxa"/>
            <w:tcBorders>
              <w:top w:val="nil"/>
              <w:left w:val="nil"/>
              <w:bottom w:val="nil"/>
              <w:right w:val="nil"/>
            </w:tcBorders>
            <w:shd w:val="clear" w:color="auto" w:fill="auto"/>
            <w:hideMark/>
          </w:tcPr>
          <w:p w14:paraId="25C283E5" w14:textId="77777777" w:rsidR="00D73008" w:rsidRPr="001162D3" w:rsidRDefault="00D73008" w:rsidP="00387AE5">
            <w:pPr>
              <w:jc w:val="center"/>
              <w:rPr>
                <w:rFonts w:cs="Times New Roman"/>
                <w:color w:val="000000"/>
                <w:sz w:val="18"/>
                <w:szCs w:val="18"/>
              </w:rPr>
            </w:pPr>
          </w:p>
        </w:tc>
        <w:tc>
          <w:tcPr>
            <w:tcW w:w="960" w:type="dxa"/>
            <w:tcBorders>
              <w:top w:val="nil"/>
              <w:left w:val="nil"/>
              <w:bottom w:val="nil"/>
              <w:right w:val="nil"/>
            </w:tcBorders>
            <w:shd w:val="clear" w:color="auto" w:fill="auto"/>
            <w:hideMark/>
          </w:tcPr>
          <w:p w14:paraId="324A9C0B" w14:textId="77777777" w:rsidR="00D73008" w:rsidRPr="001162D3" w:rsidRDefault="00D73008" w:rsidP="00387AE5">
            <w:pPr>
              <w:jc w:val="center"/>
              <w:rPr>
                <w:rFonts w:cs="Times New Roman"/>
                <w:color w:val="000000"/>
                <w:sz w:val="18"/>
                <w:szCs w:val="18"/>
              </w:rPr>
            </w:pPr>
          </w:p>
        </w:tc>
      </w:tr>
      <w:tr w:rsidR="00D73008" w:rsidRPr="001162D3" w14:paraId="43490C99" w14:textId="77777777" w:rsidTr="00387AE5">
        <w:trPr>
          <w:trHeight w:val="283"/>
        </w:trPr>
        <w:tc>
          <w:tcPr>
            <w:tcW w:w="3240" w:type="dxa"/>
            <w:tcBorders>
              <w:top w:val="nil"/>
              <w:left w:val="nil"/>
              <w:bottom w:val="nil"/>
              <w:right w:val="nil"/>
            </w:tcBorders>
            <w:shd w:val="clear" w:color="auto" w:fill="auto"/>
            <w:vAlign w:val="center"/>
            <w:hideMark/>
          </w:tcPr>
          <w:p w14:paraId="0A4B1698" w14:textId="77777777" w:rsidR="00D73008" w:rsidRPr="001162D3" w:rsidRDefault="00D73008" w:rsidP="00387AE5">
            <w:pPr>
              <w:ind w:firstLineChars="400" w:firstLine="720"/>
              <w:rPr>
                <w:rFonts w:cs="Times New Roman"/>
                <w:sz w:val="18"/>
                <w:szCs w:val="18"/>
              </w:rPr>
            </w:pPr>
            <w:r w:rsidRPr="001162D3">
              <w:rPr>
                <w:rFonts w:cs="Times New Roman"/>
                <w:sz w:val="18"/>
                <w:szCs w:val="18"/>
              </w:rPr>
              <w:t>- pracovná sila</w:t>
            </w:r>
          </w:p>
        </w:tc>
        <w:tc>
          <w:tcPr>
            <w:tcW w:w="960" w:type="dxa"/>
            <w:tcBorders>
              <w:top w:val="nil"/>
              <w:left w:val="nil"/>
              <w:bottom w:val="nil"/>
              <w:right w:val="nil"/>
            </w:tcBorders>
            <w:shd w:val="clear" w:color="auto" w:fill="auto"/>
            <w:vAlign w:val="center"/>
            <w:hideMark/>
          </w:tcPr>
          <w:p w14:paraId="7DAE6F1A"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27E926E4" w14:textId="77777777" w:rsidR="00D73008" w:rsidRPr="001162D3" w:rsidRDefault="00D73008" w:rsidP="00387AE5">
            <w:pPr>
              <w:jc w:val="center"/>
              <w:rPr>
                <w:rFonts w:cs="Times New Roman"/>
                <w:color w:val="000000"/>
                <w:sz w:val="18"/>
                <w:szCs w:val="18"/>
              </w:rPr>
            </w:pPr>
            <w:r w:rsidRPr="001162D3">
              <w:rPr>
                <w:sz w:val="18"/>
                <w:szCs w:val="18"/>
              </w:rPr>
              <w:t>0,5</w:t>
            </w:r>
          </w:p>
        </w:tc>
        <w:tc>
          <w:tcPr>
            <w:tcW w:w="960" w:type="dxa"/>
            <w:tcBorders>
              <w:top w:val="nil"/>
              <w:left w:val="nil"/>
              <w:bottom w:val="nil"/>
              <w:right w:val="nil"/>
            </w:tcBorders>
            <w:shd w:val="clear" w:color="auto" w:fill="auto"/>
            <w:hideMark/>
          </w:tcPr>
          <w:p w14:paraId="3685C8C7" w14:textId="77777777" w:rsidR="00D73008" w:rsidRPr="001162D3" w:rsidRDefault="00D73008" w:rsidP="00387AE5">
            <w:pPr>
              <w:jc w:val="center"/>
              <w:rPr>
                <w:rFonts w:cs="Times New Roman"/>
                <w:color w:val="000000"/>
                <w:sz w:val="18"/>
                <w:szCs w:val="18"/>
              </w:rPr>
            </w:pPr>
            <w:r w:rsidRPr="001162D3">
              <w:rPr>
                <w:sz w:val="18"/>
                <w:szCs w:val="18"/>
              </w:rPr>
              <w:t>0,5</w:t>
            </w:r>
          </w:p>
        </w:tc>
        <w:tc>
          <w:tcPr>
            <w:tcW w:w="960" w:type="dxa"/>
            <w:tcBorders>
              <w:top w:val="nil"/>
              <w:left w:val="nil"/>
              <w:bottom w:val="nil"/>
              <w:right w:val="nil"/>
            </w:tcBorders>
            <w:shd w:val="clear" w:color="auto" w:fill="auto"/>
            <w:hideMark/>
          </w:tcPr>
          <w:p w14:paraId="45744CDD"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19B59A92" w14:textId="77777777" w:rsidR="00D73008" w:rsidRPr="001162D3" w:rsidRDefault="00D73008" w:rsidP="00387AE5">
            <w:pPr>
              <w:jc w:val="center"/>
              <w:rPr>
                <w:rFonts w:cs="Times New Roman"/>
                <w:color w:val="000000"/>
                <w:sz w:val="18"/>
                <w:szCs w:val="18"/>
              </w:rPr>
            </w:pPr>
            <w:r w:rsidRPr="001162D3">
              <w:rPr>
                <w:sz w:val="18"/>
                <w:szCs w:val="18"/>
              </w:rPr>
              <w:t>0,2</w:t>
            </w:r>
          </w:p>
        </w:tc>
        <w:tc>
          <w:tcPr>
            <w:tcW w:w="960" w:type="dxa"/>
            <w:tcBorders>
              <w:top w:val="nil"/>
              <w:left w:val="nil"/>
              <w:bottom w:val="nil"/>
              <w:right w:val="nil"/>
            </w:tcBorders>
            <w:shd w:val="clear" w:color="auto" w:fill="auto"/>
            <w:hideMark/>
          </w:tcPr>
          <w:p w14:paraId="66F7962C" w14:textId="77777777" w:rsidR="00D73008" w:rsidRPr="001162D3" w:rsidRDefault="00D73008" w:rsidP="00387AE5">
            <w:pPr>
              <w:jc w:val="center"/>
              <w:rPr>
                <w:rFonts w:cs="Times New Roman"/>
                <w:color w:val="000000"/>
                <w:sz w:val="18"/>
                <w:szCs w:val="18"/>
              </w:rPr>
            </w:pPr>
            <w:r w:rsidRPr="001162D3">
              <w:rPr>
                <w:sz w:val="18"/>
                <w:szCs w:val="18"/>
              </w:rPr>
              <w:t>0,2</w:t>
            </w:r>
          </w:p>
        </w:tc>
      </w:tr>
      <w:tr w:rsidR="00D73008" w:rsidRPr="001162D3" w14:paraId="41F7527D" w14:textId="77777777" w:rsidTr="00387AE5">
        <w:trPr>
          <w:trHeight w:val="283"/>
        </w:trPr>
        <w:tc>
          <w:tcPr>
            <w:tcW w:w="3240" w:type="dxa"/>
            <w:tcBorders>
              <w:top w:val="nil"/>
              <w:left w:val="nil"/>
              <w:bottom w:val="nil"/>
              <w:right w:val="nil"/>
            </w:tcBorders>
            <w:shd w:val="clear" w:color="auto" w:fill="auto"/>
            <w:vAlign w:val="center"/>
            <w:hideMark/>
          </w:tcPr>
          <w:p w14:paraId="647511A9" w14:textId="77777777" w:rsidR="00D73008" w:rsidRPr="001162D3" w:rsidRDefault="00D73008" w:rsidP="00387AE5">
            <w:pPr>
              <w:ind w:firstLineChars="400" w:firstLine="720"/>
              <w:rPr>
                <w:rFonts w:cs="Times New Roman"/>
                <w:sz w:val="18"/>
                <w:szCs w:val="18"/>
              </w:rPr>
            </w:pPr>
            <w:r w:rsidRPr="001162D3">
              <w:rPr>
                <w:rFonts w:cs="Times New Roman"/>
                <w:sz w:val="18"/>
                <w:szCs w:val="18"/>
              </w:rPr>
              <w:t>- kapitál</w:t>
            </w:r>
          </w:p>
        </w:tc>
        <w:tc>
          <w:tcPr>
            <w:tcW w:w="960" w:type="dxa"/>
            <w:tcBorders>
              <w:top w:val="nil"/>
              <w:left w:val="nil"/>
              <w:bottom w:val="nil"/>
              <w:right w:val="nil"/>
            </w:tcBorders>
            <w:shd w:val="clear" w:color="auto" w:fill="auto"/>
            <w:vAlign w:val="center"/>
            <w:hideMark/>
          </w:tcPr>
          <w:p w14:paraId="7A33768E"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23581096" w14:textId="77777777" w:rsidR="00D73008" w:rsidRPr="001162D3" w:rsidRDefault="00D73008" w:rsidP="00387AE5">
            <w:pPr>
              <w:jc w:val="center"/>
              <w:rPr>
                <w:rFonts w:cs="Times New Roman"/>
                <w:color w:val="000000"/>
                <w:sz w:val="18"/>
                <w:szCs w:val="18"/>
              </w:rPr>
            </w:pPr>
            <w:r w:rsidRPr="001162D3">
              <w:rPr>
                <w:sz w:val="18"/>
                <w:szCs w:val="18"/>
              </w:rPr>
              <w:t>0,8</w:t>
            </w:r>
          </w:p>
        </w:tc>
        <w:tc>
          <w:tcPr>
            <w:tcW w:w="960" w:type="dxa"/>
            <w:tcBorders>
              <w:top w:val="nil"/>
              <w:left w:val="nil"/>
              <w:bottom w:val="nil"/>
              <w:right w:val="nil"/>
            </w:tcBorders>
            <w:shd w:val="clear" w:color="auto" w:fill="auto"/>
            <w:hideMark/>
          </w:tcPr>
          <w:p w14:paraId="04810CA8" w14:textId="77777777" w:rsidR="00D73008" w:rsidRPr="001162D3" w:rsidRDefault="00D73008" w:rsidP="00387AE5">
            <w:pPr>
              <w:jc w:val="center"/>
              <w:rPr>
                <w:rFonts w:cs="Times New Roman"/>
                <w:color w:val="000000"/>
                <w:sz w:val="18"/>
                <w:szCs w:val="18"/>
              </w:rPr>
            </w:pPr>
            <w:r w:rsidRPr="001162D3">
              <w:rPr>
                <w:sz w:val="18"/>
                <w:szCs w:val="18"/>
              </w:rPr>
              <w:t>0,8</w:t>
            </w:r>
          </w:p>
        </w:tc>
        <w:tc>
          <w:tcPr>
            <w:tcW w:w="960" w:type="dxa"/>
            <w:tcBorders>
              <w:top w:val="nil"/>
              <w:left w:val="nil"/>
              <w:bottom w:val="nil"/>
              <w:right w:val="nil"/>
            </w:tcBorders>
            <w:shd w:val="clear" w:color="auto" w:fill="auto"/>
            <w:hideMark/>
          </w:tcPr>
          <w:p w14:paraId="65CF4B6A" w14:textId="77777777" w:rsidR="00D73008" w:rsidRPr="001162D3" w:rsidRDefault="00D73008" w:rsidP="00387AE5">
            <w:pPr>
              <w:jc w:val="center"/>
              <w:rPr>
                <w:rFonts w:cs="Times New Roman"/>
                <w:color w:val="000000"/>
                <w:sz w:val="18"/>
                <w:szCs w:val="18"/>
              </w:rPr>
            </w:pPr>
            <w:r w:rsidRPr="001162D3">
              <w:rPr>
                <w:sz w:val="18"/>
                <w:szCs w:val="18"/>
              </w:rPr>
              <w:t>0,8</w:t>
            </w:r>
          </w:p>
        </w:tc>
        <w:tc>
          <w:tcPr>
            <w:tcW w:w="960" w:type="dxa"/>
            <w:tcBorders>
              <w:top w:val="nil"/>
              <w:left w:val="nil"/>
              <w:bottom w:val="nil"/>
              <w:right w:val="nil"/>
            </w:tcBorders>
            <w:shd w:val="clear" w:color="auto" w:fill="auto"/>
            <w:hideMark/>
          </w:tcPr>
          <w:p w14:paraId="5C8D1F29" w14:textId="77777777" w:rsidR="00D73008" w:rsidRPr="001162D3" w:rsidRDefault="00D73008" w:rsidP="00387AE5">
            <w:pPr>
              <w:jc w:val="center"/>
              <w:rPr>
                <w:rFonts w:cs="Times New Roman"/>
                <w:color w:val="000000"/>
                <w:sz w:val="18"/>
                <w:szCs w:val="18"/>
              </w:rPr>
            </w:pPr>
            <w:r w:rsidRPr="001162D3">
              <w:rPr>
                <w:sz w:val="18"/>
                <w:szCs w:val="18"/>
              </w:rPr>
              <w:t>0,9</w:t>
            </w:r>
          </w:p>
        </w:tc>
        <w:tc>
          <w:tcPr>
            <w:tcW w:w="960" w:type="dxa"/>
            <w:tcBorders>
              <w:top w:val="nil"/>
              <w:left w:val="nil"/>
              <w:bottom w:val="nil"/>
              <w:right w:val="nil"/>
            </w:tcBorders>
            <w:shd w:val="clear" w:color="auto" w:fill="auto"/>
            <w:hideMark/>
          </w:tcPr>
          <w:p w14:paraId="2CF15930" w14:textId="77777777" w:rsidR="00D73008" w:rsidRPr="001162D3" w:rsidRDefault="00D73008" w:rsidP="00387AE5">
            <w:pPr>
              <w:jc w:val="center"/>
              <w:rPr>
                <w:rFonts w:cs="Times New Roman"/>
                <w:color w:val="000000"/>
                <w:sz w:val="18"/>
                <w:szCs w:val="18"/>
              </w:rPr>
            </w:pPr>
            <w:r w:rsidRPr="001162D3">
              <w:rPr>
                <w:sz w:val="18"/>
                <w:szCs w:val="18"/>
              </w:rPr>
              <w:t>0,9</w:t>
            </w:r>
          </w:p>
        </w:tc>
      </w:tr>
      <w:tr w:rsidR="00D73008" w:rsidRPr="001162D3" w14:paraId="32C40E47" w14:textId="77777777" w:rsidTr="00387AE5">
        <w:trPr>
          <w:trHeight w:val="283"/>
        </w:trPr>
        <w:tc>
          <w:tcPr>
            <w:tcW w:w="3240" w:type="dxa"/>
            <w:tcBorders>
              <w:top w:val="nil"/>
              <w:left w:val="nil"/>
              <w:bottom w:val="nil"/>
              <w:right w:val="nil"/>
            </w:tcBorders>
            <w:shd w:val="clear" w:color="auto" w:fill="auto"/>
            <w:vAlign w:val="center"/>
            <w:hideMark/>
          </w:tcPr>
          <w:p w14:paraId="48246D43" w14:textId="77777777" w:rsidR="00D73008" w:rsidRPr="001162D3" w:rsidRDefault="00D73008" w:rsidP="00387AE5">
            <w:pPr>
              <w:ind w:firstLineChars="400" w:firstLine="720"/>
              <w:rPr>
                <w:rFonts w:cs="Times New Roman"/>
                <w:sz w:val="18"/>
                <w:szCs w:val="18"/>
              </w:rPr>
            </w:pPr>
            <w:r w:rsidRPr="001162D3">
              <w:rPr>
                <w:rFonts w:cs="Times New Roman"/>
                <w:sz w:val="18"/>
                <w:szCs w:val="18"/>
              </w:rPr>
              <w:t>- celková produktivita faktorov</w:t>
            </w:r>
          </w:p>
        </w:tc>
        <w:tc>
          <w:tcPr>
            <w:tcW w:w="960" w:type="dxa"/>
            <w:tcBorders>
              <w:top w:val="nil"/>
              <w:left w:val="nil"/>
              <w:bottom w:val="nil"/>
              <w:right w:val="nil"/>
            </w:tcBorders>
            <w:shd w:val="clear" w:color="auto" w:fill="auto"/>
            <w:vAlign w:val="center"/>
            <w:hideMark/>
          </w:tcPr>
          <w:p w14:paraId="388073BD"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32E4EFAE" w14:textId="77777777" w:rsidR="00D73008" w:rsidRPr="001162D3" w:rsidRDefault="00D73008" w:rsidP="00387AE5">
            <w:pPr>
              <w:jc w:val="center"/>
              <w:rPr>
                <w:rFonts w:cs="Times New Roman"/>
                <w:color w:val="000000"/>
                <w:sz w:val="18"/>
                <w:szCs w:val="18"/>
              </w:rPr>
            </w:pPr>
            <w:r w:rsidRPr="001162D3">
              <w:rPr>
                <w:sz w:val="18"/>
                <w:szCs w:val="18"/>
              </w:rPr>
              <w:t>2,2</w:t>
            </w:r>
          </w:p>
        </w:tc>
        <w:tc>
          <w:tcPr>
            <w:tcW w:w="960" w:type="dxa"/>
            <w:tcBorders>
              <w:top w:val="nil"/>
              <w:left w:val="nil"/>
              <w:bottom w:val="nil"/>
              <w:right w:val="nil"/>
            </w:tcBorders>
            <w:shd w:val="clear" w:color="auto" w:fill="auto"/>
            <w:hideMark/>
          </w:tcPr>
          <w:p w14:paraId="13CBADC5" w14:textId="77777777" w:rsidR="00D73008" w:rsidRPr="001162D3" w:rsidRDefault="00D73008" w:rsidP="00387AE5">
            <w:pPr>
              <w:jc w:val="center"/>
              <w:rPr>
                <w:rFonts w:cs="Times New Roman"/>
                <w:color w:val="000000"/>
                <w:sz w:val="18"/>
                <w:szCs w:val="18"/>
              </w:rPr>
            </w:pPr>
            <w:r w:rsidRPr="001162D3">
              <w:rPr>
                <w:sz w:val="18"/>
                <w:szCs w:val="18"/>
              </w:rPr>
              <w:t>2,5</w:t>
            </w:r>
          </w:p>
        </w:tc>
        <w:tc>
          <w:tcPr>
            <w:tcW w:w="960" w:type="dxa"/>
            <w:tcBorders>
              <w:top w:val="nil"/>
              <w:left w:val="nil"/>
              <w:bottom w:val="nil"/>
              <w:right w:val="nil"/>
            </w:tcBorders>
            <w:shd w:val="clear" w:color="auto" w:fill="auto"/>
            <w:hideMark/>
          </w:tcPr>
          <w:p w14:paraId="07D623F4" w14:textId="77777777" w:rsidR="00D73008" w:rsidRPr="001162D3" w:rsidRDefault="00D73008" w:rsidP="00387AE5">
            <w:pPr>
              <w:jc w:val="center"/>
              <w:rPr>
                <w:rFonts w:cs="Times New Roman"/>
                <w:color w:val="000000"/>
                <w:sz w:val="18"/>
                <w:szCs w:val="18"/>
              </w:rPr>
            </w:pPr>
            <w:r w:rsidRPr="001162D3">
              <w:rPr>
                <w:sz w:val="18"/>
                <w:szCs w:val="18"/>
              </w:rPr>
              <w:t>2,5</w:t>
            </w:r>
          </w:p>
        </w:tc>
        <w:tc>
          <w:tcPr>
            <w:tcW w:w="960" w:type="dxa"/>
            <w:tcBorders>
              <w:top w:val="nil"/>
              <w:left w:val="nil"/>
              <w:bottom w:val="nil"/>
              <w:right w:val="nil"/>
            </w:tcBorders>
            <w:shd w:val="clear" w:color="auto" w:fill="auto"/>
            <w:hideMark/>
          </w:tcPr>
          <w:p w14:paraId="3D2E02C2" w14:textId="77777777" w:rsidR="00D73008" w:rsidRPr="001162D3" w:rsidRDefault="00D73008" w:rsidP="00387AE5">
            <w:pPr>
              <w:jc w:val="center"/>
              <w:rPr>
                <w:rFonts w:cs="Times New Roman"/>
                <w:color w:val="000000"/>
                <w:sz w:val="18"/>
                <w:szCs w:val="18"/>
              </w:rPr>
            </w:pPr>
            <w:r w:rsidRPr="001162D3">
              <w:rPr>
                <w:sz w:val="18"/>
                <w:szCs w:val="18"/>
              </w:rPr>
              <w:t>2,3</w:t>
            </w:r>
          </w:p>
        </w:tc>
        <w:tc>
          <w:tcPr>
            <w:tcW w:w="960" w:type="dxa"/>
            <w:tcBorders>
              <w:top w:val="nil"/>
              <w:left w:val="nil"/>
              <w:bottom w:val="nil"/>
              <w:right w:val="nil"/>
            </w:tcBorders>
            <w:shd w:val="clear" w:color="auto" w:fill="auto"/>
            <w:hideMark/>
          </w:tcPr>
          <w:p w14:paraId="292CB261" w14:textId="77777777" w:rsidR="00D73008" w:rsidRPr="001162D3" w:rsidRDefault="00D73008" w:rsidP="00387AE5">
            <w:pPr>
              <w:jc w:val="center"/>
              <w:rPr>
                <w:rFonts w:cs="Times New Roman"/>
                <w:color w:val="000000"/>
                <w:sz w:val="18"/>
                <w:szCs w:val="18"/>
              </w:rPr>
            </w:pPr>
            <w:r w:rsidRPr="001162D3">
              <w:rPr>
                <w:sz w:val="18"/>
                <w:szCs w:val="18"/>
              </w:rPr>
              <w:t>1,8</w:t>
            </w:r>
          </w:p>
        </w:tc>
      </w:tr>
      <w:tr w:rsidR="00D73008" w:rsidRPr="001162D3" w14:paraId="44223AC5" w14:textId="77777777" w:rsidTr="00387AE5">
        <w:trPr>
          <w:trHeight w:val="283"/>
        </w:trPr>
        <w:tc>
          <w:tcPr>
            <w:tcW w:w="3240" w:type="dxa"/>
            <w:tcBorders>
              <w:top w:val="nil"/>
              <w:left w:val="nil"/>
              <w:bottom w:val="nil"/>
              <w:right w:val="nil"/>
            </w:tcBorders>
            <w:shd w:val="clear" w:color="000000" w:fill="FFFFFF"/>
            <w:vAlign w:val="center"/>
            <w:hideMark/>
          </w:tcPr>
          <w:p w14:paraId="266487DF" w14:textId="77777777" w:rsidR="00D73008" w:rsidRPr="001162D3" w:rsidRDefault="00D73008" w:rsidP="00387AE5">
            <w:pPr>
              <w:rPr>
                <w:rFonts w:cs="Times New Roman"/>
                <w:sz w:val="18"/>
                <w:szCs w:val="18"/>
              </w:rPr>
            </w:pPr>
            <w:r w:rsidRPr="001162D3">
              <w:rPr>
                <w:rFonts w:cs="Times New Roman"/>
                <w:sz w:val="18"/>
                <w:szCs w:val="18"/>
              </w:rPr>
              <w:t>6. Produkčná medzera</w:t>
            </w:r>
          </w:p>
        </w:tc>
        <w:tc>
          <w:tcPr>
            <w:tcW w:w="960" w:type="dxa"/>
            <w:tcBorders>
              <w:top w:val="nil"/>
              <w:left w:val="nil"/>
              <w:bottom w:val="nil"/>
              <w:right w:val="nil"/>
            </w:tcBorders>
            <w:shd w:val="clear" w:color="000000" w:fill="FFFFFF"/>
            <w:vAlign w:val="center"/>
            <w:hideMark/>
          </w:tcPr>
          <w:p w14:paraId="79BD33D3"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6A7A203C" w14:textId="77777777" w:rsidR="00D73008" w:rsidRPr="001162D3" w:rsidRDefault="00D73008" w:rsidP="00387AE5">
            <w:pPr>
              <w:jc w:val="center"/>
              <w:rPr>
                <w:rFonts w:cs="Times New Roman"/>
                <w:color w:val="000000"/>
                <w:sz w:val="18"/>
                <w:szCs w:val="18"/>
              </w:rPr>
            </w:pPr>
            <w:r w:rsidRPr="001162D3">
              <w:rPr>
                <w:sz w:val="18"/>
                <w:szCs w:val="18"/>
              </w:rPr>
              <w:t>0,9</w:t>
            </w:r>
          </w:p>
        </w:tc>
        <w:tc>
          <w:tcPr>
            <w:tcW w:w="960" w:type="dxa"/>
            <w:tcBorders>
              <w:top w:val="nil"/>
              <w:left w:val="nil"/>
              <w:bottom w:val="nil"/>
              <w:right w:val="nil"/>
            </w:tcBorders>
            <w:shd w:val="clear" w:color="auto" w:fill="auto"/>
            <w:hideMark/>
          </w:tcPr>
          <w:p w14:paraId="6A337DED" w14:textId="77777777" w:rsidR="00D73008" w:rsidRPr="001162D3" w:rsidRDefault="00D73008" w:rsidP="00387AE5">
            <w:pPr>
              <w:jc w:val="center"/>
              <w:rPr>
                <w:rFonts w:cs="Times New Roman"/>
                <w:color w:val="000000"/>
                <w:sz w:val="18"/>
                <w:szCs w:val="18"/>
              </w:rPr>
            </w:pPr>
            <w:r w:rsidRPr="001162D3">
              <w:rPr>
                <w:sz w:val="18"/>
                <w:szCs w:val="18"/>
              </w:rPr>
              <w:t>1,1</w:t>
            </w:r>
          </w:p>
        </w:tc>
        <w:tc>
          <w:tcPr>
            <w:tcW w:w="960" w:type="dxa"/>
            <w:tcBorders>
              <w:top w:val="nil"/>
              <w:left w:val="nil"/>
              <w:bottom w:val="nil"/>
              <w:right w:val="nil"/>
            </w:tcBorders>
            <w:shd w:val="clear" w:color="auto" w:fill="auto"/>
            <w:hideMark/>
          </w:tcPr>
          <w:p w14:paraId="5472EF06" w14:textId="77777777" w:rsidR="00D73008" w:rsidRPr="001162D3" w:rsidRDefault="00D73008" w:rsidP="00387AE5">
            <w:pPr>
              <w:jc w:val="center"/>
              <w:rPr>
                <w:rFonts w:cs="Times New Roman"/>
                <w:color w:val="000000"/>
                <w:sz w:val="18"/>
                <w:szCs w:val="18"/>
              </w:rPr>
            </w:pPr>
            <w:r w:rsidRPr="001162D3">
              <w:rPr>
                <w:sz w:val="18"/>
                <w:szCs w:val="18"/>
              </w:rPr>
              <w:t>1,1</w:t>
            </w:r>
          </w:p>
        </w:tc>
        <w:tc>
          <w:tcPr>
            <w:tcW w:w="960" w:type="dxa"/>
            <w:tcBorders>
              <w:top w:val="nil"/>
              <w:left w:val="nil"/>
              <w:bottom w:val="nil"/>
              <w:right w:val="nil"/>
            </w:tcBorders>
            <w:shd w:val="clear" w:color="auto" w:fill="auto"/>
            <w:hideMark/>
          </w:tcPr>
          <w:p w14:paraId="584891AB" w14:textId="77777777" w:rsidR="00D73008" w:rsidRPr="001162D3" w:rsidRDefault="00D73008" w:rsidP="00387AE5">
            <w:pPr>
              <w:jc w:val="center"/>
              <w:rPr>
                <w:rFonts w:cs="Times New Roman"/>
                <w:color w:val="000000"/>
                <w:sz w:val="18"/>
                <w:szCs w:val="18"/>
              </w:rPr>
            </w:pPr>
            <w:r w:rsidRPr="001162D3">
              <w:rPr>
                <w:sz w:val="18"/>
                <w:szCs w:val="18"/>
              </w:rPr>
              <w:t>0,9</w:t>
            </w:r>
          </w:p>
        </w:tc>
        <w:tc>
          <w:tcPr>
            <w:tcW w:w="960" w:type="dxa"/>
            <w:tcBorders>
              <w:top w:val="nil"/>
              <w:left w:val="nil"/>
              <w:bottom w:val="nil"/>
              <w:right w:val="nil"/>
            </w:tcBorders>
            <w:shd w:val="clear" w:color="auto" w:fill="auto"/>
            <w:hideMark/>
          </w:tcPr>
          <w:p w14:paraId="73093AD0" w14:textId="77777777" w:rsidR="00D73008" w:rsidRPr="001162D3" w:rsidRDefault="00D73008" w:rsidP="00387AE5">
            <w:pPr>
              <w:jc w:val="center"/>
              <w:rPr>
                <w:rFonts w:cs="Times New Roman"/>
                <w:color w:val="000000"/>
                <w:sz w:val="18"/>
                <w:szCs w:val="18"/>
              </w:rPr>
            </w:pPr>
            <w:r w:rsidRPr="001162D3">
              <w:rPr>
                <w:sz w:val="18"/>
                <w:szCs w:val="18"/>
              </w:rPr>
              <w:t>0,6</w:t>
            </w:r>
          </w:p>
        </w:tc>
      </w:tr>
      <w:tr w:rsidR="00D73008" w:rsidRPr="001162D3" w14:paraId="630C51F5" w14:textId="77777777" w:rsidTr="00387AE5">
        <w:trPr>
          <w:trHeight w:val="283"/>
        </w:trPr>
        <w:tc>
          <w:tcPr>
            <w:tcW w:w="3240" w:type="dxa"/>
            <w:tcBorders>
              <w:top w:val="nil"/>
              <w:left w:val="nil"/>
              <w:bottom w:val="nil"/>
              <w:right w:val="nil"/>
            </w:tcBorders>
            <w:shd w:val="clear" w:color="000000" w:fill="FFFFFF"/>
            <w:vAlign w:val="center"/>
            <w:hideMark/>
          </w:tcPr>
          <w:p w14:paraId="70355F1F" w14:textId="77777777" w:rsidR="00D73008" w:rsidRPr="001162D3" w:rsidRDefault="00D73008" w:rsidP="00387AE5">
            <w:pPr>
              <w:rPr>
                <w:rFonts w:cs="Times New Roman"/>
                <w:sz w:val="18"/>
                <w:szCs w:val="18"/>
              </w:rPr>
            </w:pPr>
            <w:r w:rsidRPr="001162D3">
              <w:rPr>
                <w:rFonts w:cs="Times New Roman"/>
                <w:sz w:val="18"/>
                <w:szCs w:val="18"/>
              </w:rPr>
              <w:t>7. Cyklická zložka rozpočtu</w:t>
            </w:r>
          </w:p>
        </w:tc>
        <w:tc>
          <w:tcPr>
            <w:tcW w:w="960" w:type="dxa"/>
            <w:tcBorders>
              <w:top w:val="nil"/>
              <w:left w:val="nil"/>
              <w:bottom w:val="nil"/>
              <w:right w:val="nil"/>
            </w:tcBorders>
            <w:shd w:val="clear" w:color="000000" w:fill="FFFFFF"/>
            <w:vAlign w:val="center"/>
            <w:hideMark/>
          </w:tcPr>
          <w:p w14:paraId="4A8F1402"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6DFF725B" w14:textId="77777777" w:rsidR="00D73008" w:rsidRPr="001162D3" w:rsidRDefault="00D73008" w:rsidP="00387AE5">
            <w:pPr>
              <w:jc w:val="center"/>
              <w:rPr>
                <w:rFonts w:cs="Times New Roman"/>
                <w:color w:val="000000"/>
                <w:sz w:val="18"/>
                <w:szCs w:val="18"/>
              </w:rPr>
            </w:pPr>
            <w:r w:rsidRPr="001162D3">
              <w:rPr>
                <w:sz w:val="18"/>
                <w:szCs w:val="18"/>
              </w:rPr>
              <w:t>0,3</w:t>
            </w:r>
          </w:p>
        </w:tc>
        <w:tc>
          <w:tcPr>
            <w:tcW w:w="960" w:type="dxa"/>
            <w:tcBorders>
              <w:top w:val="nil"/>
              <w:left w:val="nil"/>
              <w:bottom w:val="nil"/>
              <w:right w:val="nil"/>
            </w:tcBorders>
            <w:shd w:val="clear" w:color="auto" w:fill="auto"/>
            <w:hideMark/>
          </w:tcPr>
          <w:p w14:paraId="7BD300E5"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68D64A80"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7FF4ED55"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7241D81A" w14:textId="77777777" w:rsidR="00D73008" w:rsidRPr="001162D3" w:rsidRDefault="00D73008" w:rsidP="00387AE5">
            <w:pPr>
              <w:jc w:val="center"/>
              <w:rPr>
                <w:rFonts w:cs="Times New Roman"/>
                <w:color w:val="000000"/>
                <w:sz w:val="18"/>
                <w:szCs w:val="18"/>
              </w:rPr>
            </w:pPr>
            <w:r w:rsidRPr="001162D3">
              <w:rPr>
                <w:sz w:val="18"/>
                <w:szCs w:val="18"/>
              </w:rPr>
              <w:t>0,2</w:t>
            </w:r>
          </w:p>
        </w:tc>
      </w:tr>
      <w:tr w:rsidR="00D73008" w:rsidRPr="001162D3" w14:paraId="42FF5E49" w14:textId="77777777" w:rsidTr="00387AE5">
        <w:trPr>
          <w:trHeight w:val="283"/>
        </w:trPr>
        <w:tc>
          <w:tcPr>
            <w:tcW w:w="3240" w:type="dxa"/>
            <w:tcBorders>
              <w:top w:val="nil"/>
              <w:left w:val="nil"/>
              <w:bottom w:val="nil"/>
              <w:right w:val="nil"/>
            </w:tcBorders>
            <w:shd w:val="clear" w:color="000000" w:fill="FFFFFF"/>
            <w:vAlign w:val="center"/>
            <w:hideMark/>
          </w:tcPr>
          <w:p w14:paraId="6AB10F39" w14:textId="77777777" w:rsidR="00D73008" w:rsidRPr="001162D3" w:rsidRDefault="00D73008" w:rsidP="00387AE5">
            <w:pPr>
              <w:rPr>
                <w:rFonts w:cs="Times New Roman"/>
                <w:sz w:val="18"/>
                <w:szCs w:val="18"/>
              </w:rPr>
            </w:pPr>
            <w:r w:rsidRPr="001162D3">
              <w:rPr>
                <w:rFonts w:cs="Times New Roman"/>
                <w:sz w:val="18"/>
                <w:szCs w:val="18"/>
              </w:rPr>
              <w:t>8. Cyklicky upravené saldo (2 - 7)</w:t>
            </w:r>
          </w:p>
        </w:tc>
        <w:tc>
          <w:tcPr>
            <w:tcW w:w="960" w:type="dxa"/>
            <w:tcBorders>
              <w:top w:val="nil"/>
              <w:left w:val="nil"/>
              <w:bottom w:val="nil"/>
              <w:right w:val="nil"/>
            </w:tcBorders>
            <w:shd w:val="clear" w:color="000000" w:fill="FFFFFF"/>
            <w:vAlign w:val="center"/>
            <w:hideMark/>
          </w:tcPr>
          <w:p w14:paraId="25A1FB24"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522C4A1A" w14:textId="77777777" w:rsidR="00D73008" w:rsidRPr="001162D3" w:rsidRDefault="00D73008" w:rsidP="00387AE5">
            <w:pPr>
              <w:jc w:val="center"/>
              <w:rPr>
                <w:rFonts w:cs="Times New Roman"/>
                <w:color w:val="000000"/>
                <w:sz w:val="18"/>
                <w:szCs w:val="18"/>
              </w:rPr>
            </w:pPr>
            <w:r w:rsidRPr="001162D3">
              <w:rPr>
                <w:sz w:val="18"/>
                <w:szCs w:val="18"/>
              </w:rPr>
              <w:t>-1,0</w:t>
            </w:r>
          </w:p>
        </w:tc>
        <w:tc>
          <w:tcPr>
            <w:tcW w:w="960" w:type="dxa"/>
            <w:tcBorders>
              <w:top w:val="nil"/>
              <w:left w:val="nil"/>
              <w:bottom w:val="nil"/>
              <w:right w:val="nil"/>
            </w:tcBorders>
            <w:shd w:val="clear" w:color="auto" w:fill="auto"/>
            <w:hideMark/>
          </w:tcPr>
          <w:p w14:paraId="08239FDD"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59B8A1A6"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1B1E3845"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nil"/>
              <w:right w:val="nil"/>
            </w:tcBorders>
            <w:shd w:val="clear" w:color="auto" w:fill="auto"/>
            <w:hideMark/>
          </w:tcPr>
          <w:p w14:paraId="7161762C" w14:textId="77777777" w:rsidR="00D73008" w:rsidRPr="001162D3" w:rsidRDefault="00D73008" w:rsidP="00387AE5">
            <w:pPr>
              <w:jc w:val="center"/>
              <w:rPr>
                <w:rFonts w:cs="Times New Roman"/>
                <w:color w:val="000000"/>
                <w:sz w:val="18"/>
                <w:szCs w:val="18"/>
              </w:rPr>
            </w:pPr>
            <w:r w:rsidRPr="001162D3">
              <w:rPr>
                <w:sz w:val="18"/>
                <w:szCs w:val="18"/>
              </w:rPr>
              <w:t>-0,2</w:t>
            </w:r>
          </w:p>
        </w:tc>
      </w:tr>
      <w:tr w:rsidR="00D73008" w:rsidRPr="001162D3" w14:paraId="275A3F1B" w14:textId="77777777" w:rsidTr="00387AE5">
        <w:trPr>
          <w:trHeight w:val="283"/>
        </w:trPr>
        <w:tc>
          <w:tcPr>
            <w:tcW w:w="3240" w:type="dxa"/>
            <w:tcBorders>
              <w:top w:val="nil"/>
              <w:left w:val="nil"/>
              <w:right w:val="nil"/>
            </w:tcBorders>
            <w:shd w:val="clear" w:color="000000" w:fill="FFFFFF"/>
            <w:vAlign w:val="center"/>
            <w:hideMark/>
          </w:tcPr>
          <w:p w14:paraId="59D0EA5D" w14:textId="77777777" w:rsidR="00D73008" w:rsidRPr="001162D3" w:rsidRDefault="00D73008" w:rsidP="00387AE5">
            <w:pPr>
              <w:rPr>
                <w:rFonts w:cs="Times New Roman"/>
                <w:sz w:val="18"/>
                <w:szCs w:val="18"/>
              </w:rPr>
            </w:pPr>
            <w:r w:rsidRPr="001162D3">
              <w:rPr>
                <w:rFonts w:cs="Times New Roman"/>
                <w:sz w:val="18"/>
                <w:szCs w:val="18"/>
              </w:rPr>
              <w:t>9. Cyklicky upravené primárne saldo (8 + 3)</w:t>
            </w:r>
          </w:p>
        </w:tc>
        <w:tc>
          <w:tcPr>
            <w:tcW w:w="960" w:type="dxa"/>
            <w:tcBorders>
              <w:top w:val="nil"/>
              <w:left w:val="nil"/>
              <w:right w:val="nil"/>
            </w:tcBorders>
            <w:shd w:val="clear" w:color="000000" w:fill="FFFFFF"/>
            <w:vAlign w:val="center"/>
            <w:hideMark/>
          </w:tcPr>
          <w:p w14:paraId="3EBBD571" w14:textId="77777777" w:rsidR="00D73008" w:rsidRPr="001162D3" w:rsidRDefault="00D73008" w:rsidP="00387AE5">
            <w:pPr>
              <w:jc w:val="center"/>
              <w:rPr>
                <w:rFonts w:cs="Times New Roman"/>
                <w:sz w:val="18"/>
                <w:szCs w:val="18"/>
              </w:rPr>
            </w:pPr>
          </w:p>
        </w:tc>
        <w:tc>
          <w:tcPr>
            <w:tcW w:w="960" w:type="dxa"/>
            <w:tcBorders>
              <w:top w:val="nil"/>
              <w:left w:val="nil"/>
              <w:bottom w:val="nil"/>
              <w:right w:val="nil"/>
            </w:tcBorders>
            <w:shd w:val="clear" w:color="auto" w:fill="auto"/>
            <w:hideMark/>
          </w:tcPr>
          <w:p w14:paraId="46F819DB" w14:textId="77777777" w:rsidR="00D73008" w:rsidRPr="001162D3" w:rsidRDefault="00D73008" w:rsidP="00387AE5">
            <w:pPr>
              <w:jc w:val="center"/>
              <w:rPr>
                <w:rFonts w:cs="Times New Roman"/>
                <w:color w:val="000000"/>
                <w:sz w:val="18"/>
                <w:szCs w:val="18"/>
              </w:rPr>
            </w:pPr>
            <w:r w:rsidRPr="001162D3">
              <w:rPr>
                <w:sz w:val="18"/>
                <w:szCs w:val="18"/>
              </w:rPr>
              <w:t>0,3</w:t>
            </w:r>
          </w:p>
        </w:tc>
        <w:tc>
          <w:tcPr>
            <w:tcW w:w="960" w:type="dxa"/>
            <w:tcBorders>
              <w:top w:val="nil"/>
              <w:left w:val="nil"/>
              <w:bottom w:val="nil"/>
              <w:right w:val="nil"/>
            </w:tcBorders>
            <w:shd w:val="clear" w:color="auto" w:fill="auto"/>
            <w:hideMark/>
          </w:tcPr>
          <w:p w14:paraId="3704BD2D" w14:textId="77777777" w:rsidR="00D73008" w:rsidRPr="001162D3" w:rsidRDefault="00D73008" w:rsidP="00387AE5">
            <w:pPr>
              <w:jc w:val="center"/>
              <w:rPr>
                <w:rFonts w:cs="Times New Roman"/>
                <w:color w:val="000000"/>
                <w:sz w:val="18"/>
                <w:szCs w:val="18"/>
              </w:rPr>
            </w:pPr>
            <w:r w:rsidRPr="001162D3">
              <w:rPr>
                <w:sz w:val="18"/>
                <w:szCs w:val="18"/>
              </w:rPr>
              <w:t>0,9</w:t>
            </w:r>
          </w:p>
        </w:tc>
        <w:tc>
          <w:tcPr>
            <w:tcW w:w="960" w:type="dxa"/>
            <w:tcBorders>
              <w:top w:val="nil"/>
              <w:left w:val="nil"/>
              <w:bottom w:val="nil"/>
              <w:right w:val="nil"/>
            </w:tcBorders>
            <w:shd w:val="clear" w:color="auto" w:fill="auto"/>
            <w:hideMark/>
          </w:tcPr>
          <w:p w14:paraId="4BDA404A" w14:textId="77777777" w:rsidR="00D73008" w:rsidRPr="001162D3" w:rsidRDefault="00D73008" w:rsidP="00387AE5">
            <w:pPr>
              <w:jc w:val="center"/>
              <w:rPr>
                <w:rFonts w:cs="Times New Roman"/>
                <w:color w:val="000000"/>
                <w:sz w:val="18"/>
                <w:szCs w:val="18"/>
              </w:rPr>
            </w:pPr>
            <w:r w:rsidRPr="001162D3">
              <w:rPr>
                <w:sz w:val="18"/>
                <w:szCs w:val="18"/>
              </w:rPr>
              <w:t>0,6</w:t>
            </w:r>
          </w:p>
        </w:tc>
        <w:tc>
          <w:tcPr>
            <w:tcW w:w="960" w:type="dxa"/>
            <w:tcBorders>
              <w:top w:val="nil"/>
              <w:left w:val="nil"/>
              <w:bottom w:val="nil"/>
              <w:right w:val="nil"/>
            </w:tcBorders>
            <w:shd w:val="clear" w:color="auto" w:fill="auto"/>
            <w:hideMark/>
          </w:tcPr>
          <w:p w14:paraId="0EE121AA" w14:textId="77777777" w:rsidR="00D73008" w:rsidRPr="001162D3" w:rsidRDefault="00D73008" w:rsidP="00387AE5">
            <w:pPr>
              <w:jc w:val="center"/>
              <w:rPr>
                <w:rFonts w:cs="Times New Roman"/>
                <w:color w:val="000000"/>
                <w:sz w:val="18"/>
                <w:szCs w:val="18"/>
              </w:rPr>
            </w:pPr>
            <w:r w:rsidRPr="001162D3">
              <w:rPr>
                <w:sz w:val="18"/>
                <w:szCs w:val="18"/>
              </w:rPr>
              <w:t>0,6</w:t>
            </w:r>
          </w:p>
        </w:tc>
        <w:tc>
          <w:tcPr>
            <w:tcW w:w="960" w:type="dxa"/>
            <w:tcBorders>
              <w:top w:val="nil"/>
              <w:left w:val="nil"/>
              <w:bottom w:val="nil"/>
              <w:right w:val="nil"/>
            </w:tcBorders>
            <w:shd w:val="clear" w:color="auto" w:fill="auto"/>
            <w:hideMark/>
          </w:tcPr>
          <w:p w14:paraId="6DD534DF" w14:textId="77777777" w:rsidR="00D73008" w:rsidRPr="001162D3" w:rsidRDefault="00D73008" w:rsidP="00387AE5">
            <w:pPr>
              <w:jc w:val="center"/>
              <w:rPr>
                <w:rFonts w:cs="Times New Roman"/>
                <w:color w:val="000000"/>
                <w:sz w:val="18"/>
                <w:szCs w:val="18"/>
              </w:rPr>
            </w:pPr>
            <w:r w:rsidRPr="001162D3">
              <w:rPr>
                <w:sz w:val="18"/>
                <w:szCs w:val="18"/>
              </w:rPr>
              <w:t>0,8</w:t>
            </w:r>
          </w:p>
        </w:tc>
      </w:tr>
      <w:tr w:rsidR="00D73008" w:rsidRPr="001162D3" w14:paraId="2467D700" w14:textId="77777777" w:rsidTr="00387AE5">
        <w:trPr>
          <w:trHeight w:val="283"/>
        </w:trPr>
        <w:tc>
          <w:tcPr>
            <w:tcW w:w="3240" w:type="dxa"/>
            <w:tcBorders>
              <w:top w:val="nil"/>
              <w:left w:val="nil"/>
              <w:bottom w:val="single" w:sz="8" w:space="0" w:color="auto"/>
              <w:right w:val="nil"/>
            </w:tcBorders>
            <w:shd w:val="clear" w:color="000000" w:fill="FFFFFF"/>
            <w:vAlign w:val="center"/>
            <w:hideMark/>
          </w:tcPr>
          <w:p w14:paraId="4C33BE75" w14:textId="77777777" w:rsidR="00D73008" w:rsidRPr="001162D3" w:rsidRDefault="00D73008" w:rsidP="00387AE5">
            <w:pPr>
              <w:rPr>
                <w:rFonts w:cs="Times New Roman"/>
                <w:sz w:val="18"/>
                <w:szCs w:val="18"/>
              </w:rPr>
            </w:pPr>
            <w:r w:rsidRPr="001162D3">
              <w:rPr>
                <w:rFonts w:cs="Times New Roman"/>
                <w:sz w:val="18"/>
                <w:szCs w:val="18"/>
              </w:rPr>
              <w:t>10. Štrukturálne saldo (8 - 4)</w:t>
            </w:r>
          </w:p>
        </w:tc>
        <w:tc>
          <w:tcPr>
            <w:tcW w:w="960" w:type="dxa"/>
            <w:tcBorders>
              <w:top w:val="nil"/>
              <w:left w:val="nil"/>
              <w:bottom w:val="single" w:sz="8" w:space="0" w:color="auto"/>
              <w:right w:val="nil"/>
            </w:tcBorders>
            <w:shd w:val="clear" w:color="000000" w:fill="FFFFFF"/>
            <w:vAlign w:val="center"/>
            <w:hideMark/>
          </w:tcPr>
          <w:p w14:paraId="781E6B90" w14:textId="77777777" w:rsidR="00D73008" w:rsidRPr="001162D3" w:rsidRDefault="00D73008" w:rsidP="00387AE5">
            <w:pPr>
              <w:jc w:val="center"/>
              <w:rPr>
                <w:rFonts w:cs="Times New Roman"/>
                <w:sz w:val="18"/>
                <w:szCs w:val="18"/>
              </w:rPr>
            </w:pPr>
          </w:p>
        </w:tc>
        <w:tc>
          <w:tcPr>
            <w:tcW w:w="960" w:type="dxa"/>
            <w:tcBorders>
              <w:top w:val="nil"/>
              <w:left w:val="nil"/>
              <w:bottom w:val="single" w:sz="4" w:space="0" w:color="auto"/>
              <w:right w:val="nil"/>
            </w:tcBorders>
            <w:shd w:val="clear" w:color="auto" w:fill="auto"/>
            <w:hideMark/>
          </w:tcPr>
          <w:p w14:paraId="42116414" w14:textId="77777777" w:rsidR="00D73008" w:rsidRPr="001162D3" w:rsidRDefault="00D73008" w:rsidP="00387AE5">
            <w:pPr>
              <w:jc w:val="center"/>
              <w:rPr>
                <w:rFonts w:cs="Times New Roman"/>
                <w:color w:val="000000"/>
                <w:sz w:val="18"/>
                <w:szCs w:val="18"/>
              </w:rPr>
            </w:pPr>
            <w:r w:rsidRPr="001162D3">
              <w:rPr>
                <w:sz w:val="18"/>
                <w:szCs w:val="18"/>
              </w:rPr>
              <w:t>-1,0</w:t>
            </w:r>
          </w:p>
        </w:tc>
        <w:tc>
          <w:tcPr>
            <w:tcW w:w="960" w:type="dxa"/>
            <w:tcBorders>
              <w:top w:val="nil"/>
              <w:left w:val="nil"/>
              <w:bottom w:val="single" w:sz="4" w:space="0" w:color="auto"/>
              <w:right w:val="nil"/>
            </w:tcBorders>
            <w:shd w:val="clear" w:color="auto" w:fill="auto"/>
            <w:hideMark/>
          </w:tcPr>
          <w:p w14:paraId="30393B58"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single" w:sz="4" w:space="0" w:color="auto"/>
              <w:right w:val="nil"/>
            </w:tcBorders>
            <w:shd w:val="clear" w:color="auto" w:fill="auto"/>
            <w:hideMark/>
          </w:tcPr>
          <w:p w14:paraId="1EA65DE9"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single" w:sz="4" w:space="0" w:color="auto"/>
              <w:right w:val="nil"/>
            </w:tcBorders>
            <w:shd w:val="clear" w:color="auto" w:fill="auto"/>
            <w:hideMark/>
          </w:tcPr>
          <w:p w14:paraId="6F6D7D4C"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60" w:type="dxa"/>
            <w:tcBorders>
              <w:top w:val="nil"/>
              <w:left w:val="nil"/>
              <w:bottom w:val="single" w:sz="4" w:space="0" w:color="auto"/>
              <w:right w:val="nil"/>
            </w:tcBorders>
            <w:shd w:val="clear" w:color="auto" w:fill="auto"/>
            <w:hideMark/>
          </w:tcPr>
          <w:p w14:paraId="566CBBA7" w14:textId="77777777" w:rsidR="00D73008" w:rsidRPr="001162D3" w:rsidRDefault="00D73008" w:rsidP="00387AE5">
            <w:pPr>
              <w:jc w:val="center"/>
              <w:rPr>
                <w:rFonts w:cs="Times New Roman"/>
                <w:color w:val="000000"/>
                <w:sz w:val="18"/>
                <w:szCs w:val="18"/>
              </w:rPr>
            </w:pPr>
            <w:r w:rsidRPr="001162D3">
              <w:rPr>
                <w:sz w:val="18"/>
                <w:szCs w:val="18"/>
              </w:rPr>
              <w:t>-0,2</w:t>
            </w:r>
          </w:p>
        </w:tc>
      </w:tr>
      <w:tr w:rsidR="00D73008" w:rsidRPr="001162D3" w14:paraId="10472D6B" w14:textId="77777777" w:rsidTr="00387AE5">
        <w:trPr>
          <w:trHeight w:val="283"/>
        </w:trPr>
        <w:tc>
          <w:tcPr>
            <w:tcW w:w="7080" w:type="dxa"/>
            <w:gridSpan w:val="5"/>
            <w:tcBorders>
              <w:top w:val="single" w:sz="8" w:space="0" w:color="auto"/>
              <w:left w:val="nil"/>
              <w:bottom w:val="nil"/>
              <w:right w:val="nil"/>
            </w:tcBorders>
            <w:shd w:val="clear" w:color="000000" w:fill="FFFFFF"/>
            <w:vAlign w:val="bottom"/>
            <w:hideMark/>
          </w:tcPr>
          <w:p w14:paraId="3EAFF2F7" w14:textId="77777777" w:rsidR="00D73008" w:rsidRPr="001162D3" w:rsidRDefault="00D73008" w:rsidP="00387AE5">
            <w:pPr>
              <w:rPr>
                <w:rFonts w:cs="Times New Roman"/>
                <w:sz w:val="16"/>
                <w:szCs w:val="16"/>
              </w:rPr>
            </w:pPr>
            <w:r w:rsidRPr="001162D3">
              <w:rPr>
                <w:rFonts w:cs="Times New Roman"/>
                <w:sz w:val="16"/>
                <w:szCs w:val="16"/>
              </w:rPr>
              <w:t>[1] Kladné znamienko predstavuje pozitívny vplyv jednorazového opatrenia na saldo VS</w:t>
            </w:r>
          </w:p>
        </w:tc>
        <w:tc>
          <w:tcPr>
            <w:tcW w:w="1920" w:type="dxa"/>
            <w:gridSpan w:val="2"/>
            <w:tcBorders>
              <w:top w:val="single" w:sz="8" w:space="0" w:color="auto"/>
              <w:left w:val="nil"/>
              <w:bottom w:val="nil"/>
              <w:right w:val="nil"/>
            </w:tcBorders>
            <w:shd w:val="clear" w:color="000000" w:fill="FFFFFF"/>
            <w:noWrap/>
            <w:vAlign w:val="bottom"/>
            <w:hideMark/>
          </w:tcPr>
          <w:p w14:paraId="7F08D102" w14:textId="77777777" w:rsidR="00D73008" w:rsidRPr="001162D3" w:rsidRDefault="00D73008" w:rsidP="00387AE5">
            <w:pPr>
              <w:jc w:val="right"/>
              <w:rPr>
                <w:rFonts w:cs="Times New Roman"/>
                <w:i/>
                <w:iCs/>
                <w:sz w:val="16"/>
                <w:szCs w:val="16"/>
              </w:rPr>
            </w:pPr>
            <w:r w:rsidRPr="001162D3">
              <w:rPr>
                <w:rFonts w:cs="Times New Roman"/>
                <w:i/>
                <w:iCs/>
                <w:sz w:val="16"/>
                <w:szCs w:val="16"/>
              </w:rPr>
              <w:t>Zdroj: MFSR</w:t>
            </w:r>
          </w:p>
        </w:tc>
      </w:tr>
      <w:tr w:rsidR="00D73008" w:rsidRPr="00B21C97" w14:paraId="17F5B6B2" w14:textId="77777777" w:rsidTr="00387AE5">
        <w:trPr>
          <w:trHeight w:val="283"/>
        </w:trPr>
        <w:tc>
          <w:tcPr>
            <w:tcW w:w="5160" w:type="dxa"/>
            <w:gridSpan w:val="3"/>
            <w:tcBorders>
              <w:top w:val="nil"/>
              <w:left w:val="nil"/>
              <w:bottom w:val="nil"/>
              <w:right w:val="nil"/>
            </w:tcBorders>
            <w:shd w:val="clear" w:color="000000" w:fill="FFFFFF"/>
            <w:hideMark/>
          </w:tcPr>
          <w:p w14:paraId="15A626BC" w14:textId="77777777" w:rsidR="00D73008" w:rsidRPr="001162D3" w:rsidRDefault="00D73008" w:rsidP="00387AE5">
            <w:pPr>
              <w:rPr>
                <w:rFonts w:ascii="Times New Roman" w:hAnsi="Times New Roman" w:cs="Times New Roman"/>
                <w:sz w:val="16"/>
                <w:szCs w:val="16"/>
              </w:rPr>
            </w:pPr>
            <w:r w:rsidRPr="001162D3">
              <w:rPr>
                <w:rFonts w:cs="Times New Roman"/>
                <w:sz w:val="16"/>
                <w:szCs w:val="16"/>
              </w:rPr>
              <w:t>* Pre rok 2019 uvádzame očakávanú skutočnosť.</w:t>
            </w:r>
          </w:p>
        </w:tc>
        <w:tc>
          <w:tcPr>
            <w:tcW w:w="960" w:type="dxa"/>
            <w:tcBorders>
              <w:top w:val="nil"/>
              <w:left w:val="nil"/>
              <w:bottom w:val="nil"/>
              <w:right w:val="nil"/>
            </w:tcBorders>
            <w:shd w:val="clear" w:color="auto" w:fill="auto"/>
            <w:noWrap/>
            <w:vAlign w:val="bottom"/>
            <w:hideMark/>
          </w:tcPr>
          <w:p w14:paraId="2228AB01" w14:textId="77777777" w:rsidR="00D73008" w:rsidRPr="001162D3" w:rsidRDefault="00D73008" w:rsidP="00387AE5">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34FB64" w14:textId="77777777" w:rsidR="00D73008" w:rsidRPr="001162D3" w:rsidRDefault="00D73008" w:rsidP="00387AE5">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9CDD61" w14:textId="77777777" w:rsidR="00D73008" w:rsidRPr="001162D3" w:rsidRDefault="00D73008" w:rsidP="00387AE5">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E5B8F7" w14:textId="77777777" w:rsidR="00D73008" w:rsidRPr="001162D3" w:rsidRDefault="00D73008" w:rsidP="00387AE5">
            <w:pPr>
              <w:rPr>
                <w:rFonts w:ascii="Times New Roman" w:hAnsi="Times New Roman" w:cs="Times New Roman"/>
                <w:sz w:val="20"/>
                <w:szCs w:val="20"/>
              </w:rPr>
            </w:pPr>
          </w:p>
        </w:tc>
      </w:tr>
    </w:tbl>
    <w:p w14:paraId="486E91C5" w14:textId="77777777" w:rsidR="00D73008" w:rsidRPr="00B21C97" w:rsidRDefault="00D73008" w:rsidP="00D73008">
      <w:pPr>
        <w:rPr>
          <w:highlight w:val="yellow"/>
        </w:rPr>
      </w:pPr>
    </w:p>
    <w:p w14:paraId="54DB1ADE" w14:textId="77777777" w:rsidR="00D73008" w:rsidRPr="00B21C97" w:rsidRDefault="00D73008" w:rsidP="00D73008">
      <w:pPr>
        <w:rPr>
          <w:highlight w:val="yellow"/>
        </w:rPr>
      </w:pPr>
    </w:p>
    <w:p w14:paraId="74A28A7E" w14:textId="77777777" w:rsidR="00D73008" w:rsidRPr="00B21C97" w:rsidRDefault="00D73008" w:rsidP="00D73008">
      <w:pPr>
        <w:rPr>
          <w:highlight w:val="yellow"/>
        </w:rPr>
      </w:pPr>
    </w:p>
    <w:tbl>
      <w:tblPr>
        <w:tblW w:w="9100" w:type="dxa"/>
        <w:tblCellMar>
          <w:left w:w="70" w:type="dxa"/>
          <w:right w:w="70" w:type="dxa"/>
        </w:tblCellMar>
        <w:tblLook w:val="04A0" w:firstRow="1" w:lastRow="0" w:firstColumn="1" w:lastColumn="0" w:noHBand="0" w:noVBand="1"/>
      </w:tblPr>
      <w:tblGrid>
        <w:gridCol w:w="2880"/>
        <w:gridCol w:w="818"/>
        <w:gridCol w:w="886"/>
        <w:gridCol w:w="904"/>
        <w:gridCol w:w="903"/>
        <w:gridCol w:w="903"/>
        <w:gridCol w:w="903"/>
        <w:gridCol w:w="903"/>
      </w:tblGrid>
      <w:tr w:rsidR="00D73008" w:rsidRPr="00152128" w14:paraId="366630EB" w14:textId="77777777" w:rsidTr="00387AE5">
        <w:trPr>
          <w:trHeight w:val="283"/>
        </w:trPr>
        <w:tc>
          <w:tcPr>
            <w:tcW w:w="9100" w:type="dxa"/>
            <w:gridSpan w:val="8"/>
            <w:tcBorders>
              <w:top w:val="nil"/>
              <w:left w:val="nil"/>
              <w:bottom w:val="single" w:sz="8" w:space="0" w:color="auto"/>
              <w:right w:val="nil"/>
            </w:tcBorders>
            <w:shd w:val="clear" w:color="auto" w:fill="auto"/>
            <w:noWrap/>
            <w:vAlign w:val="bottom"/>
            <w:hideMark/>
          </w:tcPr>
          <w:p w14:paraId="1AA7E76E" w14:textId="69925B5B" w:rsidR="00D73008" w:rsidRPr="00152128" w:rsidRDefault="00D73008" w:rsidP="00387AE5">
            <w:pPr>
              <w:rPr>
                <w:rFonts w:eastAsiaTheme="minorHAnsi"/>
                <w:b/>
                <w:color w:val="2C9ADC"/>
                <w:lang w:eastAsia="en-US"/>
              </w:rPr>
            </w:pPr>
            <w:bookmarkStart w:id="259" w:name="RANGE!A3"/>
            <w:bookmarkStart w:id="260" w:name="_Toc480905420"/>
            <w:bookmarkStart w:id="261" w:name="_Toc6314227"/>
            <w:r w:rsidRPr="001162D3">
              <w:rPr>
                <w:rFonts w:eastAsiaTheme="minorHAnsi"/>
                <w:b/>
                <w:color w:val="2C9ADC"/>
                <w:lang w:eastAsia="en-US"/>
              </w:rPr>
              <w:t xml:space="preserve">TABUĽKA </w:t>
            </w:r>
            <w:r w:rsidRPr="001162D3">
              <w:rPr>
                <w:rFonts w:eastAsiaTheme="minorHAnsi"/>
                <w:b/>
                <w:color w:val="2C9ADC"/>
                <w:lang w:eastAsia="en-US"/>
              </w:rPr>
              <w:fldChar w:fldCharType="begin"/>
            </w:r>
            <w:r w:rsidRPr="001162D3">
              <w:rPr>
                <w:rFonts w:eastAsiaTheme="minorHAnsi"/>
                <w:b/>
                <w:color w:val="2C9ADC"/>
                <w:lang w:eastAsia="en-US"/>
              </w:rPr>
              <w:instrText xml:space="preserve"> SEQ TABUĽKA \* ARABIC </w:instrText>
            </w:r>
            <w:r w:rsidRPr="001162D3">
              <w:rPr>
                <w:rFonts w:eastAsiaTheme="minorHAnsi"/>
                <w:b/>
                <w:color w:val="2C9ADC"/>
                <w:lang w:eastAsia="en-US"/>
              </w:rPr>
              <w:fldChar w:fldCharType="separate"/>
            </w:r>
            <w:r w:rsidR="00D5739E">
              <w:rPr>
                <w:rFonts w:eastAsiaTheme="minorHAnsi"/>
                <w:b/>
                <w:noProof/>
                <w:color w:val="2C9ADC"/>
                <w:lang w:eastAsia="en-US"/>
              </w:rPr>
              <w:t>28</w:t>
            </w:r>
            <w:r w:rsidRPr="001162D3">
              <w:rPr>
                <w:rFonts w:eastAsiaTheme="minorHAnsi"/>
                <w:b/>
                <w:color w:val="2C9ADC"/>
                <w:lang w:eastAsia="en-US"/>
              </w:rPr>
              <w:fldChar w:fldCharType="end"/>
            </w:r>
            <w:r w:rsidRPr="00152128">
              <w:rPr>
                <w:rFonts w:eastAsiaTheme="minorHAnsi"/>
                <w:b/>
                <w:color w:val="2C9ADC"/>
                <w:lang w:eastAsia="en-US"/>
              </w:rPr>
              <w:t xml:space="preserve"> (Tabuľka 6) - Porovnanie predchádzajúcej a aktualizovanej prognózy</w:t>
            </w:r>
            <w:bookmarkEnd w:id="259"/>
            <w:bookmarkEnd w:id="260"/>
            <w:bookmarkEnd w:id="261"/>
            <w:r w:rsidRPr="00152128">
              <w:rPr>
                <w:rFonts w:eastAsiaTheme="minorHAnsi"/>
                <w:b/>
                <w:color w:val="2C9ADC"/>
                <w:lang w:eastAsia="en-US"/>
              </w:rPr>
              <w:t> </w:t>
            </w:r>
          </w:p>
        </w:tc>
      </w:tr>
      <w:tr w:rsidR="00D73008" w:rsidRPr="001162D3" w14:paraId="3855C5E1" w14:textId="77777777" w:rsidTr="00387AE5">
        <w:trPr>
          <w:trHeight w:val="283"/>
        </w:trPr>
        <w:tc>
          <w:tcPr>
            <w:tcW w:w="2880" w:type="dxa"/>
            <w:tcBorders>
              <w:top w:val="nil"/>
              <w:left w:val="nil"/>
              <w:bottom w:val="nil"/>
              <w:right w:val="nil"/>
            </w:tcBorders>
            <w:shd w:val="clear" w:color="auto" w:fill="auto"/>
            <w:vAlign w:val="center"/>
            <w:hideMark/>
          </w:tcPr>
          <w:p w14:paraId="096F6591" w14:textId="77777777" w:rsidR="00D73008" w:rsidRPr="001162D3" w:rsidRDefault="00D73008" w:rsidP="00387AE5">
            <w:pPr>
              <w:rPr>
                <w:rFonts w:cs="Times New Roman"/>
                <w:b/>
                <w:bCs/>
                <w:color w:val="2C9ADC"/>
                <w:sz w:val="20"/>
                <w:szCs w:val="20"/>
              </w:rPr>
            </w:pPr>
          </w:p>
        </w:tc>
        <w:tc>
          <w:tcPr>
            <w:tcW w:w="818" w:type="dxa"/>
            <w:tcBorders>
              <w:top w:val="nil"/>
              <w:left w:val="nil"/>
              <w:bottom w:val="nil"/>
              <w:right w:val="nil"/>
            </w:tcBorders>
            <w:shd w:val="clear" w:color="auto" w:fill="auto"/>
            <w:vAlign w:val="center"/>
            <w:hideMark/>
          </w:tcPr>
          <w:p w14:paraId="11981603" w14:textId="77777777" w:rsidR="00D73008" w:rsidRPr="001162D3" w:rsidRDefault="00D73008" w:rsidP="00387AE5">
            <w:pPr>
              <w:rPr>
                <w:rFonts w:cs="Times New Roman"/>
                <w:color w:val="000000"/>
                <w:sz w:val="18"/>
                <w:szCs w:val="18"/>
              </w:rPr>
            </w:pPr>
            <w:r w:rsidRPr="001162D3">
              <w:rPr>
                <w:rFonts w:cs="Times New Roman"/>
                <w:color w:val="000000"/>
                <w:sz w:val="18"/>
                <w:szCs w:val="18"/>
              </w:rPr>
              <w:t xml:space="preserve">ESA kód </w:t>
            </w:r>
          </w:p>
        </w:tc>
        <w:tc>
          <w:tcPr>
            <w:tcW w:w="886" w:type="dxa"/>
            <w:tcBorders>
              <w:top w:val="nil"/>
              <w:left w:val="nil"/>
              <w:bottom w:val="nil"/>
              <w:right w:val="nil"/>
            </w:tcBorders>
            <w:shd w:val="clear" w:color="auto" w:fill="auto"/>
            <w:vAlign w:val="center"/>
            <w:hideMark/>
          </w:tcPr>
          <w:p w14:paraId="12913C9F" w14:textId="77777777" w:rsidR="00D73008" w:rsidRPr="001162D3" w:rsidRDefault="00D73008" w:rsidP="00387AE5">
            <w:pPr>
              <w:jc w:val="center"/>
              <w:rPr>
                <w:rFonts w:cs="Times New Roman"/>
                <w:b/>
                <w:bCs/>
                <w:color w:val="000000"/>
                <w:sz w:val="18"/>
                <w:szCs w:val="18"/>
              </w:rPr>
            </w:pPr>
            <w:r w:rsidRPr="001162D3">
              <w:rPr>
                <w:b/>
                <w:sz w:val="18"/>
                <w:szCs w:val="18"/>
              </w:rPr>
              <w:t>2017</w:t>
            </w:r>
          </w:p>
        </w:tc>
        <w:tc>
          <w:tcPr>
            <w:tcW w:w="904" w:type="dxa"/>
            <w:tcBorders>
              <w:top w:val="nil"/>
              <w:left w:val="nil"/>
              <w:bottom w:val="nil"/>
              <w:right w:val="nil"/>
            </w:tcBorders>
            <w:shd w:val="clear" w:color="auto" w:fill="auto"/>
            <w:vAlign w:val="center"/>
            <w:hideMark/>
          </w:tcPr>
          <w:p w14:paraId="68CF56D5" w14:textId="77777777" w:rsidR="00D73008" w:rsidRPr="001162D3" w:rsidRDefault="00D73008" w:rsidP="00387AE5">
            <w:pPr>
              <w:jc w:val="center"/>
              <w:rPr>
                <w:rFonts w:cs="Times New Roman"/>
                <w:b/>
                <w:bCs/>
                <w:color w:val="000000"/>
                <w:sz w:val="18"/>
                <w:szCs w:val="18"/>
              </w:rPr>
            </w:pPr>
            <w:r w:rsidRPr="001162D3">
              <w:rPr>
                <w:b/>
                <w:sz w:val="18"/>
                <w:szCs w:val="18"/>
              </w:rPr>
              <w:t>2018</w:t>
            </w:r>
          </w:p>
        </w:tc>
        <w:tc>
          <w:tcPr>
            <w:tcW w:w="903" w:type="dxa"/>
            <w:tcBorders>
              <w:top w:val="nil"/>
              <w:left w:val="nil"/>
              <w:bottom w:val="nil"/>
              <w:right w:val="nil"/>
            </w:tcBorders>
            <w:shd w:val="clear" w:color="auto" w:fill="auto"/>
            <w:vAlign w:val="center"/>
            <w:hideMark/>
          </w:tcPr>
          <w:p w14:paraId="7543169F" w14:textId="77777777" w:rsidR="00D73008" w:rsidRPr="001162D3" w:rsidRDefault="00D73008" w:rsidP="00387AE5">
            <w:pPr>
              <w:jc w:val="center"/>
              <w:rPr>
                <w:rFonts w:cs="Times New Roman"/>
                <w:b/>
                <w:bCs/>
                <w:color w:val="000000"/>
                <w:sz w:val="18"/>
                <w:szCs w:val="18"/>
              </w:rPr>
            </w:pPr>
            <w:r w:rsidRPr="001162D3">
              <w:rPr>
                <w:b/>
                <w:sz w:val="18"/>
                <w:szCs w:val="18"/>
              </w:rPr>
              <w:t>2019</w:t>
            </w:r>
          </w:p>
        </w:tc>
        <w:tc>
          <w:tcPr>
            <w:tcW w:w="903" w:type="dxa"/>
            <w:tcBorders>
              <w:top w:val="nil"/>
              <w:left w:val="nil"/>
              <w:bottom w:val="nil"/>
              <w:right w:val="nil"/>
            </w:tcBorders>
            <w:shd w:val="clear" w:color="auto" w:fill="auto"/>
            <w:vAlign w:val="center"/>
            <w:hideMark/>
          </w:tcPr>
          <w:p w14:paraId="29C7CB86" w14:textId="77777777" w:rsidR="00D73008" w:rsidRPr="001162D3" w:rsidRDefault="00D73008" w:rsidP="00387AE5">
            <w:pPr>
              <w:jc w:val="center"/>
              <w:rPr>
                <w:rFonts w:cs="Times New Roman"/>
                <w:b/>
                <w:bCs/>
                <w:color w:val="000000"/>
                <w:sz w:val="18"/>
                <w:szCs w:val="18"/>
              </w:rPr>
            </w:pPr>
            <w:r w:rsidRPr="001162D3">
              <w:rPr>
                <w:b/>
                <w:sz w:val="18"/>
                <w:szCs w:val="18"/>
              </w:rPr>
              <w:t>2020</w:t>
            </w:r>
          </w:p>
        </w:tc>
        <w:tc>
          <w:tcPr>
            <w:tcW w:w="903" w:type="dxa"/>
            <w:tcBorders>
              <w:top w:val="nil"/>
              <w:left w:val="nil"/>
              <w:bottom w:val="nil"/>
              <w:right w:val="nil"/>
            </w:tcBorders>
            <w:shd w:val="clear" w:color="auto" w:fill="auto"/>
            <w:vAlign w:val="center"/>
            <w:hideMark/>
          </w:tcPr>
          <w:p w14:paraId="70D78D99" w14:textId="77777777" w:rsidR="00D73008" w:rsidRPr="001162D3" w:rsidRDefault="00D73008" w:rsidP="00387AE5">
            <w:pPr>
              <w:jc w:val="center"/>
              <w:rPr>
                <w:rFonts w:cs="Times New Roman"/>
                <w:b/>
                <w:bCs/>
                <w:color w:val="000000"/>
                <w:sz w:val="18"/>
                <w:szCs w:val="18"/>
              </w:rPr>
            </w:pPr>
            <w:r w:rsidRPr="001162D3">
              <w:rPr>
                <w:b/>
                <w:sz w:val="18"/>
                <w:szCs w:val="18"/>
              </w:rPr>
              <w:t>2021</w:t>
            </w:r>
          </w:p>
        </w:tc>
        <w:tc>
          <w:tcPr>
            <w:tcW w:w="903" w:type="dxa"/>
            <w:tcBorders>
              <w:top w:val="nil"/>
              <w:left w:val="nil"/>
              <w:bottom w:val="nil"/>
              <w:right w:val="nil"/>
            </w:tcBorders>
            <w:shd w:val="clear" w:color="auto" w:fill="auto"/>
            <w:vAlign w:val="center"/>
            <w:hideMark/>
          </w:tcPr>
          <w:p w14:paraId="18601015" w14:textId="77777777" w:rsidR="00D73008" w:rsidRPr="001162D3" w:rsidRDefault="00D73008" w:rsidP="00387AE5">
            <w:pPr>
              <w:jc w:val="center"/>
              <w:rPr>
                <w:rFonts w:cs="Times New Roman"/>
                <w:b/>
                <w:bCs/>
                <w:color w:val="000000"/>
                <w:sz w:val="18"/>
                <w:szCs w:val="18"/>
              </w:rPr>
            </w:pPr>
            <w:r w:rsidRPr="001162D3">
              <w:rPr>
                <w:b/>
                <w:sz w:val="18"/>
                <w:szCs w:val="18"/>
              </w:rPr>
              <w:t>2022</w:t>
            </w:r>
          </w:p>
        </w:tc>
      </w:tr>
      <w:tr w:rsidR="00D73008" w:rsidRPr="001162D3" w14:paraId="78167CC8" w14:textId="77777777" w:rsidTr="00387AE5">
        <w:trPr>
          <w:trHeight w:val="283"/>
        </w:trPr>
        <w:tc>
          <w:tcPr>
            <w:tcW w:w="2880" w:type="dxa"/>
            <w:tcBorders>
              <w:top w:val="single" w:sz="4" w:space="0" w:color="000000"/>
              <w:left w:val="nil"/>
              <w:bottom w:val="nil"/>
              <w:right w:val="nil"/>
            </w:tcBorders>
            <w:shd w:val="clear" w:color="000000" w:fill="FFFFFF"/>
            <w:vAlign w:val="center"/>
            <w:hideMark/>
          </w:tcPr>
          <w:p w14:paraId="4D9510D2" w14:textId="77777777" w:rsidR="00D73008" w:rsidRPr="001162D3" w:rsidRDefault="00D73008" w:rsidP="00387AE5">
            <w:pPr>
              <w:rPr>
                <w:rFonts w:cs="Times New Roman"/>
                <w:b/>
                <w:bCs/>
                <w:color w:val="000000"/>
                <w:sz w:val="18"/>
                <w:szCs w:val="18"/>
              </w:rPr>
            </w:pPr>
            <w:r w:rsidRPr="001162D3">
              <w:rPr>
                <w:rFonts w:cs="Times New Roman"/>
                <w:b/>
                <w:bCs/>
                <w:color w:val="000000"/>
                <w:sz w:val="18"/>
                <w:szCs w:val="18"/>
              </w:rPr>
              <w:t>Reálny rast HDP (%)</w:t>
            </w:r>
          </w:p>
        </w:tc>
        <w:tc>
          <w:tcPr>
            <w:tcW w:w="818" w:type="dxa"/>
            <w:tcBorders>
              <w:top w:val="single" w:sz="4" w:space="0" w:color="000000"/>
              <w:left w:val="nil"/>
              <w:bottom w:val="nil"/>
              <w:right w:val="nil"/>
            </w:tcBorders>
            <w:shd w:val="clear" w:color="000000" w:fill="FFFFFF"/>
            <w:vAlign w:val="center"/>
            <w:hideMark/>
          </w:tcPr>
          <w:p w14:paraId="6AB31816"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 </w:t>
            </w:r>
          </w:p>
        </w:tc>
        <w:tc>
          <w:tcPr>
            <w:tcW w:w="886" w:type="dxa"/>
            <w:tcBorders>
              <w:top w:val="single" w:sz="4" w:space="0" w:color="000000"/>
              <w:left w:val="nil"/>
              <w:bottom w:val="nil"/>
              <w:right w:val="nil"/>
            </w:tcBorders>
            <w:shd w:val="clear" w:color="auto" w:fill="auto"/>
            <w:vAlign w:val="center"/>
            <w:hideMark/>
          </w:tcPr>
          <w:p w14:paraId="73AFEEFD" w14:textId="77777777" w:rsidR="00D73008" w:rsidRPr="001162D3" w:rsidRDefault="00D73008" w:rsidP="00387AE5">
            <w:pPr>
              <w:jc w:val="center"/>
              <w:rPr>
                <w:rFonts w:cs="Times New Roman"/>
                <w:color w:val="000000"/>
                <w:sz w:val="18"/>
                <w:szCs w:val="18"/>
              </w:rPr>
            </w:pPr>
          </w:p>
        </w:tc>
        <w:tc>
          <w:tcPr>
            <w:tcW w:w="904" w:type="dxa"/>
            <w:tcBorders>
              <w:top w:val="single" w:sz="4" w:space="0" w:color="000000"/>
              <w:left w:val="nil"/>
              <w:bottom w:val="nil"/>
              <w:right w:val="nil"/>
            </w:tcBorders>
            <w:shd w:val="clear" w:color="auto" w:fill="auto"/>
            <w:vAlign w:val="center"/>
            <w:hideMark/>
          </w:tcPr>
          <w:p w14:paraId="3F70486F" w14:textId="77777777" w:rsidR="00D73008" w:rsidRPr="001162D3" w:rsidRDefault="00D73008" w:rsidP="00387AE5">
            <w:pPr>
              <w:jc w:val="center"/>
              <w:rPr>
                <w:rFonts w:cs="Times New Roman"/>
                <w:color w:val="000000"/>
                <w:sz w:val="18"/>
                <w:szCs w:val="18"/>
              </w:rPr>
            </w:pPr>
          </w:p>
        </w:tc>
        <w:tc>
          <w:tcPr>
            <w:tcW w:w="903" w:type="dxa"/>
            <w:tcBorders>
              <w:top w:val="single" w:sz="4" w:space="0" w:color="000000"/>
              <w:left w:val="nil"/>
              <w:bottom w:val="nil"/>
              <w:right w:val="nil"/>
            </w:tcBorders>
            <w:shd w:val="clear" w:color="auto" w:fill="auto"/>
            <w:vAlign w:val="center"/>
            <w:hideMark/>
          </w:tcPr>
          <w:p w14:paraId="5197B326" w14:textId="77777777" w:rsidR="00D73008" w:rsidRPr="001162D3" w:rsidRDefault="00D73008" w:rsidP="00387AE5">
            <w:pPr>
              <w:jc w:val="center"/>
              <w:rPr>
                <w:rFonts w:cs="Times New Roman"/>
                <w:color w:val="000000"/>
                <w:sz w:val="18"/>
                <w:szCs w:val="18"/>
              </w:rPr>
            </w:pPr>
          </w:p>
        </w:tc>
        <w:tc>
          <w:tcPr>
            <w:tcW w:w="903" w:type="dxa"/>
            <w:tcBorders>
              <w:top w:val="single" w:sz="4" w:space="0" w:color="000000"/>
              <w:left w:val="nil"/>
              <w:bottom w:val="nil"/>
              <w:right w:val="nil"/>
            </w:tcBorders>
            <w:shd w:val="clear" w:color="auto" w:fill="auto"/>
            <w:noWrap/>
            <w:vAlign w:val="center"/>
            <w:hideMark/>
          </w:tcPr>
          <w:p w14:paraId="43C09711" w14:textId="77777777" w:rsidR="00D73008" w:rsidRPr="001162D3" w:rsidRDefault="00D73008" w:rsidP="00387AE5">
            <w:pPr>
              <w:jc w:val="center"/>
              <w:rPr>
                <w:rFonts w:cs="Times New Roman"/>
                <w:color w:val="000000"/>
                <w:sz w:val="18"/>
                <w:szCs w:val="18"/>
              </w:rPr>
            </w:pPr>
          </w:p>
        </w:tc>
        <w:tc>
          <w:tcPr>
            <w:tcW w:w="903" w:type="dxa"/>
            <w:tcBorders>
              <w:top w:val="single" w:sz="4" w:space="0" w:color="000000"/>
              <w:left w:val="nil"/>
              <w:bottom w:val="nil"/>
              <w:right w:val="nil"/>
            </w:tcBorders>
            <w:shd w:val="clear" w:color="auto" w:fill="auto"/>
            <w:noWrap/>
            <w:vAlign w:val="center"/>
            <w:hideMark/>
          </w:tcPr>
          <w:p w14:paraId="4E702DFC" w14:textId="77777777" w:rsidR="00D73008" w:rsidRPr="001162D3" w:rsidRDefault="00D73008" w:rsidP="00387AE5">
            <w:pPr>
              <w:jc w:val="center"/>
              <w:rPr>
                <w:rFonts w:cs="Times New Roman"/>
                <w:color w:val="000000"/>
                <w:sz w:val="18"/>
                <w:szCs w:val="18"/>
              </w:rPr>
            </w:pPr>
          </w:p>
        </w:tc>
        <w:tc>
          <w:tcPr>
            <w:tcW w:w="903" w:type="dxa"/>
            <w:tcBorders>
              <w:top w:val="single" w:sz="4" w:space="0" w:color="000000"/>
              <w:left w:val="nil"/>
              <w:bottom w:val="nil"/>
              <w:right w:val="nil"/>
            </w:tcBorders>
            <w:shd w:val="clear" w:color="auto" w:fill="auto"/>
            <w:noWrap/>
            <w:vAlign w:val="center"/>
            <w:hideMark/>
          </w:tcPr>
          <w:p w14:paraId="40A0E8F9" w14:textId="77777777" w:rsidR="00D73008" w:rsidRPr="001162D3" w:rsidRDefault="00D73008" w:rsidP="00387AE5">
            <w:pPr>
              <w:jc w:val="center"/>
              <w:rPr>
                <w:rFonts w:cs="Times New Roman"/>
                <w:color w:val="000000"/>
                <w:sz w:val="18"/>
                <w:szCs w:val="18"/>
              </w:rPr>
            </w:pPr>
          </w:p>
        </w:tc>
      </w:tr>
      <w:tr w:rsidR="00D73008" w:rsidRPr="001162D3" w14:paraId="658E2FEE" w14:textId="77777777" w:rsidTr="00387AE5">
        <w:trPr>
          <w:trHeight w:val="283"/>
        </w:trPr>
        <w:tc>
          <w:tcPr>
            <w:tcW w:w="2880" w:type="dxa"/>
            <w:tcBorders>
              <w:top w:val="nil"/>
              <w:left w:val="nil"/>
              <w:bottom w:val="nil"/>
              <w:right w:val="nil"/>
            </w:tcBorders>
            <w:shd w:val="clear" w:color="000000" w:fill="FFFFFF"/>
            <w:vAlign w:val="center"/>
            <w:hideMark/>
          </w:tcPr>
          <w:p w14:paraId="11BE0D2E"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Predchádzajúca aktualizácia*</w:t>
            </w:r>
          </w:p>
        </w:tc>
        <w:tc>
          <w:tcPr>
            <w:tcW w:w="818" w:type="dxa"/>
            <w:tcBorders>
              <w:top w:val="nil"/>
              <w:left w:val="nil"/>
              <w:bottom w:val="nil"/>
              <w:right w:val="nil"/>
            </w:tcBorders>
            <w:shd w:val="clear" w:color="000000" w:fill="FFFFFF"/>
            <w:vAlign w:val="center"/>
            <w:hideMark/>
          </w:tcPr>
          <w:p w14:paraId="430C4F63" w14:textId="77777777" w:rsidR="00D73008" w:rsidRPr="001162D3" w:rsidRDefault="00D73008" w:rsidP="00387AE5">
            <w:pP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nil"/>
              <w:right w:val="nil"/>
            </w:tcBorders>
            <w:shd w:val="clear" w:color="auto" w:fill="auto"/>
            <w:vAlign w:val="center"/>
            <w:hideMark/>
          </w:tcPr>
          <w:p w14:paraId="4A4E7336" w14:textId="77777777" w:rsidR="00D73008" w:rsidRPr="001162D3" w:rsidRDefault="00D73008" w:rsidP="00387AE5">
            <w:pPr>
              <w:jc w:val="center"/>
              <w:rPr>
                <w:rFonts w:cs="Times New Roman"/>
                <w:color w:val="000000"/>
                <w:sz w:val="18"/>
                <w:szCs w:val="18"/>
              </w:rPr>
            </w:pPr>
            <w:r w:rsidRPr="001162D3">
              <w:rPr>
                <w:sz w:val="18"/>
                <w:szCs w:val="18"/>
              </w:rPr>
              <w:t>3,4</w:t>
            </w:r>
          </w:p>
        </w:tc>
        <w:tc>
          <w:tcPr>
            <w:tcW w:w="904" w:type="dxa"/>
            <w:tcBorders>
              <w:top w:val="nil"/>
              <w:left w:val="nil"/>
              <w:bottom w:val="nil"/>
              <w:right w:val="nil"/>
            </w:tcBorders>
            <w:shd w:val="clear" w:color="auto" w:fill="auto"/>
            <w:vAlign w:val="center"/>
            <w:hideMark/>
          </w:tcPr>
          <w:p w14:paraId="3EA6CE30" w14:textId="77777777" w:rsidR="00D73008" w:rsidRPr="001162D3" w:rsidRDefault="00D73008" w:rsidP="00387AE5">
            <w:pPr>
              <w:jc w:val="center"/>
              <w:rPr>
                <w:rFonts w:cs="Times New Roman"/>
                <w:color w:val="000000"/>
                <w:sz w:val="18"/>
                <w:szCs w:val="18"/>
              </w:rPr>
            </w:pPr>
            <w:r w:rsidRPr="001162D3">
              <w:rPr>
                <w:sz w:val="18"/>
                <w:szCs w:val="18"/>
              </w:rPr>
              <w:t>4,2</w:t>
            </w:r>
          </w:p>
        </w:tc>
        <w:tc>
          <w:tcPr>
            <w:tcW w:w="903" w:type="dxa"/>
            <w:tcBorders>
              <w:top w:val="nil"/>
              <w:left w:val="nil"/>
              <w:bottom w:val="nil"/>
              <w:right w:val="nil"/>
            </w:tcBorders>
            <w:shd w:val="clear" w:color="auto" w:fill="auto"/>
            <w:vAlign w:val="center"/>
            <w:hideMark/>
          </w:tcPr>
          <w:p w14:paraId="2040CCAC" w14:textId="77777777" w:rsidR="00D73008" w:rsidRPr="001162D3" w:rsidRDefault="00D73008" w:rsidP="00387AE5">
            <w:pPr>
              <w:jc w:val="center"/>
              <w:rPr>
                <w:rFonts w:cs="Times New Roman"/>
                <w:color w:val="000000"/>
                <w:sz w:val="18"/>
                <w:szCs w:val="18"/>
              </w:rPr>
            </w:pPr>
            <w:r w:rsidRPr="001162D3">
              <w:rPr>
                <w:sz w:val="18"/>
                <w:szCs w:val="18"/>
              </w:rPr>
              <w:t>4,5</w:t>
            </w:r>
          </w:p>
        </w:tc>
        <w:tc>
          <w:tcPr>
            <w:tcW w:w="903" w:type="dxa"/>
            <w:tcBorders>
              <w:top w:val="nil"/>
              <w:left w:val="nil"/>
              <w:bottom w:val="nil"/>
              <w:right w:val="nil"/>
            </w:tcBorders>
            <w:shd w:val="clear" w:color="auto" w:fill="auto"/>
            <w:vAlign w:val="center"/>
            <w:hideMark/>
          </w:tcPr>
          <w:p w14:paraId="70F8B607" w14:textId="77777777" w:rsidR="00D73008" w:rsidRPr="001162D3" w:rsidRDefault="00D73008" w:rsidP="00387AE5">
            <w:pPr>
              <w:jc w:val="center"/>
              <w:rPr>
                <w:rFonts w:cs="Times New Roman"/>
                <w:color w:val="000000"/>
                <w:sz w:val="18"/>
                <w:szCs w:val="18"/>
              </w:rPr>
            </w:pPr>
            <w:r w:rsidRPr="001162D3">
              <w:rPr>
                <w:sz w:val="18"/>
                <w:szCs w:val="18"/>
              </w:rPr>
              <w:t>3,9</w:t>
            </w:r>
          </w:p>
        </w:tc>
        <w:tc>
          <w:tcPr>
            <w:tcW w:w="903" w:type="dxa"/>
            <w:tcBorders>
              <w:top w:val="nil"/>
              <w:left w:val="nil"/>
              <w:bottom w:val="nil"/>
              <w:right w:val="nil"/>
            </w:tcBorders>
            <w:shd w:val="clear" w:color="auto" w:fill="auto"/>
            <w:vAlign w:val="center"/>
            <w:hideMark/>
          </w:tcPr>
          <w:p w14:paraId="106C18B1" w14:textId="77777777" w:rsidR="00D73008" w:rsidRPr="001162D3" w:rsidRDefault="00D73008" w:rsidP="00387AE5">
            <w:pPr>
              <w:jc w:val="center"/>
              <w:rPr>
                <w:rFonts w:cs="Times New Roman"/>
                <w:color w:val="000000"/>
                <w:sz w:val="18"/>
                <w:szCs w:val="18"/>
              </w:rPr>
            </w:pPr>
            <w:r w:rsidRPr="001162D3">
              <w:rPr>
                <w:sz w:val="18"/>
                <w:szCs w:val="18"/>
              </w:rPr>
              <w:t>3,4</w:t>
            </w:r>
          </w:p>
        </w:tc>
        <w:tc>
          <w:tcPr>
            <w:tcW w:w="903" w:type="dxa"/>
            <w:tcBorders>
              <w:top w:val="nil"/>
              <w:left w:val="nil"/>
              <w:bottom w:val="nil"/>
              <w:right w:val="nil"/>
            </w:tcBorders>
            <w:shd w:val="clear" w:color="auto" w:fill="auto"/>
            <w:vAlign w:val="center"/>
            <w:hideMark/>
          </w:tcPr>
          <w:p w14:paraId="1DFBF261" w14:textId="77777777" w:rsidR="00D73008" w:rsidRPr="001162D3" w:rsidRDefault="00D73008" w:rsidP="00387AE5">
            <w:pPr>
              <w:jc w:val="center"/>
              <w:rPr>
                <w:rFonts w:cs="Times New Roman"/>
                <w:color w:val="000000"/>
                <w:sz w:val="18"/>
                <w:szCs w:val="18"/>
              </w:rPr>
            </w:pPr>
            <w:r w:rsidRPr="001162D3">
              <w:rPr>
                <w:sz w:val="18"/>
                <w:szCs w:val="18"/>
              </w:rPr>
              <w:t>-</w:t>
            </w:r>
          </w:p>
        </w:tc>
      </w:tr>
      <w:tr w:rsidR="00D73008" w:rsidRPr="001162D3" w14:paraId="27433CC9" w14:textId="77777777" w:rsidTr="00387AE5">
        <w:trPr>
          <w:trHeight w:val="283"/>
        </w:trPr>
        <w:tc>
          <w:tcPr>
            <w:tcW w:w="2880" w:type="dxa"/>
            <w:tcBorders>
              <w:top w:val="nil"/>
              <w:left w:val="nil"/>
              <w:bottom w:val="nil"/>
              <w:right w:val="nil"/>
            </w:tcBorders>
            <w:shd w:val="clear" w:color="000000" w:fill="FFFFFF"/>
            <w:vAlign w:val="center"/>
            <w:hideMark/>
          </w:tcPr>
          <w:p w14:paraId="1AD19C3F"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Skutočnosť a súčasná aktualizácia</w:t>
            </w:r>
          </w:p>
        </w:tc>
        <w:tc>
          <w:tcPr>
            <w:tcW w:w="818" w:type="dxa"/>
            <w:tcBorders>
              <w:top w:val="nil"/>
              <w:left w:val="nil"/>
              <w:bottom w:val="nil"/>
              <w:right w:val="nil"/>
            </w:tcBorders>
            <w:shd w:val="clear" w:color="000000" w:fill="FFFFFF"/>
            <w:noWrap/>
            <w:vAlign w:val="center"/>
            <w:hideMark/>
          </w:tcPr>
          <w:p w14:paraId="7663EE1B" w14:textId="77777777" w:rsidR="00D73008" w:rsidRPr="001162D3" w:rsidRDefault="00D73008" w:rsidP="00387AE5">
            <w:pP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nil"/>
              <w:right w:val="nil"/>
            </w:tcBorders>
            <w:shd w:val="clear" w:color="auto" w:fill="auto"/>
            <w:noWrap/>
            <w:vAlign w:val="center"/>
            <w:hideMark/>
          </w:tcPr>
          <w:p w14:paraId="72B27E1D" w14:textId="77777777" w:rsidR="00D73008" w:rsidRPr="001162D3" w:rsidRDefault="00D73008" w:rsidP="00387AE5">
            <w:pPr>
              <w:jc w:val="center"/>
              <w:rPr>
                <w:rFonts w:cs="Times New Roman"/>
                <w:color w:val="000000"/>
                <w:sz w:val="18"/>
                <w:szCs w:val="18"/>
              </w:rPr>
            </w:pPr>
            <w:r w:rsidRPr="001162D3">
              <w:rPr>
                <w:sz w:val="18"/>
                <w:szCs w:val="18"/>
              </w:rPr>
              <w:t>3,2</w:t>
            </w:r>
          </w:p>
        </w:tc>
        <w:tc>
          <w:tcPr>
            <w:tcW w:w="904" w:type="dxa"/>
            <w:tcBorders>
              <w:top w:val="nil"/>
              <w:left w:val="nil"/>
              <w:bottom w:val="nil"/>
              <w:right w:val="nil"/>
            </w:tcBorders>
            <w:shd w:val="clear" w:color="auto" w:fill="auto"/>
            <w:noWrap/>
            <w:vAlign w:val="center"/>
            <w:hideMark/>
          </w:tcPr>
          <w:p w14:paraId="449D0590" w14:textId="77777777" w:rsidR="00D73008" w:rsidRPr="001162D3" w:rsidRDefault="00D73008" w:rsidP="00387AE5">
            <w:pPr>
              <w:jc w:val="center"/>
              <w:rPr>
                <w:rFonts w:cs="Times New Roman"/>
                <w:color w:val="000000"/>
                <w:sz w:val="18"/>
                <w:szCs w:val="18"/>
              </w:rPr>
            </w:pPr>
            <w:r w:rsidRPr="001162D3">
              <w:rPr>
                <w:sz w:val="18"/>
                <w:szCs w:val="18"/>
              </w:rPr>
              <w:t>4,1</w:t>
            </w:r>
          </w:p>
        </w:tc>
        <w:tc>
          <w:tcPr>
            <w:tcW w:w="903" w:type="dxa"/>
            <w:tcBorders>
              <w:top w:val="nil"/>
              <w:left w:val="nil"/>
              <w:bottom w:val="nil"/>
              <w:right w:val="nil"/>
            </w:tcBorders>
            <w:shd w:val="clear" w:color="auto" w:fill="auto"/>
            <w:noWrap/>
            <w:vAlign w:val="center"/>
            <w:hideMark/>
          </w:tcPr>
          <w:p w14:paraId="56EB35DC" w14:textId="77777777" w:rsidR="00D73008" w:rsidRPr="001162D3" w:rsidRDefault="00D73008" w:rsidP="00387AE5">
            <w:pPr>
              <w:jc w:val="center"/>
              <w:rPr>
                <w:rFonts w:cs="Times New Roman"/>
                <w:color w:val="000000"/>
                <w:sz w:val="18"/>
                <w:szCs w:val="18"/>
              </w:rPr>
            </w:pPr>
            <w:r w:rsidRPr="001162D3">
              <w:rPr>
                <w:sz w:val="18"/>
                <w:szCs w:val="18"/>
              </w:rPr>
              <w:t>4,0</w:t>
            </w:r>
          </w:p>
        </w:tc>
        <w:tc>
          <w:tcPr>
            <w:tcW w:w="903" w:type="dxa"/>
            <w:tcBorders>
              <w:top w:val="nil"/>
              <w:left w:val="nil"/>
              <w:bottom w:val="nil"/>
              <w:right w:val="nil"/>
            </w:tcBorders>
            <w:shd w:val="clear" w:color="auto" w:fill="auto"/>
            <w:noWrap/>
            <w:vAlign w:val="center"/>
            <w:hideMark/>
          </w:tcPr>
          <w:p w14:paraId="187E1CE1" w14:textId="77777777" w:rsidR="00D73008" w:rsidRPr="001162D3" w:rsidRDefault="00D73008" w:rsidP="00387AE5">
            <w:pPr>
              <w:jc w:val="center"/>
              <w:rPr>
                <w:rFonts w:cs="Times New Roman"/>
                <w:color w:val="000000"/>
                <w:sz w:val="18"/>
                <w:szCs w:val="18"/>
              </w:rPr>
            </w:pPr>
            <w:r w:rsidRPr="001162D3">
              <w:rPr>
                <w:sz w:val="18"/>
                <w:szCs w:val="18"/>
              </w:rPr>
              <w:t>3,7</w:t>
            </w:r>
          </w:p>
        </w:tc>
        <w:tc>
          <w:tcPr>
            <w:tcW w:w="903" w:type="dxa"/>
            <w:tcBorders>
              <w:top w:val="nil"/>
              <w:left w:val="nil"/>
              <w:bottom w:val="nil"/>
              <w:right w:val="nil"/>
            </w:tcBorders>
            <w:shd w:val="clear" w:color="auto" w:fill="auto"/>
            <w:noWrap/>
            <w:vAlign w:val="center"/>
            <w:hideMark/>
          </w:tcPr>
          <w:p w14:paraId="3926A30E" w14:textId="77777777" w:rsidR="00D73008" w:rsidRPr="001162D3" w:rsidRDefault="00D73008" w:rsidP="00387AE5">
            <w:pPr>
              <w:jc w:val="center"/>
              <w:rPr>
                <w:rFonts w:cs="Times New Roman"/>
                <w:color w:val="000000"/>
                <w:sz w:val="18"/>
                <w:szCs w:val="18"/>
              </w:rPr>
            </w:pPr>
            <w:r w:rsidRPr="001162D3">
              <w:rPr>
                <w:sz w:val="18"/>
                <w:szCs w:val="18"/>
              </w:rPr>
              <w:t>3,2</w:t>
            </w:r>
          </w:p>
        </w:tc>
        <w:tc>
          <w:tcPr>
            <w:tcW w:w="903" w:type="dxa"/>
            <w:tcBorders>
              <w:top w:val="nil"/>
              <w:left w:val="nil"/>
              <w:bottom w:val="nil"/>
              <w:right w:val="nil"/>
            </w:tcBorders>
            <w:shd w:val="clear" w:color="auto" w:fill="auto"/>
            <w:noWrap/>
            <w:vAlign w:val="center"/>
            <w:hideMark/>
          </w:tcPr>
          <w:p w14:paraId="1A4A1639" w14:textId="77777777" w:rsidR="00D73008" w:rsidRPr="001162D3" w:rsidRDefault="00D73008" w:rsidP="00387AE5">
            <w:pPr>
              <w:jc w:val="center"/>
              <w:rPr>
                <w:rFonts w:cs="Times New Roman"/>
                <w:color w:val="000000"/>
                <w:sz w:val="18"/>
                <w:szCs w:val="18"/>
              </w:rPr>
            </w:pPr>
            <w:r w:rsidRPr="001162D3">
              <w:rPr>
                <w:sz w:val="18"/>
                <w:szCs w:val="18"/>
              </w:rPr>
              <w:t>2,5</w:t>
            </w:r>
          </w:p>
        </w:tc>
      </w:tr>
      <w:tr w:rsidR="00D73008" w:rsidRPr="001162D3" w14:paraId="1B6AA3D6" w14:textId="77777777" w:rsidTr="00387AE5">
        <w:trPr>
          <w:trHeight w:val="283"/>
        </w:trPr>
        <w:tc>
          <w:tcPr>
            <w:tcW w:w="2880" w:type="dxa"/>
            <w:tcBorders>
              <w:top w:val="nil"/>
              <w:left w:val="nil"/>
              <w:bottom w:val="single" w:sz="4" w:space="0" w:color="auto"/>
              <w:right w:val="nil"/>
            </w:tcBorders>
            <w:shd w:val="clear" w:color="000000" w:fill="FFFFFF"/>
            <w:vAlign w:val="center"/>
            <w:hideMark/>
          </w:tcPr>
          <w:p w14:paraId="597FA7B6"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Rozdiel</w:t>
            </w:r>
          </w:p>
        </w:tc>
        <w:tc>
          <w:tcPr>
            <w:tcW w:w="818" w:type="dxa"/>
            <w:tcBorders>
              <w:top w:val="nil"/>
              <w:left w:val="nil"/>
              <w:bottom w:val="single" w:sz="4" w:space="0" w:color="auto"/>
              <w:right w:val="nil"/>
            </w:tcBorders>
            <w:shd w:val="clear" w:color="000000" w:fill="FFFFFF"/>
            <w:vAlign w:val="center"/>
            <w:hideMark/>
          </w:tcPr>
          <w:p w14:paraId="1151CFE8" w14:textId="77777777" w:rsidR="00D73008" w:rsidRPr="001162D3" w:rsidRDefault="00D73008" w:rsidP="00387AE5">
            <w:pP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nil"/>
              <w:right w:val="nil"/>
            </w:tcBorders>
            <w:shd w:val="clear" w:color="auto" w:fill="auto"/>
            <w:vAlign w:val="center"/>
            <w:hideMark/>
          </w:tcPr>
          <w:p w14:paraId="0AA1A225" w14:textId="77777777" w:rsidR="00D73008" w:rsidRPr="001162D3" w:rsidRDefault="00D73008" w:rsidP="00387AE5">
            <w:pPr>
              <w:jc w:val="center"/>
              <w:rPr>
                <w:rFonts w:cs="Times New Roman"/>
                <w:color w:val="000000"/>
                <w:sz w:val="18"/>
                <w:szCs w:val="18"/>
              </w:rPr>
            </w:pPr>
            <w:r w:rsidRPr="001162D3">
              <w:rPr>
                <w:sz w:val="18"/>
                <w:szCs w:val="18"/>
              </w:rPr>
              <w:t>-0,2</w:t>
            </w:r>
          </w:p>
        </w:tc>
        <w:tc>
          <w:tcPr>
            <w:tcW w:w="904" w:type="dxa"/>
            <w:tcBorders>
              <w:top w:val="nil"/>
              <w:left w:val="nil"/>
              <w:bottom w:val="nil"/>
              <w:right w:val="nil"/>
            </w:tcBorders>
            <w:shd w:val="clear" w:color="auto" w:fill="auto"/>
            <w:vAlign w:val="center"/>
            <w:hideMark/>
          </w:tcPr>
          <w:p w14:paraId="75D61505" w14:textId="77777777" w:rsidR="00D73008" w:rsidRPr="001162D3" w:rsidRDefault="00D73008" w:rsidP="00387AE5">
            <w:pPr>
              <w:jc w:val="center"/>
              <w:rPr>
                <w:rFonts w:cs="Times New Roman"/>
                <w:color w:val="000000"/>
                <w:sz w:val="18"/>
                <w:szCs w:val="18"/>
              </w:rPr>
            </w:pPr>
            <w:r w:rsidRPr="001162D3">
              <w:rPr>
                <w:sz w:val="18"/>
                <w:szCs w:val="18"/>
              </w:rPr>
              <w:t>-0,1</w:t>
            </w:r>
          </w:p>
        </w:tc>
        <w:tc>
          <w:tcPr>
            <w:tcW w:w="903" w:type="dxa"/>
            <w:tcBorders>
              <w:top w:val="nil"/>
              <w:left w:val="nil"/>
              <w:bottom w:val="nil"/>
              <w:right w:val="nil"/>
            </w:tcBorders>
            <w:shd w:val="clear" w:color="auto" w:fill="auto"/>
            <w:vAlign w:val="center"/>
            <w:hideMark/>
          </w:tcPr>
          <w:p w14:paraId="30F147C5" w14:textId="77777777" w:rsidR="00D73008" w:rsidRPr="001162D3" w:rsidRDefault="00D73008" w:rsidP="00387AE5">
            <w:pPr>
              <w:jc w:val="center"/>
              <w:rPr>
                <w:rFonts w:cs="Times New Roman"/>
                <w:color w:val="000000"/>
                <w:sz w:val="18"/>
                <w:szCs w:val="18"/>
              </w:rPr>
            </w:pPr>
            <w:r w:rsidRPr="001162D3">
              <w:rPr>
                <w:sz w:val="18"/>
                <w:szCs w:val="18"/>
              </w:rPr>
              <w:t>-0,5</w:t>
            </w:r>
          </w:p>
        </w:tc>
        <w:tc>
          <w:tcPr>
            <w:tcW w:w="903" w:type="dxa"/>
            <w:tcBorders>
              <w:top w:val="nil"/>
              <w:left w:val="nil"/>
              <w:bottom w:val="nil"/>
              <w:right w:val="nil"/>
            </w:tcBorders>
            <w:shd w:val="clear" w:color="auto" w:fill="auto"/>
            <w:vAlign w:val="center"/>
            <w:hideMark/>
          </w:tcPr>
          <w:p w14:paraId="335B1A39" w14:textId="77777777" w:rsidR="00D73008" w:rsidRPr="001162D3" w:rsidRDefault="00D73008" w:rsidP="00387AE5">
            <w:pPr>
              <w:jc w:val="center"/>
              <w:rPr>
                <w:rFonts w:cs="Times New Roman"/>
                <w:color w:val="000000"/>
                <w:sz w:val="18"/>
                <w:szCs w:val="18"/>
              </w:rPr>
            </w:pPr>
            <w:r w:rsidRPr="001162D3">
              <w:rPr>
                <w:sz w:val="18"/>
                <w:szCs w:val="18"/>
              </w:rPr>
              <w:t>-0,2</w:t>
            </w:r>
          </w:p>
        </w:tc>
        <w:tc>
          <w:tcPr>
            <w:tcW w:w="903" w:type="dxa"/>
            <w:tcBorders>
              <w:top w:val="nil"/>
              <w:left w:val="nil"/>
              <w:bottom w:val="nil"/>
              <w:right w:val="nil"/>
            </w:tcBorders>
            <w:shd w:val="clear" w:color="auto" w:fill="auto"/>
            <w:vAlign w:val="center"/>
            <w:hideMark/>
          </w:tcPr>
          <w:p w14:paraId="4909C563" w14:textId="77777777" w:rsidR="00D73008" w:rsidRPr="001162D3" w:rsidRDefault="00D73008" w:rsidP="00387AE5">
            <w:pPr>
              <w:jc w:val="center"/>
              <w:rPr>
                <w:rFonts w:cs="Times New Roman"/>
                <w:color w:val="000000"/>
                <w:sz w:val="18"/>
                <w:szCs w:val="18"/>
              </w:rPr>
            </w:pPr>
            <w:r w:rsidRPr="001162D3">
              <w:rPr>
                <w:sz w:val="18"/>
                <w:szCs w:val="18"/>
              </w:rPr>
              <w:t>-0,2</w:t>
            </w:r>
          </w:p>
        </w:tc>
        <w:tc>
          <w:tcPr>
            <w:tcW w:w="903" w:type="dxa"/>
            <w:tcBorders>
              <w:top w:val="nil"/>
              <w:left w:val="nil"/>
              <w:bottom w:val="nil"/>
              <w:right w:val="nil"/>
            </w:tcBorders>
            <w:shd w:val="clear" w:color="auto" w:fill="auto"/>
            <w:vAlign w:val="center"/>
            <w:hideMark/>
          </w:tcPr>
          <w:p w14:paraId="16E64826" w14:textId="77777777" w:rsidR="00D73008" w:rsidRPr="001162D3" w:rsidRDefault="00D73008" w:rsidP="00387AE5">
            <w:pPr>
              <w:jc w:val="center"/>
              <w:rPr>
                <w:rFonts w:cs="Times New Roman"/>
                <w:color w:val="000000"/>
                <w:sz w:val="18"/>
                <w:szCs w:val="18"/>
              </w:rPr>
            </w:pPr>
            <w:r w:rsidRPr="001162D3">
              <w:rPr>
                <w:sz w:val="18"/>
                <w:szCs w:val="18"/>
              </w:rPr>
              <w:t>-</w:t>
            </w:r>
          </w:p>
        </w:tc>
      </w:tr>
      <w:tr w:rsidR="00D73008" w:rsidRPr="001162D3" w14:paraId="63C0B66E" w14:textId="77777777" w:rsidTr="00387AE5">
        <w:trPr>
          <w:trHeight w:val="283"/>
        </w:trPr>
        <w:tc>
          <w:tcPr>
            <w:tcW w:w="2880" w:type="dxa"/>
            <w:tcBorders>
              <w:top w:val="nil"/>
              <w:left w:val="nil"/>
              <w:bottom w:val="nil"/>
              <w:right w:val="nil"/>
            </w:tcBorders>
            <w:shd w:val="clear" w:color="000000" w:fill="FFFFFF"/>
            <w:noWrap/>
            <w:vAlign w:val="center"/>
            <w:hideMark/>
          </w:tcPr>
          <w:p w14:paraId="651C0DE6" w14:textId="77777777" w:rsidR="00D73008" w:rsidRPr="001162D3" w:rsidRDefault="00D73008" w:rsidP="00387AE5">
            <w:pPr>
              <w:rPr>
                <w:rFonts w:cs="Times New Roman"/>
                <w:b/>
                <w:bCs/>
                <w:color w:val="000000"/>
                <w:sz w:val="18"/>
                <w:szCs w:val="18"/>
              </w:rPr>
            </w:pPr>
            <w:r w:rsidRPr="001162D3">
              <w:rPr>
                <w:rFonts w:cs="Times New Roman"/>
                <w:b/>
                <w:bCs/>
                <w:color w:val="000000"/>
                <w:sz w:val="18"/>
                <w:szCs w:val="18"/>
              </w:rPr>
              <w:t>Saldo verejnej správy (% HDP)</w:t>
            </w:r>
          </w:p>
        </w:tc>
        <w:tc>
          <w:tcPr>
            <w:tcW w:w="818" w:type="dxa"/>
            <w:tcBorders>
              <w:top w:val="nil"/>
              <w:left w:val="nil"/>
              <w:bottom w:val="nil"/>
              <w:right w:val="nil"/>
            </w:tcBorders>
            <w:shd w:val="clear" w:color="000000" w:fill="FFFFFF"/>
            <w:vAlign w:val="center"/>
            <w:hideMark/>
          </w:tcPr>
          <w:p w14:paraId="004E2380"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EDP B.9</w:t>
            </w:r>
          </w:p>
        </w:tc>
        <w:tc>
          <w:tcPr>
            <w:tcW w:w="886" w:type="dxa"/>
            <w:tcBorders>
              <w:top w:val="single" w:sz="4" w:space="0" w:color="auto"/>
              <w:left w:val="nil"/>
              <w:bottom w:val="nil"/>
              <w:right w:val="nil"/>
            </w:tcBorders>
            <w:shd w:val="clear" w:color="auto" w:fill="auto"/>
            <w:vAlign w:val="center"/>
            <w:hideMark/>
          </w:tcPr>
          <w:p w14:paraId="50B48B0A" w14:textId="77777777" w:rsidR="00D73008" w:rsidRPr="001162D3" w:rsidRDefault="00D73008" w:rsidP="00387AE5">
            <w:pPr>
              <w:jc w:val="center"/>
              <w:rPr>
                <w:rFonts w:cs="Times New Roman"/>
                <w:color w:val="000000"/>
                <w:sz w:val="18"/>
                <w:szCs w:val="18"/>
              </w:rPr>
            </w:pPr>
          </w:p>
        </w:tc>
        <w:tc>
          <w:tcPr>
            <w:tcW w:w="904" w:type="dxa"/>
            <w:tcBorders>
              <w:top w:val="single" w:sz="4" w:space="0" w:color="auto"/>
              <w:left w:val="nil"/>
              <w:bottom w:val="nil"/>
              <w:right w:val="nil"/>
            </w:tcBorders>
            <w:shd w:val="clear" w:color="auto" w:fill="auto"/>
            <w:vAlign w:val="center"/>
            <w:hideMark/>
          </w:tcPr>
          <w:p w14:paraId="3946D88D"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vAlign w:val="center"/>
            <w:hideMark/>
          </w:tcPr>
          <w:p w14:paraId="6DEE59E2"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noWrap/>
            <w:vAlign w:val="center"/>
            <w:hideMark/>
          </w:tcPr>
          <w:p w14:paraId="6BFB29EF"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noWrap/>
            <w:vAlign w:val="center"/>
            <w:hideMark/>
          </w:tcPr>
          <w:p w14:paraId="1D84B953"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noWrap/>
            <w:vAlign w:val="center"/>
            <w:hideMark/>
          </w:tcPr>
          <w:p w14:paraId="07C6769A" w14:textId="77777777" w:rsidR="00D73008" w:rsidRPr="001162D3" w:rsidRDefault="00D73008" w:rsidP="00387AE5">
            <w:pPr>
              <w:jc w:val="center"/>
              <w:rPr>
                <w:rFonts w:cs="Times New Roman"/>
                <w:color w:val="000000"/>
                <w:sz w:val="18"/>
                <w:szCs w:val="18"/>
              </w:rPr>
            </w:pPr>
          </w:p>
        </w:tc>
      </w:tr>
      <w:tr w:rsidR="00D73008" w:rsidRPr="001162D3" w14:paraId="4D3DDA88" w14:textId="77777777" w:rsidTr="00387AE5">
        <w:trPr>
          <w:trHeight w:val="283"/>
        </w:trPr>
        <w:tc>
          <w:tcPr>
            <w:tcW w:w="2880" w:type="dxa"/>
            <w:tcBorders>
              <w:top w:val="nil"/>
              <w:left w:val="nil"/>
              <w:bottom w:val="nil"/>
              <w:right w:val="nil"/>
            </w:tcBorders>
            <w:shd w:val="clear" w:color="000000" w:fill="FFFFFF"/>
            <w:vAlign w:val="center"/>
            <w:hideMark/>
          </w:tcPr>
          <w:p w14:paraId="7323748C"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Predchádzajúca aktualizácia*</w:t>
            </w:r>
          </w:p>
        </w:tc>
        <w:tc>
          <w:tcPr>
            <w:tcW w:w="818" w:type="dxa"/>
            <w:tcBorders>
              <w:top w:val="nil"/>
              <w:left w:val="nil"/>
              <w:bottom w:val="nil"/>
              <w:right w:val="nil"/>
            </w:tcBorders>
            <w:shd w:val="clear" w:color="000000" w:fill="FFFFFF"/>
            <w:noWrap/>
            <w:vAlign w:val="bottom"/>
            <w:hideMark/>
          </w:tcPr>
          <w:p w14:paraId="323B0FDA" w14:textId="77777777" w:rsidR="00D73008" w:rsidRPr="001162D3" w:rsidRDefault="00D73008" w:rsidP="00387AE5">
            <w:pPr>
              <w:rPr>
                <w:rFonts w:cs="Times New Roman"/>
                <w:color w:val="000000"/>
              </w:rPr>
            </w:pPr>
            <w:r w:rsidRPr="001162D3">
              <w:rPr>
                <w:rFonts w:cs="Times New Roman"/>
                <w:color w:val="000000"/>
              </w:rPr>
              <w:t> </w:t>
            </w:r>
          </w:p>
        </w:tc>
        <w:tc>
          <w:tcPr>
            <w:tcW w:w="886" w:type="dxa"/>
            <w:tcBorders>
              <w:top w:val="nil"/>
              <w:left w:val="nil"/>
              <w:bottom w:val="nil"/>
              <w:right w:val="nil"/>
            </w:tcBorders>
            <w:shd w:val="clear" w:color="auto" w:fill="auto"/>
            <w:noWrap/>
            <w:vAlign w:val="center"/>
            <w:hideMark/>
          </w:tcPr>
          <w:p w14:paraId="1EDBF4BD" w14:textId="77777777" w:rsidR="00D73008" w:rsidRPr="001162D3" w:rsidRDefault="00D73008" w:rsidP="00387AE5">
            <w:pPr>
              <w:jc w:val="center"/>
              <w:rPr>
                <w:rFonts w:cs="Times New Roman"/>
                <w:color w:val="000000"/>
                <w:sz w:val="18"/>
                <w:szCs w:val="18"/>
              </w:rPr>
            </w:pPr>
            <w:r w:rsidRPr="001162D3">
              <w:rPr>
                <w:sz w:val="18"/>
                <w:szCs w:val="18"/>
              </w:rPr>
              <w:t>-1,04</w:t>
            </w:r>
          </w:p>
        </w:tc>
        <w:tc>
          <w:tcPr>
            <w:tcW w:w="904" w:type="dxa"/>
            <w:tcBorders>
              <w:top w:val="nil"/>
              <w:left w:val="nil"/>
              <w:bottom w:val="nil"/>
              <w:right w:val="nil"/>
            </w:tcBorders>
            <w:shd w:val="clear" w:color="auto" w:fill="auto"/>
            <w:noWrap/>
            <w:vAlign w:val="center"/>
            <w:hideMark/>
          </w:tcPr>
          <w:p w14:paraId="7748C8A1" w14:textId="77777777" w:rsidR="00D73008" w:rsidRPr="001162D3" w:rsidRDefault="00D73008" w:rsidP="00387AE5">
            <w:pPr>
              <w:jc w:val="center"/>
              <w:rPr>
                <w:rFonts w:cs="Times New Roman"/>
                <w:color w:val="000000"/>
                <w:sz w:val="18"/>
                <w:szCs w:val="18"/>
              </w:rPr>
            </w:pPr>
            <w:r w:rsidRPr="001162D3">
              <w:rPr>
                <w:sz w:val="18"/>
                <w:szCs w:val="18"/>
              </w:rPr>
              <w:t>-0,80</w:t>
            </w:r>
          </w:p>
        </w:tc>
        <w:tc>
          <w:tcPr>
            <w:tcW w:w="903" w:type="dxa"/>
            <w:tcBorders>
              <w:top w:val="nil"/>
              <w:left w:val="nil"/>
              <w:bottom w:val="nil"/>
              <w:right w:val="nil"/>
            </w:tcBorders>
            <w:shd w:val="clear" w:color="auto" w:fill="auto"/>
            <w:noWrap/>
            <w:vAlign w:val="center"/>
            <w:hideMark/>
          </w:tcPr>
          <w:p w14:paraId="3E45BDC0" w14:textId="77777777" w:rsidR="00D73008" w:rsidRPr="001162D3" w:rsidRDefault="00D73008" w:rsidP="00387AE5">
            <w:pPr>
              <w:jc w:val="center"/>
              <w:rPr>
                <w:rFonts w:cs="Times New Roman"/>
                <w:color w:val="000000"/>
                <w:sz w:val="18"/>
                <w:szCs w:val="18"/>
              </w:rPr>
            </w:pPr>
            <w:r w:rsidRPr="001162D3">
              <w:rPr>
                <w:sz w:val="18"/>
                <w:szCs w:val="18"/>
              </w:rPr>
              <w:t>-0,32</w:t>
            </w:r>
          </w:p>
        </w:tc>
        <w:tc>
          <w:tcPr>
            <w:tcW w:w="903" w:type="dxa"/>
            <w:tcBorders>
              <w:top w:val="nil"/>
              <w:left w:val="nil"/>
              <w:bottom w:val="nil"/>
              <w:right w:val="nil"/>
            </w:tcBorders>
            <w:shd w:val="clear" w:color="auto" w:fill="auto"/>
            <w:noWrap/>
            <w:vAlign w:val="center"/>
            <w:hideMark/>
          </w:tcPr>
          <w:p w14:paraId="148D52EF"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noWrap/>
            <w:vAlign w:val="center"/>
            <w:hideMark/>
          </w:tcPr>
          <w:p w14:paraId="0CB348AF"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vAlign w:val="center"/>
            <w:hideMark/>
          </w:tcPr>
          <w:p w14:paraId="54F81B58" w14:textId="77777777" w:rsidR="00D73008" w:rsidRPr="001162D3" w:rsidRDefault="00D73008" w:rsidP="00387AE5">
            <w:pPr>
              <w:jc w:val="center"/>
              <w:rPr>
                <w:rFonts w:cs="Times New Roman"/>
                <w:color w:val="000000"/>
                <w:sz w:val="18"/>
                <w:szCs w:val="18"/>
              </w:rPr>
            </w:pPr>
            <w:r w:rsidRPr="001162D3">
              <w:rPr>
                <w:sz w:val="18"/>
                <w:szCs w:val="18"/>
              </w:rPr>
              <w:t>-</w:t>
            </w:r>
          </w:p>
        </w:tc>
      </w:tr>
      <w:tr w:rsidR="00D73008" w:rsidRPr="001162D3" w14:paraId="59F078AF" w14:textId="77777777" w:rsidTr="00387AE5">
        <w:trPr>
          <w:trHeight w:val="283"/>
        </w:trPr>
        <w:tc>
          <w:tcPr>
            <w:tcW w:w="2880" w:type="dxa"/>
            <w:tcBorders>
              <w:top w:val="nil"/>
              <w:left w:val="nil"/>
              <w:bottom w:val="nil"/>
              <w:right w:val="nil"/>
            </w:tcBorders>
            <w:shd w:val="clear" w:color="000000" w:fill="FFFFFF"/>
            <w:vAlign w:val="center"/>
            <w:hideMark/>
          </w:tcPr>
          <w:p w14:paraId="58F56BE5"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Skutočnosť a súčasná aktualizácia**</w:t>
            </w:r>
          </w:p>
        </w:tc>
        <w:tc>
          <w:tcPr>
            <w:tcW w:w="818" w:type="dxa"/>
            <w:tcBorders>
              <w:top w:val="nil"/>
              <w:left w:val="nil"/>
              <w:bottom w:val="nil"/>
              <w:right w:val="nil"/>
            </w:tcBorders>
            <w:shd w:val="clear" w:color="000000" w:fill="FFFFFF"/>
            <w:noWrap/>
            <w:vAlign w:val="bottom"/>
            <w:hideMark/>
          </w:tcPr>
          <w:p w14:paraId="5A391DE3" w14:textId="77777777" w:rsidR="00D73008" w:rsidRPr="001162D3" w:rsidRDefault="00D73008" w:rsidP="00387AE5">
            <w:pPr>
              <w:rPr>
                <w:rFonts w:cs="Times New Roman"/>
                <w:color w:val="000000"/>
              </w:rPr>
            </w:pPr>
            <w:r w:rsidRPr="001162D3">
              <w:rPr>
                <w:rFonts w:cs="Times New Roman"/>
                <w:color w:val="000000"/>
              </w:rPr>
              <w:t> </w:t>
            </w:r>
          </w:p>
        </w:tc>
        <w:tc>
          <w:tcPr>
            <w:tcW w:w="886" w:type="dxa"/>
            <w:tcBorders>
              <w:top w:val="nil"/>
              <w:left w:val="nil"/>
              <w:bottom w:val="nil"/>
              <w:right w:val="nil"/>
            </w:tcBorders>
            <w:shd w:val="clear" w:color="auto" w:fill="auto"/>
            <w:noWrap/>
            <w:vAlign w:val="center"/>
            <w:hideMark/>
          </w:tcPr>
          <w:p w14:paraId="5C3C644E" w14:textId="77777777" w:rsidR="00D73008" w:rsidRPr="001162D3" w:rsidRDefault="00D73008" w:rsidP="00387AE5">
            <w:pPr>
              <w:jc w:val="center"/>
              <w:rPr>
                <w:rFonts w:cs="Times New Roman"/>
                <w:color w:val="000000"/>
                <w:sz w:val="18"/>
                <w:szCs w:val="18"/>
              </w:rPr>
            </w:pPr>
            <w:r w:rsidRPr="001162D3">
              <w:rPr>
                <w:sz w:val="18"/>
                <w:szCs w:val="18"/>
              </w:rPr>
              <w:t>-0,79</w:t>
            </w:r>
          </w:p>
        </w:tc>
        <w:tc>
          <w:tcPr>
            <w:tcW w:w="904" w:type="dxa"/>
            <w:tcBorders>
              <w:top w:val="nil"/>
              <w:left w:val="nil"/>
              <w:bottom w:val="nil"/>
              <w:right w:val="nil"/>
            </w:tcBorders>
            <w:shd w:val="clear" w:color="auto" w:fill="auto"/>
            <w:noWrap/>
            <w:vAlign w:val="center"/>
            <w:hideMark/>
          </w:tcPr>
          <w:p w14:paraId="13E0F22F" w14:textId="77777777" w:rsidR="00D73008" w:rsidRPr="001162D3" w:rsidRDefault="00D73008" w:rsidP="00387AE5">
            <w:pPr>
              <w:jc w:val="center"/>
              <w:rPr>
                <w:rFonts w:cs="Times New Roman"/>
                <w:color w:val="000000"/>
                <w:sz w:val="18"/>
                <w:szCs w:val="18"/>
              </w:rPr>
            </w:pPr>
            <w:r w:rsidRPr="001162D3">
              <w:rPr>
                <w:sz w:val="18"/>
                <w:szCs w:val="18"/>
              </w:rPr>
              <w:t>-0,70</w:t>
            </w:r>
          </w:p>
        </w:tc>
        <w:tc>
          <w:tcPr>
            <w:tcW w:w="903" w:type="dxa"/>
            <w:tcBorders>
              <w:top w:val="nil"/>
              <w:left w:val="nil"/>
              <w:bottom w:val="nil"/>
              <w:right w:val="nil"/>
            </w:tcBorders>
            <w:shd w:val="clear" w:color="auto" w:fill="auto"/>
            <w:noWrap/>
            <w:vAlign w:val="center"/>
            <w:hideMark/>
          </w:tcPr>
          <w:p w14:paraId="37B7B37E"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noWrap/>
            <w:vAlign w:val="center"/>
            <w:hideMark/>
          </w:tcPr>
          <w:p w14:paraId="1D6DA804"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noWrap/>
            <w:vAlign w:val="center"/>
            <w:hideMark/>
          </w:tcPr>
          <w:p w14:paraId="12D3609F"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noWrap/>
            <w:vAlign w:val="center"/>
            <w:hideMark/>
          </w:tcPr>
          <w:p w14:paraId="522E6BF5" w14:textId="77777777" w:rsidR="00D73008" w:rsidRPr="001162D3" w:rsidRDefault="00D73008" w:rsidP="00387AE5">
            <w:pPr>
              <w:jc w:val="center"/>
              <w:rPr>
                <w:rFonts w:cs="Times New Roman"/>
                <w:color w:val="000000"/>
                <w:sz w:val="18"/>
                <w:szCs w:val="18"/>
              </w:rPr>
            </w:pPr>
            <w:r w:rsidRPr="001162D3">
              <w:rPr>
                <w:sz w:val="18"/>
                <w:szCs w:val="18"/>
              </w:rPr>
              <w:t>0,00</w:t>
            </w:r>
          </w:p>
        </w:tc>
      </w:tr>
      <w:tr w:rsidR="00D73008" w:rsidRPr="001162D3" w14:paraId="749914B5" w14:textId="77777777" w:rsidTr="00387AE5">
        <w:trPr>
          <w:trHeight w:val="283"/>
        </w:trPr>
        <w:tc>
          <w:tcPr>
            <w:tcW w:w="2880" w:type="dxa"/>
            <w:tcBorders>
              <w:top w:val="nil"/>
              <w:left w:val="nil"/>
              <w:bottom w:val="single" w:sz="4" w:space="0" w:color="auto"/>
              <w:right w:val="nil"/>
            </w:tcBorders>
            <w:shd w:val="clear" w:color="000000" w:fill="FFFFFF"/>
            <w:vAlign w:val="center"/>
            <w:hideMark/>
          </w:tcPr>
          <w:p w14:paraId="7952B3E1"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Rozdiel</w:t>
            </w:r>
          </w:p>
        </w:tc>
        <w:tc>
          <w:tcPr>
            <w:tcW w:w="818" w:type="dxa"/>
            <w:tcBorders>
              <w:top w:val="nil"/>
              <w:left w:val="nil"/>
              <w:bottom w:val="single" w:sz="4" w:space="0" w:color="auto"/>
              <w:right w:val="nil"/>
            </w:tcBorders>
            <w:shd w:val="clear" w:color="000000" w:fill="FFFFFF"/>
            <w:vAlign w:val="center"/>
            <w:hideMark/>
          </w:tcPr>
          <w:p w14:paraId="74CBA490"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nil"/>
              <w:right w:val="nil"/>
            </w:tcBorders>
            <w:shd w:val="clear" w:color="auto" w:fill="auto"/>
            <w:vAlign w:val="center"/>
            <w:hideMark/>
          </w:tcPr>
          <w:p w14:paraId="437522D2" w14:textId="77777777" w:rsidR="00D73008" w:rsidRPr="001162D3" w:rsidRDefault="00D73008" w:rsidP="00387AE5">
            <w:pPr>
              <w:jc w:val="center"/>
              <w:rPr>
                <w:rFonts w:cs="Times New Roman"/>
                <w:color w:val="000000"/>
                <w:sz w:val="18"/>
                <w:szCs w:val="18"/>
              </w:rPr>
            </w:pPr>
            <w:r w:rsidRPr="001162D3">
              <w:rPr>
                <w:sz w:val="18"/>
                <w:szCs w:val="18"/>
              </w:rPr>
              <w:t>0,25</w:t>
            </w:r>
          </w:p>
        </w:tc>
        <w:tc>
          <w:tcPr>
            <w:tcW w:w="904" w:type="dxa"/>
            <w:tcBorders>
              <w:top w:val="nil"/>
              <w:left w:val="nil"/>
              <w:bottom w:val="nil"/>
              <w:right w:val="nil"/>
            </w:tcBorders>
            <w:shd w:val="clear" w:color="auto" w:fill="auto"/>
            <w:vAlign w:val="center"/>
            <w:hideMark/>
          </w:tcPr>
          <w:p w14:paraId="7FC5AB86" w14:textId="77777777" w:rsidR="00D73008" w:rsidRPr="001162D3" w:rsidRDefault="00D73008" w:rsidP="00387AE5">
            <w:pPr>
              <w:jc w:val="center"/>
              <w:rPr>
                <w:rFonts w:cs="Times New Roman"/>
                <w:color w:val="000000"/>
                <w:sz w:val="18"/>
                <w:szCs w:val="18"/>
              </w:rPr>
            </w:pPr>
            <w:r w:rsidRPr="001162D3">
              <w:rPr>
                <w:sz w:val="18"/>
                <w:szCs w:val="18"/>
              </w:rPr>
              <w:t>0,10</w:t>
            </w:r>
          </w:p>
        </w:tc>
        <w:tc>
          <w:tcPr>
            <w:tcW w:w="903" w:type="dxa"/>
            <w:tcBorders>
              <w:top w:val="nil"/>
              <w:left w:val="nil"/>
              <w:bottom w:val="nil"/>
              <w:right w:val="nil"/>
            </w:tcBorders>
            <w:shd w:val="clear" w:color="auto" w:fill="auto"/>
            <w:vAlign w:val="center"/>
            <w:hideMark/>
          </w:tcPr>
          <w:p w14:paraId="5D5240B1" w14:textId="77777777" w:rsidR="00D73008" w:rsidRPr="001162D3" w:rsidRDefault="00D73008" w:rsidP="00387AE5">
            <w:pPr>
              <w:jc w:val="center"/>
              <w:rPr>
                <w:rFonts w:cs="Times New Roman"/>
                <w:color w:val="000000"/>
                <w:sz w:val="18"/>
                <w:szCs w:val="18"/>
              </w:rPr>
            </w:pPr>
            <w:r w:rsidRPr="001162D3">
              <w:rPr>
                <w:sz w:val="18"/>
                <w:szCs w:val="18"/>
              </w:rPr>
              <w:t>0,32</w:t>
            </w:r>
          </w:p>
        </w:tc>
        <w:tc>
          <w:tcPr>
            <w:tcW w:w="903" w:type="dxa"/>
            <w:tcBorders>
              <w:top w:val="nil"/>
              <w:left w:val="nil"/>
              <w:bottom w:val="nil"/>
              <w:right w:val="nil"/>
            </w:tcBorders>
            <w:shd w:val="clear" w:color="auto" w:fill="auto"/>
            <w:vAlign w:val="center"/>
            <w:hideMark/>
          </w:tcPr>
          <w:p w14:paraId="3788C0CF"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vAlign w:val="center"/>
            <w:hideMark/>
          </w:tcPr>
          <w:p w14:paraId="14599E5E" w14:textId="77777777" w:rsidR="00D73008" w:rsidRPr="001162D3" w:rsidRDefault="00D73008" w:rsidP="00387AE5">
            <w:pPr>
              <w:jc w:val="center"/>
              <w:rPr>
                <w:rFonts w:cs="Times New Roman"/>
                <w:color w:val="000000"/>
                <w:sz w:val="18"/>
                <w:szCs w:val="18"/>
              </w:rPr>
            </w:pPr>
            <w:r w:rsidRPr="001162D3">
              <w:rPr>
                <w:sz w:val="18"/>
                <w:szCs w:val="18"/>
              </w:rPr>
              <w:t>0,00</w:t>
            </w:r>
          </w:p>
        </w:tc>
        <w:tc>
          <w:tcPr>
            <w:tcW w:w="903" w:type="dxa"/>
            <w:tcBorders>
              <w:top w:val="nil"/>
              <w:left w:val="nil"/>
              <w:bottom w:val="nil"/>
              <w:right w:val="nil"/>
            </w:tcBorders>
            <w:shd w:val="clear" w:color="auto" w:fill="auto"/>
            <w:vAlign w:val="center"/>
            <w:hideMark/>
          </w:tcPr>
          <w:p w14:paraId="4D1D3578" w14:textId="77777777" w:rsidR="00D73008" w:rsidRPr="001162D3" w:rsidRDefault="00D73008" w:rsidP="00387AE5">
            <w:pPr>
              <w:jc w:val="center"/>
              <w:rPr>
                <w:rFonts w:cs="Times New Roman"/>
                <w:color w:val="000000"/>
                <w:sz w:val="18"/>
                <w:szCs w:val="18"/>
              </w:rPr>
            </w:pPr>
            <w:r w:rsidRPr="001162D3">
              <w:rPr>
                <w:sz w:val="18"/>
                <w:szCs w:val="18"/>
              </w:rPr>
              <w:t>-</w:t>
            </w:r>
          </w:p>
        </w:tc>
      </w:tr>
      <w:tr w:rsidR="00D73008" w:rsidRPr="001162D3" w14:paraId="15857EDE" w14:textId="77777777" w:rsidTr="00387AE5">
        <w:trPr>
          <w:trHeight w:val="283"/>
        </w:trPr>
        <w:tc>
          <w:tcPr>
            <w:tcW w:w="2880" w:type="dxa"/>
            <w:tcBorders>
              <w:top w:val="nil"/>
              <w:left w:val="nil"/>
              <w:bottom w:val="nil"/>
              <w:right w:val="nil"/>
            </w:tcBorders>
            <w:shd w:val="clear" w:color="000000" w:fill="FFFFFF"/>
            <w:vAlign w:val="center"/>
            <w:hideMark/>
          </w:tcPr>
          <w:p w14:paraId="2FBC54F9" w14:textId="77777777" w:rsidR="00D73008" w:rsidRPr="001162D3" w:rsidRDefault="00D73008" w:rsidP="00387AE5">
            <w:pPr>
              <w:rPr>
                <w:rFonts w:cs="Times New Roman"/>
                <w:b/>
                <w:bCs/>
                <w:color w:val="000000"/>
                <w:sz w:val="18"/>
                <w:szCs w:val="18"/>
              </w:rPr>
            </w:pPr>
            <w:r w:rsidRPr="001162D3">
              <w:rPr>
                <w:rFonts w:cs="Times New Roman"/>
                <w:b/>
                <w:bCs/>
                <w:color w:val="000000"/>
                <w:sz w:val="18"/>
                <w:szCs w:val="18"/>
              </w:rPr>
              <w:t>Hrubý dlh verejnej správy (% HDP)</w:t>
            </w:r>
          </w:p>
        </w:tc>
        <w:tc>
          <w:tcPr>
            <w:tcW w:w="818" w:type="dxa"/>
            <w:tcBorders>
              <w:top w:val="nil"/>
              <w:left w:val="nil"/>
              <w:bottom w:val="nil"/>
              <w:right w:val="nil"/>
            </w:tcBorders>
            <w:shd w:val="clear" w:color="000000" w:fill="FFFFFF"/>
            <w:vAlign w:val="center"/>
            <w:hideMark/>
          </w:tcPr>
          <w:p w14:paraId="6714999D"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 </w:t>
            </w:r>
          </w:p>
        </w:tc>
        <w:tc>
          <w:tcPr>
            <w:tcW w:w="886" w:type="dxa"/>
            <w:tcBorders>
              <w:top w:val="single" w:sz="4" w:space="0" w:color="auto"/>
              <w:left w:val="nil"/>
              <w:bottom w:val="nil"/>
              <w:right w:val="nil"/>
            </w:tcBorders>
            <w:shd w:val="clear" w:color="auto" w:fill="auto"/>
            <w:vAlign w:val="center"/>
            <w:hideMark/>
          </w:tcPr>
          <w:p w14:paraId="1C560EFA" w14:textId="77777777" w:rsidR="00D73008" w:rsidRPr="001162D3" w:rsidRDefault="00D73008" w:rsidP="00387AE5">
            <w:pPr>
              <w:jc w:val="center"/>
              <w:rPr>
                <w:rFonts w:cs="Times New Roman"/>
                <w:color w:val="000000"/>
                <w:sz w:val="18"/>
                <w:szCs w:val="18"/>
              </w:rPr>
            </w:pPr>
          </w:p>
        </w:tc>
        <w:tc>
          <w:tcPr>
            <w:tcW w:w="904" w:type="dxa"/>
            <w:tcBorders>
              <w:top w:val="single" w:sz="4" w:space="0" w:color="auto"/>
              <w:left w:val="nil"/>
              <w:bottom w:val="nil"/>
              <w:right w:val="nil"/>
            </w:tcBorders>
            <w:shd w:val="clear" w:color="auto" w:fill="auto"/>
            <w:vAlign w:val="center"/>
            <w:hideMark/>
          </w:tcPr>
          <w:p w14:paraId="2C8958B9"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vAlign w:val="center"/>
            <w:hideMark/>
          </w:tcPr>
          <w:p w14:paraId="2C1D8B1F"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noWrap/>
            <w:vAlign w:val="center"/>
            <w:hideMark/>
          </w:tcPr>
          <w:p w14:paraId="046EFCE8"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noWrap/>
            <w:vAlign w:val="center"/>
            <w:hideMark/>
          </w:tcPr>
          <w:p w14:paraId="30E8FF30" w14:textId="77777777" w:rsidR="00D73008" w:rsidRPr="001162D3" w:rsidRDefault="00D73008" w:rsidP="00387AE5">
            <w:pPr>
              <w:jc w:val="center"/>
              <w:rPr>
                <w:rFonts w:cs="Times New Roman"/>
                <w:color w:val="000000"/>
                <w:sz w:val="18"/>
                <w:szCs w:val="18"/>
              </w:rPr>
            </w:pPr>
          </w:p>
        </w:tc>
        <w:tc>
          <w:tcPr>
            <w:tcW w:w="903" w:type="dxa"/>
            <w:tcBorders>
              <w:top w:val="single" w:sz="4" w:space="0" w:color="auto"/>
              <w:left w:val="nil"/>
              <w:bottom w:val="nil"/>
              <w:right w:val="nil"/>
            </w:tcBorders>
            <w:shd w:val="clear" w:color="auto" w:fill="auto"/>
            <w:noWrap/>
            <w:vAlign w:val="center"/>
            <w:hideMark/>
          </w:tcPr>
          <w:p w14:paraId="7592A309" w14:textId="77777777" w:rsidR="00D73008" w:rsidRPr="001162D3" w:rsidRDefault="00D73008" w:rsidP="00387AE5">
            <w:pPr>
              <w:jc w:val="center"/>
              <w:rPr>
                <w:rFonts w:cs="Times New Roman"/>
                <w:color w:val="000000"/>
                <w:sz w:val="18"/>
                <w:szCs w:val="18"/>
              </w:rPr>
            </w:pPr>
          </w:p>
        </w:tc>
      </w:tr>
      <w:tr w:rsidR="00D73008" w:rsidRPr="001162D3" w14:paraId="1798543E" w14:textId="77777777" w:rsidTr="00387AE5">
        <w:trPr>
          <w:trHeight w:val="283"/>
        </w:trPr>
        <w:tc>
          <w:tcPr>
            <w:tcW w:w="2880" w:type="dxa"/>
            <w:tcBorders>
              <w:top w:val="nil"/>
              <w:left w:val="nil"/>
              <w:bottom w:val="nil"/>
              <w:right w:val="nil"/>
            </w:tcBorders>
            <w:shd w:val="clear" w:color="000000" w:fill="FFFFFF"/>
            <w:vAlign w:val="center"/>
            <w:hideMark/>
          </w:tcPr>
          <w:p w14:paraId="3D60C205"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Predchádzajúca aktualizácia*</w:t>
            </w:r>
          </w:p>
        </w:tc>
        <w:tc>
          <w:tcPr>
            <w:tcW w:w="818" w:type="dxa"/>
            <w:tcBorders>
              <w:top w:val="nil"/>
              <w:left w:val="nil"/>
              <w:bottom w:val="nil"/>
              <w:right w:val="nil"/>
            </w:tcBorders>
            <w:shd w:val="clear" w:color="000000" w:fill="FFFFFF"/>
            <w:noWrap/>
            <w:vAlign w:val="center"/>
            <w:hideMark/>
          </w:tcPr>
          <w:p w14:paraId="44001C92"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nil"/>
              <w:right w:val="nil"/>
            </w:tcBorders>
            <w:shd w:val="clear" w:color="auto" w:fill="auto"/>
            <w:noWrap/>
            <w:vAlign w:val="center"/>
            <w:hideMark/>
          </w:tcPr>
          <w:p w14:paraId="5354F650" w14:textId="77777777" w:rsidR="00D73008" w:rsidRPr="001162D3" w:rsidRDefault="00D73008" w:rsidP="00387AE5">
            <w:pPr>
              <w:jc w:val="center"/>
              <w:rPr>
                <w:rFonts w:cs="Times New Roman"/>
                <w:color w:val="000000"/>
                <w:sz w:val="18"/>
                <w:szCs w:val="18"/>
              </w:rPr>
            </w:pPr>
            <w:r w:rsidRPr="001162D3">
              <w:rPr>
                <w:sz w:val="18"/>
                <w:szCs w:val="18"/>
              </w:rPr>
              <w:t>50,9</w:t>
            </w:r>
          </w:p>
        </w:tc>
        <w:tc>
          <w:tcPr>
            <w:tcW w:w="904" w:type="dxa"/>
            <w:tcBorders>
              <w:top w:val="nil"/>
              <w:left w:val="nil"/>
              <w:bottom w:val="nil"/>
              <w:right w:val="nil"/>
            </w:tcBorders>
            <w:shd w:val="clear" w:color="auto" w:fill="auto"/>
            <w:noWrap/>
            <w:vAlign w:val="center"/>
            <w:hideMark/>
          </w:tcPr>
          <w:p w14:paraId="7D7A3CC4" w14:textId="77777777" w:rsidR="00D73008" w:rsidRPr="001162D3" w:rsidRDefault="00D73008" w:rsidP="00387AE5">
            <w:pPr>
              <w:jc w:val="center"/>
              <w:rPr>
                <w:rFonts w:cs="Times New Roman"/>
                <w:color w:val="000000"/>
                <w:sz w:val="18"/>
                <w:szCs w:val="18"/>
              </w:rPr>
            </w:pPr>
            <w:r w:rsidRPr="001162D3">
              <w:rPr>
                <w:sz w:val="18"/>
                <w:szCs w:val="18"/>
              </w:rPr>
              <w:t>49,3</w:t>
            </w:r>
          </w:p>
        </w:tc>
        <w:tc>
          <w:tcPr>
            <w:tcW w:w="903" w:type="dxa"/>
            <w:tcBorders>
              <w:top w:val="nil"/>
              <w:left w:val="nil"/>
              <w:bottom w:val="nil"/>
              <w:right w:val="nil"/>
            </w:tcBorders>
            <w:shd w:val="clear" w:color="auto" w:fill="auto"/>
            <w:noWrap/>
            <w:vAlign w:val="center"/>
            <w:hideMark/>
          </w:tcPr>
          <w:p w14:paraId="557A2602" w14:textId="77777777" w:rsidR="00D73008" w:rsidRPr="001162D3" w:rsidRDefault="00D73008" w:rsidP="00387AE5">
            <w:pPr>
              <w:jc w:val="center"/>
              <w:rPr>
                <w:rFonts w:cs="Times New Roman"/>
                <w:color w:val="000000"/>
                <w:sz w:val="18"/>
                <w:szCs w:val="18"/>
              </w:rPr>
            </w:pPr>
            <w:r w:rsidRPr="001162D3">
              <w:rPr>
                <w:sz w:val="18"/>
                <w:szCs w:val="18"/>
              </w:rPr>
              <w:t>46,5</w:t>
            </w:r>
          </w:p>
        </w:tc>
        <w:tc>
          <w:tcPr>
            <w:tcW w:w="903" w:type="dxa"/>
            <w:tcBorders>
              <w:top w:val="nil"/>
              <w:left w:val="nil"/>
              <w:bottom w:val="nil"/>
              <w:right w:val="nil"/>
            </w:tcBorders>
            <w:shd w:val="clear" w:color="auto" w:fill="auto"/>
            <w:noWrap/>
            <w:vAlign w:val="center"/>
            <w:hideMark/>
          </w:tcPr>
          <w:p w14:paraId="4A110FD7" w14:textId="77777777" w:rsidR="00D73008" w:rsidRPr="001162D3" w:rsidRDefault="00D73008" w:rsidP="00387AE5">
            <w:pPr>
              <w:jc w:val="center"/>
              <w:rPr>
                <w:rFonts w:cs="Times New Roman"/>
                <w:color w:val="000000"/>
                <w:sz w:val="18"/>
                <w:szCs w:val="18"/>
              </w:rPr>
            </w:pPr>
            <w:r w:rsidRPr="001162D3">
              <w:rPr>
                <w:sz w:val="18"/>
                <w:szCs w:val="18"/>
              </w:rPr>
              <w:t>44,9</w:t>
            </w:r>
          </w:p>
        </w:tc>
        <w:tc>
          <w:tcPr>
            <w:tcW w:w="903" w:type="dxa"/>
            <w:tcBorders>
              <w:top w:val="nil"/>
              <w:left w:val="nil"/>
              <w:bottom w:val="nil"/>
              <w:right w:val="nil"/>
            </w:tcBorders>
            <w:shd w:val="clear" w:color="auto" w:fill="auto"/>
            <w:noWrap/>
            <w:vAlign w:val="center"/>
            <w:hideMark/>
          </w:tcPr>
          <w:p w14:paraId="0B998147" w14:textId="77777777" w:rsidR="00D73008" w:rsidRPr="001162D3" w:rsidRDefault="00D73008" w:rsidP="00387AE5">
            <w:pPr>
              <w:jc w:val="center"/>
              <w:rPr>
                <w:rFonts w:cs="Times New Roman"/>
                <w:color w:val="000000"/>
                <w:sz w:val="18"/>
                <w:szCs w:val="18"/>
              </w:rPr>
            </w:pPr>
            <w:r w:rsidRPr="001162D3">
              <w:rPr>
                <w:sz w:val="18"/>
                <w:szCs w:val="18"/>
              </w:rPr>
              <w:t>43,3</w:t>
            </w:r>
          </w:p>
        </w:tc>
        <w:tc>
          <w:tcPr>
            <w:tcW w:w="903" w:type="dxa"/>
            <w:tcBorders>
              <w:top w:val="nil"/>
              <w:left w:val="nil"/>
              <w:bottom w:val="nil"/>
              <w:right w:val="nil"/>
            </w:tcBorders>
            <w:shd w:val="clear" w:color="auto" w:fill="auto"/>
            <w:vAlign w:val="center"/>
            <w:hideMark/>
          </w:tcPr>
          <w:p w14:paraId="1B012FED" w14:textId="77777777" w:rsidR="00D73008" w:rsidRPr="001162D3" w:rsidRDefault="00D73008" w:rsidP="00387AE5">
            <w:pPr>
              <w:jc w:val="center"/>
              <w:rPr>
                <w:rFonts w:cs="Times New Roman"/>
                <w:color w:val="000000"/>
                <w:sz w:val="18"/>
                <w:szCs w:val="18"/>
              </w:rPr>
            </w:pPr>
            <w:r w:rsidRPr="001162D3">
              <w:rPr>
                <w:sz w:val="18"/>
                <w:szCs w:val="18"/>
              </w:rPr>
              <w:t>-</w:t>
            </w:r>
          </w:p>
        </w:tc>
      </w:tr>
      <w:tr w:rsidR="00D73008" w:rsidRPr="001162D3" w14:paraId="0F150FC9" w14:textId="77777777" w:rsidTr="00387AE5">
        <w:trPr>
          <w:trHeight w:val="283"/>
        </w:trPr>
        <w:tc>
          <w:tcPr>
            <w:tcW w:w="2880" w:type="dxa"/>
            <w:tcBorders>
              <w:top w:val="nil"/>
              <w:left w:val="nil"/>
              <w:right w:val="nil"/>
            </w:tcBorders>
            <w:shd w:val="clear" w:color="000000" w:fill="FFFFFF"/>
            <w:vAlign w:val="center"/>
            <w:hideMark/>
          </w:tcPr>
          <w:p w14:paraId="49E48A64"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Skutočnosť a súčasná aktualizácia**</w:t>
            </w:r>
          </w:p>
        </w:tc>
        <w:tc>
          <w:tcPr>
            <w:tcW w:w="818" w:type="dxa"/>
            <w:tcBorders>
              <w:top w:val="nil"/>
              <w:left w:val="nil"/>
              <w:right w:val="nil"/>
            </w:tcBorders>
            <w:shd w:val="clear" w:color="000000" w:fill="FFFFFF"/>
            <w:noWrap/>
            <w:vAlign w:val="center"/>
            <w:hideMark/>
          </w:tcPr>
          <w:p w14:paraId="5F9DFD30"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nil"/>
              <w:right w:val="nil"/>
            </w:tcBorders>
            <w:shd w:val="clear" w:color="auto" w:fill="auto"/>
            <w:noWrap/>
            <w:vAlign w:val="center"/>
            <w:hideMark/>
          </w:tcPr>
          <w:p w14:paraId="4B06F2A1" w14:textId="77777777" w:rsidR="00D73008" w:rsidRPr="001162D3" w:rsidRDefault="00D73008" w:rsidP="00387AE5">
            <w:pPr>
              <w:jc w:val="center"/>
              <w:rPr>
                <w:rFonts w:cs="Times New Roman"/>
                <w:color w:val="000000"/>
                <w:sz w:val="18"/>
                <w:szCs w:val="18"/>
              </w:rPr>
            </w:pPr>
            <w:r w:rsidRPr="001162D3">
              <w:rPr>
                <w:sz w:val="18"/>
                <w:szCs w:val="18"/>
              </w:rPr>
              <w:t>50,9</w:t>
            </w:r>
          </w:p>
        </w:tc>
        <w:tc>
          <w:tcPr>
            <w:tcW w:w="904" w:type="dxa"/>
            <w:tcBorders>
              <w:top w:val="nil"/>
              <w:left w:val="nil"/>
              <w:bottom w:val="nil"/>
              <w:right w:val="nil"/>
            </w:tcBorders>
            <w:shd w:val="clear" w:color="auto" w:fill="auto"/>
            <w:noWrap/>
            <w:vAlign w:val="center"/>
            <w:hideMark/>
          </w:tcPr>
          <w:p w14:paraId="6496DC4F" w14:textId="77777777" w:rsidR="00D73008" w:rsidRPr="001162D3" w:rsidRDefault="00D73008" w:rsidP="00387AE5">
            <w:pPr>
              <w:jc w:val="center"/>
              <w:rPr>
                <w:rFonts w:cs="Times New Roman"/>
                <w:color w:val="000000"/>
                <w:sz w:val="18"/>
                <w:szCs w:val="18"/>
              </w:rPr>
            </w:pPr>
            <w:r w:rsidRPr="001162D3">
              <w:rPr>
                <w:sz w:val="18"/>
                <w:szCs w:val="18"/>
              </w:rPr>
              <w:t>48,9</w:t>
            </w:r>
          </w:p>
        </w:tc>
        <w:tc>
          <w:tcPr>
            <w:tcW w:w="903" w:type="dxa"/>
            <w:tcBorders>
              <w:top w:val="nil"/>
              <w:left w:val="nil"/>
              <w:bottom w:val="nil"/>
              <w:right w:val="nil"/>
            </w:tcBorders>
            <w:shd w:val="clear" w:color="auto" w:fill="auto"/>
            <w:noWrap/>
            <w:vAlign w:val="center"/>
            <w:hideMark/>
          </w:tcPr>
          <w:p w14:paraId="0A8EAA07" w14:textId="77777777" w:rsidR="00D73008" w:rsidRPr="001162D3" w:rsidRDefault="00D73008" w:rsidP="00387AE5">
            <w:pPr>
              <w:jc w:val="center"/>
              <w:rPr>
                <w:rFonts w:cs="Times New Roman"/>
                <w:color w:val="000000"/>
                <w:sz w:val="18"/>
                <w:szCs w:val="18"/>
              </w:rPr>
            </w:pPr>
            <w:r w:rsidRPr="001162D3">
              <w:rPr>
                <w:sz w:val="18"/>
                <w:szCs w:val="18"/>
              </w:rPr>
              <w:t>47,5</w:t>
            </w:r>
          </w:p>
        </w:tc>
        <w:tc>
          <w:tcPr>
            <w:tcW w:w="903" w:type="dxa"/>
            <w:tcBorders>
              <w:top w:val="nil"/>
              <w:left w:val="nil"/>
              <w:bottom w:val="nil"/>
              <w:right w:val="nil"/>
            </w:tcBorders>
            <w:shd w:val="clear" w:color="auto" w:fill="auto"/>
            <w:noWrap/>
            <w:vAlign w:val="center"/>
            <w:hideMark/>
          </w:tcPr>
          <w:p w14:paraId="1E1D9487" w14:textId="77777777" w:rsidR="00D73008" w:rsidRPr="001162D3" w:rsidRDefault="00D73008" w:rsidP="00387AE5">
            <w:pPr>
              <w:jc w:val="center"/>
              <w:rPr>
                <w:rFonts w:cs="Times New Roman"/>
                <w:color w:val="000000"/>
                <w:sz w:val="18"/>
                <w:szCs w:val="18"/>
              </w:rPr>
            </w:pPr>
            <w:r w:rsidRPr="001162D3">
              <w:rPr>
                <w:sz w:val="18"/>
                <w:szCs w:val="18"/>
              </w:rPr>
              <w:t>45,9</w:t>
            </w:r>
          </w:p>
        </w:tc>
        <w:tc>
          <w:tcPr>
            <w:tcW w:w="903" w:type="dxa"/>
            <w:tcBorders>
              <w:top w:val="nil"/>
              <w:left w:val="nil"/>
              <w:bottom w:val="nil"/>
              <w:right w:val="nil"/>
            </w:tcBorders>
            <w:shd w:val="clear" w:color="auto" w:fill="auto"/>
            <w:noWrap/>
            <w:vAlign w:val="center"/>
            <w:hideMark/>
          </w:tcPr>
          <w:p w14:paraId="6FD7CB8B" w14:textId="77777777" w:rsidR="00D73008" w:rsidRPr="001162D3" w:rsidRDefault="00D73008" w:rsidP="00387AE5">
            <w:pPr>
              <w:jc w:val="center"/>
              <w:rPr>
                <w:rFonts w:cs="Times New Roman"/>
                <w:color w:val="000000"/>
                <w:sz w:val="18"/>
                <w:szCs w:val="18"/>
              </w:rPr>
            </w:pPr>
            <w:r w:rsidRPr="001162D3">
              <w:rPr>
                <w:sz w:val="18"/>
                <w:szCs w:val="18"/>
              </w:rPr>
              <w:t>44,9</w:t>
            </w:r>
          </w:p>
        </w:tc>
        <w:tc>
          <w:tcPr>
            <w:tcW w:w="903" w:type="dxa"/>
            <w:tcBorders>
              <w:top w:val="nil"/>
              <w:left w:val="nil"/>
              <w:bottom w:val="nil"/>
              <w:right w:val="nil"/>
            </w:tcBorders>
            <w:shd w:val="clear" w:color="auto" w:fill="auto"/>
            <w:noWrap/>
            <w:vAlign w:val="center"/>
            <w:hideMark/>
          </w:tcPr>
          <w:p w14:paraId="44A87ECB" w14:textId="77777777" w:rsidR="00D73008" w:rsidRPr="001162D3" w:rsidRDefault="00D73008" w:rsidP="00387AE5">
            <w:pPr>
              <w:jc w:val="center"/>
              <w:rPr>
                <w:rFonts w:cs="Times New Roman"/>
                <w:color w:val="000000"/>
                <w:sz w:val="18"/>
                <w:szCs w:val="18"/>
              </w:rPr>
            </w:pPr>
            <w:r w:rsidRPr="001162D3">
              <w:rPr>
                <w:sz w:val="18"/>
                <w:szCs w:val="18"/>
              </w:rPr>
              <w:t>44,4</w:t>
            </w:r>
          </w:p>
        </w:tc>
      </w:tr>
      <w:tr w:rsidR="00D73008" w:rsidRPr="001162D3" w14:paraId="784CC78A" w14:textId="77777777" w:rsidTr="00387AE5">
        <w:trPr>
          <w:trHeight w:val="283"/>
        </w:trPr>
        <w:tc>
          <w:tcPr>
            <w:tcW w:w="2880" w:type="dxa"/>
            <w:tcBorders>
              <w:top w:val="nil"/>
              <w:left w:val="nil"/>
              <w:bottom w:val="single" w:sz="8" w:space="0" w:color="auto"/>
              <w:right w:val="nil"/>
            </w:tcBorders>
            <w:shd w:val="clear" w:color="000000" w:fill="FFFFFF"/>
            <w:vAlign w:val="center"/>
            <w:hideMark/>
          </w:tcPr>
          <w:p w14:paraId="360B43EC" w14:textId="77777777" w:rsidR="00D73008" w:rsidRPr="001162D3" w:rsidRDefault="00D73008" w:rsidP="00387AE5">
            <w:pPr>
              <w:ind w:firstLineChars="100" w:firstLine="180"/>
              <w:rPr>
                <w:rFonts w:cs="Times New Roman"/>
                <w:color w:val="000000"/>
                <w:sz w:val="18"/>
                <w:szCs w:val="18"/>
              </w:rPr>
            </w:pPr>
            <w:r w:rsidRPr="001162D3">
              <w:rPr>
                <w:rFonts w:cs="Times New Roman"/>
                <w:color w:val="000000"/>
                <w:sz w:val="18"/>
                <w:szCs w:val="18"/>
              </w:rPr>
              <w:t>Rozdiel</w:t>
            </w:r>
          </w:p>
        </w:tc>
        <w:tc>
          <w:tcPr>
            <w:tcW w:w="818" w:type="dxa"/>
            <w:tcBorders>
              <w:top w:val="nil"/>
              <w:left w:val="nil"/>
              <w:bottom w:val="single" w:sz="8" w:space="0" w:color="auto"/>
              <w:right w:val="nil"/>
            </w:tcBorders>
            <w:shd w:val="clear" w:color="000000" w:fill="FFFFFF"/>
            <w:vAlign w:val="center"/>
            <w:hideMark/>
          </w:tcPr>
          <w:p w14:paraId="69398D86" w14:textId="77777777" w:rsidR="00D73008" w:rsidRPr="001162D3" w:rsidRDefault="00D73008" w:rsidP="00387AE5">
            <w:pPr>
              <w:jc w:val="center"/>
              <w:rPr>
                <w:rFonts w:cs="Times New Roman"/>
                <w:color w:val="000000"/>
                <w:sz w:val="18"/>
                <w:szCs w:val="18"/>
              </w:rPr>
            </w:pPr>
            <w:r w:rsidRPr="001162D3">
              <w:rPr>
                <w:rFonts w:cs="Times New Roman"/>
                <w:color w:val="000000"/>
                <w:sz w:val="18"/>
                <w:szCs w:val="18"/>
              </w:rPr>
              <w:t> </w:t>
            </w:r>
          </w:p>
        </w:tc>
        <w:tc>
          <w:tcPr>
            <w:tcW w:w="886" w:type="dxa"/>
            <w:tcBorders>
              <w:top w:val="nil"/>
              <w:left w:val="nil"/>
              <w:bottom w:val="single" w:sz="4" w:space="0" w:color="auto"/>
              <w:right w:val="nil"/>
            </w:tcBorders>
            <w:shd w:val="clear" w:color="auto" w:fill="auto"/>
            <w:vAlign w:val="center"/>
            <w:hideMark/>
          </w:tcPr>
          <w:p w14:paraId="5FF730E2" w14:textId="77777777" w:rsidR="00D73008" w:rsidRPr="001162D3" w:rsidRDefault="00D73008" w:rsidP="00387AE5">
            <w:pPr>
              <w:jc w:val="center"/>
              <w:rPr>
                <w:rFonts w:cs="Times New Roman"/>
                <w:color w:val="000000"/>
                <w:sz w:val="18"/>
                <w:szCs w:val="18"/>
              </w:rPr>
            </w:pPr>
            <w:r w:rsidRPr="001162D3">
              <w:rPr>
                <w:sz w:val="18"/>
                <w:szCs w:val="18"/>
              </w:rPr>
              <w:t>0,0</w:t>
            </w:r>
          </w:p>
        </w:tc>
        <w:tc>
          <w:tcPr>
            <w:tcW w:w="904" w:type="dxa"/>
            <w:tcBorders>
              <w:top w:val="nil"/>
              <w:left w:val="nil"/>
              <w:bottom w:val="single" w:sz="4" w:space="0" w:color="auto"/>
              <w:right w:val="nil"/>
            </w:tcBorders>
            <w:shd w:val="clear" w:color="auto" w:fill="auto"/>
            <w:vAlign w:val="center"/>
            <w:hideMark/>
          </w:tcPr>
          <w:p w14:paraId="291B3AD3" w14:textId="77777777" w:rsidR="00D73008" w:rsidRPr="001162D3" w:rsidRDefault="00D73008" w:rsidP="00387AE5">
            <w:pPr>
              <w:jc w:val="center"/>
              <w:rPr>
                <w:rFonts w:cs="Times New Roman"/>
                <w:color w:val="000000"/>
                <w:sz w:val="18"/>
                <w:szCs w:val="18"/>
              </w:rPr>
            </w:pPr>
            <w:r w:rsidRPr="001162D3">
              <w:rPr>
                <w:sz w:val="18"/>
                <w:szCs w:val="18"/>
              </w:rPr>
              <w:t>-0,4</w:t>
            </w:r>
          </w:p>
        </w:tc>
        <w:tc>
          <w:tcPr>
            <w:tcW w:w="903" w:type="dxa"/>
            <w:tcBorders>
              <w:top w:val="nil"/>
              <w:left w:val="nil"/>
              <w:bottom w:val="single" w:sz="4" w:space="0" w:color="auto"/>
              <w:right w:val="nil"/>
            </w:tcBorders>
            <w:shd w:val="clear" w:color="auto" w:fill="auto"/>
            <w:vAlign w:val="center"/>
            <w:hideMark/>
          </w:tcPr>
          <w:p w14:paraId="14AC79A3" w14:textId="77777777" w:rsidR="00D73008" w:rsidRPr="001162D3" w:rsidRDefault="00D73008" w:rsidP="00387AE5">
            <w:pPr>
              <w:jc w:val="center"/>
              <w:rPr>
                <w:rFonts w:cs="Times New Roman"/>
                <w:color w:val="000000"/>
                <w:sz w:val="18"/>
                <w:szCs w:val="18"/>
              </w:rPr>
            </w:pPr>
            <w:r w:rsidRPr="001162D3">
              <w:rPr>
                <w:sz w:val="18"/>
                <w:szCs w:val="18"/>
              </w:rPr>
              <w:t>1,0</w:t>
            </w:r>
          </w:p>
        </w:tc>
        <w:tc>
          <w:tcPr>
            <w:tcW w:w="903" w:type="dxa"/>
            <w:tcBorders>
              <w:top w:val="nil"/>
              <w:left w:val="nil"/>
              <w:bottom w:val="single" w:sz="4" w:space="0" w:color="auto"/>
              <w:right w:val="nil"/>
            </w:tcBorders>
            <w:shd w:val="clear" w:color="auto" w:fill="auto"/>
            <w:vAlign w:val="center"/>
            <w:hideMark/>
          </w:tcPr>
          <w:p w14:paraId="37C3128B" w14:textId="77777777" w:rsidR="00D73008" w:rsidRPr="001162D3" w:rsidRDefault="00D73008" w:rsidP="00387AE5">
            <w:pPr>
              <w:jc w:val="center"/>
              <w:rPr>
                <w:rFonts w:cs="Times New Roman"/>
                <w:color w:val="000000"/>
                <w:sz w:val="18"/>
                <w:szCs w:val="18"/>
              </w:rPr>
            </w:pPr>
            <w:r w:rsidRPr="001162D3">
              <w:rPr>
                <w:sz w:val="18"/>
                <w:szCs w:val="18"/>
              </w:rPr>
              <w:t>1,0</w:t>
            </w:r>
          </w:p>
        </w:tc>
        <w:tc>
          <w:tcPr>
            <w:tcW w:w="903" w:type="dxa"/>
            <w:tcBorders>
              <w:top w:val="nil"/>
              <w:left w:val="nil"/>
              <w:bottom w:val="single" w:sz="4" w:space="0" w:color="auto"/>
              <w:right w:val="nil"/>
            </w:tcBorders>
            <w:shd w:val="clear" w:color="auto" w:fill="auto"/>
            <w:vAlign w:val="center"/>
            <w:hideMark/>
          </w:tcPr>
          <w:p w14:paraId="51AB3E67" w14:textId="77777777" w:rsidR="00D73008" w:rsidRPr="001162D3" w:rsidRDefault="00D73008" w:rsidP="00387AE5">
            <w:pPr>
              <w:jc w:val="center"/>
              <w:rPr>
                <w:rFonts w:cs="Times New Roman"/>
                <w:color w:val="000000"/>
                <w:sz w:val="18"/>
                <w:szCs w:val="18"/>
              </w:rPr>
            </w:pPr>
            <w:r w:rsidRPr="001162D3">
              <w:rPr>
                <w:sz w:val="18"/>
                <w:szCs w:val="18"/>
              </w:rPr>
              <w:t>1,6</w:t>
            </w:r>
          </w:p>
        </w:tc>
        <w:tc>
          <w:tcPr>
            <w:tcW w:w="903" w:type="dxa"/>
            <w:tcBorders>
              <w:top w:val="nil"/>
              <w:left w:val="nil"/>
              <w:bottom w:val="nil"/>
              <w:right w:val="nil"/>
            </w:tcBorders>
            <w:shd w:val="clear" w:color="auto" w:fill="auto"/>
            <w:vAlign w:val="center"/>
            <w:hideMark/>
          </w:tcPr>
          <w:p w14:paraId="3185E271" w14:textId="77777777" w:rsidR="00D73008" w:rsidRPr="001162D3" w:rsidRDefault="00D73008" w:rsidP="00387AE5">
            <w:pPr>
              <w:jc w:val="center"/>
              <w:rPr>
                <w:rFonts w:cs="Times New Roman"/>
                <w:color w:val="000000"/>
                <w:sz w:val="18"/>
                <w:szCs w:val="18"/>
              </w:rPr>
            </w:pPr>
            <w:r w:rsidRPr="001162D3">
              <w:rPr>
                <w:sz w:val="18"/>
                <w:szCs w:val="18"/>
              </w:rPr>
              <w:t>-</w:t>
            </w:r>
          </w:p>
        </w:tc>
      </w:tr>
      <w:tr w:rsidR="00D73008" w:rsidRPr="001162D3" w14:paraId="17A05D70" w14:textId="77777777" w:rsidTr="00387AE5">
        <w:trPr>
          <w:trHeight w:val="283"/>
        </w:trPr>
        <w:tc>
          <w:tcPr>
            <w:tcW w:w="4584" w:type="dxa"/>
            <w:gridSpan w:val="3"/>
            <w:tcBorders>
              <w:top w:val="single" w:sz="8" w:space="0" w:color="auto"/>
              <w:left w:val="nil"/>
              <w:bottom w:val="nil"/>
              <w:right w:val="nil"/>
            </w:tcBorders>
            <w:shd w:val="clear" w:color="auto" w:fill="auto"/>
            <w:noWrap/>
            <w:vAlign w:val="center"/>
            <w:hideMark/>
          </w:tcPr>
          <w:p w14:paraId="348FE5B4" w14:textId="77777777" w:rsidR="00D73008" w:rsidRPr="001162D3" w:rsidRDefault="00D73008" w:rsidP="00387AE5">
            <w:pPr>
              <w:rPr>
                <w:rFonts w:ascii="Times New Roman" w:hAnsi="Times New Roman" w:cs="Times New Roman"/>
                <w:sz w:val="16"/>
                <w:szCs w:val="16"/>
              </w:rPr>
            </w:pPr>
            <w:r w:rsidRPr="001162D3">
              <w:rPr>
                <w:rFonts w:cs="Times New Roman"/>
                <w:i/>
                <w:iCs/>
                <w:color w:val="000000"/>
                <w:sz w:val="16"/>
                <w:szCs w:val="16"/>
              </w:rPr>
              <w:t>Pozn.: * P</w:t>
            </w:r>
            <w:r>
              <w:rPr>
                <w:rFonts w:cs="Times New Roman"/>
                <w:i/>
                <w:iCs/>
                <w:color w:val="000000"/>
                <w:sz w:val="16"/>
                <w:szCs w:val="16"/>
              </w:rPr>
              <w:t>rogram stability SR na roky 2018</w:t>
            </w:r>
            <w:r w:rsidRPr="001162D3">
              <w:rPr>
                <w:rFonts w:cs="Times New Roman"/>
                <w:i/>
                <w:iCs/>
                <w:color w:val="000000"/>
                <w:sz w:val="16"/>
                <w:szCs w:val="16"/>
              </w:rPr>
              <w:t xml:space="preserve"> - 202</w:t>
            </w:r>
            <w:r>
              <w:rPr>
                <w:rFonts w:cs="Times New Roman"/>
                <w:i/>
                <w:iCs/>
                <w:color w:val="000000"/>
                <w:sz w:val="16"/>
                <w:szCs w:val="16"/>
              </w:rPr>
              <w:t>1</w:t>
            </w:r>
          </w:p>
        </w:tc>
        <w:tc>
          <w:tcPr>
            <w:tcW w:w="904" w:type="dxa"/>
            <w:tcBorders>
              <w:top w:val="single" w:sz="8" w:space="0" w:color="auto"/>
              <w:left w:val="nil"/>
              <w:bottom w:val="nil"/>
              <w:right w:val="nil"/>
            </w:tcBorders>
            <w:shd w:val="clear" w:color="auto" w:fill="auto"/>
            <w:noWrap/>
            <w:vAlign w:val="center"/>
            <w:hideMark/>
          </w:tcPr>
          <w:p w14:paraId="0F6C0BE0" w14:textId="77777777" w:rsidR="00D73008" w:rsidRPr="001162D3" w:rsidRDefault="00D73008" w:rsidP="00387AE5">
            <w:pPr>
              <w:rPr>
                <w:rFonts w:ascii="Times New Roman" w:hAnsi="Times New Roman" w:cs="Times New Roman"/>
                <w:sz w:val="20"/>
                <w:szCs w:val="20"/>
              </w:rPr>
            </w:pPr>
          </w:p>
        </w:tc>
        <w:tc>
          <w:tcPr>
            <w:tcW w:w="903" w:type="dxa"/>
            <w:tcBorders>
              <w:top w:val="single" w:sz="8" w:space="0" w:color="auto"/>
              <w:left w:val="nil"/>
              <w:bottom w:val="nil"/>
              <w:right w:val="nil"/>
            </w:tcBorders>
            <w:shd w:val="clear" w:color="auto" w:fill="auto"/>
            <w:noWrap/>
            <w:vAlign w:val="center"/>
            <w:hideMark/>
          </w:tcPr>
          <w:p w14:paraId="3F104FEA" w14:textId="77777777" w:rsidR="00D73008" w:rsidRPr="001162D3" w:rsidRDefault="00D73008" w:rsidP="00387AE5">
            <w:pPr>
              <w:rPr>
                <w:rFonts w:ascii="Times New Roman" w:hAnsi="Times New Roman" w:cs="Times New Roman"/>
                <w:sz w:val="20"/>
                <w:szCs w:val="20"/>
              </w:rPr>
            </w:pPr>
          </w:p>
        </w:tc>
        <w:tc>
          <w:tcPr>
            <w:tcW w:w="2709" w:type="dxa"/>
            <w:gridSpan w:val="3"/>
            <w:tcBorders>
              <w:top w:val="single" w:sz="8" w:space="0" w:color="auto"/>
              <w:left w:val="nil"/>
              <w:bottom w:val="nil"/>
              <w:right w:val="nil"/>
            </w:tcBorders>
            <w:shd w:val="clear" w:color="auto" w:fill="auto"/>
            <w:noWrap/>
            <w:vAlign w:val="center"/>
            <w:hideMark/>
          </w:tcPr>
          <w:p w14:paraId="6FD69F0B" w14:textId="77777777" w:rsidR="00D73008" w:rsidRPr="001162D3" w:rsidRDefault="00D73008" w:rsidP="00387AE5">
            <w:pPr>
              <w:jc w:val="right"/>
              <w:rPr>
                <w:rFonts w:cs="Times New Roman"/>
                <w:i/>
                <w:iCs/>
                <w:color w:val="000000"/>
                <w:sz w:val="16"/>
                <w:szCs w:val="16"/>
              </w:rPr>
            </w:pPr>
            <w:r w:rsidRPr="001162D3">
              <w:rPr>
                <w:rFonts w:cs="Times New Roman"/>
                <w:i/>
                <w:iCs/>
                <w:color w:val="000000"/>
                <w:sz w:val="16"/>
                <w:szCs w:val="16"/>
              </w:rPr>
              <w:t>Zdroj: MFSR</w:t>
            </w:r>
          </w:p>
        </w:tc>
      </w:tr>
      <w:tr w:rsidR="00D73008" w:rsidRPr="00B21C97" w14:paraId="09E08D96" w14:textId="77777777" w:rsidTr="00387AE5">
        <w:trPr>
          <w:trHeight w:val="283"/>
        </w:trPr>
        <w:tc>
          <w:tcPr>
            <w:tcW w:w="4584" w:type="dxa"/>
            <w:gridSpan w:val="3"/>
            <w:tcBorders>
              <w:top w:val="nil"/>
              <w:left w:val="nil"/>
              <w:bottom w:val="nil"/>
              <w:right w:val="nil"/>
            </w:tcBorders>
            <w:shd w:val="clear" w:color="000000" w:fill="FFFFFF"/>
            <w:hideMark/>
          </w:tcPr>
          <w:p w14:paraId="7E2D4FA6" w14:textId="77777777" w:rsidR="00D73008" w:rsidRPr="001162D3" w:rsidRDefault="00D73008" w:rsidP="00387AE5">
            <w:pPr>
              <w:rPr>
                <w:rFonts w:ascii="Times New Roman" w:hAnsi="Times New Roman" w:cs="Times New Roman"/>
                <w:sz w:val="16"/>
                <w:szCs w:val="16"/>
              </w:rPr>
            </w:pPr>
            <w:r>
              <w:rPr>
                <w:rFonts w:cs="Times New Roman"/>
                <w:sz w:val="16"/>
                <w:szCs w:val="16"/>
              </w:rPr>
              <w:t>** Pre rok 2019</w:t>
            </w:r>
            <w:r w:rsidRPr="001162D3">
              <w:rPr>
                <w:rFonts w:cs="Times New Roman"/>
                <w:sz w:val="16"/>
                <w:szCs w:val="16"/>
              </w:rPr>
              <w:t xml:space="preserve"> uvádzame očakávanú skutočnosť</w:t>
            </w:r>
          </w:p>
        </w:tc>
        <w:tc>
          <w:tcPr>
            <w:tcW w:w="904" w:type="dxa"/>
            <w:tcBorders>
              <w:top w:val="nil"/>
              <w:left w:val="nil"/>
              <w:bottom w:val="nil"/>
              <w:right w:val="nil"/>
            </w:tcBorders>
            <w:shd w:val="clear" w:color="auto" w:fill="auto"/>
            <w:noWrap/>
            <w:vAlign w:val="bottom"/>
            <w:hideMark/>
          </w:tcPr>
          <w:p w14:paraId="2B559BD3" w14:textId="77777777" w:rsidR="00D73008" w:rsidRPr="001162D3" w:rsidRDefault="00D73008" w:rsidP="00387AE5">
            <w:pPr>
              <w:rPr>
                <w:rFonts w:ascii="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0E47C5B2" w14:textId="77777777" w:rsidR="00D73008" w:rsidRPr="001162D3" w:rsidRDefault="00D73008" w:rsidP="00387AE5">
            <w:pPr>
              <w:rPr>
                <w:rFonts w:ascii="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7278018C" w14:textId="77777777" w:rsidR="00D73008" w:rsidRPr="001162D3" w:rsidRDefault="00D73008" w:rsidP="00387AE5">
            <w:pPr>
              <w:rPr>
                <w:rFonts w:ascii="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00E0476F" w14:textId="77777777" w:rsidR="00D73008" w:rsidRPr="001162D3" w:rsidRDefault="00D73008" w:rsidP="00387AE5">
            <w:pPr>
              <w:rPr>
                <w:rFonts w:ascii="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37210C45" w14:textId="77777777" w:rsidR="00D73008" w:rsidRPr="001162D3" w:rsidRDefault="00D73008" w:rsidP="00387AE5">
            <w:pPr>
              <w:rPr>
                <w:rFonts w:ascii="Times New Roman" w:hAnsi="Times New Roman" w:cs="Times New Roman"/>
                <w:sz w:val="20"/>
                <w:szCs w:val="20"/>
              </w:rPr>
            </w:pPr>
          </w:p>
        </w:tc>
      </w:tr>
    </w:tbl>
    <w:p w14:paraId="06A45C42" w14:textId="77777777" w:rsidR="00D73008" w:rsidRPr="00B21C97" w:rsidRDefault="00D73008" w:rsidP="00D73008">
      <w:pPr>
        <w:rPr>
          <w:highlight w:val="yellow"/>
        </w:rPr>
      </w:pPr>
    </w:p>
    <w:tbl>
      <w:tblPr>
        <w:tblW w:w="0" w:type="auto"/>
        <w:tblCellMar>
          <w:left w:w="70" w:type="dxa"/>
          <w:right w:w="70" w:type="dxa"/>
        </w:tblCellMar>
        <w:tblLook w:val="04A0" w:firstRow="1" w:lastRow="0" w:firstColumn="1" w:lastColumn="0" w:noHBand="0" w:noVBand="1"/>
      </w:tblPr>
      <w:tblGrid>
        <w:gridCol w:w="5955"/>
        <w:gridCol w:w="511"/>
        <w:gridCol w:w="511"/>
        <w:gridCol w:w="256"/>
        <w:gridCol w:w="256"/>
        <w:gridCol w:w="511"/>
        <w:gridCol w:w="511"/>
        <w:gridCol w:w="559"/>
      </w:tblGrid>
      <w:tr w:rsidR="00D73008" w:rsidRPr="00152128" w14:paraId="1921D97A" w14:textId="77777777" w:rsidTr="007C70FB">
        <w:trPr>
          <w:trHeight w:val="283"/>
        </w:trPr>
        <w:tc>
          <w:tcPr>
            <w:tcW w:w="0" w:type="auto"/>
            <w:gridSpan w:val="6"/>
            <w:tcBorders>
              <w:top w:val="nil"/>
              <w:left w:val="nil"/>
              <w:bottom w:val="single" w:sz="8" w:space="0" w:color="auto"/>
              <w:right w:val="nil"/>
            </w:tcBorders>
            <w:shd w:val="clear" w:color="auto" w:fill="auto"/>
            <w:noWrap/>
            <w:vAlign w:val="bottom"/>
            <w:hideMark/>
          </w:tcPr>
          <w:p w14:paraId="6A73FC42" w14:textId="2660FB77" w:rsidR="00D73008" w:rsidRPr="00152128" w:rsidRDefault="00D73008" w:rsidP="00387AE5">
            <w:pPr>
              <w:rPr>
                <w:rFonts w:eastAsiaTheme="minorHAnsi"/>
                <w:b/>
                <w:color w:val="2C9ADC"/>
                <w:lang w:eastAsia="en-US"/>
              </w:rPr>
            </w:pPr>
            <w:bookmarkStart w:id="262" w:name="_Toc480905421"/>
            <w:bookmarkStart w:id="263" w:name="_Toc6314228"/>
            <w:r w:rsidRPr="0085303B">
              <w:rPr>
                <w:rFonts w:eastAsiaTheme="minorHAnsi"/>
                <w:b/>
                <w:color w:val="2C9ADC"/>
                <w:lang w:eastAsia="en-US"/>
              </w:rPr>
              <w:t xml:space="preserve">TABUĽKA </w:t>
            </w:r>
            <w:r w:rsidRPr="0085303B">
              <w:rPr>
                <w:rFonts w:eastAsiaTheme="minorHAnsi"/>
                <w:b/>
                <w:color w:val="2C9ADC"/>
                <w:lang w:eastAsia="en-US"/>
              </w:rPr>
              <w:fldChar w:fldCharType="begin"/>
            </w:r>
            <w:r w:rsidRPr="0085303B">
              <w:rPr>
                <w:rFonts w:eastAsiaTheme="minorHAnsi"/>
                <w:b/>
                <w:color w:val="2C9ADC"/>
                <w:lang w:eastAsia="en-US"/>
              </w:rPr>
              <w:instrText xml:space="preserve"> SEQ TABUĽKA \* ARABIC </w:instrText>
            </w:r>
            <w:r w:rsidRPr="0085303B">
              <w:rPr>
                <w:rFonts w:eastAsiaTheme="minorHAnsi"/>
                <w:b/>
                <w:color w:val="2C9ADC"/>
                <w:lang w:eastAsia="en-US"/>
              </w:rPr>
              <w:fldChar w:fldCharType="separate"/>
            </w:r>
            <w:r w:rsidR="00D5739E">
              <w:rPr>
                <w:rFonts w:eastAsiaTheme="minorHAnsi"/>
                <w:b/>
                <w:noProof/>
                <w:color w:val="2C9ADC"/>
                <w:lang w:eastAsia="en-US"/>
              </w:rPr>
              <w:t>29</w:t>
            </w:r>
            <w:r w:rsidRPr="0085303B">
              <w:rPr>
                <w:rFonts w:eastAsiaTheme="minorHAnsi"/>
                <w:b/>
                <w:color w:val="2C9ADC"/>
                <w:lang w:eastAsia="en-US"/>
              </w:rPr>
              <w:fldChar w:fldCharType="end"/>
            </w:r>
            <w:r w:rsidRPr="0085303B">
              <w:rPr>
                <w:rFonts w:eastAsiaTheme="minorHAnsi"/>
                <w:b/>
                <w:color w:val="2C9ADC"/>
                <w:lang w:eastAsia="en-US"/>
              </w:rPr>
              <w:t xml:space="preserve"> (Tabuľka 7) - Dlhodobá udržateľnosť verejných financií (% HDP)*</w:t>
            </w:r>
            <w:bookmarkEnd w:id="262"/>
            <w:bookmarkEnd w:id="263"/>
          </w:p>
        </w:tc>
        <w:tc>
          <w:tcPr>
            <w:tcW w:w="0" w:type="auto"/>
            <w:tcBorders>
              <w:top w:val="nil"/>
              <w:left w:val="nil"/>
              <w:bottom w:val="single" w:sz="8" w:space="0" w:color="auto"/>
              <w:right w:val="nil"/>
            </w:tcBorders>
            <w:shd w:val="clear" w:color="auto" w:fill="auto"/>
            <w:noWrap/>
            <w:vAlign w:val="bottom"/>
            <w:hideMark/>
          </w:tcPr>
          <w:p w14:paraId="7EA15739" w14:textId="77777777" w:rsidR="00D73008" w:rsidRPr="00152128" w:rsidRDefault="00D73008" w:rsidP="00387AE5">
            <w:pPr>
              <w:rPr>
                <w:rFonts w:eastAsiaTheme="minorHAnsi"/>
                <w:b/>
                <w:color w:val="2C9ADC"/>
                <w:lang w:eastAsia="en-US"/>
              </w:rPr>
            </w:pPr>
            <w:r w:rsidRPr="00152128">
              <w:rPr>
                <w:rFonts w:eastAsiaTheme="minorHAnsi"/>
                <w:b/>
                <w:color w:val="2C9ADC"/>
                <w:lang w:eastAsia="en-US"/>
              </w:rPr>
              <w:t> </w:t>
            </w:r>
          </w:p>
        </w:tc>
        <w:tc>
          <w:tcPr>
            <w:tcW w:w="469" w:type="dxa"/>
            <w:tcBorders>
              <w:top w:val="nil"/>
              <w:left w:val="nil"/>
              <w:bottom w:val="single" w:sz="8" w:space="0" w:color="auto"/>
              <w:right w:val="nil"/>
            </w:tcBorders>
          </w:tcPr>
          <w:p w14:paraId="0E9C3174" w14:textId="77777777" w:rsidR="00D73008" w:rsidRPr="00152128" w:rsidRDefault="00D73008" w:rsidP="00387AE5">
            <w:pPr>
              <w:rPr>
                <w:rFonts w:eastAsiaTheme="minorHAnsi"/>
                <w:b/>
                <w:color w:val="2C9ADC"/>
                <w:lang w:eastAsia="en-US"/>
              </w:rPr>
            </w:pPr>
          </w:p>
        </w:tc>
      </w:tr>
      <w:tr w:rsidR="007C70FB" w:rsidRPr="001162D3" w14:paraId="22381675" w14:textId="77777777" w:rsidTr="007C70FB">
        <w:trPr>
          <w:trHeight w:val="283"/>
        </w:trPr>
        <w:tc>
          <w:tcPr>
            <w:tcW w:w="0" w:type="auto"/>
            <w:tcBorders>
              <w:top w:val="nil"/>
              <w:left w:val="nil"/>
              <w:bottom w:val="single" w:sz="4" w:space="0" w:color="auto"/>
              <w:right w:val="nil"/>
            </w:tcBorders>
            <w:shd w:val="clear" w:color="auto" w:fill="auto"/>
            <w:vAlign w:val="center"/>
            <w:hideMark/>
          </w:tcPr>
          <w:p w14:paraId="42A0E8D9" w14:textId="77777777" w:rsidR="00D73008" w:rsidRPr="001162D3" w:rsidRDefault="00D73008" w:rsidP="00387AE5">
            <w:pPr>
              <w:rPr>
                <w:rFonts w:cs="Times New Roman"/>
                <w:sz w:val="18"/>
                <w:szCs w:val="18"/>
              </w:rPr>
            </w:pPr>
            <w:r w:rsidRPr="001162D3">
              <w:rPr>
                <w:rFonts w:cs="Times New Roman"/>
                <w:sz w:val="18"/>
                <w:szCs w:val="18"/>
              </w:rPr>
              <w:t> </w:t>
            </w:r>
          </w:p>
        </w:tc>
        <w:tc>
          <w:tcPr>
            <w:tcW w:w="0" w:type="auto"/>
            <w:tcBorders>
              <w:top w:val="single" w:sz="8" w:space="0" w:color="auto"/>
              <w:left w:val="nil"/>
              <w:bottom w:val="single" w:sz="4" w:space="0" w:color="auto"/>
              <w:right w:val="nil"/>
            </w:tcBorders>
            <w:shd w:val="clear" w:color="auto" w:fill="auto"/>
            <w:vAlign w:val="center"/>
            <w:hideMark/>
          </w:tcPr>
          <w:p w14:paraId="3211AA45" w14:textId="77777777" w:rsidR="00D73008" w:rsidRPr="001162D3" w:rsidRDefault="00D73008" w:rsidP="00387AE5">
            <w:pPr>
              <w:jc w:val="center"/>
              <w:rPr>
                <w:rFonts w:cs="Times New Roman"/>
                <w:b/>
                <w:bCs/>
                <w:sz w:val="18"/>
                <w:szCs w:val="18"/>
              </w:rPr>
            </w:pPr>
            <w:r w:rsidRPr="001162D3">
              <w:rPr>
                <w:b/>
                <w:bCs/>
                <w:sz w:val="18"/>
                <w:szCs w:val="18"/>
              </w:rPr>
              <w:t>2020</w:t>
            </w:r>
          </w:p>
        </w:tc>
        <w:tc>
          <w:tcPr>
            <w:tcW w:w="0" w:type="auto"/>
            <w:tcBorders>
              <w:top w:val="single" w:sz="8" w:space="0" w:color="auto"/>
              <w:left w:val="nil"/>
              <w:bottom w:val="single" w:sz="4" w:space="0" w:color="auto"/>
              <w:right w:val="nil"/>
            </w:tcBorders>
            <w:shd w:val="clear" w:color="auto" w:fill="auto"/>
            <w:vAlign w:val="center"/>
            <w:hideMark/>
          </w:tcPr>
          <w:p w14:paraId="6ABDDFF2" w14:textId="77777777" w:rsidR="00D73008" w:rsidRPr="001162D3" w:rsidRDefault="00D73008" w:rsidP="00387AE5">
            <w:pPr>
              <w:jc w:val="center"/>
              <w:rPr>
                <w:rFonts w:cs="Times New Roman"/>
                <w:b/>
                <w:bCs/>
                <w:sz w:val="18"/>
                <w:szCs w:val="18"/>
              </w:rPr>
            </w:pPr>
            <w:r w:rsidRPr="001162D3">
              <w:rPr>
                <w:b/>
                <w:bCs/>
                <w:sz w:val="18"/>
                <w:szCs w:val="18"/>
              </w:rPr>
              <w:t>2030</w:t>
            </w:r>
          </w:p>
        </w:tc>
        <w:tc>
          <w:tcPr>
            <w:tcW w:w="0" w:type="auto"/>
            <w:gridSpan w:val="2"/>
            <w:tcBorders>
              <w:top w:val="single" w:sz="8" w:space="0" w:color="auto"/>
              <w:left w:val="nil"/>
              <w:bottom w:val="single" w:sz="4" w:space="0" w:color="auto"/>
              <w:right w:val="nil"/>
            </w:tcBorders>
            <w:shd w:val="clear" w:color="auto" w:fill="auto"/>
            <w:vAlign w:val="center"/>
            <w:hideMark/>
          </w:tcPr>
          <w:p w14:paraId="114540AD" w14:textId="77777777" w:rsidR="00D73008" w:rsidRPr="001162D3" w:rsidRDefault="00D73008" w:rsidP="00387AE5">
            <w:pPr>
              <w:jc w:val="center"/>
              <w:rPr>
                <w:rFonts w:cs="Times New Roman"/>
                <w:b/>
                <w:bCs/>
                <w:sz w:val="18"/>
                <w:szCs w:val="18"/>
              </w:rPr>
            </w:pPr>
            <w:r w:rsidRPr="001162D3">
              <w:rPr>
                <w:b/>
                <w:bCs/>
                <w:sz w:val="18"/>
                <w:szCs w:val="18"/>
              </w:rPr>
              <w:t>2040</w:t>
            </w:r>
          </w:p>
        </w:tc>
        <w:tc>
          <w:tcPr>
            <w:tcW w:w="0" w:type="auto"/>
            <w:tcBorders>
              <w:top w:val="single" w:sz="8" w:space="0" w:color="auto"/>
              <w:left w:val="nil"/>
              <w:bottom w:val="single" w:sz="4" w:space="0" w:color="auto"/>
              <w:right w:val="nil"/>
            </w:tcBorders>
            <w:shd w:val="clear" w:color="auto" w:fill="auto"/>
            <w:vAlign w:val="center"/>
            <w:hideMark/>
          </w:tcPr>
          <w:p w14:paraId="28CEE6B2" w14:textId="77777777" w:rsidR="00D73008" w:rsidRPr="001162D3" w:rsidRDefault="00D73008" w:rsidP="00387AE5">
            <w:pPr>
              <w:jc w:val="center"/>
              <w:rPr>
                <w:rFonts w:cs="Times New Roman"/>
                <w:b/>
                <w:bCs/>
                <w:sz w:val="18"/>
                <w:szCs w:val="18"/>
              </w:rPr>
            </w:pPr>
            <w:r w:rsidRPr="001162D3">
              <w:rPr>
                <w:b/>
                <w:bCs/>
                <w:sz w:val="18"/>
                <w:szCs w:val="18"/>
              </w:rPr>
              <w:t>2050</w:t>
            </w:r>
          </w:p>
        </w:tc>
        <w:tc>
          <w:tcPr>
            <w:tcW w:w="0" w:type="auto"/>
            <w:tcBorders>
              <w:top w:val="single" w:sz="8" w:space="0" w:color="auto"/>
              <w:left w:val="nil"/>
              <w:bottom w:val="single" w:sz="4" w:space="0" w:color="auto"/>
              <w:right w:val="nil"/>
            </w:tcBorders>
            <w:shd w:val="clear" w:color="auto" w:fill="auto"/>
            <w:vAlign w:val="center"/>
            <w:hideMark/>
          </w:tcPr>
          <w:p w14:paraId="2474F6D5" w14:textId="77777777" w:rsidR="00D73008" w:rsidRPr="001162D3" w:rsidRDefault="00D73008" w:rsidP="00387AE5">
            <w:pPr>
              <w:jc w:val="center"/>
              <w:rPr>
                <w:rFonts w:cs="Times New Roman"/>
                <w:b/>
                <w:bCs/>
                <w:sz w:val="18"/>
                <w:szCs w:val="18"/>
              </w:rPr>
            </w:pPr>
            <w:r w:rsidRPr="001162D3">
              <w:rPr>
                <w:b/>
                <w:bCs/>
                <w:sz w:val="18"/>
                <w:szCs w:val="18"/>
              </w:rPr>
              <w:t>2060</w:t>
            </w:r>
          </w:p>
        </w:tc>
        <w:tc>
          <w:tcPr>
            <w:tcW w:w="469" w:type="dxa"/>
            <w:tcBorders>
              <w:top w:val="single" w:sz="8" w:space="0" w:color="auto"/>
              <w:left w:val="nil"/>
              <w:bottom w:val="single" w:sz="4" w:space="0" w:color="auto"/>
              <w:right w:val="nil"/>
            </w:tcBorders>
            <w:shd w:val="clear" w:color="auto" w:fill="auto"/>
            <w:vAlign w:val="center"/>
          </w:tcPr>
          <w:p w14:paraId="362E1DC0" w14:textId="77777777" w:rsidR="00D73008" w:rsidRPr="001162D3" w:rsidRDefault="00D73008" w:rsidP="00387AE5">
            <w:pPr>
              <w:jc w:val="center"/>
              <w:rPr>
                <w:rFonts w:cs="Times New Roman"/>
                <w:b/>
                <w:bCs/>
                <w:sz w:val="18"/>
                <w:szCs w:val="18"/>
              </w:rPr>
            </w:pPr>
            <w:r w:rsidRPr="001162D3">
              <w:rPr>
                <w:b/>
                <w:bCs/>
                <w:sz w:val="18"/>
                <w:szCs w:val="18"/>
              </w:rPr>
              <w:t>2070</w:t>
            </w:r>
          </w:p>
        </w:tc>
      </w:tr>
      <w:tr w:rsidR="007C70FB" w:rsidRPr="001162D3" w14:paraId="33497851" w14:textId="77777777" w:rsidTr="007C70FB">
        <w:trPr>
          <w:trHeight w:val="283"/>
        </w:trPr>
        <w:tc>
          <w:tcPr>
            <w:tcW w:w="0" w:type="auto"/>
            <w:tcBorders>
              <w:top w:val="nil"/>
              <w:left w:val="nil"/>
              <w:bottom w:val="nil"/>
              <w:right w:val="nil"/>
            </w:tcBorders>
            <w:shd w:val="clear" w:color="000000" w:fill="FFFFFF"/>
            <w:noWrap/>
            <w:vAlign w:val="center"/>
            <w:hideMark/>
          </w:tcPr>
          <w:p w14:paraId="5CC259D3" w14:textId="77777777" w:rsidR="00D73008" w:rsidRPr="001162D3" w:rsidRDefault="00D73008" w:rsidP="00387AE5">
            <w:pPr>
              <w:rPr>
                <w:rFonts w:cs="Times New Roman"/>
                <w:b/>
                <w:bCs/>
                <w:sz w:val="18"/>
                <w:szCs w:val="18"/>
              </w:rPr>
            </w:pPr>
            <w:r w:rsidRPr="001162D3">
              <w:rPr>
                <w:rFonts w:cs="Times New Roman"/>
                <w:b/>
                <w:bCs/>
                <w:sz w:val="18"/>
                <w:szCs w:val="18"/>
              </w:rPr>
              <w:t>Výdavky celkom</w:t>
            </w:r>
          </w:p>
        </w:tc>
        <w:tc>
          <w:tcPr>
            <w:tcW w:w="0" w:type="auto"/>
            <w:tcBorders>
              <w:top w:val="nil"/>
              <w:left w:val="nil"/>
              <w:bottom w:val="nil"/>
              <w:right w:val="nil"/>
            </w:tcBorders>
            <w:shd w:val="clear" w:color="auto" w:fill="auto"/>
            <w:vAlign w:val="center"/>
            <w:hideMark/>
          </w:tcPr>
          <w:p w14:paraId="26FCCCE5" w14:textId="77777777" w:rsidR="00D73008" w:rsidRPr="001162D3" w:rsidRDefault="00D73008" w:rsidP="00387AE5">
            <w:pPr>
              <w:jc w:val="center"/>
              <w:rPr>
                <w:rFonts w:cs="Times New Roman"/>
                <w:bCs/>
                <w:sz w:val="18"/>
                <w:szCs w:val="18"/>
              </w:rPr>
            </w:pPr>
            <w:r w:rsidRPr="001162D3">
              <w:rPr>
                <w:sz w:val="18"/>
                <w:szCs w:val="18"/>
              </w:rPr>
              <w:t>38,4</w:t>
            </w:r>
          </w:p>
        </w:tc>
        <w:tc>
          <w:tcPr>
            <w:tcW w:w="0" w:type="auto"/>
            <w:tcBorders>
              <w:top w:val="nil"/>
              <w:left w:val="nil"/>
              <w:bottom w:val="nil"/>
              <w:right w:val="nil"/>
            </w:tcBorders>
            <w:shd w:val="clear" w:color="auto" w:fill="auto"/>
            <w:vAlign w:val="center"/>
            <w:hideMark/>
          </w:tcPr>
          <w:p w14:paraId="4B4D2D7B" w14:textId="77777777" w:rsidR="00D73008" w:rsidRPr="001162D3" w:rsidRDefault="00D73008" w:rsidP="00387AE5">
            <w:pPr>
              <w:jc w:val="center"/>
              <w:rPr>
                <w:rFonts w:cs="Times New Roman"/>
                <w:bCs/>
                <w:sz w:val="18"/>
                <w:szCs w:val="18"/>
              </w:rPr>
            </w:pPr>
            <w:r w:rsidRPr="001162D3">
              <w:rPr>
                <w:sz w:val="18"/>
                <w:szCs w:val="18"/>
              </w:rPr>
              <w:t>38,7</w:t>
            </w:r>
          </w:p>
        </w:tc>
        <w:tc>
          <w:tcPr>
            <w:tcW w:w="0" w:type="auto"/>
            <w:gridSpan w:val="2"/>
            <w:tcBorders>
              <w:top w:val="nil"/>
              <w:left w:val="nil"/>
              <w:bottom w:val="nil"/>
              <w:right w:val="nil"/>
            </w:tcBorders>
            <w:shd w:val="clear" w:color="auto" w:fill="auto"/>
            <w:vAlign w:val="center"/>
            <w:hideMark/>
          </w:tcPr>
          <w:p w14:paraId="6AD69BAD" w14:textId="77777777" w:rsidR="00D73008" w:rsidRPr="001162D3" w:rsidRDefault="00D73008" w:rsidP="00387AE5">
            <w:pPr>
              <w:jc w:val="center"/>
              <w:rPr>
                <w:rFonts w:cs="Times New Roman"/>
                <w:bCs/>
                <w:sz w:val="18"/>
                <w:szCs w:val="18"/>
              </w:rPr>
            </w:pPr>
            <w:r w:rsidRPr="001162D3">
              <w:rPr>
                <w:sz w:val="18"/>
                <w:szCs w:val="18"/>
              </w:rPr>
              <w:t>39,9</w:t>
            </w:r>
          </w:p>
        </w:tc>
        <w:tc>
          <w:tcPr>
            <w:tcW w:w="0" w:type="auto"/>
            <w:tcBorders>
              <w:top w:val="nil"/>
              <w:left w:val="nil"/>
              <w:bottom w:val="nil"/>
              <w:right w:val="nil"/>
            </w:tcBorders>
            <w:shd w:val="clear" w:color="auto" w:fill="auto"/>
            <w:vAlign w:val="center"/>
            <w:hideMark/>
          </w:tcPr>
          <w:p w14:paraId="461F2D70" w14:textId="77777777" w:rsidR="00D73008" w:rsidRPr="001162D3" w:rsidRDefault="00D73008" w:rsidP="00387AE5">
            <w:pPr>
              <w:jc w:val="center"/>
              <w:rPr>
                <w:rFonts w:cs="Times New Roman"/>
                <w:bCs/>
                <w:sz w:val="18"/>
                <w:szCs w:val="18"/>
              </w:rPr>
            </w:pPr>
            <w:r w:rsidRPr="001162D3">
              <w:rPr>
                <w:sz w:val="18"/>
                <w:szCs w:val="18"/>
              </w:rPr>
              <w:t>41,9</w:t>
            </w:r>
          </w:p>
        </w:tc>
        <w:tc>
          <w:tcPr>
            <w:tcW w:w="0" w:type="auto"/>
            <w:tcBorders>
              <w:top w:val="nil"/>
              <w:left w:val="nil"/>
              <w:bottom w:val="nil"/>
              <w:right w:val="nil"/>
            </w:tcBorders>
            <w:shd w:val="clear" w:color="auto" w:fill="auto"/>
            <w:vAlign w:val="center"/>
            <w:hideMark/>
          </w:tcPr>
          <w:p w14:paraId="351F099D" w14:textId="77777777" w:rsidR="00D73008" w:rsidRPr="001162D3" w:rsidRDefault="00D73008" w:rsidP="00387AE5">
            <w:pPr>
              <w:jc w:val="center"/>
              <w:rPr>
                <w:rFonts w:cs="Times New Roman"/>
                <w:bCs/>
                <w:sz w:val="18"/>
                <w:szCs w:val="18"/>
              </w:rPr>
            </w:pPr>
            <w:r w:rsidRPr="001162D3">
              <w:rPr>
                <w:sz w:val="18"/>
                <w:szCs w:val="18"/>
              </w:rPr>
              <w:t>43,7</w:t>
            </w:r>
          </w:p>
        </w:tc>
        <w:tc>
          <w:tcPr>
            <w:tcW w:w="469" w:type="dxa"/>
            <w:tcBorders>
              <w:top w:val="nil"/>
              <w:left w:val="nil"/>
              <w:bottom w:val="nil"/>
              <w:right w:val="nil"/>
            </w:tcBorders>
            <w:shd w:val="clear" w:color="auto" w:fill="auto"/>
            <w:vAlign w:val="center"/>
          </w:tcPr>
          <w:p w14:paraId="02C0A368" w14:textId="77777777" w:rsidR="00D73008" w:rsidRPr="001162D3" w:rsidRDefault="00D73008" w:rsidP="00387AE5">
            <w:pPr>
              <w:jc w:val="center"/>
              <w:rPr>
                <w:rFonts w:cs="Times New Roman"/>
                <w:bCs/>
                <w:sz w:val="18"/>
                <w:szCs w:val="18"/>
              </w:rPr>
            </w:pPr>
            <w:r w:rsidRPr="001162D3">
              <w:rPr>
                <w:sz w:val="18"/>
                <w:szCs w:val="18"/>
              </w:rPr>
              <w:t>43,4</w:t>
            </w:r>
          </w:p>
        </w:tc>
      </w:tr>
      <w:tr w:rsidR="007C70FB" w:rsidRPr="001162D3" w14:paraId="3A1FD0AC" w14:textId="77777777" w:rsidTr="007C70FB">
        <w:trPr>
          <w:trHeight w:val="283"/>
        </w:trPr>
        <w:tc>
          <w:tcPr>
            <w:tcW w:w="0" w:type="auto"/>
            <w:tcBorders>
              <w:top w:val="nil"/>
              <w:left w:val="nil"/>
              <w:bottom w:val="nil"/>
              <w:right w:val="nil"/>
            </w:tcBorders>
            <w:shd w:val="clear" w:color="000000" w:fill="FFFFFF"/>
            <w:noWrap/>
            <w:vAlign w:val="center"/>
            <w:hideMark/>
          </w:tcPr>
          <w:p w14:paraId="2499835C" w14:textId="77777777" w:rsidR="00D73008" w:rsidRPr="001162D3" w:rsidRDefault="00D73008" w:rsidP="00387AE5">
            <w:pPr>
              <w:ind w:firstLineChars="200" w:firstLine="360"/>
              <w:rPr>
                <w:rFonts w:cs="Times New Roman"/>
                <w:sz w:val="18"/>
                <w:szCs w:val="18"/>
              </w:rPr>
            </w:pPr>
            <w:r w:rsidRPr="001162D3">
              <w:rPr>
                <w:rFonts w:cs="Times New Roman"/>
                <w:sz w:val="18"/>
                <w:szCs w:val="18"/>
              </w:rPr>
              <w:t>Z toho: Výdavky ovplyvnené starnutím populácie</w:t>
            </w:r>
          </w:p>
        </w:tc>
        <w:tc>
          <w:tcPr>
            <w:tcW w:w="0" w:type="auto"/>
            <w:tcBorders>
              <w:top w:val="nil"/>
              <w:left w:val="nil"/>
              <w:bottom w:val="nil"/>
              <w:right w:val="nil"/>
            </w:tcBorders>
            <w:shd w:val="clear" w:color="auto" w:fill="auto"/>
            <w:vAlign w:val="center"/>
            <w:hideMark/>
          </w:tcPr>
          <w:p w14:paraId="3051394A" w14:textId="77777777" w:rsidR="00D73008" w:rsidRPr="001162D3" w:rsidRDefault="00D73008" w:rsidP="00387AE5">
            <w:pPr>
              <w:jc w:val="center"/>
              <w:rPr>
                <w:rFonts w:cs="Times New Roman"/>
                <w:bCs/>
                <w:sz w:val="18"/>
                <w:szCs w:val="18"/>
              </w:rPr>
            </w:pPr>
            <w:r w:rsidRPr="001162D3">
              <w:rPr>
                <w:sz w:val="18"/>
                <w:szCs w:val="18"/>
              </w:rPr>
              <w:t>18,6</w:t>
            </w:r>
          </w:p>
        </w:tc>
        <w:tc>
          <w:tcPr>
            <w:tcW w:w="0" w:type="auto"/>
            <w:tcBorders>
              <w:top w:val="nil"/>
              <w:left w:val="nil"/>
              <w:bottom w:val="nil"/>
              <w:right w:val="nil"/>
            </w:tcBorders>
            <w:shd w:val="clear" w:color="auto" w:fill="auto"/>
            <w:vAlign w:val="center"/>
            <w:hideMark/>
          </w:tcPr>
          <w:p w14:paraId="370F8FB2" w14:textId="77777777" w:rsidR="00D73008" w:rsidRPr="001162D3" w:rsidRDefault="00D73008" w:rsidP="00387AE5">
            <w:pPr>
              <w:jc w:val="center"/>
              <w:rPr>
                <w:rFonts w:cs="Times New Roman"/>
                <w:bCs/>
                <w:sz w:val="18"/>
                <w:szCs w:val="18"/>
              </w:rPr>
            </w:pPr>
            <w:r w:rsidRPr="001162D3">
              <w:rPr>
                <w:sz w:val="18"/>
                <w:szCs w:val="18"/>
              </w:rPr>
              <w:t>18,9</w:t>
            </w:r>
          </w:p>
        </w:tc>
        <w:tc>
          <w:tcPr>
            <w:tcW w:w="0" w:type="auto"/>
            <w:gridSpan w:val="2"/>
            <w:tcBorders>
              <w:top w:val="nil"/>
              <w:left w:val="nil"/>
              <w:bottom w:val="nil"/>
              <w:right w:val="nil"/>
            </w:tcBorders>
            <w:shd w:val="clear" w:color="auto" w:fill="auto"/>
            <w:vAlign w:val="center"/>
            <w:hideMark/>
          </w:tcPr>
          <w:p w14:paraId="6B0861E6" w14:textId="77777777" w:rsidR="00D73008" w:rsidRPr="001162D3" w:rsidRDefault="00D73008" w:rsidP="00387AE5">
            <w:pPr>
              <w:jc w:val="center"/>
              <w:rPr>
                <w:rFonts w:cs="Times New Roman"/>
                <w:bCs/>
                <w:sz w:val="18"/>
                <w:szCs w:val="18"/>
              </w:rPr>
            </w:pPr>
            <w:r w:rsidRPr="001162D3">
              <w:rPr>
                <w:sz w:val="18"/>
                <w:szCs w:val="18"/>
              </w:rPr>
              <w:t>20,1</w:t>
            </w:r>
          </w:p>
        </w:tc>
        <w:tc>
          <w:tcPr>
            <w:tcW w:w="0" w:type="auto"/>
            <w:tcBorders>
              <w:top w:val="nil"/>
              <w:left w:val="nil"/>
              <w:bottom w:val="nil"/>
              <w:right w:val="nil"/>
            </w:tcBorders>
            <w:shd w:val="clear" w:color="auto" w:fill="auto"/>
            <w:vAlign w:val="center"/>
            <w:hideMark/>
          </w:tcPr>
          <w:p w14:paraId="3BA0A446" w14:textId="77777777" w:rsidR="00D73008" w:rsidRPr="001162D3" w:rsidRDefault="00D73008" w:rsidP="00387AE5">
            <w:pPr>
              <w:jc w:val="center"/>
              <w:rPr>
                <w:rFonts w:cs="Times New Roman"/>
                <w:bCs/>
                <w:sz w:val="18"/>
                <w:szCs w:val="18"/>
              </w:rPr>
            </w:pPr>
            <w:r w:rsidRPr="001162D3">
              <w:rPr>
                <w:sz w:val="18"/>
                <w:szCs w:val="18"/>
              </w:rPr>
              <w:t>22,1</w:t>
            </w:r>
          </w:p>
        </w:tc>
        <w:tc>
          <w:tcPr>
            <w:tcW w:w="0" w:type="auto"/>
            <w:tcBorders>
              <w:top w:val="nil"/>
              <w:left w:val="nil"/>
              <w:bottom w:val="nil"/>
              <w:right w:val="nil"/>
            </w:tcBorders>
            <w:shd w:val="clear" w:color="auto" w:fill="auto"/>
            <w:vAlign w:val="center"/>
            <w:hideMark/>
          </w:tcPr>
          <w:p w14:paraId="1CCAE4AD" w14:textId="77777777" w:rsidR="00D73008" w:rsidRPr="001162D3" w:rsidRDefault="00D73008" w:rsidP="00387AE5">
            <w:pPr>
              <w:jc w:val="center"/>
              <w:rPr>
                <w:rFonts w:cs="Times New Roman"/>
                <w:bCs/>
                <w:sz w:val="18"/>
                <w:szCs w:val="18"/>
              </w:rPr>
            </w:pPr>
            <w:r w:rsidRPr="001162D3">
              <w:rPr>
                <w:sz w:val="18"/>
                <w:szCs w:val="18"/>
              </w:rPr>
              <w:t>23,9</w:t>
            </w:r>
          </w:p>
        </w:tc>
        <w:tc>
          <w:tcPr>
            <w:tcW w:w="469" w:type="dxa"/>
            <w:tcBorders>
              <w:top w:val="nil"/>
              <w:left w:val="nil"/>
              <w:bottom w:val="nil"/>
              <w:right w:val="nil"/>
            </w:tcBorders>
            <w:shd w:val="clear" w:color="auto" w:fill="auto"/>
            <w:vAlign w:val="center"/>
          </w:tcPr>
          <w:p w14:paraId="2EB3931F" w14:textId="77777777" w:rsidR="00D73008" w:rsidRPr="001162D3" w:rsidRDefault="00D73008" w:rsidP="00387AE5">
            <w:pPr>
              <w:jc w:val="center"/>
              <w:rPr>
                <w:rFonts w:cs="Times New Roman"/>
                <w:bCs/>
                <w:sz w:val="18"/>
                <w:szCs w:val="18"/>
              </w:rPr>
            </w:pPr>
            <w:r w:rsidRPr="001162D3">
              <w:rPr>
                <w:sz w:val="18"/>
                <w:szCs w:val="18"/>
              </w:rPr>
              <w:t>23,6</w:t>
            </w:r>
          </w:p>
        </w:tc>
      </w:tr>
      <w:tr w:rsidR="007C70FB" w:rsidRPr="001162D3" w14:paraId="106C21C1" w14:textId="77777777" w:rsidTr="007C70FB">
        <w:trPr>
          <w:trHeight w:val="283"/>
        </w:trPr>
        <w:tc>
          <w:tcPr>
            <w:tcW w:w="0" w:type="auto"/>
            <w:tcBorders>
              <w:top w:val="nil"/>
              <w:left w:val="nil"/>
              <w:bottom w:val="nil"/>
              <w:right w:val="nil"/>
            </w:tcBorders>
            <w:shd w:val="clear" w:color="000000" w:fill="FFFFFF"/>
            <w:noWrap/>
            <w:vAlign w:val="center"/>
            <w:hideMark/>
          </w:tcPr>
          <w:p w14:paraId="71952A1A" w14:textId="77777777" w:rsidR="00D73008" w:rsidRPr="001162D3" w:rsidRDefault="00D73008" w:rsidP="00387AE5">
            <w:pPr>
              <w:ind w:firstLineChars="300" w:firstLine="540"/>
              <w:rPr>
                <w:rFonts w:cs="Times New Roman"/>
                <w:sz w:val="18"/>
                <w:szCs w:val="18"/>
              </w:rPr>
            </w:pPr>
            <w:r w:rsidRPr="001162D3">
              <w:rPr>
                <w:rFonts w:cs="Times New Roman"/>
                <w:sz w:val="18"/>
                <w:szCs w:val="18"/>
              </w:rPr>
              <w:t>A. Výdavky na starobné dôchodky</w:t>
            </w:r>
          </w:p>
        </w:tc>
        <w:tc>
          <w:tcPr>
            <w:tcW w:w="0" w:type="auto"/>
            <w:tcBorders>
              <w:top w:val="nil"/>
              <w:left w:val="nil"/>
              <w:bottom w:val="nil"/>
              <w:right w:val="nil"/>
            </w:tcBorders>
            <w:shd w:val="clear" w:color="auto" w:fill="auto"/>
            <w:vAlign w:val="center"/>
            <w:hideMark/>
          </w:tcPr>
          <w:p w14:paraId="027D1C90" w14:textId="77777777" w:rsidR="00D73008" w:rsidRPr="001162D3" w:rsidRDefault="00D73008" w:rsidP="00387AE5">
            <w:pPr>
              <w:jc w:val="center"/>
              <w:rPr>
                <w:rFonts w:cs="Times New Roman"/>
                <w:sz w:val="18"/>
                <w:szCs w:val="18"/>
              </w:rPr>
            </w:pPr>
            <w:r w:rsidRPr="001162D3">
              <w:rPr>
                <w:sz w:val="18"/>
                <w:szCs w:val="18"/>
              </w:rPr>
              <w:t>8,3</w:t>
            </w:r>
          </w:p>
        </w:tc>
        <w:tc>
          <w:tcPr>
            <w:tcW w:w="0" w:type="auto"/>
            <w:tcBorders>
              <w:top w:val="nil"/>
              <w:left w:val="nil"/>
              <w:bottom w:val="nil"/>
              <w:right w:val="nil"/>
            </w:tcBorders>
            <w:shd w:val="clear" w:color="auto" w:fill="auto"/>
            <w:vAlign w:val="center"/>
            <w:hideMark/>
          </w:tcPr>
          <w:p w14:paraId="14BD7032" w14:textId="77777777" w:rsidR="00D73008" w:rsidRPr="001162D3" w:rsidRDefault="00D73008" w:rsidP="00387AE5">
            <w:pPr>
              <w:jc w:val="center"/>
              <w:rPr>
                <w:rFonts w:cs="Times New Roman"/>
                <w:sz w:val="18"/>
                <w:szCs w:val="18"/>
              </w:rPr>
            </w:pPr>
            <w:r w:rsidRPr="001162D3">
              <w:rPr>
                <w:sz w:val="18"/>
                <w:szCs w:val="18"/>
              </w:rPr>
              <w:t>7,8</w:t>
            </w:r>
          </w:p>
        </w:tc>
        <w:tc>
          <w:tcPr>
            <w:tcW w:w="0" w:type="auto"/>
            <w:gridSpan w:val="2"/>
            <w:tcBorders>
              <w:top w:val="nil"/>
              <w:left w:val="nil"/>
              <w:bottom w:val="nil"/>
              <w:right w:val="nil"/>
            </w:tcBorders>
            <w:shd w:val="clear" w:color="auto" w:fill="auto"/>
            <w:vAlign w:val="center"/>
            <w:hideMark/>
          </w:tcPr>
          <w:p w14:paraId="4285E444" w14:textId="77777777" w:rsidR="00D73008" w:rsidRPr="001162D3" w:rsidRDefault="00D73008" w:rsidP="00387AE5">
            <w:pPr>
              <w:jc w:val="center"/>
              <w:rPr>
                <w:rFonts w:cs="Times New Roman"/>
                <w:sz w:val="18"/>
                <w:szCs w:val="18"/>
              </w:rPr>
            </w:pPr>
            <w:r w:rsidRPr="001162D3">
              <w:rPr>
                <w:sz w:val="18"/>
                <w:szCs w:val="18"/>
              </w:rPr>
              <w:t>8,6</w:t>
            </w:r>
          </w:p>
        </w:tc>
        <w:tc>
          <w:tcPr>
            <w:tcW w:w="0" w:type="auto"/>
            <w:tcBorders>
              <w:top w:val="nil"/>
              <w:left w:val="nil"/>
              <w:bottom w:val="nil"/>
              <w:right w:val="nil"/>
            </w:tcBorders>
            <w:shd w:val="clear" w:color="auto" w:fill="auto"/>
            <w:vAlign w:val="center"/>
            <w:hideMark/>
          </w:tcPr>
          <w:p w14:paraId="2592D4BA" w14:textId="77777777" w:rsidR="00D73008" w:rsidRPr="001162D3" w:rsidRDefault="00D73008" w:rsidP="00387AE5">
            <w:pPr>
              <w:jc w:val="center"/>
              <w:rPr>
                <w:rFonts w:cs="Times New Roman"/>
                <w:sz w:val="18"/>
                <w:szCs w:val="18"/>
              </w:rPr>
            </w:pPr>
            <w:r w:rsidRPr="001162D3">
              <w:rPr>
                <w:sz w:val="18"/>
                <w:szCs w:val="18"/>
              </w:rPr>
              <w:t>10,2</w:t>
            </w:r>
          </w:p>
        </w:tc>
        <w:tc>
          <w:tcPr>
            <w:tcW w:w="0" w:type="auto"/>
            <w:tcBorders>
              <w:top w:val="nil"/>
              <w:left w:val="nil"/>
              <w:bottom w:val="nil"/>
              <w:right w:val="nil"/>
            </w:tcBorders>
            <w:shd w:val="clear" w:color="auto" w:fill="auto"/>
            <w:vAlign w:val="center"/>
            <w:hideMark/>
          </w:tcPr>
          <w:p w14:paraId="0CF7BD1D" w14:textId="77777777" w:rsidR="00D73008" w:rsidRPr="001162D3" w:rsidRDefault="00D73008" w:rsidP="00387AE5">
            <w:pPr>
              <w:jc w:val="center"/>
              <w:rPr>
                <w:rFonts w:cs="Times New Roman"/>
                <w:sz w:val="18"/>
                <w:szCs w:val="18"/>
              </w:rPr>
            </w:pPr>
            <w:r w:rsidRPr="001162D3">
              <w:rPr>
                <w:sz w:val="18"/>
                <w:szCs w:val="18"/>
              </w:rPr>
              <w:t>11,6</w:t>
            </w:r>
          </w:p>
        </w:tc>
        <w:tc>
          <w:tcPr>
            <w:tcW w:w="469" w:type="dxa"/>
            <w:tcBorders>
              <w:top w:val="nil"/>
              <w:left w:val="nil"/>
              <w:bottom w:val="nil"/>
              <w:right w:val="nil"/>
            </w:tcBorders>
            <w:shd w:val="clear" w:color="auto" w:fill="auto"/>
            <w:vAlign w:val="center"/>
          </w:tcPr>
          <w:p w14:paraId="171EB756" w14:textId="77777777" w:rsidR="00D73008" w:rsidRPr="001162D3" w:rsidRDefault="00D73008" w:rsidP="00387AE5">
            <w:pPr>
              <w:jc w:val="center"/>
              <w:rPr>
                <w:rFonts w:cs="Times New Roman"/>
                <w:sz w:val="18"/>
                <w:szCs w:val="18"/>
              </w:rPr>
            </w:pPr>
            <w:r w:rsidRPr="001162D3">
              <w:rPr>
                <w:sz w:val="18"/>
                <w:szCs w:val="18"/>
              </w:rPr>
              <w:t>11,5</w:t>
            </w:r>
          </w:p>
        </w:tc>
      </w:tr>
      <w:tr w:rsidR="007C70FB" w:rsidRPr="001162D3" w14:paraId="34197021" w14:textId="77777777" w:rsidTr="007C70FB">
        <w:trPr>
          <w:trHeight w:val="283"/>
        </w:trPr>
        <w:tc>
          <w:tcPr>
            <w:tcW w:w="0" w:type="auto"/>
            <w:tcBorders>
              <w:top w:val="nil"/>
              <w:left w:val="nil"/>
              <w:bottom w:val="nil"/>
              <w:right w:val="nil"/>
            </w:tcBorders>
            <w:shd w:val="clear" w:color="000000" w:fill="FFFFFF"/>
            <w:noWrap/>
            <w:vAlign w:val="center"/>
            <w:hideMark/>
          </w:tcPr>
          <w:p w14:paraId="1F57B5D8" w14:textId="77777777" w:rsidR="00D73008" w:rsidRPr="001162D3" w:rsidRDefault="00D73008" w:rsidP="00387AE5">
            <w:pPr>
              <w:ind w:firstLineChars="500" w:firstLine="900"/>
              <w:rPr>
                <w:rFonts w:cs="Times New Roman"/>
                <w:sz w:val="18"/>
                <w:szCs w:val="18"/>
              </w:rPr>
            </w:pPr>
            <w:r w:rsidRPr="001162D3">
              <w:rPr>
                <w:rFonts w:cs="Times New Roman"/>
                <w:sz w:val="18"/>
                <w:szCs w:val="18"/>
              </w:rPr>
              <w:t>a) Starobné a predčasné starobné dôchodky</w:t>
            </w:r>
          </w:p>
        </w:tc>
        <w:tc>
          <w:tcPr>
            <w:tcW w:w="0" w:type="auto"/>
            <w:tcBorders>
              <w:top w:val="nil"/>
              <w:left w:val="nil"/>
              <w:bottom w:val="nil"/>
              <w:right w:val="nil"/>
            </w:tcBorders>
            <w:shd w:val="clear" w:color="auto" w:fill="auto"/>
            <w:vAlign w:val="center"/>
            <w:hideMark/>
          </w:tcPr>
          <w:p w14:paraId="02E7D2F3" w14:textId="77777777" w:rsidR="00D73008" w:rsidRPr="001162D3" w:rsidRDefault="00D73008" w:rsidP="00387AE5">
            <w:pPr>
              <w:jc w:val="center"/>
              <w:rPr>
                <w:rFonts w:cs="Times New Roman"/>
                <w:sz w:val="18"/>
                <w:szCs w:val="18"/>
              </w:rPr>
            </w:pPr>
            <w:r w:rsidRPr="001162D3">
              <w:rPr>
                <w:sz w:val="18"/>
                <w:szCs w:val="18"/>
              </w:rPr>
              <w:t>6,5</w:t>
            </w:r>
          </w:p>
        </w:tc>
        <w:tc>
          <w:tcPr>
            <w:tcW w:w="0" w:type="auto"/>
            <w:tcBorders>
              <w:top w:val="nil"/>
              <w:left w:val="nil"/>
              <w:bottom w:val="nil"/>
              <w:right w:val="nil"/>
            </w:tcBorders>
            <w:shd w:val="clear" w:color="auto" w:fill="auto"/>
            <w:vAlign w:val="center"/>
            <w:hideMark/>
          </w:tcPr>
          <w:p w14:paraId="12945F97" w14:textId="77777777" w:rsidR="00D73008" w:rsidRPr="001162D3" w:rsidRDefault="00D73008" w:rsidP="00387AE5">
            <w:pPr>
              <w:jc w:val="center"/>
              <w:rPr>
                <w:rFonts w:cs="Times New Roman"/>
                <w:sz w:val="18"/>
                <w:szCs w:val="18"/>
              </w:rPr>
            </w:pPr>
            <w:r w:rsidRPr="001162D3">
              <w:rPr>
                <w:sz w:val="18"/>
                <w:szCs w:val="18"/>
              </w:rPr>
              <w:t>6,1</w:t>
            </w:r>
          </w:p>
        </w:tc>
        <w:tc>
          <w:tcPr>
            <w:tcW w:w="0" w:type="auto"/>
            <w:gridSpan w:val="2"/>
            <w:tcBorders>
              <w:top w:val="nil"/>
              <w:left w:val="nil"/>
              <w:bottom w:val="nil"/>
              <w:right w:val="nil"/>
            </w:tcBorders>
            <w:shd w:val="clear" w:color="auto" w:fill="auto"/>
            <w:vAlign w:val="center"/>
            <w:hideMark/>
          </w:tcPr>
          <w:p w14:paraId="6123D6E2" w14:textId="77777777" w:rsidR="00D73008" w:rsidRPr="001162D3" w:rsidRDefault="00D73008" w:rsidP="00387AE5">
            <w:pPr>
              <w:jc w:val="center"/>
              <w:rPr>
                <w:rFonts w:cs="Times New Roman"/>
                <w:sz w:val="18"/>
                <w:szCs w:val="18"/>
              </w:rPr>
            </w:pPr>
            <w:r w:rsidRPr="001162D3">
              <w:rPr>
                <w:sz w:val="18"/>
                <w:szCs w:val="18"/>
              </w:rPr>
              <w:t>6,7</w:t>
            </w:r>
          </w:p>
        </w:tc>
        <w:tc>
          <w:tcPr>
            <w:tcW w:w="0" w:type="auto"/>
            <w:tcBorders>
              <w:top w:val="nil"/>
              <w:left w:val="nil"/>
              <w:bottom w:val="nil"/>
              <w:right w:val="nil"/>
            </w:tcBorders>
            <w:shd w:val="clear" w:color="auto" w:fill="auto"/>
            <w:vAlign w:val="center"/>
            <w:hideMark/>
          </w:tcPr>
          <w:p w14:paraId="36F78155" w14:textId="77777777" w:rsidR="00D73008" w:rsidRPr="001162D3" w:rsidRDefault="00D73008" w:rsidP="00387AE5">
            <w:pPr>
              <w:jc w:val="center"/>
              <w:rPr>
                <w:rFonts w:cs="Times New Roman"/>
                <w:sz w:val="18"/>
                <w:szCs w:val="18"/>
              </w:rPr>
            </w:pPr>
            <w:r w:rsidRPr="001162D3">
              <w:rPr>
                <w:sz w:val="18"/>
                <w:szCs w:val="18"/>
              </w:rPr>
              <w:t>8,1</w:t>
            </w:r>
          </w:p>
        </w:tc>
        <w:tc>
          <w:tcPr>
            <w:tcW w:w="0" w:type="auto"/>
            <w:tcBorders>
              <w:top w:val="nil"/>
              <w:left w:val="nil"/>
              <w:bottom w:val="nil"/>
              <w:right w:val="nil"/>
            </w:tcBorders>
            <w:shd w:val="clear" w:color="auto" w:fill="auto"/>
            <w:vAlign w:val="center"/>
            <w:hideMark/>
          </w:tcPr>
          <w:p w14:paraId="50295C90" w14:textId="77777777" w:rsidR="00D73008" w:rsidRPr="001162D3" w:rsidRDefault="00D73008" w:rsidP="00387AE5">
            <w:pPr>
              <w:jc w:val="center"/>
              <w:rPr>
                <w:rFonts w:cs="Times New Roman"/>
                <w:sz w:val="18"/>
                <w:szCs w:val="18"/>
              </w:rPr>
            </w:pPr>
            <w:r w:rsidRPr="001162D3">
              <w:rPr>
                <w:sz w:val="18"/>
                <w:szCs w:val="18"/>
              </w:rPr>
              <w:t>9,3</w:t>
            </w:r>
          </w:p>
        </w:tc>
        <w:tc>
          <w:tcPr>
            <w:tcW w:w="469" w:type="dxa"/>
            <w:tcBorders>
              <w:top w:val="nil"/>
              <w:left w:val="nil"/>
              <w:bottom w:val="nil"/>
              <w:right w:val="nil"/>
            </w:tcBorders>
            <w:shd w:val="clear" w:color="auto" w:fill="auto"/>
            <w:vAlign w:val="center"/>
          </w:tcPr>
          <w:p w14:paraId="5DD0F37A" w14:textId="77777777" w:rsidR="00D73008" w:rsidRPr="001162D3" w:rsidRDefault="00D73008" w:rsidP="00387AE5">
            <w:pPr>
              <w:jc w:val="center"/>
              <w:rPr>
                <w:rFonts w:cs="Times New Roman"/>
                <w:sz w:val="18"/>
                <w:szCs w:val="18"/>
              </w:rPr>
            </w:pPr>
            <w:r w:rsidRPr="001162D3">
              <w:rPr>
                <w:sz w:val="18"/>
                <w:szCs w:val="18"/>
              </w:rPr>
              <w:t>9,1</w:t>
            </w:r>
          </w:p>
        </w:tc>
      </w:tr>
      <w:tr w:rsidR="007C70FB" w:rsidRPr="001162D3" w14:paraId="3796253B" w14:textId="77777777" w:rsidTr="007C70FB">
        <w:trPr>
          <w:trHeight w:val="283"/>
        </w:trPr>
        <w:tc>
          <w:tcPr>
            <w:tcW w:w="0" w:type="auto"/>
            <w:tcBorders>
              <w:top w:val="nil"/>
              <w:left w:val="nil"/>
              <w:bottom w:val="nil"/>
              <w:right w:val="nil"/>
            </w:tcBorders>
            <w:shd w:val="clear" w:color="000000" w:fill="FFFFFF"/>
            <w:noWrap/>
            <w:vAlign w:val="center"/>
            <w:hideMark/>
          </w:tcPr>
          <w:p w14:paraId="4EEF6F8A" w14:textId="77777777" w:rsidR="00D73008" w:rsidRPr="001162D3" w:rsidRDefault="00D73008" w:rsidP="00387AE5">
            <w:pPr>
              <w:ind w:firstLineChars="500" w:firstLine="900"/>
              <w:rPr>
                <w:rFonts w:cs="Times New Roman"/>
                <w:sz w:val="18"/>
                <w:szCs w:val="18"/>
              </w:rPr>
            </w:pPr>
            <w:r w:rsidRPr="001162D3">
              <w:rPr>
                <w:rFonts w:cs="Times New Roman"/>
                <w:sz w:val="18"/>
                <w:szCs w:val="18"/>
              </w:rPr>
              <w:t>b) Ostatné dôchodky (invalidné, pozostalostné)</w:t>
            </w:r>
          </w:p>
        </w:tc>
        <w:tc>
          <w:tcPr>
            <w:tcW w:w="0" w:type="auto"/>
            <w:tcBorders>
              <w:top w:val="nil"/>
              <w:left w:val="nil"/>
              <w:bottom w:val="nil"/>
              <w:right w:val="nil"/>
            </w:tcBorders>
            <w:shd w:val="clear" w:color="auto" w:fill="auto"/>
            <w:vAlign w:val="center"/>
            <w:hideMark/>
          </w:tcPr>
          <w:p w14:paraId="5296DAE5" w14:textId="77777777" w:rsidR="00D73008" w:rsidRPr="001162D3" w:rsidRDefault="00D73008" w:rsidP="00387AE5">
            <w:pPr>
              <w:jc w:val="center"/>
              <w:rPr>
                <w:rFonts w:cs="Times New Roman"/>
                <w:sz w:val="18"/>
                <w:szCs w:val="18"/>
              </w:rPr>
            </w:pPr>
            <w:r w:rsidRPr="001162D3">
              <w:rPr>
                <w:sz w:val="18"/>
                <w:szCs w:val="18"/>
              </w:rPr>
              <w:t>1,8</w:t>
            </w:r>
          </w:p>
        </w:tc>
        <w:tc>
          <w:tcPr>
            <w:tcW w:w="0" w:type="auto"/>
            <w:tcBorders>
              <w:top w:val="nil"/>
              <w:left w:val="nil"/>
              <w:bottom w:val="nil"/>
              <w:right w:val="nil"/>
            </w:tcBorders>
            <w:shd w:val="clear" w:color="auto" w:fill="auto"/>
            <w:vAlign w:val="center"/>
            <w:hideMark/>
          </w:tcPr>
          <w:p w14:paraId="00587443" w14:textId="77777777" w:rsidR="00D73008" w:rsidRPr="001162D3" w:rsidRDefault="00D73008" w:rsidP="00387AE5">
            <w:pPr>
              <w:jc w:val="center"/>
              <w:rPr>
                <w:rFonts w:cs="Times New Roman"/>
                <w:sz w:val="18"/>
                <w:szCs w:val="18"/>
              </w:rPr>
            </w:pPr>
            <w:r w:rsidRPr="001162D3">
              <w:rPr>
                <w:sz w:val="18"/>
                <w:szCs w:val="18"/>
              </w:rPr>
              <w:t>1,7</w:t>
            </w:r>
          </w:p>
        </w:tc>
        <w:tc>
          <w:tcPr>
            <w:tcW w:w="0" w:type="auto"/>
            <w:gridSpan w:val="2"/>
            <w:tcBorders>
              <w:top w:val="nil"/>
              <w:left w:val="nil"/>
              <w:bottom w:val="nil"/>
              <w:right w:val="nil"/>
            </w:tcBorders>
            <w:shd w:val="clear" w:color="auto" w:fill="auto"/>
            <w:vAlign w:val="center"/>
            <w:hideMark/>
          </w:tcPr>
          <w:p w14:paraId="5C70E57C" w14:textId="77777777" w:rsidR="00D73008" w:rsidRPr="001162D3" w:rsidRDefault="00D73008" w:rsidP="00387AE5">
            <w:pPr>
              <w:jc w:val="center"/>
              <w:rPr>
                <w:rFonts w:cs="Times New Roman"/>
                <w:sz w:val="18"/>
                <w:szCs w:val="18"/>
              </w:rPr>
            </w:pPr>
            <w:r w:rsidRPr="001162D3">
              <w:rPr>
                <w:sz w:val="18"/>
                <w:szCs w:val="18"/>
              </w:rPr>
              <w:t>1,9</w:t>
            </w:r>
          </w:p>
        </w:tc>
        <w:tc>
          <w:tcPr>
            <w:tcW w:w="0" w:type="auto"/>
            <w:tcBorders>
              <w:top w:val="nil"/>
              <w:left w:val="nil"/>
              <w:bottom w:val="nil"/>
              <w:right w:val="nil"/>
            </w:tcBorders>
            <w:shd w:val="clear" w:color="auto" w:fill="auto"/>
            <w:vAlign w:val="center"/>
            <w:hideMark/>
          </w:tcPr>
          <w:p w14:paraId="7220BA42" w14:textId="77777777" w:rsidR="00D73008" w:rsidRPr="001162D3" w:rsidRDefault="00D73008" w:rsidP="00387AE5">
            <w:pPr>
              <w:jc w:val="center"/>
              <w:rPr>
                <w:rFonts w:cs="Times New Roman"/>
                <w:sz w:val="18"/>
                <w:szCs w:val="18"/>
              </w:rPr>
            </w:pPr>
            <w:r w:rsidRPr="001162D3">
              <w:rPr>
                <w:sz w:val="18"/>
                <w:szCs w:val="18"/>
              </w:rPr>
              <w:t>2,1</w:t>
            </w:r>
          </w:p>
        </w:tc>
        <w:tc>
          <w:tcPr>
            <w:tcW w:w="0" w:type="auto"/>
            <w:tcBorders>
              <w:top w:val="nil"/>
              <w:left w:val="nil"/>
              <w:bottom w:val="nil"/>
              <w:right w:val="nil"/>
            </w:tcBorders>
            <w:shd w:val="clear" w:color="auto" w:fill="auto"/>
            <w:vAlign w:val="center"/>
            <w:hideMark/>
          </w:tcPr>
          <w:p w14:paraId="6C9679FF" w14:textId="77777777" w:rsidR="00D73008" w:rsidRPr="001162D3" w:rsidRDefault="00D73008" w:rsidP="00387AE5">
            <w:pPr>
              <w:jc w:val="center"/>
              <w:rPr>
                <w:rFonts w:cs="Times New Roman"/>
                <w:sz w:val="18"/>
                <w:szCs w:val="18"/>
              </w:rPr>
            </w:pPr>
            <w:r w:rsidRPr="001162D3">
              <w:rPr>
                <w:sz w:val="18"/>
                <w:szCs w:val="18"/>
              </w:rPr>
              <w:t>2,3</w:t>
            </w:r>
          </w:p>
        </w:tc>
        <w:tc>
          <w:tcPr>
            <w:tcW w:w="469" w:type="dxa"/>
            <w:tcBorders>
              <w:top w:val="nil"/>
              <w:left w:val="nil"/>
              <w:bottom w:val="nil"/>
              <w:right w:val="nil"/>
            </w:tcBorders>
            <w:shd w:val="clear" w:color="auto" w:fill="auto"/>
            <w:vAlign w:val="center"/>
          </w:tcPr>
          <w:p w14:paraId="63D32DEF" w14:textId="77777777" w:rsidR="00D73008" w:rsidRPr="001162D3" w:rsidRDefault="00D73008" w:rsidP="00387AE5">
            <w:pPr>
              <w:jc w:val="center"/>
              <w:rPr>
                <w:rFonts w:cs="Times New Roman"/>
                <w:sz w:val="18"/>
                <w:szCs w:val="18"/>
              </w:rPr>
            </w:pPr>
            <w:r w:rsidRPr="001162D3">
              <w:rPr>
                <w:sz w:val="18"/>
                <w:szCs w:val="18"/>
              </w:rPr>
              <w:t>2,4</w:t>
            </w:r>
          </w:p>
        </w:tc>
      </w:tr>
      <w:tr w:rsidR="007C70FB" w:rsidRPr="001162D3" w14:paraId="7526A7C3" w14:textId="77777777" w:rsidTr="007C70FB">
        <w:trPr>
          <w:trHeight w:val="283"/>
        </w:trPr>
        <w:tc>
          <w:tcPr>
            <w:tcW w:w="0" w:type="auto"/>
            <w:tcBorders>
              <w:top w:val="nil"/>
              <w:left w:val="nil"/>
              <w:bottom w:val="nil"/>
              <w:right w:val="nil"/>
            </w:tcBorders>
            <w:shd w:val="clear" w:color="000000" w:fill="FFFFFF"/>
            <w:noWrap/>
            <w:vAlign w:val="center"/>
            <w:hideMark/>
          </w:tcPr>
          <w:p w14:paraId="161F287F" w14:textId="77777777" w:rsidR="00D73008" w:rsidRPr="001162D3" w:rsidRDefault="00D73008" w:rsidP="00387AE5">
            <w:pPr>
              <w:ind w:firstLineChars="300" w:firstLine="540"/>
              <w:rPr>
                <w:rFonts w:cs="Times New Roman"/>
                <w:sz w:val="18"/>
                <w:szCs w:val="18"/>
              </w:rPr>
            </w:pPr>
            <w:r w:rsidRPr="001162D3">
              <w:rPr>
                <w:rFonts w:cs="Times New Roman"/>
                <w:sz w:val="18"/>
                <w:szCs w:val="18"/>
              </w:rPr>
              <w:t>B. Zdravotná starostlivosť</w:t>
            </w:r>
          </w:p>
        </w:tc>
        <w:tc>
          <w:tcPr>
            <w:tcW w:w="0" w:type="auto"/>
            <w:tcBorders>
              <w:top w:val="nil"/>
              <w:left w:val="nil"/>
              <w:bottom w:val="nil"/>
              <w:right w:val="nil"/>
            </w:tcBorders>
            <w:shd w:val="clear" w:color="auto" w:fill="auto"/>
            <w:vAlign w:val="center"/>
            <w:hideMark/>
          </w:tcPr>
          <w:p w14:paraId="44613E5E" w14:textId="77777777" w:rsidR="00D73008" w:rsidRPr="001162D3" w:rsidRDefault="00D73008" w:rsidP="00387AE5">
            <w:pPr>
              <w:jc w:val="center"/>
              <w:rPr>
                <w:rFonts w:cs="Times New Roman"/>
                <w:sz w:val="18"/>
                <w:szCs w:val="18"/>
              </w:rPr>
            </w:pPr>
            <w:r w:rsidRPr="001162D3">
              <w:rPr>
                <w:sz w:val="18"/>
                <w:szCs w:val="18"/>
              </w:rPr>
              <w:t>5,8</w:t>
            </w:r>
          </w:p>
        </w:tc>
        <w:tc>
          <w:tcPr>
            <w:tcW w:w="0" w:type="auto"/>
            <w:tcBorders>
              <w:top w:val="nil"/>
              <w:left w:val="nil"/>
              <w:bottom w:val="nil"/>
              <w:right w:val="nil"/>
            </w:tcBorders>
            <w:shd w:val="clear" w:color="auto" w:fill="auto"/>
            <w:vAlign w:val="center"/>
            <w:hideMark/>
          </w:tcPr>
          <w:p w14:paraId="61A278C2" w14:textId="77777777" w:rsidR="00D73008" w:rsidRPr="001162D3" w:rsidRDefault="00D73008" w:rsidP="00387AE5">
            <w:pPr>
              <w:jc w:val="center"/>
              <w:rPr>
                <w:rFonts w:cs="Times New Roman"/>
                <w:sz w:val="18"/>
                <w:szCs w:val="18"/>
              </w:rPr>
            </w:pPr>
            <w:r w:rsidRPr="001162D3">
              <w:rPr>
                <w:sz w:val="18"/>
                <w:szCs w:val="18"/>
              </w:rPr>
              <w:t>6,2</w:t>
            </w:r>
          </w:p>
        </w:tc>
        <w:tc>
          <w:tcPr>
            <w:tcW w:w="0" w:type="auto"/>
            <w:gridSpan w:val="2"/>
            <w:tcBorders>
              <w:top w:val="nil"/>
              <w:left w:val="nil"/>
              <w:bottom w:val="nil"/>
              <w:right w:val="nil"/>
            </w:tcBorders>
            <w:shd w:val="clear" w:color="auto" w:fill="auto"/>
            <w:vAlign w:val="center"/>
            <w:hideMark/>
          </w:tcPr>
          <w:p w14:paraId="30FF97CC" w14:textId="77777777" w:rsidR="00D73008" w:rsidRPr="001162D3" w:rsidRDefault="00D73008" w:rsidP="00387AE5">
            <w:pPr>
              <w:jc w:val="center"/>
              <w:rPr>
                <w:rFonts w:cs="Times New Roman"/>
                <w:sz w:val="18"/>
                <w:szCs w:val="18"/>
              </w:rPr>
            </w:pPr>
            <w:r w:rsidRPr="001162D3">
              <w:rPr>
                <w:sz w:val="18"/>
                <w:szCs w:val="18"/>
              </w:rPr>
              <w:t>6,6</w:t>
            </w:r>
          </w:p>
        </w:tc>
        <w:tc>
          <w:tcPr>
            <w:tcW w:w="0" w:type="auto"/>
            <w:tcBorders>
              <w:top w:val="nil"/>
              <w:left w:val="nil"/>
              <w:bottom w:val="nil"/>
              <w:right w:val="nil"/>
            </w:tcBorders>
            <w:shd w:val="clear" w:color="auto" w:fill="auto"/>
            <w:vAlign w:val="center"/>
            <w:hideMark/>
          </w:tcPr>
          <w:p w14:paraId="586F4779" w14:textId="77777777" w:rsidR="00D73008" w:rsidRPr="001162D3" w:rsidRDefault="00D73008" w:rsidP="00387AE5">
            <w:pPr>
              <w:jc w:val="center"/>
              <w:rPr>
                <w:rFonts w:cs="Times New Roman"/>
                <w:sz w:val="18"/>
                <w:szCs w:val="18"/>
              </w:rPr>
            </w:pPr>
            <w:r w:rsidRPr="001162D3">
              <w:rPr>
                <w:sz w:val="18"/>
                <w:szCs w:val="18"/>
              </w:rPr>
              <w:t>6,9</w:t>
            </w:r>
          </w:p>
        </w:tc>
        <w:tc>
          <w:tcPr>
            <w:tcW w:w="0" w:type="auto"/>
            <w:tcBorders>
              <w:top w:val="nil"/>
              <w:left w:val="nil"/>
              <w:bottom w:val="nil"/>
              <w:right w:val="nil"/>
            </w:tcBorders>
            <w:shd w:val="clear" w:color="auto" w:fill="auto"/>
            <w:vAlign w:val="center"/>
            <w:hideMark/>
          </w:tcPr>
          <w:p w14:paraId="4015C90B" w14:textId="77777777" w:rsidR="00D73008" w:rsidRPr="001162D3" w:rsidRDefault="00D73008" w:rsidP="00387AE5">
            <w:pPr>
              <w:jc w:val="center"/>
              <w:rPr>
                <w:rFonts w:cs="Times New Roman"/>
                <w:sz w:val="18"/>
                <w:szCs w:val="18"/>
              </w:rPr>
            </w:pPr>
            <w:r w:rsidRPr="001162D3">
              <w:rPr>
                <w:sz w:val="18"/>
                <w:szCs w:val="18"/>
              </w:rPr>
              <w:t>7,0</w:t>
            </w:r>
          </w:p>
        </w:tc>
        <w:tc>
          <w:tcPr>
            <w:tcW w:w="469" w:type="dxa"/>
            <w:tcBorders>
              <w:top w:val="nil"/>
              <w:left w:val="nil"/>
              <w:bottom w:val="nil"/>
              <w:right w:val="nil"/>
            </w:tcBorders>
            <w:shd w:val="clear" w:color="auto" w:fill="auto"/>
            <w:vAlign w:val="center"/>
          </w:tcPr>
          <w:p w14:paraId="1ECE8DE7" w14:textId="77777777" w:rsidR="00D73008" w:rsidRPr="001162D3" w:rsidRDefault="00D73008" w:rsidP="00387AE5">
            <w:pPr>
              <w:jc w:val="center"/>
              <w:rPr>
                <w:rFonts w:cs="Times New Roman"/>
                <w:sz w:val="18"/>
                <w:szCs w:val="18"/>
              </w:rPr>
            </w:pPr>
            <w:r w:rsidRPr="001162D3">
              <w:rPr>
                <w:sz w:val="18"/>
                <w:szCs w:val="18"/>
              </w:rPr>
              <w:t>6,8</w:t>
            </w:r>
          </w:p>
        </w:tc>
      </w:tr>
      <w:tr w:rsidR="007C70FB" w:rsidRPr="001162D3" w14:paraId="3C936701" w14:textId="77777777" w:rsidTr="007C70FB">
        <w:trPr>
          <w:trHeight w:val="283"/>
        </w:trPr>
        <w:tc>
          <w:tcPr>
            <w:tcW w:w="0" w:type="auto"/>
            <w:tcBorders>
              <w:top w:val="nil"/>
              <w:left w:val="nil"/>
              <w:bottom w:val="nil"/>
              <w:right w:val="nil"/>
            </w:tcBorders>
            <w:shd w:val="clear" w:color="000000" w:fill="FFFFFF"/>
            <w:noWrap/>
            <w:vAlign w:val="center"/>
            <w:hideMark/>
          </w:tcPr>
          <w:p w14:paraId="66FEE3AA" w14:textId="77777777" w:rsidR="00D73008" w:rsidRPr="001162D3" w:rsidRDefault="00D73008" w:rsidP="00387AE5">
            <w:pPr>
              <w:ind w:firstLineChars="300" w:firstLine="540"/>
              <w:rPr>
                <w:rFonts w:cs="Times New Roman"/>
                <w:sz w:val="18"/>
                <w:szCs w:val="18"/>
              </w:rPr>
            </w:pPr>
            <w:r w:rsidRPr="001162D3">
              <w:rPr>
                <w:rFonts w:cs="Times New Roman"/>
                <w:sz w:val="18"/>
                <w:szCs w:val="18"/>
              </w:rPr>
              <w:t xml:space="preserve">C. Dlhodobá starostlivosť </w:t>
            </w:r>
          </w:p>
        </w:tc>
        <w:tc>
          <w:tcPr>
            <w:tcW w:w="0" w:type="auto"/>
            <w:tcBorders>
              <w:top w:val="nil"/>
              <w:left w:val="nil"/>
              <w:bottom w:val="nil"/>
              <w:right w:val="nil"/>
            </w:tcBorders>
            <w:shd w:val="clear" w:color="auto" w:fill="auto"/>
            <w:vAlign w:val="center"/>
            <w:hideMark/>
          </w:tcPr>
          <w:p w14:paraId="5B70EC77" w14:textId="77777777" w:rsidR="00D73008" w:rsidRPr="001162D3" w:rsidRDefault="00D73008" w:rsidP="00387AE5">
            <w:pPr>
              <w:jc w:val="center"/>
              <w:rPr>
                <w:rFonts w:cs="Times New Roman"/>
                <w:sz w:val="18"/>
                <w:szCs w:val="18"/>
              </w:rPr>
            </w:pPr>
            <w:r w:rsidRPr="001162D3">
              <w:rPr>
                <w:sz w:val="18"/>
                <w:szCs w:val="18"/>
              </w:rPr>
              <w:t>0,9</w:t>
            </w:r>
          </w:p>
        </w:tc>
        <w:tc>
          <w:tcPr>
            <w:tcW w:w="0" w:type="auto"/>
            <w:tcBorders>
              <w:top w:val="nil"/>
              <w:left w:val="nil"/>
              <w:bottom w:val="nil"/>
              <w:right w:val="nil"/>
            </w:tcBorders>
            <w:shd w:val="clear" w:color="auto" w:fill="auto"/>
            <w:vAlign w:val="center"/>
            <w:hideMark/>
          </w:tcPr>
          <w:p w14:paraId="162C66CD" w14:textId="77777777" w:rsidR="00D73008" w:rsidRPr="001162D3" w:rsidRDefault="00D73008" w:rsidP="00387AE5">
            <w:pPr>
              <w:jc w:val="center"/>
              <w:rPr>
                <w:rFonts w:cs="Times New Roman"/>
                <w:sz w:val="18"/>
                <w:szCs w:val="18"/>
              </w:rPr>
            </w:pPr>
            <w:r w:rsidRPr="001162D3">
              <w:rPr>
                <w:sz w:val="18"/>
                <w:szCs w:val="18"/>
              </w:rPr>
              <w:t>1,1</w:t>
            </w:r>
          </w:p>
        </w:tc>
        <w:tc>
          <w:tcPr>
            <w:tcW w:w="0" w:type="auto"/>
            <w:gridSpan w:val="2"/>
            <w:tcBorders>
              <w:top w:val="nil"/>
              <w:left w:val="nil"/>
              <w:bottom w:val="nil"/>
              <w:right w:val="nil"/>
            </w:tcBorders>
            <w:shd w:val="clear" w:color="auto" w:fill="auto"/>
            <w:vAlign w:val="center"/>
            <w:hideMark/>
          </w:tcPr>
          <w:p w14:paraId="40708A95" w14:textId="77777777" w:rsidR="00D73008" w:rsidRPr="001162D3" w:rsidRDefault="00D73008" w:rsidP="00387AE5">
            <w:pPr>
              <w:jc w:val="center"/>
              <w:rPr>
                <w:rFonts w:cs="Times New Roman"/>
                <w:sz w:val="18"/>
                <w:szCs w:val="18"/>
              </w:rPr>
            </w:pPr>
            <w:r w:rsidRPr="001162D3">
              <w:rPr>
                <w:sz w:val="18"/>
                <w:szCs w:val="18"/>
              </w:rPr>
              <w:t>1,3</w:t>
            </w:r>
          </w:p>
        </w:tc>
        <w:tc>
          <w:tcPr>
            <w:tcW w:w="0" w:type="auto"/>
            <w:tcBorders>
              <w:top w:val="nil"/>
              <w:left w:val="nil"/>
              <w:bottom w:val="nil"/>
              <w:right w:val="nil"/>
            </w:tcBorders>
            <w:shd w:val="clear" w:color="auto" w:fill="auto"/>
            <w:vAlign w:val="center"/>
            <w:hideMark/>
          </w:tcPr>
          <w:p w14:paraId="3881543D" w14:textId="77777777" w:rsidR="00D73008" w:rsidRPr="001162D3" w:rsidRDefault="00D73008" w:rsidP="00387AE5">
            <w:pPr>
              <w:jc w:val="center"/>
              <w:rPr>
                <w:rFonts w:cs="Times New Roman"/>
                <w:sz w:val="18"/>
                <w:szCs w:val="18"/>
              </w:rPr>
            </w:pPr>
            <w:r w:rsidRPr="001162D3">
              <w:rPr>
                <w:sz w:val="18"/>
                <w:szCs w:val="18"/>
              </w:rPr>
              <w:t>1,4</w:t>
            </w:r>
          </w:p>
        </w:tc>
        <w:tc>
          <w:tcPr>
            <w:tcW w:w="0" w:type="auto"/>
            <w:tcBorders>
              <w:top w:val="nil"/>
              <w:left w:val="nil"/>
              <w:bottom w:val="nil"/>
              <w:right w:val="nil"/>
            </w:tcBorders>
            <w:shd w:val="clear" w:color="auto" w:fill="auto"/>
            <w:vAlign w:val="center"/>
            <w:hideMark/>
          </w:tcPr>
          <w:p w14:paraId="54898765" w14:textId="77777777" w:rsidR="00D73008" w:rsidRPr="001162D3" w:rsidRDefault="00D73008" w:rsidP="00387AE5">
            <w:pPr>
              <w:jc w:val="center"/>
              <w:rPr>
                <w:rFonts w:cs="Times New Roman"/>
                <w:sz w:val="18"/>
                <w:szCs w:val="18"/>
              </w:rPr>
            </w:pPr>
            <w:r w:rsidRPr="001162D3">
              <w:rPr>
                <w:sz w:val="18"/>
                <w:szCs w:val="18"/>
              </w:rPr>
              <w:t>1,5</w:t>
            </w:r>
          </w:p>
        </w:tc>
        <w:tc>
          <w:tcPr>
            <w:tcW w:w="469" w:type="dxa"/>
            <w:tcBorders>
              <w:top w:val="nil"/>
              <w:left w:val="nil"/>
              <w:bottom w:val="nil"/>
              <w:right w:val="nil"/>
            </w:tcBorders>
            <w:shd w:val="clear" w:color="auto" w:fill="auto"/>
            <w:vAlign w:val="center"/>
          </w:tcPr>
          <w:p w14:paraId="3B1C025C" w14:textId="77777777" w:rsidR="00D73008" w:rsidRPr="001162D3" w:rsidRDefault="00D73008" w:rsidP="00387AE5">
            <w:pPr>
              <w:jc w:val="center"/>
              <w:rPr>
                <w:rFonts w:cs="Times New Roman"/>
                <w:sz w:val="18"/>
                <w:szCs w:val="18"/>
              </w:rPr>
            </w:pPr>
            <w:r w:rsidRPr="001162D3">
              <w:rPr>
                <w:sz w:val="18"/>
                <w:szCs w:val="18"/>
              </w:rPr>
              <w:t>1,5</w:t>
            </w:r>
          </w:p>
        </w:tc>
      </w:tr>
      <w:tr w:rsidR="007C70FB" w:rsidRPr="001162D3" w14:paraId="0E46E830" w14:textId="77777777" w:rsidTr="007C70FB">
        <w:trPr>
          <w:trHeight w:val="283"/>
        </w:trPr>
        <w:tc>
          <w:tcPr>
            <w:tcW w:w="0" w:type="auto"/>
            <w:tcBorders>
              <w:top w:val="nil"/>
              <w:left w:val="nil"/>
              <w:bottom w:val="nil"/>
              <w:right w:val="nil"/>
            </w:tcBorders>
            <w:shd w:val="clear" w:color="000000" w:fill="FFFFFF"/>
            <w:noWrap/>
            <w:vAlign w:val="center"/>
            <w:hideMark/>
          </w:tcPr>
          <w:p w14:paraId="7DE35432" w14:textId="77777777" w:rsidR="00D73008" w:rsidRPr="001162D3" w:rsidRDefault="00D73008" w:rsidP="00387AE5">
            <w:pPr>
              <w:ind w:firstLineChars="300" w:firstLine="540"/>
              <w:rPr>
                <w:rFonts w:cs="Times New Roman"/>
                <w:sz w:val="18"/>
                <w:szCs w:val="18"/>
              </w:rPr>
            </w:pPr>
            <w:r w:rsidRPr="001162D3">
              <w:rPr>
                <w:rFonts w:cs="Times New Roman"/>
                <w:sz w:val="18"/>
                <w:szCs w:val="18"/>
              </w:rPr>
              <w:t>D. Školstvo</w:t>
            </w:r>
          </w:p>
        </w:tc>
        <w:tc>
          <w:tcPr>
            <w:tcW w:w="0" w:type="auto"/>
            <w:tcBorders>
              <w:top w:val="nil"/>
              <w:left w:val="nil"/>
              <w:bottom w:val="nil"/>
              <w:right w:val="nil"/>
            </w:tcBorders>
            <w:shd w:val="clear" w:color="auto" w:fill="auto"/>
            <w:vAlign w:val="center"/>
            <w:hideMark/>
          </w:tcPr>
          <w:p w14:paraId="15220345" w14:textId="77777777" w:rsidR="00D73008" w:rsidRPr="001162D3" w:rsidRDefault="00D73008" w:rsidP="00387AE5">
            <w:pPr>
              <w:jc w:val="center"/>
              <w:rPr>
                <w:rFonts w:cs="Times New Roman"/>
                <w:sz w:val="18"/>
                <w:szCs w:val="18"/>
              </w:rPr>
            </w:pPr>
            <w:r w:rsidRPr="001162D3">
              <w:rPr>
                <w:sz w:val="18"/>
                <w:szCs w:val="18"/>
              </w:rPr>
              <w:t>3,5</w:t>
            </w:r>
          </w:p>
        </w:tc>
        <w:tc>
          <w:tcPr>
            <w:tcW w:w="0" w:type="auto"/>
            <w:tcBorders>
              <w:top w:val="nil"/>
              <w:left w:val="nil"/>
              <w:bottom w:val="nil"/>
              <w:right w:val="nil"/>
            </w:tcBorders>
            <w:shd w:val="clear" w:color="auto" w:fill="auto"/>
            <w:vAlign w:val="center"/>
            <w:hideMark/>
          </w:tcPr>
          <w:p w14:paraId="54E42058" w14:textId="77777777" w:rsidR="00D73008" w:rsidRPr="001162D3" w:rsidRDefault="00D73008" w:rsidP="00387AE5">
            <w:pPr>
              <w:jc w:val="center"/>
              <w:rPr>
                <w:rFonts w:cs="Times New Roman"/>
                <w:sz w:val="18"/>
                <w:szCs w:val="18"/>
              </w:rPr>
            </w:pPr>
            <w:r w:rsidRPr="001162D3">
              <w:rPr>
                <w:sz w:val="18"/>
                <w:szCs w:val="18"/>
              </w:rPr>
              <w:t>3,6</w:t>
            </w:r>
          </w:p>
        </w:tc>
        <w:tc>
          <w:tcPr>
            <w:tcW w:w="0" w:type="auto"/>
            <w:gridSpan w:val="2"/>
            <w:tcBorders>
              <w:top w:val="nil"/>
              <w:left w:val="nil"/>
              <w:bottom w:val="nil"/>
              <w:right w:val="nil"/>
            </w:tcBorders>
            <w:shd w:val="clear" w:color="auto" w:fill="auto"/>
            <w:vAlign w:val="center"/>
            <w:hideMark/>
          </w:tcPr>
          <w:p w14:paraId="4EB9A53D" w14:textId="77777777" w:rsidR="00D73008" w:rsidRPr="001162D3" w:rsidRDefault="00D73008" w:rsidP="00387AE5">
            <w:pPr>
              <w:jc w:val="center"/>
              <w:rPr>
                <w:rFonts w:cs="Times New Roman"/>
                <w:sz w:val="18"/>
                <w:szCs w:val="18"/>
              </w:rPr>
            </w:pPr>
            <w:r w:rsidRPr="001162D3">
              <w:rPr>
                <w:sz w:val="18"/>
                <w:szCs w:val="18"/>
              </w:rPr>
              <w:t>3,5</w:t>
            </w:r>
          </w:p>
        </w:tc>
        <w:tc>
          <w:tcPr>
            <w:tcW w:w="0" w:type="auto"/>
            <w:tcBorders>
              <w:top w:val="nil"/>
              <w:left w:val="nil"/>
              <w:bottom w:val="nil"/>
              <w:right w:val="nil"/>
            </w:tcBorders>
            <w:shd w:val="clear" w:color="auto" w:fill="auto"/>
            <w:vAlign w:val="center"/>
            <w:hideMark/>
          </w:tcPr>
          <w:p w14:paraId="4304E3C3" w14:textId="77777777" w:rsidR="00D73008" w:rsidRPr="001162D3" w:rsidRDefault="00D73008" w:rsidP="00387AE5">
            <w:pPr>
              <w:jc w:val="center"/>
              <w:rPr>
                <w:rFonts w:cs="Times New Roman"/>
                <w:sz w:val="18"/>
                <w:szCs w:val="18"/>
              </w:rPr>
            </w:pPr>
            <w:r w:rsidRPr="001162D3">
              <w:rPr>
                <w:sz w:val="18"/>
                <w:szCs w:val="18"/>
              </w:rPr>
              <w:t>3,6</w:t>
            </w:r>
          </w:p>
        </w:tc>
        <w:tc>
          <w:tcPr>
            <w:tcW w:w="0" w:type="auto"/>
            <w:tcBorders>
              <w:top w:val="nil"/>
              <w:left w:val="nil"/>
              <w:bottom w:val="nil"/>
              <w:right w:val="nil"/>
            </w:tcBorders>
            <w:shd w:val="clear" w:color="auto" w:fill="auto"/>
            <w:vAlign w:val="center"/>
            <w:hideMark/>
          </w:tcPr>
          <w:p w14:paraId="2DA27812" w14:textId="77777777" w:rsidR="00D73008" w:rsidRPr="001162D3" w:rsidRDefault="00D73008" w:rsidP="00387AE5">
            <w:pPr>
              <w:jc w:val="center"/>
              <w:rPr>
                <w:rFonts w:cs="Times New Roman"/>
                <w:sz w:val="18"/>
                <w:szCs w:val="18"/>
              </w:rPr>
            </w:pPr>
            <w:r w:rsidRPr="001162D3">
              <w:rPr>
                <w:sz w:val="18"/>
                <w:szCs w:val="18"/>
              </w:rPr>
              <w:t>3,8</w:t>
            </w:r>
          </w:p>
        </w:tc>
        <w:tc>
          <w:tcPr>
            <w:tcW w:w="469" w:type="dxa"/>
            <w:tcBorders>
              <w:top w:val="nil"/>
              <w:left w:val="nil"/>
              <w:bottom w:val="nil"/>
              <w:right w:val="nil"/>
            </w:tcBorders>
            <w:shd w:val="clear" w:color="auto" w:fill="auto"/>
            <w:vAlign w:val="center"/>
          </w:tcPr>
          <w:p w14:paraId="4CE52846" w14:textId="77777777" w:rsidR="00D73008" w:rsidRPr="001162D3" w:rsidRDefault="00D73008" w:rsidP="00387AE5">
            <w:pPr>
              <w:jc w:val="center"/>
              <w:rPr>
                <w:rFonts w:cs="Times New Roman"/>
                <w:sz w:val="18"/>
                <w:szCs w:val="18"/>
              </w:rPr>
            </w:pPr>
            <w:r w:rsidRPr="001162D3">
              <w:rPr>
                <w:sz w:val="18"/>
                <w:szCs w:val="18"/>
              </w:rPr>
              <w:t>3,7</w:t>
            </w:r>
          </w:p>
        </w:tc>
      </w:tr>
      <w:tr w:rsidR="007C70FB" w:rsidRPr="001162D3" w14:paraId="022B38C4" w14:textId="77777777" w:rsidTr="007C70FB">
        <w:trPr>
          <w:trHeight w:val="283"/>
        </w:trPr>
        <w:tc>
          <w:tcPr>
            <w:tcW w:w="0" w:type="auto"/>
            <w:tcBorders>
              <w:top w:val="nil"/>
              <w:left w:val="nil"/>
              <w:bottom w:val="nil"/>
              <w:right w:val="nil"/>
            </w:tcBorders>
            <w:shd w:val="clear" w:color="000000" w:fill="FFFFFF"/>
            <w:noWrap/>
            <w:vAlign w:val="center"/>
            <w:hideMark/>
          </w:tcPr>
          <w:p w14:paraId="51463C59" w14:textId="77777777" w:rsidR="00D73008" w:rsidRPr="001162D3" w:rsidRDefault="00D73008" w:rsidP="00387AE5">
            <w:pPr>
              <w:ind w:firstLineChars="300" w:firstLine="540"/>
              <w:rPr>
                <w:rFonts w:cs="Times New Roman"/>
                <w:sz w:val="18"/>
                <w:szCs w:val="18"/>
              </w:rPr>
            </w:pPr>
            <w:r w:rsidRPr="001162D3">
              <w:rPr>
                <w:rFonts w:cs="Times New Roman"/>
                <w:sz w:val="18"/>
                <w:szCs w:val="18"/>
              </w:rPr>
              <w:t>E. Ostatné výdavky ovplyvnené starnutím populácie</w:t>
            </w:r>
          </w:p>
        </w:tc>
        <w:tc>
          <w:tcPr>
            <w:tcW w:w="0" w:type="auto"/>
            <w:tcBorders>
              <w:top w:val="nil"/>
              <w:left w:val="nil"/>
              <w:bottom w:val="nil"/>
              <w:right w:val="nil"/>
            </w:tcBorders>
            <w:shd w:val="clear" w:color="auto" w:fill="auto"/>
            <w:vAlign w:val="center"/>
            <w:hideMark/>
          </w:tcPr>
          <w:p w14:paraId="0E86040B" w14:textId="77777777" w:rsidR="00D73008" w:rsidRPr="001162D3" w:rsidRDefault="00D73008" w:rsidP="00387AE5">
            <w:pPr>
              <w:jc w:val="center"/>
              <w:rPr>
                <w:rFonts w:cs="Times New Roman"/>
                <w:sz w:val="18"/>
                <w:szCs w:val="18"/>
              </w:rPr>
            </w:pPr>
            <w:r w:rsidRPr="001162D3">
              <w:rPr>
                <w:sz w:val="18"/>
                <w:szCs w:val="18"/>
              </w:rPr>
              <w:t>0,1</w:t>
            </w:r>
          </w:p>
        </w:tc>
        <w:tc>
          <w:tcPr>
            <w:tcW w:w="0" w:type="auto"/>
            <w:tcBorders>
              <w:top w:val="nil"/>
              <w:left w:val="nil"/>
              <w:bottom w:val="nil"/>
              <w:right w:val="nil"/>
            </w:tcBorders>
            <w:shd w:val="clear" w:color="auto" w:fill="auto"/>
            <w:vAlign w:val="center"/>
            <w:hideMark/>
          </w:tcPr>
          <w:p w14:paraId="4655C814" w14:textId="77777777" w:rsidR="00D73008" w:rsidRPr="001162D3" w:rsidRDefault="00D73008" w:rsidP="00387AE5">
            <w:pPr>
              <w:jc w:val="center"/>
              <w:rPr>
                <w:rFonts w:cs="Times New Roman"/>
                <w:sz w:val="18"/>
                <w:szCs w:val="18"/>
              </w:rPr>
            </w:pPr>
            <w:r w:rsidRPr="001162D3">
              <w:rPr>
                <w:sz w:val="18"/>
                <w:szCs w:val="18"/>
              </w:rPr>
              <w:t>0,1</w:t>
            </w:r>
          </w:p>
        </w:tc>
        <w:tc>
          <w:tcPr>
            <w:tcW w:w="0" w:type="auto"/>
            <w:gridSpan w:val="2"/>
            <w:tcBorders>
              <w:top w:val="nil"/>
              <w:left w:val="nil"/>
              <w:bottom w:val="nil"/>
              <w:right w:val="nil"/>
            </w:tcBorders>
            <w:shd w:val="clear" w:color="auto" w:fill="auto"/>
            <w:vAlign w:val="center"/>
            <w:hideMark/>
          </w:tcPr>
          <w:p w14:paraId="63E975F0" w14:textId="77777777" w:rsidR="00D73008" w:rsidRPr="001162D3" w:rsidRDefault="00D73008" w:rsidP="00387AE5">
            <w:pPr>
              <w:jc w:val="center"/>
              <w:rPr>
                <w:rFonts w:cs="Times New Roman"/>
                <w:sz w:val="18"/>
                <w:szCs w:val="18"/>
              </w:rPr>
            </w:pPr>
            <w:r w:rsidRPr="001162D3">
              <w:rPr>
                <w:sz w:val="18"/>
                <w:szCs w:val="18"/>
              </w:rPr>
              <w:t>0,1</w:t>
            </w:r>
          </w:p>
        </w:tc>
        <w:tc>
          <w:tcPr>
            <w:tcW w:w="0" w:type="auto"/>
            <w:tcBorders>
              <w:top w:val="nil"/>
              <w:left w:val="nil"/>
              <w:bottom w:val="nil"/>
              <w:right w:val="nil"/>
            </w:tcBorders>
            <w:shd w:val="clear" w:color="auto" w:fill="auto"/>
            <w:vAlign w:val="center"/>
            <w:hideMark/>
          </w:tcPr>
          <w:p w14:paraId="0E5E6DC1" w14:textId="77777777" w:rsidR="00D73008" w:rsidRPr="001162D3" w:rsidRDefault="00D73008" w:rsidP="00387AE5">
            <w:pPr>
              <w:jc w:val="center"/>
              <w:rPr>
                <w:rFonts w:cs="Times New Roman"/>
                <w:sz w:val="18"/>
                <w:szCs w:val="18"/>
              </w:rPr>
            </w:pPr>
            <w:r w:rsidRPr="001162D3">
              <w:rPr>
                <w:sz w:val="18"/>
                <w:szCs w:val="18"/>
              </w:rPr>
              <w:t>0,1</w:t>
            </w:r>
          </w:p>
        </w:tc>
        <w:tc>
          <w:tcPr>
            <w:tcW w:w="0" w:type="auto"/>
            <w:tcBorders>
              <w:top w:val="nil"/>
              <w:left w:val="nil"/>
              <w:bottom w:val="nil"/>
              <w:right w:val="nil"/>
            </w:tcBorders>
            <w:shd w:val="clear" w:color="auto" w:fill="auto"/>
            <w:vAlign w:val="center"/>
            <w:hideMark/>
          </w:tcPr>
          <w:p w14:paraId="57A5385D" w14:textId="77777777" w:rsidR="00D73008" w:rsidRPr="001162D3" w:rsidRDefault="00D73008" w:rsidP="00387AE5">
            <w:pPr>
              <w:jc w:val="center"/>
              <w:rPr>
                <w:rFonts w:cs="Times New Roman"/>
                <w:sz w:val="18"/>
                <w:szCs w:val="18"/>
              </w:rPr>
            </w:pPr>
            <w:r w:rsidRPr="001162D3">
              <w:rPr>
                <w:sz w:val="18"/>
                <w:szCs w:val="18"/>
              </w:rPr>
              <w:t>0,1</w:t>
            </w:r>
          </w:p>
        </w:tc>
        <w:tc>
          <w:tcPr>
            <w:tcW w:w="469" w:type="dxa"/>
            <w:tcBorders>
              <w:top w:val="nil"/>
              <w:left w:val="nil"/>
              <w:bottom w:val="nil"/>
              <w:right w:val="nil"/>
            </w:tcBorders>
            <w:shd w:val="clear" w:color="auto" w:fill="auto"/>
            <w:vAlign w:val="center"/>
          </w:tcPr>
          <w:p w14:paraId="78702AEA" w14:textId="77777777" w:rsidR="00D73008" w:rsidRPr="001162D3" w:rsidRDefault="00D73008" w:rsidP="00387AE5">
            <w:pPr>
              <w:jc w:val="center"/>
              <w:rPr>
                <w:rFonts w:cs="Times New Roman"/>
                <w:sz w:val="18"/>
                <w:szCs w:val="18"/>
              </w:rPr>
            </w:pPr>
            <w:r w:rsidRPr="001162D3">
              <w:rPr>
                <w:sz w:val="18"/>
                <w:szCs w:val="18"/>
              </w:rPr>
              <w:t>0,1</w:t>
            </w:r>
          </w:p>
        </w:tc>
      </w:tr>
      <w:tr w:rsidR="007C70FB" w:rsidRPr="001162D3" w14:paraId="21F140C0" w14:textId="77777777" w:rsidTr="007C70FB">
        <w:trPr>
          <w:trHeight w:val="283"/>
        </w:trPr>
        <w:tc>
          <w:tcPr>
            <w:tcW w:w="0" w:type="auto"/>
            <w:tcBorders>
              <w:top w:val="nil"/>
              <w:left w:val="nil"/>
              <w:bottom w:val="nil"/>
              <w:right w:val="nil"/>
            </w:tcBorders>
            <w:shd w:val="clear" w:color="000000" w:fill="FFFFFF"/>
            <w:noWrap/>
            <w:vAlign w:val="center"/>
            <w:hideMark/>
          </w:tcPr>
          <w:p w14:paraId="4F2D5E17" w14:textId="77777777" w:rsidR="00D73008" w:rsidRPr="001162D3" w:rsidRDefault="00D73008" w:rsidP="00387AE5">
            <w:pPr>
              <w:ind w:firstLineChars="200" w:firstLine="360"/>
              <w:rPr>
                <w:rFonts w:cs="Times New Roman"/>
                <w:sz w:val="18"/>
                <w:szCs w:val="18"/>
              </w:rPr>
            </w:pPr>
            <w:r w:rsidRPr="001162D3">
              <w:rPr>
                <w:rFonts w:cs="Times New Roman"/>
                <w:sz w:val="18"/>
                <w:szCs w:val="18"/>
              </w:rPr>
              <w:t>Z toho: Úroky</w:t>
            </w:r>
          </w:p>
        </w:tc>
        <w:tc>
          <w:tcPr>
            <w:tcW w:w="0" w:type="auto"/>
            <w:tcBorders>
              <w:top w:val="nil"/>
              <w:left w:val="nil"/>
              <w:bottom w:val="single" w:sz="4" w:space="0" w:color="auto"/>
              <w:right w:val="nil"/>
            </w:tcBorders>
            <w:shd w:val="clear" w:color="auto" w:fill="auto"/>
            <w:vAlign w:val="center"/>
            <w:hideMark/>
          </w:tcPr>
          <w:p w14:paraId="1A7F7C9D" w14:textId="77777777" w:rsidR="00D73008" w:rsidRPr="001162D3" w:rsidRDefault="00D73008" w:rsidP="00387AE5">
            <w:pPr>
              <w:jc w:val="center"/>
              <w:rPr>
                <w:rFonts w:cs="Times New Roman"/>
                <w:sz w:val="18"/>
                <w:szCs w:val="18"/>
              </w:rPr>
            </w:pPr>
            <w:r w:rsidRPr="001162D3">
              <w:rPr>
                <w:sz w:val="18"/>
                <w:szCs w:val="18"/>
              </w:rPr>
              <w:t>1,0</w:t>
            </w:r>
          </w:p>
        </w:tc>
        <w:tc>
          <w:tcPr>
            <w:tcW w:w="0" w:type="auto"/>
            <w:tcBorders>
              <w:top w:val="nil"/>
              <w:left w:val="nil"/>
              <w:bottom w:val="single" w:sz="4" w:space="0" w:color="auto"/>
              <w:right w:val="nil"/>
            </w:tcBorders>
            <w:shd w:val="clear" w:color="auto" w:fill="auto"/>
            <w:vAlign w:val="center"/>
            <w:hideMark/>
          </w:tcPr>
          <w:p w14:paraId="27DC5EDD" w14:textId="77777777" w:rsidR="00D73008" w:rsidRPr="001162D3" w:rsidRDefault="00D73008" w:rsidP="00387AE5">
            <w:pPr>
              <w:jc w:val="center"/>
              <w:rPr>
                <w:rFonts w:cs="Times New Roman"/>
                <w:sz w:val="18"/>
                <w:szCs w:val="18"/>
              </w:rPr>
            </w:pPr>
            <w:r w:rsidRPr="001162D3">
              <w:rPr>
                <w:sz w:val="18"/>
                <w:szCs w:val="18"/>
              </w:rPr>
              <w:t>1,6</w:t>
            </w:r>
          </w:p>
        </w:tc>
        <w:tc>
          <w:tcPr>
            <w:tcW w:w="0" w:type="auto"/>
            <w:gridSpan w:val="2"/>
            <w:tcBorders>
              <w:top w:val="nil"/>
              <w:left w:val="nil"/>
              <w:bottom w:val="single" w:sz="4" w:space="0" w:color="auto"/>
              <w:right w:val="nil"/>
            </w:tcBorders>
            <w:shd w:val="clear" w:color="auto" w:fill="auto"/>
            <w:vAlign w:val="center"/>
            <w:hideMark/>
          </w:tcPr>
          <w:p w14:paraId="4C30173B" w14:textId="77777777" w:rsidR="00D73008" w:rsidRPr="001162D3" w:rsidRDefault="00D73008" w:rsidP="00387AE5">
            <w:pPr>
              <w:jc w:val="center"/>
              <w:rPr>
                <w:rFonts w:cs="Times New Roman"/>
                <w:sz w:val="18"/>
                <w:szCs w:val="18"/>
              </w:rPr>
            </w:pPr>
            <w:r w:rsidRPr="001162D3">
              <w:rPr>
                <w:sz w:val="18"/>
                <w:szCs w:val="18"/>
              </w:rPr>
              <w:t>1,6</w:t>
            </w:r>
          </w:p>
        </w:tc>
        <w:tc>
          <w:tcPr>
            <w:tcW w:w="0" w:type="auto"/>
            <w:tcBorders>
              <w:top w:val="nil"/>
              <w:left w:val="nil"/>
              <w:bottom w:val="single" w:sz="4" w:space="0" w:color="auto"/>
              <w:right w:val="nil"/>
            </w:tcBorders>
            <w:shd w:val="clear" w:color="auto" w:fill="auto"/>
            <w:vAlign w:val="center"/>
            <w:hideMark/>
          </w:tcPr>
          <w:p w14:paraId="6BF80F31" w14:textId="77777777" w:rsidR="00D73008" w:rsidRPr="001162D3" w:rsidRDefault="00D73008" w:rsidP="00387AE5">
            <w:pPr>
              <w:jc w:val="center"/>
              <w:rPr>
                <w:rFonts w:cs="Times New Roman"/>
                <w:sz w:val="18"/>
                <w:szCs w:val="18"/>
              </w:rPr>
            </w:pPr>
            <w:r w:rsidRPr="001162D3">
              <w:rPr>
                <w:sz w:val="18"/>
                <w:szCs w:val="18"/>
              </w:rPr>
              <w:t>3,4</w:t>
            </w:r>
          </w:p>
        </w:tc>
        <w:tc>
          <w:tcPr>
            <w:tcW w:w="0" w:type="auto"/>
            <w:tcBorders>
              <w:top w:val="nil"/>
              <w:left w:val="nil"/>
              <w:bottom w:val="single" w:sz="4" w:space="0" w:color="auto"/>
              <w:right w:val="nil"/>
            </w:tcBorders>
            <w:shd w:val="clear" w:color="auto" w:fill="auto"/>
            <w:vAlign w:val="center"/>
            <w:hideMark/>
          </w:tcPr>
          <w:p w14:paraId="266BC60F" w14:textId="77777777" w:rsidR="00D73008" w:rsidRPr="001162D3" w:rsidRDefault="00D73008" w:rsidP="00387AE5">
            <w:pPr>
              <w:jc w:val="center"/>
              <w:rPr>
                <w:rFonts w:cs="Times New Roman"/>
                <w:sz w:val="18"/>
                <w:szCs w:val="18"/>
              </w:rPr>
            </w:pPr>
            <w:r w:rsidRPr="001162D3">
              <w:rPr>
                <w:sz w:val="18"/>
                <w:szCs w:val="18"/>
              </w:rPr>
              <w:t>6,4</w:t>
            </w:r>
          </w:p>
        </w:tc>
        <w:tc>
          <w:tcPr>
            <w:tcW w:w="469" w:type="dxa"/>
            <w:tcBorders>
              <w:top w:val="nil"/>
              <w:left w:val="nil"/>
              <w:bottom w:val="single" w:sz="4" w:space="0" w:color="auto"/>
              <w:right w:val="nil"/>
            </w:tcBorders>
            <w:shd w:val="clear" w:color="auto" w:fill="auto"/>
            <w:vAlign w:val="center"/>
          </w:tcPr>
          <w:p w14:paraId="0F99FFA6" w14:textId="77777777" w:rsidR="00D73008" w:rsidRPr="001162D3" w:rsidRDefault="00D73008" w:rsidP="00387AE5">
            <w:pPr>
              <w:jc w:val="center"/>
              <w:rPr>
                <w:rFonts w:cs="Times New Roman"/>
                <w:sz w:val="18"/>
                <w:szCs w:val="18"/>
              </w:rPr>
            </w:pPr>
            <w:r w:rsidRPr="001162D3">
              <w:rPr>
                <w:sz w:val="18"/>
                <w:szCs w:val="18"/>
              </w:rPr>
              <w:t>10,1</w:t>
            </w:r>
          </w:p>
        </w:tc>
      </w:tr>
      <w:tr w:rsidR="007C70FB" w:rsidRPr="001162D3" w14:paraId="38C25B51" w14:textId="77777777" w:rsidTr="007C70FB">
        <w:trPr>
          <w:trHeight w:val="283"/>
        </w:trPr>
        <w:tc>
          <w:tcPr>
            <w:tcW w:w="0" w:type="auto"/>
            <w:tcBorders>
              <w:top w:val="single" w:sz="4" w:space="0" w:color="auto"/>
              <w:left w:val="nil"/>
              <w:bottom w:val="nil"/>
              <w:right w:val="nil"/>
            </w:tcBorders>
            <w:shd w:val="clear" w:color="000000" w:fill="FFFFFF"/>
            <w:noWrap/>
            <w:vAlign w:val="center"/>
            <w:hideMark/>
          </w:tcPr>
          <w:p w14:paraId="3F4DB721" w14:textId="77777777" w:rsidR="00D73008" w:rsidRPr="001162D3" w:rsidRDefault="00D73008" w:rsidP="00387AE5">
            <w:pPr>
              <w:rPr>
                <w:rFonts w:cs="Times New Roman"/>
                <w:b/>
                <w:bCs/>
                <w:sz w:val="18"/>
                <w:szCs w:val="18"/>
              </w:rPr>
            </w:pPr>
            <w:r w:rsidRPr="001162D3">
              <w:rPr>
                <w:rFonts w:cs="Times New Roman"/>
                <w:b/>
                <w:bCs/>
                <w:sz w:val="18"/>
                <w:szCs w:val="18"/>
              </w:rPr>
              <w:t>Príjmy celkom</w:t>
            </w:r>
          </w:p>
        </w:tc>
        <w:tc>
          <w:tcPr>
            <w:tcW w:w="0" w:type="auto"/>
            <w:tcBorders>
              <w:top w:val="nil"/>
              <w:left w:val="nil"/>
              <w:bottom w:val="nil"/>
              <w:right w:val="nil"/>
            </w:tcBorders>
            <w:shd w:val="clear" w:color="auto" w:fill="auto"/>
            <w:vAlign w:val="center"/>
            <w:hideMark/>
          </w:tcPr>
          <w:p w14:paraId="23773B5E" w14:textId="77777777" w:rsidR="00D73008" w:rsidRPr="001162D3" w:rsidRDefault="00D73008" w:rsidP="00387AE5">
            <w:pPr>
              <w:jc w:val="center"/>
              <w:rPr>
                <w:rFonts w:cs="Times New Roman"/>
                <w:b/>
                <w:bCs/>
                <w:sz w:val="18"/>
                <w:szCs w:val="18"/>
              </w:rPr>
            </w:pPr>
            <w:r w:rsidRPr="001162D3">
              <w:rPr>
                <w:b/>
                <w:sz w:val="18"/>
                <w:szCs w:val="18"/>
              </w:rPr>
              <w:t>38,4</w:t>
            </w:r>
          </w:p>
        </w:tc>
        <w:tc>
          <w:tcPr>
            <w:tcW w:w="0" w:type="auto"/>
            <w:tcBorders>
              <w:top w:val="nil"/>
              <w:left w:val="nil"/>
              <w:bottom w:val="nil"/>
              <w:right w:val="nil"/>
            </w:tcBorders>
            <w:shd w:val="clear" w:color="auto" w:fill="auto"/>
            <w:vAlign w:val="center"/>
            <w:hideMark/>
          </w:tcPr>
          <w:p w14:paraId="302D387A" w14:textId="77777777" w:rsidR="00D73008" w:rsidRPr="001162D3" w:rsidRDefault="00D73008" w:rsidP="00387AE5">
            <w:pPr>
              <w:jc w:val="center"/>
              <w:rPr>
                <w:rFonts w:cs="Times New Roman"/>
                <w:b/>
                <w:bCs/>
                <w:sz w:val="18"/>
                <w:szCs w:val="18"/>
              </w:rPr>
            </w:pPr>
            <w:r w:rsidRPr="001162D3">
              <w:rPr>
                <w:b/>
                <w:sz w:val="18"/>
                <w:szCs w:val="18"/>
              </w:rPr>
              <w:t>38,4</w:t>
            </w:r>
          </w:p>
        </w:tc>
        <w:tc>
          <w:tcPr>
            <w:tcW w:w="0" w:type="auto"/>
            <w:gridSpan w:val="2"/>
            <w:tcBorders>
              <w:top w:val="nil"/>
              <w:left w:val="nil"/>
              <w:bottom w:val="nil"/>
              <w:right w:val="nil"/>
            </w:tcBorders>
            <w:shd w:val="clear" w:color="auto" w:fill="auto"/>
            <w:vAlign w:val="center"/>
            <w:hideMark/>
          </w:tcPr>
          <w:p w14:paraId="51DC640E" w14:textId="77777777" w:rsidR="00D73008" w:rsidRPr="001162D3" w:rsidRDefault="00D73008" w:rsidP="00387AE5">
            <w:pPr>
              <w:jc w:val="center"/>
              <w:rPr>
                <w:rFonts w:cs="Times New Roman"/>
                <w:b/>
                <w:bCs/>
                <w:sz w:val="18"/>
                <w:szCs w:val="18"/>
              </w:rPr>
            </w:pPr>
            <w:r w:rsidRPr="001162D3">
              <w:rPr>
                <w:b/>
                <w:sz w:val="18"/>
                <w:szCs w:val="18"/>
              </w:rPr>
              <w:t>38,3</w:t>
            </w:r>
          </w:p>
        </w:tc>
        <w:tc>
          <w:tcPr>
            <w:tcW w:w="0" w:type="auto"/>
            <w:tcBorders>
              <w:top w:val="nil"/>
              <w:left w:val="nil"/>
              <w:bottom w:val="nil"/>
              <w:right w:val="nil"/>
            </w:tcBorders>
            <w:shd w:val="clear" w:color="auto" w:fill="auto"/>
            <w:vAlign w:val="center"/>
            <w:hideMark/>
          </w:tcPr>
          <w:p w14:paraId="0EF74EB9" w14:textId="77777777" w:rsidR="00D73008" w:rsidRPr="001162D3" w:rsidRDefault="00D73008" w:rsidP="00387AE5">
            <w:pPr>
              <w:jc w:val="center"/>
              <w:rPr>
                <w:rFonts w:cs="Times New Roman"/>
                <w:b/>
                <w:bCs/>
                <w:sz w:val="18"/>
                <w:szCs w:val="18"/>
              </w:rPr>
            </w:pPr>
            <w:r w:rsidRPr="001162D3">
              <w:rPr>
                <w:b/>
                <w:sz w:val="18"/>
                <w:szCs w:val="18"/>
              </w:rPr>
              <w:t>38,3</w:t>
            </w:r>
          </w:p>
        </w:tc>
        <w:tc>
          <w:tcPr>
            <w:tcW w:w="0" w:type="auto"/>
            <w:tcBorders>
              <w:top w:val="nil"/>
              <w:left w:val="nil"/>
              <w:bottom w:val="nil"/>
              <w:right w:val="nil"/>
            </w:tcBorders>
            <w:shd w:val="clear" w:color="auto" w:fill="auto"/>
            <w:vAlign w:val="center"/>
            <w:hideMark/>
          </w:tcPr>
          <w:p w14:paraId="4093B652" w14:textId="77777777" w:rsidR="00D73008" w:rsidRPr="001162D3" w:rsidRDefault="00D73008" w:rsidP="00387AE5">
            <w:pPr>
              <w:jc w:val="center"/>
              <w:rPr>
                <w:rFonts w:cs="Times New Roman"/>
                <w:b/>
                <w:bCs/>
                <w:sz w:val="18"/>
                <w:szCs w:val="18"/>
              </w:rPr>
            </w:pPr>
            <w:r w:rsidRPr="001162D3">
              <w:rPr>
                <w:b/>
                <w:sz w:val="18"/>
                <w:szCs w:val="18"/>
              </w:rPr>
              <w:t>38,3</w:t>
            </w:r>
          </w:p>
        </w:tc>
        <w:tc>
          <w:tcPr>
            <w:tcW w:w="469" w:type="dxa"/>
            <w:tcBorders>
              <w:top w:val="nil"/>
              <w:left w:val="nil"/>
              <w:bottom w:val="nil"/>
              <w:right w:val="nil"/>
            </w:tcBorders>
            <w:shd w:val="clear" w:color="auto" w:fill="auto"/>
            <w:vAlign w:val="center"/>
          </w:tcPr>
          <w:p w14:paraId="7DC63A95" w14:textId="77777777" w:rsidR="00D73008" w:rsidRPr="001162D3" w:rsidRDefault="00D73008" w:rsidP="00387AE5">
            <w:pPr>
              <w:jc w:val="center"/>
              <w:rPr>
                <w:rFonts w:cs="Times New Roman"/>
                <w:b/>
                <w:bCs/>
                <w:sz w:val="18"/>
                <w:szCs w:val="18"/>
              </w:rPr>
            </w:pPr>
            <w:r w:rsidRPr="001162D3">
              <w:rPr>
                <w:b/>
                <w:sz w:val="18"/>
                <w:szCs w:val="18"/>
              </w:rPr>
              <w:t>38,3</w:t>
            </w:r>
          </w:p>
        </w:tc>
      </w:tr>
      <w:tr w:rsidR="007C70FB" w:rsidRPr="001162D3" w14:paraId="07D9E39B" w14:textId="77777777" w:rsidTr="007C70FB">
        <w:trPr>
          <w:trHeight w:val="283"/>
        </w:trPr>
        <w:tc>
          <w:tcPr>
            <w:tcW w:w="0" w:type="auto"/>
            <w:tcBorders>
              <w:top w:val="nil"/>
              <w:left w:val="nil"/>
              <w:bottom w:val="nil"/>
              <w:right w:val="nil"/>
            </w:tcBorders>
            <w:shd w:val="clear" w:color="000000" w:fill="FFFFFF"/>
            <w:noWrap/>
            <w:vAlign w:val="center"/>
            <w:hideMark/>
          </w:tcPr>
          <w:p w14:paraId="13360F91" w14:textId="77777777" w:rsidR="00D73008" w:rsidRPr="001162D3" w:rsidRDefault="00D73008" w:rsidP="00387AE5">
            <w:pPr>
              <w:ind w:firstLineChars="200" w:firstLine="360"/>
              <w:rPr>
                <w:rFonts w:cs="Times New Roman"/>
                <w:sz w:val="18"/>
                <w:szCs w:val="18"/>
              </w:rPr>
            </w:pPr>
            <w:r w:rsidRPr="001162D3">
              <w:rPr>
                <w:rFonts w:cs="Times New Roman"/>
                <w:sz w:val="18"/>
                <w:szCs w:val="18"/>
              </w:rPr>
              <w:t>Z toho: Príjmy z majetku (D.4)</w:t>
            </w:r>
          </w:p>
        </w:tc>
        <w:tc>
          <w:tcPr>
            <w:tcW w:w="0" w:type="auto"/>
            <w:tcBorders>
              <w:top w:val="nil"/>
              <w:left w:val="nil"/>
              <w:bottom w:val="nil"/>
              <w:right w:val="nil"/>
            </w:tcBorders>
            <w:shd w:val="clear" w:color="auto" w:fill="auto"/>
            <w:vAlign w:val="center"/>
            <w:hideMark/>
          </w:tcPr>
          <w:p w14:paraId="1BFFD8B0" w14:textId="77777777" w:rsidR="00D73008" w:rsidRPr="001162D3" w:rsidRDefault="00D73008" w:rsidP="00387AE5">
            <w:pPr>
              <w:jc w:val="center"/>
              <w:rPr>
                <w:rFonts w:cs="Times New Roman"/>
                <w:sz w:val="18"/>
                <w:szCs w:val="18"/>
              </w:rPr>
            </w:pPr>
            <w:r w:rsidRPr="001162D3">
              <w:rPr>
                <w:sz w:val="18"/>
                <w:szCs w:val="18"/>
              </w:rPr>
              <w:t>0,6</w:t>
            </w:r>
          </w:p>
        </w:tc>
        <w:tc>
          <w:tcPr>
            <w:tcW w:w="0" w:type="auto"/>
            <w:tcBorders>
              <w:top w:val="nil"/>
              <w:left w:val="nil"/>
              <w:bottom w:val="nil"/>
              <w:right w:val="nil"/>
            </w:tcBorders>
            <w:shd w:val="clear" w:color="auto" w:fill="auto"/>
            <w:vAlign w:val="center"/>
            <w:hideMark/>
          </w:tcPr>
          <w:p w14:paraId="41289574" w14:textId="77777777" w:rsidR="00D73008" w:rsidRPr="001162D3" w:rsidRDefault="00D73008" w:rsidP="00387AE5">
            <w:pPr>
              <w:jc w:val="center"/>
              <w:rPr>
                <w:rFonts w:cs="Times New Roman"/>
                <w:sz w:val="18"/>
                <w:szCs w:val="18"/>
              </w:rPr>
            </w:pPr>
            <w:r w:rsidRPr="001162D3">
              <w:rPr>
                <w:sz w:val="18"/>
                <w:szCs w:val="18"/>
              </w:rPr>
              <w:t>0,5</w:t>
            </w:r>
          </w:p>
        </w:tc>
        <w:tc>
          <w:tcPr>
            <w:tcW w:w="0" w:type="auto"/>
            <w:gridSpan w:val="2"/>
            <w:tcBorders>
              <w:top w:val="nil"/>
              <w:left w:val="nil"/>
              <w:bottom w:val="nil"/>
              <w:right w:val="nil"/>
            </w:tcBorders>
            <w:shd w:val="clear" w:color="auto" w:fill="auto"/>
            <w:vAlign w:val="center"/>
            <w:hideMark/>
          </w:tcPr>
          <w:p w14:paraId="4CFA61D9" w14:textId="77777777" w:rsidR="00D73008" w:rsidRPr="001162D3" w:rsidRDefault="00D73008" w:rsidP="00387AE5">
            <w:pPr>
              <w:jc w:val="center"/>
              <w:rPr>
                <w:rFonts w:cs="Times New Roman"/>
                <w:sz w:val="18"/>
                <w:szCs w:val="18"/>
              </w:rPr>
            </w:pPr>
            <w:r w:rsidRPr="001162D3">
              <w:rPr>
                <w:sz w:val="18"/>
                <w:szCs w:val="18"/>
              </w:rPr>
              <w:t>0,5</w:t>
            </w:r>
          </w:p>
        </w:tc>
        <w:tc>
          <w:tcPr>
            <w:tcW w:w="0" w:type="auto"/>
            <w:tcBorders>
              <w:top w:val="nil"/>
              <w:left w:val="nil"/>
              <w:bottom w:val="nil"/>
              <w:right w:val="nil"/>
            </w:tcBorders>
            <w:shd w:val="clear" w:color="auto" w:fill="auto"/>
            <w:vAlign w:val="center"/>
            <w:hideMark/>
          </w:tcPr>
          <w:p w14:paraId="3C88B273" w14:textId="77777777" w:rsidR="00D73008" w:rsidRPr="001162D3" w:rsidRDefault="00D73008" w:rsidP="00387AE5">
            <w:pPr>
              <w:jc w:val="center"/>
              <w:rPr>
                <w:rFonts w:cs="Times New Roman"/>
                <w:sz w:val="18"/>
                <w:szCs w:val="18"/>
              </w:rPr>
            </w:pPr>
            <w:r w:rsidRPr="001162D3">
              <w:rPr>
                <w:sz w:val="18"/>
                <w:szCs w:val="18"/>
              </w:rPr>
              <w:t>0,5</w:t>
            </w:r>
          </w:p>
        </w:tc>
        <w:tc>
          <w:tcPr>
            <w:tcW w:w="0" w:type="auto"/>
            <w:tcBorders>
              <w:top w:val="nil"/>
              <w:left w:val="nil"/>
              <w:bottom w:val="nil"/>
              <w:right w:val="nil"/>
            </w:tcBorders>
            <w:shd w:val="clear" w:color="auto" w:fill="auto"/>
            <w:vAlign w:val="center"/>
            <w:hideMark/>
          </w:tcPr>
          <w:p w14:paraId="6332BFD7" w14:textId="77777777" w:rsidR="00D73008" w:rsidRPr="001162D3" w:rsidRDefault="00D73008" w:rsidP="00387AE5">
            <w:pPr>
              <w:jc w:val="center"/>
              <w:rPr>
                <w:rFonts w:cs="Times New Roman"/>
                <w:sz w:val="18"/>
                <w:szCs w:val="18"/>
              </w:rPr>
            </w:pPr>
            <w:r w:rsidRPr="001162D3">
              <w:rPr>
                <w:sz w:val="18"/>
                <w:szCs w:val="18"/>
              </w:rPr>
              <w:t>0,4</w:t>
            </w:r>
          </w:p>
        </w:tc>
        <w:tc>
          <w:tcPr>
            <w:tcW w:w="469" w:type="dxa"/>
            <w:tcBorders>
              <w:top w:val="nil"/>
              <w:left w:val="nil"/>
              <w:bottom w:val="nil"/>
              <w:right w:val="nil"/>
            </w:tcBorders>
            <w:shd w:val="clear" w:color="auto" w:fill="auto"/>
            <w:vAlign w:val="center"/>
          </w:tcPr>
          <w:p w14:paraId="2CF681AF" w14:textId="77777777" w:rsidR="00D73008" w:rsidRPr="001162D3" w:rsidRDefault="00D73008" w:rsidP="00387AE5">
            <w:pPr>
              <w:jc w:val="center"/>
              <w:rPr>
                <w:rFonts w:cs="Times New Roman"/>
                <w:sz w:val="18"/>
                <w:szCs w:val="18"/>
              </w:rPr>
            </w:pPr>
            <w:r w:rsidRPr="001162D3">
              <w:rPr>
                <w:sz w:val="18"/>
                <w:szCs w:val="18"/>
              </w:rPr>
              <w:t>0,4</w:t>
            </w:r>
          </w:p>
        </w:tc>
      </w:tr>
      <w:tr w:rsidR="007C70FB" w:rsidRPr="001162D3" w14:paraId="5407518D" w14:textId="77777777" w:rsidTr="007C70FB">
        <w:trPr>
          <w:trHeight w:val="283"/>
        </w:trPr>
        <w:tc>
          <w:tcPr>
            <w:tcW w:w="0" w:type="auto"/>
            <w:tcBorders>
              <w:top w:val="nil"/>
              <w:left w:val="nil"/>
              <w:bottom w:val="nil"/>
              <w:right w:val="nil"/>
            </w:tcBorders>
            <w:shd w:val="clear" w:color="000000" w:fill="FFFFFF"/>
            <w:noWrap/>
            <w:vAlign w:val="center"/>
            <w:hideMark/>
          </w:tcPr>
          <w:p w14:paraId="4CFD5A4B" w14:textId="77777777" w:rsidR="00D73008" w:rsidRPr="001162D3" w:rsidRDefault="00D73008" w:rsidP="00387AE5">
            <w:pPr>
              <w:ind w:firstLineChars="200" w:firstLine="360"/>
              <w:rPr>
                <w:rFonts w:cs="Times New Roman"/>
                <w:sz w:val="18"/>
                <w:szCs w:val="18"/>
              </w:rPr>
            </w:pPr>
            <w:r w:rsidRPr="001162D3">
              <w:rPr>
                <w:rFonts w:cs="Times New Roman"/>
                <w:sz w:val="18"/>
                <w:szCs w:val="18"/>
              </w:rPr>
              <w:t>Z toho: Zo sociálnych odvodov</w:t>
            </w:r>
          </w:p>
        </w:tc>
        <w:tc>
          <w:tcPr>
            <w:tcW w:w="0" w:type="auto"/>
            <w:tcBorders>
              <w:top w:val="nil"/>
              <w:left w:val="nil"/>
              <w:bottom w:val="nil"/>
              <w:right w:val="nil"/>
            </w:tcBorders>
            <w:shd w:val="clear" w:color="auto" w:fill="auto"/>
            <w:vAlign w:val="center"/>
            <w:hideMark/>
          </w:tcPr>
          <w:p w14:paraId="2E7DD6CC" w14:textId="77777777" w:rsidR="00D73008" w:rsidRPr="001162D3" w:rsidRDefault="00D73008" w:rsidP="00387AE5">
            <w:pPr>
              <w:jc w:val="center"/>
              <w:rPr>
                <w:rFonts w:cs="Times New Roman"/>
                <w:sz w:val="18"/>
                <w:szCs w:val="18"/>
              </w:rPr>
            </w:pPr>
            <w:r w:rsidRPr="001162D3">
              <w:rPr>
                <w:sz w:val="18"/>
                <w:szCs w:val="18"/>
              </w:rPr>
              <w:t>14,4</w:t>
            </w:r>
          </w:p>
        </w:tc>
        <w:tc>
          <w:tcPr>
            <w:tcW w:w="0" w:type="auto"/>
            <w:tcBorders>
              <w:top w:val="nil"/>
              <w:left w:val="nil"/>
              <w:bottom w:val="nil"/>
              <w:right w:val="nil"/>
            </w:tcBorders>
            <w:shd w:val="clear" w:color="auto" w:fill="auto"/>
            <w:vAlign w:val="center"/>
            <w:hideMark/>
          </w:tcPr>
          <w:p w14:paraId="2CA62B00" w14:textId="77777777" w:rsidR="00D73008" w:rsidRPr="001162D3" w:rsidRDefault="00D73008" w:rsidP="00387AE5">
            <w:pPr>
              <w:jc w:val="center"/>
              <w:rPr>
                <w:rFonts w:cs="Times New Roman"/>
                <w:sz w:val="18"/>
                <w:szCs w:val="18"/>
              </w:rPr>
            </w:pPr>
            <w:r w:rsidRPr="001162D3">
              <w:rPr>
                <w:sz w:val="18"/>
                <w:szCs w:val="18"/>
              </w:rPr>
              <w:t>14,4</w:t>
            </w:r>
          </w:p>
        </w:tc>
        <w:tc>
          <w:tcPr>
            <w:tcW w:w="0" w:type="auto"/>
            <w:gridSpan w:val="2"/>
            <w:tcBorders>
              <w:top w:val="nil"/>
              <w:left w:val="nil"/>
              <w:bottom w:val="nil"/>
              <w:right w:val="nil"/>
            </w:tcBorders>
            <w:shd w:val="clear" w:color="auto" w:fill="auto"/>
            <w:vAlign w:val="center"/>
            <w:hideMark/>
          </w:tcPr>
          <w:p w14:paraId="7DCC5F23" w14:textId="77777777" w:rsidR="00D73008" w:rsidRPr="001162D3" w:rsidRDefault="00D73008" w:rsidP="00387AE5">
            <w:pPr>
              <w:jc w:val="center"/>
              <w:rPr>
                <w:rFonts w:cs="Times New Roman"/>
                <w:sz w:val="18"/>
                <w:szCs w:val="18"/>
              </w:rPr>
            </w:pPr>
            <w:r w:rsidRPr="001162D3">
              <w:rPr>
                <w:sz w:val="18"/>
                <w:szCs w:val="18"/>
              </w:rPr>
              <w:t>14,4</w:t>
            </w:r>
          </w:p>
        </w:tc>
        <w:tc>
          <w:tcPr>
            <w:tcW w:w="0" w:type="auto"/>
            <w:tcBorders>
              <w:top w:val="nil"/>
              <w:left w:val="nil"/>
              <w:bottom w:val="nil"/>
              <w:right w:val="nil"/>
            </w:tcBorders>
            <w:shd w:val="clear" w:color="auto" w:fill="auto"/>
            <w:vAlign w:val="center"/>
            <w:hideMark/>
          </w:tcPr>
          <w:p w14:paraId="246AAE23" w14:textId="77777777" w:rsidR="00D73008" w:rsidRPr="001162D3" w:rsidRDefault="00D73008" w:rsidP="00387AE5">
            <w:pPr>
              <w:jc w:val="center"/>
              <w:rPr>
                <w:rFonts w:cs="Times New Roman"/>
                <w:sz w:val="18"/>
                <w:szCs w:val="18"/>
              </w:rPr>
            </w:pPr>
            <w:r w:rsidRPr="001162D3">
              <w:rPr>
                <w:sz w:val="18"/>
                <w:szCs w:val="18"/>
              </w:rPr>
              <w:t>14,4</w:t>
            </w:r>
          </w:p>
        </w:tc>
        <w:tc>
          <w:tcPr>
            <w:tcW w:w="0" w:type="auto"/>
            <w:tcBorders>
              <w:top w:val="nil"/>
              <w:left w:val="nil"/>
              <w:bottom w:val="nil"/>
              <w:right w:val="nil"/>
            </w:tcBorders>
            <w:shd w:val="clear" w:color="auto" w:fill="auto"/>
            <w:vAlign w:val="center"/>
            <w:hideMark/>
          </w:tcPr>
          <w:p w14:paraId="2BA74843" w14:textId="77777777" w:rsidR="00D73008" w:rsidRPr="001162D3" w:rsidRDefault="00D73008" w:rsidP="00387AE5">
            <w:pPr>
              <w:jc w:val="center"/>
              <w:rPr>
                <w:rFonts w:cs="Times New Roman"/>
                <w:sz w:val="18"/>
                <w:szCs w:val="18"/>
              </w:rPr>
            </w:pPr>
            <w:r w:rsidRPr="001162D3">
              <w:rPr>
                <w:sz w:val="18"/>
                <w:szCs w:val="18"/>
              </w:rPr>
              <w:t>14,4</w:t>
            </w:r>
          </w:p>
        </w:tc>
        <w:tc>
          <w:tcPr>
            <w:tcW w:w="469" w:type="dxa"/>
            <w:tcBorders>
              <w:top w:val="nil"/>
              <w:left w:val="nil"/>
              <w:bottom w:val="nil"/>
              <w:right w:val="nil"/>
            </w:tcBorders>
            <w:shd w:val="clear" w:color="auto" w:fill="auto"/>
            <w:vAlign w:val="center"/>
          </w:tcPr>
          <w:p w14:paraId="4B8BFA1F" w14:textId="77777777" w:rsidR="00D73008" w:rsidRPr="001162D3" w:rsidRDefault="00D73008" w:rsidP="00387AE5">
            <w:pPr>
              <w:jc w:val="center"/>
              <w:rPr>
                <w:rFonts w:cs="Times New Roman"/>
                <w:sz w:val="18"/>
                <w:szCs w:val="18"/>
              </w:rPr>
            </w:pPr>
            <w:r w:rsidRPr="001162D3">
              <w:rPr>
                <w:sz w:val="18"/>
                <w:szCs w:val="18"/>
              </w:rPr>
              <w:t>14,4</w:t>
            </w:r>
          </w:p>
        </w:tc>
      </w:tr>
      <w:tr w:rsidR="007C70FB" w:rsidRPr="001162D3" w14:paraId="5D4CF86F" w14:textId="77777777" w:rsidTr="007C70FB">
        <w:trPr>
          <w:trHeight w:val="283"/>
        </w:trPr>
        <w:tc>
          <w:tcPr>
            <w:tcW w:w="0" w:type="auto"/>
            <w:tcBorders>
              <w:top w:val="nil"/>
              <w:left w:val="nil"/>
              <w:bottom w:val="nil"/>
              <w:right w:val="nil"/>
            </w:tcBorders>
            <w:shd w:val="clear" w:color="000000" w:fill="FFFFFF"/>
            <w:noWrap/>
            <w:vAlign w:val="center"/>
            <w:hideMark/>
          </w:tcPr>
          <w:p w14:paraId="37D06358" w14:textId="77777777" w:rsidR="00D73008" w:rsidRPr="001162D3" w:rsidRDefault="00D73008" w:rsidP="00387AE5">
            <w:pPr>
              <w:rPr>
                <w:rFonts w:cs="Times New Roman"/>
                <w:sz w:val="18"/>
                <w:szCs w:val="18"/>
              </w:rPr>
            </w:pPr>
            <w:r w:rsidRPr="001162D3">
              <w:rPr>
                <w:rFonts w:cs="Times New Roman"/>
                <w:sz w:val="18"/>
                <w:szCs w:val="18"/>
              </w:rPr>
              <w:t>Rezervy dôchodkových fondov</w:t>
            </w:r>
          </w:p>
        </w:tc>
        <w:tc>
          <w:tcPr>
            <w:tcW w:w="0" w:type="auto"/>
            <w:tcBorders>
              <w:top w:val="nil"/>
              <w:left w:val="nil"/>
              <w:bottom w:val="nil"/>
              <w:right w:val="nil"/>
            </w:tcBorders>
            <w:shd w:val="clear" w:color="auto" w:fill="auto"/>
            <w:vAlign w:val="center"/>
            <w:hideMark/>
          </w:tcPr>
          <w:p w14:paraId="507FE7A2"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nil"/>
              <w:right w:val="nil"/>
            </w:tcBorders>
            <w:shd w:val="clear" w:color="auto" w:fill="auto"/>
            <w:vAlign w:val="center"/>
            <w:hideMark/>
          </w:tcPr>
          <w:p w14:paraId="55E60253" w14:textId="77777777" w:rsidR="00D73008" w:rsidRPr="001162D3" w:rsidRDefault="00D73008" w:rsidP="00387AE5">
            <w:pPr>
              <w:jc w:val="center"/>
              <w:rPr>
                <w:rFonts w:cs="Times New Roman"/>
                <w:sz w:val="18"/>
                <w:szCs w:val="18"/>
              </w:rPr>
            </w:pPr>
            <w:r w:rsidRPr="001162D3">
              <w:rPr>
                <w:sz w:val="18"/>
                <w:szCs w:val="18"/>
              </w:rPr>
              <w:t>-</w:t>
            </w:r>
          </w:p>
        </w:tc>
        <w:tc>
          <w:tcPr>
            <w:tcW w:w="0" w:type="auto"/>
            <w:gridSpan w:val="2"/>
            <w:tcBorders>
              <w:top w:val="nil"/>
              <w:left w:val="nil"/>
              <w:bottom w:val="nil"/>
              <w:right w:val="nil"/>
            </w:tcBorders>
            <w:shd w:val="clear" w:color="auto" w:fill="auto"/>
            <w:vAlign w:val="center"/>
            <w:hideMark/>
          </w:tcPr>
          <w:p w14:paraId="73F40723"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nil"/>
              <w:right w:val="nil"/>
            </w:tcBorders>
            <w:shd w:val="clear" w:color="auto" w:fill="auto"/>
            <w:vAlign w:val="center"/>
            <w:hideMark/>
          </w:tcPr>
          <w:p w14:paraId="73C2B383"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nil"/>
              <w:right w:val="nil"/>
            </w:tcBorders>
            <w:shd w:val="clear" w:color="auto" w:fill="auto"/>
            <w:vAlign w:val="center"/>
            <w:hideMark/>
          </w:tcPr>
          <w:p w14:paraId="0F6D94B7" w14:textId="77777777" w:rsidR="00D73008" w:rsidRPr="001162D3" w:rsidRDefault="00D73008" w:rsidP="00387AE5">
            <w:pPr>
              <w:jc w:val="center"/>
              <w:rPr>
                <w:rFonts w:cs="Times New Roman"/>
                <w:sz w:val="18"/>
                <w:szCs w:val="18"/>
              </w:rPr>
            </w:pPr>
            <w:r w:rsidRPr="001162D3">
              <w:rPr>
                <w:sz w:val="18"/>
                <w:szCs w:val="18"/>
              </w:rPr>
              <w:t>-</w:t>
            </w:r>
          </w:p>
        </w:tc>
        <w:tc>
          <w:tcPr>
            <w:tcW w:w="469" w:type="dxa"/>
            <w:tcBorders>
              <w:top w:val="nil"/>
              <w:left w:val="nil"/>
              <w:bottom w:val="nil"/>
              <w:right w:val="nil"/>
            </w:tcBorders>
            <w:shd w:val="clear" w:color="auto" w:fill="auto"/>
            <w:vAlign w:val="center"/>
          </w:tcPr>
          <w:p w14:paraId="79EEE826" w14:textId="77777777" w:rsidR="00D73008" w:rsidRPr="001162D3" w:rsidRDefault="00D73008" w:rsidP="00387AE5">
            <w:pPr>
              <w:jc w:val="center"/>
              <w:rPr>
                <w:rFonts w:cs="Times New Roman"/>
                <w:sz w:val="18"/>
                <w:szCs w:val="18"/>
              </w:rPr>
            </w:pPr>
            <w:r w:rsidRPr="001162D3">
              <w:rPr>
                <w:sz w:val="18"/>
                <w:szCs w:val="18"/>
              </w:rPr>
              <w:t>-</w:t>
            </w:r>
          </w:p>
        </w:tc>
      </w:tr>
      <w:tr w:rsidR="007C70FB" w:rsidRPr="001162D3" w14:paraId="65058CF4" w14:textId="77777777" w:rsidTr="007C70FB">
        <w:trPr>
          <w:trHeight w:val="283"/>
        </w:trPr>
        <w:tc>
          <w:tcPr>
            <w:tcW w:w="0" w:type="auto"/>
            <w:tcBorders>
              <w:top w:val="nil"/>
              <w:left w:val="nil"/>
              <w:bottom w:val="single" w:sz="4" w:space="0" w:color="auto"/>
              <w:right w:val="nil"/>
            </w:tcBorders>
            <w:shd w:val="clear" w:color="000000" w:fill="FFFFFF"/>
            <w:noWrap/>
            <w:vAlign w:val="center"/>
            <w:hideMark/>
          </w:tcPr>
          <w:p w14:paraId="6CE39343" w14:textId="77777777" w:rsidR="00D73008" w:rsidRPr="001162D3" w:rsidRDefault="00D73008" w:rsidP="00387AE5">
            <w:pPr>
              <w:ind w:firstLineChars="200" w:firstLine="360"/>
              <w:rPr>
                <w:rFonts w:cs="Times New Roman"/>
                <w:sz w:val="18"/>
                <w:szCs w:val="18"/>
              </w:rPr>
            </w:pPr>
            <w:r w:rsidRPr="001162D3">
              <w:rPr>
                <w:rFonts w:cs="Times New Roman"/>
                <w:sz w:val="18"/>
                <w:szCs w:val="18"/>
              </w:rPr>
              <w:t>Z toho: konsolidované rezervy dôch. fondov VS</w:t>
            </w:r>
          </w:p>
        </w:tc>
        <w:tc>
          <w:tcPr>
            <w:tcW w:w="0" w:type="auto"/>
            <w:tcBorders>
              <w:top w:val="nil"/>
              <w:left w:val="nil"/>
              <w:bottom w:val="nil"/>
              <w:right w:val="nil"/>
            </w:tcBorders>
            <w:shd w:val="clear" w:color="auto" w:fill="auto"/>
            <w:vAlign w:val="center"/>
            <w:hideMark/>
          </w:tcPr>
          <w:p w14:paraId="7195627B"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nil"/>
              <w:right w:val="nil"/>
            </w:tcBorders>
            <w:shd w:val="clear" w:color="auto" w:fill="auto"/>
            <w:vAlign w:val="center"/>
            <w:hideMark/>
          </w:tcPr>
          <w:p w14:paraId="0AEFED51" w14:textId="77777777" w:rsidR="00D73008" w:rsidRPr="001162D3" w:rsidRDefault="00D73008" w:rsidP="00387AE5">
            <w:pPr>
              <w:jc w:val="center"/>
              <w:rPr>
                <w:rFonts w:cs="Times New Roman"/>
                <w:sz w:val="18"/>
                <w:szCs w:val="18"/>
              </w:rPr>
            </w:pPr>
            <w:r w:rsidRPr="001162D3">
              <w:rPr>
                <w:sz w:val="18"/>
                <w:szCs w:val="18"/>
              </w:rPr>
              <w:t>-</w:t>
            </w:r>
          </w:p>
        </w:tc>
        <w:tc>
          <w:tcPr>
            <w:tcW w:w="0" w:type="auto"/>
            <w:gridSpan w:val="2"/>
            <w:tcBorders>
              <w:top w:val="nil"/>
              <w:left w:val="nil"/>
              <w:bottom w:val="nil"/>
              <w:right w:val="nil"/>
            </w:tcBorders>
            <w:shd w:val="clear" w:color="auto" w:fill="auto"/>
            <w:vAlign w:val="center"/>
            <w:hideMark/>
          </w:tcPr>
          <w:p w14:paraId="316FEDCE"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nil"/>
              <w:right w:val="nil"/>
            </w:tcBorders>
            <w:shd w:val="clear" w:color="auto" w:fill="auto"/>
            <w:vAlign w:val="center"/>
            <w:hideMark/>
          </w:tcPr>
          <w:p w14:paraId="2E02C636"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nil"/>
              <w:right w:val="nil"/>
            </w:tcBorders>
            <w:shd w:val="clear" w:color="auto" w:fill="auto"/>
            <w:vAlign w:val="center"/>
            <w:hideMark/>
          </w:tcPr>
          <w:p w14:paraId="3B7ADF4F" w14:textId="77777777" w:rsidR="00D73008" w:rsidRPr="001162D3" w:rsidRDefault="00D73008" w:rsidP="00387AE5">
            <w:pPr>
              <w:jc w:val="center"/>
              <w:rPr>
                <w:rFonts w:cs="Times New Roman"/>
                <w:sz w:val="18"/>
                <w:szCs w:val="18"/>
              </w:rPr>
            </w:pPr>
            <w:r w:rsidRPr="001162D3">
              <w:rPr>
                <w:sz w:val="18"/>
                <w:szCs w:val="18"/>
              </w:rPr>
              <w:t>-</w:t>
            </w:r>
          </w:p>
        </w:tc>
        <w:tc>
          <w:tcPr>
            <w:tcW w:w="469" w:type="dxa"/>
            <w:tcBorders>
              <w:top w:val="nil"/>
              <w:left w:val="nil"/>
              <w:bottom w:val="nil"/>
              <w:right w:val="nil"/>
            </w:tcBorders>
            <w:shd w:val="clear" w:color="auto" w:fill="auto"/>
            <w:vAlign w:val="center"/>
          </w:tcPr>
          <w:p w14:paraId="73D59D6E" w14:textId="77777777" w:rsidR="00D73008" w:rsidRPr="001162D3" w:rsidRDefault="00D73008" w:rsidP="00387AE5">
            <w:pPr>
              <w:jc w:val="center"/>
              <w:rPr>
                <w:rFonts w:cs="Times New Roman"/>
                <w:sz w:val="18"/>
                <w:szCs w:val="18"/>
              </w:rPr>
            </w:pPr>
            <w:r w:rsidRPr="001162D3">
              <w:rPr>
                <w:sz w:val="18"/>
                <w:szCs w:val="18"/>
              </w:rPr>
              <w:t>-</w:t>
            </w:r>
          </w:p>
        </w:tc>
      </w:tr>
      <w:tr w:rsidR="00D73008" w:rsidRPr="001162D3" w14:paraId="1E36A467" w14:textId="77777777" w:rsidTr="007C70FB">
        <w:trPr>
          <w:trHeight w:val="283"/>
        </w:trPr>
        <w:tc>
          <w:tcPr>
            <w:tcW w:w="0" w:type="auto"/>
            <w:gridSpan w:val="4"/>
            <w:tcBorders>
              <w:top w:val="single" w:sz="4" w:space="0" w:color="auto"/>
              <w:left w:val="nil"/>
              <w:bottom w:val="single" w:sz="6" w:space="0" w:color="auto"/>
              <w:right w:val="nil"/>
            </w:tcBorders>
            <w:shd w:val="clear" w:color="auto" w:fill="auto"/>
            <w:noWrap/>
            <w:vAlign w:val="center"/>
            <w:hideMark/>
          </w:tcPr>
          <w:p w14:paraId="20FD608F" w14:textId="77777777" w:rsidR="00D73008" w:rsidRPr="001162D3" w:rsidRDefault="00D73008" w:rsidP="00387AE5">
            <w:pPr>
              <w:jc w:val="center"/>
              <w:rPr>
                <w:rFonts w:cs="Times New Roman"/>
                <w:b/>
                <w:bCs/>
                <w:sz w:val="18"/>
                <w:szCs w:val="18"/>
              </w:rPr>
            </w:pPr>
            <w:r w:rsidRPr="001162D3">
              <w:rPr>
                <w:rFonts w:cs="Times New Roman"/>
                <w:b/>
                <w:bCs/>
                <w:sz w:val="18"/>
                <w:szCs w:val="18"/>
              </w:rPr>
              <w:t>Systémové dôchodkové reformy</w:t>
            </w:r>
          </w:p>
        </w:tc>
        <w:tc>
          <w:tcPr>
            <w:tcW w:w="1688" w:type="dxa"/>
            <w:gridSpan w:val="4"/>
            <w:tcBorders>
              <w:top w:val="single" w:sz="4" w:space="0" w:color="auto"/>
              <w:left w:val="nil"/>
              <w:bottom w:val="single" w:sz="6" w:space="0" w:color="auto"/>
              <w:right w:val="nil"/>
            </w:tcBorders>
            <w:vAlign w:val="center"/>
          </w:tcPr>
          <w:p w14:paraId="336E015A" w14:textId="77777777" w:rsidR="00D73008" w:rsidRPr="001162D3" w:rsidRDefault="00D73008" w:rsidP="00387AE5">
            <w:pPr>
              <w:jc w:val="center"/>
              <w:rPr>
                <w:rFonts w:cs="Times New Roman"/>
                <w:b/>
                <w:bCs/>
                <w:sz w:val="18"/>
                <w:szCs w:val="18"/>
              </w:rPr>
            </w:pPr>
          </w:p>
        </w:tc>
      </w:tr>
      <w:tr w:rsidR="007C70FB" w:rsidRPr="001162D3" w14:paraId="618D42A0" w14:textId="77777777" w:rsidTr="007C70FB">
        <w:trPr>
          <w:trHeight w:val="283"/>
        </w:trPr>
        <w:tc>
          <w:tcPr>
            <w:tcW w:w="0" w:type="auto"/>
            <w:tcBorders>
              <w:top w:val="single" w:sz="6" w:space="0" w:color="auto"/>
              <w:left w:val="nil"/>
              <w:bottom w:val="nil"/>
              <w:right w:val="nil"/>
            </w:tcBorders>
            <w:shd w:val="clear" w:color="000000" w:fill="FFFFFF"/>
            <w:noWrap/>
            <w:vAlign w:val="center"/>
            <w:hideMark/>
          </w:tcPr>
          <w:p w14:paraId="314DBA91" w14:textId="77777777" w:rsidR="00D73008" w:rsidRPr="001162D3" w:rsidRDefault="00D73008" w:rsidP="00387AE5">
            <w:pPr>
              <w:rPr>
                <w:rFonts w:cs="Times New Roman"/>
                <w:sz w:val="18"/>
                <w:szCs w:val="18"/>
              </w:rPr>
            </w:pPr>
            <w:r w:rsidRPr="001162D3">
              <w:rPr>
                <w:rFonts w:cs="Times New Roman"/>
                <w:sz w:val="18"/>
                <w:szCs w:val="18"/>
              </w:rPr>
              <w:t>Príspevky sociálneho zabezpečenia odvedené do dobrovoľnej súkromnej schémy</w:t>
            </w:r>
          </w:p>
        </w:tc>
        <w:tc>
          <w:tcPr>
            <w:tcW w:w="0" w:type="auto"/>
            <w:tcBorders>
              <w:top w:val="nil"/>
              <w:left w:val="nil"/>
              <w:bottom w:val="nil"/>
              <w:right w:val="nil"/>
            </w:tcBorders>
            <w:shd w:val="clear" w:color="auto" w:fill="auto"/>
            <w:vAlign w:val="center"/>
            <w:hideMark/>
          </w:tcPr>
          <w:p w14:paraId="0DFB1A88" w14:textId="77777777" w:rsidR="00D73008" w:rsidRPr="001162D3" w:rsidRDefault="00D73008" w:rsidP="00387AE5">
            <w:pPr>
              <w:jc w:val="center"/>
              <w:rPr>
                <w:rFonts w:cs="Times New Roman"/>
                <w:sz w:val="18"/>
                <w:szCs w:val="18"/>
              </w:rPr>
            </w:pPr>
            <w:r w:rsidRPr="001162D3">
              <w:rPr>
                <w:sz w:val="18"/>
                <w:szCs w:val="18"/>
              </w:rPr>
              <w:t>0,7</w:t>
            </w:r>
          </w:p>
        </w:tc>
        <w:tc>
          <w:tcPr>
            <w:tcW w:w="0" w:type="auto"/>
            <w:tcBorders>
              <w:top w:val="nil"/>
              <w:left w:val="nil"/>
              <w:bottom w:val="nil"/>
              <w:right w:val="nil"/>
            </w:tcBorders>
            <w:shd w:val="clear" w:color="auto" w:fill="auto"/>
            <w:vAlign w:val="center"/>
            <w:hideMark/>
          </w:tcPr>
          <w:p w14:paraId="75357C50" w14:textId="77777777" w:rsidR="00D73008" w:rsidRPr="001162D3" w:rsidRDefault="00D73008" w:rsidP="00387AE5">
            <w:pPr>
              <w:jc w:val="center"/>
              <w:rPr>
                <w:rFonts w:cs="Times New Roman"/>
                <w:sz w:val="18"/>
                <w:szCs w:val="18"/>
              </w:rPr>
            </w:pPr>
            <w:r w:rsidRPr="001162D3">
              <w:rPr>
                <w:sz w:val="18"/>
                <w:szCs w:val="18"/>
              </w:rPr>
              <w:t>0,9</w:t>
            </w:r>
          </w:p>
        </w:tc>
        <w:tc>
          <w:tcPr>
            <w:tcW w:w="0" w:type="auto"/>
            <w:gridSpan w:val="2"/>
            <w:tcBorders>
              <w:top w:val="nil"/>
              <w:left w:val="nil"/>
              <w:bottom w:val="nil"/>
              <w:right w:val="nil"/>
            </w:tcBorders>
            <w:shd w:val="clear" w:color="auto" w:fill="auto"/>
            <w:vAlign w:val="center"/>
            <w:hideMark/>
          </w:tcPr>
          <w:p w14:paraId="1FEF1003" w14:textId="77777777" w:rsidR="00D73008" w:rsidRPr="001162D3" w:rsidRDefault="00D73008" w:rsidP="00387AE5">
            <w:pPr>
              <w:jc w:val="center"/>
              <w:rPr>
                <w:rFonts w:cs="Times New Roman"/>
                <w:sz w:val="18"/>
                <w:szCs w:val="18"/>
              </w:rPr>
            </w:pPr>
            <w:r w:rsidRPr="001162D3">
              <w:rPr>
                <w:sz w:val="18"/>
                <w:szCs w:val="18"/>
              </w:rPr>
              <w:t>0,8</w:t>
            </w:r>
          </w:p>
        </w:tc>
        <w:tc>
          <w:tcPr>
            <w:tcW w:w="0" w:type="auto"/>
            <w:tcBorders>
              <w:top w:val="nil"/>
              <w:left w:val="nil"/>
              <w:bottom w:val="nil"/>
              <w:right w:val="nil"/>
            </w:tcBorders>
            <w:shd w:val="clear" w:color="auto" w:fill="auto"/>
            <w:vAlign w:val="center"/>
            <w:hideMark/>
          </w:tcPr>
          <w:p w14:paraId="3145FBD0" w14:textId="77777777" w:rsidR="00D73008" w:rsidRPr="001162D3" w:rsidRDefault="00D73008" w:rsidP="00387AE5">
            <w:pPr>
              <w:jc w:val="center"/>
              <w:rPr>
                <w:rFonts w:cs="Times New Roman"/>
                <w:sz w:val="18"/>
                <w:szCs w:val="18"/>
              </w:rPr>
            </w:pPr>
            <w:r w:rsidRPr="001162D3">
              <w:rPr>
                <w:sz w:val="18"/>
                <w:szCs w:val="18"/>
              </w:rPr>
              <w:t>0,7</w:t>
            </w:r>
          </w:p>
        </w:tc>
        <w:tc>
          <w:tcPr>
            <w:tcW w:w="0" w:type="auto"/>
            <w:tcBorders>
              <w:top w:val="nil"/>
              <w:left w:val="nil"/>
              <w:bottom w:val="nil"/>
              <w:right w:val="nil"/>
            </w:tcBorders>
            <w:shd w:val="clear" w:color="auto" w:fill="auto"/>
            <w:vAlign w:val="center"/>
            <w:hideMark/>
          </w:tcPr>
          <w:p w14:paraId="64DA214B" w14:textId="77777777" w:rsidR="00D73008" w:rsidRPr="001162D3" w:rsidRDefault="00D73008" w:rsidP="00387AE5">
            <w:pPr>
              <w:jc w:val="center"/>
              <w:rPr>
                <w:rFonts w:cs="Times New Roman"/>
                <w:sz w:val="18"/>
                <w:szCs w:val="18"/>
              </w:rPr>
            </w:pPr>
            <w:r w:rsidRPr="001162D3">
              <w:rPr>
                <w:sz w:val="18"/>
                <w:szCs w:val="18"/>
              </w:rPr>
              <w:t>0,7</w:t>
            </w:r>
          </w:p>
        </w:tc>
        <w:tc>
          <w:tcPr>
            <w:tcW w:w="469" w:type="dxa"/>
            <w:tcBorders>
              <w:top w:val="nil"/>
              <w:left w:val="nil"/>
              <w:bottom w:val="nil"/>
              <w:right w:val="nil"/>
            </w:tcBorders>
            <w:shd w:val="clear" w:color="auto" w:fill="auto"/>
            <w:vAlign w:val="center"/>
          </w:tcPr>
          <w:p w14:paraId="1F3C2612" w14:textId="77777777" w:rsidR="00D73008" w:rsidRPr="001162D3" w:rsidRDefault="00D73008" w:rsidP="00387AE5">
            <w:pPr>
              <w:jc w:val="center"/>
              <w:rPr>
                <w:rFonts w:cs="Times New Roman"/>
                <w:sz w:val="18"/>
                <w:szCs w:val="18"/>
              </w:rPr>
            </w:pPr>
            <w:r w:rsidRPr="001162D3">
              <w:rPr>
                <w:sz w:val="18"/>
                <w:szCs w:val="18"/>
              </w:rPr>
              <w:t>0,7</w:t>
            </w:r>
          </w:p>
        </w:tc>
      </w:tr>
      <w:tr w:rsidR="007C70FB" w:rsidRPr="001162D3" w14:paraId="7EC52BCB" w14:textId="77777777" w:rsidTr="007C70FB">
        <w:trPr>
          <w:trHeight w:val="283"/>
        </w:trPr>
        <w:tc>
          <w:tcPr>
            <w:tcW w:w="0" w:type="auto"/>
            <w:tcBorders>
              <w:top w:val="nil"/>
              <w:left w:val="nil"/>
              <w:bottom w:val="single" w:sz="4" w:space="0" w:color="auto"/>
              <w:right w:val="nil"/>
            </w:tcBorders>
            <w:shd w:val="clear" w:color="000000" w:fill="FFFFFF"/>
            <w:noWrap/>
            <w:vAlign w:val="center"/>
            <w:hideMark/>
          </w:tcPr>
          <w:p w14:paraId="0341D5E9" w14:textId="77777777" w:rsidR="00D73008" w:rsidRPr="001162D3" w:rsidRDefault="00D73008" w:rsidP="00387AE5">
            <w:pPr>
              <w:rPr>
                <w:rFonts w:cs="Times New Roman"/>
                <w:sz w:val="18"/>
                <w:szCs w:val="18"/>
              </w:rPr>
            </w:pPr>
            <w:r w:rsidRPr="001162D3">
              <w:rPr>
                <w:rFonts w:cs="Times New Roman"/>
                <w:sz w:val="18"/>
                <w:szCs w:val="18"/>
              </w:rPr>
              <w:t>Výdavky na dôchodky vyplatené prostredníctvom dobrovoľnej súkromnej schémy</w:t>
            </w:r>
          </w:p>
        </w:tc>
        <w:tc>
          <w:tcPr>
            <w:tcW w:w="0" w:type="auto"/>
            <w:tcBorders>
              <w:top w:val="nil"/>
              <w:left w:val="nil"/>
              <w:bottom w:val="single" w:sz="4" w:space="0" w:color="auto"/>
              <w:right w:val="nil"/>
            </w:tcBorders>
            <w:shd w:val="clear" w:color="auto" w:fill="auto"/>
            <w:vAlign w:val="center"/>
            <w:hideMark/>
          </w:tcPr>
          <w:p w14:paraId="0FB800B2"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single" w:sz="4" w:space="0" w:color="auto"/>
              <w:right w:val="nil"/>
            </w:tcBorders>
            <w:shd w:val="clear" w:color="auto" w:fill="auto"/>
            <w:vAlign w:val="center"/>
            <w:hideMark/>
          </w:tcPr>
          <w:p w14:paraId="20FF7739" w14:textId="77777777" w:rsidR="00D73008" w:rsidRPr="001162D3" w:rsidRDefault="00D73008" w:rsidP="00387AE5">
            <w:pPr>
              <w:jc w:val="center"/>
              <w:rPr>
                <w:rFonts w:cs="Times New Roman"/>
                <w:sz w:val="18"/>
                <w:szCs w:val="18"/>
              </w:rPr>
            </w:pPr>
            <w:r w:rsidRPr="001162D3">
              <w:rPr>
                <w:sz w:val="18"/>
                <w:szCs w:val="18"/>
              </w:rPr>
              <w:t>-</w:t>
            </w:r>
          </w:p>
        </w:tc>
        <w:tc>
          <w:tcPr>
            <w:tcW w:w="0" w:type="auto"/>
            <w:gridSpan w:val="2"/>
            <w:tcBorders>
              <w:top w:val="nil"/>
              <w:left w:val="nil"/>
              <w:bottom w:val="single" w:sz="4" w:space="0" w:color="auto"/>
              <w:right w:val="nil"/>
            </w:tcBorders>
            <w:shd w:val="clear" w:color="auto" w:fill="auto"/>
            <w:vAlign w:val="center"/>
            <w:hideMark/>
          </w:tcPr>
          <w:p w14:paraId="038D85ED"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single" w:sz="4" w:space="0" w:color="auto"/>
              <w:right w:val="nil"/>
            </w:tcBorders>
            <w:shd w:val="clear" w:color="auto" w:fill="auto"/>
            <w:vAlign w:val="center"/>
            <w:hideMark/>
          </w:tcPr>
          <w:p w14:paraId="67577BC2" w14:textId="77777777" w:rsidR="00D73008" w:rsidRPr="001162D3" w:rsidRDefault="00D73008" w:rsidP="00387AE5">
            <w:pPr>
              <w:jc w:val="center"/>
              <w:rPr>
                <w:rFonts w:cs="Times New Roman"/>
                <w:sz w:val="18"/>
                <w:szCs w:val="18"/>
              </w:rPr>
            </w:pPr>
            <w:r w:rsidRPr="001162D3">
              <w:rPr>
                <w:sz w:val="18"/>
                <w:szCs w:val="18"/>
              </w:rPr>
              <w:t>-</w:t>
            </w:r>
          </w:p>
        </w:tc>
        <w:tc>
          <w:tcPr>
            <w:tcW w:w="0" w:type="auto"/>
            <w:tcBorders>
              <w:top w:val="nil"/>
              <w:left w:val="nil"/>
              <w:bottom w:val="single" w:sz="4" w:space="0" w:color="auto"/>
              <w:right w:val="nil"/>
            </w:tcBorders>
            <w:shd w:val="clear" w:color="auto" w:fill="auto"/>
            <w:vAlign w:val="center"/>
            <w:hideMark/>
          </w:tcPr>
          <w:p w14:paraId="2233B731" w14:textId="77777777" w:rsidR="00D73008" w:rsidRPr="001162D3" w:rsidRDefault="00D73008" w:rsidP="00387AE5">
            <w:pPr>
              <w:jc w:val="center"/>
              <w:rPr>
                <w:rFonts w:cs="Times New Roman"/>
                <w:sz w:val="18"/>
                <w:szCs w:val="18"/>
              </w:rPr>
            </w:pPr>
            <w:r w:rsidRPr="001162D3">
              <w:rPr>
                <w:sz w:val="18"/>
                <w:szCs w:val="18"/>
              </w:rPr>
              <w:t>-</w:t>
            </w:r>
          </w:p>
        </w:tc>
        <w:tc>
          <w:tcPr>
            <w:tcW w:w="469" w:type="dxa"/>
            <w:tcBorders>
              <w:top w:val="nil"/>
              <w:left w:val="nil"/>
              <w:bottom w:val="single" w:sz="4" w:space="0" w:color="auto"/>
              <w:right w:val="nil"/>
            </w:tcBorders>
            <w:shd w:val="clear" w:color="auto" w:fill="auto"/>
            <w:vAlign w:val="center"/>
          </w:tcPr>
          <w:p w14:paraId="350793FD" w14:textId="77777777" w:rsidR="00D73008" w:rsidRPr="001162D3" w:rsidRDefault="00D73008" w:rsidP="00387AE5">
            <w:pPr>
              <w:jc w:val="center"/>
              <w:rPr>
                <w:rFonts w:cs="Times New Roman"/>
                <w:sz w:val="18"/>
                <w:szCs w:val="18"/>
              </w:rPr>
            </w:pPr>
          </w:p>
        </w:tc>
      </w:tr>
      <w:tr w:rsidR="00D73008" w:rsidRPr="001162D3" w14:paraId="43D97444" w14:textId="77777777" w:rsidTr="007C70FB">
        <w:trPr>
          <w:trHeight w:val="283"/>
        </w:trPr>
        <w:tc>
          <w:tcPr>
            <w:tcW w:w="0" w:type="auto"/>
            <w:gridSpan w:val="4"/>
            <w:tcBorders>
              <w:top w:val="single" w:sz="4" w:space="0" w:color="auto"/>
              <w:left w:val="nil"/>
              <w:bottom w:val="single" w:sz="6" w:space="0" w:color="auto"/>
              <w:right w:val="nil"/>
            </w:tcBorders>
            <w:shd w:val="clear" w:color="auto" w:fill="auto"/>
            <w:vAlign w:val="center"/>
            <w:hideMark/>
          </w:tcPr>
          <w:p w14:paraId="6D2E179C" w14:textId="77777777" w:rsidR="00D73008" w:rsidRPr="001162D3" w:rsidRDefault="00D73008" w:rsidP="00387AE5">
            <w:pPr>
              <w:jc w:val="center"/>
              <w:rPr>
                <w:rFonts w:cs="Times New Roman"/>
                <w:b/>
                <w:bCs/>
                <w:sz w:val="18"/>
                <w:szCs w:val="18"/>
              </w:rPr>
            </w:pPr>
            <w:r w:rsidRPr="001162D3">
              <w:rPr>
                <w:rFonts w:cs="Times New Roman"/>
                <w:b/>
                <w:bCs/>
                <w:sz w:val="18"/>
                <w:szCs w:val="18"/>
              </w:rPr>
              <w:t>Predpoklady</w:t>
            </w:r>
          </w:p>
        </w:tc>
        <w:tc>
          <w:tcPr>
            <w:tcW w:w="1688" w:type="dxa"/>
            <w:gridSpan w:val="4"/>
            <w:tcBorders>
              <w:top w:val="single" w:sz="4" w:space="0" w:color="auto"/>
              <w:left w:val="nil"/>
              <w:bottom w:val="single" w:sz="6" w:space="0" w:color="auto"/>
              <w:right w:val="nil"/>
            </w:tcBorders>
            <w:vAlign w:val="center"/>
          </w:tcPr>
          <w:p w14:paraId="1C4CA818" w14:textId="77777777" w:rsidR="00D73008" w:rsidRPr="001162D3" w:rsidRDefault="00D73008" w:rsidP="00387AE5">
            <w:pPr>
              <w:jc w:val="center"/>
              <w:rPr>
                <w:rFonts w:cs="Times New Roman"/>
                <w:b/>
                <w:bCs/>
                <w:sz w:val="18"/>
                <w:szCs w:val="18"/>
              </w:rPr>
            </w:pPr>
          </w:p>
        </w:tc>
      </w:tr>
      <w:tr w:rsidR="007C70FB" w:rsidRPr="001162D3" w14:paraId="07751958" w14:textId="77777777" w:rsidTr="007C70FB">
        <w:trPr>
          <w:trHeight w:val="283"/>
        </w:trPr>
        <w:tc>
          <w:tcPr>
            <w:tcW w:w="0" w:type="auto"/>
            <w:tcBorders>
              <w:top w:val="single" w:sz="6" w:space="0" w:color="auto"/>
              <w:left w:val="nil"/>
              <w:bottom w:val="nil"/>
              <w:right w:val="nil"/>
            </w:tcBorders>
            <w:shd w:val="clear" w:color="000000" w:fill="FFFFFF"/>
            <w:vAlign w:val="center"/>
            <w:hideMark/>
          </w:tcPr>
          <w:p w14:paraId="084E1C7D" w14:textId="77777777" w:rsidR="00D73008" w:rsidRPr="001162D3" w:rsidRDefault="00D73008" w:rsidP="00387AE5">
            <w:pPr>
              <w:rPr>
                <w:rFonts w:cs="Times New Roman"/>
                <w:sz w:val="18"/>
                <w:szCs w:val="18"/>
              </w:rPr>
            </w:pPr>
            <w:r w:rsidRPr="001162D3">
              <w:rPr>
                <w:rFonts w:cs="Times New Roman"/>
                <w:sz w:val="18"/>
                <w:szCs w:val="18"/>
              </w:rPr>
              <w:t>Rast produktivity práce</w:t>
            </w:r>
          </w:p>
        </w:tc>
        <w:tc>
          <w:tcPr>
            <w:tcW w:w="0" w:type="auto"/>
            <w:tcBorders>
              <w:top w:val="nil"/>
              <w:left w:val="nil"/>
              <w:bottom w:val="nil"/>
              <w:right w:val="nil"/>
            </w:tcBorders>
            <w:shd w:val="clear" w:color="auto" w:fill="auto"/>
            <w:vAlign w:val="center"/>
            <w:hideMark/>
          </w:tcPr>
          <w:p w14:paraId="37A79B56" w14:textId="77777777" w:rsidR="00D73008" w:rsidRPr="001162D3" w:rsidRDefault="00D73008" w:rsidP="00387AE5">
            <w:pPr>
              <w:jc w:val="center"/>
              <w:rPr>
                <w:rFonts w:cs="Times New Roman"/>
                <w:sz w:val="18"/>
                <w:szCs w:val="18"/>
              </w:rPr>
            </w:pPr>
            <w:r w:rsidRPr="001162D3">
              <w:rPr>
                <w:sz w:val="18"/>
                <w:szCs w:val="18"/>
              </w:rPr>
              <w:t>3,0</w:t>
            </w:r>
          </w:p>
        </w:tc>
        <w:tc>
          <w:tcPr>
            <w:tcW w:w="0" w:type="auto"/>
            <w:tcBorders>
              <w:top w:val="nil"/>
              <w:left w:val="nil"/>
              <w:bottom w:val="nil"/>
              <w:right w:val="nil"/>
            </w:tcBorders>
            <w:shd w:val="clear" w:color="auto" w:fill="auto"/>
            <w:vAlign w:val="center"/>
            <w:hideMark/>
          </w:tcPr>
          <w:p w14:paraId="33FF075D" w14:textId="77777777" w:rsidR="00D73008" w:rsidRPr="001162D3" w:rsidRDefault="00D73008" w:rsidP="00387AE5">
            <w:pPr>
              <w:jc w:val="center"/>
              <w:rPr>
                <w:rFonts w:cs="Times New Roman"/>
                <w:sz w:val="18"/>
                <w:szCs w:val="18"/>
              </w:rPr>
            </w:pPr>
            <w:r w:rsidRPr="001162D3">
              <w:rPr>
                <w:sz w:val="18"/>
                <w:szCs w:val="18"/>
              </w:rPr>
              <w:t>3,1</w:t>
            </w:r>
          </w:p>
        </w:tc>
        <w:tc>
          <w:tcPr>
            <w:tcW w:w="0" w:type="auto"/>
            <w:gridSpan w:val="2"/>
            <w:tcBorders>
              <w:top w:val="nil"/>
              <w:left w:val="nil"/>
              <w:bottom w:val="nil"/>
              <w:right w:val="nil"/>
            </w:tcBorders>
            <w:shd w:val="clear" w:color="auto" w:fill="auto"/>
            <w:vAlign w:val="center"/>
            <w:hideMark/>
          </w:tcPr>
          <w:p w14:paraId="59CA3B72" w14:textId="77777777" w:rsidR="00D73008" w:rsidRPr="001162D3" w:rsidRDefault="00D73008" w:rsidP="00387AE5">
            <w:pPr>
              <w:jc w:val="center"/>
              <w:rPr>
                <w:rFonts w:cs="Times New Roman"/>
                <w:sz w:val="18"/>
                <w:szCs w:val="18"/>
              </w:rPr>
            </w:pPr>
            <w:r w:rsidRPr="001162D3">
              <w:rPr>
                <w:sz w:val="18"/>
                <w:szCs w:val="18"/>
              </w:rPr>
              <w:t>2,3</w:t>
            </w:r>
          </w:p>
        </w:tc>
        <w:tc>
          <w:tcPr>
            <w:tcW w:w="0" w:type="auto"/>
            <w:tcBorders>
              <w:top w:val="nil"/>
              <w:left w:val="nil"/>
              <w:bottom w:val="nil"/>
              <w:right w:val="nil"/>
            </w:tcBorders>
            <w:shd w:val="clear" w:color="auto" w:fill="auto"/>
            <w:vAlign w:val="center"/>
            <w:hideMark/>
          </w:tcPr>
          <w:p w14:paraId="3E577B40" w14:textId="77777777" w:rsidR="00D73008" w:rsidRPr="001162D3" w:rsidRDefault="00D73008" w:rsidP="00387AE5">
            <w:pPr>
              <w:jc w:val="center"/>
              <w:rPr>
                <w:rFonts w:cs="Times New Roman"/>
                <w:sz w:val="18"/>
                <w:szCs w:val="18"/>
              </w:rPr>
            </w:pPr>
            <w:r w:rsidRPr="001162D3">
              <w:rPr>
                <w:sz w:val="18"/>
                <w:szCs w:val="18"/>
              </w:rPr>
              <w:t>1,8</w:t>
            </w:r>
          </w:p>
        </w:tc>
        <w:tc>
          <w:tcPr>
            <w:tcW w:w="0" w:type="auto"/>
            <w:tcBorders>
              <w:top w:val="nil"/>
              <w:left w:val="nil"/>
              <w:bottom w:val="nil"/>
              <w:right w:val="nil"/>
            </w:tcBorders>
            <w:shd w:val="clear" w:color="auto" w:fill="auto"/>
            <w:vAlign w:val="center"/>
            <w:hideMark/>
          </w:tcPr>
          <w:p w14:paraId="3D20233D" w14:textId="77777777" w:rsidR="00D73008" w:rsidRPr="001162D3" w:rsidRDefault="00D73008" w:rsidP="00387AE5">
            <w:pPr>
              <w:jc w:val="center"/>
              <w:rPr>
                <w:rFonts w:cs="Times New Roman"/>
                <w:sz w:val="18"/>
                <w:szCs w:val="18"/>
              </w:rPr>
            </w:pPr>
            <w:r w:rsidRPr="001162D3">
              <w:rPr>
                <w:sz w:val="18"/>
                <w:szCs w:val="18"/>
              </w:rPr>
              <w:t>1,7</w:t>
            </w:r>
          </w:p>
        </w:tc>
        <w:tc>
          <w:tcPr>
            <w:tcW w:w="469" w:type="dxa"/>
            <w:tcBorders>
              <w:top w:val="nil"/>
              <w:left w:val="nil"/>
              <w:bottom w:val="nil"/>
              <w:right w:val="nil"/>
            </w:tcBorders>
            <w:shd w:val="clear" w:color="auto" w:fill="auto"/>
            <w:vAlign w:val="center"/>
          </w:tcPr>
          <w:p w14:paraId="14F49E99" w14:textId="77777777" w:rsidR="00D73008" w:rsidRPr="001162D3" w:rsidRDefault="00D73008" w:rsidP="00387AE5">
            <w:pPr>
              <w:jc w:val="center"/>
              <w:rPr>
                <w:rFonts w:cs="Times New Roman"/>
                <w:sz w:val="18"/>
                <w:szCs w:val="18"/>
              </w:rPr>
            </w:pPr>
            <w:r w:rsidRPr="001162D3">
              <w:rPr>
                <w:sz w:val="18"/>
                <w:szCs w:val="18"/>
              </w:rPr>
              <w:t>1,5</w:t>
            </w:r>
          </w:p>
        </w:tc>
      </w:tr>
      <w:tr w:rsidR="007C70FB" w:rsidRPr="001162D3" w14:paraId="36E7B74F" w14:textId="77777777" w:rsidTr="007C70FB">
        <w:trPr>
          <w:trHeight w:val="283"/>
        </w:trPr>
        <w:tc>
          <w:tcPr>
            <w:tcW w:w="0" w:type="auto"/>
            <w:tcBorders>
              <w:top w:val="nil"/>
              <w:left w:val="nil"/>
              <w:bottom w:val="nil"/>
              <w:right w:val="nil"/>
            </w:tcBorders>
            <w:shd w:val="clear" w:color="000000" w:fill="FFFFFF"/>
            <w:vAlign w:val="center"/>
            <w:hideMark/>
          </w:tcPr>
          <w:p w14:paraId="3259FC91" w14:textId="77777777" w:rsidR="00D73008" w:rsidRPr="001162D3" w:rsidRDefault="00D73008" w:rsidP="00387AE5">
            <w:pPr>
              <w:rPr>
                <w:rFonts w:cs="Times New Roman"/>
                <w:sz w:val="18"/>
                <w:szCs w:val="18"/>
              </w:rPr>
            </w:pPr>
            <w:r w:rsidRPr="001162D3">
              <w:rPr>
                <w:rFonts w:cs="Times New Roman"/>
                <w:sz w:val="18"/>
                <w:szCs w:val="18"/>
              </w:rPr>
              <w:t>Reálny rast HDP</w:t>
            </w:r>
          </w:p>
        </w:tc>
        <w:tc>
          <w:tcPr>
            <w:tcW w:w="0" w:type="auto"/>
            <w:tcBorders>
              <w:top w:val="nil"/>
              <w:left w:val="nil"/>
              <w:bottom w:val="nil"/>
              <w:right w:val="nil"/>
            </w:tcBorders>
            <w:shd w:val="clear" w:color="auto" w:fill="auto"/>
            <w:vAlign w:val="center"/>
            <w:hideMark/>
          </w:tcPr>
          <w:p w14:paraId="413B17F9" w14:textId="77777777" w:rsidR="00D73008" w:rsidRPr="001162D3" w:rsidRDefault="00D73008" w:rsidP="00387AE5">
            <w:pPr>
              <w:jc w:val="center"/>
              <w:rPr>
                <w:rFonts w:cs="Times New Roman"/>
                <w:sz w:val="18"/>
                <w:szCs w:val="18"/>
              </w:rPr>
            </w:pPr>
            <w:r w:rsidRPr="001162D3">
              <w:rPr>
                <w:sz w:val="18"/>
                <w:szCs w:val="18"/>
              </w:rPr>
              <w:t>2,5</w:t>
            </w:r>
          </w:p>
        </w:tc>
        <w:tc>
          <w:tcPr>
            <w:tcW w:w="0" w:type="auto"/>
            <w:tcBorders>
              <w:top w:val="nil"/>
              <w:left w:val="nil"/>
              <w:bottom w:val="nil"/>
              <w:right w:val="nil"/>
            </w:tcBorders>
            <w:shd w:val="clear" w:color="auto" w:fill="auto"/>
            <w:vAlign w:val="center"/>
            <w:hideMark/>
          </w:tcPr>
          <w:p w14:paraId="1313885F" w14:textId="77777777" w:rsidR="00D73008" w:rsidRPr="001162D3" w:rsidRDefault="00D73008" w:rsidP="00387AE5">
            <w:pPr>
              <w:jc w:val="center"/>
              <w:rPr>
                <w:rFonts w:cs="Times New Roman"/>
                <w:sz w:val="18"/>
                <w:szCs w:val="18"/>
              </w:rPr>
            </w:pPr>
            <w:r w:rsidRPr="001162D3">
              <w:rPr>
                <w:sz w:val="18"/>
                <w:szCs w:val="18"/>
              </w:rPr>
              <w:t>2,8</w:t>
            </w:r>
          </w:p>
        </w:tc>
        <w:tc>
          <w:tcPr>
            <w:tcW w:w="0" w:type="auto"/>
            <w:gridSpan w:val="2"/>
            <w:tcBorders>
              <w:top w:val="nil"/>
              <w:left w:val="nil"/>
              <w:bottom w:val="nil"/>
              <w:right w:val="nil"/>
            </w:tcBorders>
            <w:shd w:val="clear" w:color="auto" w:fill="auto"/>
            <w:vAlign w:val="center"/>
            <w:hideMark/>
          </w:tcPr>
          <w:p w14:paraId="6F6360FA" w14:textId="77777777" w:rsidR="00D73008" w:rsidRPr="001162D3" w:rsidRDefault="00D73008" w:rsidP="00387AE5">
            <w:pPr>
              <w:jc w:val="center"/>
              <w:rPr>
                <w:rFonts w:cs="Times New Roman"/>
                <w:sz w:val="18"/>
                <w:szCs w:val="18"/>
              </w:rPr>
            </w:pPr>
            <w:r w:rsidRPr="001162D3">
              <w:rPr>
                <w:sz w:val="18"/>
                <w:szCs w:val="18"/>
              </w:rPr>
              <w:t>1,8</w:t>
            </w:r>
          </w:p>
        </w:tc>
        <w:tc>
          <w:tcPr>
            <w:tcW w:w="0" w:type="auto"/>
            <w:tcBorders>
              <w:top w:val="nil"/>
              <w:left w:val="nil"/>
              <w:bottom w:val="nil"/>
              <w:right w:val="nil"/>
            </w:tcBorders>
            <w:shd w:val="clear" w:color="auto" w:fill="auto"/>
            <w:vAlign w:val="center"/>
            <w:hideMark/>
          </w:tcPr>
          <w:p w14:paraId="528C4710" w14:textId="77777777" w:rsidR="00D73008" w:rsidRPr="001162D3" w:rsidRDefault="00D73008" w:rsidP="00387AE5">
            <w:pPr>
              <w:jc w:val="center"/>
              <w:rPr>
                <w:rFonts w:cs="Times New Roman"/>
                <w:sz w:val="18"/>
                <w:szCs w:val="18"/>
              </w:rPr>
            </w:pPr>
            <w:r w:rsidRPr="001162D3">
              <w:rPr>
                <w:sz w:val="18"/>
                <w:szCs w:val="18"/>
              </w:rPr>
              <w:t>1,2</w:t>
            </w:r>
          </w:p>
        </w:tc>
        <w:tc>
          <w:tcPr>
            <w:tcW w:w="0" w:type="auto"/>
            <w:tcBorders>
              <w:top w:val="nil"/>
              <w:left w:val="nil"/>
              <w:bottom w:val="nil"/>
              <w:right w:val="nil"/>
            </w:tcBorders>
            <w:shd w:val="clear" w:color="auto" w:fill="auto"/>
            <w:vAlign w:val="center"/>
            <w:hideMark/>
          </w:tcPr>
          <w:p w14:paraId="6A8F0E8C" w14:textId="77777777" w:rsidR="00D73008" w:rsidRPr="001162D3" w:rsidRDefault="00D73008" w:rsidP="00387AE5">
            <w:pPr>
              <w:jc w:val="center"/>
              <w:rPr>
                <w:rFonts w:cs="Times New Roman"/>
                <w:sz w:val="18"/>
                <w:szCs w:val="18"/>
              </w:rPr>
            </w:pPr>
            <w:r w:rsidRPr="001162D3">
              <w:rPr>
                <w:sz w:val="18"/>
                <w:szCs w:val="18"/>
              </w:rPr>
              <w:t>1,2</w:t>
            </w:r>
          </w:p>
        </w:tc>
        <w:tc>
          <w:tcPr>
            <w:tcW w:w="469" w:type="dxa"/>
            <w:tcBorders>
              <w:top w:val="nil"/>
              <w:left w:val="nil"/>
              <w:bottom w:val="nil"/>
              <w:right w:val="nil"/>
            </w:tcBorders>
            <w:shd w:val="clear" w:color="auto" w:fill="auto"/>
            <w:vAlign w:val="center"/>
          </w:tcPr>
          <w:p w14:paraId="0D2DF39E" w14:textId="77777777" w:rsidR="00D73008" w:rsidRPr="001162D3" w:rsidRDefault="00D73008" w:rsidP="00387AE5">
            <w:pPr>
              <w:jc w:val="center"/>
              <w:rPr>
                <w:rFonts w:cs="Times New Roman"/>
                <w:sz w:val="18"/>
                <w:szCs w:val="18"/>
              </w:rPr>
            </w:pPr>
            <w:r w:rsidRPr="001162D3">
              <w:rPr>
                <w:sz w:val="18"/>
                <w:szCs w:val="18"/>
              </w:rPr>
              <w:t>1,5</w:t>
            </w:r>
          </w:p>
        </w:tc>
      </w:tr>
      <w:tr w:rsidR="007C70FB" w:rsidRPr="001162D3" w14:paraId="4B67858F" w14:textId="77777777" w:rsidTr="007C70FB">
        <w:trPr>
          <w:trHeight w:val="283"/>
        </w:trPr>
        <w:tc>
          <w:tcPr>
            <w:tcW w:w="0" w:type="auto"/>
            <w:tcBorders>
              <w:top w:val="nil"/>
              <w:left w:val="nil"/>
              <w:bottom w:val="nil"/>
              <w:right w:val="nil"/>
            </w:tcBorders>
            <w:shd w:val="clear" w:color="000000" w:fill="FFFFFF"/>
            <w:vAlign w:val="center"/>
            <w:hideMark/>
          </w:tcPr>
          <w:p w14:paraId="72703367" w14:textId="77777777" w:rsidR="00D73008" w:rsidRPr="001162D3" w:rsidRDefault="00D73008" w:rsidP="00387AE5">
            <w:pPr>
              <w:rPr>
                <w:rFonts w:cs="Times New Roman"/>
                <w:sz w:val="18"/>
                <w:szCs w:val="18"/>
              </w:rPr>
            </w:pPr>
            <w:r w:rsidRPr="001162D3">
              <w:rPr>
                <w:rFonts w:cs="Times New Roman"/>
                <w:sz w:val="18"/>
                <w:szCs w:val="18"/>
              </w:rPr>
              <w:t>Miera participácie mužov  (vek 15-64)</w:t>
            </w:r>
          </w:p>
        </w:tc>
        <w:tc>
          <w:tcPr>
            <w:tcW w:w="0" w:type="auto"/>
            <w:tcBorders>
              <w:top w:val="nil"/>
              <w:left w:val="nil"/>
              <w:bottom w:val="nil"/>
              <w:right w:val="nil"/>
            </w:tcBorders>
            <w:shd w:val="clear" w:color="auto" w:fill="auto"/>
            <w:vAlign w:val="center"/>
            <w:hideMark/>
          </w:tcPr>
          <w:p w14:paraId="5570F139" w14:textId="77777777" w:rsidR="00D73008" w:rsidRPr="001162D3" w:rsidRDefault="00D73008" w:rsidP="00387AE5">
            <w:pPr>
              <w:jc w:val="center"/>
              <w:rPr>
                <w:rFonts w:cs="Times New Roman"/>
                <w:sz w:val="18"/>
                <w:szCs w:val="18"/>
              </w:rPr>
            </w:pPr>
            <w:r w:rsidRPr="001162D3">
              <w:rPr>
                <w:sz w:val="18"/>
                <w:szCs w:val="18"/>
              </w:rPr>
              <w:t>79,0</w:t>
            </w:r>
          </w:p>
        </w:tc>
        <w:tc>
          <w:tcPr>
            <w:tcW w:w="0" w:type="auto"/>
            <w:tcBorders>
              <w:top w:val="nil"/>
              <w:left w:val="nil"/>
              <w:bottom w:val="nil"/>
              <w:right w:val="nil"/>
            </w:tcBorders>
            <w:shd w:val="clear" w:color="auto" w:fill="auto"/>
            <w:vAlign w:val="center"/>
            <w:hideMark/>
          </w:tcPr>
          <w:p w14:paraId="68E30CD1" w14:textId="77777777" w:rsidR="00D73008" w:rsidRPr="001162D3" w:rsidRDefault="00D73008" w:rsidP="00387AE5">
            <w:pPr>
              <w:jc w:val="center"/>
              <w:rPr>
                <w:rFonts w:cs="Times New Roman"/>
                <w:sz w:val="18"/>
                <w:szCs w:val="18"/>
              </w:rPr>
            </w:pPr>
            <w:r w:rsidRPr="001162D3">
              <w:rPr>
                <w:sz w:val="18"/>
                <w:szCs w:val="18"/>
              </w:rPr>
              <w:t>78,2</w:t>
            </w:r>
          </w:p>
        </w:tc>
        <w:tc>
          <w:tcPr>
            <w:tcW w:w="0" w:type="auto"/>
            <w:gridSpan w:val="2"/>
            <w:tcBorders>
              <w:top w:val="nil"/>
              <w:left w:val="nil"/>
              <w:bottom w:val="nil"/>
              <w:right w:val="nil"/>
            </w:tcBorders>
            <w:shd w:val="clear" w:color="auto" w:fill="auto"/>
            <w:vAlign w:val="center"/>
            <w:hideMark/>
          </w:tcPr>
          <w:p w14:paraId="696FAA74" w14:textId="77777777" w:rsidR="00D73008" w:rsidRPr="001162D3" w:rsidRDefault="00D73008" w:rsidP="00387AE5">
            <w:pPr>
              <w:jc w:val="center"/>
              <w:rPr>
                <w:rFonts w:cs="Times New Roman"/>
                <w:sz w:val="18"/>
                <w:szCs w:val="18"/>
              </w:rPr>
            </w:pPr>
            <w:r w:rsidRPr="001162D3">
              <w:rPr>
                <w:sz w:val="18"/>
                <w:szCs w:val="18"/>
              </w:rPr>
              <w:t>78,0</w:t>
            </w:r>
          </w:p>
        </w:tc>
        <w:tc>
          <w:tcPr>
            <w:tcW w:w="0" w:type="auto"/>
            <w:tcBorders>
              <w:top w:val="nil"/>
              <w:left w:val="nil"/>
              <w:bottom w:val="nil"/>
              <w:right w:val="nil"/>
            </w:tcBorders>
            <w:shd w:val="clear" w:color="auto" w:fill="auto"/>
            <w:vAlign w:val="center"/>
            <w:hideMark/>
          </w:tcPr>
          <w:p w14:paraId="7BEB1FFE" w14:textId="77777777" w:rsidR="00D73008" w:rsidRPr="001162D3" w:rsidRDefault="00D73008" w:rsidP="00387AE5">
            <w:pPr>
              <w:jc w:val="center"/>
              <w:rPr>
                <w:rFonts w:cs="Times New Roman"/>
                <w:sz w:val="18"/>
                <w:szCs w:val="18"/>
              </w:rPr>
            </w:pPr>
            <w:r w:rsidRPr="001162D3">
              <w:rPr>
                <w:sz w:val="18"/>
                <w:szCs w:val="18"/>
              </w:rPr>
              <w:t>79,1</w:t>
            </w:r>
          </w:p>
        </w:tc>
        <w:tc>
          <w:tcPr>
            <w:tcW w:w="0" w:type="auto"/>
            <w:tcBorders>
              <w:top w:val="nil"/>
              <w:left w:val="nil"/>
              <w:bottom w:val="nil"/>
              <w:right w:val="nil"/>
            </w:tcBorders>
            <w:shd w:val="clear" w:color="auto" w:fill="auto"/>
            <w:vAlign w:val="center"/>
            <w:hideMark/>
          </w:tcPr>
          <w:p w14:paraId="06375D25" w14:textId="77777777" w:rsidR="00D73008" w:rsidRPr="001162D3" w:rsidRDefault="00D73008" w:rsidP="00387AE5">
            <w:pPr>
              <w:jc w:val="center"/>
              <w:rPr>
                <w:rFonts w:cs="Times New Roman"/>
                <w:sz w:val="18"/>
                <w:szCs w:val="18"/>
              </w:rPr>
            </w:pPr>
            <w:r w:rsidRPr="001162D3">
              <w:rPr>
                <w:sz w:val="18"/>
                <w:szCs w:val="18"/>
              </w:rPr>
              <w:t>79,5</w:t>
            </w:r>
          </w:p>
        </w:tc>
        <w:tc>
          <w:tcPr>
            <w:tcW w:w="469" w:type="dxa"/>
            <w:tcBorders>
              <w:top w:val="nil"/>
              <w:left w:val="nil"/>
              <w:bottom w:val="nil"/>
              <w:right w:val="nil"/>
            </w:tcBorders>
            <w:shd w:val="clear" w:color="auto" w:fill="auto"/>
            <w:vAlign w:val="center"/>
          </w:tcPr>
          <w:p w14:paraId="14FD1050" w14:textId="77777777" w:rsidR="00D73008" w:rsidRPr="001162D3" w:rsidRDefault="00D73008" w:rsidP="00387AE5">
            <w:pPr>
              <w:jc w:val="center"/>
              <w:rPr>
                <w:rFonts w:cs="Times New Roman"/>
                <w:sz w:val="18"/>
                <w:szCs w:val="18"/>
              </w:rPr>
            </w:pPr>
            <w:r w:rsidRPr="001162D3">
              <w:rPr>
                <w:sz w:val="18"/>
                <w:szCs w:val="18"/>
              </w:rPr>
              <w:t>79,7</w:t>
            </w:r>
          </w:p>
        </w:tc>
      </w:tr>
      <w:tr w:rsidR="007C70FB" w:rsidRPr="001162D3" w14:paraId="7B79D012" w14:textId="77777777" w:rsidTr="007C70FB">
        <w:trPr>
          <w:trHeight w:val="283"/>
        </w:trPr>
        <w:tc>
          <w:tcPr>
            <w:tcW w:w="0" w:type="auto"/>
            <w:tcBorders>
              <w:top w:val="nil"/>
              <w:left w:val="nil"/>
              <w:bottom w:val="nil"/>
              <w:right w:val="nil"/>
            </w:tcBorders>
            <w:shd w:val="clear" w:color="000000" w:fill="FFFFFF"/>
            <w:vAlign w:val="center"/>
            <w:hideMark/>
          </w:tcPr>
          <w:p w14:paraId="5D7B9723" w14:textId="77777777" w:rsidR="00D73008" w:rsidRPr="001162D3" w:rsidRDefault="00D73008" w:rsidP="00387AE5">
            <w:pPr>
              <w:rPr>
                <w:rFonts w:cs="Times New Roman"/>
                <w:sz w:val="18"/>
                <w:szCs w:val="18"/>
              </w:rPr>
            </w:pPr>
            <w:r w:rsidRPr="001162D3">
              <w:rPr>
                <w:rFonts w:cs="Times New Roman"/>
                <w:sz w:val="18"/>
                <w:szCs w:val="18"/>
              </w:rPr>
              <w:t>Miera participácie žien (vek 15-64)</w:t>
            </w:r>
          </w:p>
        </w:tc>
        <w:tc>
          <w:tcPr>
            <w:tcW w:w="0" w:type="auto"/>
            <w:tcBorders>
              <w:top w:val="nil"/>
              <w:left w:val="nil"/>
              <w:bottom w:val="nil"/>
              <w:right w:val="nil"/>
            </w:tcBorders>
            <w:shd w:val="clear" w:color="auto" w:fill="auto"/>
            <w:vAlign w:val="center"/>
            <w:hideMark/>
          </w:tcPr>
          <w:p w14:paraId="696211E6" w14:textId="77777777" w:rsidR="00D73008" w:rsidRPr="001162D3" w:rsidRDefault="00D73008" w:rsidP="00387AE5">
            <w:pPr>
              <w:jc w:val="center"/>
              <w:rPr>
                <w:rFonts w:cs="Times New Roman"/>
                <w:sz w:val="18"/>
                <w:szCs w:val="18"/>
              </w:rPr>
            </w:pPr>
            <w:r w:rsidRPr="001162D3">
              <w:rPr>
                <w:sz w:val="18"/>
                <w:szCs w:val="18"/>
              </w:rPr>
              <w:t>67,5</w:t>
            </w:r>
          </w:p>
        </w:tc>
        <w:tc>
          <w:tcPr>
            <w:tcW w:w="0" w:type="auto"/>
            <w:tcBorders>
              <w:top w:val="nil"/>
              <w:left w:val="nil"/>
              <w:bottom w:val="nil"/>
              <w:right w:val="nil"/>
            </w:tcBorders>
            <w:shd w:val="clear" w:color="auto" w:fill="auto"/>
            <w:vAlign w:val="center"/>
            <w:hideMark/>
          </w:tcPr>
          <w:p w14:paraId="72558BE1" w14:textId="77777777" w:rsidR="00D73008" w:rsidRPr="001162D3" w:rsidRDefault="00D73008" w:rsidP="00387AE5">
            <w:pPr>
              <w:jc w:val="center"/>
              <w:rPr>
                <w:rFonts w:cs="Times New Roman"/>
                <w:sz w:val="18"/>
                <w:szCs w:val="18"/>
              </w:rPr>
            </w:pPr>
            <w:r w:rsidRPr="001162D3">
              <w:rPr>
                <w:sz w:val="18"/>
                <w:szCs w:val="18"/>
              </w:rPr>
              <w:t>68,6</w:t>
            </w:r>
          </w:p>
        </w:tc>
        <w:tc>
          <w:tcPr>
            <w:tcW w:w="0" w:type="auto"/>
            <w:gridSpan w:val="2"/>
            <w:tcBorders>
              <w:top w:val="nil"/>
              <w:left w:val="nil"/>
              <w:bottom w:val="nil"/>
              <w:right w:val="nil"/>
            </w:tcBorders>
            <w:shd w:val="clear" w:color="auto" w:fill="auto"/>
            <w:vAlign w:val="center"/>
            <w:hideMark/>
          </w:tcPr>
          <w:p w14:paraId="56E42315" w14:textId="77777777" w:rsidR="00D73008" w:rsidRPr="001162D3" w:rsidRDefault="00D73008" w:rsidP="00387AE5">
            <w:pPr>
              <w:jc w:val="center"/>
              <w:rPr>
                <w:rFonts w:cs="Times New Roman"/>
                <w:sz w:val="18"/>
                <w:szCs w:val="18"/>
              </w:rPr>
            </w:pPr>
            <w:r w:rsidRPr="001162D3">
              <w:rPr>
                <w:sz w:val="18"/>
                <w:szCs w:val="18"/>
              </w:rPr>
              <w:t>68,5</w:t>
            </w:r>
          </w:p>
        </w:tc>
        <w:tc>
          <w:tcPr>
            <w:tcW w:w="0" w:type="auto"/>
            <w:tcBorders>
              <w:top w:val="nil"/>
              <w:left w:val="nil"/>
              <w:bottom w:val="nil"/>
              <w:right w:val="nil"/>
            </w:tcBorders>
            <w:shd w:val="clear" w:color="auto" w:fill="auto"/>
            <w:vAlign w:val="center"/>
            <w:hideMark/>
          </w:tcPr>
          <w:p w14:paraId="0922CFA6" w14:textId="77777777" w:rsidR="00D73008" w:rsidRPr="001162D3" w:rsidRDefault="00D73008" w:rsidP="00387AE5">
            <w:pPr>
              <w:jc w:val="center"/>
              <w:rPr>
                <w:rFonts w:cs="Times New Roman"/>
                <w:sz w:val="18"/>
                <w:szCs w:val="18"/>
              </w:rPr>
            </w:pPr>
            <w:r w:rsidRPr="001162D3">
              <w:rPr>
                <w:sz w:val="18"/>
                <w:szCs w:val="18"/>
              </w:rPr>
              <w:t>69,7</w:t>
            </w:r>
          </w:p>
        </w:tc>
        <w:tc>
          <w:tcPr>
            <w:tcW w:w="0" w:type="auto"/>
            <w:tcBorders>
              <w:top w:val="nil"/>
              <w:left w:val="nil"/>
              <w:bottom w:val="nil"/>
              <w:right w:val="nil"/>
            </w:tcBorders>
            <w:shd w:val="clear" w:color="auto" w:fill="auto"/>
            <w:vAlign w:val="center"/>
            <w:hideMark/>
          </w:tcPr>
          <w:p w14:paraId="1784BFD1" w14:textId="77777777" w:rsidR="00D73008" w:rsidRPr="001162D3" w:rsidRDefault="00D73008" w:rsidP="00387AE5">
            <w:pPr>
              <w:jc w:val="center"/>
              <w:rPr>
                <w:rFonts w:cs="Times New Roman"/>
                <w:sz w:val="18"/>
                <w:szCs w:val="18"/>
              </w:rPr>
            </w:pPr>
            <w:r w:rsidRPr="001162D3">
              <w:rPr>
                <w:sz w:val="18"/>
                <w:szCs w:val="18"/>
              </w:rPr>
              <w:t>70,3</w:t>
            </w:r>
          </w:p>
        </w:tc>
        <w:tc>
          <w:tcPr>
            <w:tcW w:w="469" w:type="dxa"/>
            <w:tcBorders>
              <w:top w:val="nil"/>
              <w:left w:val="nil"/>
              <w:bottom w:val="nil"/>
              <w:right w:val="nil"/>
            </w:tcBorders>
            <w:shd w:val="clear" w:color="auto" w:fill="auto"/>
            <w:vAlign w:val="center"/>
          </w:tcPr>
          <w:p w14:paraId="5ABF645B" w14:textId="77777777" w:rsidR="00D73008" w:rsidRPr="001162D3" w:rsidRDefault="00D73008" w:rsidP="00387AE5">
            <w:pPr>
              <w:jc w:val="center"/>
              <w:rPr>
                <w:rFonts w:cs="Times New Roman"/>
                <w:sz w:val="18"/>
                <w:szCs w:val="18"/>
              </w:rPr>
            </w:pPr>
            <w:r w:rsidRPr="001162D3">
              <w:rPr>
                <w:sz w:val="18"/>
                <w:szCs w:val="18"/>
              </w:rPr>
              <w:t>70,4</w:t>
            </w:r>
          </w:p>
        </w:tc>
      </w:tr>
      <w:tr w:rsidR="007C70FB" w:rsidRPr="001162D3" w14:paraId="46F8F552" w14:textId="77777777" w:rsidTr="007C70FB">
        <w:trPr>
          <w:trHeight w:val="283"/>
        </w:trPr>
        <w:tc>
          <w:tcPr>
            <w:tcW w:w="0" w:type="auto"/>
            <w:tcBorders>
              <w:top w:val="nil"/>
              <w:left w:val="nil"/>
              <w:bottom w:val="nil"/>
              <w:right w:val="nil"/>
            </w:tcBorders>
            <w:shd w:val="clear" w:color="000000" w:fill="FFFFFF"/>
            <w:vAlign w:val="center"/>
            <w:hideMark/>
          </w:tcPr>
          <w:p w14:paraId="0B303AA7" w14:textId="77777777" w:rsidR="00D73008" w:rsidRPr="001162D3" w:rsidRDefault="00D73008" w:rsidP="00387AE5">
            <w:pPr>
              <w:rPr>
                <w:rFonts w:cs="Times New Roman"/>
                <w:sz w:val="18"/>
                <w:szCs w:val="18"/>
              </w:rPr>
            </w:pPr>
            <w:r w:rsidRPr="001162D3">
              <w:rPr>
                <w:rFonts w:cs="Times New Roman"/>
                <w:sz w:val="18"/>
                <w:szCs w:val="18"/>
              </w:rPr>
              <w:t>Celková miera participácie (vek 15-64)</w:t>
            </w:r>
          </w:p>
        </w:tc>
        <w:tc>
          <w:tcPr>
            <w:tcW w:w="0" w:type="auto"/>
            <w:tcBorders>
              <w:top w:val="nil"/>
              <w:left w:val="nil"/>
              <w:bottom w:val="nil"/>
              <w:right w:val="nil"/>
            </w:tcBorders>
            <w:shd w:val="clear" w:color="auto" w:fill="auto"/>
            <w:vAlign w:val="center"/>
            <w:hideMark/>
          </w:tcPr>
          <w:p w14:paraId="5446D2BD" w14:textId="77777777" w:rsidR="00D73008" w:rsidRPr="001162D3" w:rsidRDefault="00D73008" w:rsidP="00387AE5">
            <w:pPr>
              <w:jc w:val="center"/>
              <w:rPr>
                <w:rFonts w:cs="Times New Roman"/>
                <w:sz w:val="18"/>
                <w:szCs w:val="18"/>
              </w:rPr>
            </w:pPr>
            <w:r w:rsidRPr="001162D3">
              <w:rPr>
                <w:sz w:val="18"/>
                <w:szCs w:val="18"/>
              </w:rPr>
              <w:t>73,3</w:t>
            </w:r>
          </w:p>
        </w:tc>
        <w:tc>
          <w:tcPr>
            <w:tcW w:w="0" w:type="auto"/>
            <w:tcBorders>
              <w:top w:val="nil"/>
              <w:left w:val="nil"/>
              <w:bottom w:val="nil"/>
              <w:right w:val="nil"/>
            </w:tcBorders>
            <w:shd w:val="clear" w:color="auto" w:fill="auto"/>
            <w:vAlign w:val="center"/>
            <w:hideMark/>
          </w:tcPr>
          <w:p w14:paraId="3C0F6DBC" w14:textId="77777777" w:rsidR="00D73008" w:rsidRPr="001162D3" w:rsidRDefault="00D73008" w:rsidP="00387AE5">
            <w:pPr>
              <w:jc w:val="center"/>
              <w:rPr>
                <w:rFonts w:cs="Times New Roman"/>
                <w:sz w:val="18"/>
                <w:szCs w:val="18"/>
              </w:rPr>
            </w:pPr>
            <w:r w:rsidRPr="001162D3">
              <w:rPr>
                <w:sz w:val="18"/>
                <w:szCs w:val="18"/>
              </w:rPr>
              <w:t>73,5</w:t>
            </w:r>
          </w:p>
        </w:tc>
        <w:tc>
          <w:tcPr>
            <w:tcW w:w="0" w:type="auto"/>
            <w:gridSpan w:val="2"/>
            <w:tcBorders>
              <w:top w:val="nil"/>
              <w:left w:val="nil"/>
              <w:bottom w:val="nil"/>
              <w:right w:val="nil"/>
            </w:tcBorders>
            <w:shd w:val="clear" w:color="auto" w:fill="auto"/>
            <w:vAlign w:val="center"/>
            <w:hideMark/>
          </w:tcPr>
          <w:p w14:paraId="36F18D4E" w14:textId="77777777" w:rsidR="00D73008" w:rsidRPr="001162D3" w:rsidRDefault="00D73008" w:rsidP="00387AE5">
            <w:pPr>
              <w:jc w:val="center"/>
              <w:rPr>
                <w:rFonts w:cs="Times New Roman"/>
                <w:sz w:val="18"/>
                <w:szCs w:val="18"/>
              </w:rPr>
            </w:pPr>
            <w:r w:rsidRPr="001162D3">
              <w:rPr>
                <w:sz w:val="18"/>
                <w:szCs w:val="18"/>
              </w:rPr>
              <w:t>73,3</w:t>
            </w:r>
          </w:p>
        </w:tc>
        <w:tc>
          <w:tcPr>
            <w:tcW w:w="0" w:type="auto"/>
            <w:tcBorders>
              <w:top w:val="nil"/>
              <w:left w:val="nil"/>
              <w:bottom w:val="nil"/>
              <w:right w:val="nil"/>
            </w:tcBorders>
            <w:shd w:val="clear" w:color="auto" w:fill="auto"/>
            <w:vAlign w:val="center"/>
            <w:hideMark/>
          </w:tcPr>
          <w:p w14:paraId="6BC6B22A" w14:textId="77777777" w:rsidR="00D73008" w:rsidRPr="001162D3" w:rsidRDefault="00D73008" w:rsidP="00387AE5">
            <w:pPr>
              <w:jc w:val="center"/>
              <w:rPr>
                <w:rFonts w:cs="Times New Roman"/>
                <w:sz w:val="18"/>
                <w:szCs w:val="18"/>
              </w:rPr>
            </w:pPr>
            <w:r w:rsidRPr="001162D3">
              <w:rPr>
                <w:sz w:val="18"/>
                <w:szCs w:val="18"/>
              </w:rPr>
              <w:t>74,5</w:t>
            </w:r>
          </w:p>
        </w:tc>
        <w:tc>
          <w:tcPr>
            <w:tcW w:w="0" w:type="auto"/>
            <w:tcBorders>
              <w:top w:val="nil"/>
              <w:left w:val="nil"/>
              <w:bottom w:val="nil"/>
              <w:right w:val="nil"/>
            </w:tcBorders>
            <w:shd w:val="clear" w:color="auto" w:fill="auto"/>
            <w:vAlign w:val="center"/>
            <w:hideMark/>
          </w:tcPr>
          <w:p w14:paraId="40ADE460" w14:textId="77777777" w:rsidR="00D73008" w:rsidRPr="001162D3" w:rsidRDefault="00D73008" w:rsidP="00387AE5">
            <w:pPr>
              <w:jc w:val="center"/>
              <w:rPr>
                <w:rFonts w:cs="Times New Roman"/>
                <w:sz w:val="18"/>
                <w:szCs w:val="18"/>
              </w:rPr>
            </w:pPr>
            <w:r w:rsidRPr="001162D3">
              <w:rPr>
                <w:sz w:val="18"/>
                <w:szCs w:val="18"/>
              </w:rPr>
              <w:t>75,0</w:t>
            </w:r>
          </w:p>
        </w:tc>
        <w:tc>
          <w:tcPr>
            <w:tcW w:w="469" w:type="dxa"/>
            <w:tcBorders>
              <w:top w:val="nil"/>
              <w:left w:val="nil"/>
              <w:bottom w:val="nil"/>
              <w:right w:val="nil"/>
            </w:tcBorders>
            <w:shd w:val="clear" w:color="auto" w:fill="auto"/>
            <w:vAlign w:val="center"/>
          </w:tcPr>
          <w:p w14:paraId="6A1F1F19" w14:textId="77777777" w:rsidR="00D73008" w:rsidRPr="001162D3" w:rsidRDefault="00D73008" w:rsidP="00387AE5">
            <w:pPr>
              <w:jc w:val="center"/>
              <w:rPr>
                <w:rFonts w:cs="Times New Roman"/>
                <w:sz w:val="18"/>
                <w:szCs w:val="18"/>
              </w:rPr>
            </w:pPr>
            <w:r w:rsidRPr="001162D3">
              <w:rPr>
                <w:sz w:val="18"/>
                <w:szCs w:val="18"/>
              </w:rPr>
              <w:t>75,1</w:t>
            </w:r>
          </w:p>
        </w:tc>
      </w:tr>
      <w:tr w:rsidR="007C70FB" w:rsidRPr="001162D3" w14:paraId="4AB0AF8F" w14:textId="77777777" w:rsidTr="007C70FB">
        <w:trPr>
          <w:trHeight w:val="283"/>
        </w:trPr>
        <w:tc>
          <w:tcPr>
            <w:tcW w:w="0" w:type="auto"/>
            <w:tcBorders>
              <w:top w:val="nil"/>
              <w:left w:val="nil"/>
              <w:right w:val="nil"/>
            </w:tcBorders>
            <w:shd w:val="clear" w:color="000000" w:fill="FFFFFF"/>
            <w:vAlign w:val="center"/>
            <w:hideMark/>
          </w:tcPr>
          <w:p w14:paraId="57E83290" w14:textId="77777777" w:rsidR="00D73008" w:rsidRPr="001162D3" w:rsidRDefault="00D73008" w:rsidP="00387AE5">
            <w:pPr>
              <w:rPr>
                <w:rFonts w:cs="Times New Roman"/>
                <w:sz w:val="18"/>
                <w:szCs w:val="18"/>
              </w:rPr>
            </w:pPr>
            <w:r w:rsidRPr="001162D3">
              <w:rPr>
                <w:rFonts w:cs="Times New Roman"/>
                <w:sz w:val="18"/>
                <w:szCs w:val="18"/>
              </w:rPr>
              <w:t>Miera nezamestnanosti (vek 15-64)</w:t>
            </w:r>
          </w:p>
        </w:tc>
        <w:tc>
          <w:tcPr>
            <w:tcW w:w="0" w:type="auto"/>
            <w:tcBorders>
              <w:top w:val="nil"/>
              <w:left w:val="nil"/>
              <w:bottom w:val="nil"/>
              <w:right w:val="nil"/>
            </w:tcBorders>
            <w:shd w:val="clear" w:color="auto" w:fill="auto"/>
            <w:vAlign w:val="center"/>
            <w:hideMark/>
          </w:tcPr>
          <w:p w14:paraId="01E8AE1C" w14:textId="77777777" w:rsidR="00D73008" w:rsidRPr="001162D3" w:rsidRDefault="00D73008" w:rsidP="00387AE5">
            <w:pPr>
              <w:jc w:val="center"/>
              <w:rPr>
                <w:rFonts w:cs="Times New Roman"/>
                <w:sz w:val="18"/>
                <w:szCs w:val="18"/>
              </w:rPr>
            </w:pPr>
            <w:r w:rsidRPr="001162D3">
              <w:rPr>
                <w:sz w:val="18"/>
                <w:szCs w:val="18"/>
              </w:rPr>
              <w:t>8,4</w:t>
            </w:r>
          </w:p>
        </w:tc>
        <w:tc>
          <w:tcPr>
            <w:tcW w:w="0" w:type="auto"/>
            <w:tcBorders>
              <w:top w:val="nil"/>
              <w:left w:val="nil"/>
              <w:bottom w:val="nil"/>
              <w:right w:val="nil"/>
            </w:tcBorders>
            <w:shd w:val="clear" w:color="auto" w:fill="auto"/>
            <w:vAlign w:val="center"/>
            <w:hideMark/>
          </w:tcPr>
          <w:p w14:paraId="566C1BF2" w14:textId="77777777" w:rsidR="00D73008" w:rsidRPr="001162D3" w:rsidRDefault="00D73008" w:rsidP="00387AE5">
            <w:pPr>
              <w:jc w:val="center"/>
              <w:rPr>
                <w:rFonts w:cs="Times New Roman"/>
                <w:sz w:val="18"/>
                <w:szCs w:val="18"/>
              </w:rPr>
            </w:pPr>
            <w:r w:rsidRPr="001162D3">
              <w:rPr>
                <w:sz w:val="18"/>
                <w:szCs w:val="18"/>
              </w:rPr>
              <w:t>9,1</w:t>
            </w:r>
          </w:p>
        </w:tc>
        <w:tc>
          <w:tcPr>
            <w:tcW w:w="0" w:type="auto"/>
            <w:gridSpan w:val="2"/>
            <w:tcBorders>
              <w:top w:val="nil"/>
              <w:left w:val="nil"/>
              <w:bottom w:val="nil"/>
              <w:right w:val="nil"/>
            </w:tcBorders>
            <w:shd w:val="clear" w:color="auto" w:fill="auto"/>
            <w:vAlign w:val="center"/>
            <w:hideMark/>
          </w:tcPr>
          <w:p w14:paraId="0C790077" w14:textId="77777777" w:rsidR="00D73008" w:rsidRPr="001162D3" w:rsidRDefault="00D73008" w:rsidP="00387AE5">
            <w:pPr>
              <w:jc w:val="center"/>
              <w:rPr>
                <w:rFonts w:cs="Times New Roman"/>
                <w:sz w:val="18"/>
                <w:szCs w:val="18"/>
              </w:rPr>
            </w:pPr>
            <w:r w:rsidRPr="001162D3">
              <w:rPr>
                <w:sz w:val="18"/>
                <w:szCs w:val="18"/>
              </w:rPr>
              <w:t>8,5</w:t>
            </w:r>
          </w:p>
        </w:tc>
        <w:tc>
          <w:tcPr>
            <w:tcW w:w="0" w:type="auto"/>
            <w:tcBorders>
              <w:top w:val="nil"/>
              <w:left w:val="nil"/>
              <w:bottom w:val="nil"/>
              <w:right w:val="nil"/>
            </w:tcBorders>
            <w:shd w:val="clear" w:color="auto" w:fill="auto"/>
            <w:vAlign w:val="center"/>
            <w:hideMark/>
          </w:tcPr>
          <w:p w14:paraId="19138EC7" w14:textId="77777777" w:rsidR="00D73008" w:rsidRPr="001162D3" w:rsidRDefault="00D73008" w:rsidP="00387AE5">
            <w:pPr>
              <w:jc w:val="center"/>
              <w:rPr>
                <w:rFonts w:cs="Times New Roman"/>
                <w:sz w:val="18"/>
                <w:szCs w:val="18"/>
              </w:rPr>
            </w:pPr>
            <w:r w:rsidRPr="001162D3">
              <w:rPr>
                <w:sz w:val="18"/>
                <w:szCs w:val="18"/>
              </w:rPr>
              <w:t>7,9</w:t>
            </w:r>
          </w:p>
        </w:tc>
        <w:tc>
          <w:tcPr>
            <w:tcW w:w="0" w:type="auto"/>
            <w:tcBorders>
              <w:top w:val="nil"/>
              <w:left w:val="nil"/>
              <w:bottom w:val="nil"/>
              <w:right w:val="nil"/>
            </w:tcBorders>
            <w:shd w:val="clear" w:color="auto" w:fill="auto"/>
            <w:vAlign w:val="center"/>
            <w:hideMark/>
          </w:tcPr>
          <w:p w14:paraId="1E592EF4" w14:textId="77777777" w:rsidR="00D73008" w:rsidRPr="001162D3" w:rsidRDefault="00D73008" w:rsidP="00387AE5">
            <w:pPr>
              <w:jc w:val="center"/>
              <w:rPr>
                <w:rFonts w:cs="Times New Roman"/>
                <w:sz w:val="18"/>
                <w:szCs w:val="18"/>
              </w:rPr>
            </w:pPr>
            <w:r w:rsidRPr="001162D3">
              <w:rPr>
                <w:sz w:val="18"/>
                <w:szCs w:val="18"/>
              </w:rPr>
              <w:t>7,9</w:t>
            </w:r>
          </w:p>
        </w:tc>
        <w:tc>
          <w:tcPr>
            <w:tcW w:w="469" w:type="dxa"/>
            <w:tcBorders>
              <w:top w:val="nil"/>
              <w:left w:val="nil"/>
              <w:bottom w:val="nil"/>
              <w:right w:val="nil"/>
            </w:tcBorders>
            <w:shd w:val="clear" w:color="auto" w:fill="auto"/>
            <w:vAlign w:val="center"/>
          </w:tcPr>
          <w:p w14:paraId="5E6B0521" w14:textId="77777777" w:rsidR="00D73008" w:rsidRPr="001162D3" w:rsidRDefault="00D73008" w:rsidP="00387AE5">
            <w:pPr>
              <w:jc w:val="center"/>
              <w:rPr>
                <w:rFonts w:cs="Times New Roman"/>
                <w:sz w:val="18"/>
                <w:szCs w:val="18"/>
              </w:rPr>
            </w:pPr>
            <w:r w:rsidRPr="001162D3">
              <w:rPr>
                <w:sz w:val="18"/>
                <w:szCs w:val="18"/>
              </w:rPr>
              <w:t>7,9</w:t>
            </w:r>
          </w:p>
        </w:tc>
      </w:tr>
      <w:tr w:rsidR="007C70FB" w:rsidRPr="001162D3" w14:paraId="3042F21E" w14:textId="77777777" w:rsidTr="007C70FB">
        <w:trPr>
          <w:trHeight w:val="283"/>
        </w:trPr>
        <w:tc>
          <w:tcPr>
            <w:tcW w:w="0" w:type="auto"/>
            <w:tcBorders>
              <w:top w:val="nil"/>
              <w:left w:val="nil"/>
              <w:bottom w:val="single" w:sz="8" w:space="0" w:color="auto"/>
              <w:right w:val="nil"/>
            </w:tcBorders>
            <w:shd w:val="clear" w:color="000000" w:fill="FFFFFF"/>
            <w:noWrap/>
            <w:vAlign w:val="center"/>
            <w:hideMark/>
          </w:tcPr>
          <w:p w14:paraId="774BE25A" w14:textId="77777777" w:rsidR="00D73008" w:rsidRPr="001162D3" w:rsidRDefault="00D73008" w:rsidP="00387AE5">
            <w:pPr>
              <w:rPr>
                <w:rFonts w:cs="Times New Roman"/>
                <w:sz w:val="18"/>
                <w:szCs w:val="18"/>
              </w:rPr>
            </w:pPr>
            <w:r w:rsidRPr="001162D3">
              <w:rPr>
                <w:rFonts w:cs="Times New Roman"/>
                <w:sz w:val="18"/>
                <w:szCs w:val="18"/>
              </w:rPr>
              <w:t>Populácia vo veku 65+ na celkovej populácii ( v %)</w:t>
            </w:r>
          </w:p>
        </w:tc>
        <w:tc>
          <w:tcPr>
            <w:tcW w:w="0" w:type="auto"/>
            <w:tcBorders>
              <w:top w:val="nil"/>
              <w:left w:val="nil"/>
              <w:bottom w:val="nil"/>
              <w:right w:val="nil"/>
            </w:tcBorders>
            <w:shd w:val="clear" w:color="auto" w:fill="auto"/>
            <w:vAlign w:val="center"/>
            <w:hideMark/>
          </w:tcPr>
          <w:p w14:paraId="35379BFE" w14:textId="77777777" w:rsidR="00D73008" w:rsidRPr="001162D3" w:rsidRDefault="00D73008" w:rsidP="00387AE5">
            <w:pPr>
              <w:jc w:val="center"/>
              <w:rPr>
                <w:rFonts w:cs="Times New Roman"/>
                <w:sz w:val="18"/>
                <w:szCs w:val="18"/>
              </w:rPr>
            </w:pPr>
            <w:r w:rsidRPr="001162D3">
              <w:rPr>
                <w:sz w:val="18"/>
                <w:szCs w:val="18"/>
              </w:rPr>
              <w:t>24,9</w:t>
            </w:r>
          </w:p>
        </w:tc>
        <w:tc>
          <w:tcPr>
            <w:tcW w:w="0" w:type="auto"/>
            <w:tcBorders>
              <w:top w:val="nil"/>
              <w:left w:val="nil"/>
              <w:bottom w:val="nil"/>
              <w:right w:val="nil"/>
            </w:tcBorders>
            <w:shd w:val="clear" w:color="auto" w:fill="auto"/>
            <w:vAlign w:val="center"/>
            <w:hideMark/>
          </w:tcPr>
          <w:p w14:paraId="31683E82" w14:textId="77777777" w:rsidR="00D73008" w:rsidRPr="001162D3" w:rsidRDefault="00D73008" w:rsidP="00387AE5">
            <w:pPr>
              <w:jc w:val="center"/>
              <w:rPr>
                <w:rFonts w:cs="Times New Roman"/>
                <w:sz w:val="18"/>
                <w:szCs w:val="18"/>
              </w:rPr>
            </w:pPr>
            <w:r w:rsidRPr="001162D3">
              <w:rPr>
                <w:sz w:val="18"/>
                <w:szCs w:val="18"/>
              </w:rPr>
              <w:t>32,9</w:t>
            </w:r>
          </w:p>
        </w:tc>
        <w:tc>
          <w:tcPr>
            <w:tcW w:w="0" w:type="auto"/>
            <w:gridSpan w:val="2"/>
            <w:tcBorders>
              <w:top w:val="nil"/>
              <w:left w:val="nil"/>
              <w:bottom w:val="nil"/>
              <w:right w:val="nil"/>
            </w:tcBorders>
            <w:shd w:val="clear" w:color="auto" w:fill="auto"/>
            <w:vAlign w:val="center"/>
            <w:hideMark/>
          </w:tcPr>
          <w:p w14:paraId="0732D5E6" w14:textId="77777777" w:rsidR="00D73008" w:rsidRPr="001162D3" w:rsidRDefault="00D73008" w:rsidP="00387AE5">
            <w:pPr>
              <w:jc w:val="center"/>
              <w:rPr>
                <w:rFonts w:cs="Times New Roman"/>
                <w:sz w:val="18"/>
                <w:szCs w:val="18"/>
              </w:rPr>
            </w:pPr>
            <w:r w:rsidRPr="001162D3">
              <w:rPr>
                <w:sz w:val="18"/>
                <w:szCs w:val="18"/>
              </w:rPr>
              <w:t>39,7</w:t>
            </w:r>
          </w:p>
        </w:tc>
        <w:tc>
          <w:tcPr>
            <w:tcW w:w="0" w:type="auto"/>
            <w:tcBorders>
              <w:top w:val="nil"/>
              <w:left w:val="nil"/>
              <w:bottom w:val="nil"/>
              <w:right w:val="nil"/>
            </w:tcBorders>
            <w:shd w:val="clear" w:color="auto" w:fill="auto"/>
            <w:vAlign w:val="center"/>
            <w:hideMark/>
          </w:tcPr>
          <w:p w14:paraId="444495C5" w14:textId="77777777" w:rsidR="00D73008" w:rsidRPr="001162D3" w:rsidRDefault="00D73008" w:rsidP="00387AE5">
            <w:pPr>
              <w:jc w:val="center"/>
              <w:rPr>
                <w:rFonts w:cs="Times New Roman"/>
                <w:sz w:val="18"/>
                <w:szCs w:val="18"/>
              </w:rPr>
            </w:pPr>
            <w:r w:rsidRPr="001162D3">
              <w:rPr>
                <w:sz w:val="18"/>
                <w:szCs w:val="18"/>
              </w:rPr>
              <w:t>51,5</w:t>
            </w:r>
          </w:p>
        </w:tc>
        <w:tc>
          <w:tcPr>
            <w:tcW w:w="0" w:type="auto"/>
            <w:tcBorders>
              <w:top w:val="nil"/>
              <w:left w:val="nil"/>
              <w:bottom w:val="nil"/>
              <w:right w:val="nil"/>
            </w:tcBorders>
            <w:shd w:val="clear" w:color="auto" w:fill="auto"/>
            <w:vAlign w:val="center"/>
            <w:hideMark/>
          </w:tcPr>
          <w:p w14:paraId="16328FC5" w14:textId="77777777" w:rsidR="00D73008" w:rsidRPr="001162D3" w:rsidRDefault="00D73008" w:rsidP="00387AE5">
            <w:pPr>
              <w:jc w:val="center"/>
              <w:rPr>
                <w:rFonts w:cs="Times New Roman"/>
                <w:sz w:val="18"/>
                <w:szCs w:val="18"/>
              </w:rPr>
            </w:pPr>
            <w:r w:rsidRPr="001162D3">
              <w:rPr>
                <w:sz w:val="18"/>
                <w:szCs w:val="18"/>
              </w:rPr>
              <w:t>59,4</w:t>
            </w:r>
          </w:p>
        </w:tc>
        <w:tc>
          <w:tcPr>
            <w:tcW w:w="469" w:type="dxa"/>
            <w:tcBorders>
              <w:top w:val="nil"/>
              <w:left w:val="nil"/>
              <w:bottom w:val="single" w:sz="4" w:space="0" w:color="auto"/>
              <w:right w:val="nil"/>
            </w:tcBorders>
            <w:shd w:val="clear" w:color="auto" w:fill="auto"/>
            <w:vAlign w:val="center"/>
          </w:tcPr>
          <w:p w14:paraId="2CC22CF1" w14:textId="77777777" w:rsidR="00D73008" w:rsidRPr="001162D3" w:rsidRDefault="00D73008" w:rsidP="00387AE5">
            <w:pPr>
              <w:jc w:val="center"/>
              <w:rPr>
                <w:rFonts w:cs="Times New Roman"/>
                <w:sz w:val="18"/>
                <w:szCs w:val="18"/>
              </w:rPr>
            </w:pPr>
            <w:r w:rsidRPr="001162D3">
              <w:rPr>
                <w:sz w:val="18"/>
                <w:szCs w:val="18"/>
              </w:rPr>
              <w:t>56,8</w:t>
            </w:r>
          </w:p>
        </w:tc>
      </w:tr>
      <w:tr w:rsidR="00D73008" w:rsidRPr="001162D3" w14:paraId="28FCC91C" w14:textId="77777777" w:rsidTr="007C70FB">
        <w:trPr>
          <w:trHeight w:val="283"/>
        </w:trPr>
        <w:tc>
          <w:tcPr>
            <w:tcW w:w="0" w:type="auto"/>
            <w:gridSpan w:val="7"/>
            <w:tcBorders>
              <w:top w:val="single" w:sz="8" w:space="0" w:color="auto"/>
              <w:left w:val="nil"/>
              <w:bottom w:val="nil"/>
              <w:right w:val="nil"/>
            </w:tcBorders>
            <w:shd w:val="clear" w:color="auto" w:fill="auto"/>
            <w:vAlign w:val="center"/>
            <w:hideMark/>
          </w:tcPr>
          <w:p w14:paraId="134F3734" w14:textId="00B078A8" w:rsidR="00D73008" w:rsidRPr="001162D3" w:rsidRDefault="00D73008" w:rsidP="00387AE5">
            <w:pPr>
              <w:rPr>
                <w:rFonts w:cs="Times New Roman"/>
                <w:i/>
                <w:iCs/>
                <w:color w:val="000000"/>
                <w:sz w:val="18"/>
                <w:szCs w:val="18"/>
              </w:rPr>
            </w:pPr>
            <w:r w:rsidRPr="001162D3">
              <w:rPr>
                <w:rFonts w:cs="Times New Roman"/>
                <w:i/>
                <w:iCs/>
                <w:color w:val="000000"/>
                <w:sz w:val="18"/>
                <w:szCs w:val="18"/>
              </w:rPr>
              <w:t>* Výdavky spojené so starnutím ako aj makroekonomické predpoklady boli aktualizované po vydaní správy Ageing report 2018</w:t>
            </w:r>
            <w:r w:rsidR="00807B5B">
              <w:rPr>
                <w:rFonts w:cs="Times New Roman"/>
                <w:i/>
                <w:iCs/>
                <w:color w:val="000000"/>
                <w:sz w:val="18"/>
                <w:szCs w:val="18"/>
              </w:rPr>
              <w:t xml:space="preserve"> a aktualizované aj o novo prijaté opatrenia po roku 2018</w:t>
            </w:r>
          </w:p>
        </w:tc>
        <w:tc>
          <w:tcPr>
            <w:tcW w:w="469" w:type="dxa"/>
            <w:tcBorders>
              <w:top w:val="single" w:sz="8" w:space="0" w:color="auto"/>
              <w:left w:val="nil"/>
              <w:bottom w:val="nil"/>
              <w:right w:val="nil"/>
            </w:tcBorders>
            <w:shd w:val="clear" w:color="000000" w:fill="FFFFFF"/>
            <w:noWrap/>
            <w:hideMark/>
          </w:tcPr>
          <w:p w14:paraId="6105723F" w14:textId="77777777" w:rsidR="00D73008" w:rsidRPr="001162D3" w:rsidRDefault="00D73008" w:rsidP="00387AE5">
            <w:pPr>
              <w:jc w:val="right"/>
              <w:rPr>
                <w:rFonts w:cs="Times New Roman"/>
                <w:i/>
                <w:iCs/>
                <w:color w:val="000000"/>
                <w:sz w:val="18"/>
                <w:szCs w:val="18"/>
              </w:rPr>
            </w:pPr>
            <w:r w:rsidRPr="001162D3">
              <w:rPr>
                <w:rFonts w:cs="Times New Roman"/>
                <w:i/>
                <w:iCs/>
                <w:color w:val="000000"/>
                <w:sz w:val="18"/>
                <w:szCs w:val="18"/>
              </w:rPr>
              <w:t>Zdroj: MFSR</w:t>
            </w:r>
          </w:p>
        </w:tc>
      </w:tr>
      <w:tr w:rsidR="00D73008" w:rsidRPr="001162D3" w14:paraId="6205F86C" w14:textId="77777777" w:rsidTr="007C70FB">
        <w:trPr>
          <w:trHeight w:val="283"/>
        </w:trPr>
        <w:tc>
          <w:tcPr>
            <w:tcW w:w="0" w:type="auto"/>
            <w:gridSpan w:val="7"/>
            <w:tcBorders>
              <w:top w:val="nil"/>
              <w:left w:val="nil"/>
              <w:right w:val="nil"/>
            </w:tcBorders>
            <w:shd w:val="clear" w:color="auto" w:fill="auto"/>
            <w:vAlign w:val="center"/>
            <w:hideMark/>
          </w:tcPr>
          <w:p w14:paraId="4B670872" w14:textId="77777777" w:rsidR="00D73008" w:rsidRDefault="00D73008" w:rsidP="00387AE5">
            <w:pPr>
              <w:rPr>
                <w:rFonts w:cs="Times New Roman"/>
                <w:i/>
                <w:iCs/>
                <w:color w:val="000000"/>
                <w:sz w:val="18"/>
                <w:szCs w:val="18"/>
              </w:rPr>
            </w:pPr>
          </w:p>
          <w:p w14:paraId="327F84EB" w14:textId="77777777" w:rsidR="007C70FB" w:rsidRPr="001162D3" w:rsidRDefault="007C70FB" w:rsidP="00387AE5">
            <w:pPr>
              <w:rPr>
                <w:rFonts w:cs="Times New Roman"/>
                <w:i/>
                <w:iCs/>
                <w:color w:val="000000"/>
                <w:sz w:val="18"/>
                <w:szCs w:val="18"/>
              </w:rPr>
            </w:pPr>
          </w:p>
        </w:tc>
        <w:tc>
          <w:tcPr>
            <w:tcW w:w="469" w:type="dxa"/>
            <w:tcBorders>
              <w:top w:val="nil"/>
              <w:left w:val="nil"/>
              <w:right w:val="nil"/>
            </w:tcBorders>
          </w:tcPr>
          <w:p w14:paraId="611AF3C0" w14:textId="77777777" w:rsidR="00D73008" w:rsidRPr="001162D3" w:rsidRDefault="00D73008" w:rsidP="00387AE5">
            <w:pPr>
              <w:rPr>
                <w:rFonts w:cs="Times New Roman"/>
                <w:i/>
                <w:iCs/>
                <w:color w:val="000000"/>
                <w:sz w:val="18"/>
                <w:szCs w:val="18"/>
              </w:rPr>
            </w:pPr>
          </w:p>
        </w:tc>
      </w:tr>
    </w:tbl>
    <w:p w14:paraId="796E2255" w14:textId="77777777" w:rsidR="00D73008" w:rsidRDefault="00D73008" w:rsidP="00D73008">
      <w:pPr>
        <w:rPr>
          <w:highlight w:val="yellow"/>
        </w:rPr>
      </w:pPr>
    </w:p>
    <w:tbl>
      <w:tblPr>
        <w:tblW w:w="0" w:type="auto"/>
        <w:tblCellMar>
          <w:left w:w="70" w:type="dxa"/>
          <w:right w:w="70" w:type="dxa"/>
        </w:tblCellMar>
        <w:tblLook w:val="04A0" w:firstRow="1" w:lastRow="0" w:firstColumn="1" w:lastColumn="0" w:noHBand="0" w:noVBand="1"/>
      </w:tblPr>
      <w:tblGrid>
        <w:gridCol w:w="5640"/>
        <w:gridCol w:w="1143"/>
        <w:gridCol w:w="739"/>
        <w:gridCol w:w="404"/>
        <w:gridCol w:w="1144"/>
      </w:tblGrid>
      <w:tr w:rsidR="007C70FB" w:rsidRPr="00152128" w14:paraId="244143DD" w14:textId="77777777" w:rsidTr="00E8795D">
        <w:trPr>
          <w:trHeight w:val="283"/>
        </w:trPr>
        <w:tc>
          <w:tcPr>
            <w:tcW w:w="0" w:type="auto"/>
            <w:gridSpan w:val="3"/>
            <w:tcBorders>
              <w:top w:val="nil"/>
              <w:left w:val="nil"/>
              <w:bottom w:val="single" w:sz="4" w:space="0" w:color="auto"/>
              <w:right w:val="nil"/>
            </w:tcBorders>
            <w:shd w:val="clear" w:color="auto" w:fill="auto"/>
            <w:noWrap/>
            <w:vAlign w:val="bottom"/>
            <w:hideMark/>
          </w:tcPr>
          <w:p w14:paraId="7EB964EF" w14:textId="5D4351B8" w:rsidR="007C70FB" w:rsidRPr="00152128" w:rsidRDefault="007C70FB" w:rsidP="00E8795D">
            <w:pPr>
              <w:rPr>
                <w:rFonts w:eastAsiaTheme="minorHAnsi"/>
                <w:b/>
                <w:color w:val="2C9ADC"/>
                <w:lang w:eastAsia="en-US"/>
              </w:rPr>
            </w:pPr>
            <w:bookmarkStart w:id="264" w:name="_Toc480905422"/>
            <w:bookmarkStart w:id="265" w:name="_Toc6314229"/>
            <w:r w:rsidRPr="00152128">
              <w:rPr>
                <w:rFonts w:eastAsiaTheme="minorHAnsi"/>
                <w:b/>
                <w:color w:val="2C9ADC"/>
                <w:lang w:eastAsia="en-US"/>
              </w:rPr>
              <w:t xml:space="preserve">TABUĽKA </w:t>
            </w:r>
            <w:r w:rsidRPr="00152128">
              <w:rPr>
                <w:rFonts w:eastAsiaTheme="minorHAnsi"/>
                <w:b/>
                <w:color w:val="2C9ADC"/>
                <w:lang w:eastAsia="en-US"/>
              </w:rPr>
              <w:fldChar w:fldCharType="begin"/>
            </w:r>
            <w:r w:rsidRPr="00152128">
              <w:rPr>
                <w:rFonts w:eastAsiaTheme="minorHAnsi"/>
                <w:b/>
                <w:color w:val="2C9ADC"/>
                <w:lang w:eastAsia="en-US"/>
              </w:rPr>
              <w:instrText xml:space="preserve"> SEQ TABUĽKA \* ARABIC </w:instrText>
            </w:r>
            <w:r w:rsidRPr="00152128">
              <w:rPr>
                <w:rFonts w:eastAsiaTheme="minorHAnsi"/>
                <w:b/>
                <w:color w:val="2C9ADC"/>
                <w:lang w:eastAsia="en-US"/>
              </w:rPr>
              <w:fldChar w:fldCharType="separate"/>
            </w:r>
            <w:r w:rsidR="00D5739E">
              <w:rPr>
                <w:rFonts w:eastAsiaTheme="minorHAnsi"/>
                <w:b/>
                <w:noProof/>
                <w:color w:val="2C9ADC"/>
                <w:lang w:eastAsia="en-US"/>
              </w:rPr>
              <w:t>30</w:t>
            </w:r>
            <w:r w:rsidRPr="00152128">
              <w:rPr>
                <w:rFonts w:eastAsiaTheme="minorHAnsi"/>
                <w:b/>
                <w:color w:val="2C9ADC"/>
                <w:lang w:eastAsia="en-US"/>
              </w:rPr>
              <w:fldChar w:fldCharType="end"/>
            </w:r>
            <w:r w:rsidRPr="00152128">
              <w:rPr>
                <w:rFonts w:eastAsiaTheme="minorHAnsi"/>
                <w:b/>
                <w:color w:val="2C9ADC"/>
                <w:lang w:eastAsia="en-US"/>
              </w:rPr>
              <w:t xml:space="preserve"> (Tabuľka 7a) - Podmienené záväzky</w:t>
            </w:r>
            <w:bookmarkEnd w:id="264"/>
            <w:bookmarkEnd w:id="265"/>
          </w:p>
        </w:tc>
        <w:tc>
          <w:tcPr>
            <w:tcW w:w="0" w:type="auto"/>
            <w:tcBorders>
              <w:top w:val="nil"/>
              <w:left w:val="nil"/>
              <w:bottom w:val="single" w:sz="4" w:space="0" w:color="auto"/>
              <w:right w:val="nil"/>
            </w:tcBorders>
          </w:tcPr>
          <w:p w14:paraId="29621E6F" w14:textId="77777777" w:rsidR="007C70FB" w:rsidRPr="00152128" w:rsidRDefault="007C70FB" w:rsidP="00E8795D">
            <w:pPr>
              <w:rPr>
                <w:rFonts w:eastAsiaTheme="minorHAnsi"/>
                <w:b/>
                <w:color w:val="2C9ADC"/>
                <w:lang w:eastAsia="en-US"/>
              </w:rPr>
            </w:pPr>
          </w:p>
        </w:tc>
        <w:tc>
          <w:tcPr>
            <w:tcW w:w="0" w:type="auto"/>
            <w:tcBorders>
              <w:top w:val="nil"/>
              <w:left w:val="nil"/>
              <w:bottom w:val="single" w:sz="4" w:space="0" w:color="auto"/>
              <w:right w:val="nil"/>
            </w:tcBorders>
            <w:shd w:val="clear" w:color="auto" w:fill="auto"/>
            <w:noWrap/>
            <w:vAlign w:val="bottom"/>
            <w:hideMark/>
          </w:tcPr>
          <w:p w14:paraId="34365AAC" w14:textId="77777777" w:rsidR="007C70FB" w:rsidRPr="00152128" w:rsidRDefault="007C70FB" w:rsidP="00E8795D">
            <w:pPr>
              <w:rPr>
                <w:rFonts w:eastAsiaTheme="minorHAnsi"/>
                <w:b/>
                <w:color w:val="2C9ADC"/>
                <w:lang w:eastAsia="en-US"/>
              </w:rPr>
            </w:pPr>
          </w:p>
        </w:tc>
      </w:tr>
      <w:tr w:rsidR="007C70FB" w:rsidRPr="001162D3" w14:paraId="589E8EC5" w14:textId="77777777" w:rsidTr="007C70FB">
        <w:trPr>
          <w:trHeight w:val="283"/>
        </w:trPr>
        <w:tc>
          <w:tcPr>
            <w:tcW w:w="5640" w:type="dxa"/>
            <w:tcBorders>
              <w:top w:val="single" w:sz="4" w:space="0" w:color="auto"/>
              <w:left w:val="nil"/>
              <w:bottom w:val="nil"/>
              <w:right w:val="nil"/>
            </w:tcBorders>
            <w:shd w:val="clear" w:color="auto" w:fill="auto"/>
            <w:vAlign w:val="center"/>
            <w:hideMark/>
          </w:tcPr>
          <w:p w14:paraId="76D544C8" w14:textId="77777777" w:rsidR="007C70FB" w:rsidRPr="001162D3" w:rsidRDefault="007C70FB" w:rsidP="00E8795D">
            <w:pPr>
              <w:rPr>
                <w:rFonts w:ascii="Times New Roman" w:hAnsi="Times New Roman" w:cs="Times New Roman"/>
                <w:sz w:val="18"/>
                <w:szCs w:val="18"/>
              </w:rPr>
            </w:pPr>
          </w:p>
        </w:tc>
        <w:tc>
          <w:tcPr>
            <w:tcW w:w="1143" w:type="dxa"/>
            <w:tcBorders>
              <w:top w:val="single" w:sz="4" w:space="0" w:color="auto"/>
              <w:left w:val="nil"/>
              <w:bottom w:val="nil"/>
              <w:right w:val="nil"/>
            </w:tcBorders>
            <w:shd w:val="clear" w:color="auto" w:fill="auto"/>
          </w:tcPr>
          <w:p w14:paraId="6EBCA224" w14:textId="77777777" w:rsidR="007C70FB" w:rsidRPr="0085303B" w:rsidRDefault="007C70FB" w:rsidP="00E8795D">
            <w:pPr>
              <w:jc w:val="center"/>
              <w:rPr>
                <w:rFonts w:cs="Times New Roman"/>
                <w:b/>
                <w:bCs/>
                <w:color w:val="000000"/>
                <w:sz w:val="18"/>
                <w:szCs w:val="18"/>
              </w:rPr>
            </w:pPr>
            <w:r w:rsidRPr="0085303B">
              <w:rPr>
                <w:b/>
                <w:sz w:val="18"/>
                <w:szCs w:val="18"/>
              </w:rPr>
              <w:t>2016</w:t>
            </w:r>
          </w:p>
        </w:tc>
        <w:tc>
          <w:tcPr>
            <w:tcW w:w="1143" w:type="dxa"/>
            <w:gridSpan w:val="2"/>
            <w:tcBorders>
              <w:top w:val="single" w:sz="4" w:space="0" w:color="auto"/>
              <w:left w:val="nil"/>
              <w:bottom w:val="nil"/>
              <w:right w:val="nil"/>
            </w:tcBorders>
            <w:shd w:val="clear" w:color="auto" w:fill="auto"/>
          </w:tcPr>
          <w:p w14:paraId="55A53816" w14:textId="77777777" w:rsidR="007C70FB" w:rsidRPr="0085303B" w:rsidRDefault="007C70FB" w:rsidP="00E8795D">
            <w:pPr>
              <w:jc w:val="center"/>
              <w:rPr>
                <w:rFonts w:cs="Times New Roman"/>
                <w:b/>
                <w:bCs/>
                <w:color w:val="000000"/>
                <w:sz w:val="18"/>
                <w:szCs w:val="18"/>
              </w:rPr>
            </w:pPr>
            <w:r w:rsidRPr="0085303B">
              <w:rPr>
                <w:b/>
                <w:sz w:val="18"/>
                <w:szCs w:val="18"/>
              </w:rPr>
              <w:t>2017</w:t>
            </w:r>
          </w:p>
        </w:tc>
        <w:tc>
          <w:tcPr>
            <w:tcW w:w="1144" w:type="dxa"/>
            <w:tcBorders>
              <w:top w:val="single" w:sz="4" w:space="0" w:color="auto"/>
              <w:left w:val="nil"/>
              <w:bottom w:val="nil"/>
              <w:right w:val="nil"/>
            </w:tcBorders>
            <w:shd w:val="clear" w:color="auto" w:fill="auto"/>
          </w:tcPr>
          <w:p w14:paraId="3E658B52" w14:textId="77777777" w:rsidR="007C70FB" w:rsidRPr="0085303B" w:rsidRDefault="007C70FB" w:rsidP="00E8795D">
            <w:pPr>
              <w:jc w:val="center"/>
              <w:rPr>
                <w:rFonts w:cs="Times New Roman"/>
                <w:b/>
                <w:bCs/>
                <w:color w:val="000000"/>
                <w:sz w:val="18"/>
                <w:szCs w:val="18"/>
              </w:rPr>
            </w:pPr>
            <w:r w:rsidRPr="0085303B">
              <w:rPr>
                <w:b/>
                <w:sz w:val="18"/>
                <w:szCs w:val="18"/>
              </w:rPr>
              <w:t>2018</w:t>
            </w:r>
          </w:p>
        </w:tc>
      </w:tr>
      <w:tr w:rsidR="007C70FB" w:rsidRPr="001162D3" w14:paraId="60397DD9" w14:textId="77777777" w:rsidTr="007C70FB">
        <w:trPr>
          <w:trHeight w:val="283"/>
        </w:trPr>
        <w:tc>
          <w:tcPr>
            <w:tcW w:w="5640" w:type="dxa"/>
            <w:tcBorders>
              <w:top w:val="nil"/>
              <w:left w:val="nil"/>
              <w:bottom w:val="single" w:sz="4" w:space="0" w:color="auto"/>
              <w:right w:val="nil"/>
            </w:tcBorders>
            <w:shd w:val="clear" w:color="auto" w:fill="auto"/>
            <w:vAlign w:val="center"/>
            <w:hideMark/>
          </w:tcPr>
          <w:p w14:paraId="55D80E6E" w14:textId="77777777" w:rsidR="007C70FB" w:rsidRPr="001162D3" w:rsidRDefault="007C70FB" w:rsidP="00E8795D">
            <w:pPr>
              <w:rPr>
                <w:rFonts w:cs="Times New Roman"/>
                <w:color w:val="000000"/>
                <w:sz w:val="18"/>
                <w:szCs w:val="18"/>
              </w:rPr>
            </w:pPr>
            <w:r w:rsidRPr="001162D3">
              <w:rPr>
                <w:rFonts w:cs="Times New Roman"/>
                <w:color w:val="000000"/>
                <w:sz w:val="18"/>
                <w:szCs w:val="18"/>
              </w:rPr>
              <w:t> </w:t>
            </w:r>
          </w:p>
        </w:tc>
        <w:tc>
          <w:tcPr>
            <w:tcW w:w="1143" w:type="dxa"/>
            <w:tcBorders>
              <w:top w:val="nil"/>
              <w:left w:val="nil"/>
              <w:bottom w:val="single" w:sz="4" w:space="0" w:color="auto"/>
              <w:right w:val="nil"/>
            </w:tcBorders>
            <w:shd w:val="clear" w:color="auto" w:fill="auto"/>
          </w:tcPr>
          <w:p w14:paraId="5CAE7D42" w14:textId="77777777" w:rsidR="007C70FB" w:rsidRPr="009A372F" w:rsidRDefault="007C70FB" w:rsidP="00E8795D">
            <w:pPr>
              <w:jc w:val="center"/>
              <w:rPr>
                <w:rFonts w:cs="Times New Roman"/>
                <w:color w:val="000000"/>
                <w:sz w:val="18"/>
                <w:szCs w:val="18"/>
              </w:rPr>
            </w:pPr>
            <w:r w:rsidRPr="009A372F">
              <w:rPr>
                <w:sz w:val="18"/>
                <w:szCs w:val="18"/>
              </w:rPr>
              <w:t>% HDP</w:t>
            </w:r>
          </w:p>
        </w:tc>
        <w:tc>
          <w:tcPr>
            <w:tcW w:w="1143" w:type="dxa"/>
            <w:gridSpan w:val="2"/>
            <w:tcBorders>
              <w:top w:val="nil"/>
              <w:left w:val="nil"/>
              <w:bottom w:val="single" w:sz="4" w:space="0" w:color="auto"/>
              <w:right w:val="nil"/>
            </w:tcBorders>
            <w:shd w:val="clear" w:color="auto" w:fill="auto"/>
          </w:tcPr>
          <w:p w14:paraId="2D082B03" w14:textId="77777777" w:rsidR="007C70FB" w:rsidRPr="009A372F" w:rsidRDefault="007C70FB" w:rsidP="00E8795D">
            <w:pPr>
              <w:jc w:val="center"/>
              <w:rPr>
                <w:rFonts w:cs="Times New Roman"/>
                <w:color w:val="000000"/>
                <w:sz w:val="18"/>
                <w:szCs w:val="18"/>
              </w:rPr>
            </w:pPr>
            <w:r w:rsidRPr="009A372F">
              <w:rPr>
                <w:sz w:val="18"/>
                <w:szCs w:val="18"/>
              </w:rPr>
              <w:t>% HDP</w:t>
            </w:r>
          </w:p>
        </w:tc>
        <w:tc>
          <w:tcPr>
            <w:tcW w:w="1144" w:type="dxa"/>
            <w:tcBorders>
              <w:top w:val="nil"/>
              <w:left w:val="nil"/>
              <w:bottom w:val="single" w:sz="4" w:space="0" w:color="auto"/>
              <w:right w:val="nil"/>
            </w:tcBorders>
            <w:shd w:val="clear" w:color="auto" w:fill="auto"/>
          </w:tcPr>
          <w:p w14:paraId="2D66EA5B" w14:textId="77777777" w:rsidR="007C70FB" w:rsidRPr="009A372F" w:rsidRDefault="007C70FB" w:rsidP="00E8795D">
            <w:pPr>
              <w:jc w:val="center"/>
              <w:rPr>
                <w:rFonts w:cs="Times New Roman"/>
                <w:color w:val="000000"/>
                <w:sz w:val="18"/>
                <w:szCs w:val="18"/>
              </w:rPr>
            </w:pPr>
            <w:r w:rsidRPr="009A372F">
              <w:rPr>
                <w:sz w:val="18"/>
                <w:szCs w:val="18"/>
              </w:rPr>
              <w:t>% HDP</w:t>
            </w:r>
          </w:p>
        </w:tc>
      </w:tr>
      <w:tr w:rsidR="007C70FB" w:rsidRPr="001162D3" w14:paraId="5C896EFC" w14:textId="77777777" w:rsidTr="007C70FB">
        <w:trPr>
          <w:trHeight w:val="283"/>
        </w:trPr>
        <w:tc>
          <w:tcPr>
            <w:tcW w:w="5640" w:type="dxa"/>
            <w:tcBorders>
              <w:top w:val="nil"/>
              <w:left w:val="nil"/>
              <w:right w:val="nil"/>
            </w:tcBorders>
            <w:shd w:val="clear" w:color="auto" w:fill="auto"/>
            <w:vAlign w:val="center"/>
            <w:hideMark/>
          </w:tcPr>
          <w:p w14:paraId="189DD10A" w14:textId="77777777" w:rsidR="007C70FB" w:rsidRPr="001162D3" w:rsidRDefault="007C70FB" w:rsidP="00E8795D">
            <w:pPr>
              <w:rPr>
                <w:rFonts w:cs="Times New Roman"/>
                <w:color w:val="000000"/>
                <w:sz w:val="18"/>
                <w:szCs w:val="18"/>
              </w:rPr>
            </w:pPr>
            <w:r w:rsidRPr="001162D3">
              <w:rPr>
                <w:rFonts w:cs="Times New Roman"/>
                <w:color w:val="000000"/>
                <w:sz w:val="18"/>
                <w:szCs w:val="18"/>
              </w:rPr>
              <w:t>Verejné záruky</w:t>
            </w:r>
          </w:p>
        </w:tc>
        <w:tc>
          <w:tcPr>
            <w:tcW w:w="1143" w:type="dxa"/>
            <w:tcBorders>
              <w:top w:val="nil"/>
              <w:left w:val="nil"/>
              <w:bottom w:val="nil"/>
              <w:right w:val="nil"/>
            </w:tcBorders>
            <w:shd w:val="clear" w:color="auto" w:fill="auto"/>
            <w:vAlign w:val="center"/>
          </w:tcPr>
          <w:p w14:paraId="796932FD" w14:textId="77777777" w:rsidR="007C70FB" w:rsidRPr="009A372F" w:rsidRDefault="007C70FB" w:rsidP="00E8795D">
            <w:pPr>
              <w:jc w:val="center"/>
              <w:rPr>
                <w:rFonts w:cs="Times New Roman"/>
                <w:color w:val="000000"/>
                <w:sz w:val="18"/>
                <w:szCs w:val="18"/>
              </w:rPr>
            </w:pPr>
            <w:r w:rsidRPr="009A372F">
              <w:rPr>
                <w:sz w:val="18"/>
                <w:szCs w:val="18"/>
              </w:rPr>
              <w:t>15,9</w:t>
            </w:r>
          </w:p>
        </w:tc>
        <w:tc>
          <w:tcPr>
            <w:tcW w:w="1143" w:type="dxa"/>
            <w:gridSpan w:val="2"/>
            <w:tcBorders>
              <w:top w:val="nil"/>
              <w:left w:val="nil"/>
              <w:bottom w:val="nil"/>
              <w:right w:val="nil"/>
            </w:tcBorders>
            <w:shd w:val="clear" w:color="auto" w:fill="auto"/>
            <w:vAlign w:val="center"/>
          </w:tcPr>
          <w:p w14:paraId="53D60341" w14:textId="77777777" w:rsidR="007C70FB" w:rsidRPr="009A372F" w:rsidRDefault="007C70FB" w:rsidP="00E8795D">
            <w:pPr>
              <w:jc w:val="center"/>
              <w:rPr>
                <w:rFonts w:cs="Times New Roman"/>
                <w:color w:val="000000"/>
                <w:sz w:val="18"/>
                <w:szCs w:val="18"/>
              </w:rPr>
            </w:pPr>
            <w:r w:rsidRPr="009A372F">
              <w:rPr>
                <w:sz w:val="18"/>
                <w:szCs w:val="18"/>
              </w:rPr>
              <w:t>16,3</w:t>
            </w:r>
          </w:p>
        </w:tc>
        <w:tc>
          <w:tcPr>
            <w:tcW w:w="1144" w:type="dxa"/>
            <w:tcBorders>
              <w:top w:val="nil"/>
              <w:left w:val="nil"/>
              <w:bottom w:val="nil"/>
              <w:right w:val="nil"/>
            </w:tcBorders>
            <w:shd w:val="clear" w:color="auto" w:fill="auto"/>
            <w:vAlign w:val="center"/>
          </w:tcPr>
          <w:p w14:paraId="5447AB74" w14:textId="77777777" w:rsidR="007C70FB" w:rsidRPr="0085303B" w:rsidRDefault="007C70FB" w:rsidP="00E8795D">
            <w:pPr>
              <w:jc w:val="center"/>
              <w:rPr>
                <w:rFonts w:cs="Times New Roman"/>
                <w:color w:val="000000"/>
                <w:sz w:val="18"/>
                <w:szCs w:val="18"/>
              </w:rPr>
            </w:pPr>
            <w:r w:rsidRPr="0085303B">
              <w:rPr>
                <w:sz w:val="18"/>
                <w:szCs w:val="18"/>
              </w:rPr>
              <w:t>11,8</w:t>
            </w:r>
          </w:p>
        </w:tc>
      </w:tr>
      <w:tr w:rsidR="007C70FB" w:rsidRPr="001162D3" w14:paraId="7B974B64" w14:textId="77777777" w:rsidTr="007C70FB">
        <w:trPr>
          <w:trHeight w:val="283"/>
        </w:trPr>
        <w:tc>
          <w:tcPr>
            <w:tcW w:w="5640" w:type="dxa"/>
            <w:tcBorders>
              <w:top w:val="nil"/>
              <w:left w:val="nil"/>
              <w:bottom w:val="single" w:sz="8" w:space="0" w:color="auto"/>
              <w:right w:val="nil"/>
            </w:tcBorders>
            <w:shd w:val="clear" w:color="auto" w:fill="auto"/>
            <w:vAlign w:val="center"/>
            <w:hideMark/>
          </w:tcPr>
          <w:p w14:paraId="1F739E54" w14:textId="77777777" w:rsidR="007C70FB" w:rsidRPr="001162D3" w:rsidRDefault="007C70FB" w:rsidP="00E8795D">
            <w:pPr>
              <w:ind w:firstLineChars="100" w:firstLine="180"/>
              <w:rPr>
                <w:rFonts w:cs="Times New Roman"/>
                <w:color w:val="000000"/>
                <w:sz w:val="18"/>
                <w:szCs w:val="18"/>
              </w:rPr>
            </w:pPr>
            <w:r w:rsidRPr="001162D3">
              <w:rPr>
                <w:rFonts w:cs="Times New Roman"/>
                <w:color w:val="000000"/>
                <w:sz w:val="18"/>
                <w:szCs w:val="18"/>
              </w:rPr>
              <w:t xml:space="preserve"> z toho: spojené s EFSF a ESM</w:t>
            </w:r>
          </w:p>
        </w:tc>
        <w:tc>
          <w:tcPr>
            <w:tcW w:w="1143" w:type="dxa"/>
            <w:tcBorders>
              <w:top w:val="nil"/>
              <w:left w:val="nil"/>
              <w:bottom w:val="single" w:sz="4" w:space="0" w:color="auto"/>
              <w:right w:val="nil"/>
            </w:tcBorders>
            <w:shd w:val="clear" w:color="auto" w:fill="auto"/>
            <w:vAlign w:val="center"/>
          </w:tcPr>
          <w:p w14:paraId="318DBBC2" w14:textId="77777777" w:rsidR="007C70FB" w:rsidRPr="009A372F" w:rsidRDefault="007C70FB" w:rsidP="00E8795D">
            <w:pPr>
              <w:jc w:val="center"/>
              <w:rPr>
                <w:rFonts w:cs="Times New Roman"/>
                <w:color w:val="000000"/>
                <w:sz w:val="18"/>
                <w:szCs w:val="18"/>
              </w:rPr>
            </w:pPr>
            <w:r w:rsidRPr="009A372F">
              <w:rPr>
                <w:sz w:val="18"/>
                <w:szCs w:val="18"/>
              </w:rPr>
              <w:t>9,0</w:t>
            </w:r>
          </w:p>
        </w:tc>
        <w:tc>
          <w:tcPr>
            <w:tcW w:w="1143" w:type="dxa"/>
            <w:gridSpan w:val="2"/>
            <w:tcBorders>
              <w:top w:val="nil"/>
              <w:left w:val="nil"/>
              <w:bottom w:val="single" w:sz="4" w:space="0" w:color="auto"/>
              <w:right w:val="nil"/>
            </w:tcBorders>
            <w:shd w:val="clear" w:color="auto" w:fill="auto"/>
            <w:vAlign w:val="center"/>
          </w:tcPr>
          <w:p w14:paraId="2568C0A5" w14:textId="77777777" w:rsidR="007C70FB" w:rsidRPr="009A372F" w:rsidRDefault="007C70FB" w:rsidP="00E8795D">
            <w:pPr>
              <w:jc w:val="center"/>
              <w:rPr>
                <w:rFonts w:cs="Times New Roman"/>
                <w:color w:val="000000"/>
                <w:sz w:val="18"/>
                <w:szCs w:val="18"/>
              </w:rPr>
            </w:pPr>
            <w:r w:rsidRPr="009A372F">
              <w:rPr>
                <w:sz w:val="18"/>
                <w:szCs w:val="18"/>
              </w:rPr>
              <w:t>8,9</w:t>
            </w:r>
          </w:p>
        </w:tc>
        <w:tc>
          <w:tcPr>
            <w:tcW w:w="1144" w:type="dxa"/>
            <w:tcBorders>
              <w:top w:val="nil"/>
              <w:left w:val="nil"/>
              <w:bottom w:val="nil"/>
              <w:right w:val="nil"/>
            </w:tcBorders>
            <w:shd w:val="clear" w:color="auto" w:fill="auto"/>
            <w:vAlign w:val="center"/>
          </w:tcPr>
          <w:p w14:paraId="3EB33223" w14:textId="77777777" w:rsidR="007C70FB" w:rsidRPr="0085303B" w:rsidRDefault="007C70FB" w:rsidP="00E8795D">
            <w:pPr>
              <w:jc w:val="center"/>
              <w:rPr>
                <w:rFonts w:ascii="Calibri" w:hAnsi="Calibri" w:cs="Times New Roman"/>
                <w:color w:val="000000"/>
                <w:sz w:val="18"/>
                <w:szCs w:val="18"/>
              </w:rPr>
            </w:pPr>
            <w:r w:rsidRPr="0085303B">
              <w:rPr>
                <w:sz w:val="18"/>
                <w:szCs w:val="18"/>
              </w:rPr>
              <w:t>8,4</w:t>
            </w:r>
          </w:p>
        </w:tc>
      </w:tr>
      <w:tr w:rsidR="007C70FB" w:rsidRPr="001162D3" w14:paraId="597EEC0A" w14:textId="77777777" w:rsidTr="00E8795D">
        <w:trPr>
          <w:trHeight w:val="283"/>
        </w:trPr>
        <w:tc>
          <w:tcPr>
            <w:tcW w:w="5640" w:type="dxa"/>
            <w:tcBorders>
              <w:top w:val="single" w:sz="8" w:space="0" w:color="auto"/>
              <w:left w:val="nil"/>
              <w:right w:val="nil"/>
            </w:tcBorders>
            <w:shd w:val="clear" w:color="auto" w:fill="auto"/>
            <w:noWrap/>
            <w:vAlign w:val="center"/>
            <w:hideMark/>
          </w:tcPr>
          <w:p w14:paraId="763443FF" w14:textId="457012C9" w:rsidR="007C70FB" w:rsidRPr="001162D3" w:rsidRDefault="007C70FB" w:rsidP="0085303B">
            <w:pPr>
              <w:rPr>
                <w:rFonts w:ascii="Calibri" w:hAnsi="Calibri" w:cs="Times New Roman"/>
                <w:color w:val="000000"/>
                <w:sz w:val="18"/>
                <w:szCs w:val="18"/>
              </w:rPr>
            </w:pPr>
            <w:r w:rsidRPr="001162D3">
              <w:rPr>
                <w:rFonts w:cs="Times New Roman"/>
                <w:i/>
                <w:iCs/>
                <w:color w:val="000000"/>
                <w:sz w:val="18"/>
                <w:szCs w:val="18"/>
              </w:rPr>
              <w:t xml:space="preserve">*Odhad na </w:t>
            </w:r>
            <w:r w:rsidR="00193396">
              <w:rPr>
                <w:rFonts w:cs="Times New Roman"/>
                <w:i/>
                <w:iCs/>
                <w:color w:val="000000"/>
                <w:sz w:val="18"/>
                <w:szCs w:val="18"/>
              </w:rPr>
              <w:t>2018</w:t>
            </w:r>
            <w:r w:rsidRPr="001162D3">
              <w:rPr>
                <w:rFonts w:cs="Times New Roman"/>
                <w:i/>
                <w:iCs/>
                <w:color w:val="000000"/>
                <w:sz w:val="18"/>
                <w:szCs w:val="18"/>
              </w:rPr>
              <w:t xml:space="preserve"> je predbežný.</w:t>
            </w:r>
          </w:p>
        </w:tc>
        <w:tc>
          <w:tcPr>
            <w:tcW w:w="1882" w:type="dxa"/>
            <w:gridSpan w:val="2"/>
            <w:tcBorders>
              <w:top w:val="single" w:sz="8" w:space="0" w:color="auto"/>
              <w:left w:val="nil"/>
              <w:right w:val="nil"/>
            </w:tcBorders>
            <w:shd w:val="clear" w:color="auto" w:fill="auto"/>
            <w:noWrap/>
            <w:vAlign w:val="bottom"/>
            <w:hideMark/>
          </w:tcPr>
          <w:p w14:paraId="4E217377" w14:textId="77777777" w:rsidR="007C70FB" w:rsidRPr="001162D3" w:rsidRDefault="007C70FB" w:rsidP="00E8795D">
            <w:pPr>
              <w:rPr>
                <w:rFonts w:ascii="Times New Roman" w:hAnsi="Times New Roman" w:cs="Times New Roman"/>
                <w:sz w:val="18"/>
                <w:szCs w:val="18"/>
              </w:rPr>
            </w:pPr>
          </w:p>
        </w:tc>
        <w:tc>
          <w:tcPr>
            <w:tcW w:w="0" w:type="auto"/>
            <w:gridSpan w:val="2"/>
            <w:tcBorders>
              <w:top w:val="single" w:sz="8" w:space="0" w:color="auto"/>
              <w:left w:val="nil"/>
              <w:right w:val="nil"/>
            </w:tcBorders>
            <w:shd w:val="clear" w:color="auto" w:fill="auto"/>
            <w:noWrap/>
            <w:vAlign w:val="bottom"/>
            <w:hideMark/>
          </w:tcPr>
          <w:p w14:paraId="7457705F" w14:textId="77777777" w:rsidR="007C70FB" w:rsidRPr="001162D3" w:rsidRDefault="007C70FB" w:rsidP="00E8795D">
            <w:pPr>
              <w:jc w:val="right"/>
              <w:rPr>
                <w:rFonts w:cs="Times New Roman"/>
                <w:i/>
                <w:iCs/>
                <w:color w:val="000000"/>
                <w:sz w:val="18"/>
                <w:szCs w:val="18"/>
              </w:rPr>
            </w:pPr>
            <w:r w:rsidRPr="001162D3">
              <w:rPr>
                <w:rFonts w:cs="Times New Roman"/>
                <w:i/>
                <w:iCs/>
                <w:color w:val="000000"/>
                <w:sz w:val="18"/>
                <w:szCs w:val="18"/>
              </w:rPr>
              <w:t>Zdroj: MFSR</w:t>
            </w:r>
          </w:p>
        </w:tc>
      </w:tr>
    </w:tbl>
    <w:p w14:paraId="29CAAF8F" w14:textId="77777777" w:rsidR="007C70FB" w:rsidRDefault="007C70FB" w:rsidP="00D73008">
      <w:pPr>
        <w:rPr>
          <w:highlight w:val="yellow"/>
        </w:rPr>
      </w:pPr>
    </w:p>
    <w:tbl>
      <w:tblPr>
        <w:tblW w:w="9294" w:type="dxa"/>
        <w:jc w:val="center"/>
        <w:tblCellMar>
          <w:left w:w="70" w:type="dxa"/>
          <w:right w:w="70" w:type="dxa"/>
        </w:tblCellMar>
        <w:tblLook w:val="04A0" w:firstRow="1" w:lastRow="0" w:firstColumn="1" w:lastColumn="0" w:noHBand="0" w:noVBand="1"/>
      </w:tblPr>
      <w:tblGrid>
        <w:gridCol w:w="5556"/>
        <w:gridCol w:w="624"/>
        <w:gridCol w:w="624"/>
        <w:gridCol w:w="624"/>
        <w:gridCol w:w="624"/>
        <w:gridCol w:w="116"/>
        <w:gridCol w:w="508"/>
        <w:gridCol w:w="618"/>
      </w:tblGrid>
      <w:tr w:rsidR="00D73008" w:rsidRPr="00152128" w14:paraId="2E7D5AC1" w14:textId="77777777" w:rsidTr="00684201">
        <w:trPr>
          <w:trHeight w:val="283"/>
          <w:jc w:val="center"/>
        </w:trPr>
        <w:tc>
          <w:tcPr>
            <w:tcW w:w="8168" w:type="dxa"/>
            <w:gridSpan w:val="6"/>
            <w:tcBorders>
              <w:top w:val="nil"/>
              <w:left w:val="nil"/>
              <w:bottom w:val="single" w:sz="8" w:space="0" w:color="auto"/>
              <w:right w:val="nil"/>
            </w:tcBorders>
            <w:shd w:val="clear" w:color="auto" w:fill="auto"/>
            <w:noWrap/>
            <w:vAlign w:val="bottom"/>
            <w:hideMark/>
          </w:tcPr>
          <w:p w14:paraId="112814C3" w14:textId="1FBDC020" w:rsidR="00D73008" w:rsidRPr="00152128" w:rsidRDefault="00D73008" w:rsidP="00387AE5">
            <w:pPr>
              <w:rPr>
                <w:rFonts w:eastAsiaTheme="minorHAnsi"/>
                <w:b/>
                <w:color w:val="2C9ADC"/>
                <w:lang w:eastAsia="en-US"/>
              </w:rPr>
            </w:pPr>
            <w:bookmarkStart w:id="266" w:name="_Toc480905423"/>
            <w:bookmarkStart w:id="267" w:name="_Toc6314230"/>
            <w:r w:rsidRPr="00152128">
              <w:rPr>
                <w:rFonts w:eastAsiaTheme="minorHAnsi"/>
                <w:b/>
                <w:color w:val="2C9ADC"/>
                <w:lang w:eastAsia="en-US"/>
              </w:rPr>
              <w:t xml:space="preserve">TABUĽKA </w:t>
            </w:r>
            <w:r w:rsidRPr="00152128">
              <w:rPr>
                <w:rFonts w:eastAsiaTheme="minorHAnsi"/>
                <w:b/>
                <w:color w:val="2C9ADC"/>
                <w:lang w:eastAsia="en-US"/>
              </w:rPr>
              <w:fldChar w:fldCharType="begin"/>
            </w:r>
            <w:r w:rsidRPr="00152128">
              <w:rPr>
                <w:rFonts w:eastAsiaTheme="minorHAnsi"/>
                <w:b/>
                <w:color w:val="2C9ADC"/>
                <w:lang w:eastAsia="en-US"/>
              </w:rPr>
              <w:instrText xml:space="preserve"> SEQ TABUĽKA \* ARABIC </w:instrText>
            </w:r>
            <w:r w:rsidRPr="00152128">
              <w:rPr>
                <w:rFonts w:eastAsiaTheme="minorHAnsi"/>
                <w:b/>
                <w:color w:val="2C9ADC"/>
                <w:lang w:eastAsia="en-US"/>
              </w:rPr>
              <w:fldChar w:fldCharType="separate"/>
            </w:r>
            <w:r w:rsidR="00D5739E">
              <w:rPr>
                <w:rFonts w:eastAsiaTheme="minorHAnsi"/>
                <w:b/>
                <w:noProof/>
                <w:color w:val="2C9ADC"/>
                <w:lang w:eastAsia="en-US"/>
              </w:rPr>
              <w:t>31</w:t>
            </w:r>
            <w:r w:rsidRPr="00152128">
              <w:rPr>
                <w:rFonts w:eastAsiaTheme="minorHAnsi"/>
                <w:b/>
                <w:color w:val="2C9ADC"/>
                <w:lang w:eastAsia="en-US"/>
              </w:rPr>
              <w:fldChar w:fldCharType="end"/>
            </w:r>
            <w:r w:rsidRPr="00152128">
              <w:rPr>
                <w:rFonts w:eastAsiaTheme="minorHAnsi"/>
                <w:b/>
                <w:color w:val="2C9ADC"/>
                <w:lang w:eastAsia="en-US"/>
              </w:rPr>
              <w:t xml:space="preserve"> (Tabuľka 8) - Základné predpoklady</w:t>
            </w:r>
            <w:bookmarkEnd w:id="266"/>
            <w:bookmarkEnd w:id="267"/>
          </w:p>
        </w:tc>
        <w:tc>
          <w:tcPr>
            <w:tcW w:w="1126" w:type="dxa"/>
            <w:gridSpan w:val="2"/>
            <w:tcBorders>
              <w:top w:val="nil"/>
              <w:left w:val="nil"/>
              <w:bottom w:val="single" w:sz="8" w:space="0" w:color="auto"/>
              <w:right w:val="nil"/>
            </w:tcBorders>
            <w:shd w:val="clear" w:color="auto" w:fill="auto"/>
            <w:noWrap/>
            <w:vAlign w:val="bottom"/>
            <w:hideMark/>
          </w:tcPr>
          <w:p w14:paraId="49B1364F" w14:textId="77777777" w:rsidR="00D73008" w:rsidRPr="00152128" w:rsidRDefault="00D73008" w:rsidP="00387AE5">
            <w:pPr>
              <w:rPr>
                <w:rFonts w:eastAsiaTheme="minorHAnsi"/>
                <w:b/>
                <w:color w:val="2C9ADC"/>
                <w:lang w:eastAsia="en-US"/>
              </w:rPr>
            </w:pPr>
          </w:p>
        </w:tc>
      </w:tr>
      <w:tr w:rsidR="00D73008" w:rsidRPr="009A372F" w14:paraId="72DC4A67" w14:textId="77777777" w:rsidTr="00684201">
        <w:trPr>
          <w:trHeight w:val="283"/>
          <w:jc w:val="center"/>
        </w:trPr>
        <w:tc>
          <w:tcPr>
            <w:tcW w:w="5556" w:type="dxa"/>
            <w:tcBorders>
              <w:top w:val="nil"/>
              <w:left w:val="nil"/>
              <w:bottom w:val="single" w:sz="4" w:space="0" w:color="auto"/>
              <w:right w:val="nil"/>
            </w:tcBorders>
            <w:shd w:val="clear" w:color="auto" w:fill="auto"/>
            <w:vAlign w:val="bottom"/>
            <w:hideMark/>
          </w:tcPr>
          <w:p w14:paraId="1A0F60BA" w14:textId="77777777" w:rsidR="00D73008" w:rsidRPr="009A372F" w:rsidRDefault="00D73008" w:rsidP="00387AE5">
            <w:pPr>
              <w:rPr>
                <w:rFonts w:cs="Times New Roman"/>
                <w:color w:val="000000"/>
                <w:sz w:val="18"/>
                <w:szCs w:val="18"/>
              </w:rPr>
            </w:pPr>
            <w:r w:rsidRPr="009A372F">
              <w:rPr>
                <w:color w:val="000000"/>
                <w:sz w:val="18"/>
                <w:szCs w:val="18"/>
              </w:rPr>
              <w:t> </w:t>
            </w:r>
          </w:p>
        </w:tc>
        <w:tc>
          <w:tcPr>
            <w:tcW w:w="624" w:type="dxa"/>
            <w:tcBorders>
              <w:top w:val="nil"/>
              <w:left w:val="nil"/>
              <w:bottom w:val="nil"/>
              <w:right w:val="nil"/>
            </w:tcBorders>
            <w:shd w:val="clear" w:color="auto" w:fill="auto"/>
            <w:hideMark/>
          </w:tcPr>
          <w:p w14:paraId="5AFE8567" w14:textId="77777777" w:rsidR="00D73008" w:rsidRPr="009A372F" w:rsidRDefault="00D73008" w:rsidP="00387AE5">
            <w:pPr>
              <w:jc w:val="center"/>
              <w:rPr>
                <w:b/>
                <w:bCs/>
                <w:color w:val="000000"/>
                <w:sz w:val="18"/>
                <w:szCs w:val="18"/>
              </w:rPr>
            </w:pPr>
            <w:r w:rsidRPr="009A372F">
              <w:rPr>
                <w:b/>
                <w:sz w:val="18"/>
                <w:szCs w:val="18"/>
              </w:rPr>
              <w:t>2017</w:t>
            </w:r>
          </w:p>
        </w:tc>
        <w:tc>
          <w:tcPr>
            <w:tcW w:w="624" w:type="dxa"/>
            <w:tcBorders>
              <w:top w:val="nil"/>
              <w:left w:val="nil"/>
              <w:bottom w:val="nil"/>
              <w:right w:val="nil"/>
            </w:tcBorders>
            <w:shd w:val="clear" w:color="auto" w:fill="auto"/>
            <w:hideMark/>
          </w:tcPr>
          <w:p w14:paraId="7150A558" w14:textId="77777777" w:rsidR="00D73008" w:rsidRPr="009A372F" w:rsidRDefault="00D73008" w:rsidP="00387AE5">
            <w:pPr>
              <w:jc w:val="center"/>
              <w:rPr>
                <w:b/>
                <w:bCs/>
                <w:color w:val="000000"/>
                <w:sz w:val="18"/>
                <w:szCs w:val="18"/>
              </w:rPr>
            </w:pPr>
            <w:r w:rsidRPr="009A372F">
              <w:rPr>
                <w:b/>
                <w:sz w:val="18"/>
                <w:szCs w:val="18"/>
              </w:rPr>
              <w:t>2018</w:t>
            </w:r>
          </w:p>
        </w:tc>
        <w:tc>
          <w:tcPr>
            <w:tcW w:w="624" w:type="dxa"/>
            <w:tcBorders>
              <w:top w:val="nil"/>
              <w:left w:val="nil"/>
              <w:bottom w:val="nil"/>
              <w:right w:val="nil"/>
            </w:tcBorders>
            <w:shd w:val="clear" w:color="auto" w:fill="auto"/>
            <w:hideMark/>
          </w:tcPr>
          <w:p w14:paraId="3DE41482" w14:textId="77777777" w:rsidR="00D73008" w:rsidRPr="009A372F" w:rsidRDefault="00D73008" w:rsidP="00387AE5">
            <w:pPr>
              <w:jc w:val="center"/>
              <w:rPr>
                <w:b/>
                <w:bCs/>
                <w:color w:val="000000"/>
                <w:sz w:val="18"/>
                <w:szCs w:val="18"/>
              </w:rPr>
            </w:pPr>
            <w:r w:rsidRPr="009A372F">
              <w:rPr>
                <w:b/>
                <w:sz w:val="18"/>
                <w:szCs w:val="18"/>
              </w:rPr>
              <w:t>2019</w:t>
            </w:r>
          </w:p>
        </w:tc>
        <w:tc>
          <w:tcPr>
            <w:tcW w:w="624" w:type="dxa"/>
            <w:tcBorders>
              <w:top w:val="nil"/>
              <w:left w:val="nil"/>
              <w:bottom w:val="nil"/>
              <w:right w:val="nil"/>
            </w:tcBorders>
            <w:shd w:val="clear" w:color="auto" w:fill="auto"/>
          </w:tcPr>
          <w:p w14:paraId="71F39CA9" w14:textId="77777777" w:rsidR="00D73008" w:rsidRPr="009A372F" w:rsidRDefault="00D73008" w:rsidP="00387AE5">
            <w:pPr>
              <w:jc w:val="center"/>
              <w:rPr>
                <w:b/>
                <w:bCs/>
                <w:color w:val="000000"/>
                <w:sz w:val="18"/>
                <w:szCs w:val="18"/>
              </w:rPr>
            </w:pPr>
            <w:r w:rsidRPr="009A372F">
              <w:rPr>
                <w:b/>
                <w:sz w:val="18"/>
                <w:szCs w:val="18"/>
              </w:rPr>
              <w:t>2020</w:t>
            </w:r>
          </w:p>
        </w:tc>
        <w:tc>
          <w:tcPr>
            <w:tcW w:w="624" w:type="dxa"/>
            <w:gridSpan w:val="2"/>
            <w:tcBorders>
              <w:top w:val="nil"/>
              <w:left w:val="nil"/>
              <w:bottom w:val="nil"/>
              <w:right w:val="nil"/>
            </w:tcBorders>
            <w:shd w:val="clear" w:color="auto" w:fill="auto"/>
          </w:tcPr>
          <w:p w14:paraId="29CDECA4" w14:textId="77777777" w:rsidR="00D73008" w:rsidRPr="009A372F" w:rsidRDefault="00D73008" w:rsidP="00387AE5">
            <w:pPr>
              <w:jc w:val="center"/>
              <w:rPr>
                <w:b/>
                <w:bCs/>
                <w:color w:val="000000"/>
                <w:sz w:val="18"/>
                <w:szCs w:val="18"/>
              </w:rPr>
            </w:pPr>
            <w:r w:rsidRPr="009A372F">
              <w:rPr>
                <w:b/>
                <w:sz w:val="18"/>
                <w:szCs w:val="18"/>
              </w:rPr>
              <w:t>2021</w:t>
            </w:r>
          </w:p>
        </w:tc>
        <w:tc>
          <w:tcPr>
            <w:tcW w:w="618" w:type="dxa"/>
            <w:tcBorders>
              <w:top w:val="nil"/>
              <w:left w:val="nil"/>
              <w:bottom w:val="nil"/>
              <w:right w:val="nil"/>
            </w:tcBorders>
            <w:shd w:val="clear" w:color="auto" w:fill="auto"/>
          </w:tcPr>
          <w:p w14:paraId="5BFC231F" w14:textId="77777777" w:rsidR="00D73008" w:rsidRPr="009A372F" w:rsidRDefault="00D73008" w:rsidP="00387AE5">
            <w:pPr>
              <w:jc w:val="center"/>
              <w:rPr>
                <w:b/>
                <w:bCs/>
                <w:color w:val="000000"/>
                <w:sz w:val="18"/>
                <w:szCs w:val="18"/>
              </w:rPr>
            </w:pPr>
            <w:r w:rsidRPr="009A372F">
              <w:rPr>
                <w:b/>
                <w:sz w:val="18"/>
                <w:szCs w:val="18"/>
              </w:rPr>
              <w:t>2022</w:t>
            </w:r>
          </w:p>
        </w:tc>
      </w:tr>
      <w:tr w:rsidR="00D73008" w:rsidRPr="009A372F" w14:paraId="35F6CE29" w14:textId="77777777" w:rsidTr="00684201">
        <w:trPr>
          <w:trHeight w:val="283"/>
          <w:jc w:val="center"/>
        </w:trPr>
        <w:tc>
          <w:tcPr>
            <w:tcW w:w="5556" w:type="dxa"/>
            <w:tcBorders>
              <w:top w:val="single" w:sz="4" w:space="0" w:color="auto"/>
              <w:left w:val="nil"/>
              <w:right w:val="nil"/>
            </w:tcBorders>
            <w:shd w:val="clear" w:color="auto" w:fill="auto"/>
            <w:vAlign w:val="center"/>
            <w:hideMark/>
          </w:tcPr>
          <w:p w14:paraId="081F5213" w14:textId="77777777" w:rsidR="00D73008" w:rsidRPr="009A372F" w:rsidRDefault="00D73008" w:rsidP="00387AE5">
            <w:pPr>
              <w:rPr>
                <w:rFonts w:cs="Times New Roman"/>
                <w:color w:val="000000"/>
                <w:sz w:val="18"/>
                <w:szCs w:val="18"/>
              </w:rPr>
            </w:pPr>
            <w:r w:rsidRPr="009A372F">
              <w:rPr>
                <w:color w:val="000000"/>
                <w:sz w:val="18"/>
                <w:szCs w:val="18"/>
              </w:rPr>
              <w:t>Krátkodobá úroková miera EONIA (ročný priemer, %)</w:t>
            </w:r>
          </w:p>
        </w:tc>
        <w:tc>
          <w:tcPr>
            <w:tcW w:w="624" w:type="dxa"/>
            <w:tcBorders>
              <w:top w:val="single" w:sz="8" w:space="0" w:color="auto"/>
              <w:left w:val="nil"/>
              <w:bottom w:val="nil"/>
              <w:right w:val="nil"/>
            </w:tcBorders>
            <w:shd w:val="clear" w:color="auto" w:fill="auto"/>
            <w:vAlign w:val="center"/>
            <w:hideMark/>
          </w:tcPr>
          <w:p w14:paraId="349C51BC" w14:textId="77777777" w:rsidR="00D73008" w:rsidRPr="009A372F" w:rsidRDefault="00D73008" w:rsidP="00387AE5">
            <w:pPr>
              <w:jc w:val="center"/>
              <w:rPr>
                <w:color w:val="000000"/>
                <w:sz w:val="18"/>
                <w:szCs w:val="18"/>
              </w:rPr>
            </w:pPr>
            <w:r w:rsidRPr="009A372F">
              <w:rPr>
                <w:sz w:val="18"/>
                <w:szCs w:val="18"/>
              </w:rPr>
              <w:t>-0,35</w:t>
            </w:r>
          </w:p>
        </w:tc>
        <w:tc>
          <w:tcPr>
            <w:tcW w:w="624" w:type="dxa"/>
            <w:tcBorders>
              <w:top w:val="single" w:sz="8" w:space="0" w:color="auto"/>
              <w:left w:val="nil"/>
              <w:bottom w:val="nil"/>
              <w:right w:val="nil"/>
            </w:tcBorders>
            <w:shd w:val="clear" w:color="auto" w:fill="auto"/>
            <w:vAlign w:val="center"/>
            <w:hideMark/>
          </w:tcPr>
          <w:p w14:paraId="6BF860ED" w14:textId="77777777" w:rsidR="00D73008" w:rsidRPr="009A372F" w:rsidRDefault="00D73008" w:rsidP="00387AE5">
            <w:pPr>
              <w:jc w:val="center"/>
              <w:rPr>
                <w:color w:val="000000"/>
                <w:sz w:val="18"/>
                <w:szCs w:val="18"/>
              </w:rPr>
            </w:pPr>
            <w:r w:rsidRPr="009A372F">
              <w:rPr>
                <w:sz w:val="18"/>
                <w:szCs w:val="18"/>
              </w:rPr>
              <w:t>-0,36</w:t>
            </w:r>
          </w:p>
        </w:tc>
        <w:tc>
          <w:tcPr>
            <w:tcW w:w="624" w:type="dxa"/>
            <w:tcBorders>
              <w:top w:val="single" w:sz="8" w:space="0" w:color="auto"/>
              <w:left w:val="nil"/>
              <w:bottom w:val="nil"/>
              <w:right w:val="nil"/>
            </w:tcBorders>
            <w:shd w:val="clear" w:color="auto" w:fill="auto"/>
            <w:vAlign w:val="center"/>
            <w:hideMark/>
          </w:tcPr>
          <w:p w14:paraId="32AB56D0" w14:textId="77777777" w:rsidR="00D73008" w:rsidRPr="009A372F" w:rsidRDefault="00D73008" w:rsidP="00387AE5">
            <w:pPr>
              <w:jc w:val="center"/>
              <w:rPr>
                <w:color w:val="000000"/>
                <w:sz w:val="18"/>
                <w:szCs w:val="18"/>
              </w:rPr>
            </w:pPr>
            <w:r w:rsidRPr="009A372F">
              <w:rPr>
                <w:sz w:val="18"/>
                <w:szCs w:val="18"/>
              </w:rPr>
              <w:t>-0,22</w:t>
            </w:r>
          </w:p>
        </w:tc>
        <w:tc>
          <w:tcPr>
            <w:tcW w:w="624" w:type="dxa"/>
            <w:tcBorders>
              <w:top w:val="single" w:sz="8" w:space="0" w:color="auto"/>
              <w:left w:val="nil"/>
              <w:bottom w:val="nil"/>
              <w:right w:val="nil"/>
            </w:tcBorders>
            <w:shd w:val="clear" w:color="auto" w:fill="auto"/>
            <w:vAlign w:val="center"/>
          </w:tcPr>
          <w:p w14:paraId="722E46FF" w14:textId="77777777" w:rsidR="00D73008" w:rsidRPr="009A372F" w:rsidRDefault="00D73008" w:rsidP="00387AE5">
            <w:pPr>
              <w:jc w:val="center"/>
              <w:rPr>
                <w:color w:val="000000"/>
                <w:sz w:val="18"/>
                <w:szCs w:val="18"/>
              </w:rPr>
            </w:pPr>
            <w:r w:rsidRPr="009A372F">
              <w:rPr>
                <w:sz w:val="18"/>
                <w:szCs w:val="18"/>
              </w:rPr>
              <w:t>0,06</w:t>
            </w:r>
          </w:p>
        </w:tc>
        <w:tc>
          <w:tcPr>
            <w:tcW w:w="624" w:type="dxa"/>
            <w:gridSpan w:val="2"/>
            <w:tcBorders>
              <w:top w:val="single" w:sz="8" w:space="0" w:color="auto"/>
              <w:left w:val="nil"/>
              <w:bottom w:val="nil"/>
              <w:right w:val="nil"/>
            </w:tcBorders>
            <w:shd w:val="clear" w:color="auto" w:fill="auto"/>
            <w:vAlign w:val="center"/>
          </w:tcPr>
          <w:p w14:paraId="746691E1" w14:textId="77777777" w:rsidR="00D73008" w:rsidRPr="009A372F" w:rsidRDefault="00D73008" w:rsidP="00387AE5">
            <w:pPr>
              <w:jc w:val="center"/>
              <w:rPr>
                <w:color w:val="000000"/>
                <w:sz w:val="18"/>
                <w:szCs w:val="18"/>
              </w:rPr>
            </w:pPr>
            <w:r w:rsidRPr="009A372F">
              <w:rPr>
                <w:sz w:val="18"/>
                <w:szCs w:val="18"/>
              </w:rPr>
              <w:t>0,34</w:t>
            </w:r>
          </w:p>
        </w:tc>
        <w:tc>
          <w:tcPr>
            <w:tcW w:w="618" w:type="dxa"/>
            <w:tcBorders>
              <w:top w:val="single" w:sz="8" w:space="0" w:color="auto"/>
              <w:left w:val="nil"/>
              <w:bottom w:val="nil"/>
              <w:right w:val="nil"/>
            </w:tcBorders>
            <w:shd w:val="clear" w:color="auto" w:fill="auto"/>
            <w:vAlign w:val="center"/>
          </w:tcPr>
          <w:p w14:paraId="1DF75EA6" w14:textId="77777777" w:rsidR="00D73008" w:rsidRPr="009A372F" w:rsidRDefault="00D73008" w:rsidP="00387AE5">
            <w:pPr>
              <w:jc w:val="center"/>
              <w:rPr>
                <w:color w:val="000000"/>
                <w:sz w:val="18"/>
                <w:szCs w:val="18"/>
              </w:rPr>
            </w:pPr>
            <w:r w:rsidRPr="009A372F">
              <w:rPr>
                <w:sz w:val="18"/>
                <w:szCs w:val="18"/>
              </w:rPr>
              <w:t>0,59</w:t>
            </w:r>
          </w:p>
        </w:tc>
      </w:tr>
      <w:tr w:rsidR="00D73008" w:rsidRPr="009A372F" w14:paraId="3C356416" w14:textId="77777777" w:rsidTr="00684201">
        <w:trPr>
          <w:trHeight w:val="283"/>
          <w:jc w:val="center"/>
        </w:trPr>
        <w:tc>
          <w:tcPr>
            <w:tcW w:w="5556" w:type="dxa"/>
            <w:tcBorders>
              <w:top w:val="nil"/>
              <w:left w:val="nil"/>
              <w:bottom w:val="nil"/>
              <w:right w:val="nil"/>
            </w:tcBorders>
            <w:shd w:val="clear" w:color="auto" w:fill="auto"/>
            <w:vAlign w:val="center"/>
            <w:hideMark/>
          </w:tcPr>
          <w:p w14:paraId="584FDC26" w14:textId="77777777" w:rsidR="00D73008" w:rsidRPr="009A372F" w:rsidRDefault="00D73008" w:rsidP="00387AE5">
            <w:pPr>
              <w:rPr>
                <w:color w:val="000000"/>
                <w:sz w:val="18"/>
                <w:szCs w:val="18"/>
              </w:rPr>
            </w:pPr>
            <w:r w:rsidRPr="009A372F">
              <w:rPr>
                <w:color w:val="000000"/>
                <w:sz w:val="18"/>
                <w:szCs w:val="18"/>
              </w:rPr>
              <w:t>Dlhodobá úroková miera 10Y-SLOVGB (ročný priemer, %)</w:t>
            </w:r>
          </w:p>
        </w:tc>
        <w:tc>
          <w:tcPr>
            <w:tcW w:w="624" w:type="dxa"/>
            <w:tcBorders>
              <w:top w:val="nil"/>
              <w:left w:val="nil"/>
              <w:bottom w:val="nil"/>
              <w:right w:val="nil"/>
            </w:tcBorders>
            <w:shd w:val="clear" w:color="auto" w:fill="auto"/>
            <w:vAlign w:val="center"/>
            <w:hideMark/>
          </w:tcPr>
          <w:p w14:paraId="0ABD952B" w14:textId="77777777" w:rsidR="00D73008" w:rsidRPr="009A372F" w:rsidRDefault="00D73008" w:rsidP="00387AE5">
            <w:pPr>
              <w:jc w:val="center"/>
              <w:rPr>
                <w:color w:val="000000"/>
                <w:sz w:val="18"/>
                <w:szCs w:val="18"/>
              </w:rPr>
            </w:pPr>
            <w:r w:rsidRPr="009A372F">
              <w:rPr>
                <w:sz w:val="18"/>
                <w:szCs w:val="18"/>
              </w:rPr>
              <w:t>0,98</w:t>
            </w:r>
          </w:p>
        </w:tc>
        <w:tc>
          <w:tcPr>
            <w:tcW w:w="624" w:type="dxa"/>
            <w:tcBorders>
              <w:top w:val="nil"/>
              <w:left w:val="nil"/>
              <w:bottom w:val="nil"/>
              <w:right w:val="nil"/>
            </w:tcBorders>
            <w:shd w:val="clear" w:color="auto" w:fill="auto"/>
            <w:vAlign w:val="center"/>
            <w:hideMark/>
          </w:tcPr>
          <w:p w14:paraId="261053A9" w14:textId="77777777" w:rsidR="00D73008" w:rsidRPr="009A372F" w:rsidRDefault="00D73008" w:rsidP="00387AE5">
            <w:pPr>
              <w:jc w:val="center"/>
              <w:rPr>
                <w:color w:val="000000"/>
                <w:sz w:val="18"/>
                <w:szCs w:val="18"/>
              </w:rPr>
            </w:pPr>
            <w:r w:rsidRPr="009A372F">
              <w:rPr>
                <w:sz w:val="18"/>
                <w:szCs w:val="18"/>
              </w:rPr>
              <w:t>0,97</w:t>
            </w:r>
          </w:p>
        </w:tc>
        <w:tc>
          <w:tcPr>
            <w:tcW w:w="624" w:type="dxa"/>
            <w:tcBorders>
              <w:top w:val="nil"/>
              <w:left w:val="nil"/>
              <w:bottom w:val="nil"/>
              <w:right w:val="nil"/>
            </w:tcBorders>
            <w:shd w:val="clear" w:color="auto" w:fill="auto"/>
            <w:vAlign w:val="center"/>
            <w:hideMark/>
          </w:tcPr>
          <w:p w14:paraId="5B664758" w14:textId="77777777" w:rsidR="00D73008" w:rsidRPr="009A372F" w:rsidRDefault="00D73008" w:rsidP="00387AE5">
            <w:pPr>
              <w:jc w:val="center"/>
              <w:rPr>
                <w:color w:val="000000"/>
                <w:sz w:val="18"/>
                <w:szCs w:val="18"/>
              </w:rPr>
            </w:pPr>
            <w:r w:rsidRPr="009A372F">
              <w:rPr>
                <w:sz w:val="18"/>
                <w:szCs w:val="18"/>
              </w:rPr>
              <w:t>1,20</w:t>
            </w:r>
          </w:p>
        </w:tc>
        <w:tc>
          <w:tcPr>
            <w:tcW w:w="624" w:type="dxa"/>
            <w:tcBorders>
              <w:top w:val="nil"/>
              <w:left w:val="nil"/>
              <w:bottom w:val="nil"/>
              <w:right w:val="nil"/>
            </w:tcBorders>
            <w:shd w:val="clear" w:color="auto" w:fill="auto"/>
            <w:vAlign w:val="center"/>
          </w:tcPr>
          <w:p w14:paraId="7DCBE9B6" w14:textId="77777777" w:rsidR="00D73008" w:rsidRPr="009A372F" w:rsidRDefault="00D73008" w:rsidP="00387AE5">
            <w:pPr>
              <w:jc w:val="center"/>
              <w:rPr>
                <w:color w:val="000000"/>
                <w:sz w:val="18"/>
                <w:szCs w:val="18"/>
              </w:rPr>
            </w:pPr>
            <w:r w:rsidRPr="009A372F">
              <w:rPr>
                <w:sz w:val="18"/>
                <w:szCs w:val="18"/>
              </w:rPr>
              <w:t>1,71</w:t>
            </w:r>
          </w:p>
        </w:tc>
        <w:tc>
          <w:tcPr>
            <w:tcW w:w="624" w:type="dxa"/>
            <w:gridSpan w:val="2"/>
            <w:tcBorders>
              <w:top w:val="nil"/>
              <w:left w:val="nil"/>
              <w:bottom w:val="nil"/>
              <w:right w:val="nil"/>
            </w:tcBorders>
            <w:shd w:val="clear" w:color="auto" w:fill="auto"/>
            <w:vAlign w:val="center"/>
          </w:tcPr>
          <w:p w14:paraId="12D1D6CB" w14:textId="77777777" w:rsidR="00D73008" w:rsidRPr="009A372F" w:rsidRDefault="00D73008" w:rsidP="00387AE5">
            <w:pPr>
              <w:jc w:val="center"/>
              <w:rPr>
                <w:color w:val="000000"/>
                <w:sz w:val="18"/>
                <w:szCs w:val="18"/>
              </w:rPr>
            </w:pPr>
            <w:r w:rsidRPr="009A372F">
              <w:rPr>
                <w:sz w:val="18"/>
                <w:szCs w:val="18"/>
              </w:rPr>
              <w:t>2,06</w:t>
            </w:r>
          </w:p>
        </w:tc>
        <w:tc>
          <w:tcPr>
            <w:tcW w:w="618" w:type="dxa"/>
            <w:tcBorders>
              <w:top w:val="nil"/>
              <w:left w:val="nil"/>
              <w:bottom w:val="nil"/>
              <w:right w:val="nil"/>
            </w:tcBorders>
            <w:shd w:val="clear" w:color="auto" w:fill="auto"/>
            <w:vAlign w:val="center"/>
          </w:tcPr>
          <w:p w14:paraId="1729DDF9" w14:textId="77777777" w:rsidR="00D73008" w:rsidRPr="009A372F" w:rsidRDefault="00D73008" w:rsidP="00387AE5">
            <w:pPr>
              <w:jc w:val="center"/>
              <w:rPr>
                <w:color w:val="000000"/>
                <w:sz w:val="18"/>
                <w:szCs w:val="18"/>
              </w:rPr>
            </w:pPr>
            <w:r w:rsidRPr="009A372F">
              <w:rPr>
                <w:sz w:val="18"/>
                <w:szCs w:val="18"/>
              </w:rPr>
              <w:t>2,31</w:t>
            </w:r>
          </w:p>
        </w:tc>
      </w:tr>
      <w:tr w:rsidR="00D73008" w:rsidRPr="009A372F" w14:paraId="5CB22E43" w14:textId="77777777" w:rsidTr="00684201">
        <w:trPr>
          <w:trHeight w:val="283"/>
          <w:jc w:val="center"/>
        </w:trPr>
        <w:tc>
          <w:tcPr>
            <w:tcW w:w="5556" w:type="dxa"/>
            <w:tcBorders>
              <w:top w:val="nil"/>
              <w:left w:val="nil"/>
              <w:right w:val="nil"/>
            </w:tcBorders>
            <w:shd w:val="clear" w:color="auto" w:fill="auto"/>
            <w:vAlign w:val="center"/>
            <w:hideMark/>
          </w:tcPr>
          <w:p w14:paraId="674D7688" w14:textId="77777777" w:rsidR="00D73008" w:rsidRPr="009A372F" w:rsidRDefault="00D73008" w:rsidP="00387AE5">
            <w:pPr>
              <w:rPr>
                <w:color w:val="000000"/>
                <w:sz w:val="18"/>
                <w:szCs w:val="18"/>
              </w:rPr>
            </w:pPr>
            <w:r w:rsidRPr="009A372F">
              <w:rPr>
                <w:color w:val="000000"/>
                <w:sz w:val="18"/>
                <w:szCs w:val="18"/>
              </w:rPr>
              <w:t>Výmenný kurz USD/€ (ročný priemer) (eurozóna a krajiny ERM II)</w:t>
            </w:r>
          </w:p>
        </w:tc>
        <w:tc>
          <w:tcPr>
            <w:tcW w:w="624" w:type="dxa"/>
            <w:tcBorders>
              <w:top w:val="nil"/>
              <w:left w:val="nil"/>
              <w:bottom w:val="nil"/>
              <w:right w:val="nil"/>
            </w:tcBorders>
            <w:shd w:val="clear" w:color="auto" w:fill="auto"/>
            <w:vAlign w:val="center"/>
            <w:hideMark/>
          </w:tcPr>
          <w:p w14:paraId="21C937BE" w14:textId="77777777" w:rsidR="00D73008" w:rsidRPr="009A372F" w:rsidRDefault="00D73008" w:rsidP="00387AE5">
            <w:pPr>
              <w:jc w:val="center"/>
              <w:rPr>
                <w:color w:val="000000"/>
                <w:sz w:val="18"/>
                <w:szCs w:val="18"/>
              </w:rPr>
            </w:pPr>
            <w:r w:rsidRPr="009A372F">
              <w:rPr>
                <w:sz w:val="18"/>
                <w:szCs w:val="18"/>
              </w:rPr>
              <w:t>1,13</w:t>
            </w:r>
          </w:p>
        </w:tc>
        <w:tc>
          <w:tcPr>
            <w:tcW w:w="624" w:type="dxa"/>
            <w:tcBorders>
              <w:top w:val="nil"/>
              <w:left w:val="nil"/>
              <w:bottom w:val="nil"/>
              <w:right w:val="nil"/>
            </w:tcBorders>
            <w:shd w:val="clear" w:color="auto" w:fill="auto"/>
            <w:vAlign w:val="center"/>
            <w:hideMark/>
          </w:tcPr>
          <w:p w14:paraId="3F6C42EC" w14:textId="77777777" w:rsidR="00D73008" w:rsidRPr="009A372F" w:rsidRDefault="00D73008" w:rsidP="00387AE5">
            <w:pPr>
              <w:jc w:val="center"/>
              <w:rPr>
                <w:color w:val="000000"/>
                <w:sz w:val="18"/>
                <w:szCs w:val="18"/>
              </w:rPr>
            </w:pPr>
            <w:r w:rsidRPr="009A372F">
              <w:rPr>
                <w:sz w:val="18"/>
                <w:szCs w:val="18"/>
              </w:rPr>
              <w:t>1,18</w:t>
            </w:r>
          </w:p>
        </w:tc>
        <w:tc>
          <w:tcPr>
            <w:tcW w:w="624" w:type="dxa"/>
            <w:tcBorders>
              <w:top w:val="nil"/>
              <w:left w:val="nil"/>
              <w:bottom w:val="nil"/>
              <w:right w:val="nil"/>
            </w:tcBorders>
            <w:shd w:val="clear" w:color="auto" w:fill="auto"/>
            <w:vAlign w:val="center"/>
            <w:hideMark/>
          </w:tcPr>
          <w:p w14:paraId="37503BD7" w14:textId="77777777" w:rsidR="00D73008" w:rsidRPr="009A372F" w:rsidRDefault="00D73008" w:rsidP="00387AE5">
            <w:pPr>
              <w:jc w:val="center"/>
              <w:rPr>
                <w:color w:val="000000"/>
                <w:sz w:val="18"/>
                <w:szCs w:val="18"/>
              </w:rPr>
            </w:pPr>
            <w:r w:rsidRPr="009A372F">
              <w:rPr>
                <w:sz w:val="18"/>
                <w:szCs w:val="18"/>
              </w:rPr>
              <w:t>1,17</w:t>
            </w:r>
          </w:p>
        </w:tc>
        <w:tc>
          <w:tcPr>
            <w:tcW w:w="624" w:type="dxa"/>
            <w:tcBorders>
              <w:top w:val="nil"/>
              <w:left w:val="nil"/>
              <w:bottom w:val="nil"/>
              <w:right w:val="nil"/>
            </w:tcBorders>
            <w:shd w:val="clear" w:color="auto" w:fill="auto"/>
            <w:vAlign w:val="center"/>
          </w:tcPr>
          <w:p w14:paraId="1C14745C" w14:textId="77777777" w:rsidR="00D73008" w:rsidRPr="009A372F" w:rsidRDefault="00D73008" w:rsidP="00387AE5">
            <w:pPr>
              <w:jc w:val="center"/>
              <w:rPr>
                <w:color w:val="000000"/>
                <w:sz w:val="18"/>
                <w:szCs w:val="18"/>
              </w:rPr>
            </w:pPr>
            <w:r w:rsidRPr="009A372F">
              <w:rPr>
                <w:sz w:val="18"/>
                <w:szCs w:val="18"/>
              </w:rPr>
              <w:t>1,23</w:t>
            </w:r>
          </w:p>
        </w:tc>
        <w:tc>
          <w:tcPr>
            <w:tcW w:w="624" w:type="dxa"/>
            <w:gridSpan w:val="2"/>
            <w:tcBorders>
              <w:top w:val="nil"/>
              <w:left w:val="nil"/>
              <w:bottom w:val="nil"/>
              <w:right w:val="nil"/>
            </w:tcBorders>
            <w:shd w:val="clear" w:color="auto" w:fill="auto"/>
            <w:vAlign w:val="center"/>
          </w:tcPr>
          <w:p w14:paraId="57C0AB50" w14:textId="77777777" w:rsidR="00D73008" w:rsidRPr="009A372F" w:rsidRDefault="00D73008" w:rsidP="00387AE5">
            <w:pPr>
              <w:jc w:val="center"/>
              <w:rPr>
                <w:color w:val="000000"/>
                <w:sz w:val="18"/>
                <w:szCs w:val="18"/>
              </w:rPr>
            </w:pPr>
            <w:r w:rsidRPr="009A372F">
              <w:rPr>
                <w:sz w:val="18"/>
                <w:szCs w:val="18"/>
              </w:rPr>
              <w:t>1,26</w:t>
            </w:r>
          </w:p>
        </w:tc>
        <w:tc>
          <w:tcPr>
            <w:tcW w:w="618" w:type="dxa"/>
            <w:tcBorders>
              <w:top w:val="nil"/>
              <w:left w:val="nil"/>
              <w:bottom w:val="nil"/>
              <w:right w:val="nil"/>
            </w:tcBorders>
            <w:shd w:val="clear" w:color="auto" w:fill="auto"/>
            <w:vAlign w:val="center"/>
          </w:tcPr>
          <w:p w14:paraId="1578F741" w14:textId="77777777" w:rsidR="00D73008" w:rsidRPr="009A372F" w:rsidRDefault="00D73008" w:rsidP="00387AE5">
            <w:pPr>
              <w:jc w:val="center"/>
              <w:rPr>
                <w:color w:val="000000"/>
                <w:sz w:val="18"/>
                <w:szCs w:val="18"/>
              </w:rPr>
            </w:pPr>
            <w:r w:rsidRPr="009A372F">
              <w:rPr>
                <w:sz w:val="18"/>
                <w:szCs w:val="18"/>
              </w:rPr>
              <w:t>1,28</w:t>
            </w:r>
          </w:p>
        </w:tc>
      </w:tr>
      <w:tr w:rsidR="00D73008" w:rsidRPr="009A372F" w14:paraId="7571C664" w14:textId="77777777" w:rsidTr="00684201">
        <w:trPr>
          <w:trHeight w:val="283"/>
          <w:jc w:val="center"/>
        </w:trPr>
        <w:tc>
          <w:tcPr>
            <w:tcW w:w="5556" w:type="dxa"/>
            <w:tcBorders>
              <w:top w:val="nil"/>
              <w:left w:val="nil"/>
              <w:right w:val="nil"/>
            </w:tcBorders>
            <w:shd w:val="clear" w:color="auto" w:fill="auto"/>
            <w:vAlign w:val="center"/>
          </w:tcPr>
          <w:p w14:paraId="3AA59C47" w14:textId="77777777" w:rsidR="00D73008" w:rsidRPr="009A372F" w:rsidRDefault="00D73008" w:rsidP="00387AE5">
            <w:pPr>
              <w:rPr>
                <w:sz w:val="18"/>
                <w:szCs w:val="18"/>
              </w:rPr>
            </w:pPr>
            <w:r w:rsidRPr="009A372F">
              <w:rPr>
                <w:sz w:val="18"/>
                <w:szCs w:val="18"/>
              </w:rPr>
              <w:t>Svet okrem EU, rast HDP (%)</w:t>
            </w:r>
          </w:p>
        </w:tc>
        <w:tc>
          <w:tcPr>
            <w:tcW w:w="624" w:type="dxa"/>
            <w:tcBorders>
              <w:top w:val="nil"/>
              <w:left w:val="nil"/>
              <w:bottom w:val="nil"/>
              <w:right w:val="nil"/>
            </w:tcBorders>
            <w:shd w:val="clear" w:color="auto" w:fill="auto"/>
            <w:vAlign w:val="center"/>
          </w:tcPr>
          <w:p w14:paraId="7E6924C2" w14:textId="77777777" w:rsidR="00D73008" w:rsidRPr="009A372F" w:rsidRDefault="00D73008" w:rsidP="00387AE5">
            <w:pPr>
              <w:jc w:val="center"/>
              <w:rPr>
                <w:sz w:val="18"/>
                <w:szCs w:val="18"/>
              </w:rPr>
            </w:pPr>
            <w:r w:rsidRPr="009A372F">
              <w:rPr>
                <w:sz w:val="18"/>
                <w:szCs w:val="18"/>
              </w:rPr>
              <w:t>-</w:t>
            </w:r>
          </w:p>
        </w:tc>
        <w:tc>
          <w:tcPr>
            <w:tcW w:w="624" w:type="dxa"/>
            <w:tcBorders>
              <w:top w:val="nil"/>
              <w:left w:val="nil"/>
              <w:bottom w:val="nil"/>
              <w:right w:val="nil"/>
            </w:tcBorders>
            <w:shd w:val="clear" w:color="auto" w:fill="auto"/>
            <w:vAlign w:val="center"/>
          </w:tcPr>
          <w:p w14:paraId="22B425EF" w14:textId="77777777" w:rsidR="00D73008" w:rsidRPr="009A372F" w:rsidRDefault="00D73008" w:rsidP="00387AE5">
            <w:pPr>
              <w:jc w:val="center"/>
              <w:rPr>
                <w:sz w:val="18"/>
                <w:szCs w:val="18"/>
              </w:rPr>
            </w:pPr>
            <w:r w:rsidRPr="009A372F">
              <w:rPr>
                <w:sz w:val="18"/>
                <w:szCs w:val="18"/>
              </w:rPr>
              <w:t>-</w:t>
            </w:r>
          </w:p>
        </w:tc>
        <w:tc>
          <w:tcPr>
            <w:tcW w:w="624" w:type="dxa"/>
            <w:tcBorders>
              <w:top w:val="nil"/>
              <w:left w:val="nil"/>
              <w:bottom w:val="nil"/>
              <w:right w:val="nil"/>
            </w:tcBorders>
            <w:shd w:val="clear" w:color="auto" w:fill="auto"/>
            <w:vAlign w:val="center"/>
          </w:tcPr>
          <w:p w14:paraId="741FF440" w14:textId="77777777" w:rsidR="00D73008" w:rsidRPr="009A372F" w:rsidRDefault="00D73008" w:rsidP="00387AE5">
            <w:pPr>
              <w:jc w:val="center"/>
              <w:rPr>
                <w:sz w:val="18"/>
                <w:szCs w:val="18"/>
              </w:rPr>
            </w:pPr>
            <w:r w:rsidRPr="009A372F">
              <w:rPr>
                <w:sz w:val="18"/>
                <w:szCs w:val="18"/>
              </w:rPr>
              <w:t>-</w:t>
            </w:r>
          </w:p>
        </w:tc>
        <w:tc>
          <w:tcPr>
            <w:tcW w:w="624" w:type="dxa"/>
            <w:tcBorders>
              <w:top w:val="nil"/>
              <w:left w:val="nil"/>
              <w:bottom w:val="nil"/>
              <w:right w:val="nil"/>
            </w:tcBorders>
            <w:shd w:val="clear" w:color="auto" w:fill="auto"/>
            <w:vAlign w:val="center"/>
          </w:tcPr>
          <w:p w14:paraId="08EA1E75" w14:textId="77777777" w:rsidR="00D73008" w:rsidRPr="009A372F" w:rsidRDefault="00D73008" w:rsidP="00387AE5">
            <w:pPr>
              <w:jc w:val="center"/>
              <w:rPr>
                <w:sz w:val="18"/>
                <w:szCs w:val="18"/>
              </w:rPr>
            </w:pPr>
            <w:r w:rsidRPr="009A372F">
              <w:rPr>
                <w:sz w:val="18"/>
                <w:szCs w:val="18"/>
              </w:rPr>
              <w:t>-</w:t>
            </w:r>
          </w:p>
        </w:tc>
        <w:tc>
          <w:tcPr>
            <w:tcW w:w="624" w:type="dxa"/>
            <w:gridSpan w:val="2"/>
            <w:tcBorders>
              <w:top w:val="nil"/>
              <w:left w:val="nil"/>
              <w:bottom w:val="nil"/>
              <w:right w:val="nil"/>
            </w:tcBorders>
            <w:shd w:val="clear" w:color="auto" w:fill="auto"/>
            <w:vAlign w:val="center"/>
          </w:tcPr>
          <w:p w14:paraId="189F34DD" w14:textId="77777777" w:rsidR="00D73008" w:rsidRPr="009A372F" w:rsidRDefault="00D73008" w:rsidP="00387AE5">
            <w:pPr>
              <w:jc w:val="center"/>
              <w:rPr>
                <w:sz w:val="18"/>
                <w:szCs w:val="18"/>
              </w:rPr>
            </w:pPr>
            <w:r w:rsidRPr="009A372F">
              <w:rPr>
                <w:sz w:val="18"/>
                <w:szCs w:val="18"/>
              </w:rPr>
              <w:t>-</w:t>
            </w:r>
          </w:p>
        </w:tc>
        <w:tc>
          <w:tcPr>
            <w:tcW w:w="618" w:type="dxa"/>
            <w:tcBorders>
              <w:top w:val="nil"/>
              <w:left w:val="nil"/>
              <w:bottom w:val="nil"/>
              <w:right w:val="nil"/>
            </w:tcBorders>
            <w:shd w:val="clear" w:color="auto" w:fill="auto"/>
            <w:vAlign w:val="center"/>
          </w:tcPr>
          <w:p w14:paraId="2EBBCB44" w14:textId="77777777" w:rsidR="00D73008" w:rsidRPr="009A372F" w:rsidRDefault="00D73008" w:rsidP="00387AE5">
            <w:pPr>
              <w:jc w:val="center"/>
              <w:rPr>
                <w:sz w:val="18"/>
                <w:szCs w:val="18"/>
              </w:rPr>
            </w:pPr>
            <w:r w:rsidRPr="009A372F">
              <w:rPr>
                <w:sz w:val="18"/>
                <w:szCs w:val="18"/>
              </w:rPr>
              <w:t>-</w:t>
            </w:r>
          </w:p>
        </w:tc>
      </w:tr>
      <w:tr w:rsidR="00D73008" w:rsidRPr="009A372F" w14:paraId="33BD1956" w14:textId="77777777" w:rsidTr="00684201">
        <w:trPr>
          <w:trHeight w:val="283"/>
          <w:jc w:val="center"/>
        </w:trPr>
        <w:tc>
          <w:tcPr>
            <w:tcW w:w="5556" w:type="dxa"/>
            <w:tcBorders>
              <w:top w:val="nil"/>
              <w:left w:val="nil"/>
              <w:right w:val="nil"/>
            </w:tcBorders>
            <w:shd w:val="clear" w:color="auto" w:fill="auto"/>
            <w:vAlign w:val="center"/>
          </w:tcPr>
          <w:p w14:paraId="28D4F09A" w14:textId="77777777" w:rsidR="00D73008" w:rsidRPr="009A372F" w:rsidRDefault="00D73008" w:rsidP="00387AE5">
            <w:pPr>
              <w:rPr>
                <w:sz w:val="18"/>
                <w:szCs w:val="18"/>
              </w:rPr>
            </w:pPr>
            <w:r w:rsidRPr="009A372F">
              <w:rPr>
                <w:sz w:val="18"/>
                <w:szCs w:val="18"/>
              </w:rPr>
              <w:t xml:space="preserve">Rast HDP EÚ (%) </w:t>
            </w:r>
          </w:p>
        </w:tc>
        <w:tc>
          <w:tcPr>
            <w:tcW w:w="624" w:type="dxa"/>
            <w:tcBorders>
              <w:top w:val="nil"/>
              <w:left w:val="nil"/>
              <w:bottom w:val="nil"/>
              <w:right w:val="nil"/>
            </w:tcBorders>
            <w:shd w:val="clear" w:color="auto" w:fill="auto"/>
            <w:vAlign w:val="center"/>
          </w:tcPr>
          <w:p w14:paraId="0C1F0A9B" w14:textId="77777777" w:rsidR="00D73008" w:rsidRPr="009A372F" w:rsidRDefault="00D73008" w:rsidP="00387AE5">
            <w:pPr>
              <w:jc w:val="center"/>
              <w:rPr>
                <w:sz w:val="18"/>
                <w:szCs w:val="18"/>
              </w:rPr>
            </w:pPr>
            <w:r w:rsidRPr="009A372F">
              <w:rPr>
                <w:sz w:val="18"/>
                <w:szCs w:val="18"/>
              </w:rPr>
              <w:t>2,53</w:t>
            </w:r>
          </w:p>
        </w:tc>
        <w:tc>
          <w:tcPr>
            <w:tcW w:w="624" w:type="dxa"/>
            <w:tcBorders>
              <w:top w:val="nil"/>
              <w:left w:val="nil"/>
              <w:bottom w:val="nil"/>
              <w:right w:val="nil"/>
            </w:tcBorders>
            <w:shd w:val="clear" w:color="auto" w:fill="auto"/>
            <w:vAlign w:val="center"/>
          </w:tcPr>
          <w:p w14:paraId="1DE69ACD" w14:textId="77777777" w:rsidR="00D73008" w:rsidRPr="009A372F" w:rsidRDefault="00D73008" w:rsidP="00387AE5">
            <w:pPr>
              <w:jc w:val="center"/>
              <w:rPr>
                <w:sz w:val="18"/>
                <w:szCs w:val="18"/>
              </w:rPr>
            </w:pPr>
            <w:r w:rsidRPr="009A372F">
              <w:rPr>
                <w:sz w:val="18"/>
                <w:szCs w:val="18"/>
              </w:rPr>
              <w:t>2,02</w:t>
            </w:r>
          </w:p>
        </w:tc>
        <w:tc>
          <w:tcPr>
            <w:tcW w:w="624" w:type="dxa"/>
            <w:tcBorders>
              <w:top w:val="nil"/>
              <w:left w:val="nil"/>
              <w:bottom w:val="nil"/>
              <w:right w:val="nil"/>
            </w:tcBorders>
            <w:shd w:val="clear" w:color="auto" w:fill="auto"/>
            <w:vAlign w:val="center"/>
          </w:tcPr>
          <w:p w14:paraId="32CD70AE" w14:textId="77777777" w:rsidR="00D73008" w:rsidRPr="009A372F" w:rsidRDefault="00D73008" w:rsidP="00387AE5">
            <w:pPr>
              <w:jc w:val="center"/>
              <w:rPr>
                <w:sz w:val="18"/>
                <w:szCs w:val="18"/>
              </w:rPr>
            </w:pPr>
            <w:r w:rsidRPr="009A372F">
              <w:rPr>
                <w:sz w:val="18"/>
                <w:szCs w:val="18"/>
              </w:rPr>
              <w:t>1,94</w:t>
            </w:r>
          </w:p>
        </w:tc>
        <w:tc>
          <w:tcPr>
            <w:tcW w:w="624" w:type="dxa"/>
            <w:tcBorders>
              <w:top w:val="nil"/>
              <w:left w:val="nil"/>
              <w:bottom w:val="nil"/>
              <w:right w:val="nil"/>
            </w:tcBorders>
            <w:shd w:val="clear" w:color="auto" w:fill="auto"/>
            <w:vAlign w:val="center"/>
          </w:tcPr>
          <w:p w14:paraId="0E68A49F" w14:textId="77777777" w:rsidR="00D73008" w:rsidRPr="009A372F" w:rsidRDefault="00D73008" w:rsidP="00387AE5">
            <w:pPr>
              <w:jc w:val="center"/>
              <w:rPr>
                <w:sz w:val="18"/>
                <w:szCs w:val="18"/>
              </w:rPr>
            </w:pPr>
            <w:r w:rsidRPr="009A372F">
              <w:rPr>
                <w:sz w:val="18"/>
                <w:szCs w:val="18"/>
              </w:rPr>
              <w:t>1,94</w:t>
            </w:r>
          </w:p>
        </w:tc>
        <w:tc>
          <w:tcPr>
            <w:tcW w:w="624" w:type="dxa"/>
            <w:gridSpan w:val="2"/>
            <w:tcBorders>
              <w:top w:val="nil"/>
              <w:left w:val="nil"/>
              <w:bottom w:val="nil"/>
              <w:right w:val="nil"/>
            </w:tcBorders>
            <w:shd w:val="clear" w:color="auto" w:fill="auto"/>
            <w:vAlign w:val="center"/>
          </w:tcPr>
          <w:p w14:paraId="5F802055" w14:textId="77777777" w:rsidR="00D73008" w:rsidRPr="009A372F" w:rsidRDefault="00D73008" w:rsidP="00387AE5">
            <w:pPr>
              <w:jc w:val="center"/>
              <w:rPr>
                <w:sz w:val="18"/>
                <w:szCs w:val="18"/>
              </w:rPr>
            </w:pPr>
            <w:r w:rsidRPr="009A372F">
              <w:rPr>
                <w:sz w:val="18"/>
                <w:szCs w:val="18"/>
              </w:rPr>
              <w:t>-</w:t>
            </w:r>
          </w:p>
        </w:tc>
        <w:tc>
          <w:tcPr>
            <w:tcW w:w="618" w:type="dxa"/>
            <w:tcBorders>
              <w:top w:val="nil"/>
              <w:left w:val="nil"/>
              <w:bottom w:val="nil"/>
              <w:right w:val="nil"/>
            </w:tcBorders>
            <w:shd w:val="clear" w:color="auto" w:fill="auto"/>
            <w:vAlign w:val="center"/>
          </w:tcPr>
          <w:p w14:paraId="51653C09" w14:textId="77777777" w:rsidR="00D73008" w:rsidRPr="009A372F" w:rsidRDefault="00D73008" w:rsidP="00387AE5">
            <w:pPr>
              <w:jc w:val="center"/>
              <w:rPr>
                <w:sz w:val="18"/>
                <w:szCs w:val="18"/>
              </w:rPr>
            </w:pPr>
            <w:r w:rsidRPr="009A372F">
              <w:rPr>
                <w:sz w:val="18"/>
                <w:szCs w:val="18"/>
              </w:rPr>
              <w:t>-</w:t>
            </w:r>
          </w:p>
        </w:tc>
      </w:tr>
      <w:tr w:rsidR="00D73008" w:rsidRPr="009A372F" w14:paraId="1B4B4542" w14:textId="77777777" w:rsidTr="00684201">
        <w:trPr>
          <w:trHeight w:val="283"/>
          <w:jc w:val="center"/>
        </w:trPr>
        <w:tc>
          <w:tcPr>
            <w:tcW w:w="5556" w:type="dxa"/>
            <w:tcBorders>
              <w:top w:val="nil"/>
              <w:left w:val="nil"/>
              <w:right w:val="nil"/>
            </w:tcBorders>
            <w:shd w:val="clear" w:color="auto" w:fill="auto"/>
            <w:vAlign w:val="center"/>
          </w:tcPr>
          <w:p w14:paraId="7881B994" w14:textId="77777777" w:rsidR="00D73008" w:rsidRPr="009A372F" w:rsidRDefault="00D73008" w:rsidP="00387AE5">
            <w:pPr>
              <w:rPr>
                <w:sz w:val="18"/>
                <w:szCs w:val="18"/>
              </w:rPr>
            </w:pPr>
            <w:r w:rsidRPr="009A372F">
              <w:rPr>
                <w:sz w:val="18"/>
                <w:szCs w:val="18"/>
              </w:rPr>
              <w:t>Rast dôležitých zahraničných trhov (%)</w:t>
            </w:r>
          </w:p>
        </w:tc>
        <w:tc>
          <w:tcPr>
            <w:tcW w:w="624" w:type="dxa"/>
            <w:tcBorders>
              <w:top w:val="nil"/>
              <w:left w:val="nil"/>
              <w:bottom w:val="nil"/>
              <w:right w:val="nil"/>
            </w:tcBorders>
            <w:shd w:val="clear" w:color="auto" w:fill="auto"/>
            <w:vAlign w:val="center"/>
          </w:tcPr>
          <w:p w14:paraId="23B94B98" w14:textId="77777777" w:rsidR="00D73008" w:rsidRPr="009A372F" w:rsidRDefault="00D73008" w:rsidP="00387AE5">
            <w:pPr>
              <w:jc w:val="center"/>
              <w:rPr>
                <w:sz w:val="18"/>
                <w:szCs w:val="18"/>
              </w:rPr>
            </w:pPr>
            <w:r w:rsidRPr="009A372F">
              <w:rPr>
                <w:sz w:val="18"/>
                <w:szCs w:val="18"/>
              </w:rPr>
              <w:t>3,4</w:t>
            </w:r>
          </w:p>
        </w:tc>
        <w:tc>
          <w:tcPr>
            <w:tcW w:w="624" w:type="dxa"/>
            <w:tcBorders>
              <w:top w:val="nil"/>
              <w:left w:val="nil"/>
              <w:bottom w:val="nil"/>
              <w:right w:val="nil"/>
            </w:tcBorders>
            <w:shd w:val="clear" w:color="auto" w:fill="auto"/>
            <w:vAlign w:val="center"/>
          </w:tcPr>
          <w:p w14:paraId="1695BE31" w14:textId="77777777" w:rsidR="00D73008" w:rsidRPr="009A372F" w:rsidRDefault="00D73008" w:rsidP="00387AE5">
            <w:pPr>
              <w:jc w:val="center"/>
              <w:rPr>
                <w:sz w:val="18"/>
                <w:szCs w:val="18"/>
              </w:rPr>
            </w:pPr>
            <w:r w:rsidRPr="009A372F">
              <w:rPr>
                <w:sz w:val="18"/>
                <w:szCs w:val="18"/>
              </w:rPr>
              <w:t>2,7</w:t>
            </w:r>
          </w:p>
        </w:tc>
        <w:tc>
          <w:tcPr>
            <w:tcW w:w="624" w:type="dxa"/>
            <w:tcBorders>
              <w:top w:val="nil"/>
              <w:left w:val="nil"/>
              <w:bottom w:val="nil"/>
              <w:right w:val="nil"/>
            </w:tcBorders>
            <w:shd w:val="clear" w:color="auto" w:fill="auto"/>
            <w:vAlign w:val="center"/>
          </w:tcPr>
          <w:p w14:paraId="09AE2B94" w14:textId="77777777" w:rsidR="00D73008" w:rsidRPr="009A372F" w:rsidRDefault="00D73008" w:rsidP="00387AE5">
            <w:pPr>
              <w:jc w:val="center"/>
              <w:rPr>
                <w:sz w:val="18"/>
                <w:szCs w:val="18"/>
              </w:rPr>
            </w:pPr>
            <w:r w:rsidRPr="009A372F">
              <w:rPr>
                <w:sz w:val="18"/>
                <w:szCs w:val="18"/>
              </w:rPr>
              <w:t>2,3</w:t>
            </w:r>
          </w:p>
        </w:tc>
        <w:tc>
          <w:tcPr>
            <w:tcW w:w="624" w:type="dxa"/>
            <w:tcBorders>
              <w:top w:val="nil"/>
              <w:left w:val="nil"/>
              <w:bottom w:val="nil"/>
              <w:right w:val="nil"/>
            </w:tcBorders>
            <w:shd w:val="clear" w:color="auto" w:fill="auto"/>
            <w:vAlign w:val="center"/>
          </w:tcPr>
          <w:p w14:paraId="79CA9511" w14:textId="77777777" w:rsidR="00D73008" w:rsidRPr="009A372F" w:rsidRDefault="00D73008" w:rsidP="00387AE5">
            <w:pPr>
              <w:jc w:val="center"/>
              <w:rPr>
                <w:sz w:val="18"/>
                <w:szCs w:val="18"/>
              </w:rPr>
            </w:pPr>
            <w:r w:rsidRPr="009A372F">
              <w:rPr>
                <w:sz w:val="18"/>
                <w:szCs w:val="18"/>
              </w:rPr>
              <w:t>2,1</w:t>
            </w:r>
          </w:p>
        </w:tc>
        <w:tc>
          <w:tcPr>
            <w:tcW w:w="624" w:type="dxa"/>
            <w:gridSpan w:val="2"/>
            <w:tcBorders>
              <w:top w:val="nil"/>
              <w:left w:val="nil"/>
              <w:bottom w:val="nil"/>
              <w:right w:val="nil"/>
            </w:tcBorders>
            <w:shd w:val="clear" w:color="auto" w:fill="auto"/>
            <w:vAlign w:val="center"/>
          </w:tcPr>
          <w:p w14:paraId="6BC5B83E" w14:textId="77777777" w:rsidR="00D73008" w:rsidRPr="009A372F" w:rsidRDefault="00D73008" w:rsidP="00387AE5">
            <w:pPr>
              <w:jc w:val="center"/>
              <w:rPr>
                <w:sz w:val="18"/>
                <w:szCs w:val="18"/>
              </w:rPr>
            </w:pPr>
            <w:r w:rsidRPr="009A372F">
              <w:rPr>
                <w:sz w:val="18"/>
                <w:szCs w:val="18"/>
              </w:rPr>
              <w:t>1,9</w:t>
            </w:r>
          </w:p>
        </w:tc>
        <w:tc>
          <w:tcPr>
            <w:tcW w:w="618" w:type="dxa"/>
            <w:tcBorders>
              <w:top w:val="nil"/>
              <w:left w:val="nil"/>
              <w:bottom w:val="nil"/>
              <w:right w:val="nil"/>
            </w:tcBorders>
            <w:shd w:val="clear" w:color="auto" w:fill="auto"/>
            <w:vAlign w:val="center"/>
          </w:tcPr>
          <w:p w14:paraId="1B3A0129" w14:textId="77777777" w:rsidR="00D73008" w:rsidRPr="009A372F" w:rsidRDefault="00D73008" w:rsidP="00387AE5">
            <w:pPr>
              <w:jc w:val="center"/>
              <w:rPr>
                <w:sz w:val="18"/>
                <w:szCs w:val="18"/>
              </w:rPr>
            </w:pPr>
            <w:r w:rsidRPr="009A372F">
              <w:rPr>
                <w:sz w:val="18"/>
                <w:szCs w:val="18"/>
              </w:rPr>
              <w:t>1,9</w:t>
            </w:r>
          </w:p>
        </w:tc>
      </w:tr>
      <w:tr w:rsidR="00D73008" w:rsidRPr="009A372F" w14:paraId="25E19E18" w14:textId="77777777" w:rsidTr="00684201">
        <w:trPr>
          <w:trHeight w:val="283"/>
          <w:jc w:val="center"/>
        </w:trPr>
        <w:tc>
          <w:tcPr>
            <w:tcW w:w="5556" w:type="dxa"/>
            <w:tcBorders>
              <w:top w:val="nil"/>
              <w:left w:val="nil"/>
              <w:right w:val="nil"/>
            </w:tcBorders>
            <w:shd w:val="clear" w:color="auto" w:fill="auto"/>
            <w:vAlign w:val="center"/>
          </w:tcPr>
          <w:p w14:paraId="31ACB3C5" w14:textId="77777777" w:rsidR="00D73008" w:rsidRPr="009A372F" w:rsidRDefault="00D73008" w:rsidP="00387AE5">
            <w:pPr>
              <w:rPr>
                <w:sz w:val="18"/>
                <w:szCs w:val="18"/>
              </w:rPr>
            </w:pPr>
            <w:r w:rsidRPr="009A372F">
              <w:rPr>
                <w:sz w:val="18"/>
                <w:szCs w:val="18"/>
              </w:rPr>
              <w:t>Objem svetového importu, okrem EÚ (%)</w:t>
            </w:r>
          </w:p>
        </w:tc>
        <w:tc>
          <w:tcPr>
            <w:tcW w:w="624" w:type="dxa"/>
            <w:tcBorders>
              <w:top w:val="nil"/>
              <w:left w:val="nil"/>
              <w:bottom w:val="nil"/>
              <w:right w:val="nil"/>
            </w:tcBorders>
            <w:shd w:val="clear" w:color="auto" w:fill="auto"/>
            <w:vAlign w:val="center"/>
          </w:tcPr>
          <w:p w14:paraId="49794849" w14:textId="77777777" w:rsidR="00D73008" w:rsidRPr="009A372F" w:rsidRDefault="00D73008" w:rsidP="00387AE5">
            <w:pPr>
              <w:jc w:val="center"/>
              <w:rPr>
                <w:sz w:val="18"/>
                <w:szCs w:val="18"/>
              </w:rPr>
            </w:pPr>
            <w:r w:rsidRPr="009A372F">
              <w:rPr>
                <w:sz w:val="18"/>
                <w:szCs w:val="18"/>
              </w:rPr>
              <w:t>-</w:t>
            </w:r>
          </w:p>
        </w:tc>
        <w:tc>
          <w:tcPr>
            <w:tcW w:w="624" w:type="dxa"/>
            <w:tcBorders>
              <w:top w:val="nil"/>
              <w:left w:val="nil"/>
              <w:bottom w:val="nil"/>
              <w:right w:val="nil"/>
            </w:tcBorders>
            <w:shd w:val="clear" w:color="auto" w:fill="auto"/>
            <w:vAlign w:val="center"/>
          </w:tcPr>
          <w:p w14:paraId="4CD6E971" w14:textId="77777777" w:rsidR="00D73008" w:rsidRPr="009A372F" w:rsidRDefault="00D73008" w:rsidP="00387AE5">
            <w:pPr>
              <w:jc w:val="center"/>
              <w:rPr>
                <w:sz w:val="18"/>
                <w:szCs w:val="18"/>
              </w:rPr>
            </w:pPr>
            <w:r w:rsidRPr="009A372F">
              <w:rPr>
                <w:sz w:val="18"/>
                <w:szCs w:val="18"/>
              </w:rPr>
              <w:t>-</w:t>
            </w:r>
          </w:p>
        </w:tc>
        <w:tc>
          <w:tcPr>
            <w:tcW w:w="624" w:type="dxa"/>
            <w:tcBorders>
              <w:top w:val="nil"/>
              <w:left w:val="nil"/>
              <w:bottom w:val="nil"/>
              <w:right w:val="nil"/>
            </w:tcBorders>
            <w:shd w:val="clear" w:color="auto" w:fill="auto"/>
            <w:vAlign w:val="center"/>
          </w:tcPr>
          <w:p w14:paraId="6BC6747B" w14:textId="77777777" w:rsidR="00D73008" w:rsidRPr="009A372F" w:rsidRDefault="00D73008" w:rsidP="00387AE5">
            <w:pPr>
              <w:jc w:val="center"/>
              <w:rPr>
                <w:sz w:val="18"/>
                <w:szCs w:val="18"/>
              </w:rPr>
            </w:pPr>
            <w:r w:rsidRPr="009A372F">
              <w:rPr>
                <w:sz w:val="18"/>
                <w:szCs w:val="18"/>
              </w:rPr>
              <w:t>-</w:t>
            </w:r>
          </w:p>
        </w:tc>
        <w:tc>
          <w:tcPr>
            <w:tcW w:w="624" w:type="dxa"/>
            <w:tcBorders>
              <w:top w:val="nil"/>
              <w:left w:val="nil"/>
              <w:bottom w:val="nil"/>
              <w:right w:val="nil"/>
            </w:tcBorders>
            <w:shd w:val="clear" w:color="auto" w:fill="auto"/>
            <w:vAlign w:val="center"/>
          </w:tcPr>
          <w:p w14:paraId="376F8A1F" w14:textId="77777777" w:rsidR="00D73008" w:rsidRPr="009A372F" w:rsidRDefault="00D73008" w:rsidP="00387AE5">
            <w:pPr>
              <w:jc w:val="center"/>
              <w:rPr>
                <w:sz w:val="18"/>
                <w:szCs w:val="18"/>
              </w:rPr>
            </w:pPr>
            <w:r w:rsidRPr="009A372F">
              <w:rPr>
                <w:sz w:val="18"/>
                <w:szCs w:val="18"/>
              </w:rPr>
              <w:t>-</w:t>
            </w:r>
          </w:p>
        </w:tc>
        <w:tc>
          <w:tcPr>
            <w:tcW w:w="624" w:type="dxa"/>
            <w:gridSpan w:val="2"/>
            <w:tcBorders>
              <w:top w:val="nil"/>
              <w:left w:val="nil"/>
              <w:bottom w:val="nil"/>
              <w:right w:val="nil"/>
            </w:tcBorders>
            <w:shd w:val="clear" w:color="auto" w:fill="auto"/>
            <w:vAlign w:val="center"/>
          </w:tcPr>
          <w:p w14:paraId="4D128F6B" w14:textId="77777777" w:rsidR="00D73008" w:rsidRPr="009A372F" w:rsidRDefault="00D73008" w:rsidP="00387AE5">
            <w:pPr>
              <w:jc w:val="center"/>
              <w:rPr>
                <w:sz w:val="18"/>
                <w:szCs w:val="18"/>
              </w:rPr>
            </w:pPr>
            <w:r w:rsidRPr="009A372F">
              <w:rPr>
                <w:sz w:val="18"/>
                <w:szCs w:val="18"/>
              </w:rPr>
              <w:t>-</w:t>
            </w:r>
          </w:p>
        </w:tc>
        <w:tc>
          <w:tcPr>
            <w:tcW w:w="618" w:type="dxa"/>
            <w:tcBorders>
              <w:top w:val="nil"/>
              <w:left w:val="nil"/>
              <w:bottom w:val="nil"/>
              <w:right w:val="nil"/>
            </w:tcBorders>
            <w:shd w:val="clear" w:color="auto" w:fill="auto"/>
            <w:vAlign w:val="center"/>
          </w:tcPr>
          <w:p w14:paraId="5C14D2A3" w14:textId="77777777" w:rsidR="00D73008" w:rsidRPr="009A372F" w:rsidRDefault="00D73008" w:rsidP="00387AE5">
            <w:pPr>
              <w:jc w:val="center"/>
              <w:rPr>
                <w:sz w:val="18"/>
                <w:szCs w:val="18"/>
              </w:rPr>
            </w:pPr>
            <w:r w:rsidRPr="009A372F">
              <w:rPr>
                <w:sz w:val="18"/>
                <w:szCs w:val="18"/>
              </w:rPr>
              <w:t>-</w:t>
            </w:r>
          </w:p>
        </w:tc>
      </w:tr>
      <w:tr w:rsidR="00D73008" w:rsidRPr="009A372F" w14:paraId="424FDEEC" w14:textId="77777777" w:rsidTr="00684201">
        <w:trPr>
          <w:trHeight w:val="283"/>
          <w:jc w:val="center"/>
        </w:trPr>
        <w:tc>
          <w:tcPr>
            <w:tcW w:w="5556" w:type="dxa"/>
            <w:tcBorders>
              <w:top w:val="nil"/>
              <w:left w:val="nil"/>
              <w:bottom w:val="single" w:sz="8" w:space="0" w:color="auto"/>
              <w:right w:val="nil"/>
            </w:tcBorders>
            <w:shd w:val="clear" w:color="auto" w:fill="auto"/>
            <w:vAlign w:val="center"/>
          </w:tcPr>
          <w:p w14:paraId="5B7AC141" w14:textId="77777777" w:rsidR="00D73008" w:rsidRPr="009A372F" w:rsidRDefault="00D73008" w:rsidP="00387AE5">
            <w:pPr>
              <w:rPr>
                <w:color w:val="000000"/>
                <w:sz w:val="18"/>
                <w:szCs w:val="18"/>
              </w:rPr>
            </w:pPr>
            <w:r w:rsidRPr="009A372F">
              <w:rPr>
                <w:color w:val="000000"/>
                <w:sz w:val="18"/>
                <w:szCs w:val="18"/>
              </w:rPr>
              <w:t>Cena ropy (Brent, USD/barel)</w:t>
            </w:r>
          </w:p>
        </w:tc>
        <w:tc>
          <w:tcPr>
            <w:tcW w:w="624" w:type="dxa"/>
            <w:tcBorders>
              <w:top w:val="nil"/>
              <w:left w:val="nil"/>
              <w:bottom w:val="single" w:sz="8" w:space="0" w:color="auto"/>
              <w:right w:val="nil"/>
            </w:tcBorders>
            <w:shd w:val="clear" w:color="auto" w:fill="auto"/>
            <w:vAlign w:val="center"/>
          </w:tcPr>
          <w:p w14:paraId="0F54BFD8" w14:textId="77777777" w:rsidR="00D73008" w:rsidRPr="009A372F" w:rsidRDefault="00D73008" w:rsidP="00387AE5">
            <w:pPr>
              <w:jc w:val="center"/>
              <w:rPr>
                <w:color w:val="000000"/>
                <w:sz w:val="18"/>
                <w:szCs w:val="18"/>
              </w:rPr>
            </w:pPr>
            <w:r w:rsidRPr="009A372F">
              <w:rPr>
                <w:sz w:val="18"/>
                <w:szCs w:val="18"/>
              </w:rPr>
              <w:t>54,83</w:t>
            </w:r>
          </w:p>
        </w:tc>
        <w:tc>
          <w:tcPr>
            <w:tcW w:w="624" w:type="dxa"/>
            <w:tcBorders>
              <w:top w:val="nil"/>
              <w:left w:val="nil"/>
              <w:bottom w:val="single" w:sz="8" w:space="0" w:color="auto"/>
              <w:right w:val="nil"/>
            </w:tcBorders>
            <w:shd w:val="clear" w:color="auto" w:fill="auto"/>
            <w:vAlign w:val="center"/>
          </w:tcPr>
          <w:p w14:paraId="41508428" w14:textId="77777777" w:rsidR="00D73008" w:rsidRPr="009A372F" w:rsidRDefault="00D73008" w:rsidP="00387AE5">
            <w:pPr>
              <w:jc w:val="center"/>
              <w:rPr>
                <w:color w:val="000000"/>
                <w:sz w:val="18"/>
                <w:szCs w:val="18"/>
              </w:rPr>
            </w:pPr>
            <w:r w:rsidRPr="009A372F">
              <w:rPr>
                <w:sz w:val="18"/>
                <w:szCs w:val="18"/>
              </w:rPr>
              <w:t>71,53</w:t>
            </w:r>
          </w:p>
        </w:tc>
        <w:tc>
          <w:tcPr>
            <w:tcW w:w="624" w:type="dxa"/>
            <w:tcBorders>
              <w:top w:val="nil"/>
              <w:left w:val="nil"/>
              <w:bottom w:val="single" w:sz="8" w:space="0" w:color="auto"/>
              <w:right w:val="nil"/>
            </w:tcBorders>
            <w:shd w:val="clear" w:color="auto" w:fill="auto"/>
            <w:vAlign w:val="center"/>
          </w:tcPr>
          <w:p w14:paraId="48EABF55" w14:textId="77777777" w:rsidR="00D73008" w:rsidRPr="009A372F" w:rsidRDefault="00D73008" w:rsidP="00387AE5">
            <w:pPr>
              <w:jc w:val="center"/>
              <w:rPr>
                <w:color w:val="000000"/>
                <w:sz w:val="18"/>
                <w:szCs w:val="18"/>
              </w:rPr>
            </w:pPr>
            <w:r w:rsidRPr="009A372F">
              <w:rPr>
                <w:sz w:val="18"/>
                <w:szCs w:val="18"/>
              </w:rPr>
              <w:t>60,67</w:t>
            </w:r>
          </w:p>
        </w:tc>
        <w:tc>
          <w:tcPr>
            <w:tcW w:w="624" w:type="dxa"/>
            <w:tcBorders>
              <w:top w:val="nil"/>
              <w:left w:val="nil"/>
              <w:bottom w:val="single" w:sz="8" w:space="0" w:color="auto"/>
              <w:right w:val="nil"/>
            </w:tcBorders>
            <w:shd w:val="clear" w:color="auto" w:fill="auto"/>
            <w:vAlign w:val="center"/>
          </w:tcPr>
          <w:p w14:paraId="70BB00AF" w14:textId="77777777" w:rsidR="00D73008" w:rsidRPr="009A372F" w:rsidRDefault="00D73008" w:rsidP="00387AE5">
            <w:pPr>
              <w:jc w:val="center"/>
              <w:rPr>
                <w:color w:val="000000"/>
                <w:sz w:val="18"/>
                <w:szCs w:val="18"/>
              </w:rPr>
            </w:pPr>
            <w:r w:rsidRPr="009A372F">
              <w:rPr>
                <w:sz w:val="18"/>
                <w:szCs w:val="18"/>
              </w:rPr>
              <w:t>61,16</w:t>
            </w:r>
          </w:p>
        </w:tc>
        <w:tc>
          <w:tcPr>
            <w:tcW w:w="624" w:type="dxa"/>
            <w:gridSpan w:val="2"/>
            <w:tcBorders>
              <w:top w:val="nil"/>
              <w:left w:val="nil"/>
              <w:bottom w:val="single" w:sz="8" w:space="0" w:color="auto"/>
              <w:right w:val="nil"/>
            </w:tcBorders>
            <w:shd w:val="clear" w:color="auto" w:fill="auto"/>
            <w:vAlign w:val="center"/>
          </w:tcPr>
          <w:p w14:paraId="51162D7D" w14:textId="77777777" w:rsidR="00D73008" w:rsidRPr="009A372F" w:rsidRDefault="00D73008" w:rsidP="00387AE5">
            <w:pPr>
              <w:jc w:val="center"/>
              <w:rPr>
                <w:color w:val="000000"/>
                <w:sz w:val="18"/>
                <w:szCs w:val="18"/>
              </w:rPr>
            </w:pPr>
            <w:r w:rsidRPr="009A372F">
              <w:rPr>
                <w:sz w:val="18"/>
                <w:szCs w:val="18"/>
              </w:rPr>
              <w:t>60,93</w:t>
            </w:r>
          </w:p>
        </w:tc>
        <w:tc>
          <w:tcPr>
            <w:tcW w:w="618" w:type="dxa"/>
            <w:tcBorders>
              <w:top w:val="nil"/>
              <w:left w:val="nil"/>
              <w:bottom w:val="single" w:sz="8" w:space="0" w:color="auto"/>
              <w:right w:val="nil"/>
            </w:tcBorders>
            <w:shd w:val="clear" w:color="auto" w:fill="auto"/>
            <w:vAlign w:val="center"/>
          </w:tcPr>
          <w:p w14:paraId="5ADBEE3F" w14:textId="77777777" w:rsidR="00D73008" w:rsidRPr="009A372F" w:rsidRDefault="00D73008" w:rsidP="00387AE5">
            <w:pPr>
              <w:jc w:val="center"/>
              <w:rPr>
                <w:color w:val="000000"/>
                <w:sz w:val="18"/>
                <w:szCs w:val="18"/>
              </w:rPr>
            </w:pPr>
            <w:r w:rsidRPr="009A372F">
              <w:rPr>
                <w:sz w:val="18"/>
                <w:szCs w:val="18"/>
              </w:rPr>
              <w:t>61,17</w:t>
            </w:r>
          </w:p>
        </w:tc>
      </w:tr>
      <w:tr w:rsidR="00D73008" w:rsidRPr="00B21C97" w14:paraId="4D5AE2DA" w14:textId="77777777" w:rsidTr="00684201">
        <w:trPr>
          <w:trHeight w:val="283"/>
          <w:jc w:val="center"/>
        </w:trPr>
        <w:tc>
          <w:tcPr>
            <w:tcW w:w="9294" w:type="dxa"/>
            <w:gridSpan w:val="8"/>
            <w:tcBorders>
              <w:top w:val="single" w:sz="4" w:space="0" w:color="auto"/>
              <w:left w:val="nil"/>
              <w:bottom w:val="nil"/>
              <w:right w:val="nil"/>
            </w:tcBorders>
            <w:shd w:val="clear" w:color="auto" w:fill="auto"/>
            <w:hideMark/>
          </w:tcPr>
          <w:p w14:paraId="0D27DD21" w14:textId="77777777" w:rsidR="00D73008" w:rsidRPr="009A372F" w:rsidRDefault="00D73008" w:rsidP="00387AE5">
            <w:pPr>
              <w:tabs>
                <w:tab w:val="left" w:pos="8450"/>
              </w:tabs>
              <w:jc w:val="right"/>
              <w:rPr>
                <w:rFonts w:cs="Times New Roman"/>
                <w:i/>
                <w:iCs/>
                <w:color w:val="000000"/>
                <w:sz w:val="16"/>
                <w:szCs w:val="16"/>
              </w:rPr>
            </w:pPr>
            <w:r w:rsidRPr="009A372F">
              <w:rPr>
                <w:rFonts w:cs="Times New Roman"/>
                <w:i/>
                <w:iCs/>
                <w:color w:val="000000"/>
                <w:sz w:val="16"/>
                <w:szCs w:val="16"/>
              </w:rPr>
              <w:t>Zdroj: Common external assumptions, MF SR</w:t>
            </w:r>
          </w:p>
        </w:tc>
      </w:tr>
    </w:tbl>
    <w:p w14:paraId="2D6E8642" w14:textId="77777777" w:rsidR="00D73008" w:rsidRPr="00B21C97" w:rsidRDefault="00D73008" w:rsidP="00D73008">
      <w:pPr>
        <w:rPr>
          <w:highlight w:val="yellow"/>
        </w:rPr>
      </w:pPr>
      <w:r w:rsidRPr="00B21C97">
        <w:rPr>
          <w:highlight w:val="yellow"/>
        </w:rPr>
        <w:br w:type="page"/>
      </w:r>
    </w:p>
    <w:p w14:paraId="04214C80" w14:textId="77777777" w:rsidR="00D73008" w:rsidRPr="00684201" w:rsidRDefault="00D73008" w:rsidP="00684201">
      <w:pPr>
        <w:pStyle w:val="Nadpis3"/>
        <w:spacing w:after="120"/>
        <w:rPr>
          <w:color w:val="2C9ADC" w:themeColor="accent1"/>
          <w:sz w:val="24"/>
          <w:szCs w:val="24"/>
        </w:rPr>
      </w:pPr>
      <w:bookmarkStart w:id="268" w:name="_Toc449430203"/>
      <w:bookmarkStart w:id="269" w:name="_Toc416885945"/>
      <w:bookmarkStart w:id="270" w:name="_Toc416944093"/>
      <w:bookmarkStart w:id="271" w:name="_Ref6313713"/>
      <w:r w:rsidRPr="00684201">
        <w:rPr>
          <w:color w:val="2C9ADC" w:themeColor="accent1"/>
          <w:sz w:val="24"/>
          <w:szCs w:val="24"/>
        </w:rPr>
        <w:lastRenderedPageBreak/>
        <w:t xml:space="preserve">Príloha 2 - </w:t>
      </w:r>
      <w:bookmarkStart w:id="272" w:name="_Toc416885947"/>
      <w:bookmarkStart w:id="273" w:name="_Toc416944095"/>
      <w:bookmarkStart w:id="274" w:name="_Toc417647081"/>
      <w:bookmarkStart w:id="275" w:name="_Toc417907515"/>
      <w:bookmarkEnd w:id="268"/>
      <w:bookmarkEnd w:id="269"/>
      <w:bookmarkEnd w:id="270"/>
      <w:r w:rsidRPr="00684201">
        <w:rPr>
          <w:color w:val="2C9ADC" w:themeColor="accent1"/>
          <w:sz w:val="24"/>
          <w:szCs w:val="24"/>
        </w:rPr>
        <w:t>Štrukturálne saldo</w:t>
      </w:r>
      <w:bookmarkEnd w:id="271"/>
    </w:p>
    <w:p w14:paraId="0C8078A9" w14:textId="77777777" w:rsidR="00D73008" w:rsidRPr="00BC7200" w:rsidRDefault="00D73008" w:rsidP="00D73008">
      <w:pPr>
        <w:jc w:val="both"/>
      </w:pPr>
      <w:r w:rsidRPr="00BC7200">
        <w:rPr>
          <w:b/>
        </w:rPr>
        <w:t>Štrukturálne saldo predstavuje rozdiel medzi príjmami a výdavkami verejnej správy bez jednorazových a dočasných vplyvov, a za predpokladu, že ekonomika sa pohybuje na svojej potenciálnej úrovni.</w:t>
      </w:r>
      <w:r w:rsidRPr="00BC7200">
        <w:t xml:space="preserve"> </w:t>
      </w:r>
      <w:r>
        <w:t>Š</w:t>
      </w:r>
      <w:r w:rsidRPr="00BC7200">
        <w:t xml:space="preserve">trukturálne saldo vernejšie zobrazuje strednodobú fiškálnu pozíciu krajiny v porovnaní s nominálnym saldom. </w:t>
      </w:r>
    </w:p>
    <w:p w14:paraId="37A19AAD" w14:textId="77777777" w:rsidR="00D73008" w:rsidRPr="00B21C97" w:rsidRDefault="00D73008" w:rsidP="00D73008">
      <w:pPr>
        <w:jc w:val="both"/>
        <w:rPr>
          <w:highlight w:val="yellow"/>
        </w:rPr>
      </w:pPr>
    </w:p>
    <w:p w14:paraId="4DB7A9ED" w14:textId="32184C7E" w:rsidR="00D73008" w:rsidRPr="00B21C97" w:rsidRDefault="001F6CC6" w:rsidP="00D73008">
      <w:pPr>
        <w:jc w:val="both"/>
        <w:rPr>
          <w:rFonts w:cs="Arial"/>
          <w:color w:val="000000" w:themeColor="text1"/>
          <w:highlight w:val="yellow"/>
        </w:rPr>
      </w:pPr>
      <w:r>
        <w:rPr>
          <w:b/>
          <w:bCs/>
        </w:rPr>
        <w:t>Pakt stability a rastu vychádza z premisy, že členské štáty by mali dosiahnuť symetrický prístup k fiškálnej politike v súlade s cyklickým vývojom ekonomiky</w:t>
      </w:r>
      <w:r>
        <w:t>. Základným cieľom je zvýšená orientácia na rozpočtovú disciplínu v obdobiach hospodárskeho oživenia s cieľom vyhnúť sa pro-cyklickému charakteru fiškálnej politiky a postupne dosiahnuť svoj strednodobý rozpočtový cieľ.</w:t>
      </w:r>
      <w:r w:rsidR="00D73008" w:rsidRPr="00AC14E3">
        <w:rPr>
          <w:rStyle w:val="Odkaznapoznmkupodiarou"/>
          <w:b/>
          <w:color w:val="000000" w:themeColor="text1"/>
        </w:rPr>
        <w:footnoteReference w:id="78"/>
      </w:r>
      <w:r w:rsidR="00D73008" w:rsidRPr="00AC14E3">
        <w:rPr>
          <w:rFonts w:cs="Arial"/>
          <w:color w:val="000000" w:themeColor="text1"/>
        </w:rPr>
        <w:t xml:space="preserve"> Výsledkom by malo byť vytvorenie fiškálneho priestoru pre obdobia s ekonomickým poklesom a zároveň primeraným tempom znížiť verejný dlh a pozitívne tak ovplyvniť dlhodobú udržateľnosť verejných financií. </w:t>
      </w:r>
    </w:p>
    <w:p w14:paraId="19FEC317" w14:textId="77777777" w:rsidR="00D73008" w:rsidRPr="00B21C97" w:rsidRDefault="00D73008" w:rsidP="00D73008">
      <w:pPr>
        <w:jc w:val="both"/>
        <w:rPr>
          <w:rFonts w:cs="Arial"/>
          <w:color w:val="000000" w:themeColor="text1"/>
          <w:highlight w:val="yellow"/>
        </w:rPr>
      </w:pPr>
    </w:p>
    <w:p w14:paraId="5D8F0299" w14:textId="77777777" w:rsidR="00D73008" w:rsidRPr="00AC14E3" w:rsidRDefault="00D73008" w:rsidP="00D73008">
      <w:pPr>
        <w:jc w:val="both"/>
        <w:rPr>
          <w:rFonts w:cs="Arial"/>
          <w:color w:val="000000" w:themeColor="text1"/>
        </w:rPr>
      </w:pPr>
      <w:r w:rsidRPr="00AC14E3">
        <w:rPr>
          <w:rFonts w:cs="Arial"/>
          <w:b/>
          <w:color w:val="000000" w:themeColor="text1"/>
        </w:rPr>
        <w:t>Nasledujúca matica špecifikuje požiadavky Paktu stability a rastu na fiškálnu konsolidáciu v rámci jeho preventívnej časti</w:t>
      </w:r>
      <w:r w:rsidRPr="00AC14E3">
        <w:rPr>
          <w:rFonts w:cs="Arial"/>
          <w:color w:val="000000" w:themeColor="text1"/>
        </w:rPr>
        <w:t xml:space="preserve">. Matica rozlišuje medzi väčším konsolidačným úsilím, ktoré sa má uskutočňovať v lepších časoch a nižším úsilím, </w:t>
      </w:r>
      <w:r>
        <w:rPr>
          <w:rFonts w:cs="Arial"/>
          <w:color w:val="000000" w:themeColor="text1"/>
        </w:rPr>
        <w:t>požadovaným</w:t>
      </w:r>
      <w:r w:rsidRPr="00AC14E3">
        <w:rPr>
          <w:rFonts w:cs="Arial"/>
          <w:color w:val="000000" w:themeColor="text1"/>
        </w:rPr>
        <w:t xml:space="preserve"> v čase prepadu ekonomiky pod svoj potenciál.</w:t>
      </w:r>
    </w:p>
    <w:p w14:paraId="52639F18" w14:textId="77777777" w:rsidR="00D73008" w:rsidRPr="00B21C97" w:rsidRDefault="00D73008" w:rsidP="00D73008">
      <w:pPr>
        <w:pStyle w:val="Odsekzoznamu1"/>
        <w:autoSpaceDE w:val="0"/>
        <w:autoSpaceDN w:val="0"/>
        <w:adjustRightInd w:val="0"/>
        <w:ind w:left="0"/>
        <w:jc w:val="both"/>
        <w:rPr>
          <w:color w:val="000000" w:themeColor="text1"/>
          <w:highlight w:val="yellow"/>
        </w:rPr>
      </w:pPr>
    </w:p>
    <w:tbl>
      <w:tblPr>
        <w:tblW w:w="9074" w:type="dxa"/>
        <w:tblLayout w:type="fixed"/>
        <w:tblCellMar>
          <w:left w:w="70" w:type="dxa"/>
          <w:right w:w="70" w:type="dxa"/>
        </w:tblCellMar>
        <w:tblLook w:val="04A0" w:firstRow="1" w:lastRow="0" w:firstColumn="1" w:lastColumn="0" w:noHBand="0" w:noVBand="1"/>
      </w:tblPr>
      <w:tblGrid>
        <w:gridCol w:w="2059"/>
        <w:gridCol w:w="2059"/>
        <w:gridCol w:w="2504"/>
        <w:gridCol w:w="2452"/>
      </w:tblGrid>
      <w:tr w:rsidR="00D73008" w:rsidRPr="00851B85" w14:paraId="30F091FE" w14:textId="77777777" w:rsidTr="00387AE5">
        <w:trPr>
          <w:trHeight w:val="227"/>
        </w:trPr>
        <w:tc>
          <w:tcPr>
            <w:tcW w:w="2059" w:type="dxa"/>
            <w:tcBorders>
              <w:top w:val="nil"/>
              <w:left w:val="nil"/>
              <w:bottom w:val="single" w:sz="4" w:space="0" w:color="auto"/>
              <w:right w:val="nil"/>
            </w:tcBorders>
          </w:tcPr>
          <w:p w14:paraId="52DB2AB1" w14:textId="77777777" w:rsidR="00D73008" w:rsidRPr="00381915" w:rsidRDefault="00D73008" w:rsidP="00387AE5">
            <w:pPr>
              <w:rPr>
                <w:rFonts w:cs="Times New Roman"/>
                <w:color w:val="000000" w:themeColor="text1"/>
                <w:sz w:val="18"/>
                <w:szCs w:val="24"/>
              </w:rPr>
            </w:pPr>
          </w:p>
        </w:tc>
        <w:tc>
          <w:tcPr>
            <w:tcW w:w="2059" w:type="dxa"/>
            <w:tcBorders>
              <w:top w:val="nil"/>
              <w:left w:val="nil"/>
              <w:bottom w:val="nil"/>
              <w:right w:val="nil"/>
            </w:tcBorders>
            <w:shd w:val="clear" w:color="auto" w:fill="auto"/>
            <w:noWrap/>
            <w:vAlign w:val="bottom"/>
            <w:hideMark/>
          </w:tcPr>
          <w:p w14:paraId="3D01B360" w14:textId="77777777" w:rsidR="00D73008" w:rsidRPr="00381915" w:rsidRDefault="00D73008" w:rsidP="00387AE5">
            <w:pPr>
              <w:rPr>
                <w:rFonts w:cs="Times New Roman"/>
                <w:color w:val="000000" w:themeColor="text1"/>
                <w:sz w:val="18"/>
                <w:szCs w:val="24"/>
              </w:rPr>
            </w:pPr>
          </w:p>
        </w:tc>
        <w:tc>
          <w:tcPr>
            <w:tcW w:w="4956" w:type="dxa"/>
            <w:gridSpan w:val="2"/>
            <w:tcBorders>
              <w:top w:val="single" w:sz="4" w:space="0" w:color="auto"/>
              <w:left w:val="single" w:sz="4" w:space="0" w:color="auto"/>
              <w:bottom w:val="single" w:sz="4" w:space="0" w:color="auto"/>
              <w:right w:val="single" w:sz="4" w:space="0" w:color="auto"/>
            </w:tcBorders>
            <w:shd w:val="clear" w:color="auto" w:fill="D4EAF8" w:themeFill="accent1" w:themeFillTint="33"/>
            <w:noWrap/>
            <w:vAlign w:val="center"/>
            <w:hideMark/>
          </w:tcPr>
          <w:p w14:paraId="054B3302" w14:textId="77777777" w:rsidR="00D73008" w:rsidRPr="00381915" w:rsidRDefault="00D73008" w:rsidP="00387AE5">
            <w:pPr>
              <w:jc w:val="center"/>
              <w:rPr>
                <w:rFonts w:cs="Arial"/>
                <w:b/>
                <w:bCs/>
                <w:color w:val="000000" w:themeColor="text1"/>
                <w:sz w:val="18"/>
                <w:szCs w:val="20"/>
              </w:rPr>
            </w:pPr>
            <w:r w:rsidRPr="00381915">
              <w:rPr>
                <w:rFonts w:cs="Arial"/>
                <w:b/>
                <w:bCs/>
                <w:color w:val="000000" w:themeColor="text1"/>
                <w:sz w:val="18"/>
                <w:szCs w:val="20"/>
              </w:rPr>
              <w:t>Požadovaná medziročná konsolidácia</w:t>
            </w:r>
          </w:p>
        </w:tc>
      </w:tr>
      <w:tr w:rsidR="00D73008" w:rsidRPr="00851B85" w14:paraId="2230F2C0" w14:textId="77777777" w:rsidTr="00387AE5">
        <w:trPr>
          <w:trHeight w:val="285"/>
        </w:trPr>
        <w:tc>
          <w:tcPr>
            <w:tcW w:w="2059" w:type="dxa"/>
            <w:tcBorders>
              <w:top w:val="single" w:sz="4" w:space="0" w:color="auto"/>
              <w:left w:val="single" w:sz="4" w:space="0" w:color="auto"/>
              <w:right w:val="single" w:sz="4" w:space="0" w:color="auto"/>
            </w:tcBorders>
            <w:shd w:val="clear" w:color="auto" w:fill="D4EAF8" w:themeFill="accent1" w:themeFillTint="33"/>
          </w:tcPr>
          <w:p w14:paraId="181D94F1" w14:textId="77777777" w:rsidR="00D73008" w:rsidRPr="00381915" w:rsidRDefault="00D73008" w:rsidP="00387AE5">
            <w:pPr>
              <w:jc w:val="center"/>
              <w:rPr>
                <w:rFonts w:cs="Arial"/>
                <w:b/>
                <w:color w:val="000000" w:themeColor="text1"/>
                <w:sz w:val="18"/>
                <w:szCs w:val="20"/>
              </w:rPr>
            </w:pPr>
          </w:p>
        </w:tc>
        <w:tc>
          <w:tcPr>
            <w:tcW w:w="2059" w:type="dxa"/>
            <w:vMerge w:val="restart"/>
            <w:tcBorders>
              <w:top w:val="single" w:sz="4" w:space="0" w:color="auto"/>
              <w:left w:val="single" w:sz="4" w:space="0" w:color="auto"/>
              <w:bottom w:val="single" w:sz="4" w:space="0" w:color="auto"/>
              <w:right w:val="single" w:sz="4" w:space="0" w:color="auto"/>
            </w:tcBorders>
            <w:shd w:val="clear" w:color="auto" w:fill="D4EAF8" w:themeFill="accent1" w:themeFillTint="33"/>
            <w:noWrap/>
            <w:vAlign w:val="center"/>
            <w:hideMark/>
          </w:tcPr>
          <w:p w14:paraId="41E7A8F5" w14:textId="77777777"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Podmienka</w:t>
            </w:r>
          </w:p>
        </w:tc>
        <w:tc>
          <w:tcPr>
            <w:tcW w:w="2504" w:type="dxa"/>
            <w:vMerge w:val="restart"/>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6F499CD0" w14:textId="0E6E78BB" w:rsidR="00D73008" w:rsidRPr="00381915" w:rsidRDefault="00D73008" w:rsidP="00EC32AD">
            <w:pPr>
              <w:jc w:val="center"/>
              <w:rPr>
                <w:rFonts w:cs="Arial"/>
                <w:b/>
                <w:color w:val="000000" w:themeColor="text1"/>
                <w:sz w:val="18"/>
                <w:szCs w:val="20"/>
              </w:rPr>
            </w:pPr>
            <w:r w:rsidRPr="00381915">
              <w:rPr>
                <w:rFonts w:cs="Arial"/>
                <w:b/>
                <w:color w:val="000000" w:themeColor="text1"/>
                <w:sz w:val="18"/>
                <w:szCs w:val="20"/>
              </w:rPr>
              <w:t>Dlh pod 60 % a</w:t>
            </w:r>
            <w:r w:rsidR="00EC32AD">
              <w:rPr>
                <w:rFonts w:cs="Arial"/>
                <w:b/>
                <w:color w:val="000000" w:themeColor="text1"/>
                <w:sz w:val="18"/>
                <w:szCs w:val="20"/>
              </w:rPr>
              <w:t> nízke až stredné</w:t>
            </w:r>
            <w:r w:rsidRPr="00381915">
              <w:rPr>
                <w:rFonts w:cs="Arial"/>
                <w:b/>
                <w:color w:val="000000" w:themeColor="text1"/>
                <w:sz w:val="18"/>
                <w:szCs w:val="20"/>
              </w:rPr>
              <w:t xml:space="preserve"> riziko udržateľnosti</w:t>
            </w:r>
          </w:p>
        </w:tc>
        <w:tc>
          <w:tcPr>
            <w:tcW w:w="2451" w:type="dxa"/>
            <w:vMerge w:val="restart"/>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7611C149" w14:textId="3F1A6351"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 xml:space="preserve">Dlh nad 60 % alebo </w:t>
            </w:r>
            <w:r w:rsidR="00EC32AD">
              <w:rPr>
                <w:rFonts w:cs="Arial"/>
                <w:b/>
                <w:color w:val="000000" w:themeColor="text1"/>
                <w:sz w:val="18"/>
                <w:szCs w:val="20"/>
              </w:rPr>
              <w:t xml:space="preserve">vysoké </w:t>
            </w:r>
            <w:r w:rsidRPr="00381915">
              <w:rPr>
                <w:rFonts w:cs="Arial"/>
                <w:b/>
                <w:color w:val="000000" w:themeColor="text1"/>
                <w:sz w:val="18"/>
                <w:szCs w:val="20"/>
              </w:rPr>
              <w:t>riziko udržateľnosti</w:t>
            </w:r>
          </w:p>
        </w:tc>
      </w:tr>
      <w:tr w:rsidR="00D73008" w:rsidRPr="00851B85" w14:paraId="0E6A4654" w14:textId="77777777" w:rsidTr="00387AE5">
        <w:trPr>
          <w:trHeight w:val="292"/>
        </w:trPr>
        <w:tc>
          <w:tcPr>
            <w:tcW w:w="2059" w:type="dxa"/>
            <w:tcBorders>
              <w:left w:val="single" w:sz="4" w:space="0" w:color="auto"/>
              <w:bottom w:val="single" w:sz="4" w:space="0" w:color="auto"/>
              <w:right w:val="single" w:sz="4" w:space="0" w:color="auto"/>
            </w:tcBorders>
            <w:shd w:val="clear" w:color="auto" w:fill="D4EAF8" w:themeFill="accent1" w:themeFillTint="33"/>
          </w:tcPr>
          <w:p w14:paraId="4ADD7283" w14:textId="77777777" w:rsidR="00D73008" w:rsidRPr="00381915" w:rsidRDefault="00D73008" w:rsidP="00387AE5">
            <w:pPr>
              <w:rPr>
                <w:rFonts w:cs="Arial"/>
                <w:color w:val="000000" w:themeColor="text1"/>
                <w:sz w:val="18"/>
                <w:szCs w:val="20"/>
              </w:rPr>
            </w:pPr>
          </w:p>
        </w:tc>
        <w:tc>
          <w:tcPr>
            <w:tcW w:w="2059" w:type="dxa"/>
            <w:vMerge/>
            <w:tcBorders>
              <w:top w:val="single" w:sz="4" w:space="0" w:color="auto"/>
              <w:left w:val="single" w:sz="4" w:space="0" w:color="auto"/>
              <w:bottom w:val="single" w:sz="4" w:space="0" w:color="auto"/>
              <w:right w:val="single" w:sz="4" w:space="0" w:color="auto"/>
            </w:tcBorders>
            <w:shd w:val="clear" w:color="auto" w:fill="D4EAF8" w:themeFill="accent1" w:themeFillTint="33"/>
            <w:vAlign w:val="center"/>
            <w:hideMark/>
          </w:tcPr>
          <w:p w14:paraId="2C7EDF5C" w14:textId="77777777" w:rsidR="00D73008" w:rsidRPr="00381915" w:rsidRDefault="00D73008" w:rsidP="00387AE5">
            <w:pPr>
              <w:rPr>
                <w:rFonts w:cs="Arial"/>
                <w:color w:val="000000" w:themeColor="text1"/>
                <w:sz w:val="18"/>
                <w:szCs w:val="20"/>
              </w:rPr>
            </w:pPr>
          </w:p>
        </w:tc>
        <w:tc>
          <w:tcPr>
            <w:tcW w:w="2504" w:type="dxa"/>
            <w:vMerge/>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1A4BA91C" w14:textId="77777777" w:rsidR="00D73008" w:rsidRPr="00381915" w:rsidRDefault="00D73008" w:rsidP="00387AE5">
            <w:pPr>
              <w:rPr>
                <w:rFonts w:cs="Arial"/>
                <w:color w:val="000000" w:themeColor="text1"/>
                <w:sz w:val="18"/>
                <w:szCs w:val="20"/>
              </w:rPr>
            </w:pPr>
          </w:p>
        </w:tc>
        <w:tc>
          <w:tcPr>
            <w:tcW w:w="2451" w:type="dxa"/>
            <w:vMerge/>
            <w:tcBorders>
              <w:top w:val="nil"/>
              <w:left w:val="single" w:sz="4" w:space="0" w:color="auto"/>
              <w:bottom w:val="single" w:sz="4" w:space="0" w:color="auto"/>
              <w:right w:val="single" w:sz="4" w:space="0" w:color="auto"/>
            </w:tcBorders>
            <w:shd w:val="clear" w:color="auto" w:fill="D4EAF8" w:themeFill="accent1" w:themeFillTint="33"/>
            <w:vAlign w:val="center"/>
            <w:hideMark/>
          </w:tcPr>
          <w:p w14:paraId="63A36518" w14:textId="77777777" w:rsidR="00D73008" w:rsidRPr="00381915" w:rsidRDefault="00D73008" w:rsidP="00387AE5">
            <w:pPr>
              <w:rPr>
                <w:rFonts w:cs="Arial"/>
                <w:color w:val="000000" w:themeColor="text1"/>
                <w:sz w:val="18"/>
                <w:szCs w:val="20"/>
              </w:rPr>
            </w:pPr>
          </w:p>
        </w:tc>
      </w:tr>
      <w:tr w:rsidR="00D73008" w:rsidRPr="00851B85" w14:paraId="3E303AA9" w14:textId="77777777" w:rsidTr="00387AE5">
        <w:trPr>
          <w:trHeight w:val="258"/>
        </w:trPr>
        <w:tc>
          <w:tcPr>
            <w:tcW w:w="2059" w:type="dxa"/>
            <w:tcBorders>
              <w:top w:val="single" w:sz="4" w:space="0" w:color="auto"/>
              <w:left w:val="single" w:sz="4" w:space="0" w:color="auto"/>
              <w:bottom w:val="single" w:sz="4" w:space="0" w:color="auto"/>
              <w:right w:val="nil"/>
            </w:tcBorders>
            <w:shd w:val="clear" w:color="auto" w:fill="D4EAF8" w:themeFill="accent1" w:themeFillTint="33"/>
          </w:tcPr>
          <w:p w14:paraId="1E18BA9E" w14:textId="77777777"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Výnimočne zlé obdobie</w:t>
            </w:r>
          </w:p>
        </w:tc>
        <w:tc>
          <w:tcPr>
            <w:tcW w:w="2059" w:type="dxa"/>
            <w:tcBorders>
              <w:top w:val="single" w:sz="4" w:space="0" w:color="auto"/>
              <w:left w:val="single" w:sz="4" w:space="0" w:color="auto"/>
              <w:bottom w:val="single" w:sz="4" w:space="0" w:color="auto"/>
              <w:right w:val="nil"/>
            </w:tcBorders>
            <w:shd w:val="clear" w:color="auto" w:fill="D4EAF8" w:themeFill="accent1" w:themeFillTint="33"/>
            <w:vAlign w:val="center"/>
            <w:hideMark/>
          </w:tcPr>
          <w:p w14:paraId="35BBF86B"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Reálny rast HDP &lt; 0 alebo produkčná medzera &lt; -4</w:t>
            </w:r>
          </w:p>
        </w:tc>
        <w:tc>
          <w:tcPr>
            <w:tcW w:w="4956"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736037B"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Bez potreby konsolidácie</w:t>
            </w:r>
          </w:p>
        </w:tc>
      </w:tr>
      <w:tr w:rsidR="00D73008" w:rsidRPr="00851B85" w14:paraId="44D63617" w14:textId="77777777" w:rsidTr="00387AE5">
        <w:trPr>
          <w:trHeight w:val="221"/>
        </w:trPr>
        <w:tc>
          <w:tcPr>
            <w:tcW w:w="2059" w:type="dxa"/>
            <w:tcBorders>
              <w:top w:val="nil"/>
              <w:left w:val="single" w:sz="4" w:space="0" w:color="auto"/>
              <w:bottom w:val="single" w:sz="4" w:space="0" w:color="auto"/>
              <w:right w:val="nil"/>
            </w:tcBorders>
            <w:shd w:val="clear" w:color="auto" w:fill="D4EAF8" w:themeFill="accent1" w:themeFillTint="33"/>
          </w:tcPr>
          <w:p w14:paraId="5B4728FA" w14:textId="77777777"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Veľmi zlé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53FBF8E1"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 -4 ≤ produkčná medzera (PM) &lt; -3</w:t>
            </w:r>
          </w:p>
        </w:tc>
        <w:tc>
          <w:tcPr>
            <w:tcW w:w="2504" w:type="dxa"/>
            <w:tcBorders>
              <w:top w:val="nil"/>
              <w:left w:val="single" w:sz="8" w:space="0" w:color="auto"/>
              <w:bottom w:val="single" w:sz="4" w:space="0" w:color="auto"/>
              <w:right w:val="single" w:sz="4" w:space="0" w:color="auto"/>
            </w:tcBorders>
            <w:shd w:val="clear" w:color="auto" w:fill="auto"/>
            <w:noWrap/>
            <w:vAlign w:val="center"/>
            <w:hideMark/>
          </w:tcPr>
          <w:p w14:paraId="0487A576"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0</w:t>
            </w:r>
          </w:p>
        </w:tc>
        <w:tc>
          <w:tcPr>
            <w:tcW w:w="2451" w:type="dxa"/>
            <w:tcBorders>
              <w:top w:val="nil"/>
              <w:left w:val="nil"/>
              <w:bottom w:val="single" w:sz="4" w:space="0" w:color="auto"/>
              <w:right w:val="single" w:sz="8" w:space="0" w:color="auto"/>
            </w:tcBorders>
            <w:shd w:val="clear" w:color="auto" w:fill="auto"/>
            <w:noWrap/>
            <w:vAlign w:val="center"/>
            <w:hideMark/>
          </w:tcPr>
          <w:p w14:paraId="62E34B8C"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0,25</w:t>
            </w:r>
          </w:p>
        </w:tc>
      </w:tr>
      <w:tr w:rsidR="00D73008" w:rsidRPr="00851B85" w14:paraId="05BEC786" w14:textId="77777777" w:rsidTr="00387AE5">
        <w:trPr>
          <w:trHeight w:val="331"/>
        </w:trPr>
        <w:tc>
          <w:tcPr>
            <w:tcW w:w="2059" w:type="dxa"/>
            <w:tcBorders>
              <w:top w:val="nil"/>
              <w:left w:val="single" w:sz="4" w:space="0" w:color="auto"/>
              <w:bottom w:val="single" w:sz="4" w:space="0" w:color="auto"/>
              <w:right w:val="nil"/>
            </w:tcBorders>
            <w:shd w:val="clear" w:color="auto" w:fill="D4EAF8" w:themeFill="accent1" w:themeFillTint="33"/>
          </w:tcPr>
          <w:p w14:paraId="68E5F056" w14:textId="77777777"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Zlé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5842073B"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 -3 ≤ produkčná medzera (PM) &lt; -1,5</w:t>
            </w:r>
          </w:p>
        </w:tc>
        <w:tc>
          <w:tcPr>
            <w:tcW w:w="2504" w:type="dxa"/>
            <w:tcBorders>
              <w:top w:val="nil"/>
              <w:left w:val="single" w:sz="8" w:space="0" w:color="auto"/>
              <w:bottom w:val="single" w:sz="4" w:space="0" w:color="auto"/>
              <w:right w:val="single" w:sz="4" w:space="0" w:color="auto"/>
            </w:tcBorders>
            <w:shd w:val="clear" w:color="auto" w:fill="auto"/>
            <w:vAlign w:val="center"/>
            <w:hideMark/>
          </w:tcPr>
          <w:p w14:paraId="781C432A"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0 v prípade otvárajúcej sa PM, </w:t>
            </w:r>
          </w:p>
          <w:p w14:paraId="6F498F33"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0,25 v prípade zatvárajúcej sa PM</w:t>
            </w:r>
          </w:p>
        </w:tc>
        <w:tc>
          <w:tcPr>
            <w:tcW w:w="2451" w:type="dxa"/>
            <w:tcBorders>
              <w:top w:val="nil"/>
              <w:left w:val="nil"/>
              <w:bottom w:val="single" w:sz="4" w:space="0" w:color="auto"/>
              <w:right w:val="single" w:sz="8" w:space="0" w:color="auto"/>
            </w:tcBorders>
            <w:shd w:val="clear" w:color="auto" w:fill="auto"/>
            <w:vAlign w:val="center"/>
            <w:hideMark/>
          </w:tcPr>
          <w:p w14:paraId="74079BEC"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 0,25 v prípade otvárajúcej sa PM, </w:t>
            </w:r>
          </w:p>
          <w:p w14:paraId="62F5AB70"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0,5 v prípade zatvárajúcej sa PM</w:t>
            </w:r>
          </w:p>
        </w:tc>
      </w:tr>
      <w:tr w:rsidR="00D73008" w:rsidRPr="00851B85" w14:paraId="393DA3CC" w14:textId="77777777" w:rsidTr="00387AE5">
        <w:trPr>
          <w:trHeight w:val="326"/>
        </w:trPr>
        <w:tc>
          <w:tcPr>
            <w:tcW w:w="2059" w:type="dxa"/>
            <w:tcBorders>
              <w:top w:val="nil"/>
              <w:left w:val="single" w:sz="4" w:space="0" w:color="auto"/>
              <w:bottom w:val="single" w:sz="4" w:space="0" w:color="auto"/>
              <w:right w:val="nil"/>
            </w:tcBorders>
            <w:shd w:val="clear" w:color="auto" w:fill="D4EAF8" w:themeFill="accent1" w:themeFillTint="33"/>
          </w:tcPr>
          <w:p w14:paraId="02F91F5F" w14:textId="77777777"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Normálne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2A354220"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 -1,5 ≤ produkčná medzera (PM) &lt; 1,5</w:t>
            </w:r>
          </w:p>
        </w:tc>
        <w:tc>
          <w:tcPr>
            <w:tcW w:w="2504" w:type="dxa"/>
            <w:tcBorders>
              <w:top w:val="nil"/>
              <w:left w:val="single" w:sz="8" w:space="0" w:color="auto"/>
              <w:bottom w:val="single" w:sz="4" w:space="0" w:color="auto"/>
              <w:right w:val="single" w:sz="4" w:space="0" w:color="auto"/>
            </w:tcBorders>
            <w:shd w:val="clear" w:color="auto" w:fill="auto"/>
            <w:noWrap/>
            <w:vAlign w:val="center"/>
            <w:hideMark/>
          </w:tcPr>
          <w:p w14:paraId="58368B76"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0,5</w:t>
            </w:r>
          </w:p>
        </w:tc>
        <w:tc>
          <w:tcPr>
            <w:tcW w:w="2451" w:type="dxa"/>
            <w:tcBorders>
              <w:top w:val="nil"/>
              <w:left w:val="nil"/>
              <w:bottom w:val="single" w:sz="4" w:space="0" w:color="auto"/>
              <w:right w:val="single" w:sz="8" w:space="0" w:color="auto"/>
            </w:tcBorders>
            <w:shd w:val="clear" w:color="auto" w:fill="auto"/>
            <w:noWrap/>
            <w:vAlign w:val="center"/>
            <w:hideMark/>
          </w:tcPr>
          <w:p w14:paraId="3F910370"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&gt; 0,5</w:t>
            </w:r>
          </w:p>
        </w:tc>
      </w:tr>
      <w:tr w:rsidR="00D73008" w:rsidRPr="00B21C97" w14:paraId="7997CB2F" w14:textId="77777777" w:rsidTr="00387AE5">
        <w:trPr>
          <w:trHeight w:val="331"/>
        </w:trPr>
        <w:tc>
          <w:tcPr>
            <w:tcW w:w="2059" w:type="dxa"/>
            <w:tcBorders>
              <w:top w:val="nil"/>
              <w:left w:val="single" w:sz="4" w:space="0" w:color="auto"/>
              <w:bottom w:val="single" w:sz="4" w:space="0" w:color="auto"/>
              <w:right w:val="nil"/>
            </w:tcBorders>
            <w:shd w:val="clear" w:color="auto" w:fill="D4EAF8" w:themeFill="accent1" w:themeFillTint="33"/>
          </w:tcPr>
          <w:p w14:paraId="0CC1A739" w14:textId="77777777" w:rsidR="00D73008" w:rsidRPr="00381915" w:rsidRDefault="00D73008" w:rsidP="00387AE5">
            <w:pPr>
              <w:jc w:val="center"/>
              <w:rPr>
                <w:rFonts w:cs="Arial"/>
                <w:b/>
                <w:color w:val="000000" w:themeColor="text1"/>
                <w:sz w:val="18"/>
                <w:szCs w:val="20"/>
              </w:rPr>
            </w:pPr>
            <w:r w:rsidRPr="00381915">
              <w:rPr>
                <w:rFonts w:cs="Arial"/>
                <w:b/>
                <w:color w:val="000000" w:themeColor="text1"/>
                <w:sz w:val="18"/>
                <w:szCs w:val="20"/>
              </w:rPr>
              <w:t>Dobré obdobie</w:t>
            </w:r>
          </w:p>
        </w:tc>
        <w:tc>
          <w:tcPr>
            <w:tcW w:w="2059" w:type="dxa"/>
            <w:tcBorders>
              <w:top w:val="nil"/>
              <w:left w:val="single" w:sz="4" w:space="0" w:color="auto"/>
              <w:bottom w:val="single" w:sz="4" w:space="0" w:color="auto"/>
              <w:right w:val="nil"/>
            </w:tcBorders>
            <w:shd w:val="clear" w:color="auto" w:fill="D4EAF8" w:themeFill="accent1" w:themeFillTint="33"/>
            <w:vAlign w:val="center"/>
            <w:hideMark/>
          </w:tcPr>
          <w:p w14:paraId="7C38EE93"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produkčná medzera (PM) ≥ 1,5</w:t>
            </w:r>
          </w:p>
        </w:tc>
        <w:tc>
          <w:tcPr>
            <w:tcW w:w="2504" w:type="dxa"/>
            <w:tcBorders>
              <w:top w:val="nil"/>
              <w:left w:val="single" w:sz="8" w:space="0" w:color="auto"/>
              <w:bottom w:val="single" w:sz="8" w:space="0" w:color="auto"/>
              <w:right w:val="single" w:sz="4" w:space="0" w:color="auto"/>
            </w:tcBorders>
            <w:shd w:val="clear" w:color="auto" w:fill="auto"/>
            <w:vAlign w:val="center"/>
            <w:hideMark/>
          </w:tcPr>
          <w:p w14:paraId="2F257870"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&gt; 0,5 v prípade otvárajúcej sa PM, </w:t>
            </w:r>
          </w:p>
          <w:p w14:paraId="4B8A1E0E"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0,75 v prípade zatvárajúcej sa PM</w:t>
            </w:r>
          </w:p>
        </w:tc>
        <w:tc>
          <w:tcPr>
            <w:tcW w:w="2451" w:type="dxa"/>
            <w:tcBorders>
              <w:top w:val="nil"/>
              <w:left w:val="nil"/>
              <w:bottom w:val="single" w:sz="8" w:space="0" w:color="auto"/>
              <w:right w:val="single" w:sz="8" w:space="0" w:color="auto"/>
            </w:tcBorders>
            <w:shd w:val="clear" w:color="auto" w:fill="auto"/>
            <w:vAlign w:val="center"/>
            <w:hideMark/>
          </w:tcPr>
          <w:p w14:paraId="0CAFCFDD"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xml:space="preserve">≥ 0,75 v prípade otvárajúcej sa PM, </w:t>
            </w:r>
          </w:p>
          <w:p w14:paraId="4FC5FD6B" w14:textId="77777777" w:rsidR="00D73008" w:rsidRPr="00381915" w:rsidRDefault="00D73008" w:rsidP="00387AE5">
            <w:pPr>
              <w:jc w:val="center"/>
              <w:rPr>
                <w:rFonts w:cs="Arial"/>
                <w:color w:val="000000" w:themeColor="text1"/>
                <w:sz w:val="18"/>
                <w:szCs w:val="20"/>
              </w:rPr>
            </w:pPr>
            <w:r w:rsidRPr="00381915">
              <w:rPr>
                <w:rFonts w:cs="Arial"/>
                <w:color w:val="000000" w:themeColor="text1"/>
                <w:sz w:val="18"/>
                <w:szCs w:val="20"/>
              </w:rPr>
              <w:t>≥ 1 v prípade zatvárajúcej sa PM</w:t>
            </w:r>
          </w:p>
        </w:tc>
      </w:tr>
    </w:tbl>
    <w:p w14:paraId="4F5AB7B2" w14:textId="7561B14A" w:rsidR="00D73008" w:rsidRPr="00381915" w:rsidRDefault="00D73008" w:rsidP="00D73008">
      <w:pPr>
        <w:spacing w:before="240"/>
        <w:jc w:val="both"/>
      </w:pPr>
      <w:r w:rsidRPr="00381915">
        <w:rPr>
          <w:b/>
        </w:rPr>
        <w:t>Hodnoten</w:t>
      </w:r>
      <w:r w:rsidR="001F6CC6">
        <w:rPr>
          <w:b/>
        </w:rPr>
        <w:t>ie súladu (odchýlenie v % HDP) oproti požadovanému poklesu</w:t>
      </w:r>
      <w:r w:rsidRPr="00381915">
        <w:rPr>
          <w:b/>
        </w:rPr>
        <w:t xml:space="preserve"> štrukturáln</w:t>
      </w:r>
      <w:r w:rsidR="001F6CC6">
        <w:rPr>
          <w:b/>
        </w:rPr>
        <w:t>eho</w:t>
      </w:r>
      <w:r w:rsidRPr="00381915">
        <w:rPr>
          <w:b/>
        </w:rPr>
        <w:t xml:space="preserve"> sald</w:t>
      </w:r>
      <w:r w:rsidR="001F6CC6">
        <w:rPr>
          <w:b/>
        </w:rPr>
        <w:t>a</w:t>
      </w:r>
      <w:r w:rsidRPr="00381915">
        <w:rPr>
          <w:b/>
        </w:rPr>
        <w:t xml:space="preserve"> sa posudzuje z jednoročného a dvojročného pohľadu (na základe priemeru v posudzovaných rokoch). </w:t>
      </w:r>
      <w:r w:rsidRPr="00381915">
        <w:t xml:space="preserve">Jednoročná odchýlka s limitom -0,5 % HDP a dvojročná s limitom -0,25 % HDP. </w:t>
      </w:r>
    </w:p>
    <w:p w14:paraId="2539149C" w14:textId="77777777" w:rsidR="00D73008" w:rsidRPr="00381915" w:rsidRDefault="00D73008" w:rsidP="00152128">
      <w:pPr>
        <w:spacing w:before="240" w:after="120"/>
        <w:jc w:val="both"/>
        <w:rPr>
          <w:b/>
          <w:color w:val="2C9ADC"/>
        </w:rPr>
      </w:pPr>
      <w:r w:rsidRPr="00381915">
        <w:rPr>
          <w:b/>
          <w:color w:val="2C9ADC"/>
        </w:rPr>
        <w:t>Výpočet štrukturálneho salda</w:t>
      </w:r>
    </w:p>
    <w:p w14:paraId="1CB1B05B" w14:textId="77777777" w:rsidR="00D73008" w:rsidRPr="00381915" w:rsidRDefault="00D73008" w:rsidP="00D73008">
      <w:pPr>
        <w:jc w:val="both"/>
        <w:rPr>
          <w:b/>
        </w:rPr>
      </w:pPr>
      <w:r w:rsidRPr="00381915">
        <w:rPr>
          <w:b/>
        </w:rPr>
        <w:t xml:space="preserve">1. krok - </w:t>
      </w:r>
      <w:r w:rsidRPr="00381915">
        <w:t>nominálne saldo verejných financií očisťuje pomocou cyklickej zložky o vplyv hospodárskych výkyvov</w:t>
      </w:r>
      <w:r w:rsidRPr="00381915">
        <w:rPr>
          <w:rStyle w:val="Odkaznapoznmkupodiarou"/>
        </w:rPr>
        <w:footnoteReference w:id="79"/>
      </w:r>
      <w:r w:rsidRPr="00381915">
        <w:t>. Odhad produkčnej medzery vychádza z aktuálnej makroekonomickej prognózy Ministerstva financií SR z februára 201</w:t>
      </w:r>
      <w:r>
        <w:t>9</w:t>
      </w:r>
      <w:r w:rsidRPr="00381915">
        <w:t>. Odhad senzitivity salda verejnej správy na zmeny v produkčnej medzere vychádzajúci z metodiky OECD</w:t>
      </w:r>
      <w:r w:rsidRPr="00381915">
        <w:rPr>
          <w:vertAlign w:val="superscript"/>
        </w:rPr>
        <w:footnoteReference w:id="80"/>
      </w:r>
      <w:r w:rsidRPr="00381915">
        <w:t xml:space="preserve"> preberá Ministerstvo financií SR v plnej miere od EK. </w:t>
      </w:r>
    </w:p>
    <w:p w14:paraId="67C7634E" w14:textId="77777777" w:rsidR="00D73008" w:rsidRPr="00381915" w:rsidRDefault="00D73008" w:rsidP="00D73008">
      <w:pPr>
        <w:jc w:val="both"/>
      </w:pPr>
    </w:p>
    <w:p w14:paraId="673995C7" w14:textId="4941E9C1" w:rsidR="00D73008" w:rsidRPr="00381915" w:rsidRDefault="00D73008" w:rsidP="00D73008">
      <w:pPr>
        <w:jc w:val="both"/>
      </w:pPr>
      <w:r w:rsidRPr="00381915">
        <w:rPr>
          <w:b/>
        </w:rPr>
        <w:t xml:space="preserve">2. krok </w:t>
      </w:r>
      <w:r w:rsidRPr="00381915">
        <w:t>- upravené saldo sa očisťuje o jednorazové a dočasné opatrenia</w:t>
      </w:r>
      <w:r w:rsidRPr="00605148">
        <w:rPr>
          <w:rStyle w:val="Odkaznapoznmkupodiarou"/>
        </w:rPr>
        <w:footnoteReference w:id="81"/>
      </w:r>
      <w:r w:rsidRPr="00381915">
        <w:t xml:space="preserve">, ktorých fiškálnych vplyv sa neopakuje v ďalších rokoch. Pre potreby návrhu rozpočtového plánu postupuje Ministerstvo financií SR pri ich identifikácii v súlade s </w:t>
      </w:r>
      <w:r w:rsidRPr="00381915">
        <w:rPr>
          <w:rFonts w:cs="Times New Roman"/>
        </w:rPr>
        <w:t>metodikou EK</w:t>
      </w:r>
      <w:r>
        <w:rPr>
          <w:rStyle w:val="Odkaznapoznmkupodiarou"/>
        </w:rPr>
        <w:footnoteReference w:id="82"/>
      </w:r>
      <w:r w:rsidR="00193396">
        <w:rPr>
          <w:rFonts w:cs="Times New Roman"/>
        </w:rPr>
        <w:t>.</w:t>
      </w:r>
    </w:p>
    <w:p w14:paraId="2733E975" w14:textId="77777777" w:rsidR="00D73008" w:rsidRPr="00381915" w:rsidRDefault="00D73008" w:rsidP="00D73008">
      <w:pPr>
        <w:ind w:firstLine="708"/>
        <w:jc w:val="both"/>
        <w:rPr>
          <w:rFonts w:cs="Times New Roman"/>
        </w:rPr>
      </w:pPr>
    </w:p>
    <w:p w14:paraId="0D8FF224" w14:textId="77777777" w:rsidR="00D73008" w:rsidRPr="00381915" w:rsidRDefault="00D73008" w:rsidP="00D73008">
      <w:pPr>
        <w:jc w:val="both"/>
        <w:rPr>
          <w:rFonts w:eastAsiaTheme="minorHAnsi" w:cstheme="minorBidi"/>
          <w:b/>
          <w:bCs/>
          <w:color w:val="2C9ADC" w:themeColor="accent1"/>
          <w:sz w:val="20"/>
          <w:szCs w:val="20"/>
          <w:lang w:eastAsia="en-US"/>
        </w:rPr>
      </w:pPr>
      <w:r w:rsidRPr="00381915">
        <w:rPr>
          <w:b/>
        </w:rPr>
        <w:t>Pre účel výpočtu štrukturálneho salda</w:t>
      </w:r>
      <w:r>
        <w:rPr>
          <w:b/>
        </w:rPr>
        <w:t xml:space="preserve"> do</w:t>
      </w:r>
      <w:r w:rsidRPr="00381915">
        <w:rPr>
          <w:b/>
        </w:rPr>
        <w:t xml:space="preserve"> Programu stability neboli identifikované</w:t>
      </w:r>
      <w:r>
        <w:rPr>
          <w:b/>
        </w:rPr>
        <w:t xml:space="preserve"> v rokoch 2017 až 2022</w:t>
      </w:r>
      <w:r w:rsidRPr="00381915">
        <w:rPr>
          <w:b/>
        </w:rPr>
        <w:t xml:space="preserve"> žiadne jednorazové a dočasné opatrenia.</w:t>
      </w:r>
    </w:p>
    <w:p w14:paraId="6649113D" w14:textId="77777777" w:rsidR="00D73008" w:rsidRDefault="00D73008" w:rsidP="00D73008">
      <w:pPr>
        <w:spacing w:after="160" w:line="259" w:lineRule="auto"/>
        <w:rPr>
          <w:b/>
          <w:color w:val="2C9ADC" w:themeColor="accent1"/>
          <w:sz w:val="24"/>
        </w:rPr>
      </w:pPr>
      <w:r>
        <w:rPr>
          <w:b/>
          <w:color w:val="2C9ADC" w:themeColor="accent1"/>
          <w:sz w:val="24"/>
        </w:rPr>
        <w:br w:type="page"/>
      </w:r>
    </w:p>
    <w:p w14:paraId="1C2739EA" w14:textId="77777777" w:rsidR="00D73008" w:rsidRPr="00684201" w:rsidRDefault="00D73008" w:rsidP="00684201">
      <w:pPr>
        <w:pStyle w:val="Nadpis3"/>
        <w:spacing w:after="120"/>
        <w:rPr>
          <w:color w:val="2C9ADC" w:themeColor="accent1"/>
          <w:sz w:val="24"/>
          <w:szCs w:val="24"/>
        </w:rPr>
      </w:pPr>
      <w:bookmarkStart w:id="276" w:name="_Ref6313757"/>
      <w:r w:rsidRPr="00684201">
        <w:rPr>
          <w:color w:val="2C9ADC" w:themeColor="accent1"/>
          <w:sz w:val="24"/>
          <w:szCs w:val="24"/>
        </w:rPr>
        <w:lastRenderedPageBreak/>
        <w:t>Príloha 3 - Výdavkové pravidlo</w:t>
      </w:r>
      <w:bookmarkEnd w:id="276"/>
    </w:p>
    <w:p w14:paraId="27E576F0" w14:textId="7AC02B19" w:rsidR="00D73008" w:rsidRPr="00381915" w:rsidRDefault="00D73008" w:rsidP="00D73008">
      <w:pPr>
        <w:jc w:val="both"/>
      </w:pPr>
      <w:r w:rsidRPr="00381915">
        <w:rPr>
          <w:b/>
        </w:rPr>
        <w:t xml:space="preserve">Revidovaný Pakt stability a rastu zaviedol výdavkové pravidlo ako dodatočný nástroj na </w:t>
      </w:r>
      <w:r w:rsidR="001F6CC6">
        <w:rPr>
          <w:b/>
        </w:rPr>
        <w:t xml:space="preserve">určenie resp. </w:t>
      </w:r>
      <w:r w:rsidRPr="00381915">
        <w:rPr>
          <w:b/>
        </w:rPr>
        <w:t xml:space="preserve">posúdenie </w:t>
      </w:r>
      <w:r w:rsidR="001F6CC6">
        <w:rPr>
          <w:b/>
        </w:rPr>
        <w:t xml:space="preserve">smerovania </w:t>
      </w:r>
      <w:r w:rsidRPr="00381915">
        <w:rPr>
          <w:b/>
        </w:rPr>
        <w:t>k strednodobému rozpočtovému cieľu</w:t>
      </w:r>
      <w:r w:rsidRPr="00381915">
        <w:t xml:space="preserve">. Vyjadruje medziročný rast výdavkového agregátu očistený o príjmové opatrenia, čo v porovnaní s referenčnou hodnotou povoleného rastu výdavkov umožní posúdiť pokrok vo fiškálnej konsolidácii podobne ako v prípade vývoja štrukturálneho salda. </w:t>
      </w:r>
    </w:p>
    <w:p w14:paraId="2910A01E" w14:textId="77777777" w:rsidR="00D73008" w:rsidRPr="00381915" w:rsidRDefault="00D73008" w:rsidP="00D73008">
      <w:pPr>
        <w:jc w:val="both"/>
      </w:pPr>
    </w:p>
    <w:p w14:paraId="7DDB6AF2" w14:textId="77777777" w:rsidR="00D73008" w:rsidRPr="00381915" w:rsidRDefault="00D73008" w:rsidP="00D73008">
      <w:pPr>
        <w:jc w:val="both"/>
      </w:pPr>
      <w:r w:rsidRPr="00381915">
        <w:rPr>
          <w:b/>
        </w:rPr>
        <w:t xml:space="preserve">Podľa výdavkového pravidla by výdavky verejnej správy v reálnom vyjadrení nemali rásť rýchlejšie ako priemerný potenciálny rast ekonomiky. </w:t>
      </w:r>
      <w:r w:rsidRPr="00381915">
        <w:t>Tieto výdavky môžu rásť vyšším tempom jedine v prípade realizácie dodatočných príjmových opatrení, (</w:t>
      </w:r>
      <w:r>
        <w:t>t.j.</w:t>
      </w:r>
      <w:r w:rsidRPr="00381915">
        <w:t xml:space="preserve"> diskrečn</w:t>
      </w:r>
      <w:r>
        <w:t>é</w:t>
      </w:r>
      <w:r w:rsidRPr="00381915">
        <w:t xml:space="preserve"> opatrenia)</w:t>
      </w:r>
      <w:r w:rsidRPr="00381915">
        <w:rPr>
          <w:vertAlign w:val="superscript"/>
        </w:rPr>
        <w:footnoteReference w:id="83"/>
      </w:r>
      <w:r w:rsidRPr="00381915">
        <w:t>. Pre krajiny ktoré dosiahli svoj strednodobý rozpočtový cieľ (MTO), môže rast predmetných výdavkov presne kopírovať potenciál ekonomiky. Pre krajiny, ktoré ešte MTO nedosiahli, musí tempo rastu výdavkov reflektovať aj konsolidáciu potrebnú pre jeho dosiahnutie. V tomto prípade je potenciálne tempo rastu ekonomiky korigované o požadované konsolidačné úsilie podľa prístupu v štrukturálnom salde.</w:t>
      </w:r>
    </w:p>
    <w:p w14:paraId="65A2D420" w14:textId="77777777" w:rsidR="00D73008" w:rsidRPr="00381915" w:rsidRDefault="00D73008" w:rsidP="00D73008">
      <w:pPr>
        <w:jc w:val="both"/>
      </w:pPr>
    </w:p>
    <w:p w14:paraId="32B0C68A" w14:textId="77777777" w:rsidR="00D73008" w:rsidRPr="00381915" w:rsidRDefault="00D73008" w:rsidP="00D73008">
      <w:pPr>
        <w:jc w:val="both"/>
      </w:pPr>
      <w:r w:rsidRPr="00381915">
        <w:rPr>
          <w:b/>
        </w:rPr>
        <w:t>Vývoj výdavkov sa očisťuje o faktory, ktoré sú mimo kontroly vlády.</w:t>
      </w:r>
      <w:r w:rsidRPr="00381915">
        <w:t xml:space="preserve"> Ide o úrokové výdavky, zmeny vo výdavkoch na dávky v nezamestnanosti vyplývajúce z aktuálneho ekonomického cyklu a výdavky financované z fondov EÚ. Vzhľadom na vysokú volatilitu vládnych investícií sa ich výška vyhladzuje na priemernú úroveň za aktuálny a tri predchádzajúce roky</w:t>
      </w:r>
      <w:r w:rsidRPr="00381915">
        <w:rPr>
          <w:vertAlign w:val="superscript"/>
        </w:rPr>
        <w:footnoteReference w:id="84"/>
      </w:r>
      <w:r w:rsidRPr="00381915">
        <w:t>. Nominálny rast takto upravených výdavkov sa prostredníctvom deflátora HDP prepočíta na reálny rast, aby bol porovnateľný s výdavkovým pravidlom.</w:t>
      </w:r>
    </w:p>
    <w:p w14:paraId="42BD59B9" w14:textId="77777777" w:rsidR="00D73008" w:rsidRPr="00381915" w:rsidRDefault="00D73008" w:rsidP="00D73008">
      <w:pPr>
        <w:jc w:val="both"/>
      </w:pPr>
    </w:p>
    <w:p w14:paraId="7527F3E2" w14:textId="77777777" w:rsidR="00D73008" w:rsidRPr="00381915" w:rsidRDefault="00D73008" w:rsidP="00D73008">
      <w:pPr>
        <w:jc w:val="both"/>
      </w:pPr>
      <w:r w:rsidRPr="00381915">
        <w:rPr>
          <w:b/>
        </w:rPr>
        <w:t>Vyhodnoten</w:t>
      </w:r>
      <w:r>
        <w:rPr>
          <w:b/>
        </w:rPr>
        <w:t>i</w:t>
      </w:r>
      <w:r w:rsidRPr="00381915">
        <w:rPr>
          <w:b/>
        </w:rPr>
        <w:t xml:space="preserve">e plnenia výdavkového pravidla sa </w:t>
      </w:r>
      <w:r>
        <w:rPr>
          <w:b/>
        </w:rPr>
        <w:t>vykonáva</w:t>
      </w:r>
      <w:r w:rsidRPr="00381915">
        <w:rPr>
          <w:b/>
        </w:rPr>
        <w:t xml:space="preserve"> pomocou kvantifikácie jednoročnej odchýlky </w:t>
      </w:r>
      <w:r w:rsidRPr="00381915">
        <w:t>(</w:t>
      </w:r>
      <w:r>
        <w:t xml:space="preserve">ako </w:t>
      </w:r>
      <w:r w:rsidRPr="00381915">
        <w:t xml:space="preserve">rozdiel výdavkového agregátu a výdavkového pravidla v % HDP s limitom -0,5 % HDP) </w:t>
      </w:r>
      <w:r w:rsidRPr="00381915">
        <w:rPr>
          <w:b/>
        </w:rPr>
        <w:t>a dvojročnej odchýlky</w:t>
      </w:r>
      <w:r w:rsidRPr="00381915">
        <w:t xml:space="preserve"> (</w:t>
      </w:r>
      <w:r>
        <w:t xml:space="preserve">ako </w:t>
      </w:r>
      <w:r w:rsidRPr="00381915">
        <w:t xml:space="preserve">priemer </w:t>
      </w:r>
      <w:r>
        <w:t xml:space="preserve">dvoch rokov </w:t>
      </w:r>
      <w:r w:rsidRPr="00381915">
        <w:t xml:space="preserve">s limitom -0,25 % HDP). </w:t>
      </w:r>
      <w:r>
        <w:t>V</w:t>
      </w:r>
      <w:r w:rsidRPr="00605148">
        <w:t>ýrazný nesúlad s výdavkovým pravidlom</w:t>
      </w:r>
      <w:r>
        <w:t xml:space="preserve"> nastáva pri identifikácií </w:t>
      </w:r>
      <w:r w:rsidRPr="00381915">
        <w:t>odchýlk</w:t>
      </w:r>
      <w:r>
        <w:t>y</w:t>
      </w:r>
      <w:r w:rsidRPr="00381915">
        <w:t xml:space="preserve"> vyšš</w:t>
      </w:r>
      <w:r>
        <w:t>ej</w:t>
      </w:r>
      <w:r w:rsidRPr="00381915">
        <w:t xml:space="preserve"> ako stanovený limit</w:t>
      </w:r>
      <w:r>
        <w:t>.</w:t>
      </w:r>
    </w:p>
    <w:p w14:paraId="18C4119A" w14:textId="77777777" w:rsidR="00D73008" w:rsidRPr="00B21C97" w:rsidRDefault="00D73008" w:rsidP="00D73008">
      <w:pPr>
        <w:jc w:val="both"/>
        <w:rPr>
          <w:highlight w:val="yellow"/>
        </w:rPr>
      </w:pPr>
    </w:p>
    <w:p w14:paraId="34E3F505" w14:textId="001E7F27" w:rsidR="00D73008" w:rsidRPr="00392121" w:rsidRDefault="00D73008" w:rsidP="00D73008">
      <w:pPr>
        <w:pStyle w:val="Popis"/>
        <w:keepNext/>
        <w:spacing w:after="0"/>
        <w:rPr>
          <w:sz w:val="20"/>
          <w:szCs w:val="20"/>
        </w:rPr>
      </w:pPr>
      <w:bookmarkStart w:id="277" w:name="_Toc6314231"/>
      <w:r w:rsidRPr="00392121">
        <w:rPr>
          <w:rFonts w:eastAsiaTheme="minorHAnsi"/>
          <w:color w:val="2C9ADC"/>
          <w:sz w:val="20"/>
          <w:szCs w:val="20"/>
          <w:lang w:eastAsia="en-US"/>
        </w:rPr>
        <w:t xml:space="preserve">TABUĽKA </w:t>
      </w:r>
      <w:r w:rsidRPr="00392121">
        <w:rPr>
          <w:rFonts w:eastAsiaTheme="minorHAnsi"/>
          <w:color w:val="2C9ADC"/>
          <w:sz w:val="20"/>
          <w:szCs w:val="20"/>
          <w:lang w:eastAsia="en-US"/>
        </w:rPr>
        <w:fldChar w:fldCharType="begin"/>
      </w:r>
      <w:r w:rsidRPr="00392121">
        <w:rPr>
          <w:rFonts w:eastAsiaTheme="minorHAnsi"/>
          <w:color w:val="2C9ADC"/>
          <w:sz w:val="20"/>
          <w:szCs w:val="20"/>
          <w:lang w:eastAsia="en-US"/>
        </w:rPr>
        <w:instrText xml:space="preserve"> SEQ TABUĽKA \* ARABIC </w:instrText>
      </w:r>
      <w:r w:rsidRPr="00392121">
        <w:rPr>
          <w:rFonts w:eastAsiaTheme="minorHAnsi"/>
          <w:color w:val="2C9ADC"/>
          <w:sz w:val="20"/>
          <w:szCs w:val="20"/>
          <w:lang w:eastAsia="en-US"/>
        </w:rPr>
        <w:fldChar w:fldCharType="separate"/>
      </w:r>
      <w:r w:rsidR="00D5739E">
        <w:rPr>
          <w:rFonts w:eastAsiaTheme="minorHAnsi"/>
          <w:noProof/>
          <w:color w:val="2C9ADC"/>
          <w:sz w:val="20"/>
          <w:szCs w:val="20"/>
          <w:lang w:eastAsia="en-US"/>
        </w:rPr>
        <w:t>32</w:t>
      </w:r>
      <w:r w:rsidRPr="00392121">
        <w:rPr>
          <w:rFonts w:eastAsiaTheme="minorHAnsi"/>
          <w:color w:val="2C9ADC"/>
          <w:sz w:val="20"/>
          <w:szCs w:val="20"/>
          <w:lang w:eastAsia="en-US"/>
        </w:rPr>
        <w:fldChar w:fldCharType="end"/>
      </w:r>
      <w:r w:rsidRPr="00392121">
        <w:rPr>
          <w:sz w:val="20"/>
          <w:szCs w:val="20"/>
        </w:rPr>
        <w:t xml:space="preserve"> - Výdavkové pravidlo</w:t>
      </w:r>
      <w:bookmarkEnd w:id="277"/>
    </w:p>
    <w:tbl>
      <w:tblPr>
        <w:tblW w:w="9072" w:type="dxa"/>
        <w:tblLayout w:type="fixed"/>
        <w:tblCellMar>
          <w:left w:w="70" w:type="dxa"/>
          <w:right w:w="70" w:type="dxa"/>
        </w:tblCellMar>
        <w:tblLook w:val="04A0" w:firstRow="1" w:lastRow="0" w:firstColumn="1" w:lastColumn="0" w:noHBand="0" w:noVBand="1"/>
      </w:tblPr>
      <w:tblGrid>
        <w:gridCol w:w="3969"/>
        <w:gridCol w:w="850"/>
        <w:gridCol w:w="851"/>
        <w:gridCol w:w="850"/>
        <w:gridCol w:w="851"/>
        <w:gridCol w:w="850"/>
        <w:gridCol w:w="851"/>
      </w:tblGrid>
      <w:tr w:rsidR="00D73008" w:rsidRPr="00E9337C" w14:paraId="5815CABA" w14:textId="77777777" w:rsidTr="00D562E9">
        <w:trPr>
          <w:trHeight w:val="57"/>
        </w:trPr>
        <w:tc>
          <w:tcPr>
            <w:tcW w:w="3969" w:type="dxa"/>
            <w:tcBorders>
              <w:top w:val="single" w:sz="4" w:space="0" w:color="auto"/>
              <w:left w:val="nil"/>
              <w:bottom w:val="single" w:sz="4" w:space="0" w:color="auto"/>
              <w:right w:val="nil"/>
            </w:tcBorders>
            <w:shd w:val="clear" w:color="auto" w:fill="auto"/>
            <w:noWrap/>
            <w:vAlign w:val="bottom"/>
            <w:hideMark/>
          </w:tcPr>
          <w:p w14:paraId="283BA3E0" w14:textId="77777777" w:rsidR="00D73008" w:rsidRPr="003B65DD" w:rsidRDefault="00D73008" w:rsidP="00387AE5">
            <w:pPr>
              <w:rPr>
                <w:rFonts w:cs="Times New Roman"/>
                <w:b/>
                <w:bCs/>
                <w:color w:val="000000"/>
                <w:sz w:val="18"/>
                <w:szCs w:val="20"/>
              </w:rPr>
            </w:pPr>
            <w:r w:rsidRPr="003B65DD">
              <w:rPr>
                <w:rFonts w:cs="Times New Roman"/>
                <w:b/>
                <w:bCs/>
                <w:color w:val="000000"/>
                <w:sz w:val="18"/>
                <w:szCs w:val="20"/>
              </w:rPr>
              <w:t> </w:t>
            </w:r>
          </w:p>
        </w:tc>
        <w:tc>
          <w:tcPr>
            <w:tcW w:w="850" w:type="dxa"/>
            <w:tcBorders>
              <w:top w:val="single" w:sz="4" w:space="0" w:color="auto"/>
              <w:left w:val="nil"/>
              <w:bottom w:val="single" w:sz="4" w:space="0" w:color="auto"/>
              <w:right w:val="nil"/>
            </w:tcBorders>
            <w:shd w:val="clear" w:color="auto" w:fill="auto"/>
            <w:noWrap/>
            <w:vAlign w:val="center"/>
            <w:hideMark/>
          </w:tcPr>
          <w:p w14:paraId="130A80CD" w14:textId="3021223A" w:rsidR="00D73008" w:rsidRPr="00E9337C" w:rsidRDefault="00D73008" w:rsidP="00387AE5">
            <w:pPr>
              <w:jc w:val="right"/>
              <w:rPr>
                <w:rFonts w:cs="Times New Roman"/>
                <w:b/>
                <w:bCs/>
                <w:color w:val="000000"/>
                <w:sz w:val="18"/>
                <w:szCs w:val="20"/>
              </w:rPr>
            </w:pPr>
            <w:r w:rsidRPr="00E9337C">
              <w:rPr>
                <w:rFonts w:cs="Times New Roman"/>
                <w:b/>
                <w:bCs/>
                <w:color w:val="000000"/>
                <w:sz w:val="18"/>
                <w:szCs w:val="20"/>
              </w:rPr>
              <w:t>2017</w:t>
            </w:r>
            <w:r w:rsidR="00D65715">
              <w:rPr>
                <w:rFonts w:cs="Times New Roman"/>
                <w:b/>
                <w:bCs/>
                <w:color w:val="000000"/>
                <w:sz w:val="18"/>
                <w:szCs w:val="20"/>
              </w:rPr>
              <w:t xml:space="preserve"> S</w:t>
            </w:r>
          </w:p>
        </w:tc>
        <w:tc>
          <w:tcPr>
            <w:tcW w:w="851" w:type="dxa"/>
            <w:tcBorders>
              <w:top w:val="single" w:sz="4" w:space="0" w:color="auto"/>
              <w:left w:val="nil"/>
              <w:bottom w:val="single" w:sz="4" w:space="0" w:color="auto"/>
              <w:right w:val="nil"/>
            </w:tcBorders>
            <w:shd w:val="clear" w:color="auto" w:fill="auto"/>
            <w:noWrap/>
            <w:vAlign w:val="center"/>
            <w:hideMark/>
          </w:tcPr>
          <w:p w14:paraId="14FBE356" w14:textId="16A4926A" w:rsidR="00D73008" w:rsidRPr="00E9337C" w:rsidRDefault="00D73008" w:rsidP="00387AE5">
            <w:pPr>
              <w:jc w:val="right"/>
              <w:rPr>
                <w:rFonts w:cs="Times New Roman"/>
                <w:b/>
                <w:bCs/>
                <w:color w:val="000000"/>
                <w:sz w:val="18"/>
                <w:szCs w:val="20"/>
              </w:rPr>
            </w:pPr>
            <w:r w:rsidRPr="00E9337C">
              <w:rPr>
                <w:rFonts w:cs="Times New Roman"/>
                <w:b/>
                <w:bCs/>
                <w:color w:val="000000"/>
                <w:sz w:val="18"/>
                <w:szCs w:val="20"/>
              </w:rPr>
              <w:t>2018</w:t>
            </w:r>
            <w:r w:rsidR="00D65715">
              <w:rPr>
                <w:rFonts w:cs="Times New Roman"/>
                <w:b/>
                <w:bCs/>
                <w:color w:val="000000"/>
                <w:sz w:val="18"/>
                <w:szCs w:val="20"/>
              </w:rPr>
              <w:t xml:space="preserve"> S</w:t>
            </w:r>
          </w:p>
        </w:tc>
        <w:tc>
          <w:tcPr>
            <w:tcW w:w="850" w:type="dxa"/>
            <w:tcBorders>
              <w:top w:val="single" w:sz="4" w:space="0" w:color="auto"/>
              <w:left w:val="nil"/>
              <w:bottom w:val="single" w:sz="4" w:space="0" w:color="auto"/>
              <w:right w:val="nil"/>
            </w:tcBorders>
            <w:shd w:val="clear" w:color="auto" w:fill="auto"/>
            <w:noWrap/>
            <w:vAlign w:val="center"/>
            <w:hideMark/>
          </w:tcPr>
          <w:p w14:paraId="1E4D09D3" w14:textId="4291AD05" w:rsidR="00D73008" w:rsidRPr="00E9337C" w:rsidRDefault="00D73008" w:rsidP="00387AE5">
            <w:pPr>
              <w:jc w:val="right"/>
              <w:rPr>
                <w:rFonts w:cs="Times New Roman"/>
                <w:b/>
                <w:bCs/>
                <w:color w:val="000000"/>
                <w:sz w:val="18"/>
                <w:szCs w:val="20"/>
              </w:rPr>
            </w:pPr>
            <w:r w:rsidRPr="00E9337C">
              <w:rPr>
                <w:rFonts w:cs="Times New Roman"/>
                <w:b/>
                <w:bCs/>
                <w:color w:val="000000"/>
                <w:sz w:val="18"/>
                <w:szCs w:val="20"/>
              </w:rPr>
              <w:t>2019</w:t>
            </w:r>
            <w:r w:rsidR="00D65715">
              <w:rPr>
                <w:rFonts w:cs="Times New Roman"/>
                <w:b/>
                <w:bCs/>
                <w:color w:val="000000"/>
                <w:sz w:val="18"/>
                <w:szCs w:val="20"/>
              </w:rPr>
              <w:t xml:space="preserve"> OS</w:t>
            </w:r>
          </w:p>
        </w:tc>
        <w:tc>
          <w:tcPr>
            <w:tcW w:w="851" w:type="dxa"/>
            <w:tcBorders>
              <w:top w:val="single" w:sz="4" w:space="0" w:color="auto"/>
              <w:left w:val="nil"/>
              <w:bottom w:val="single" w:sz="4" w:space="0" w:color="auto"/>
              <w:right w:val="nil"/>
            </w:tcBorders>
            <w:shd w:val="clear" w:color="auto" w:fill="auto"/>
            <w:noWrap/>
            <w:vAlign w:val="center"/>
            <w:hideMark/>
          </w:tcPr>
          <w:p w14:paraId="0C7EA43E" w14:textId="69A781B7" w:rsidR="00D73008" w:rsidRPr="00E9337C" w:rsidRDefault="00D73008" w:rsidP="00387AE5">
            <w:pPr>
              <w:jc w:val="right"/>
              <w:rPr>
                <w:rFonts w:cs="Times New Roman"/>
                <w:b/>
                <w:bCs/>
                <w:color w:val="000000"/>
                <w:sz w:val="18"/>
                <w:szCs w:val="20"/>
              </w:rPr>
            </w:pPr>
            <w:r w:rsidRPr="00E9337C">
              <w:rPr>
                <w:rFonts w:cs="Times New Roman"/>
                <w:b/>
                <w:bCs/>
                <w:color w:val="000000"/>
                <w:sz w:val="18"/>
                <w:szCs w:val="20"/>
              </w:rPr>
              <w:t>2020</w:t>
            </w:r>
            <w:r w:rsidR="00D65715">
              <w:rPr>
                <w:rFonts w:cs="Times New Roman"/>
                <w:b/>
                <w:bCs/>
                <w:color w:val="000000"/>
                <w:sz w:val="18"/>
                <w:szCs w:val="20"/>
              </w:rPr>
              <w:t xml:space="preserve"> PS</w:t>
            </w:r>
          </w:p>
        </w:tc>
        <w:tc>
          <w:tcPr>
            <w:tcW w:w="850" w:type="dxa"/>
            <w:tcBorders>
              <w:top w:val="single" w:sz="4" w:space="0" w:color="auto"/>
              <w:left w:val="nil"/>
              <w:bottom w:val="single" w:sz="4" w:space="0" w:color="auto"/>
              <w:right w:val="nil"/>
            </w:tcBorders>
            <w:shd w:val="clear" w:color="auto" w:fill="auto"/>
            <w:noWrap/>
            <w:vAlign w:val="center"/>
            <w:hideMark/>
          </w:tcPr>
          <w:p w14:paraId="716FA807" w14:textId="5A282EB5" w:rsidR="00D73008" w:rsidRPr="00E9337C" w:rsidRDefault="00D73008" w:rsidP="00387AE5">
            <w:pPr>
              <w:jc w:val="right"/>
              <w:rPr>
                <w:rFonts w:cs="Times New Roman"/>
                <w:b/>
                <w:bCs/>
                <w:color w:val="000000"/>
                <w:sz w:val="18"/>
                <w:szCs w:val="20"/>
              </w:rPr>
            </w:pPr>
            <w:r w:rsidRPr="00E9337C">
              <w:rPr>
                <w:rFonts w:cs="Times New Roman"/>
                <w:b/>
                <w:bCs/>
                <w:color w:val="000000"/>
                <w:sz w:val="18"/>
                <w:szCs w:val="20"/>
              </w:rPr>
              <w:t>2021</w:t>
            </w:r>
            <w:r w:rsidR="00D65715">
              <w:rPr>
                <w:rFonts w:cs="Times New Roman"/>
                <w:b/>
                <w:bCs/>
                <w:color w:val="000000"/>
                <w:sz w:val="18"/>
                <w:szCs w:val="20"/>
              </w:rPr>
              <w:t xml:space="preserve"> PS</w:t>
            </w:r>
          </w:p>
        </w:tc>
        <w:tc>
          <w:tcPr>
            <w:tcW w:w="851" w:type="dxa"/>
            <w:tcBorders>
              <w:top w:val="single" w:sz="4" w:space="0" w:color="auto"/>
              <w:left w:val="nil"/>
              <w:bottom w:val="single" w:sz="4" w:space="0" w:color="auto"/>
              <w:right w:val="nil"/>
            </w:tcBorders>
            <w:shd w:val="clear" w:color="auto" w:fill="auto"/>
            <w:noWrap/>
            <w:vAlign w:val="center"/>
            <w:hideMark/>
          </w:tcPr>
          <w:p w14:paraId="638DF5A6" w14:textId="2F68B1A4" w:rsidR="00D73008" w:rsidRPr="00E9337C" w:rsidRDefault="00D73008" w:rsidP="00387AE5">
            <w:pPr>
              <w:jc w:val="right"/>
              <w:rPr>
                <w:rFonts w:cs="Times New Roman"/>
                <w:b/>
                <w:bCs/>
                <w:color w:val="000000"/>
                <w:sz w:val="18"/>
                <w:szCs w:val="20"/>
              </w:rPr>
            </w:pPr>
            <w:r w:rsidRPr="00E9337C">
              <w:rPr>
                <w:rFonts w:cs="Times New Roman"/>
                <w:b/>
                <w:bCs/>
                <w:color w:val="000000"/>
                <w:sz w:val="18"/>
                <w:szCs w:val="20"/>
              </w:rPr>
              <w:t>2022</w:t>
            </w:r>
            <w:r w:rsidR="00D65715">
              <w:rPr>
                <w:rFonts w:cs="Times New Roman"/>
                <w:b/>
                <w:bCs/>
                <w:color w:val="000000"/>
                <w:sz w:val="18"/>
                <w:szCs w:val="20"/>
              </w:rPr>
              <w:t xml:space="preserve"> PS</w:t>
            </w:r>
          </w:p>
        </w:tc>
      </w:tr>
      <w:tr w:rsidR="00B847B9" w:rsidRPr="00E9337C" w14:paraId="7FF464A3" w14:textId="77777777" w:rsidTr="00591AEA">
        <w:trPr>
          <w:trHeight w:val="57"/>
        </w:trPr>
        <w:tc>
          <w:tcPr>
            <w:tcW w:w="3969" w:type="dxa"/>
            <w:tcBorders>
              <w:top w:val="nil"/>
              <w:left w:val="nil"/>
              <w:bottom w:val="nil"/>
              <w:right w:val="nil"/>
            </w:tcBorders>
            <w:shd w:val="clear" w:color="auto" w:fill="auto"/>
            <w:vAlign w:val="center"/>
            <w:hideMark/>
          </w:tcPr>
          <w:p w14:paraId="570F3136" w14:textId="77777777" w:rsidR="00B847B9" w:rsidRPr="00E9337C" w:rsidRDefault="00B847B9" w:rsidP="00B847B9">
            <w:pPr>
              <w:rPr>
                <w:rFonts w:cs="Times New Roman"/>
                <w:b/>
                <w:bCs/>
                <w:color w:val="000000"/>
                <w:sz w:val="18"/>
                <w:szCs w:val="20"/>
              </w:rPr>
            </w:pPr>
            <w:r w:rsidRPr="00E9337C">
              <w:rPr>
                <w:rFonts w:cs="Times New Roman"/>
                <w:b/>
                <w:bCs/>
                <w:color w:val="000000"/>
                <w:sz w:val="18"/>
                <w:szCs w:val="20"/>
              </w:rPr>
              <w:t>1.   Celkové výdavky</w:t>
            </w:r>
          </w:p>
        </w:tc>
        <w:tc>
          <w:tcPr>
            <w:tcW w:w="850" w:type="dxa"/>
            <w:tcBorders>
              <w:top w:val="nil"/>
              <w:left w:val="nil"/>
              <w:bottom w:val="nil"/>
              <w:right w:val="nil"/>
            </w:tcBorders>
            <w:shd w:val="clear" w:color="auto" w:fill="auto"/>
            <w:noWrap/>
            <w:vAlign w:val="center"/>
            <w:hideMark/>
          </w:tcPr>
          <w:p w14:paraId="7CDFD72E" w14:textId="6F5A87F6" w:rsidR="00B847B9" w:rsidRPr="00B847B9" w:rsidRDefault="00B847B9">
            <w:pPr>
              <w:jc w:val="right"/>
              <w:rPr>
                <w:rFonts w:cs="Times New Roman"/>
                <w:b/>
                <w:bCs/>
                <w:color w:val="000000"/>
                <w:sz w:val="18"/>
                <w:szCs w:val="18"/>
              </w:rPr>
            </w:pPr>
            <w:r w:rsidRPr="00591AEA">
              <w:rPr>
                <w:sz w:val="18"/>
                <w:szCs w:val="18"/>
              </w:rPr>
              <w:t>34 107</w:t>
            </w:r>
          </w:p>
        </w:tc>
        <w:tc>
          <w:tcPr>
            <w:tcW w:w="851" w:type="dxa"/>
            <w:tcBorders>
              <w:top w:val="nil"/>
              <w:left w:val="nil"/>
              <w:bottom w:val="nil"/>
              <w:right w:val="nil"/>
            </w:tcBorders>
            <w:shd w:val="clear" w:color="auto" w:fill="auto"/>
            <w:noWrap/>
            <w:vAlign w:val="center"/>
            <w:hideMark/>
          </w:tcPr>
          <w:p w14:paraId="324EF580" w14:textId="0D24BC20" w:rsidR="00B847B9" w:rsidRPr="00B847B9" w:rsidRDefault="00B847B9">
            <w:pPr>
              <w:jc w:val="right"/>
              <w:rPr>
                <w:rFonts w:cs="Times New Roman"/>
                <w:b/>
                <w:bCs/>
                <w:color w:val="000000"/>
                <w:sz w:val="18"/>
                <w:szCs w:val="18"/>
              </w:rPr>
            </w:pPr>
            <w:r w:rsidRPr="00591AEA">
              <w:rPr>
                <w:sz w:val="18"/>
                <w:szCs w:val="18"/>
              </w:rPr>
              <w:t>36 646</w:t>
            </w:r>
          </w:p>
        </w:tc>
        <w:tc>
          <w:tcPr>
            <w:tcW w:w="850" w:type="dxa"/>
            <w:tcBorders>
              <w:top w:val="nil"/>
              <w:left w:val="nil"/>
              <w:bottom w:val="nil"/>
              <w:right w:val="nil"/>
            </w:tcBorders>
            <w:shd w:val="clear" w:color="auto" w:fill="auto"/>
            <w:noWrap/>
            <w:vAlign w:val="center"/>
            <w:hideMark/>
          </w:tcPr>
          <w:p w14:paraId="1A2CF7A9" w14:textId="610D78C1" w:rsidR="00B847B9" w:rsidRPr="00B847B9" w:rsidRDefault="00B847B9">
            <w:pPr>
              <w:jc w:val="right"/>
              <w:rPr>
                <w:rFonts w:cs="Times New Roman"/>
                <w:b/>
                <w:bCs/>
                <w:color w:val="000000"/>
                <w:sz w:val="18"/>
                <w:szCs w:val="18"/>
              </w:rPr>
            </w:pPr>
            <w:r w:rsidRPr="00591AEA">
              <w:rPr>
                <w:sz w:val="18"/>
                <w:szCs w:val="18"/>
              </w:rPr>
              <w:t>37 616</w:t>
            </w:r>
          </w:p>
        </w:tc>
        <w:tc>
          <w:tcPr>
            <w:tcW w:w="851" w:type="dxa"/>
            <w:tcBorders>
              <w:top w:val="nil"/>
              <w:left w:val="nil"/>
              <w:bottom w:val="nil"/>
              <w:right w:val="nil"/>
            </w:tcBorders>
            <w:shd w:val="clear" w:color="auto" w:fill="auto"/>
            <w:noWrap/>
            <w:vAlign w:val="center"/>
            <w:hideMark/>
          </w:tcPr>
          <w:p w14:paraId="4A25BECC" w14:textId="13FEB106" w:rsidR="00B847B9" w:rsidRPr="00B847B9" w:rsidRDefault="00B847B9">
            <w:pPr>
              <w:jc w:val="right"/>
              <w:rPr>
                <w:rFonts w:cs="Times New Roman"/>
                <w:b/>
                <w:bCs/>
                <w:color w:val="000000"/>
                <w:sz w:val="18"/>
                <w:szCs w:val="18"/>
              </w:rPr>
            </w:pPr>
            <w:r w:rsidRPr="00591AEA">
              <w:rPr>
                <w:sz w:val="18"/>
                <w:szCs w:val="18"/>
              </w:rPr>
              <w:t>39 271</w:t>
            </w:r>
          </w:p>
        </w:tc>
        <w:tc>
          <w:tcPr>
            <w:tcW w:w="850" w:type="dxa"/>
            <w:tcBorders>
              <w:top w:val="nil"/>
              <w:left w:val="nil"/>
              <w:bottom w:val="nil"/>
              <w:right w:val="nil"/>
            </w:tcBorders>
            <w:shd w:val="clear" w:color="auto" w:fill="auto"/>
            <w:noWrap/>
            <w:vAlign w:val="center"/>
            <w:hideMark/>
          </w:tcPr>
          <w:p w14:paraId="25157EFD" w14:textId="77DAA746" w:rsidR="00B847B9" w:rsidRPr="00B847B9" w:rsidRDefault="00B847B9">
            <w:pPr>
              <w:jc w:val="right"/>
              <w:rPr>
                <w:rFonts w:cs="Times New Roman"/>
                <w:b/>
                <w:bCs/>
                <w:color w:val="000000"/>
                <w:sz w:val="18"/>
                <w:szCs w:val="18"/>
              </w:rPr>
            </w:pPr>
            <w:r w:rsidRPr="00591AEA">
              <w:rPr>
                <w:sz w:val="18"/>
                <w:szCs w:val="18"/>
              </w:rPr>
              <w:t>40 950</w:t>
            </w:r>
          </w:p>
        </w:tc>
        <w:tc>
          <w:tcPr>
            <w:tcW w:w="851" w:type="dxa"/>
            <w:tcBorders>
              <w:top w:val="nil"/>
              <w:left w:val="nil"/>
              <w:bottom w:val="nil"/>
              <w:right w:val="nil"/>
            </w:tcBorders>
            <w:shd w:val="clear" w:color="auto" w:fill="auto"/>
            <w:noWrap/>
            <w:vAlign w:val="center"/>
            <w:hideMark/>
          </w:tcPr>
          <w:p w14:paraId="44B57272" w14:textId="08DA55A7" w:rsidR="00B847B9" w:rsidRPr="00B847B9" w:rsidRDefault="00B847B9">
            <w:pPr>
              <w:jc w:val="right"/>
              <w:rPr>
                <w:rFonts w:cs="Times New Roman"/>
                <w:b/>
                <w:bCs/>
                <w:color w:val="000000"/>
                <w:sz w:val="18"/>
                <w:szCs w:val="18"/>
              </w:rPr>
            </w:pPr>
            <w:r w:rsidRPr="00591AEA">
              <w:rPr>
                <w:sz w:val="18"/>
                <w:szCs w:val="18"/>
              </w:rPr>
              <w:t>42 769</w:t>
            </w:r>
          </w:p>
        </w:tc>
      </w:tr>
      <w:tr w:rsidR="00B847B9" w:rsidRPr="00E9337C" w14:paraId="65F38FD3" w14:textId="77777777" w:rsidTr="00591AEA">
        <w:trPr>
          <w:trHeight w:val="57"/>
        </w:trPr>
        <w:tc>
          <w:tcPr>
            <w:tcW w:w="3969" w:type="dxa"/>
            <w:tcBorders>
              <w:top w:val="nil"/>
              <w:left w:val="nil"/>
              <w:bottom w:val="nil"/>
              <w:right w:val="nil"/>
            </w:tcBorders>
            <w:shd w:val="clear" w:color="auto" w:fill="auto"/>
            <w:noWrap/>
            <w:vAlign w:val="center"/>
            <w:hideMark/>
          </w:tcPr>
          <w:p w14:paraId="5DC5D0A0" w14:textId="77777777" w:rsidR="00B847B9" w:rsidRPr="00E9337C" w:rsidRDefault="00B847B9" w:rsidP="00B847B9">
            <w:pPr>
              <w:rPr>
                <w:rFonts w:cs="Times New Roman"/>
                <w:color w:val="000000"/>
                <w:sz w:val="18"/>
                <w:szCs w:val="20"/>
              </w:rPr>
            </w:pPr>
            <w:r w:rsidRPr="00E9337C">
              <w:rPr>
                <w:rFonts w:cs="Times New Roman"/>
                <w:color w:val="000000"/>
                <w:sz w:val="18"/>
                <w:szCs w:val="20"/>
              </w:rPr>
              <w:t>2.   Úrokové náklady</w:t>
            </w:r>
          </w:p>
        </w:tc>
        <w:tc>
          <w:tcPr>
            <w:tcW w:w="850" w:type="dxa"/>
            <w:tcBorders>
              <w:top w:val="nil"/>
              <w:left w:val="nil"/>
              <w:bottom w:val="nil"/>
              <w:right w:val="nil"/>
            </w:tcBorders>
            <w:shd w:val="clear" w:color="auto" w:fill="auto"/>
            <w:noWrap/>
            <w:vAlign w:val="center"/>
            <w:hideMark/>
          </w:tcPr>
          <w:p w14:paraId="08E17D71" w14:textId="3551A893" w:rsidR="00B847B9" w:rsidRPr="00B847B9" w:rsidRDefault="00B847B9">
            <w:pPr>
              <w:jc w:val="right"/>
              <w:rPr>
                <w:rFonts w:cs="Times New Roman"/>
                <w:color w:val="000000"/>
                <w:sz w:val="18"/>
                <w:szCs w:val="18"/>
              </w:rPr>
            </w:pPr>
            <w:r w:rsidRPr="00591AEA">
              <w:rPr>
                <w:sz w:val="18"/>
                <w:szCs w:val="18"/>
              </w:rPr>
              <w:t>1 179</w:t>
            </w:r>
          </w:p>
        </w:tc>
        <w:tc>
          <w:tcPr>
            <w:tcW w:w="851" w:type="dxa"/>
            <w:tcBorders>
              <w:top w:val="nil"/>
              <w:left w:val="nil"/>
              <w:bottom w:val="nil"/>
              <w:right w:val="nil"/>
            </w:tcBorders>
            <w:shd w:val="clear" w:color="auto" w:fill="auto"/>
            <w:noWrap/>
            <w:vAlign w:val="center"/>
            <w:hideMark/>
          </w:tcPr>
          <w:p w14:paraId="4D96206E" w14:textId="00F54178" w:rsidR="00B847B9" w:rsidRPr="00B847B9" w:rsidRDefault="00B847B9">
            <w:pPr>
              <w:jc w:val="right"/>
              <w:rPr>
                <w:rFonts w:cs="Times New Roman"/>
                <w:color w:val="000000"/>
                <w:sz w:val="18"/>
                <w:szCs w:val="18"/>
              </w:rPr>
            </w:pPr>
            <w:r w:rsidRPr="00591AEA">
              <w:rPr>
                <w:sz w:val="18"/>
                <w:szCs w:val="18"/>
              </w:rPr>
              <w:t>1 176</w:t>
            </w:r>
          </w:p>
        </w:tc>
        <w:tc>
          <w:tcPr>
            <w:tcW w:w="850" w:type="dxa"/>
            <w:tcBorders>
              <w:top w:val="nil"/>
              <w:left w:val="nil"/>
              <w:bottom w:val="nil"/>
              <w:right w:val="nil"/>
            </w:tcBorders>
            <w:shd w:val="clear" w:color="auto" w:fill="auto"/>
            <w:noWrap/>
            <w:vAlign w:val="center"/>
            <w:hideMark/>
          </w:tcPr>
          <w:p w14:paraId="136707A3" w14:textId="5973FD9E" w:rsidR="00B847B9" w:rsidRPr="00B847B9" w:rsidRDefault="00B847B9">
            <w:pPr>
              <w:jc w:val="right"/>
              <w:rPr>
                <w:rFonts w:cs="Times New Roman"/>
                <w:color w:val="000000"/>
                <w:sz w:val="18"/>
                <w:szCs w:val="18"/>
              </w:rPr>
            </w:pPr>
            <w:r w:rsidRPr="00591AEA">
              <w:rPr>
                <w:sz w:val="18"/>
                <w:szCs w:val="18"/>
              </w:rPr>
              <w:t>1 122</w:t>
            </w:r>
          </w:p>
        </w:tc>
        <w:tc>
          <w:tcPr>
            <w:tcW w:w="851" w:type="dxa"/>
            <w:tcBorders>
              <w:top w:val="nil"/>
              <w:left w:val="nil"/>
              <w:bottom w:val="nil"/>
              <w:right w:val="nil"/>
            </w:tcBorders>
            <w:shd w:val="clear" w:color="auto" w:fill="auto"/>
            <w:noWrap/>
            <w:vAlign w:val="center"/>
            <w:hideMark/>
          </w:tcPr>
          <w:p w14:paraId="729CAC5D" w14:textId="6F684367" w:rsidR="00B847B9" w:rsidRPr="00B847B9" w:rsidRDefault="00B847B9">
            <w:pPr>
              <w:jc w:val="right"/>
              <w:rPr>
                <w:rFonts w:cs="Times New Roman"/>
                <w:color w:val="000000"/>
                <w:sz w:val="18"/>
                <w:szCs w:val="18"/>
              </w:rPr>
            </w:pPr>
            <w:r w:rsidRPr="00591AEA">
              <w:rPr>
                <w:sz w:val="18"/>
                <w:szCs w:val="18"/>
              </w:rPr>
              <w:t>1 079</w:t>
            </w:r>
          </w:p>
        </w:tc>
        <w:tc>
          <w:tcPr>
            <w:tcW w:w="850" w:type="dxa"/>
            <w:tcBorders>
              <w:top w:val="nil"/>
              <w:left w:val="nil"/>
              <w:bottom w:val="nil"/>
              <w:right w:val="nil"/>
            </w:tcBorders>
            <w:shd w:val="clear" w:color="auto" w:fill="auto"/>
            <w:noWrap/>
            <w:vAlign w:val="center"/>
            <w:hideMark/>
          </w:tcPr>
          <w:p w14:paraId="7F8D55CE" w14:textId="65F0CF2C" w:rsidR="00B847B9" w:rsidRPr="00B847B9" w:rsidRDefault="00B847B9">
            <w:pPr>
              <w:jc w:val="right"/>
              <w:rPr>
                <w:rFonts w:cs="Times New Roman"/>
                <w:color w:val="000000"/>
                <w:sz w:val="18"/>
                <w:szCs w:val="18"/>
              </w:rPr>
            </w:pPr>
            <w:r w:rsidRPr="00591AEA">
              <w:rPr>
                <w:sz w:val="18"/>
                <w:szCs w:val="18"/>
              </w:rPr>
              <w:t>1 080</w:t>
            </w:r>
          </w:p>
        </w:tc>
        <w:tc>
          <w:tcPr>
            <w:tcW w:w="851" w:type="dxa"/>
            <w:tcBorders>
              <w:top w:val="nil"/>
              <w:left w:val="nil"/>
              <w:bottom w:val="nil"/>
              <w:right w:val="nil"/>
            </w:tcBorders>
            <w:shd w:val="clear" w:color="auto" w:fill="auto"/>
            <w:noWrap/>
            <w:vAlign w:val="center"/>
            <w:hideMark/>
          </w:tcPr>
          <w:p w14:paraId="6C21C0EF" w14:textId="75A64613" w:rsidR="00B847B9" w:rsidRPr="00B847B9" w:rsidRDefault="00B847B9">
            <w:pPr>
              <w:jc w:val="right"/>
              <w:rPr>
                <w:rFonts w:cs="Times New Roman"/>
                <w:color w:val="000000"/>
                <w:sz w:val="18"/>
                <w:szCs w:val="18"/>
              </w:rPr>
            </w:pPr>
            <w:r w:rsidRPr="00591AEA">
              <w:rPr>
                <w:sz w:val="18"/>
                <w:szCs w:val="18"/>
              </w:rPr>
              <w:t>1 127</w:t>
            </w:r>
          </w:p>
        </w:tc>
      </w:tr>
      <w:tr w:rsidR="00B847B9" w:rsidRPr="00E9337C" w14:paraId="184CF1BB" w14:textId="77777777" w:rsidTr="00591AEA">
        <w:trPr>
          <w:trHeight w:val="57"/>
        </w:trPr>
        <w:tc>
          <w:tcPr>
            <w:tcW w:w="3969" w:type="dxa"/>
            <w:tcBorders>
              <w:top w:val="nil"/>
              <w:left w:val="nil"/>
              <w:bottom w:val="nil"/>
              <w:right w:val="nil"/>
            </w:tcBorders>
            <w:shd w:val="clear" w:color="auto" w:fill="auto"/>
            <w:noWrap/>
            <w:vAlign w:val="center"/>
            <w:hideMark/>
          </w:tcPr>
          <w:p w14:paraId="4BE18D5C" w14:textId="77777777" w:rsidR="00B847B9" w:rsidRPr="00E9337C" w:rsidRDefault="00B847B9" w:rsidP="00B847B9">
            <w:pPr>
              <w:rPr>
                <w:rFonts w:cs="Times New Roman"/>
                <w:color w:val="000000"/>
                <w:sz w:val="18"/>
                <w:szCs w:val="20"/>
              </w:rPr>
            </w:pPr>
            <w:r w:rsidRPr="00E9337C">
              <w:rPr>
                <w:rFonts w:cs="Times New Roman"/>
                <w:color w:val="000000"/>
                <w:sz w:val="18"/>
                <w:szCs w:val="20"/>
              </w:rPr>
              <w:t>3.   Výdavky kryté EU (kapitálové)</w:t>
            </w:r>
          </w:p>
        </w:tc>
        <w:tc>
          <w:tcPr>
            <w:tcW w:w="850" w:type="dxa"/>
            <w:tcBorders>
              <w:top w:val="nil"/>
              <w:left w:val="nil"/>
              <w:bottom w:val="nil"/>
              <w:right w:val="nil"/>
            </w:tcBorders>
            <w:shd w:val="clear" w:color="auto" w:fill="auto"/>
            <w:noWrap/>
            <w:vAlign w:val="center"/>
            <w:hideMark/>
          </w:tcPr>
          <w:p w14:paraId="26F8D7FE" w14:textId="203BBC60" w:rsidR="00B847B9" w:rsidRPr="00B847B9" w:rsidRDefault="00B847B9">
            <w:pPr>
              <w:jc w:val="right"/>
              <w:rPr>
                <w:rFonts w:cs="Times New Roman"/>
                <w:color w:val="000000"/>
                <w:sz w:val="18"/>
                <w:szCs w:val="18"/>
              </w:rPr>
            </w:pPr>
            <w:r w:rsidRPr="00591AEA">
              <w:rPr>
                <w:sz w:val="18"/>
                <w:szCs w:val="18"/>
              </w:rPr>
              <w:t>440</w:t>
            </w:r>
          </w:p>
        </w:tc>
        <w:tc>
          <w:tcPr>
            <w:tcW w:w="851" w:type="dxa"/>
            <w:tcBorders>
              <w:top w:val="nil"/>
              <w:left w:val="nil"/>
              <w:bottom w:val="nil"/>
              <w:right w:val="nil"/>
            </w:tcBorders>
            <w:shd w:val="clear" w:color="auto" w:fill="auto"/>
            <w:noWrap/>
            <w:vAlign w:val="center"/>
            <w:hideMark/>
          </w:tcPr>
          <w:p w14:paraId="3382EF62" w14:textId="4098478F" w:rsidR="00B847B9" w:rsidRPr="00B847B9" w:rsidRDefault="00B847B9">
            <w:pPr>
              <w:jc w:val="right"/>
              <w:rPr>
                <w:rFonts w:cs="Times New Roman"/>
                <w:color w:val="000000"/>
                <w:sz w:val="18"/>
                <w:szCs w:val="18"/>
              </w:rPr>
            </w:pPr>
            <w:r w:rsidRPr="00591AEA">
              <w:rPr>
                <w:sz w:val="18"/>
                <w:szCs w:val="18"/>
              </w:rPr>
              <w:t>749</w:t>
            </w:r>
          </w:p>
        </w:tc>
        <w:tc>
          <w:tcPr>
            <w:tcW w:w="850" w:type="dxa"/>
            <w:tcBorders>
              <w:top w:val="nil"/>
              <w:left w:val="nil"/>
              <w:bottom w:val="nil"/>
              <w:right w:val="nil"/>
            </w:tcBorders>
            <w:shd w:val="clear" w:color="auto" w:fill="auto"/>
            <w:noWrap/>
            <w:vAlign w:val="center"/>
            <w:hideMark/>
          </w:tcPr>
          <w:p w14:paraId="412660B6" w14:textId="7F387DEE" w:rsidR="00B847B9" w:rsidRPr="00B847B9" w:rsidRDefault="00B847B9">
            <w:pPr>
              <w:jc w:val="right"/>
              <w:rPr>
                <w:rFonts w:cs="Times New Roman"/>
                <w:color w:val="000000"/>
                <w:sz w:val="18"/>
                <w:szCs w:val="18"/>
              </w:rPr>
            </w:pPr>
            <w:r w:rsidRPr="00591AEA">
              <w:rPr>
                <w:sz w:val="18"/>
                <w:szCs w:val="18"/>
              </w:rPr>
              <w:t>321</w:t>
            </w:r>
          </w:p>
        </w:tc>
        <w:tc>
          <w:tcPr>
            <w:tcW w:w="851" w:type="dxa"/>
            <w:tcBorders>
              <w:top w:val="nil"/>
              <w:left w:val="nil"/>
              <w:bottom w:val="nil"/>
              <w:right w:val="nil"/>
            </w:tcBorders>
            <w:shd w:val="clear" w:color="auto" w:fill="auto"/>
            <w:noWrap/>
            <w:vAlign w:val="center"/>
            <w:hideMark/>
          </w:tcPr>
          <w:p w14:paraId="78590559" w14:textId="2789F1CB" w:rsidR="00B847B9" w:rsidRPr="00B847B9" w:rsidRDefault="00B847B9">
            <w:pPr>
              <w:jc w:val="right"/>
              <w:rPr>
                <w:rFonts w:cs="Times New Roman"/>
                <w:color w:val="000000"/>
                <w:sz w:val="18"/>
                <w:szCs w:val="18"/>
              </w:rPr>
            </w:pPr>
            <w:r w:rsidRPr="00591AEA">
              <w:rPr>
                <w:sz w:val="18"/>
                <w:szCs w:val="18"/>
              </w:rPr>
              <w:t>127</w:t>
            </w:r>
          </w:p>
        </w:tc>
        <w:tc>
          <w:tcPr>
            <w:tcW w:w="850" w:type="dxa"/>
            <w:tcBorders>
              <w:top w:val="nil"/>
              <w:left w:val="nil"/>
              <w:bottom w:val="nil"/>
              <w:right w:val="nil"/>
            </w:tcBorders>
            <w:shd w:val="clear" w:color="auto" w:fill="auto"/>
            <w:noWrap/>
            <w:vAlign w:val="center"/>
            <w:hideMark/>
          </w:tcPr>
          <w:p w14:paraId="0A2F225E" w14:textId="61952192" w:rsidR="00B847B9" w:rsidRPr="00B847B9" w:rsidRDefault="00B847B9">
            <w:pPr>
              <w:jc w:val="right"/>
              <w:rPr>
                <w:rFonts w:cs="Times New Roman"/>
                <w:color w:val="000000"/>
                <w:sz w:val="18"/>
                <w:szCs w:val="18"/>
              </w:rPr>
            </w:pPr>
            <w:r w:rsidRPr="00591AEA">
              <w:rPr>
                <w:sz w:val="18"/>
                <w:szCs w:val="18"/>
              </w:rPr>
              <w:t>13</w:t>
            </w:r>
          </w:p>
        </w:tc>
        <w:tc>
          <w:tcPr>
            <w:tcW w:w="851" w:type="dxa"/>
            <w:tcBorders>
              <w:top w:val="nil"/>
              <w:left w:val="nil"/>
              <w:bottom w:val="nil"/>
              <w:right w:val="nil"/>
            </w:tcBorders>
            <w:shd w:val="clear" w:color="auto" w:fill="auto"/>
            <w:noWrap/>
            <w:vAlign w:val="center"/>
            <w:hideMark/>
          </w:tcPr>
          <w:p w14:paraId="4D462D84" w14:textId="758A28F3" w:rsidR="00B847B9" w:rsidRPr="00B847B9" w:rsidRDefault="00B847B9">
            <w:pPr>
              <w:jc w:val="right"/>
              <w:rPr>
                <w:rFonts w:cs="Times New Roman"/>
                <w:color w:val="000000"/>
                <w:sz w:val="18"/>
                <w:szCs w:val="18"/>
              </w:rPr>
            </w:pPr>
            <w:r w:rsidRPr="00591AEA">
              <w:rPr>
                <w:sz w:val="18"/>
                <w:szCs w:val="18"/>
              </w:rPr>
              <w:t>334</w:t>
            </w:r>
          </w:p>
        </w:tc>
      </w:tr>
      <w:tr w:rsidR="00B847B9" w:rsidRPr="00E9337C" w14:paraId="6BBA28A1" w14:textId="77777777" w:rsidTr="00591AEA">
        <w:trPr>
          <w:trHeight w:val="57"/>
        </w:trPr>
        <w:tc>
          <w:tcPr>
            <w:tcW w:w="3969" w:type="dxa"/>
            <w:tcBorders>
              <w:top w:val="nil"/>
              <w:left w:val="nil"/>
              <w:bottom w:val="nil"/>
              <w:right w:val="nil"/>
            </w:tcBorders>
            <w:shd w:val="clear" w:color="auto" w:fill="auto"/>
            <w:noWrap/>
            <w:vAlign w:val="center"/>
            <w:hideMark/>
          </w:tcPr>
          <w:p w14:paraId="5AE23F11" w14:textId="77777777" w:rsidR="00B847B9" w:rsidRPr="00E9337C" w:rsidRDefault="00B847B9" w:rsidP="00B847B9">
            <w:pPr>
              <w:rPr>
                <w:rFonts w:cs="Times New Roman"/>
                <w:color w:val="000000"/>
                <w:sz w:val="18"/>
                <w:szCs w:val="20"/>
              </w:rPr>
            </w:pPr>
            <w:r w:rsidRPr="00E9337C">
              <w:rPr>
                <w:rFonts w:cs="Times New Roman"/>
                <w:color w:val="000000"/>
                <w:sz w:val="18"/>
                <w:szCs w:val="20"/>
              </w:rPr>
              <w:t>3a. Výdavky kryté EÚ zdrojmi (celkové)</w:t>
            </w:r>
          </w:p>
        </w:tc>
        <w:tc>
          <w:tcPr>
            <w:tcW w:w="850" w:type="dxa"/>
            <w:tcBorders>
              <w:top w:val="nil"/>
              <w:left w:val="nil"/>
              <w:bottom w:val="nil"/>
              <w:right w:val="nil"/>
            </w:tcBorders>
            <w:shd w:val="clear" w:color="auto" w:fill="auto"/>
            <w:noWrap/>
            <w:vAlign w:val="center"/>
            <w:hideMark/>
          </w:tcPr>
          <w:p w14:paraId="349A487E" w14:textId="0AE97678" w:rsidR="00B847B9" w:rsidRPr="00B847B9" w:rsidRDefault="00B847B9">
            <w:pPr>
              <w:jc w:val="right"/>
              <w:rPr>
                <w:rFonts w:cs="Times New Roman"/>
                <w:color w:val="000000"/>
                <w:sz w:val="18"/>
                <w:szCs w:val="18"/>
              </w:rPr>
            </w:pPr>
            <w:r w:rsidRPr="00591AEA">
              <w:rPr>
                <w:sz w:val="18"/>
                <w:szCs w:val="18"/>
              </w:rPr>
              <w:t>632</w:t>
            </w:r>
          </w:p>
        </w:tc>
        <w:tc>
          <w:tcPr>
            <w:tcW w:w="851" w:type="dxa"/>
            <w:tcBorders>
              <w:top w:val="nil"/>
              <w:left w:val="nil"/>
              <w:bottom w:val="nil"/>
              <w:right w:val="nil"/>
            </w:tcBorders>
            <w:shd w:val="clear" w:color="auto" w:fill="auto"/>
            <w:noWrap/>
            <w:vAlign w:val="center"/>
            <w:hideMark/>
          </w:tcPr>
          <w:p w14:paraId="1DDBD108" w14:textId="1FC20DAD" w:rsidR="00B847B9" w:rsidRPr="00B847B9" w:rsidRDefault="00B847B9">
            <w:pPr>
              <w:jc w:val="right"/>
              <w:rPr>
                <w:rFonts w:cs="Times New Roman"/>
                <w:color w:val="000000"/>
                <w:sz w:val="18"/>
                <w:szCs w:val="18"/>
              </w:rPr>
            </w:pPr>
            <w:r w:rsidRPr="00591AEA">
              <w:rPr>
                <w:sz w:val="18"/>
                <w:szCs w:val="18"/>
              </w:rPr>
              <w:t>1 011</w:t>
            </w:r>
          </w:p>
        </w:tc>
        <w:tc>
          <w:tcPr>
            <w:tcW w:w="850" w:type="dxa"/>
            <w:tcBorders>
              <w:top w:val="nil"/>
              <w:left w:val="nil"/>
              <w:bottom w:val="nil"/>
              <w:right w:val="nil"/>
            </w:tcBorders>
            <w:shd w:val="clear" w:color="auto" w:fill="auto"/>
            <w:noWrap/>
            <w:vAlign w:val="center"/>
            <w:hideMark/>
          </w:tcPr>
          <w:p w14:paraId="14EEEFC8" w14:textId="30B8CA53" w:rsidR="00B847B9" w:rsidRPr="00B847B9" w:rsidRDefault="00B847B9">
            <w:pPr>
              <w:jc w:val="right"/>
              <w:rPr>
                <w:rFonts w:cs="Times New Roman"/>
                <w:color w:val="000000"/>
                <w:sz w:val="18"/>
                <w:szCs w:val="18"/>
              </w:rPr>
            </w:pPr>
            <w:r w:rsidRPr="00591AEA">
              <w:rPr>
                <w:sz w:val="18"/>
                <w:szCs w:val="18"/>
              </w:rPr>
              <w:t>699</w:t>
            </w:r>
          </w:p>
        </w:tc>
        <w:tc>
          <w:tcPr>
            <w:tcW w:w="851" w:type="dxa"/>
            <w:tcBorders>
              <w:top w:val="nil"/>
              <w:left w:val="nil"/>
              <w:bottom w:val="nil"/>
              <w:right w:val="nil"/>
            </w:tcBorders>
            <w:shd w:val="clear" w:color="auto" w:fill="auto"/>
            <w:noWrap/>
            <w:vAlign w:val="center"/>
            <w:hideMark/>
          </w:tcPr>
          <w:p w14:paraId="2D719743" w14:textId="6884077B" w:rsidR="00B847B9" w:rsidRPr="00B847B9" w:rsidRDefault="00B847B9">
            <w:pPr>
              <w:jc w:val="right"/>
              <w:rPr>
                <w:rFonts w:cs="Times New Roman"/>
                <w:color w:val="000000"/>
                <w:sz w:val="18"/>
                <w:szCs w:val="18"/>
              </w:rPr>
            </w:pPr>
            <w:r w:rsidRPr="00591AEA">
              <w:rPr>
                <w:sz w:val="18"/>
                <w:szCs w:val="18"/>
              </w:rPr>
              <w:t>585</w:t>
            </w:r>
          </w:p>
        </w:tc>
        <w:tc>
          <w:tcPr>
            <w:tcW w:w="850" w:type="dxa"/>
            <w:tcBorders>
              <w:top w:val="nil"/>
              <w:left w:val="nil"/>
              <w:bottom w:val="nil"/>
              <w:right w:val="nil"/>
            </w:tcBorders>
            <w:shd w:val="clear" w:color="auto" w:fill="auto"/>
            <w:noWrap/>
            <w:vAlign w:val="center"/>
            <w:hideMark/>
          </w:tcPr>
          <w:p w14:paraId="79C4A361" w14:textId="100D46EE" w:rsidR="00B847B9" w:rsidRPr="00B847B9" w:rsidRDefault="00B847B9">
            <w:pPr>
              <w:jc w:val="right"/>
              <w:rPr>
                <w:rFonts w:cs="Times New Roman"/>
                <w:color w:val="000000"/>
                <w:sz w:val="18"/>
                <w:szCs w:val="18"/>
              </w:rPr>
            </w:pPr>
            <w:r w:rsidRPr="00591AEA">
              <w:rPr>
                <w:sz w:val="18"/>
                <w:szCs w:val="18"/>
              </w:rPr>
              <w:t>812</w:t>
            </w:r>
          </w:p>
        </w:tc>
        <w:tc>
          <w:tcPr>
            <w:tcW w:w="851" w:type="dxa"/>
            <w:tcBorders>
              <w:top w:val="nil"/>
              <w:left w:val="nil"/>
              <w:bottom w:val="nil"/>
              <w:right w:val="nil"/>
            </w:tcBorders>
            <w:shd w:val="clear" w:color="auto" w:fill="auto"/>
            <w:noWrap/>
            <w:vAlign w:val="center"/>
            <w:hideMark/>
          </w:tcPr>
          <w:p w14:paraId="07BCA95E" w14:textId="090A20D1" w:rsidR="00B847B9" w:rsidRPr="00B847B9" w:rsidRDefault="00B847B9">
            <w:pPr>
              <w:jc w:val="right"/>
              <w:rPr>
                <w:rFonts w:cs="Times New Roman"/>
                <w:color w:val="000000"/>
                <w:sz w:val="18"/>
                <w:szCs w:val="18"/>
              </w:rPr>
            </w:pPr>
            <w:r w:rsidRPr="00591AEA">
              <w:rPr>
                <w:sz w:val="18"/>
                <w:szCs w:val="18"/>
              </w:rPr>
              <w:t>1 104</w:t>
            </w:r>
          </w:p>
        </w:tc>
      </w:tr>
      <w:tr w:rsidR="00B847B9" w:rsidRPr="00E9337C" w14:paraId="343AC788" w14:textId="77777777" w:rsidTr="00591AEA">
        <w:trPr>
          <w:trHeight w:val="57"/>
        </w:trPr>
        <w:tc>
          <w:tcPr>
            <w:tcW w:w="3969" w:type="dxa"/>
            <w:tcBorders>
              <w:top w:val="nil"/>
              <w:left w:val="nil"/>
              <w:bottom w:val="nil"/>
              <w:right w:val="nil"/>
            </w:tcBorders>
            <w:shd w:val="clear" w:color="auto" w:fill="auto"/>
            <w:vAlign w:val="center"/>
            <w:hideMark/>
          </w:tcPr>
          <w:p w14:paraId="5FB58C24" w14:textId="77777777" w:rsidR="00B847B9" w:rsidRPr="00E9337C" w:rsidRDefault="00B847B9" w:rsidP="00B847B9">
            <w:pPr>
              <w:rPr>
                <w:rFonts w:cs="Times New Roman"/>
                <w:color w:val="000000"/>
                <w:sz w:val="18"/>
                <w:szCs w:val="20"/>
              </w:rPr>
            </w:pPr>
            <w:r w:rsidRPr="00E9337C">
              <w:rPr>
                <w:rFonts w:cs="Times New Roman"/>
                <w:color w:val="000000"/>
                <w:sz w:val="18"/>
                <w:szCs w:val="20"/>
              </w:rPr>
              <w:t>4.   Kapitálové výdavky kryté národnými zdrojmi</w:t>
            </w:r>
          </w:p>
        </w:tc>
        <w:tc>
          <w:tcPr>
            <w:tcW w:w="850" w:type="dxa"/>
            <w:tcBorders>
              <w:top w:val="nil"/>
              <w:left w:val="nil"/>
              <w:bottom w:val="nil"/>
              <w:right w:val="nil"/>
            </w:tcBorders>
            <w:shd w:val="clear" w:color="auto" w:fill="auto"/>
            <w:noWrap/>
            <w:vAlign w:val="center"/>
            <w:hideMark/>
          </w:tcPr>
          <w:p w14:paraId="52CE3165" w14:textId="62AE1F1A" w:rsidR="00B847B9" w:rsidRPr="00B847B9" w:rsidRDefault="00B847B9">
            <w:pPr>
              <w:jc w:val="right"/>
              <w:rPr>
                <w:rFonts w:cs="Times New Roman"/>
                <w:color w:val="000000"/>
                <w:sz w:val="18"/>
                <w:szCs w:val="18"/>
              </w:rPr>
            </w:pPr>
            <w:r w:rsidRPr="00591AEA">
              <w:rPr>
                <w:sz w:val="18"/>
                <w:szCs w:val="18"/>
              </w:rPr>
              <w:t>2 259</w:t>
            </w:r>
          </w:p>
        </w:tc>
        <w:tc>
          <w:tcPr>
            <w:tcW w:w="851" w:type="dxa"/>
            <w:tcBorders>
              <w:top w:val="nil"/>
              <w:left w:val="nil"/>
              <w:bottom w:val="nil"/>
              <w:right w:val="nil"/>
            </w:tcBorders>
            <w:shd w:val="clear" w:color="auto" w:fill="auto"/>
            <w:noWrap/>
            <w:vAlign w:val="center"/>
            <w:hideMark/>
          </w:tcPr>
          <w:p w14:paraId="4B49D43F" w14:textId="18D098FE" w:rsidR="00B847B9" w:rsidRPr="00B847B9" w:rsidRDefault="00B847B9">
            <w:pPr>
              <w:jc w:val="right"/>
              <w:rPr>
                <w:rFonts w:cs="Times New Roman"/>
                <w:color w:val="000000"/>
                <w:sz w:val="18"/>
                <w:szCs w:val="18"/>
              </w:rPr>
            </w:pPr>
            <w:r w:rsidRPr="00591AEA">
              <w:rPr>
                <w:sz w:val="18"/>
                <w:szCs w:val="18"/>
              </w:rPr>
              <w:t>2 469</w:t>
            </w:r>
          </w:p>
        </w:tc>
        <w:tc>
          <w:tcPr>
            <w:tcW w:w="850" w:type="dxa"/>
            <w:tcBorders>
              <w:top w:val="nil"/>
              <w:left w:val="nil"/>
              <w:bottom w:val="nil"/>
              <w:right w:val="nil"/>
            </w:tcBorders>
            <w:shd w:val="clear" w:color="auto" w:fill="auto"/>
            <w:noWrap/>
            <w:vAlign w:val="center"/>
            <w:hideMark/>
          </w:tcPr>
          <w:p w14:paraId="6A604595" w14:textId="3FF0381E" w:rsidR="00B847B9" w:rsidRPr="00B847B9" w:rsidRDefault="00B847B9">
            <w:pPr>
              <w:jc w:val="right"/>
              <w:rPr>
                <w:rFonts w:cs="Times New Roman"/>
                <w:color w:val="000000"/>
                <w:sz w:val="18"/>
                <w:szCs w:val="18"/>
              </w:rPr>
            </w:pPr>
            <w:r w:rsidRPr="00591AEA">
              <w:rPr>
                <w:sz w:val="18"/>
                <w:szCs w:val="18"/>
              </w:rPr>
              <w:t>2 250</w:t>
            </w:r>
          </w:p>
        </w:tc>
        <w:tc>
          <w:tcPr>
            <w:tcW w:w="851" w:type="dxa"/>
            <w:tcBorders>
              <w:top w:val="nil"/>
              <w:left w:val="nil"/>
              <w:bottom w:val="nil"/>
              <w:right w:val="nil"/>
            </w:tcBorders>
            <w:shd w:val="clear" w:color="auto" w:fill="auto"/>
            <w:noWrap/>
            <w:vAlign w:val="center"/>
            <w:hideMark/>
          </w:tcPr>
          <w:p w14:paraId="0A5A5706" w14:textId="5C919498" w:rsidR="00B847B9" w:rsidRPr="00B847B9" w:rsidRDefault="00B847B9">
            <w:pPr>
              <w:jc w:val="right"/>
              <w:rPr>
                <w:rFonts w:cs="Times New Roman"/>
                <w:color w:val="000000"/>
                <w:sz w:val="18"/>
                <w:szCs w:val="18"/>
              </w:rPr>
            </w:pPr>
            <w:r w:rsidRPr="00591AEA">
              <w:rPr>
                <w:sz w:val="18"/>
                <w:szCs w:val="18"/>
              </w:rPr>
              <w:t>2 589</w:t>
            </w:r>
          </w:p>
        </w:tc>
        <w:tc>
          <w:tcPr>
            <w:tcW w:w="850" w:type="dxa"/>
            <w:tcBorders>
              <w:top w:val="nil"/>
              <w:left w:val="nil"/>
              <w:bottom w:val="nil"/>
              <w:right w:val="nil"/>
            </w:tcBorders>
            <w:shd w:val="clear" w:color="auto" w:fill="auto"/>
            <w:noWrap/>
            <w:vAlign w:val="center"/>
            <w:hideMark/>
          </w:tcPr>
          <w:p w14:paraId="46C93840" w14:textId="29764A9D" w:rsidR="00B847B9" w:rsidRPr="00B847B9" w:rsidRDefault="00B847B9">
            <w:pPr>
              <w:jc w:val="right"/>
              <w:rPr>
                <w:rFonts w:cs="Times New Roman"/>
                <w:color w:val="000000"/>
                <w:sz w:val="18"/>
                <w:szCs w:val="18"/>
              </w:rPr>
            </w:pPr>
            <w:r w:rsidRPr="00591AEA">
              <w:rPr>
                <w:sz w:val="18"/>
                <w:szCs w:val="18"/>
              </w:rPr>
              <w:t>2 691</w:t>
            </w:r>
          </w:p>
        </w:tc>
        <w:tc>
          <w:tcPr>
            <w:tcW w:w="851" w:type="dxa"/>
            <w:tcBorders>
              <w:top w:val="nil"/>
              <w:left w:val="nil"/>
              <w:bottom w:val="nil"/>
              <w:right w:val="nil"/>
            </w:tcBorders>
            <w:shd w:val="clear" w:color="auto" w:fill="auto"/>
            <w:noWrap/>
            <w:vAlign w:val="center"/>
            <w:hideMark/>
          </w:tcPr>
          <w:p w14:paraId="307FDC7F" w14:textId="45D4EEEE" w:rsidR="00B847B9" w:rsidRPr="00B847B9" w:rsidRDefault="00B847B9">
            <w:pPr>
              <w:jc w:val="right"/>
              <w:rPr>
                <w:rFonts w:cs="Times New Roman"/>
                <w:color w:val="000000"/>
                <w:sz w:val="18"/>
                <w:szCs w:val="18"/>
              </w:rPr>
            </w:pPr>
            <w:r w:rsidRPr="00591AEA">
              <w:rPr>
                <w:sz w:val="18"/>
                <w:szCs w:val="18"/>
              </w:rPr>
              <w:t>3 159</w:t>
            </w:r>
          </w:p>
        </w:tc>
      </w:tr>
      <w:tr w:rsidR="00B847B9" w:rsidRPr="00E9337C" w14:paraId="17860C31" w14:textId="77777777" w:rsidTr="00591AEA">
        <w:trPr>
          <w:trHeight w:val="57"/>
        </w:trPr>
        <w:tc>
          <w:tcPr>
            <w:tcW w:w="3969" w:type="dxa"/>
            <w:tcBorders>
              <w:top w:val="nil"/>
              <w:left w:val="nil"/>
              <w:bottom w:val="nil"/>
              <w:right w:val="nil"/>
            </w:tcBorders>
            <w:shd w:val="clear" w:color="auto" w:fill="auto"/>
            <w:vAlign w:val="center"/>
            <w:hideMark/>
          </w:tcPr>
          <w:p w14:paraId="4E058C9D" w14:textId="77777777" w:rsidR="00B847B9" w:rsidRPr="00E9337C" w:rsidRDefault="00B847B9" w:rsidP="00B847B9">
            <w:pPr>
              <w:rPr>
                <w:rFonts w:cs="Times New Roman"/>
                <w:color w:val="000000"/>
                <w:sz w:val="18"/>
                <w:szCs w:val="20"/>
              </w:rPr>
            </w:pPr>
            <w:r w:rsidRPr="00E9337C">
              <w:rPr>
                <w:rFonts w:cs="Times New Roman"/>
                <w:color w:val="000000"/>
                <w:sz w:val="18"/>
                <w:szCs w:val="20"/>
              </w:rPr>
              <w:t>5.   Vyhladené kapitálové výdavky (nár. zdroje 4-ročný pohyblivý priemer)</w:t>
            </w:r>
          </w:p>
        </w:tc>
        <w:tc>
          <w:tcPr>
            <w:tcW w:w="850" w:type="dxa"/>
            <w:tcBorders>
              <w:top w:val="nil"/>
              <w:left w:val="nil"/>
              <w:bottom w:val="nil"/>
              <w:right w:val="nil"/>
            </w:tcBorders>
            <w:shd w:val="clear" w:color="auto" w:fill="auto"/>
            <w:noWrap/>
            <w:vAlign w:val="center"/>
            <w:hideMark/>
          </w:tcPr>
          <w:p w14:paraId="45F04591" w14:textId="05AFC3A8" w:rsidR="00B847B9" w:rsidRPr="00B847B9" w:rsidRDefault="00B847B9">
            <w:pPr>
              <w:jc w:val="right"/>
              <w:rPr>
                <w:rFonts w:cs="Times New Roman"/>
                <w:color w:val="000000"/>
                <w:sz w:val="18"/>
                <w:szCs w:val="18"/>
              </w:rPr>
            </w:pPr>
            <w:r w:rsidRPr="00591AEA">
              <w:rPr>
                <w:sz w:val="18"/>
                <w:szCs w:val="18"/>
              </w:rPr>
              <w:t>2 252</w:t>
            </w:r>
          </w:p>
        </w:tc>
        <w:tc>
          <w:tcPr>
            <w:tcW w:w="851" w:type="dxa"/>
            <w:tcBorders>
              <w:top w:val="nil"/>
              <w:left w:val="nil"/>
              <w:bottom w:val="nil"/>
              <w:right w:val="nil"/>
            </w:tcBorders>
            <w:shd w:val="clear" w:color="auto" w:fill="auto"/>
            <w:noWrap/>
            <w:vAlign w:val="center"/>
            <w:hideMark/>
          </w:tcPr>
          <w:p w14:paraId="2DA9A00C" w14:textId="42F1C42C" w:rsidR="00B847B9" w:rsidRPr="00B847B9" w:rsidRDefault="00B847B9">
            <w:pPr>
              <w:jc w:val="right"/>
              <w:rPr>
                <w:rFonts w:cs="Times New Roman"/>
                <w:color w:val="000000"/>
                <w:sz w:val="18"/>
                <w:szCs w:val="18"/>
              </w:rPr>
            </w:pPr>
            <w:r w:rsidRPr="00591AEA">
              <w:rPr>
                <w:sz w:val="18"/>
                <w:szCs w:val="18"/>
              </w:rPr>
              <w:t>2 356</w:t>
            </w:r>
          </w:p>
        </w:tc>
        <w:tc>
          <w:tcPr>
            <w:tcW w:w="850" w:type="dxa"/>
            <w:tcBorders>
              <w:top w:val="nil"/>
              <w:left w:val="nil"/>
              <w:bottom w:val="nil"/>
              <w:right w:val="nil"/>
            </w:tcBorders>
            <w:shd w:val="clear" w:color="auto" w:fill="auto"/>
            <w:noWrap/>
            <w:vAlign w:val="center"/>
            <w:hideMark/>
          </w:tcPr>
          <w:p w14:paraId="5F6DB410" w14:textId="4FFF920B" w:rsidR="00B847B9" w:rsidRPr="00B847B9" w:rsidRDefault="00B847B9">
            <w:pPr>
              <w:jc w:val="right"/>
              <w:rPr>
                <w:rFonts w:cs="Times New Roman"/>
                <w:color w:val="000000"/>
                <w:sz w:val="18"/>
                <w:szCs w:val="18"/>
              </w:rPr>
            </w:pPr>
            <w:r w:rsidRPr="00591AEA">
              <w:rPr>
                <w:sz w:val="18"/>
                <w:szCs w:val="18"/>
              </w:rPr>
              <w:t>2 268</w:t>
            </w:r>
          </w:p>
        </w:tc>
        <w:tc>
          <w:tcPr>
            <w:tcW w:w="851" w:type="dxa"/>
            <w:tcBorders>
              <w:top w:val="nil"/>
              <w:left w:val="nil"/>
              <w:bottom w:val="nil"/>
              <w:right w:val="nil"/>
            </w:tcBorders>
            <w:shd w:val="clear" w:color="auto" w:fill="auto"/>
            <w:noWrap/>
            <w:vAlign w:val="center"/>
            <w:hideMark/>
          </w:tcPr>
          <w:p w14:paraId="0EA1C380" w14:textId="1A928378" w:rsidR="00B847B9" w:rsidRPr="00B847B9" w:rsidRDefault="00B847B9">
            <w:pPr>
              <w:jc w:val="right"/>
              <w:rPr>
                <w:rFonts w:cs="Times New Roman"/>
                <w:color w:val="000000"/>
                <w:sz w:val="18"/>
                <w:szCs w:val="18"/>
              </w:rPr>
            </w:pPr>
            <w:r w:rsidRPr="00591AEA">
              <w:rPr>
                <w:sz w:val="18"/>
                <w:szCs w:val="18"/>
              </w:rPr>
              <w:t>2 392</w:t>
            </w:r>
          </w:p>
        </w:tc>
        <w:tc>
          <w:tcPr>
            <w:tcW w:w="850" w:type="dxa"/>
            <w:tcBorders>
              <w:top w:val="nil"/>
              <w:left w:val="nil"/>
              <w:bottom w:val="nil"/>
              <w:right w:val="nil"/>
            </w:tcBorders>
            <w:shd w:val="clear" w:color="auto" w:fill="auto"/>
            <w:noWrap/>
            <w:vAlign w:val="center"/>
            <w:hideMark/>
          </w:tcPr>
          <w:p w14:paraId="6ED5B860" w14:textId="01CA5369" w:rsidR="00B847B9" w:rsidRPr="00B847B9" w:rsidRDefault="00B847B9">
            <w:pPr>
              <w:jc w:val="right"/>
              <w:rPr>
                <w:rFonts w:cs="Times New Roman"/>
                <w:color w:val="000000"/>
                <w:sz w:val="18"/>
                <w:szCs w:val="18"/>
              </w:rPr>
            </w:pPr>
            <w:r w:rsidRPr="00591AEA">
              <w:rPr>
                <w:sz w:val="18"/>
                <w:szCs w:val="18"/>
              </w:rPr>
              <w:t>2 500</w:t>
            </w:r>
          </w:p>
        </w:tc>
        <w:tc>
          <w:tcPr>
            <w:tcW w:w="851" w:type="dxa"/>
            <w:tcBorders>
              <w:top w:val="nil"/>
              <w:left w:val="nil"/>
              <w:bottom w:val="nil"/>
              <w:right w:val="nil"/>
            </w:tcBorders>
            <w:shd w:val="clear" w:color="auto" w:fill="auto"/>
            <w:noWrap/>
            <w:vAlign w:val="center"/>
            <w:hideMark/>
          </w:tcPr>
          <w:p w14:paraId="180F2188" w14:textId="49EE9B31" w:rsidR="00B847B9" w:rsidRPr="00B847B9" w:rsidRDefault="00B847B9">
            <w:pPr>
              <w:jc w:val="right"/>
              <w:rPr>
                <w:rFonts w:cs="Times New Roman"/>
                <w:color w:val="000000"/>
                <w:sz w:val="18"/>
                <w:szCs w:val="18"/>
              </w:rPr>
            </w:pPr>
            <w:r w:rsidRPr="00591AEA">
              <w:rPr>
                <w:sz w:val="18"/>
                <w:szCs w:val="18"/>
              </w:rPr>
              <w:t>2 672</w:t>
            </w:r>
          </w:p>
        </w:tc>
      </w:tr>
      <w:tr w:rsidR="00B847B9" w:rsidRPr="00E9337C" w14:paraId="32707AEC" w14:textId="77777777" w:rsidTr="00591AEA">
        <w:trPr>
          <w:trHeight w:val="57"/>
        </w:trPr>
        <w:tc>
          <w:tcPr>
            <w:tcW w:w="3969" w:type="dxa"/>
            <w:tcBorders>
              <w:top w:val="nil"/>
              <w:left w:val="nil"/>
              <w:bottom w:val="nil"/>
              <w:right w:val="nil"/>
            </w:tcBorders>
            <w:shd w:val="clear" w:color="auto" w:fill="auto"/>
            <w:vAlign w:val="center"/>
            <w:hideMark/>
          </w:tcPr>
          <w:p w14:paraId="0C8E669B" w14:textId="77777777" w:rsidR="00B847B9" w:rsidRPr="00E9337C" w:rsidRDefault="00B847B9" w:rsidP="00B847B9">
            <w:pPr>
              <w:rPr>
                <w:rFonts w:cs="Times New Roman"/>
                <w:sz w:val="18"/>
                <w:szCs w:val="20"/>
              </w:rPr>
            </w:pPr>
            <w:r w:rsidRPr="00E9337C">
              <w:rPr>
                <w:rFonts w:cs="Times New Roman"/>
                <w:sz w:val="18"/>
                <w:szCs w:val="20"/>
              </w:rPr>
              <w:t>6.   Cyklické výdavky na dávky v nezamestnanosti</w:t>
            </w:r>
          </w:p>
        </w:tc>
        <w:tc>
          <w:tcPr>
            <w:tcW w:w="850" w:type="dxa"/>
            <w:tcBorders>
              <w:top w:val="nil"/>
              <w:left w:val="nil"/>
              <w:bottom w:val="nil"/>
              <w:right w:val="nil"/>
            </w:tcBorders>
            <w:shd w:val="clear" w:color="auto" w:fill="auto"/>
            <w:noWrap/>
            <w:vAlign w:val="center"/>
            <w:hideMark/>
          </w:tcPr>
          <w:p w14:paraId="4E0301A1" w14:textId="61C47B8C" w:rsidR="00B847B9" w:rsidRPr="00B847B9" w:rsidRDefault="00B847B9">
            <w:pPr>
              <w:jc w:val="right"/>
              <w:rPr>
                <w:rFonts w:cs="Times New Roman"/>
                <w:color w:val="000000"/>
                <w:sz w:val="18"/>
                <w:szCs w:val="18"/>
              </w:rPr>
            </w:pPr>
            <w:r w:rsidRPr="00591AEA">
              <w:rPr>
                <w:sz w:val="18"/>
                <w:szCs w:val="18"/>
              </w:rPr>
              <w:t>-1</w:t>
            </w:r>
          </w:p>
        </w:tc>
        <w:tc>
          <w:tcPr>
            <w:tcW w:w="851" w:type="dxa"/>
            <w:tcBorders>
              <w:top w:val="nil"/>
              <w:left w:val="nil"/>
              <w:bottom w:val="nil"/>
              <w:right w:val="nil"/>
            </w:tcBorders>
            <w:shd w:val="clear" w:color="auto" w:fill="auto"/>
            <w:noWrap/>
            <w:vAlign w:val="center"/>
            <w:hideMark/>
          </w:tcPr>
          <w:p w14:paraId="6462559A" w14:textId="49C4850C" w:rsidR="00B847B9" w:rsidRPr="00B847B9" w:rsidRDefault="00B847B9">
            <w:pPr>
              <w:jc w:val="right"/>
              <w:rPr>
                <w:rFonts w:cs="Times New Roman"/>
                <w:color w:val="000000"/>
                <w:sz w:val="18"/>
                <w:szCs w:val="18"/>
              </w:rPr>
            </w:pPr>
            <w:r w:rsidRPr="00591AEA">
              <w:rPr>
                <w:sz w:val="18"/>
                <w:szCs w:val="18"/>
              </w:rPr>
              <w:t>-9</w:t>
            </w:r>
          </w:p>
        </w:tc>
        <w:tc>
          <w:tcPr>
            <w:tcW w:w="850" w:type="dxa"/>
            <w:tcBorders>
              <w:top w:val="nil"/>
              <w:left w:val="nil"/>
              <w:bottom w:val="nil"/>
              <w:right w:val="nil"/>
            </w:tcBorders>
            <w:shd w:val="clear" w:color="auto" w:fill="auto"/>
            <w:noWrap/>
            <w:vAlign w:val="center"/>
            <w:hideMark/>
          </w:tcPr>
          <w:p w14:paraId="2B7AE62A" w14:textId="1330F960" w:rsidR="00B847B9" w:rsidRPr="00B847B9" w:rsidRDefault="00B847B9">
            <w:pPr>
              <w:jc w:val="right"/>
              <w:rPr>
                <w:rFonts w:cs="Times New Roman"/>
                <w:color w:val="000000"/>
                <w:sz w:val="18"/>
                <w:szCs w:val="18"/>
              </w:rPr>
            </w:pPr>
            <w:r w:rsidRPr="00591AEA">
              <w:rPr>
                <w:sz w:val="18"/>
                <w:szCs w:val="18"/>
              </w:rPr>
              <w:t>-13</w:t>
            </w:r>
          </w:p>
        </w:tc>
        <w:tc>
          <w:tcPr>
            <w:tcW w:w="851" w:type="dxa"/>
            <w:tcBorders>
              <w:top w:val="nil"/>
              <w:left w:val="nil"/>
              <w:bottom w:val="nil"/>
              <w:right w:val="nil"/>
            </w:tcBorders>
            <w:shd w:val="clear" w:color="auto" w:fill="auto"/>
            <w:noWrap/>
            <w:vAlign w:val="center"/>
            <w:hideMark/>
          </w:tcPr>
          <w:p w14:paraId="24DC9E58" w14:textId="58DB8D73" w:rsidR="00B847B9" w:rsidRPr="00B847B9" w:rsidRDefault="00B847B9">
            <w:pPr>
              <w:jc w:val="right"/>
              <w:rPr>
                <w:rFonts w:cs="Times New Roman"/>
                <w:color w:val="000000"/>
                <w:sz w:val="18"/>
                <w:szCs w:val="18"/>
              </w:rPr>
            </w:pPr>
            <w:r w:rsidRPr="00591AEA">
              <w:rPr>
                <w:sz w:val="18"/>
                <w:szCs w:val="18"/>
              </w:rPr>
              <w:t>-13</w:t>
            </w:r>
          </w:p>
        </w:tc>
        <w:tc>
          <w:tcPr>
            <w:tcW w:w="850" w:type="dxa"/>
            <w:tcBorders>
              <w:top w:val="nil"/>
              <w:left w:val="nil"/>
              <w:bottom w:val="nil"/>
              <w:right w:val="nil"/>
            </w:tcBorders>
            <w:shd w:val="clear" w:color="auto" w:fill="auto"/>
            <w:noWrap/>
            <w:vAlign w:val="center"/>
            <w:hideMark/>
          </w:tcPr>
          <w:p w14:paraId="3EB35B94" w14:textId="79CE49BE" w:rsidR="00B847B9" w:rsidRPr="00B847B9" w:rsidRDefault="00B847B9">
            <w:pPr>
              <w:jc w:val="right"/>
              <w:rPr>
                <w:rFonts w:cs="Times New Roman"/>
                <w:color w:val="000000"/>
                <w:sz w:val="18"/>
                <w:szCs w:val="18"/>
              </w:rPr>
            </w:pPr>
            <w:r w:rsidRPr="00591AEA">
              <w:rPr>
                <w:sz w:val="18"/>
                <w:szCs w:val="18"/>
              </w:rPr>
              <w:t>-12</w:t>
            </w:r>
          </w:p>
        </w:tc>
        <w:tc>
          <w:tcPr>
            <w:tcW w:w="851" w:type="dxa"/>
            <w:tcBorders>
              <w:top w:val="nil"/>
              <w:left w:val="nil"/>
              <w:bottom w:val="nil"/>
              <w:right w:val="nil"/>
            </w:tcBorders>
            <w:shd w:val="clear" w:color="auto" w:fill="auto"/>
            <w:noWrap/>
            <w:vAlign w:val="center"/>
            <w:hideMark/>
          </w:tcPr>
          <w:p w14:paraId="01CD0CCB" w14:textId="79EFFD79" w:rsidR="00B847B9" w:rsidRPr="00B847B9" w:rsidRDefault="00B847B9">
            <w:pPr>
              <w:jc w:val="right"/>
              <w:rPr>
                <w:rFonts w:cs="Times New Roman"/>
                <w:color w:val="000000"/>
                <w:sz w:val="18"/>
                <w:szCs w:val="18"/>
              </w:rPr>
            </w:pPr>
            <w:r w:rsidRPr="00591AEA">
              <w:rPr>
                <w:sz w:val="18"/>
                <w:szCs w:val="18"/>
              </w:rPr>
              <w:t>-7</w:t>
            </w:r>
          </w:p>
        </w:tc>
      </w:tr>
      <w:tr w:rsidR="00B847B9" w:rsidRPr="00E9337C" w14:paraId="05003394" w14:textId="77777777" w:rsidTr="00591AEA">
        <w:trPr>
          <w:trHeight w:val="57"/>
        </w:trPr>
        <w:tc>
          <w:tcPr>
            <w:tcW w:w="3969" w:type="dxa"/>
            <w:tcBorders>
              <w:top w:val="nil"/>
              <w:left w:val="nil"/>
              <w:bottom w:val="nil"/>
              <w:right w:val="nil"/>
            </w:tcBorders>
            <w:shd w:val="clear" w:color="auto" w:fill="auto"/>
            <w:vAlign w:val="center"/>
            <w:hideMark/>
          </w:tcPr>
          <w:p w14:paraId="20288BE7" w14:textId="77777777" w:rsidR="00B847B9" w:rsidRPr="00E9337C" w:rsidRDefault="00B847B9" w:rsidP="00B847B9">
            <w:pPr>
              <w:rPr>
                <w:rFonts w:cs="Times New Roman"/>
                <w:color w:val="000000"/>
                <w:sz w:val="18"/>
                <w:szCs w:val="20"/>
              </w:rPr>
            </w:pPr>
            <w:r w:rsidRPr="00E9337C">
              <w:rPr>
                <w:rFonts w:cs="Times New Roman"/>
                <w:color w:val="000000"/>
                <w:sz w:val="18"/>
                <w:szCs w:val="20"/>
              </w:rPr>
              <w:t xml:space="preserve">7.   Výdavky plne kryté automatickým zvýšením príjmov </w:t>
            </w:r>
          </w:p>
        </w:tc>
        <w:tc>
          <w:tcPr>
            <w:tcW w:w="850" w:type="dxa"/>
            <w:tcBorders>
              <w:top w:val="nil"/>
              <w:left w:val="nil"/>
              <w:bottom w:val="nil"/>
              <w:right w:val="nil"/>
            </w:tcBorders>
            <w:shd w:val="clear" w:color="auto" w:fill="auto"/>
            <w:noWrap/>
            <w:vAlign w:val="center"/>
            <w:hideMark/>
          </w:tcPr>
          <w:p w14:paraId="4E8BD111" w14:textId="06DC0A1D"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64E06333" w14:textId="427CB774"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0F4A7632" w14:textId="4596AA77"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36A50766" w14:textId="40168274"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7419A679" w14:textId="3A977335"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171468AB" w14:textId="5F2B94A4" w:rsidR="00B847B9" w:rsidRPr="00B847B9" w:rsidRDefault="00B847B9">
            <w:pPr>
              <w:jc w:val="right"/>
              <w:rPr>
                <w:rFonts w:cs="Times New Roman"/>
                <w:color w:val="000000"/>
                <w:sz w:val="18"/>
                <w:szCs w:val="18"/>
              </w:rPr>
            </w:pPr>
            <w:r w:rsidRPr="00591AEA">
              <w:rPr>
                <w:sz w:val="18"/>
                <w:szCs w:val="18"/>
              </w:rPr>
              <w:t>0</w:t>
            </w:r>
          </w:p>
        </w:tc>
      </w:tr>
      <w:tr w:rsidR="00B847B9" w:rsidRPr="00E9337C" w14:paraId="061BB9DD" w14:textId="77777777" w:rsidTr="00591AEA">
        <w:trPr>
          <w:trHeight w:val="57"/>
        </w:trPr>
        <w:tc>
          <w:tcPr>
            <w:tcW w:w="3969" w:type="dxa"/>
            <w:tcBorders>
              <w:top w:val="nil"/>
              <w:left w:val="nil"/>
              <w:bottom w:val="double" w:sz="6" w:space="0" w:color="auto"/>
              <w:right w:val="nil"/>
            </w:tcBorders>
            <w:shd w:val="clear" w:color="auto" w:fill="auto"/>
            <w:vAlign w:val="center"/>
            <w:hideMark/>
          </w:tcPr>
          <w:p w14:paraId="73C764DE" w14:textId="77777777" w:rsidR="00B847B9" w:rsidRPr="00E9337C" w:rsidRDefault="00B847B9" w:rsidP="00B847B9">
            <w:pPr>
              <w:rPr>
                <w:rFonts w:cs="Times New Roman"/>
                <w:b/>
                <w:bCs/>
                <w:color w:val="000000"/>
                <w:sz w:val="18"/>
                <w:szCs w:val="20"/>
              </w:rPr>
            </w:pPr>
            <w:r w:rsidRPr="00E9337C">
              <w:rPr>
                <w:rFonts w:cs="Times New Roman"/>
                <w:b/>
                <w:bCs/>
                <w:color w:val="000000"/>
                <w:sz w:val="18"/>
                <w:szCs w:val="20"/>
              </w:rPr>
              <w:t>8.   Primárny výdavkový agregát (1-2-3a-4+5-6-7)</w:t>
            </w:r>
          </w:p>
        </w:tc>
        <w:tc>
          <w:tcPr>
            <w:tcW w:w="850" w:type="dxa"/>
            <w:tcBorders>
              <w:top w:val="nil"/>
              <w:left w:val="nil"/>
              <w:bottom w:val="double" w:sz="6" w:space="0" w:color="auto"/>
              <w:right w:val="nil"/>
            </w:tcBorders>
            <w:shd w:val="clear" w:color="auto" w:fill="auto"/>
            <w:noWrap/>
            <w:vAlign w:val="center"/>
            <w:hideMark/>
          </w:tcPr>
          <w:p w14:paraId="43758A04" w14:textId="25F22FFF" w:rsidR="00B847B9" w:rsidRPr="00B847B9" w:rsidRDefault="00B847B9">
            <w:pPr>
              <w:jc w:val="right"/>
              <w:rPr>
                <w:rFonts w:cs="Times New Roman"/>
                <w:b/>
                <w:bCs/>
                <w:color w:val="000000"/>
                <w:sz w:val="18"/>
                <w:szCs w:val="18"/>
              </w:rPr>
            </w:pPr>
            <w:r w:rsidRPr="00591AEA">
              <w:rPr>
                <w:sz w:val="18"/>
                <w:szCs w:val="18"/>
              </w:rPr>
              <w:t>32 290</w:t>
            </w:r>
          </w:p>
        </w:tc>
        <w:tc>
          <w:tcPr>
            <w:tcW w:w="851" w:type="dxa"/>
            <w:tcBorders>
              <w:top w:val="nil"/>
              <w:left w:val="nil"/>
              <w:bottom w:val="double" w:sz="6" w:space="0" w:color="auto"/>
              <w:right w:val="nil"/>
            </w:tcBorders>
            <w:shd w:val="clear" w:color="auto" w:fill="auto"/>
            <w:noWrap/>
            <w:vAlign w:val="center"/>
            <w:hideMark/>
          </w:tcPr>
          <w:p w14:paraId="0F3C8E8D" w14:textId="57280A00" w:rsidR="00B847B9" w:rsidRPr="00B847B9" w:rsidRDefault="00B847B9">
            <w:pPr>
              <w:jc w:val="right"/>
              <w:rPr>
                <w:rFonts w:cs="Times New Roman"/>
                <w:b/>
                <w:bCs/>
                <w:color w:val="000000"/>
                <w:sz w:val="18"/>
                <w:szCs w:val="18"/>
              </w:rPr>
            </w:pPr>
            <w:r w:rsidRPr="00591AEA">
              <w:rPr>
                <w:sz w:val="18"/>
                <w:szCs w:val="18"/>
              </w:rPr>
              <w:t>34 356</w:t>
            </w:r>
          </w:p>
        </w:tc>
        <w:tc>
          <w:tcPr>
            <w:tcW w:w="850" w:type="dxa"/>
            <w:tcBorders>
              <w:top w:val="nil"/>
              <w:left w:val="nil"/>
              <w:bottom w:val="double" w:sz="6" w:space="0" w:color="auto"/>
              <w:right w:val="nil"/>
            </w:tcBorders>
            <w:shd w:val="clear" w:color="auto" w:fill="auto"/>
            <w:noWrap/>
            <w:vAlign w:val="center"/>
            <w:hideMark/>
          </w:tcPr>
          <w:p w14:paraId="21357B8F" w14:textId="36147CF7" w:rsidR="00B847B9" w:rsidRPr="00B847B9" w:rsidRDefault="00B847B9">
            <w:pPr>
              <w:jc w:val="right"/>
              <w:rPr>
                <w:rFonts w:cs="Times New Roman"/>
                <w:b/>
                <w:bCs/>
                <w:color w:val="000000"/>
                <w:sz w:val="18"/>
                <w:szCs w:val="18"/>
              </w:rPr>
            </w:pPr>
            <w:r w:rsidRPr="00591AEA">
              <w:rPr>
                <w:sz w:val="18"/>
                <w:szCs w:val="18"/>
              </w:rPr>
              <w:t>35 826</w:t>
            </w:r>
          </w:p>
        </w:tc>
        <w:tc>
          <w:tcPr>
            <w:tcW w:w="851" w:type="dxa"/>
            <w:tcBorders>
              <w:top w:val="nil"/>
              <w:left w:val="nil"/>
              <w:bottom w:val="double" w:sz="6" w:space="0" w:color="auto"/>
              <w:right w:val="nil"/>
            </w:tcBorders>
            <w:shd w:val="clear" w:color="auto" w:fill="auto"/>
            <w:noWrap/>
            <w:vAlign w:val="center"/>
            <w:hideMark/>
          </w:tcPr>
          <w:p w14:paraId="1BD1E99A" w14:textId="4B0AD6D6" w:rsidR="00B847B9" w:rsidRPr="00B847B9" w:rsidRDefault="00B847B9">
            <w:pPr>
              <w:jc w:val="right"/>
              <w:rPr>
                <w:rFonts w:cs="Times New Roman"/>
                <w:b/>
                <w:bCs/>
                <w:color w:val="000000"/>
                <w:sz w:val="18"/>
                <w:szCs w:val="18"/>
              </w:rPr>
            </w:pPr>
            <w:r w:rsidRPr="00591AEA">
              <w:rPr>
                <w:sz w:val="18"/>
                <w:szCs w:val="18"/>
              </w:rPr>
              <w:t>37 423</w:t>
            </w:r>
          </w:p>
        </w:tc>
        <w:tc>
          <w:tcPr>
            <w:tcW w:w="850" w:type="dxa"/>
            <w:tcBorders>
              <w:top w:val="nil"/>
              <w:left w:val="nil"/>
              <w:bottom w:val="double" w:sz="6" w:space="0" w:color="auto"/>
              <w:right w:val="nil"/>
            </w:tcBorders>
            <w:shd w:val="clear" w:color="auto" w:fill="auto"/>
            <w:noWrap/>
            <w:vAlign w:val="center"/>
            <w:hideMark/>
          </w:tcPr>
          <w:p w14:paraId="5EFB8BD0" w14:textId="79E0B80A" w:rsidR="00B847B9" w:rsidRPr="00B847B9" w:rsidRDefault="00B847B9">
            <w:pPr>
              <w:jc w:val="right"/>
              <w:rPr>
                <w:rFonts w:cs="Times New Roman"/>
                <w:b/>
                <w:bCs/>
                <w:color w:val="000000"/>
                <w:sz w:val="18"/>
                <w:szCs w:val="18"/>
              </w:rPr>
            </w:pPr>
            <w:r w:rsidRPr="00591AEA">
              <w:rPr>
                <w:sz w:val="18"/>
                <w:szCs w:val="18"/>
              </w:rPr>
              <w:t>38 879</w:t>
            </w:r>
          </w:p>
        </w:tc>
        <w:tc>
          <w:tcPr>
            <w:tcW w:w="851" w:type="dxa"/>
            <w:tcBorders>
              <w:top w:val="nil"/>
              <w:left w:val="nil"/>
              <w:bottom w:val="double" w:sz="6" w:space="0" w:color="auto"/>
              <w:right w:val="nil"/>
            </w:tcBorders>
            <w:shd w:val="clear" w:color="auto" w:fill="auto"/>
            <w:noWrap/>
            <w:vAlign w:val="center"/>
            <w:hideMark/>
          </w:tcPr>
          <w:p w14:paraId="732FA6B7" w14:textId="3D0151D7" w:rsidR="00B847B9" w:rsidRPr="00B847B9" w:rsidRDefault="00B847B9">
            <w:pPr>
              <w:jc w:val="right"/>
              <w:rPr>
                <w:rFonts w:cs="Times New Roman"/>
                <w:b/>
                <w:bCs/>
                <w:color w:val="000000"/>
                <w:sz w:val="18"/>
                <w:szCs w:val="18"/>
              </w:rPr>
            </w:pPr>
            <w:r w:rsidRPr="00591AEA">
              <w:rPr>
                <w:sz w:val="18"/>
                <w:szCs w:val="18"/>
              </w:rPr>
              <w:t>40 059</w:t>
            </w:r>
          </w:p>
        </w:tc>
      </w:tr>
      <w:tr w:rsidR="00B847B9" w:rsidRPr="00E9337C" w14:paraId="47A47A98" w14:textId="77777777" w:rsidTr="00591AEA">
        <w:trPr>
          <w:trHeight w:val="57"/>
        </w:trPr>
        <w:tc>
          <w:tcPr>
            <w:tcW w:w="3969" w:type="dxa"/>
            <w:tcBorders>
              <w:top w:val="nil"/>
              <w:left w:val="nil"/>
              <w:bottom w:val="double" w:sz="6" w:space="0" w:color="auto"/>
              <w:right w:val="nil"/>
            </w:tcBorders>
            <w:shd w:val="clear" w:color="auto" w:fill="auto"/>
            <w:vAlign w:val="center"/>
            <w:hideMark/>
          </w:tcPr>
          <w:p w14:paraId="70B5FEAA" w14:textId="77777777" w:rsidR="00B847B9" w:rsidRPr="00E9337C" w:rsidRDefault="00B847B9" w:rsidP="00B847B9">
            <w:pPr>
              <w:rPr>
                <w:rFonts w:cs="Times New Roman"/>
                <w:color w:val="000000"/>
                <w:sz w:val="18"/>
                <w:szCs w:val="20"/>
              </w:rPr>
            </w:pPr>
            <w:r w:rsidRPr="00E9337C">
              <w:rPr>
                <w:rFonts w:cs="Times New Roman"/>
                <w:color w:val="000000"/>
                <w:sz w:val="18"/>
                <w:szCs w:val="20"/>
              </w:rPr>
              <w:t>9.  Medziročná zmena primárneho výdavkového agregátu (8t-8t-1)</w:t>
            </w:r>
          </w:p>
        </w:tc>
        <w:tc>
          <w:tcPr>
            <w:tcW w:w="850" w:type="dxa"/>
            <w:tcBorders>
              <w:top w:val="nil"/>
              <w:left w:val="nil"/>
              <w:bottom w:val="double" w:sz="6" w:space="0" w:color="auto"/>
              <w:right w:val="nil"/>
            </w:tcBorders>
            <w:shd w:val="clear" w:color="auto" w:fill="auto"/>
            <w:noWrap/>
            <w:vAlign w:val="center"/>
            <w:hideMark/>
          </w:tcPr>
          <w:p w14:paraId="10F7C67B" w14:textId="76AD88D5" w:rsidR="00B847B9" w:rsidRPr="00B847B9" w:rsidRDefault="00B847B9">
            <w:pPr>
              <w:jc w:val="right"/>
              <w:rPr>
                <w:rFonts w:cs="Times New Roman"/>
                <w:color w:val="000000"/>
                <w:sz w:val="18"/>
                <w:szCs w:val="18"/>
              </w:rPr>
            </w:pPr>
            <w:r w:rsidRPr="00591AEA">
              <w:rPr>
                <w:sz w:val="18"/>
                <w:szCs w:val="18"/>
              </w:rPr>
              <w:t>786</w:t>
            </w:r>
          </w:p>
        </w:tc>
        <w:tc>
          <w:tcPr>
            <w:tcW w:w="851" w:type="dxa"/>
            <w:tcBorders>
              <w:top w:val="nil"/>
              <w:left w:val="nil"/>
              <w:bottom w:val="double" w:sz="6" w:space="0" w:color="auto"/>
              <w:right w:val="nil"/>
            </w:tcBorders>
            <w:shd w:val="clear" w:color="auto" w:fill="auto"/>
            <w:noWrap/>
            <w:vAlign w:val="center"/>
            <w:hideMark/>
          </w:tcPr>
          <w:p w14:paraId="0C8626F1" w14:textId="7A674A83" w:rsidR="00B847B9" w:rsidRPr="00B847B9" w:rsidRDefault="00B847B9">
            <w:pPr>
              <w:jc w:val="right"/>
              <w:rPr>
                <w:rFonts w:cs="Times New Roman"/>
                <w:color w:val="000000"/>
                <w:sz w:val="18"/>
                <w:szCs w:val="18"/>
              </w:rPr>
            </w:pPr>
            <w:r w:rsidRPr="00591AEA">
              <w:rPr>
                <w:sz w:val="18"/>
                <w:szCs w:val="18"/>
              </w:rPr>
              <w:t>2 066</w:t>
            </w:r>
          </w:p>
        </w:tc>
        <w:tc>
          <w:tcPr>
            <w:tcW w:w="850" w:type="dxa"/>
            <w:tcBorders>
              <w:top w:val="nil"/>
              <w:left w:val="nil"/>
              <w:bottom w:val="double" w:sz="6" w:space="0" w:color="auto"/>
              <w:right w:val="nil"/>
            </w:tcBorders>
            <w:shd w:val="clear" w:color="auto" w:fill="auto"/>
            <w:noWrap/>
            <w:vAlign w:val="center"/>
            <w:hideMark/>
          </w:tcPr>
          <w:p w14:paraId="11909F41" w14:textId="67A27C99" w:rsidR="00B847B9" w:rsidRPr="00B847B9" w:rsidRDefault="00B847B9">
            <w:pPr>
              <w:jc w:val="right"/>
              <w:rPr>
                <w:rFonts w:cs="Times New Roman"/>
                <w:color w:val="000000"/>
                <w:sz w:val="18"/>
                <w:szCs w:val="18"/>
              </w:rPr>
            </w:pPr>
            <w:r w:rsidRPr="00591AEA">
              <w:rPr>
                <w:sz w:val="18"/>
                <w:szCs w:val="18"/>
              </w:rPr>
              <w:t>1 470</w:t>
            </w:r>
          </w:p>
        </w:tc>
        <w:tc>
          <w:tcPr>
            <w:tcW w:w="851" w:type="dxa"/>
            <w:tcBorders>
              <w:top w:val="nil"/>
              <w:left w:val="nil"/>
              <w:bottom w:val="double" w:sz="6" w:space="0" w:color="auto"/>
              <w:right w:val="nil"/>
            </w:tcBorders>
            <w:shd w:val="clear" w:color="auto" w:fill="auto"/>
            <w:noWrap/>
            <w:vAlign w:val="center"/>
            <w:hideMark/>
          </w:tcPr>
          <w:p w14:paraId="743A40D3" w14:textId="5F92E0E8" w:rsidR="00B847B9" w:rsidRPr="00B847B9" w:rsidRDefault="00B847B9">
            <w:pPr>
              <w:jc w:val="right"/>
              <w:rPr>
                <w:rFonts w:cs="Times New Roman"/>
                <w:color w:val="000000"/>
                <w:sz w:val="18"/>
                <w:szCs w:val="18"/>
              </w:rPr>
            </w:pPr>
            <w:r w:rsidRPr="00591AEA">
              <w:rPr>
                <w:sz w:val="18"/>
                <w:szCs w:val="18"/>
              </w:rPr>
              <w:t>1 597</w:t>
            </w:r>
          </w:p>
        </w:tc>
        <w:tc>
          <w:tcPr>
            <w:tcW w:w="850" w:type="dxa"/>
            <w:tcBorders>
              <w:top w:val="nil"/>
              <w:left w:val="nil"/>
              <w:bottom w:val="double" w:sz="6" w:space="0" w:color="auto"/>
              <w:right w:val="nil"/>
            </w:tcBorders>
            <w:shd w:val="clear" w:color="auto" w:fill="auto"/>
            <w:noWrap/>
            <w:vAlign w:val="center"/>
            <w:hideMark/>
          </w:tcPr>
          <w:p w14:paraId="79D5D20A" w14:textId="20CB10A1" w:rsidR="00B847B9" w:rsidRPr="00B847B9" w:rsidRDefault="00B847B9">
            <w:pPr>
              <w:jc w:val="right"/>
              <w:rPr>
                <w:rFonts w:cs="Times New Roman"/>
                <w:color w:val="000000"/>
                <w:sz w:val="18"/>
                <w:szCs w:val="18"/>
              </w:rPr>
            </w:pPr>
            <w:r w:rsidRPr="00591AEA">
              <w:rPr>
                <w:sz w:val="18"/>
                <w:szCs w:val="18"/>
              </w:rPr>
              <w:t>1 456</w:t>
            </w:r>
          </w:p>
        </w:tc>
        <w:tc>
          <w:tcPr>
            <w:tcW w:w="851" w:type="dxa"/>
            <w:tcBorders>
              <w:top w:val="nil"/>
              <w:left w:val="nil"/>
              <w:bottom w:val="double" w:sz="6" w:space="0" w:color="auto"/>
              <w:right w:val="nil"/>
            </w:tcBorders>
            <w:shd w:val="clear" w:color="auto" w:fill="auto"/>
            <w:noWrap/>
            <w:vAlign w:val="center"/>
            <w:hideMark/>
          </w:tcPr>
          <w:p w14:paraId="1AE7BF59" w14:textId="2949BCFE" w:rsidR="00B847B9" w:rsidRPr="00B847B9" w:rsidRDefault="00B847B9">
            <w:pPr>
              <w:jc w:val="right"/>
              <w:rPr>
                <w:rFonts w:cs="Times New Roman"/>
                <w:color w:val="000000"/>
                <w:sz w:val="18"/>
                <w:szCs w:val="18"/>
              </w:rPr>
            </w:pPr>
            <w:r w:rsidRPr="00591AEA">
              <w:rPr>
                <w:sz w:val="18"/>
                <w:szCs w:val="18"/>
              </w:rPr>
              <w:t>1 181</w:t>
            </w:r>
          </w:p>
        </w:tc>
      </w:tr>
      <w:tr w:rsidR="00B847B9" w:rsidRPr="00E9337C" w14:paraId="11939F60" w14:textId="77777777" w:rsidTr="00591AEA">
        <w:trPr>
          <w:trHeight w:val="57"/>
        </w:trPr>
        <w:tc>
          <w:tcPr>
            <w:tcW w:w="3969" w:type="dxa"/>
            <w:tcBorders>
              <w:top w:val="nil"/>
              <w:left w:val="nil"/>
              <w:bottom w:val="nil"/>
              <w:right w:val="nil"/>
            </w:tcBorders>
            <w:shd w:val="clear" w:color="auto" w:fill="auto"/>
            <w:vAlign w:val="center"/>
            <w:hideMark/>
          </w:tcPr>
          <w:p w14:paraId="0BFFFB14" w14:textId="77777777" w:rsidR="00B847B9" w:rsidRPr="00E9337C" w:rsidRDefault="00B847B9" w:rsidP="00B847B9">
            <w:pPr>
              <w:rPr>
                <w:rFonts w:cs="Times New Roman"/>
                <w:color w:val="000000"/>
                <w:sz w:val="18"/>
                <w:szCs w:val="20"/>
              </w:rPr>
            </w:pPr>
            <w:r w:rsidRPr="00E9337C">
              <w:rPr>
                <w:rFonts w:cs="Times New Roman"/>
                <w:color w:val="000000"/>
                <w:sz w:val="18"/>
                <w:szCs w:val="20"/>
              </w:rPr>
              <w:t>10. Zmena v príjmoch z titulu diskrečných príjmových opatrení</w:t>
            </w:r>
          </w:p>
        </w:tc>
        <w:tc>
          <w:tcPr>
            <w:tcW w:w="850" w:type="dxa"/>
            <w:tcBorders>
              <w:top w:val="nil"/>
              <w:left w:val="nil"/>
              <w:bottom w:val="nil"/>
              <w:right w:val="nil"/>
            </w:tcBorders>
            <w:shd w:val="clear" w:color="auto" w:fill="auto"/>
            <w:noWrap/>
            <w:vAlign w:val="center"/>
            <w:hideMark/>
          </w:tcPr>
          <w:p w14:paraId="764FEA48" w14:textId="7F759623" w:rsidR="00B847B9" w:rsidRPr="00B847B9" w:rsidRDefault="00B847B9">
            <w:pPr>
              <w:jc w:val="right"/>
              <w:rPr>
                <w:rFonts w:cs="Times New Roman"/>
                <w:color w:val="000000"/>
                <w:sz w:val="18"/>
                <w:szCs w:val="18"/>
              </w:rPr>
            </w:pPr>
            <w:r w:rsidRPr="00591AEA">
              <w:rPr>
                <w:sz w:val="18"/>
                <w:szCs w:val="18"/>
              </w:rPr>
              <w:t>348</w:t>
            </w:r>
            <w:r w:rsidR="002B0B8B">
              <w:rPr>
                <w:sz w:val="18"/>
                <w:szCs w:val="18"/>
              </w:rPr>
              <w:t>,4</w:t>
            </w:r>
          </w:p>
        </w:tc>
        <w:tc>
          <w:tcPr>
            <w:tcW w:w="851" w:type="dxa"/>
            <w:tcBorders>
              <w:top w:val="nil"/>
              <w:left w:val="nil"/>
              <w:bottom w:val="nil"/>
              <w:right w:val="nil"/>
            </w:tcBorders>
            <w:shd w:val="clear" w:color="auto" w:fill="auto"/>
            <w:noWrap/>
            <w:vAlign w:val="center"/>
            <w:hideMark/>
          </w:tcPr>
          <w:p w14:paraId="72DBB8F3" w14:textId="26DACC4A" w:rsidR="00B847B9" w:rsidRPr="00B847B9" w:rsidRDefault="00B847B9">
            <w:pPr>
              <w:jc w:val="right"/>
              <w:rPr>
                <w:rFonts w:cs="Times New Roman"/>
                <w:color w:val="000000"/>
                <w:sz w:val="18"/>
                <w:szCs w:val="18"/>
                <w:highlight w:val="yellow"/>
              </w:rPr>
            </w:pPr>
            <w:r w:rsidRPr="00591AEA">
              <w:rPr>
                <w:sz w:val="18"/>
                <w:szCs w:val="18"/>
              </w:rPr>
              <w:t>-53,9</w:t>
            </w:r>
          </w:p>
        </w:tc>
        <w:tc>
          <w:tcPr>
            <w:tcW w:w="850" w:type="dxa"/>
            <w:tcBorders>
              <w:top w:val="nil"/>
              <w:left w:val="nil"/>
              <w:bottom w:val="nil"/>
              <w:right w:val="nil"/>
            </w:tcBorders>
            <w:shd w:val="clear" w:color="auto" w:fill="auto"/>
            <w:noWrap/>
            <w:vAlign w:val="center"/>
            <w:hideMark/>
          </w:tcPr>
          <w:p w14:paraId="72533896" w14:textId="32DC0B26" w:rsidR="00B847B9" w:rsidRPr="00B847B9" w:rsidRDefault="00B847B9">
            <w:pPr>
              <w:jc w:val="right"/>
              <w:rPr>
                <w:rFonts w:cs="Times New Roman"/>
                <w:color w:val="000000"/>
                <w:sz w:val="18"/>
                <w:szCs w:val="18"/>
                <w:highlight w:val="yellow"/>
              </w:rPr>
            </w:pPr>
            <w:r w:rsidRPr="00591AEA">
              <w:rPr>
                <w:sz w:val="18"/>
                <w:szCs w:val="18"/>
              </w:rPr>
              <w:t>155,5</w:t>
            </w:r>
          </w:p>
        </w:tc>
        <w:tc>
          <w:tcPr>
            <w:tcW w:w="851" w:type="dxa"/>
            <w:tcBorders>
              <w:top w:val="nil"/>
              <w:left w:val="nil"/>
              <w:bottom w:val="nil"/>
              <w:right w:val="nil"/>
            </w:tcBorders>
            <w:shd w:val="clear" w:color="auto" w:fill="auto"/>
            <w:noWrap/>
            <w:vAlign w:val="center"/>
            <w:hideMark/>
          </w:tcPr>
          <w:p w14:paraId="7DAECB7F" w14:textId="3EA48998" w:rsidR="00B847B9" w:rsidRPr="00B847B9" w:rsidRDefault="00B847B9">
            <w:pPr>
              <w:jc w:val="right"/>
              <w:rPr>
                <w:rFonts w:cs="Times New Roman"/>
                <w:color w:val="000000"/>
                <w:sz w:val="18"/>
                <w:szCs w:val="18"/>
                <w:highlight w:val="yellow"/>
              </w:rPr>
            </w:pPr>
            <w:r w:rsidRPr="00591AEA">
              <w:rPr>
                <w:sz w:val="18"/>
                <w:szCs w:val="18"/>
              </w:rPr>
              <w:t>62,5</w:t>
            </w:r>
          </w:p>
        </w:tc>
        <w:tc>
          <w:tcPr>
            <w:tcW w:w="850" w:type="dxa"/>
            <w:tcBorders>
              <w:top w:val="nil"/>
              <w:left w:val="nil"/>
              <w:bottom w:val="nil"/>
              <w:right w:val="nil"/>
            </w:tcBorders>
            <w:shd w:val="clear" w:color="auto" w:fill="auto"/>
            <w:noWrap/>
            <w:vAlign w:val="center"/>
            <w:hideMark/>
          </w:tcPr>
          <w:p w14:paraId="35C1D4D4" w14:textId="493F6F6C" w:rsidR="00B847B9" w:rsidRPr="00B847B9" w:rsidRDefault="00B847B9">
            <w:pPr>
              <w:jc w:val="right"/>
              <w:rPr>
                <w:rFonts w:cs="Times New Roman"/>
                <w:color w:val="000000"/>
                <w:sz w:val="18"/>
                <w:szCs w:val="18"/>
                <w:highlight w:val="yellow"/>
              </w:rPr>
            </w:pPr>
            <w:r w:rsidRPr="00591AEA">
              <w:rPr>
                <w:sz w:val="18"/>
                <w:szCs w:val="18"/>
              </w:rPr>
              <w:t>-245,7</w:t>
            </w:r>
          </w:p>
        </w:tc>
        <w:tc>
          <w:tcPr>
            <w:tcW w:w="851" w:type="dxa"/>
            <w:tcBorders>
              <w:top w:val="nil"/>
              <w:left w:val="nil"/>
              <w:bottom w:val="nil"/>
              <w:right w:val="nil"/>
            </w:tcBorders>
            <w:shd w:val="clear" w:color="auto" w:fill="auto"/>
            <w:noWrap/>
            <w:vAlign w:val="center"/>
            <w:hideMark/>
          </w:tcPr>
          <w:p w14:paraId="680E8F12" w14:textId="21A26EF5" w:rsidR="00B847B9" w:rsidRPr="00B847B9" w:rsidRDefault="00B847B9">
            <w:pPr>
              <w:jc w:val="right"/>
              <w:rPr>
                <w:rFonts w:cs="Times New Roman"/>
                <w:color w:val="000000"/>
                <w:sz w:val="18"/>
                <w:szCs w:val="18"/>
                <w:highlight w:val="yellow"/>
              </w:rPr>
            </w:pPr>
            <w:r w:rsidRPr="00591AEA">
              <w:rPr>
                <w:sz w:val="18"/>
                <w:szCs w:val="18"/>
              </w:rPr>
              <w:t>10,4</w:t>
            </w:r>
          </w:p>
        </w:tc>
      </w:tr>
      <w:tr w:rsidR="00B847B9" w:rsidRPr="00E9337C" w14:paraId="20926453" w14:textId="77777777" w:rsidTr="00591AEA">
        <w:trPr>
          <w:trHeight w:val="57"/>
        </w:trPr>
        <w:tc>
          <w:tcPr>
            <w:tcW w:w="3969" w:type="dxa"/>
            <w:tcBorders>
              <w:top w:val="nil"/>
              <w:left w:val="nil"/>
              <w:bottom w:val="nil"/>
              <w:right w:val="nil"/>
            </w:tcBorders>
            <w:shd w:val="clear" w:color="auto" w:fill="auto"/>
            <w:vAlign w:val="center"/>
            <w:hideMark/>
          </w:tcPr>
          <w:p w14:paraId="6755E6B0" w14:textId="77777777" w:rsidR="00B847B9" w:rsidRPr="00E9337C" w:rsidRDefault="00B847B9" w:rsidP="00B847B9">
            <w:pPr>
              <w:rPr>
                <w:rFonts w:cs="Times New Roman"/>
                <w:color w:val="000000"/>
                <w:sz w:val="18"/>
                <w:szCs w:val="20"/>
              </w:rPr>
            </w:pPr>
            <w:r w:rsidRPr="00E9337C">
              <w:rPr>
                <w:rFonts w:cs="Times New Roman"/>
                <w:color w:val="000000"/>
                <w:sz w:val="18"/>
                <w:szCs w:val="20"/>
              </w:rPr>
              <w:t>11. Jednorazové opatrenia na príjmovej strane</w:t>
            </w:r>
          </w:p>
        </w:tc>
        <w:tc>
          <w:tcPr>
            <w:tcW w:w="850" w:type="dxa"/>
            <w:tcBorders>
              <w:top w:val="nil"/>
              <w:left w:val="nil"/>
              <w:bottom w:val="nil"/>
              <w:right w:val="nil"/>
            </w:tcBorders>
            <w:shd w:val="clear" w:color="auto" w:fill="auto"/>
            <w:noWrap/>
            <w:vAlign w:val="center"/>
            <w:hideMark/>
          </w:tcPr>
          <w:p w14:paraId="657FCC58" w14:textId="6F8775FB"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72CF4713" w14:textId="3AC61B3D"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14E68E74" w14:textId="5D0FD324"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6BF3B701" w14:textId="43240011"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7FC08A69" w14:textId="57236CE8"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188AD176" w14:textId="0515ED3B" w:rsidR="00B847B9" w:rsidRPr="00B847B9" w:rsidRDefault="00B847B9">
            <w:pPr>
              <w:jc w:val="right"/>
              <w:rPr>
                <w:rFonts w:cs="Times New Roman"/>
                <w:color w:val="000000"/>
                <w:sz w:val="18"/>
                <w:szCs w:val="18"/>
              </w:rPr>
            </w:pPr>
            <w:r w:rsidRPr="00591AEA">
              <w:rPr>
                <w:sz w:val="18"/>
                <w:szCs w:val="18"/>
              </w:rPr>
              <w:t>0</w:t>
            </w:r>
          </w:p>
        </w:tc>
      </w:tr>
      <w:tr w:rsidR="00B847B9" w:rsidRPr="00E9337C" w14:paraId="40372208" w14:textId="77777777" w:rsidTr="00591AEA">
        <w:trPr>
          <w:trHeight w:val="57"/>
        </w:trPr>
        <w:tc>
          <w:tcPr>
            <w:tcW w:w="3969" w:type="dxa"/>
            <w:tcBorders>
              <w:top w:val="nil"/>
              <w:left w:val="nil"/>
              <w:bottom w:val="nil"/>
              <w:right w:val="nil"/>
            </w:tcBorders>
            <w:shd w:val="clear" w:color="auto" w:fill="auto"/>
            <w:vAlign w:val="center"/>
            <w:hideMark/>
          </w:tcPr>
          <w:p w14:paraId="2B1F906E" w14:textId="77777777" w:rsidR="00B847B9" w:rsidRPr="00E9337C" w:rsidRDefault="00B847B9" w:rsidP="00B847B9">
            <w:pPr>
              <w:rPr>
                <w:rFonts w:cs="Times New Roman"/>
                <w:color w:val="000000"/>
                <w:sz w:val="18"/>
                <w:szCs w:val="20"/>
              </w:rPr>
            </w:pPr>
            <w:r w:rsidRPr="00E9337C">
              <w:rPr>
                <w:rFonts w:cs="Times New Roman"/>
                <w:color w:val="000000"/>
                <w:sz w:val="18"/>
                <w:szCs w:val="20"/>
              </w:rPr>
              <w:t>12. Jednorazové opatrenia na výdavkovej strane</w:t>
            </w:r>
          </w:p>
        </w:tc>
        <w:tc>
          <w:tcPr>
            <w:tcW w:w="850" w:type="dxa"/>
            <w:tcBorders>
              <w:top w:val="nil"/>
              <w:left w:val="nil"/>
              <w:bottom w:val="nil"/>
              <w:right w:val="nil"/>
            </w:tcBorders>
            <w:shd w:val="clear" w:color="auto" w:fill="auto"/>
            <w:noWrap/>
            <w:vAlign w:val="center"/>
            <w:hideMark/>
          </w:tcPr>
          <w:p w14:paraId="74F4A25A" w14:textId="353AA7F5"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68054117" w14:textId="264A2C56"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2C9F0CDD" w14:textId="069399EA"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6CBD3746" w14:textId="67846219"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31FE7317" w14:textId="5CB44CD8"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0991FA2C" w14:textId="0BF4ECAA" w:rsidR="00B847B9" w:rsidRPr="00B847B9" w:rsidRDefault="00B847B9">
            <w:pPr>
              <w:jc w:val="right"/>
              <w:rPr>
                <w:rFonts w:cs="Times New Roman"/>
                <w:color w:val="000000"/>
                <w:sz w:val="18"/>
                <w:szCs w:val="18"/>
              </w:rPr>
            </w:pPr>
            <w:r w:rsidRPr="00591AEA">
              <w:rPr>
                <w:sz w:val="18"/>
                <w:szCs w:val="18"/>
              </w:rPr>
              <w:t>0</w:t>
            </w:r>
          </w:p>
        </w:tc>
      </w:tr>
      <w:tr w:rsidR="00B847B9" w:rsidRPr="00E9337C" w14:paraId="1C3CCB8E" w14:textId="77777777" w:rsidTr="00591AEA">
        <w:trPr>
          <w:trHeight w:val="57"/>
        </w:trPr>
        <w:tc>
          <w:tcPr>
            <w:tcW w:w="3969" w:type="dxa"/>
            <w:tcBorders>
              <w:top w:val="nil"/>
              <w:left w:val="nil"/>
              <w:bottom w:val="double" w:sz="6" w:space="0" w:color="auto"/>
              <w:right w:val="nil"/>
            </w:tcBorders>
            <w:shd w:val="clear" w:color="auto" w:fill="auto"/>
            <w:vAlign w:val="center"/>
            <w:hideMark/>
          </w:tcPr>
          <w:p w14:paraId="1E2161A7" w14:textId="77777777" w:rsidR="00B847B9" w:rsidRPr="00E9337C" w:rsidRDefault="00B847B9" w:rsidP="00B847B9">
            <w:pPr>
              <w:rPr>
                <w:rFonts w:cs="Times New Roman"/>
                <w:color w:val="000000"/>
                <w:sz w:val="18"/>
                <w:szCs w:val="20"/>
              </w:rPr>
            </w:pPr>
            <w:r w:rsidRPr="00E9337C">
              <w:rPr>
                <w:rFonts w:cs="Times New Roman"/>
                <w:color w:val="000000"/>
                <w:sz w:val="18"/>
                <w:szCs w:val="20"/>
              </w:rPr>
              <w:t>13. Metodické úpravy</w:t>
            </w:r>
          </w:p>
        </w:tc>
        <w:tc>
          <w:tcPr>
            <w:tcW w:w="850" w:type="dxa"/>
            <w:tcBorders>
              <w:top w:val="nil"/>
              <w:left w:val="nil"/>
              <w:bottom w:val="nil"/>
              <w:right w:val="nil"/>
            </w:tcBorders>
            <w:shd w:val="clear" w:color="auto" w:fill="auto"/>
            <w:noWrap/>
            <w:vAlign w:val="center"/>
            <w:hideMark/>
          </w:tcPr>
          <w:p w14:paraId="01AC07DB" w14:textId="4E27E257"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3FB61B46" w14:textId="6B23005D"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4841278B" w14:textId="38D1EB0B"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0696EB8C" w14:textId="6832D731" w:rsidR="00B847B9" w:rsidRPr="00B847B9" w:rsidRDefault="00B847B9">
            <w:pPr>
              <w:jc w:val="right"/>
              <w:rPr>
                <w:rFonts w:cs="Times New Roman"/>
                <w:color w:val="000000"/>
                <w:sz w:val="18"/>
                <w:szCs w:val="18"/>
              </w:rPr>
            </w:pPr>
            <w:r w:rsidRPr="00591AEA">
              <w:rPr>
                <w:sz w:val="18"/>
                <w:szCs w:val="18"/>
              </w:rPr>
              <w:t>0</w:t>
            </w:r>
          </w:p>
        </w:tc>
        <w:tc>
          <w:tcPr>
            <w:tcW w:w="850" w:type="dxa"/>
            <w:tcBorders>
              <w:top w:val="nil"/>
              <w:left w:val="nil"/>
              <w:bottom w:val="nil"/>
              <w:right w:val="nil"/>
            </w:tcBorders>
            <w:shd w:val="clear" w:color="auto" w:fill="auto"/>
            <w:noWrap/>
            <w:vAlign w:val="center"/>
            <w:hideMark/>
          </w:tcPr>
          <w:p w14:paraId="66D70A7C" w14:textId="0176569C" w:rsidR="00B847B9" w:rsidRPr="00B847B9" w:rsidRDefault="00B847B9">
            <w:pPr>
              <w:jc w:val="right"/>
              <w:rPr>
                <w:rFonts w:cs="Times New Roman"/>
                <w:color w:val="000000"/>
                <w:sz w:val="18"/>
                <w:szCs w:val="18"/>
              </w:rPr>
            </w:pPr>
            <w:r w:rsidRPr="00591AEA">
              <w:rPr>
                <w:sz w:val="18"/>
                <w:szCs w:val="18"/>
              </w:rPr>
              <w:t>0</w:t>
            </w:r>
          </w:p>
        </w:tc>
        <w:tc>
          <w:tcPr>
            <w:tcW w:w="851" w:type="dxa"/>
            <w:tcBorders>
              <w:top w:val="nil"/>
              <w:left w:val="nil"/>
              <w:bottom w:val="nil"/>
              <w:right w:val="nil"/>
            </w:tcBorders>
            <w:shd w:val="clear" w:color="auto" w:fill="auto"/>
            <w:noWrap/>
            <w:vAlign w:val="center"/>
            <w:hideMark/>
          </w:tcPr>
          <w:p w14:paraId="62BA32D4" w14:textId="33E5500D" w:rsidR="00B847B9" w:rsidRPr="00B847B9" w:rsidRDefault="00B847B9">
            <w:pPr>
              <w:jc w:val="right"/>
              <w:rPr>
                <w:rFonts w:cs="Times New Roman"/>
                <w:color w:val="000000"/>
                <w:sz w:val="18"/>
                <w:szCs w:val="18"/>
              </w:rPr>
            </w:pPr>
            <w:r w:rsidRPr="00591AEA">
              <w:rPr>
                <w:sz w:val="18"/>
                <w:szCs w:val="18"/>
              </w:rPr>
              <w:t>0</w:t>
            </w:r>
          </w:p>
        </w:tc>
      </w:tr>
      <w:tr w:rsidR="00B847B9" w:rsidRPr="00E9337C" w14:paraId="3FF40ED3" w14:textId="77777777" w:rsidTr="00591AEA">
        <w:trPr>
          <w:trHeight w:val="57"/>
        </w:trPr>
        <w:tc>
          <w:tcPr>
            <w:tcW w:w="3969" w:type="dxa"/>
            <w:tcBorders>
              <w:top w:val="nil"/>
              <w:left w:val="nil"/>
              <w:bottom w:val="nil"/>
              <w:right w:val="nil"/>
            </w:tcBorders>
            <w:shd w:val="clear" w:color="auto" w:fill="auto"/>
            <w:vAlign w:val="center"/>
            <w:hideMark/>
          </w:tcPr>
          <w:p w14:paraId="6359C693" w14:textId="77777777" w:rsidR="00B847B9" w:rsidRPr="00E9337C" w:rsidRDefault="00B847B9" w:rsidP="00B847B9">
            <w:pPr>
              <w:rPr>
                <w:rFonts w:cs="Times New Roman"/>
                <w:color w:val="000000"/>
                <w:sz w:val="18"/>
                <w:szCs w:val="20"/>
              </w:rPr>
            </w:pPr>
            <w:r w:rsidRPr="00E9337C">
              <w:rPr>
                <w:rFonts w:cs="Times New Roman"/>
                <w:color w:val="000000"/>
                <w:sz w:val="18"/>
                <w:szCs w:val="20"/>
              </w:rPr>
              <w:t>14. Nominálny rast agregátu výdavkov očisteného o príjmové opatrenia ((9t-10t)/8t-1)</w:t>
            </w:r>
          </w:p>
        </w:tc>
        <w:tc>
          <w:tcPr>
            <w:tcW w:w="850" w:type="dxa"/>
            <w:tcBorders>
              <w:top w:val="double" w:sz="6" w:space="0" w:color="auto"/>
              <w:left w:val="nil"/>
              <w:bottom w:val="nil"/>
              <w:right w:val="nil"/>
            </w:tcBorders>
            <w:shd w:val="clear" w:color="auto" w:fill="auto"/>
            <w:noWrap/>
            <w:vAlign w:val="center"/>
            <w:hideMark/>
          </w:tcPr>
          <w:p w14:paraId="0623D3E4" w14:textId="7F3CD118" w:rsidR="00B847B9" w:rsidRPr="00B847B9" w:rsidRDefault="00B847B9">
            <w:pPr>
              <w:jc w:val="right"/>
              <w:rPr>
                <w:rFonts w:cs="Times New Roman"/>
                <w:color w:val="000000"/>
                <w:sz w:val="18"/>
                <w:szCs w:val="18"/>
              </w:rPr>
            </w:pPr>
            <w:r w:rsidRPr="00591AEA">
              <w:rPr>
                <w:sz w:val="18"/>
                <w:szCs w:val="18"/>
              </w:rPr>
              <w:t>1,4</w:t>
            </w:r>
          </w:p>
        </w:tc>
        <w:tc>
          <w:tcPr>
            <w:tcW w:w="851" w:type="dxa"/>
            <w:tcBorders>
              <w:top w:val="double" w:sz="6" w:space="0" w:color="auto"/>
              <w:left w:val="nil"/>
              <w:bottom w:val="nil"/>
              <w:right w:val="nil"/>
            </w:tcBorders>
            <w:shd w:val="clear" w:color="auto" w:fill="auto"/>
            <w:noWrap/>
            <w:vAlign w:val="center"/>
            <w:hideMark/>
          </w:tcPr>
          <w:p w14:paraId="2784872E" w14:textId="5B2E9145" w:rsidR="00B847B9" w:rsidRPr="00B847B9" w:rsidRDefault="00B847B9">
            <w:pPr>
              <w:jc w:val="right"/>
              <w:rPr>
                <w:rFonts w:cs="Times New Roman"/>
                <w:color w:val="000000"/>
                <w:sz w:val="18"/>
                <w:szCs w:val="18"/>
              </w:rPr>
            </w:pPr>
            <w:r w:rsidRPr="00591AEA">
              <w:rPr>
                <w:sz w:val="18"/>
                <w:szCs w:val="18"/>
              </w:rPr>
              <w:t>6,6</w:t>
            </w:r>
          </w:p>
        </w:tc>
        <w:tc>
          <w:tcPr>
            <w:tcW w:w="850" w:type="dxa"/>
            <w:tcBorders>
              <w:top w:val="double" w:sz="6" w:space="0" w:color="auto"/>
              <w:left w:val="nil"/>
              <w:bottom w:val="nil"/>
              <w:right w:val="nil"/>
            </w:tcBorders>
            <w:shd w:val="clear" w:color="auto" w:fill="auto"/>
            <w:noWrap/>
            <w:vAlign w:val="center"/>
            <w:hideMark/>
          </w:tcPr>
          <w:p w14:paraId="2242AFC7" w14:textId="2487FCEE" w:rsidR="00B847B9" w:rsidRPr="00B847B9" w:rsidRDefault="00B847B9">
            <w:pPr>
              <w:jc w:val="right"/>
              <w:rPr>
                <w:rFonts w:cs="Times New Roman"/>
                <w:color w:val="000000"/>
                <w:sz w:val="18"/>
                <w:szCs w:val="18"/>
              </w:rPr>
            </w:pPr>
            <w:r w:rsidRPr="00591AEA">
              <w:rPr>
                <w:sz w:val="18"/>
                <w:szCs w:val="18"/>
              </w:rPr>
              <w:t>3,8</w:t>
            </w:r>
          </w:p>
        </w:tc>
        <w:tc>
          <w:tcPr>
            <w:tcW w:w="851" w:type="dxa"/>
            <w:tcBorders>
              <w:top w:val="double" w:sz="6" w:space="0" w:color="auto"/>
              <w:left w:val="nil"/>
              <w:bottom w:val="nil"/>
              <w:right w:val="nil"/>
            </w:tcBorders>
            <w:shd w:val="clear" w:color="auto" w:fill="auto"/>
            <w:noWrap/>
            <w:vAlign w:val="center"/>
            <w:hideMark/>
          </w:tcPr>
          <w:p w14:paraId="735E2461" w14:textId="0FFEE96A" w:rsidR="00B847B9" w:rsidRPr="00B847B9" w:rsidRDefault="00B847B9">
            <w:pPr>
              <w:jc w:val="right"/>
              <w:rPr>
                <w:rFonts w:cs="Times New Roman"/>
                <w:color w:val="000000"/>
                <w:sz w:val="18"/>
                <w:szCs w:val="18"/>
              </w:rPr>
            </w:pPr>
            <w:r w:rsidRPr="00591AEA">
              <w:rPr>
                <w:sz w:val="18"/>
                <w:szCs w:val="18"/>
              </w:rPr>
              <w:t>4,3</w:t>
            </w:r>
          </w:p>
        </w:tc>
        <w:tc>
          <w:tcPr>
            <w:tcW w:w="850" w:type="dxa"/>
            <w:tcBorders>
              <w:top w:val="double" w:sz="6" w:space="0" w:color="auto"/>
              <w:left w:val="nil"/>
              <w:bottom w:val="nil"/>
              <w:right w:val="nil"/>
            </w:tcBorders>
            <w:shd w:val="clear" w:color="auto" w:fill="auto"/>
            <w:noWrap/>
            <w:vAlign w:val="center"/>
            <w:hideMark/>
          </w:tcPr>
          <w:p w14:paraId="7DA69B30" w14:textId="414D4EC4" w:rsidR="00B847B9" w:rsidRPr="00B847B9" w:rsidRDefault="00B847B9">
            <w:pPr>
              <w:jc w:val="right"/>
              <w:rPr>
                <w:rFonts w:cs="Times New Roman"/>
                <w:color w:val="000000"/>
                <w:sz w:val="18"/>
                <w:szCs w:val="18"/>
              </w:rPr>
            </w:pPr>
            <w:r w:rsidRPr="00591AEA">
              <w:rPr>
                <w:sz w:val="18"/>
                <w:szCs w:val="18"/>
              </w:rPr>
              <w:t>4,5</w:t>
            </w:r>
          </w:p>
        </w:tc>
        <w:tc>
          <w:tcPr>
            <w:tcW w:w="851" w:type="dxa"/>
            <w:tcBorders>
              <w:top w:val="double" w:sz="6" w:space="0" w:color="auto"/>
              <w:left w:val="nil"/>
              <w:bottom w:val="nil"/>
              <w:right w:val="nil"/>
            </w:tcBorders>
            <w:shd w:val="clear" w:color="auto" w:fill="auto"/>
            <w:noWrap/>
            <w:vAlign w:val="center"/>
            <w:hideMark/>
          </w:tcPr>
          <w:p w14:paraId="7B9C8DAD" w14:textId="4DD38513" w:rsidR="00B847B9" w:rsidRPr="00B847B9" w:rsidRDefault="00B847B9">
            <w:pPr>
              <w:jc w:val="right"/>
              <w:rPr>
                <w:rFonts w:cs="Times New Roman"/>
                <w:color w:val="000000"/>
                <w:sz w:val="18"/>
                <w:szCs w:val="18"/>
              </w:rPr>
            </w:pPr>
            <w:r w:rsidRPr="00591AEA">
              <w:rPr>
                <w:sz w:val="18"/>
                <w:szCs w:val="18"/>
              </w:rPr>
              <w:t>3,0</w:t>
            </w:r>
          </w:p>
        </w:tc>
      </w:tr>
      <w:tr w:rsidR="00B847B9" w:rsidRPr="00E9337C" w14:paraId="3EC81232" w14:textId="77777777" w:rsidTr="00591AEA">
        <w:trPr>
          <w:trHeight w:val="57"/>
        </w:trPr>
        <w:tc>
          <w:tcPr>
            <w:tcW w:w="3969" w:type="dxa"/>
            <w:tcBorders>
              <w:top w:val="nil"/>
              <w:left w:val="nil"/>
              <w:bottom w:val="nil"/>
              <w:right w:val="nil"/>
            </w:tcBorders>
            <w:shd w:val="clear" w:color="auto" w:fill="auto"/>
            <w:vAlign w:val="center"/>
            <w:hideMark/>
          </w:tcPr>
          <w:p w14:paraId="10E97A90" w14:textId="77777777" w:rsidR="00B847B9" w:rsidRPr="00E9337C" w:rsidRDefault="00B847B9" w:rsidP="00B847B9">
            <w:pPr>
              <w:rPr>
                <w:rFonts w:cs="Times New Roman"/>
                <w:color w:val="000000"/>
                <w:sz w:val="18"/>
                <w:szCs w:val="20"/>
              </w:rPr>
            </w:pPr>
            <w:r w:rsidRPr="00E9337C">
              <w:rPr>
                <w:rFonts w:cs="Times New Roman"/>
                <w:color w:val="000000"/>
                <w:sz w:val="18"/>
                <w:szCs w:val="20"/>
              </w:rPr>
              <w:t xml:space="preserve">15. Reálny rast agregátu výdavkov očisteného o príjmové opatrenia </w:t>
            </w:r>
          </w:p>
        </w:tc>
        <w:tc>
          <w:tcPr>
            <w:tcW w:w="850" w:type="dxa"/>
            <w:tcBorders>
              <w:top w:val="nil"/>
              <w:left w:val="nil"/>
              <w:bottom w:val="nil"/>
              <w:right w:val="nil"/>
            </w:tcBorders>
            <w:shd w:val="clear" w:color="auto" w:fill="auto"/>
            <w:noWrap/>
            <w:vAlign w:val="center"/>
            <w:hideMark/>
          </w:tcPr>
          <w:p w14:paraId="680FABD8" w14:textId="46A51BDE" w:rsidR="00B847B9" w:rsidRPr="00B847B9" w:rsidRDefault="00B847B9">
            <w:pPr>
              <w:jc w:val="right"/>
              <w:rPr>
                <w:rFonts w:cs="Times New Roman"/>
                <w:color w:val="000000"/>
                <w:sz w:val="18"/>
                <w:szCs w:val="18"/>
              </w:rPr>
            </w:pPr>
            <w:r w:rsidRPr="00591AEA">
              <w:rPr>
                <w:sz w:val="18"/>
                <w:szCs w:val="18"/>
              </w:rPr>
              <w:t>0,2</w:t>
            </w:r>
          </w:p>
        </w:tc>
        <w:tc>
          <w:tcPr>
            <w:tcW w:w="851" w:type="dxa"/>
            <w:tcBorders>
              <w:top w:val="nil"/>
              <w:left w:val="nil"/>
              <w:bottom w:val="nil"/>
              <w:right w:val="nil"/>
            </w:tcBorders>
            <w:shd w:val="clear" w:color="auto" w:fill="auto"/>
            <w:noWrap/>
            <w:vAlign w:val="center"/>
            <w:hideMark/>
          </w:tcPr>
          <w:p w14:paraId="3C406CE3" w14:textId="472AF80D" w:rsidR="00B847B9" w:rsidRPr="00B847B9" w:rsidRDefault="00B847B9">
            <w:pPr>
              <w:jc w:val="right"/>
              <w:rPr>
                <w:rFonts w:cs="Times New Roman"/>
                <w:color w:val="000000"/>
                <w:sz w:val="18"/>
                <w:szCs w:val="18"/>
              </w:rPr>
            </w:pPr>
            <w:r w:rsidRPr="00591AEA">
              <w:rPr>
                <w:sz w:val="18"/>
                <w:szCs w:val="18"/>
              </w:rPr>
              <w:t>5,0</w:t>
            </w:r>
          </w:p>
        </w:tc>
        <w:tc>
          <w:tcPr>
            <w:tcW w:w="850" w:type="dxa"/>
            <w:tcBorders>
              <w:top w:val="nil"/>
              <w:left w:val="nil"/>
              <w:bottom w:val="nil"/>
              <w:right w:val="nil"/>
            </w:tcBorders>
            <w:shd w:val="clear" w:color="auto" w:fill="auto"/>
            <w:noWrap/>
            <w:vAlign w:val="center"/>
            <w:hideMark/>
          </w:tcPr>
          <w:p w14:paraId="0E9E1E21" w14:textId="567AF3D9" w:rsidR="00B847B9" w:rsidRPr="00B847B9" w:rsidRDefault="00B847B9">
            <w:pPr>
              <w:jc w:val="right"/>
              <w:rPr>
                <w:rFonts w:cs="Times New Roman"/>
                <w:color w:val="000000"/>
                <w:sz w:val="18"/>
                <w:szCs w:val="18"/>
              </w:rPr>
            </w:pPr>
            <w:r w:rsidRPr="00591AEA">
              <w:rPr>
                <w:sz w:val="18"/>
                <w:szCs w:val="18"/>
              </w:rPr>
              <w:t>1,3</w:t>
            </w:r>
          </w:p>
        </w:tc>
        <w:tc>
          <w:tcPr>
            <w:tcW w:w="851" w:type="dxa"/>
            <w:tcBorders>
              <w:top w:val="nil"/>
              <w:left w:val="nil"/>
              <w:bottom w:val="nil"/>
              <w:right w:val="nil"/>
            </w:tcBorders>
            <w:shd w:val="clear" w:color="auto" w:fill="auto"/>
            <w:noWrap/>
            <w:vAlign w:val="center"/>
            <w:hideMark/>
          </w:tcPr>
          <w:p w14:paraId="62F68D69" w14:textId="45E99F9A" w:rsidR="00B847B9" w:rsidRPr="00B847B9" w:rsidRDefault="00B847B9">
            <w:pPr>
              <w:jc w:val="right"/>
              <w:rPr>
                <w:rFonts w:cs="Times New Roman"/>
                <w:color w:val="000000"/>
                <w:sz w:val="18"/>
                <w:szCs w:val="18"/>
              </w:rPr>
            </w:pPr>
            <w:r w:rsidRPr="00591AEA">
              <w:rPr>
                <w:sz w:val="18"/>
                <w:szCs w:val="18"/>
              </w:rPr>
              <w:t>1,7</w:t>
            </w:r>
          </w:p>
        </w:tc>
        <w:tc>
          <w:tcPr>
            <w:tcW w:w="850" w:type="dxa"/>
            <w:tcBorders>
              <w:top w:val="nil"/>
              <w:left w:val="nil"/>
              <w:bottom w:val="nil"/>
              <w:right w:val="nil"/>
            </w:tcBorders>
            <w:shd w:val="clear" w:color="auto" w:fill="auto"/>
            <w:noWrap/>
            <w:vAlign w:val="center"/>
            <w:hideMark/>
          </w:tcPr>
          <w:p w14:paraId="279BE28B" w14:textId="2E9CB3A2" w:rsidR="00B847B9" w:rsidRPr="00B847B9" w:rsidRDefault="00B847B9">
            <w:pPr>
              <w:jc w:val="right"/>
              <w:rPr>
                <w:rFonts w:cs="Times New Roman"/>
                <w:color w:val="000000"/>
                <w:sz w:val="18"/>
                <w:szCs w:val="18"/>
              </w:rPr>
            </w:pPr>
            <w:r w:rsidRPr="00591AEA">
              <w:rPr>
                <w:sz w:val="18"/>
                <w:szCs w:val="18"/>
              </w:rPr>
              <w:t>2,1</w:t>
            </w:r>
          </w:p>
        </w:tc>
        <w:tc>
          <w:tcPr>
            <w:tcW w:w="851" w:type="dxa"/>
            <w:tcBorders>
              <w:top w:val="nil"/>
              <w:left w:val="nil"/>
              <w:bottom w:val="nil"/>
              <w:right w:val="nil"/>
            </w:tcBorders>
            <w:shd w:val="clear" w:color="auto" w:fill="auto"/>
            <w:noWrap/>
            <w:vAlign w:val="center"/>
            <w:hideMark/>
          </w:tcPr>
          <w:p w14:paraId="224EA978" w14:textId="4CA41BC7" w:rsidR="00B847B9" w:rsidRPr="00B847B9" w:rsidRDefault="00B847B9">
            <w:pPr>
              <w:jc w:val="right"/>
              <w:rPr>
                <w:rFonts w:cs="Times New Roman"/>
                <w:color w:val="000000"/>
                <w:sz w:val="18"/>
                <w:szCs w:val="18"/>
              </w:rPr>
            </w:pPr>
            <w:r w:rsidRPr="00591AEA">
              <w:rPr>
                <w:sz w:val="18"/>
                <w:szCs w:val="18"/>
              </w:rPr>
              <w:t>0,6</w:t>
            </w:r>
          </w:p>
        </w:tc>
      </w:tr>
      <w:tr w:rsidR="00B847B9" w:rsidRPr="00E9337C" w14:paraId="76DD2D18" w14:textId="77777777" w:rsidTr="00591AEA">
        <w:trPr>
          <w:trHeight w:val="57"/>
        </w:trPr>
        <w:tc>
          <w:tcPr>
            <w:tcW w:w="3969" w:type="dxa"/>
            <w:tcBorders>
              <w:top w:val="single" w:sz="4" w:space="0" w:color="auto"/>
              <w:left w:val="nil"/>
              <w:bottom w:val="nil"/>
              <w:right w:val="nil"/>
            </w:tcBorders>
            <w:shd w:val="clear" w:color="auto" w:fill="auto"/>
            <w:vAlign w:val="center"/>
            <w:hideMark/>
          </w:tcPr>
          <w:p w14:paraId="1C6EEB72" w14:textId="77777777" w:rsidR="00B847B9" w:rsidRPr="00E9337C" w:rsidRDefault="00B847B9" w:rsidP="00B847B9">
            <w:pPr>
              <w:rPr>
                <w:rFonts w:cs="Times New Roman"/>
                <w:color w:val="000000"/>
                <w:sz w:val="18"/>
                <w:szCs w:val="20"/>
              </w:rPr>
            </w:pPr>
            <w:r w:rsidRPr="00E9337C">
              <w:rPr>
                <w:rFonts w:cs="Times New Roman"/>
                <w:color w:val="000000"/>
                <w:sz w:val="18"/>
                <w:szCs w:val="20"/>
              </w:rPr>
              <w:t>16. Výdavkové pravidlo (znížená referenčná miera pot. rastu HDP)</w:t>
            </w:r>
          </w:p>
        </w:tc>
        <w:tc>
          <w:tcPr>
            <w:tcW w:w="850" w:type="dxa"/>
            <w:tcBorders>
              <w:top w:val="single" w:sz="4" w:space="0" w:color="auto"/>
              <w:left w:val="nil"/>
              <w:bottom w:val="nil"/>
              <w:right w:val="nil"/>
            </w:tcBorders>
            <w:shd w:val="clear" w:color="auto" w:fill="auto"/>
            <w:noWrap/>
            <w:vAlign w:val="center"/>
            <w:hideMark/>
          </w:tcPr>
          <w:p w14:paraId="664B41BD" w14:textId="4ECA7789" w:rsidR="00B847B9" w:rsidRPr="00B847B9" w:rsidRDefault="00B847B9">
            <w:pPr>
              <w:jc w:val="right"/>
              <w:rPr>
                <w:rFonts w:cs="Times New Roman"/>
                <w:color w:val="000000"/>
                <w:sz w:val="18"/>
                <w:szCs w:val="18"/>
              </w:rPr>
            </w:pPr>
            <w:r w:rsidRPr="00591AEA">
              <w:rPr>
                <w:sz w:val="18"/>
                <w:szCs w:val="18"/>
              </w:rPr>
              <w:t>1,3</w:t>
            </w:r>
          </w:p>
        </w:tc>
        <w:tc>
          <w:tcPr>
            <w:tcW w:w="851" w:type="dxa"/>
            <w:tcBorders>
              <w:top w:val="single" w:sz="4" w:space="0" w:color="auto"/>
              <w:left w:val="nil"/>
              <w:bottom w:val="nil"/>
              <w:right w:val="nil"/>
            </w:tcBorders>
            <w:shd w:val="clear" w:color="auto" w:fill="auto"/>
            <w:noWrap/>
            <w:vAlign w:val="center"/>
            <w:hideMark/>
          </w:tcPr>
          <w:p w14:paraId="7025DAE1" w14:textId="48589F3B" w:rsidR="00B847B9" w:rsidRPr="00B847B9" w:rsidRDefault="00B847B9">
            <w:pPr>
              <w:jc w:val="right"/>
              <w:rPr>
                <w:rFonts w:cs="Times New Roman"/>
                <w:color w:val="000000"/>
                <w:sz w:val="18"/>
                <w:szCs w:val="18"/>
              </w:rPr>
            </w:pPr>
            <w:r w:rsidRPr="00591AEA">
              <w:rPr>
                <w:sz w:val="18"/>
                <w:szCs w:val="18"/>
              </w:rPr>
              <w:t>1,3</w:t>
            </w:r>
          </w:p>
        </w:tc>
        <w:tc>
          <w:tcPr>
            <w:tcW w:w="850" w:type="dxa"/>
            <w:tcBorders>
              <w:top w:val="single" w:sz="4" w:space="0" w:color="auto"/>
              <w:left w:val="nil"/>
              <w:bottom w:val="nil"/>
              <w:right w:val="nil"/>
            </w:tcBorders>
            <w:shd w:val="clear" w:color="auto" w:fill="auto"/>
            <w:noWrap/>
            <w:vAlign w:val="center"/>
            <w:hideMark/>
          </w:tcPr>
          <w:p w14:paraId="774AE72A" w14:textId="0AE179D2" w:rsidR="00B847B9" w:rsidRPr="00B847B9" w:rsidRDefault="00B847B9">
            <w:pPr>
              <w:jc w:val="right"/>
              <w:rPr>
                <w:rFonts w:cs="Times New Roman"/>
                <w:color w:val="000000"/>
                <w:sz w:val="18"/>
                <w:szCs w:val="18"/>
              </w:rPr>
            </w:pPr>
            <w:r w:rsidRPr="00591AEA">
              <w:rPr>
                <w:sz w:val="18"/>
                <w:szCs w:val="18"/>
              </w:rPr>
              <w:t>1,6</w:t>
            </w:r>
          </w:p>
        </w:tc>
        <w:tc>
          <w:tcPr>
            <w:tcW w:w="851" w:type="dxa"/>
            <w:tcBorders>
              <w:top w:val="single" w:sz="4" w:space="0" w:color="auto"/>
              <w:left w:val="nil"/>
              <w:bottom w:val="nil"/>
              <w:right w:val="nil"/>
            </w:tcBorders>
            <w:shd w:val="clear" w:color="auto" w:fill="auto"/>
            <w:noWrap/>
            <w:vAlign w:val="center"/>
            <w:hideMark/>
          </w:tcPr>
          <w:p w14:paraId="0F933929" w14:textId="070B2989" w:rsidR="00B847B9" w:rsidRPr="00B847B9" w:rsidRDefault="00B847B9">
            <w:pPr>
              <w:jc w:val="right"/>
              <w:rPr>
                <w:rFonts w:cs="Times New Roman"/>
                <w:color w:val="000000"/>
                <w:sz w:val="18"/>
                <w:szCs w:val="18"/>
              </w:rPr>
            </w:pPr>
            <w:r w:rsidRPr="00591AEA">
              <w:rPr>
                <w:sz w:val="18"/>
                <w:szCs w:val="18"/>
              </w:rPr>
              <w:t>3,0</w:t>
            </w:r>
          </w:p>
        </w:tc>
        <w:tc>
          <w:tcPr>
            <w:tcW w:w="850" w:type="dxa"/>
            <w:tcBorders>
              <w:top w:val="single" w:sz="4" w:space="0" w:color="auto"/>
              <w:left w:val="nil"/>
              <w:bottom w:val="nil"/>
              <w:right w:val="nil"/>
            </w:tcBorders>
            <w:shd w:val="clear" w:color="auto" w:fill="auto"/>
            <w:noWrap/>
            <w:vAlign w:val="center"/>
            <w:hideMark/>
          </w:tcPr>
          <w:p w14:paraId="1E0499F6" w14:textId="524521BE" w:rsidR="00B847B9" w:rsidRPr="00B847B9" w:rsidRDefault="00B847B9">
            <w:pPr>
              <w:jc w:val="right"/>
              <w:rPr>
                <w:rFonts w:cs="Times New Roman"/>
                <w:color w:val="000000"/>
                <w:sz w:val="18"/>
                <w:szCs w:val="18"/>
              </w:rPr>
            </w:pPr>
            <w:r w:rsidRPr="00591AEA">
              <w:rPr>
                <w:sz w:val="18"/>
                <w:szCs w:val="18"/>
              </w:rPr>
              <w:t>3,0</w:t>
            </w:r>
          </w:p>
        </w:tc>
        <w:tc>
          <w:tcPr>
            <w:tcW w:w="851" w:type="dxa"/>
            <w:tcBorders>
              <w:top w:val="single" w:sz="4" w:space="0" w:color="auto"/>
              <w:left w:val="nil"/>
              <w:bottom w:val="nil"/>
              <w:right w:val="nil"/>
            </w:tcBorders>
            <w:shd w:val="clear" w:color="auto" w:fill="auto"/>
            <w:noWrap/>
            <w:vAlign w:val="center"/>
            <w:hideMark/>
          </w:tcPr>
          <w:p w14:paraId="31933175" w14:textId="412C5FF9" w:rsidR="00B847B9" w:rsidRPr="00B847B9" w:rsidRDefault="00B847B9">
            <w:pPr>
              <w:jc w:val="right"/>
              <w:rPr>
                <w:rFonts w:cs="Times New Roman"/>
                <w:color w:val="000000"/>
                <w:sz w:val="18"/>
                <w:szCs w:val="18"/>
              </w:rPr>
            </w:pPr>
            <w:r w:rsidRPr="00591AEA">
              <w:rPr>
                <w:sz w:val="18"/>
                <w:szCs w:val="18"/>
              </w:rPr>
              <w:t>3,1</w:t>
            </w:r>
          </w:p>
        </w:tc>
      </w:tr>
      <w:tr w:rsidR="00B847B9" w:rsidRPr="00E9337C" w14:paraId="11CCDCD6" w14:textId="77777777" w:rsidTr="00591AEA">
        <w:trPr>
          <w:trHeight w:val="57"/>
        </w:trPr>
        <w:tc>
          <w:tcPr>
            <w:tcW w:w="3969" w:type="dxa"/>
            <w:tcBorders>
              <w:top w:val="nil"/>
              <w:left w:val="nil"/>
              <w:bottom w:val="single" w:sz="4" w:space="0" w:color="auto"/>
              <w:right w:val="nil"/>
            </w:tcBorders>
            <w:shd w:val="clear" w:color="auto" w:fill="auto"/>
            <w:vAlign w:val="center"/>
            <w:hideMark/>
          </w:tcPr>
          <w:p w14:paraId="1E17D886" w14:textId="77777777" w:rsidR="00B847B9" w:rsidRPr="00E9337C" w:rsidRDefault="00B847B9" w:rsidP="00B847B9">
            <w:pPr>
              <w:rPr>
                <w:rFonts w:cs="Times New Roman"/>
                <w:color w:val="000000"/>
                <w:sz w:val="18"/>
                <w:szCs w:val="20"/>
              </w:rPr>
            </w:pPr>
            <w:r w:rsidRPr="00E9337C">
              <w:rPr>
                <w:rFonts w:cs="Times New Roman"/>
                <w:color w:val="000000"/>
                <w:sz w:val="18"/>
                <w:szCs w:val="20"/>
              </w:rPr>
              <w:t>17. Odchýlka od výdavkového pravidla (16-15)</w:t>
            </w:r>
          </w:p>
        </w:tc>
        <w:tc>
          <w:tcPr>
            <w:tcW w:w="850" w:type="dxa"/>
            <w:tcBorders>
              <w:top w:val="nil"/>
              <w:left w:val="nil"/>
              <w:bottom w:val="single" w:sz="4" w:space="0" w:color="auto"/>
              <w:right w:val="nil"/>
            </w:tcBorders>
            <w:shd w:val="clear" w:color="auto" w:fill="auto"/>
            <w:vAlign w:val="center"/>
            <w:hideMark/>
          </w:tcPr>
          <w:p w14:paraId="13DA4840" w14:textId="5E6AA727" w:rsidR="00B847B9" w:rsidRPr="00B847B9" w:rsidRDefault="00B847B9">
            <w:pPr>
              <w:jc w:val="right"/>
              <w:rPr>
                <w:rFonts w:cs="Times New Roman"/>
                <w:color w:val="000000"/>
                <w:sz w:val="18"/>
                <w:szCs w:val="18"/>
              </w:rPr>
            </w:pPr>
            <w:r w:rsidRPr="00591AEA">
              <w:rPr>
                <w:sz w:val="18"/>
                <w:szCs w:val="18"/>
              </w:rPr>
              <w:t>1,1</w:t>
            </w:r>
          </w:p>
        </w:tc>
        <w:tc>
          <w:tcPr>
            <w:tcW w:w="851" w:type="dxa"/>
            <w:tcBorders>
              <w:top w:val="nil"/>
              <w:left w:val="nil"/>
              <w:bottom w:val="single" w:sz="4" w:space="0" w:color="auto"/>
              <w:right w:val="nil"/>
            </w:tcBorders>
            <w:shd w:val="clear" w:color="auto" w:fill="auto"/>
            <w:vAlign w:val="center"/>
            <w:hideMark/>
          </w:tcPr>
          <w:p w14:paraId="3812823D" w14:textId="3C9B58E3" w:rsidR="00B847B9" w:rsidRPr="00B847B9" w:rsidRDefault="00B847B9">
            <w:pPr>
              <w:jc w:val="right"/>
              <w:rPr>
                <w:rFonts w:cs="Times New Roman"/>
                <w:color w:val="000000"/>
                <w:sz w:val="18"/>
                <w:szCs w:val="18"/>
              </w:rPr>
            </w:pPr>
            <w:r w:rsidRPr="00591AEA">
              <w:rPr>
                <w:sz w:val="18"/>
                <w:szCs w:val="18"/>
              </w:rPr>
              <w:t>-3,6</w:t>
            </w:r>
          </w:p>
        </w:tc>
        <w:tc>
          <w:tcPr>
            <w:tcW w:w="850" w:type="dxa"/>
            <w:tcBorders>
              <w:top w:val="nil"/>
              <w:left w:val="nil"/>
              <w:bottom w:val="single" w:sz="4" w:space="0" w:color="auto"/>
              <w:right w:val="nil"/>
            </w:tcBorders>
            <w:shd w:val="clear" w:color="auto" w:fill="auto"/>
            <w:vAlign w:val="center"/>
            <w:hideMark/>
          </w:tcPr>
          <w:p w14:paraId="391B2079" w14:textId="2EADCE83" w:rsidR="00B847B9" w:rsidRPr="00B847B9" w:rsidRDefault="00B847B9">
            <w:pPr>
              <w:jc w:val="right"/>
              <w:rPr>
                <w:rFonts w:cs="Times New Roman"/>
                <w:color w:val="000000"/>
                <w:sz w:val="18"/>
                <w:szCs w:val="18"/>
              </w:rPr>
            </w:pPr>
            <w:r w:rsidRPr="00591AEA">
              <w:rPr>
                <w:sz w:val="18"/>
                <w:szCs w:val="18"/>
              </w:rPr>
              <w:t>0,3</w:t>
            </w:r>
          </w:p>
        </w:tc>
        <w:tc>
          <w:tcPr>
            <w:tcW w:w="851" w:type="dxa"/>
            <w:tcBorders>
              <w:top w:val="nil"/>
              <w:left w:val="nil"/>
              <w:bottom w:val="single" w:sz="4" w:space="0" w:color="auto"/>
              <w:right w:val="nil"/>
            </w:tcBorders>
            <w:shd w:val="clear" w:color="auto" w:fill="auto"/>
            <w:vAlign w:val="center"/>
            <w:hideMark/>
          </w:tcPr>
          <w:p w14:paraId="60B99247" w14:textId="5CD84D75" w:rsidR="00B847B9" w:rsidRPr="00B847B9" w:rsidRDefault="00B847B9">
            <w:pPr>
              <w:jc w:val="right"/>
              <w:rPr>
                <w:rFonts w:cs="Times New Roman"/>
                <w:color w:val="000000"/>
                <w:sz w:val="18"/>
                <w:szCs w:val="18"/>
              </w:rPr>
            </w:pPr>
            <w:r w:rsidRPr="00591AEA">
              <w:rPr>
                <w:sz w:val="18"/>
                <w:szCs w:val="18"/>
              </w:rPr>
              <w:t>1,3</w:t>
            </w:r>
          </w:p>
        </w:tc>
        <w:tc>
          <w:tcPr>
            <w:tcW w:w="850" w:type="dxa"/>
            <w:tcBorders>
              <w:top w:val="nil"/>
              <w:left w:val="nil"/>
              <w:bottom w:val="single" w:sz="4" w:space="0" w:color="auto"/>
              <w:right w:val="nil"/>
            </w:tcBorders>
            <w:shd w:val="clear" w:color="auto" w:fill="auto"/>
            <w:vAlign w:val="center"/>
            <w:hideMark/>
          </w:tcPr>
          <w:p w14:paraId="4A2DA335" w14:textId="7120617C" w:rsidR="00B847B9" w:rsidRPr="00B847B9" w:rsidRDefault="00B847B9">
            <w:pPr>
              <w:jc w:val="right"/>
              <w:rPr>
                <w:rFonts w:cs="Times New Roman"/>
                <w:color w:val="000000"/>
                <w:sz w:val="18"/>
                <w:szCs w:val="18"/>
              </w:rPr>
            </w:pPr>
            <w:r w:rsidRPr="00591AEA">
              <w:rPr>
                <w:sz w:val="18"/>
                <w:szCs w:val="18"/>
              </w:rPr>
              <w:t>0,9</w:t>
            </w:r>
          </w:p>
        </w:tc>
        <w:tc>
          <w:tcPr>
            <w:tcW w:w="851" w:type="dxa"/>
            <w:tcBorders>
              <w:top w:val="nil"/>
              <w:left w:val="nil"/>
              <w:bottom w:val="single" w:sz="4" w:space="0" w:color="auto"/>
              <w:right w:val="nil"/>
            </w:tcBorders>
            <w:shd w:val="clear" w:color="auto" w:fill="auto"/>
            <w:vAlign w:val="center"/>
            <w:hideMark/>
          </w:tcPr>
          <w:p w14:paraId="53DAF3EE" w14:textId="0248C60A" w:rsidR="00B847B9" w:rsidRPr="00B847B9" w:rsidRDefault="00B847B9">
            <w:pPr>
              <w:jc w:val="right"/>
              <w:rPr>
                <w:rFonts w:cs="Times New Roman"/>
                <w:color w:val="000000"/>
                <w:sz w:val="18"/>
                <w:szCs w:val="18"/>
              </w:rPr>
            </w:pPr>
            <w:r w:rsidRPr="00591AEA">
              <w:rPr>
                <w:sz w:val="18"/>
                <w:szCs w:val="18"/>
              </w:rPr>
              <w:t>2,4</w:t>
            </w:r>
          </w:p>
        </w:tc>
      </w:tr>
      <w:tr w:rsidR="00B847B9" w:rsidRPr="00E9337C" w14:paraId="0015BED2" w14:textId="77777777" w:rsidTr="00591AEA">
        <w:trPr>
          <w:trHeight w:val="57"/>
        </w:trPr>
        <w:tc>
          <w:tcPr>
            <w:tcW w:w="3969" w:type="dxa"/>
            <w:tcBorders>
              <w:top w:val="nil"/>
              <w:left w:val="nil"/>
              <w:bottom w:val="nil"/>
              <w:right w:val="nil"/>
            </w:tcBorders>
            <w:shd w:val="clear" w:color="auto" w:fill="auto"/>
            <w:noWrap/>
            <w:vAlign w:val="bottom"/>
            <w:hideMark/>
          </w:tcPr>
          <w:p w14:paraId="7B40BC61" w14:textId="77777777" w:rsidR="00B847B9" w:rsidRPr="00E9337C" w:rsidRDefault="00B847B9" w:rsidP="00B847B9">
            <w:pPr>
              <w:rPr>
                <w:rFonts w:cs="Times New Roman"/>
                <w:color w:val="000000"/>
                <w:sz w:val="18"/>
                <w:szCs w:val="20"/>
              </w:rPr>
            </w:pPr>
            <w:r w:rsidRPr="00E9337C">
              <w:rPr>
                <w:rFonts w:cs="Times New Roman"/>
                <w:color w:val="000000"/>
                <w:sz w:val="18"/>
                <w:szCs w:val="20"/>
              </w:rPr>
              <w:t>Jednoročná odchýlka - zafixované</w:t>
            </w:r>
          </w:p>
        </w:tc>
        <w:tc>
          <w:tcPr>
            <w:tcW w:w="850" w:type="dxa"/>
            <w:tcBorders>
              <w:top w:val="single" w:sz="4" w:space="0" w:color="auto"/>
              <w:left w:val="nil"/>
              <w:bottom w:val="nil"/>
              <w:right w:val="nil"/>
            </w:tcBorders>
            <w:shd w:val="clear" w:color="000000" w:fill="FFEB9C"/>
            <w:vAlign w:val="center"/>
            <w:hideMark/>
          </w:tcPr>
          <w:p w14:paraId="7D87CFBE" w14:textId="3CE22801" w:rsidR="00B847B9" w:rsidRPr="00B847B9" w:rsidRDefault="00B847B9">
            <w:pPr>
              <w:jc w:val="right"/>
              <w:rPr>
                <w:rFonts w:cs="Times New Roman"/>
                <w:b/>
                <w:bCs/>
                <w:color w:val="9C6500"/>
                <w:sz w:val="18"/>
                <w:szCs w:val="18"/>
              </w:rPr>
            </w:pPr>
            <w:r w:rsidRPr="00591AEA">
              <w:rPr>
                <w:sz w:val="18"/>
                <w:szCs w:val="18"/>
              </w:rPr>
              <w:t>0,0</w:t>
            </w:r>
          </w:p>
        </w:tc>
        <w:tc>
          <w:tcPr>
            <w:tcW w:w="851" w:type="dxa"/>
            <w:tcBorders>
              <w:top w:val="single" w:sz="4" w:space="0" w:color="auto"/>
              <w:left w:val="nil"/>
              <w:bottom w:val="nil"/>
              <w:right w:val="nil"/>
            </w:tcBorders>
            <w:shd w:val="clear" w:color="000000" w:fill="FFC7CE"/>
            <w:vAlign w:val="center"/>
            <w:hideMark/>
          </w:tcPr>
          <w:p w14:paraId="5E39ABA0" w14:textId="77045CCD" w:rsidR="00B847B9" w:rsidRPr="00B847B9" w:rsidRDefault="00B847B9">
            <w:pPr>
              <w:jc w:val="right"/>
              <w:rPr>
                <w:rFonts w:cs="Times New Roman"/>
                <w:b/>
                <w:bCs/>
                <w:color w:val="9C0006"/>
                <w:sz w:val="18"/>
                <w:szCs w:val="18"/>
              </w:rPr>
            </w:pPr>
            <w:r w:rsidRPr="00591AEA">
              <w:rPr>
                <w:sz w:val="18"/>
                <w:szCs w:val="18"/>
              </w:rPr>
              <w:t>-1,3</w:t>
            </w:r>
          </w:p>
        </w:tc>
        <w:tc>
          <w:tcPr>
            <w:tcW w:w="850" w:type="dxa"/>
            <w:tcBorders>
              <w:top w:val="single" w:sz="4" w:space="0" w:color="auto"/>
              <w:left w:val="nil"/>
              <w:bottom w:val="nil"/>
              <w:right w:val="nil"/>
            </w:tcBorders>
            <w:shd w:val="clear" w:color="000000" w:fill="C6EFCE"/>
            <w:vAlign w:val="center"/>
            <w:hideMark/>
          </w:tcPr>
          <w:p w14:paraId="6579FFDA" w14:textId="7D690C18" w:rsidR="00B847B9" w:rsidRPr="00B847B9" w:rsidRDefault="00B847B9">
            <w:pPr>
              <w:jc w:val="right"/>
              <w:rPr>
                <w:rFonts w:cs="Times New Roman"/>
                <w:b/>
                <w:bCs/>
                <w:color w:val="006100"/>
                <w:sz w:val="18"/>
                <w:szCs w:val="18"/>
              </w:rPr>
            </w:pPr>
            <w:r w:rsidRPr="00591AEA">
              <w:rPr>
                <w:sz w:val="18"/>
                <w:szCs w:val="18"/>
              </w:rPr>
              <w:t>0,1</w:t>
            </w:r>
          </w:p>
        </w:tc>
        <w:tc>
          <w:tcPr>
            <w:tcW w:w="851" w:type="dxa"/>
            <w:tcBorders>
              <w:top w:val="single" w:sz="4" w:space="0" w:color="auto"/>
              <w:left w:val="nil"/>
              <w:bottom w:val="nil"/>
              <w:right w:val="nil"/>
            </w:tcBorders>
            <w:shd w:val="clear" w:color="000000" w:fill="C6EFCE"/>
            <w:vAlign w:val="center"/>
            <w:hideMark/>
          </w:tcPr>
          <w:p w14:paraId="14592929" w14:textId="4201FD03" w:rsidR="00B847B9" w:rsidRPr="00B847B9" w:rsidRDefault="00B847B9">
            <w:pPr>
              <w:jc w:val="right"/>
              <w:rPr>
                <w:rFonts w:cs="Times New Roman"/>
                <w:b/>
                <w:bCs/>
                <w:color w:val="006100"/>
                <w:sz w:val="18"/>
                <w:szCs w:val="18"/>
              </w:rPr>
            </w:pPr>
            <w:r w:rsidRPr="00591AEA">
              <w:rPr>
                <w:sz w:val="18"/>
                <w:szCs w:val="18"/>
              </w:rPr>
              <w:t>0,5</w:t>
            </w:r>
          </w:p>
        </w:tc>
        <w:tc>
          <w:tcPr>
            <w:tcW w:w="850" w:type="dxa"/>
            <w:tcBorders>
              <w:top w:val="single" w:sz="4" w:space="0" w:color="auto"/>
              <w:left w:val="nil"/>
              <w:bottom w:val="nil"/>
              <w:right w:val="nil"/>
            </w:tcBorders>
            <w:shd w:val="clear" w:color="000000" w:fill="C6EFCE"/>
            <w:vAlign w:val="center"/>
            <w:hideMark/>
          </w:tcPr>
          <w:p w14:paraId="3B8CD101" w14:textId="61544583" w:rsidR="00B847B9" w:rsidRPr="00B847B9" w:rsidRDefault="00B847B9">
            <w:pPr>
              <w:jc w:val="right"/>
              <w:rPr>
                <w:rFonts w:cs="Times New Roman"/>
                <w:b/>
                <w:bCs/>
                <w:color w:val="006100"/>
                <w:sz w:val="18"/>
                <w:szCs w:val="18"/>
              </w:rPr>
            </w:pPr>
            <w:r w:rsidRPr="00591AEA">
              <w:rPr>
                <w:sz w:val="18"/>
                <w:szCs w:val="18"/>
              </w:rPr>
              <w:t>0,3</w:t>
            </w:r>
          </w:p>
        </w:tc>
        <w:tc>
          <w:tcPr>
            <w:tcW w:w="851" w:type="dxa"/>
            <w:tcBorders>
              <w:top w:val="single" w:sz="4" w:space="0" w:color="auto"/>
              <w:left w:val="nil"/>
              <w:bottom w:val="nil"/>
              <w:right w:val="nil"/>
            </w:tcBorders>
            <w:shd w:val="clear" w:color="000000" w:fill="C6EFCE"/>
            <w:vAlign w:val="center"/>
            <w:hideMark/>
          </w:tcPr>
          <w:p w14:paraId="243AD54D" w14:textId="78FBA23B" w:rsidR="00B847B9" w:rsidRPr="00B847B9" w:rsidRDefault="00B847B9">
            <w:pPr>
              <w:jc w:val="right"/>
              <w:rPr>
                <w:rFonts w:cs="Times New Roman"/>
                <w:b/>
                <w:bCs/>
                <w:color w:val="006100"/>
                <w:sz w:val="18"/>
                <w:szCs w:val="18"/>
              </w:rPr>
            </w:pPr>
            <w:r w:rsidRPr="00591AEA">
              <w:rPr>
                <w:sz w:val="18"/>
                <w:szCs w:val="18"/>
              </w:rPr>
              <w:t>0,8</w:t>
            </w:r>
          </w:p>
        </w:tc>
      </w:tr>
      <w:tr w:rsidR="00B847B9" w:rsidRPr="00E9337C" w14:paraId="51C6CC62" w14:textId="77777777" w:rsidTr="00591AEA">
        <w:trPr>
          <w:trHeight w:val="57"/>
        </w:trPr>
        <w:tc>
          <w:tcPr>
            <w:tcW w:w="3969" w:type="dxa"/>
            <w:tcBorders>
              <w:top w:val="nil"/>
              <w:left w:val="nil"/>
              <w:bottom w:val="single" w:sz="4" w:space="0" w:color="auto"/>
              <w:right w:val="nil"/>
            </w:tcBorders>
            <w:shd w:val="clear" w:color="auto" w:fill="auto"/>
            <w:noWrap/>
            <w:vAlign w:val="bottom"/>
            <w:hideMark/>
          </w:tcPr>
          <w:p w14:paraId="5D463B94" w14:textId="77777777" w:rsidR="00B847B9" w:rsidRPr="00E9337C" w:rsidRDefault="00B847B9" w:rsidP="00B847B9">
            <w:pPr>
              <w:rPr>
                <w:rFonts w:cs="Times New Roman"/>
                <w:color w:val="000000"/>
                <w:sz w:val="18"/>
                <w:szCs w:val="20"/>
              </w:rPr>
            </w:pPr>
            <w:r w:rsidRPr="00E9337C">
              <w:rPr>
                <w:rFonts w:cs="Times New Roman"/>
                <w:color w:val="000000"/>
                <w:sz w:val="18"/>
                <w:szCs w:val="20"/>
              </w:rPr>
              <w:t>Dvojročná odchýlka - zafixované</w:t>
            </w:r>
          </w:p>
        </w:tc>
        <w:tc>
          <w:tcPr>
            <w:tcW w:w="850" w:type="dxa"/>
            <w:tcBorders>
              <w:top w:val="nil"/>
              <w:left w:val="nil"/>
              <w:bottom w:val="single" w:sz="4" w:space="0" w:color="auto"/>
              <w:right w:val="nil"/>
            </w:tcBorders>
            <w:shd w:val="clear" w:color="000000" w:fill="C6EFCE"/>
            <w:vAlign w:val="center"/>
            <w:hideMark/>
          </w:tcPr>
          <w:p w14:paraId="6A688CEF" w14:textId="688BA3FF" w:rsidR="00B847B9" w:rsidRPr="00B847B9" w:rsidRDefault="00B847B9">
            <w:pPr>
              <w:jc w:val="right"/>
              <w:rPr>
                <w:rFonts w:cs="Times New Roman"/>
                <w:b/>
                <w:bCs/>
                <w:color w:val="006100"/>
                <w:sz w:val="18"/>
                <w:szCs w:val="18"/>
              </w:rPr>
            </w:pPr>
            <w:r w:rsidRPr="00591AEA">
              <w:rPr>
                <w:sz w:val="18"/>
                <w:szCs w:val="18"/>
              </w:rPr>
              <w:t>0,1</w:t>
            </w:r>
          </w:p>
        </w:tc>
        <w:tc>
          <w:tcPr>
            <w:tcW w:w="851" w:type="dxa"/>
            <w:tcBorders>
              <w:top w:val="nil"/>
              <w:left w:val="nil"/>
              <w:bottom w:val="single" w:sz="4" w:space="0" w:color="auto"/>
              <w:right w:val="nil"/>
            </w:tcBorders>
            <w:shd w:val="clear" w:color="000000" w:fill="FFC7CE"/>
            <w:vAlign w:val="center"/>
            <w:hideMark/>
          </w:tcPr>
          <w:p w14:paraId="47F39114" w14:textId="501F6380" w:rsidR="00B847B9" w:rsidRPr="00B847B9" w:rsidRDefault="00B847B9">
            <w:pPr>
              <w:jc w:val="right"/>
              <w:rPr>
                <w:rFonts w:cs="Times New Roman"/>
                <w:b/>
                <w:bCs/>
                <w:color w:val="9C0006"/>
                <w:sz w:val="18"/>
                <w:szCs w:val="18"/>
              </w:rPr>
            </w:pPr>
            <w:r w:rsidRPr="00591AEA">
              <w:rPr>
                <w:sz w:val="18"/>
                <w:szCs w:val="18"/>
              </w:rPr>
              <w:t>-0,7</w:t>
            </w:r>
          </w:p>
        </w:tc>
        <w:tc>
          <w:tcPr>
            <w:tcW w:w="850" w:type="dxa"/>
            <w:tcBorders>
              <w:top w:val="nil"/>
              <w:left w:val="nil"/>
              <w:bottom w:val="single" w:sz="4" w:space="0" w:color="auto"/>
              <w:right w:val="nil"/>
            </w:tcBorders>
            <w:shd w:val="clear" w:color="000000" w:fill="FFC7CE"/>
            <w:vAlign w:val="center"/>
            <w:hideMark/>
          </w:tcPr>
          <w:p w14:paraId="66118774" w14:textId="5F38F49F" w:rsidR="00B847B9" w:rsidRPr="00B847B9" w:rsidRDefault="00B847B9">
            <w:pPr>
              <w:jc w:val="right"/>
              <w:rPr>
                <w:rFonts w:cs="Times New Roman"/>
                <w:b/>
                <w:bCs/>
                <w:color w:val="9C0006"/>
                <w:sz w:val="18"/>
                <w:szCs w:val="18"/>
              </w:rPr>
            </w:pPr>
            <w:r w:rsidRPr="00591AEA">
              <w:rPr>
                <w:sz w:val="18"/>
                <w:szCs w:val="18"/>
              </w:rPr>
              <w:t>-0,6</w:t>
            </w:r>
          </w:p>
        </w:tc>
        <w:tc>
          <w:tcPr>
            <w:tcW w:w="851" w:type="dxa"/>
            <w:tcBorders>
              <w:top w:val="nil"/>
              <w:left w:val="nil"/>
              <w:bottom w:val="single" w:sz="4" w:space="0" w:color="auto"/>
              <w:right w:val="nil"/>
            </w:tcBorders>
            <w:shd w:val="clear" w:color="000000" w:fill="C6EFCE"/>
            <w:vAlign w:val="center"/>
            <w:hideMark/>
          </w:tcPr>
          <w:p w14:paraId="49864927" w14:textId="270D70C6" w:rsidR="00B847B9" w:rsidRPr="00B847B9" w:rsidRDefault="00B847B9">
            <w:pPr>
              <w:jc w:val="right"/>
              <w:rPr>
                <w:rFonts w:cs="Times New Roman"/>
                <w:b/>
                <w:bCs/>
                <w:color w:val="006100"/>
                <w:sz w:val="18"/>
                <w:szCs w:val="18"/>
              </w:rPr>
            </w:pPr>
            <w:r w:rsidRPr="00591AEA">
              <w:rPr>
                <w:sz w:val="18"/>
                <w:szCs w:val="18"/>
              </w:rPr>
              <w:t>0,3</w:t>
            </w:r>
          </w:p>
        </w:tc>
        <w:tc>
          <w:tcPr>
            <w:tcW w:w="850" w:type="dxa"/>
            <w:tcBorders>
              <w:top w:val="nil"/>
              <w:left w:val="nil"/>
              <w:bottom w:val="single" w:sz="4" w:space="0" w:color="auto"/>
              <w:right w:val="nil"/>
            </w:tcBorders>
            <w:shd w:val="clear" w:color="000000" w:fill="C6EFCE"/>
            <w:vAlign w:val="center"/>
            <w:hideMark/>
          </w:tcPr>
          <w:p w14:paraId="3FB1391B" w14:textId="49AC1CD1" w:rsidR="00B847B9" w:rsidRPr="00B847B9" w:rsidRDefault="00B847B9">
            <w:pPr>
              <w:jc w:val="right"/>
              <w:rPr>
                <w:rFonts w:cs="Times New Roman"/>
                <w:b/>
                <w:bCs/>
                <w:color w:val="006100"/>
                <w:sz w:val="18"/>
                <w:szCs w:val="18"/>
              </w:rPr>
            </w:pPr>
            <w:r w:rsidRPr="00591AEA">
              <w:rPr>
                <w:sz w:val="18"/>
                <w:szCs w:val="18"/>
              </w:rPr>
              <w:t>0,4</w:t>
            </w:r>
          </w:p>
        </w:tc>
        <w:tc>
          <w:tcPr>
            <w:tcW w:w="851" w:type="dxa"/>
            <w:tcBorders>
              <w:top w:val="nil"/>
              <w:left w:val="nil"/>
              <w:bottom w:val="single" w:sz="4" w:space="0" w:color="auto"/>
              <w:right w:val="nil"/>
            </w:tcBorders>
            <w:shd w:val="clear" w:color="000000" w:fill="C6EFCE"/>
            <w:vAlign w:val="center"/>
            <w:hideMark/>
          </w:tcPr>
          <w:p w14:paraId="0CE895C8" w14:textId="6ADA634D" w:rsidR="00B847B9" w:rsidRPr="00B847B9" w:rsidRDefault="00B847B9">
            <w:pPr>
              <w:jc w:val="right"/>
              <w:rPr>
                <w:rFonts w:cs="Times New Roman"/>
                <w:b/>
                <w:bCs/>
                <w:color w:val="006100"/>
                <w:sz w:val="18"/>
                <w:szCs w:val="18"/>
              </w:rPr>
            </w:pPr>
            <w:r w:rsidRPr="00591AEA">
              <w:rPr>
                <w:sz w:val="18"/>
                <w:szCs w:val="18"/>
              </w:rPr>
              <w:t>0,6</w:t>
            </w:r>
          </w:p>
        </w:tc>
      </w:tr>
      <w:tr w:rsidR="00D562E9" w:rsidRPr="00E9337C" w14:paraId="17C9F521" w14:textId="77777777" w:rsidTr="00591AEA">
        <w:trPr>
          <w:trHeight w:val="57"/>
        </w:trPr>
        <w:tc>
          <w:tcPr>
            <w:tcW w:w="3969" w:type="dxa"/>
            <w:tcBorders>
              <w:top w:val="nil"/>
              <w:left w:val="nil"/>
              <w:bottom w:val="nil"/>
              <w:right w:val="nil"/>
            </w:tcBorders>
            <w:shd w:val="clear" w:color="auto" w:fill="auto"/>
            <w:noWrap/>
            <w:vAlign w:val="center"/>
            <w:hideMark/>
          </w:tcPr>
          <w:p w14:paraId="529BA451" w14:textId="77777777" w:rsidR="00D562E9" w:rsidRPr="00E9337C" w:rsidRDefault="00D562E9" w:rsidP="00D562E9">
            <w:pPr>
              <w:rPr>
                <w:rFonts w:cs="Times New Roman"/>
                <w:i/>
                <w:iCs/>
                <w:color w:val="000000"/>
                <w:sz w:val="18"/>
                <w:szCs w:val="20"/>
              </w:rPr>
            </w:pPr>
            <w:r w:rsidRPr="00E9337C">
              <w:rPr>
                <w:rFonts w:cs="Times New Roman"/>
                <w:i/>
                <w:iCs/>
                <w:color w:val="000000"/>
                <w:sz w:val="18"/>
                <w:szCs w:val="20"/>
              </w:rPr>
              <w:t>p. m. deflátor HDP</w:t>
            </w:r>
          </w:p>
        </w:tc>
        <w:tc>
          <w:tcPr>
            <w:tcW w:w="850" w:type="dxa"/>
            <w:tcBorders>
              <w:top w:val="nil"/>
              <w:left w:val="nil"/>
              <w:bottom w:val="nil"/>
              <w:right w:val="nil"/>
            </w:tcBorders>
            <w:shd w:val="clear" w:color="auto" w:fill="auto"/>
            <w:noWrap/>
            <w:vAlign w:val="center"/>
            <w:hideMark/>
          </w:tcPr>
          <w:p w14:paraId="37FB93AA" w14:textId="441778BB" w:rsidR="00D562E9" w:rsidRPr="00D562E9" w:rsidRDefault="00D562E9">
            <w:pPr>
              <w:jc w:val="right"/>
              <w:rPr>
                <w:rFonts w:cs="Times New Roman"/>
                <w:i/>
                <w:iCs/>
                <w:color w:val="000000"/>
                <w:sz w:val="18"/>
                <w:szCs w:val="18"/>
              </w:rPr>
            </w:pPr>
            <w:r w:rsidRPr="00D562E9">
              <w:rPr>
                <w:sz w:val="18"/>
                <w:szCs w:val="18"/>
              </w:rPr>
              <w:t>1,2</w:t>
            </w:r>
          </w:p>
        </w:tc>
        <w:tc>
          <w:tcPr>
            <w:tcW w:w="851" w:type="dxa"/>
            <w:tcBorders>
              <w:top w:val="nil"/>
              <w:left w:val="nil"/>
              <w:bottom w:val="nil"/>
              <w:right w:val="nil"/>
            </w:tcBorders>
            <w:shd w:val="clear" w:color="auto" w:fill="auto"/>
            <w:noWrap/>
            <w:vAlign w:val="center"/>
            <w:hideMark/>
          </w:tcPr>
          <w:p w14:paraId="495CAB3C" w14:textId="5CCF30D7" w:rsidR="00D562E9" w:rsidRPr="00D562E9" w:rsidRDefault="00D562E9">
            <w:pPr>
              <w:jc w:val="right"/>
              <w:rPr>
                <w:rFonts w:cs="Times New Roman"/>
                <w:i/>
                <w:iCs/>
                <w:color w:val="000000"/>
                <w:sz w:val="18"/>
                <w:szCs w:val="18"/>
              </w:rPr>
            </w:pPr>
            <w:r w:rsidRPr="00D562E9">
              <w:rPr>
                <w:sz w:val="18"/>
                <w:szCs w:val="18"/>
              </w:rPr>
              <w:t>1,5</w:t>
            </w:r>
          </w:p>
        </w:tc>
        <w:tc>
          <w:tcPr>
            <w:tcW w:w="850" w:type="dxa"/>
            <w:tcBorders>
              <w:top w:val="nil"/>
              <w:left w:val="nil"/>
              <w:bottom w:val="nil"/>
              <w:right w:val="nil"/>
            </w:tcBorders>
            <w:shd w:val="clear" w:color="auto" w:fill="auto"/>
            <w:noWrap/>
            <w:vAlign w:val="center"/>
            <w:hideMark/>
          </w:tcPr>
          <w:p w14:paraId="03220BC5" w14:textId="53520EA2" w:rsidR="00D562E9" w:rsidRPr="00D562E9" w:rsidRDefault="00D562E9">
            <w:pPr>
              <w:jc w:val="right"/>
              <w:rPr>
                <w:rFonts w:cs="Times New Roman"/>
                <w:i/>
                <w:iCs/>
                <w:color w:val="000000"/>
                <w:sz w:val="18"/>
                <w:szCs w:val="18"/>
              </w:rPr>
            </w:pPr>
            <w:r w:rsidRPr="00D562E9">
              <w:rPr>
                <w:sz w:val="18"/>
                <w:szCs w:val="18"/>
              </w:rPr>
              <w:t>2,5</w:t>
            </w:r>
          </w:p>
        </w:tc>
        <w:tc>
          <w:tcPr>
            <w:tcW w:w="851" w:type="dxa"/>
            <w:tcBorders>
              <w:top w:val="nil"/>
              <w:left w:val="nil"/>
              <w:bottom w:val="nil"/>
              <w:right w:val="nil"/>
            </w:tcBorders>
            <w:shd w:val="clear" w:color="auto" w:fill="auto"/>
            <w:noWrap/>
            <w:vAlign w:val="center"/>
            <w:hideMark/>
          </w:tcPr>
          <w:p w14:paraId="4C2A386B" w14:textId="6CDEEDB1" w:rsidR="00D562E9" w:rsidRPr="00D562E9" w:rsidRDefault="00D562E9">
            <w:pPr>
              <w:jc w:val="right"/>
              <w:rPr>
                <w:rFonts w:cs="Times New Roman"/>
                <w:i/>
                <w:iCs/>
                <w:color w:val="000000"/>
                <w:sz w:val="18"/>
                <w:szCs w:val="18"/>
              </w:rPr>
            </w:pPr>
            <w:r w:rsidRPr="00D562E9">
              <w:rPr>
                <w:sz w:val="18"/>
                <w:szCs w:val="18"/>
              </w:rPr>
              <w:t>2,6</w:t>
            </w:r>
          </w:p>
        </w:tc>
        <w:tc>
          <w:tcPr>
            <w:tcW w:w="850" w:type="dxa"/>
            <w:tcBorders>
              <w:top w:val="nil"/>
              <w:left w:val="nil"/>
              <w:bottom w:val="nil"/>
              <w:right w:val="nil"/>
            </w:tcBorders>
            <w:shd w:val="clear" w:color="auto" w:fill="auto"/>
            <w:noWrap/>
            <w:vAlign w:val="center"/>
            <w:hideMark/>
          </w:tcPr>
          <w:p w14:paraId="0AC32F07" w14:textId="3A07A21C" w:rsidR="00D562E9" w:rsidRPr="00D562E9" w:rsidRDefault="00D562E9">
            <w:pPr>
              <w:jc w:val="right"/>
              <w:rPr>
                <w:rFonts w:cs="Times New Roman"/>
                <w:i/>
                <w:iCs/>
                <w:color w:val="000000"/>
                <w:sz w:val="18"/>
                <w:szCs w:val="18"/>
              </w:rPr>
            </w:pPr>
            <w:r w:rsidRPr="00D562E9">
              <w:rPr>
                <w:sz w:val="18"/>
                <w:szCs w:val="18"/>
              </w:rPr>
              <w:t>2,4</w:t>
            </w:r>
          </w:p>
        </w:tc>
        <w:tc>
          <w:tcPr>
            <w:tcW w:w="851" w:type="dxa"/>
            <w:tcBorders>
              <w:top w:val="nil"/>
              <w:left w:val="nil"/>
              <w:bottom w:val="nil"/>
              <w:right w:val="nil"/>
            </w:tcBorders>
            <w:shd w:val="clear" w:color="auto" w:fill="auto"/>
            <w:noWrap/>
            <w:vAlign w:val="center"/>
            <w:hideMark/>
          </w:tcPr>
          <w:p w14:paraId="7CEFD4F7" w14:textId="0845B6C6" w:rsidR="00D562E9" w:rsidRPr="00D562E9" w:rsidRDefault="00D562E9">
            <w:pPr>
              <w:jc w:val="right"/>
              <w:rPr>
                <w:rFonts w:cs="Times New Roman"/>
                <w:i/>
                <w:iCs/>
                <w:color w:val="000000"/>
                <w:sz w:val="18"/>
                <w:szCs w:val="18"/>
              </w:rPr>
            </w:pPr>
            <w:r w:rsidRPr="00D562E9">
              <w:rPr>
                <w:sz w:val="18"/>
                <w:szCs w:val="18"/>
              </w:rPr>
              <w:t>2,4</w:t>
            </w:r>
          </w:p>
        </w:tc>
      </w:tr>
      <w:tr w:rsidR="00D562E9" w:rsidRPr="00E9337C" w14:paraId="2ACD1A7B" w14:textId="77777777" w:rsidTr="00591AEA">
        <w:trPr>
          <w:trHeight w:val="57"/>
        </w:trPr>
        <w:tc>
          <w:tcPr>
            <w:tcW w:w="3969" w:type="dxa"/>
            <w:tcBorders>
              <w:top w:val="nil"/>
              <w:left w:val="nil"/>
              <w:bottom w:val="nil"/>
              <w:right w:val="nil"/>
            </w:tcBorders>
            <w:shd w:val="clear" w:color="auto" w:fill="auto"/>
            <w:noWrap/>
            <w:vAlign w:val="bottom"/>
            <w:hideMark/>
          </w:tcPr>
          <w:p w14:paraId="39CDADF5" w14:textId="77777777" w:rsidR="00D562E9" w:rsidRPr="00E9337C" w:rsidRDefault="00D562E9" w:rsidP="00D562E9">
            <w:pPr>
              <w:rPr>
                <w:rFonts w:cs="Times New Roman"/>
                <w:color w:val="000000"/>
                <w:sz w:val="18"/>
                <w:szCs w:val="20"/>
              </w:rPr>
            </w:pPr>
            <w:r w:rsidRPr="00E9337C">
              <w:rPr>
                <w:rFonts w:cs="Times New Roman"/>
                <w:color w:val="000000"/>
                <w:sz w:val="18"/>
                <w:szCs w:val="20"/>
              </w:rPr>
              <w:t>Limit odchýlky na 1r. horizonte</w:t>
            </w:r>
          </w:p>
        </w:tc>
        <w:tc>
          <w:tcPr>
            <w:tcW w:w="850" w:type="dxa"/>
            <w:tcBorders>
              <w:top w:val="nil"/>
              <w:left w:val="nil"/>
              <w:bottom w:val="nil"/>
              <w:right w:val="nil"/>
            </w:tcBorders>
            <w:shd w:val="clear" w:color="auto" w:fill="auto"/>
            <w:noWrap/>
            <w:vAlign w:val="center"/>
            <w:hideMark/>
          </w:tcPr>
          <w:p w14:paraId="229767F9" w14:textId="05895B60" w:rsidR="00D562E9" w:rsidRPr="00D562E9" w:rsidRDefault="00D562E9">
            <w:pPr>
              <w:jc w:val="right"/>
              <w:rPr>
                <w:rFonts w:cs="Times New Roman"/>
                <w:color w:val="000000"/>
                <w:sz w:val="18"/>
                <w:szCs w:val="18"/>
              </w:rPr>
            </w:pPr>
            <w:r w:rsidRPr="00D562E9">
              <w:rPr>
                <w:sz w:val="18"/>
                <w:szCs w:val="18"/>
              </w:rPr>
              <w:t>-0,5</w:t>
            </w:r>
          </w:p>
        </w:tc>
        <w:tc>
          <w:tcPr>
            <w:tcW w:w="851" w:type="dxa"/>
            <w:tcBorders>
              <w:top w:val="nil"/>
              <w:left w:val="nil"/>
              <w:bottom w:val="nil"/>
              <w:right w:val="nil"/>
            </w:tcBorders>
            <w:shd w:val="clear" w:color="auto" w:fill="auto"/>
            <w:noWrap/>
            <w:vAlign w:val="center"/>
            <w:hideMark/>
          </w:tcPr>
          <w:p w14:paraId="257C7860" w14:textId="21FFDF8E" w:rsidR="00D562E9" w:rsidRPr="00D562E9" w:rsidRDefault="00D562E9">
            <w:pPr>
              <w:jc w:val="right"/>
              <w:rPr>
                <w:rFonts w:cs="Times New Roman"/>
                <w:color w:val="000000"/>
                <w:sz w:val="18"/>
                <w:szCs w:val="18"/>
              </w:rPr>
            </w:pPr>
            <w:r w:rsidRPr="00D562E9">
              <w:rPr>
                <w:sz w:val="18"/>
                <w:szCs w:val="18"/>
              </w:rPr>
              <w:t>-0,5</w:t>
            </w:r>
          </w:p>
        </w:tc>
        <w:tc>
          <w:tcPr>
            <w:tcW w:w="850" w:type="dxa"/>
            <w:tcBorders>
              <w:top w:val="nil"/>
              <w:left w:val="nil"/>
              <w:bottom w:val="nil"/>
              <w:right w:val="nil"/>
            </w:tcBorders>
            <w:shd w:val="clear" w:color="auto" w:fill="auto"/>
            <w:noWrap/>
            <w:vAlign w:val="center"/>
            <w:hideMark/>
          </w:tcPr>
          <w:p w14:paraId="3322C834" w14:textId="7F6E63BD" w:rsidR="00D562E9" w:rsidRPr="00D562E9" w:rsidRDefault="00D562E9">
            <w:pPr>
              <w:jc w:val="right"/>
              <w:rPr>
                <w:rFonts w:cs="Times New Roman"/>
                <w:color w:val="000000"/>
                <w:sz w:val="18"/>
                <w:szCs w:val="18"/>
              </w:rPr>
            </w:pPr>
            <w:r w:rsidRPr="00D562E9">
              <w:rPr>
                <w:sz w:val="18"/>
                <w:szCs w:val="18"/>
              </w:rPr>
              <w:t>-0,5</w:t>
            </w:r>
          </w:p>
        </w:tc>
        <w:tc>
          <w:tcPr>
            <w:tcW w:w="851" w:type="dxa"/>
            <w:tcBorders>
              <w:top w:val="nil"/>
              <w:left w:val="nil"/>
              <w:bottom w:val="nil"/>
              <w:right w:val="nil"/>
            </w:tcBorders>
            <w:shd w:val="clear" w:color="auto" w:fill="auto"/>
            <w:noWrap/>
            <w:vAlign w:val="center"/>
            <w:hideMark/>
          </w:tcPr>
          <w:p w14:paraId="586737C0" w14:textId="01DDDA8A" w:rsidR="00D562E9" w:rsidRPr="00D562E9" w:rsidRDefault="00D562E9">
            <w:pPr>
              <w:jc w:val="right"/>
              <w:rPr>
                <w:rFonts w:cs="Times New Roman"/>
                <w:color w:val="000000"/>
                <w:sz w:val="18"/>
                <w:szCs w:val="18"/>
              </w:rPr>
            </w:pPr>
            <w:r w:rsidRPr="00D562E9">
              <w:rPr>
                <w:sz w:val="18"/>
                <w:szCs w:val="18"/>
              </w:rPr>
              <w:t>-0,5</w:t>
            </w:r>
          </w:p>
        </w:tc>
        <w:tc>
          <w:tcPr>
            <w:tcW w:w="850" w:type="dxa"/>
            <w:tcBorders>
              <w:top w:val="nil"/>
              <w:left w:val="nil"/>
              <w:bottom w:val="nil"/>
              <w:right w:val="nil"/>
            </w:tcBorders>
            <w:shd w:val="clear" w:color="auto" w:fill="auto"/>
            <w:noWrap/>
            <w:vAlign w:val="center"/>
            <w:hideMark/>
          </w:tcPr>
          <w:p w14:paraId="0AD297D2" w14:textId="53A6E402" w:rsidR="00D562E9" w:rsidRPr="00D562E9" w:rsidRDefault="00D562E9">
            <w:pPr>
              <w:jc w:val="right"/>
              <w:rPr>
                <w:rFonts w:cs="Times New Roman"/>
                <w:color w:val="000000"/>
                <w:sz w:val="18"/>
                <w:szCs w:val="18"/>
              </w:rPr>
            </w:pPr>
            <w:r w:rsidRPr="00D562E9">
              <w:rPr>
                <w:sz w:val="18"/>
                <w:szCs w:val="18"/>
              </w:rPr>
              <w:t>-0,5</w:t>
            </w:r>
          </w:p>
        </w:tc>
        <w:tc>
          <w:tcPr>
            <w:tcW w:w="851" w:type="dxa"/>
            <w:tcBorders>
              <w:top w:val="nil"/>
              <w:left w:val="nil"/>
              <w:bottom w:val="nil"/>
              <w:right w:val="nil"/>
            </w:tcBorders>
            <w:shd w:val="clear" w:color="auto" w:fill="auto"/>
            <w:noWrap/>
            <w:vAlign w:val="center"/>
            <w:hideMark/>
          </w:tcPr>
          <w:p w14:paraId="4C170950" w14:textId="62212766" w:rsidR="00D562E9" w:rsidRPr="00D562E9" w:rsidRDefault="00D562E9">
            <w:pPr>
              <w:jc w:val="right"/>
              <w:rPr>
                <w:rFonts w:cs="Times New Roman"/>
                <w:color w:val="000000"/>
                <w:sz w:val="18"/>
                <w:szCs w:val="18"/>
              </w:rPr>
            </w:pPr>
            <w:r w:rsidRPr="00D562E9">
              <w:rPr>
                <w:sz w:val="18"/>
                <w:szCs w:val="18"/>
              </w:rPr>
              <w:t>-0,5</w:t>
            </w:r>
          </w:p>
        </w:tc>
      </w:tr>
      <w:tr w:rsidR="00D562E9" w:rsidRPr="00E9337C" w14:paraId="45FE2A9E" w14:textId="77777777" w:rsidTr="00591AEA">
        <w:trPr>
          <w:trHeight w:val="57"/>
        </w:trPr>
        <w:tc>
          <w:tcPr>
            <w:tcW w:w="3969" w:type="dxa"/>
            <w:tcBorders>
              <w:top w:val="nil"/>
              <w:left w:val="nil"/>
              <w:bottom w:val="single" w:sz="4" w:space="0" w:color="auto"/>
              <w:right w:val="nil"/>
            </w:tcBorders>
            <w:shd w:val="clear" w:color="auto" w:fill="auto"/>
            <w:noWrap/>
            <w:vAlign w:val="bottom"/>
            <w:hideMark/>
          </w:tcPr>
          <w:p w14:paraId="197DA10D" w14:textId="77777777" w:rsidR="00D562E9" w:rsidRPr="00E9337C" w:rsidRDefault="00D562E9" w:rsidP="00D562E9">
            <w:pPr>
              <w:rPr>
                <w:rFonts w:cs="Times New Roman"/>
                <w:color w:val="000000"/>
                <w:sz w:val="18"/>
                <w:szCs w:val="20"/>
              </w:rPr>
            </w:pPr>
            <w:r w:rsidRPr="00E9337C">
              <w:rPr>
                <w:rFonts w:cs="Times New Roman"/>
                <w:color w:val="000000"/>
                <w:sz w:val="18"/>
                <w:szCs w:val="20"/>
              </w:rPr>
              <w:t>Limit odchýlky na 2r. horizonte</w:t>
            </w:r>
          </w:p>
        </w:tc>
        <w:tc>
          <w:tcPr>
            <w:tcW w:w="850" w:type="dxa"/>
            <w:tcBorders>
              <w:top w:val="nil"/>
              <w:left w:val="nil"/>
              <w:bottom w:val="single" w:sz="4" w:space="0" w:color="auto"/>
              <w:right w:val="nil"/>
            </w:tcBorders>
            <w:shd w:val="clear" w:color="auto" w:fill="auto"/>
            <w:noWrap/>
            <w:vAlign w:val="center"/>
            <w:hideMark/>
          </w:tcPr>
          <w:p w14:paraId="03982454" w14:textId="43317A3D" w:rsidR="00D562E9" w:rsidRPr="00D562E9" w:rsidRDefault="00D562E9">
            <w:pPr>
              <w:jc w:val="right"/>
              <w:rPr>
                <w:rFonts w:cs="Times New Roman"/>
                <w:color w:val="000000"/>
                <w:sz w:val="18"/>
                <w:szCs w:val="18"/>
              </w:rPr>
            </w:pPr>
            <w:r w:rsidRPr="00D562E9">
              <w:rPr>
                <w:sz w:val="18"/>
                <w:szCs w:val="18"/>
              </w:rPr>
              <w:t>-0,25</w:t>
            </w:r>
          </w:p>
        </w:tc>
        <w:tc>
          <w:tcPr>
            <w:tcW w:w="851" w:type="dxa"/>
            <w:tcBorders>
              <w:top w:val="nil"/>
              <w:left w:val="nil"/>
              <w:bottom w:val="single" w:sz="4" w:space="0" w:color="auto"/>
              <w:right w:val="nil"/>
            </w:tcBorders>
            <w:shd w:val="clear" w:color="auto" w:fill="auto"/>
            <w:noWrap/>
            <w:vAlign w:val="center"/>
            <w:hideMark/>
          </w:tcPr>
          <w:p w14:paraId="7EB64B41" w14:textId="04FF1DCC" w:rsidR="00D562E9" w:rsidRPr="00D562E9" w:rsidRDefault="00D562E9">
            <w:pPr>
              <w:jc w:val="right"/>
              <w:rPr>
                <w:rFonts w:cs="Times New Roman"/>
                <w:color w:val="000000"/>
                <w:sz w:val="18"/>
                <w:szCs w:val="18"/>
              </w:rPr>
            </w:pPr>
            <w:r w:rsidRPr="00D562E9">
              <w:rPr>
                <w:sz w:val="18"/>
                <w:szCs w:val="18"/>
              </w:rPr>
              <w:t>-0,25</w:t>
            </w:r>
          </w:p>
        </w:tc>
        <w:tc>
          <w:tcPr>
            <w:tcW w:w="850" w:type="dxa"/>
            <w:tcBorders>
              <w:top w:val="nil"/>
              <w:left w:val="nil"/>
              <w:bottom w:val="single" w:sz="4" w:space="0" w:color="auto"/>
              <w:right w:val="nil"/>
            </w:tcBorders>
            <w:shd w:val="clear" w:color="auto" w:fill="auto"/>
            <w:noWrap/>
            <w:vAlign w:val="center"/>
            <w:hideMark/>
          </w:tcPr>
          <w:p w14:paraId="32720B47" w14:textId="4C7731AF" w:rsidR="00D562E9" w:rsidRPr="00D562E9" w:rsidRDefault="00D562E9">
            <w:pPr>
              <w:jc w:val="right"/>
              <w:rPr>
                <w:rFonts w:cs="Times New Roman"/>
                <w:color w:val="000000"/>
                <w:sz w:val="18"/>
                <w:szCs w:val="18"/>
              </w:rPr>
            </w:pPr>
            <w:r w:rsidRPr="00D562E9">
              <w:rPr>
                <w:sz w:val="18"/>
                <w:szCs w:val="18"/>
              </w:rPr>
              <w:t>-0,25</w:t>
            </w:r>
          </w:p>
        </w:tc>
        <w:tc>
          <w:tcPr>
            <w:tcW w:w="851" w:type="dxa"/>
            <w:tcBorders>
              <w:top w:val="nil"/>
              <w:left w:val="nil"/>
              <w:bottom w:val="single" w:sz="4" w:space="0" w:color="auto"/>
              <w:right w:val="nil"/>
            </w:tcBorders>
            <w:shd w:val="clear" w:color="auto" w:fill="auto"/>
            <w:noWrap/>
            <w:vAlign w:val="center"/>
            <w:hideMark/>
          </w:tcPr>
          <w:p w14:paraId="5C2776A3" w14:textId="5C30DC32" w:rsidR="00D562E9" w:rsidRPr="00D562E9" w:rsidRDefault="00D562E9">
            <w:pPr>
              <w:jc w:val="right"/>
              <w:rPr>
                <w:rFonts w:cs="Times New Roman"/>
                <w:color w:val="000000"/>
                <w:sz w:val="18"/>
                <w:szCs w:val="18"/>
              </w:rPr>
            </w:pPr>
            <w:r w:rsidRPr="00D562E9">
              <w:rPr>
                <w:sz w:val="18"/>
                <w:szCs w:val="18"/>
              </w:rPr>
              <w:t>-0,25</w:t>
            </w:r>
          </w:p>
        </w:tc>
        <w:tc>
          <w:tcPr>
            <w:tcW w:w="850" w:type="dxa"/>
            <w:tcBorders>
              <w:top w:val="nil"/>
              <w:left w:val="nil"/>
              <w:bottom w:val="single" w:sz="4" w:space="0" w:color="auto"/>
              <w:right w:val="nil"/>
            </w:tcBorders>
            <w:shd w:val="clear" w:color="auto" w:fill="auto"/>
            <w:noWrap/>
            <w:vAlign w:val="center"/>
            <w:hideMark/>
          </w:tcPr>
          <w:p w14:paraId="70FF2EDE" w14:textId="1304011A" w:rsidR="00D562E9" w:rsidRPr="00D562E9" w:rsidRDefault="00D562E9">
            <w:pPr>
              <w:jc w:val="right"/>
              <w:rPr>
                <w:rFonts w:cs="Times New Roman"/>
                <w:color w:val="000000"/>
                <w:sz w:val="18"/>
                <w:szCs w:val="18"/>
              </w:rPr>
            </w:pPr>
            <w:r w:rsidRPr="00D562E9">
              <w:rPr>
                <w:sz w:val="18"/>
                <w:szCs w:val="18"/>
              </w:rPr>
              <w:t>-0,25</w:t>
            </w:r>
          </w:p>
        </w:tc>
        <w:tc>
          <w:tcPr>
            <w:tcW w:w="851" w:type="dxa"/>
            <w:tcBorders>
              <w:top w:val="nil"/>
              <w:left w:val="nil"/>
              <w:bottom w:val="single" w:sz="4" w:space="0" w:color="auto"/>
              <w:right w:val="nil"/>
            </w:tcBorders>
            <w:shd w:val="clear" w:color="auto" w:fill="auto"/>
            <w:noWrap/>
            <w:vAlign w:val="center"/>
            <w:hideMark/>
          </w:tcPr>
          <w:p w14:paraId="08B5EAD2" w14:textId="0A865AF1" w:rsidR="00D562E9" w:rsidRPr="00D562E9" w:rsidRDefault="00D562E9">
            <w:pPr>
              <w:jc w:val="right"/>
              <w:rPr>
                <w:rFonts w:cs="Times New Roman"/>
                <w:color w:val="000000"/>
                <w:sz w:val="18"/>
                <w:szCs w:val="18"/>
              </w:rPr>
            </w:pPr>
            <w:r w:rsidRPr="00D562E9">
              <w:rPr>
                <w:sz w:val="18"/>
                <w:szCs w:val="18"/>
              </w:rPr>
              <w:t>-0,25</w:t>
            </w:r>
          </w:p>
        </w:tc>
      </w:tr>
    </w:tbl>
    <w:p w14:paraId="314B61D7" w14:textId="77777777" w:rsidR="00D73008" w:rsidRPr="003B65DD" w:rsidRDefault="00D73008" w:rsidP="00D73008">
      <w:pPr>
        <w:pStyle w:val="NormalList"/>
        <w:rPr>
          <w:sz w:val="16"/>
        </w:rPr>
      </w:pPr>
      <w:bookmarkStart w:id="278" w:name="_Toc449430205"/>
      <w:r w:rsidRPr="003B65DD">
        <w:rPr>
          <w:sz w:val="16"/>
        </w:rPr>
        <w:t>* Konsolidačné úsilie a odchýlky v roku 2017 vychádzajú zo „zafreezovaných“ hodnôt z posledného hodnotenia Európskej komisie</w:t>
      </w:r>
      <w:r>
        <w:rPr>
          <w:sz w:val="16"/>
        </w:rPr>
        <w:t>.                     Zdroj: MF SR</w:t>
      </w:r>
    </w:p>
    <w:p w14:paraId="33F54F3F" w14:textId="77777777" w:rsidR="00D73008" w:rsidRPr="00F27602" w:rsidRDefault="00D73008" w:rsidP="00152128">
      <w:pPr>
        <w:spacing w:before="240" w:after="120"/>
        <w:rPr>
          <w:b/>
          <w:color w:val="2C9ADC" w:themeColor="accent1"/>
          <w:highlight w:val="yellow"/>
          <w:lang w:eastAsia="en-US"/>
        </w:rPr>
      </w:pPr>
      <w:r w:rsidRPr="00F27602">
        <w:rPr>
          <w:b/>
          <w:color w:val="2C9ADC" w:themeColor="accent1"/>
        </w:rPr>
        <w:lastRenderedPageBreak/>
        <w:t>Diskrečné príjmové opatrenia</w:t>
      </w:r>
      <w:bookmarkEnd w:id="272"/>
      <w:bookmarkEnd w:id="273"/>
      <w:bookmarkEnd w:id="274"/>
      <w:bookmarkEnd w:id="275"/>
      <w:bookmarkEnd w:id="278"/>
    </w:p>
    <w:p w14:paraId="64EDEB11" w14:textId="77777777" w:rsidR="00D73008" w:rsidRDefault="00D73008" w:rsidP="00D73008">
      <w:pPr>
        <w:spacing w:after="120"/>
        <w:jc w:val="both"/>
      </w:pPr>
      <w:r w:rsidRPr="00381915">
        <w:rPr>
          <w:b/>
        </w:rPr>
        <w:t>Diskrečné príjmové opatrenia definuje metodika EK ako opatrenia legislatívneho charakteru s vplyvom na príjmy verejnej správy</w:t>
      </w:r>
      <w:r w:rsidRPr="00381915">
        <w:t>. Vyhodnocujú sa pomocou dodatočných vplyvov (marginálnych zmien) týchto opatrení. Rozlišuje sa, či sa jedná o trvalé alebo jednorazové opatrenie. Trvalé štrukturálne opatrenia sa zaznamenajú s vplyvom v prvom roku (v čase nadobudnutia účinnosti) a v ostatných rokoch bez vplyvu. Makroekonomický vývoj v nasledujúcich rokoch sa nezohľadňuje. Ak dochádza k rozdielnym vplyvom kvôli posunutej platnosti opatrenia zaznamená sa len marginálna, medziročná zmena.</w:t>
      </w:r>
      <w:r w:rsidRPr="00381915">
        <w:rPr>
          <w:rStyle w:val="Odkaznapoznmkupodiarou"/>
          <w:lang w:val="sk-SK"/>
        </w:rPr>
        <w:footnoteReference w:id="85"/>
      </w:r>
      <w:r w:rsidRPr="00381915">
        <w:t xml:space="preserve"> Pri jednorazových príjmových opatreniach sa zaznamenáva vplyv v jednom roku a v nasledujúcom výpadok v rovnakej sume, tzn. celkový vplyv v dvoch po sebe idúcich rokoch je nulový.</w:t>
      </w:r>
    </w:p>
    <w:p w14:paraId="165FDA72" w14:textId="77777777" w:rsidR="00D73008" w:rsidRPr="00044758" w:rsidRDefault="00D73008" w:rsidP="00AC1EB3">
      <w:pPr>
        <w:jc w:val="both"/>
        <w:rPr>
          <w:b/>
        </w:rPr>
      </w:pPr>
      <w:r w:rsidRPr="00044758">
        <w:rPr>
          <w:b/>
        </w:rPr>
        <w:t>Od aktuálneho Programu stability pristúpilo MF S</w:t>
      </w:r>
      <w:r>
        <w:rPr>
          <w:b/>
        </w:rPr>
        <w:t>R k nasledovným metodickým zmen</w:t>
      </w:r>
      <w:r w:rsidRPr="00044758">
        <w:rPr>
          <w:b/>
        </w:rPr>
        <w:t>ám:</w:t>
      </w:r>
    </w:p>
    <w:p w14:paraId="764C1723" w14:textId="783AFC69" w:rsidR="00D73008" w:rsidRPr="00B06A16" w:rsidRDefault="00D73008" w:rsidP="002B0B8B">
      <w:pPr>
        <w:pStyle w:val="Odsekzoznamu"/>
        <w:numPr>
          <w:ilvl w:val="0"/>
          <w:numId w:val="18"/>
        </w:numPr>
        <w:contextualSpacing w:val="0"/>
        <w:jc w:val="both"/>
        <w:rPr>
          <w:rFonts w:ascii="Calibri" w:hAnsi="Calibri" w:cs="Times New Roman"/>
          <w:bCs/>
          <w:color w:val="000000" w:themeColor="text1"/>
        </w:rPr>
      </w:pPr>
      <w:r w:rsidRPr="00B06A16">
        <w:rPr>
          <w:color w:val="000000" w:themeColor="text1"/>
        </w:rPr>
        <w:t xml:space="preserve">Do finálneho zoznamu </w:t>
      </w:r>
      <w:r>
        <w:rPr>
          <w:color w:val="000000" w:themeColor="text1"/>
        </w:rPr>
        <w:t>diskrečných príjmových opatrení</w:t>
      </w:r>
      <w:r w:rsidRPr="00B06A16">
        <w:rPr>
          <w:color w:val="000000" w:themeColor="text1"/>
        </w:rPr>
        <w:t xml:space="preserve"> sa kvalifi</w:t>
      </w:r>
      <w:r w:rsidR="00193396">
        <w:rPr>
          <w:color w:val="000000" w:themeColor="text1"/>
        </w:rPr>
        <w:t>kujú len opatrenia nad 10 mil. eur</w:t>
      </w:r>
      <w:r w:rsidRPr="00B06A16">
        <w:rPr>
          <w:color w:val="000000" w:themeColor="text1"/>
        </w:rPr>
        <w:t xml:space="preserve"> aspoň v jednom z rokov</w:t>
      </w:r>
    </w:p>
    <w:p w14:paraId="60207DBE" w14:textId="33ED66F5" w:rsidR="00D73008" w:rsidRPr="008E0300" w:rsidRDefault="00D73008" w:rsidP="002B0B8B">
      <w:pPr>
        <w:pStyle w:val="Odsekzoznamu"/>
        <w:numPr>
          <w:ilvl w:val="0"/>
          <w:numId w:val="18"/>
        </w:numPr>
        <w:spacing w:after="120"/>
        <w:contextualSpacing w:val="0"/>
        <w:jc w:val="both"/>
      </w:pPr>
      <w:r>
        <w:rPr>
          <w:bCs/>
          <w:color w:val="000000" w:themeColor="text1"/>
        </w:rPr>
        <w:t xml:space="preserve">Medziročné </w:t>
      </w:r>
      <w:r w:rsidRPr="00B06A16">
        <w:rPr>
          <w:bCs/>
          <w:color w:val="000000" w:themeColor="text1"/>
        </w:rPr>
        <w:t>vplyvy jednotlivých opatrení sa týkajú striktne len „</w:t>
      </w:r>
      <w:r>
        <w:rPr>
          <w:bCs/>
          <w:color w:val="000000" w:themeColor="text1"/>
        </w:rPr>
        <w:t>zmeny</w:t>
      </w:r>
      <w:r w:rsidRPr="00B06A16">
        <w:rPr>
          <w:bCs/>
          <w:color w:val="000000" w:themeColor="text1"/>
        </w:rPr>
        <w:t xml:space="preserve"> levelu“ (abstrahuje sa od vplyvu napr. postupného vyklesávania fi</w:t>
      </w:r>
      <w:r w:rsidR="00193396">
        <w:rPr>
          <w:bCs/>
          <w:color w:val="000000" w:themeColor="text1"/>
        </w:rPr>
        <w:t>škálnych efektov v porovnaní s </w:t>
      </w:r>
      <w:r w:rsidRPr="00B06A16">
        <w:rPr>
          <w:bCs/>
          <w:color w:val="000000" w:themeColor="text1"/>
        </w:rPr>
        <w:t xml:space="preserve">bazou). </w:t>
      </w:r>
      <w:r w:rsidRPr="00B06A16">
        <w:rPr>
          <w:color w:val="000000" w:themeColor="text1"/>
        </w:rPr>
        <w:t>V prechodnom období (aktuálny Program stability 2019 až 2022) sa aktualizujú len údaj</w:t>
      </w:r>
      <w:r>
        <w:rPr>
          <w:color w:val="000000" w:themeColor="text1"/>
        </w:rPr>
        <w:t>e od roku 2018.</w:t>
      </w:r>
      <w:r w:rsidRPr="00B06A16">
        <w:rPr>
          <w:color w:val="000000" w:themeColor="text1"/>
        </w:rPr>
        <w:t xml:space="preserve"> Za staršie roky ostávajú údaje tak ako boli zverejnené v Návrhu rozpočtového plánu na rok</w:t>
      </w:r>
      <w:r>
        <w:rPr>
          <w:color w:val="000000" w:themeColor="text1"/>
        </w:rPr>
        <w:t xml:space="preserve"> 2019</w:t>
      </w:r>
    </w:p>
    <w:p w14:paraId="56FC3E5E" w14:textId="496A7AEA" w:rsidR="00D73008" w:rsidRPr="00381915" w:rsidRDefault="00D73008" w:rsidP="00D73008">
      <w:pPr>
        <w:pStyle w:val="Popis"/>
        <w:keepNext/>
        <w:spacing w:after="0"/>
        <w:rPr>
          <w:sz w:val="20"/>
          <w:szCs w:val="20"/>
        </w:rPr>
      </w:pPr>
      <w:bookmarkStart w:id="279" w:name="_Toc6314232"/>
      <w:r w:rsidRPr="00392121">
        <w:rPr>
          <w:rFonts w:eastAsiaTheme="minorHAnsi"/>
          <w:color w:val="2C9ADC"/>
          <w:sz w:val="20"/>
          <w:szCs w:val="20"/>
          <w:lang w:eastAsia="en-US"/>
        </w:rPr>
        <w:t xml:space="preserve">TABUĽKA </w:t>
      </w:r>
      <w:r w:rsidRPr="00392121">
        <w:rPr>
          <w:rFonts w:eastAsiaTheme="minorHAnsi"/>
          <w:color w:val="2C9ADC"/>
          <w:sz w:val="20"/>
          <w:szCs w:val="20"/>
          <w:lang w:eastAsia="en-US"/>
        </w:rPr>
        <w:fldChar w:fldCharType="begin"/>
      </w:r>
      <w:r w:rsidRPr="00392121">
        <w:rPr>
          <w:rFonts w:eastAsiaTheme="minorHAnsi"/>
          <w:color w:val="2C9ADC"/>
          <w:sz w:val="20"/>
          <w:szCs w:val="20"/>
          <w:lang w:eastAsia="en-US"/>
        </w:rPr>
        <w:instrText xml:space="preserve"> SEQ TABUĽKA \* ARABIC </w:instrText>
      </w:r>
      <w:r w:rsidRPr="00392121">
        <w:rPr>
          <w:rFonts w:eastAsiaTheme="minorHAnsi"/>
          <w:color w:val="2C9ADC"/>
          <w:sz w:val="20"/>
          <w:szCs w:val="20"/>
          <w:lang w:eastAsia="en-US"/>
        </w:rPr>
        <w:fldChar w:fldCharType="separate"/>
      </w:r>
      <w:r w:rsidR="00D5739E">
        <w:rPr>
          <w:rFonts w:eastAsiaTheme="minorHAnsi"/>
          <w:noProof/>
          <w:color w:val="2C9ADC"/>
          <w:sz w:val="20"/>
          <w:szCs w:val="20"/>
          <w:lang w:eastAsia="en-US"/>
        </w:rPr>
        <w:t>33</w:t>
      </w:r>
      <w:r w:rsidRPr="00392121">
        <w:rPr>
          <w:rFonts w:eastAsiaTheme="minorHAnsi"/>
          <w:color w:val="2C9ADC"/>
          <w:sz w:val="20"/>
          <w:szCs w:val="20"/>
          <w:lang w:eastAsia="en-US"/>
        </w:rPr>
        <w:fldChar w:fldCharType="end"/>
      </w:r>
      <w:r w:rsidRPr="00381915">
        <w:rPr>
          <w:sz w:val="20"/>
          <w:szCs w:val="20"/>
        </w:rPr>
        <w:t xml:space="preserve"> </w:t>
      </w:r>
      <w:r w:rsidR="00F961A8">
        <w:rPr>
          <w:sz w:val="20"/>
          <w:szCs w:val="20"/>
        </w:rPr>
        <w:t>-</w:t>
      </w:r>
      <w:r w:rsidRPr="00381915">
        <w:rPr>
          <w:sz w:val="20"/>
          <w:szCs w:val="20"/>
        </w:rPr>
        <w:t xml:space="preserve"> Diskrečné</w:t>
      </w:r>
      <w:r>
        <w:rPr>
          <w:sz w:val="20"/>
          <w:szCs w:val="20"/>
        </w:rPr>
        <w:t xml:space="preserve"> príjmové</w:t>
      </w:r>
      <w:r w:rsidRPr="00381915">
        <w:rPr>
          <w:sz w:val="20"/>
          <w:szCs w:val="20"/>
        </w:rPr>
        <w:t xml:space="preserve"> opatrenia – medziročné vplyvy opatrení (mil. eur, ESA2010)</w:t>
      </w:r>
      <w:bookmarkEnd w:id="279"/>
    </w:p>
    <w:tbl>
      <w:tblPr>
        <w:tblW w:w="9107" w:type="dxa"/>
        <w:tblLayout w:type="fixed"/>
        <w:tblLook w:val="04A0" w:firstRow="1" w:lastRow="0" w:firstColumn="1" w:lastColumn="0" w:noHBand="0" w:noVBand="1"/>
      </w:tblPr>
      <w:tblGrid>
        <w:gridCol w:w="4533"/>
        <w:gridCol w:w="762"/>
        <w:gridCol w:w="762"/>
        <w:gridCol w:w="763"/>
        <w:gridCol w:w="762"/>
        <w:gridCol w:w="762"/>
        <w:gridCol w:w="763"/>
      </w:tblGrid>
      <w:tr w:rsidR="00D73008" w:rsidRPr="008D737B" w14:paraId="2D158F64" w14:textId="77777777" w:rsidTr="00387AE5">
        <w:trPr>
          <w:trHeight w:val="193"/>
        </w:trPr>
        <w:tc>
          <w:tcPr>
            <w:tcW w:w="4533" w:type="dxa"/>
            <w:tcBorders>
              <w:top w:val="single" w:sz="4" w:space="0" w:color="auto"/>
              <w:left w:val="nil"/>
              <w:bottom w:val="single" w:sz="8" w:space="0" w:color="auto"/>
              <w:right w:val="nil"/>
            </w:tcBorders>
            <w:shd w:val="clear" w:color="auto" w:fill="auto"/>
            <w:noWrap/>
            <w:vAlign w:val="center"/>
            <w:hideMark/>
          </w:tcPr>
          <w:p w14:paraId="25F172D8" w14:textId="77777777" w:rsidR="00D73008" w:rsidRPr="008D737B" w:rsidRDefault="00D73008" w:rsidP="00387AE5">
            <w:pPr>
              <w:rPr>
                <w:rFonts w:cs="Times New Roman"/>
                <w:b/>
                <w:bCs/>
                <w:color w:val="000000" w:themeColor="text1"/>
                <w:sz w:val="20"/>
                <w:szCs w:val="20"/>
                <w:lang w:eastAsia="en-GB"/>
              </w:rPr>
            </w:pPr>
            <w:r w:rsidRPr="008D737B">
              <w:rPr>
                <w:rFonts w:cs="Times New Roman"/>
                <w:b/>
                <w:bCs/>
                <w:color w:val="000000" w:themeColor="text1"/>
                <w:sz w:val="20"/>
                <w:szCs w:val="20"/>
                <w:lang w:eastAsia="en-GB"/>
              </w:rPr>
              <w:t>Popis opatrenia</w:t>
            </w:r>
          </w:p>
        </w:tc>
        <w:tc>
          <w:tcPr>
            <w:tcW w:w="762" w:type="dxa"/>
            <w:tcBorders>
              <w:top w:val="single" w:sz="4" w:space="0" w:color="auto"/>
              <w:left w:val="nil"/>
              <w:bottom w:val="single" w:sz="8" w:space="0" w:color="auto"/>
              <w:right w:val="nil"/>
            </w:tcBorders>
            <w:shd w:val="clear" w:color="auto" w:fill="auto"/>
            <w:noWrap/>
            <w:vAlign w:val="center"/>
            <w:hideMark/>
          </w:tcPr>
          <w:p w14:paraId="3ACF8204" w14:textId="77777777" w:rsidR="00D73008" w:rsidRPr="008D737B" w:rsidRDefault="00D73008" w:rsidP="00387AE5">
            <w:pPr>
              <w:jc w:val="center"/>
              <w:rPr>
                <w:rFonts w:cs="Times New Roman"/>
                <w:b/>
                <w:bCs/>
                <w:color w:val="000000" w:themeColor="text1"/>
                <w:sz w:val="20"/>
                <w:szCs w:val="20"/>
                <w:lang w:eastAsia="en-GB"/>
              </w:rPr>
            </w:pPr>
            <w:r w:rsidRPr="008D737B">
              <w:rPr>
                <w:rFonts w:cs="Times New Roman"/>
                <w:b/>
                <w:bCs/>
                <w:color w:val="000000" w:themeColor="text1"/>
                <w:sz w:val="20"/>
                <w:szCs w:val="20"/>
                <w:lang w:eastAsia="en-GB"/>
              </w:rPr>
              <w:t>2017</w:t>
            </w:r>
          </w:p>
        </w:tc>
        <w:tc>
          <w:tcPr>
            <w:tcW w:w="762" w:type="dxa"/>
            <w:tcBorders>
              <w:top w:val="single" w:sz="4" w:space="0" w:color="auto"/>
              <w:left w:val="nil"/>
              <w:bottom w:val="single" w:sz="8" w:space="0" w:color="auto"/>
              <w:right w:val="nil"/>
            </w:tcBorders>
            <w:shd w:val="clear" w:color="auto" w:fill="auto"/>
            <w:noWrap/>
            <w:vAlign w:val="center"/>
            <w:hideMark/>
          </w:tcPr>
          <w:p w14:paraId="45BB9A1C" w14:textId="77777777" w:rsidR="00D73008" w:rsidRPr="008D737B" w:rsidRDefault="00D73008" w:rsidP="00387AE5">
            <w:pPr>
              <w:jc w:val="center"/>
              <w:rPr>
                <w:rFonts w:cs="Times New Roman"/>
                <w:b/>
                <w:bCs/>
                <w:color w:val="000000" w:themeColor="text1"/>
                <w:sz w:val="20"/>
                <w:szCs w:val="20"/>
                <w:lang w:eastAsia="en-GB"/>
              </w:rPr>
            </w:pPr>
            <w:r w:rsidRPr="008D737B">
              <w:rPr>
                <w:rFonts w:cs="Times New Roman"/>
                <w:b/>
                <w:bCs/>
                <w:color w:val="000000" w:themeColor="text1"/>
                <w:sz w:val="20"/>
                <w:szCs w:val="20"/>
                <w:lang w:eastAsia="en-GB"/>
              </w:rPr>
              <w:t>2018</w:t>
            </w:r>
          </w:p>
        </w:tc>
        <w:tc>
          <w:tcPr>
            <w:tcW w:w="763" w:type="dxa"/>
            <w:tcBorders>
              <w:top w:val="single" w:sz="4" w:space="0" w:color="auto"/>
              <w:left w:val="nil"/>
              <w:bottom w:val="single" w:sz="8" w:space="0" w:color="auto"/>
              <w:right w:val="nil"/>
            </w:tcBorders>
            <w:shd w:val="clear" w:color="auto" w:fill="auto"/>
            <w:noWrap/>
            <w:vAlign w:val="center"/>
            <w:hideMark/>
          </w:tcPr>
          <w:p w14:paraId="49140906" w14:textId="77777777" w:rsidR="00D73008" w:rsidRPr="008D737B" w:rsidRDefault="00D73008" w:rsidP="00387AE5">
            <w:pPr>
              <w:jc w:val="center"/>
              <w:rPr>
                <w:rFonts w:cs="Times New Roman"/>
                <w:b/>
                <w:bCs/>
                <w:color w:val="000000" w:themeColor="text1"/>
                <w:sz w:val="20"/>
                <w:szCs w:val="20"/>
                <w:lang w:eastAsia="en-GB"/>
              </w:rPr>
            </w:pPr>
            <w:r w:rsidRPr="008D737B">
              <w:rPr>
                <w:rFonts w:cs="Times New Roman"/>
                <w:b/>
                <w:bCs/>
                <w:color w:val="000000" w:themeColor="text1"/>
                <w:sz w:val="20"/>
                <w:szCs w:val="20"/>
                <w:lang w:eastAsia="en-GB"/>
              </w:rPr>
              <w:t>2019</w:t>
            </w:r>
          </w:p>
        </w:tc>
        <w:tc>
          <w:tcPr>
            <w:tcW w:w="762" w:type="dxa"/>
            <w:tcBorders>
              <w:top w:val="single" w:sz="4" w:space="0" w:color="auto"/>
              <w:left w:val="nil"/>
              <w:bottom w:val="single" w:sz="8" w:space="0" w:color="auto"/>
              <w:right w:val="nil"/>
            </w:tcBorders>
            <w:shd w:val="clear" w:color="auto" w:fill="auto"/>
            <w:noWrap/>
            <w:vAlign w:val="center"/>
            <w:hideMark/>
          </w:tcPr>
          <w:p w14:paraId="20AB17C1" w14:textId="77777777" w:rsidR="00D73008" w:rsidRPr="008D737B" w:rsidRDefault="00D73008" w:rsidP="00387AE5">
            <w:pPr>
              <w:jc w:val="center"/>
              <w:rPr>
                <w:rFonts w:cs="Times New Roman"/>
                <w:b/>
                <w:bCs/>
                <w:color w:val="000000" w:themeColor="text1"/>
                <w:sz w:val="20"/>
                <w:szCs w:val="20"/>
                <w:lang w:eastAsia="en-GB"/>
              </w:rPr>
            </w:pPr>
            <w:r w:rsidRPr="008D737B">
              <w:rPr>
                <w:rFonts w:cs="Times New Roman"/>
                <w:b/>
                <w:bCs/>
                <w:color w:val="000000" w:themeColor="text1"/>
                <w:sz w:val="20"/>
                <w:szCs w:val="20"/>
                <w:lang w:eastAsia="en-GB"/>
              </w:rPr>
              <w:t>2020</w:t>
            </w:r>
          </w:p>
        </w:tc>
        <w:tc>
          <w:tcPr>
            <w:tcW w:w="762" w:type="dxa"/>
            <w:tcBorders>
              <w:top w:val="single" w:sz="4" w:space="0" w:color="auto"/>
              <w:left w:val="nil"/>
              <w:bottom w:val="single" w:sz="8" w:space="0" w:color="auto"/>
              <w:right w:val="nil"/>
            </w:tcBorders>
            <w:shd w:val="clear" w:color="auto" w:fill="auto"/>
            <w:noWrap/>
            <w:vAlign w:val="center"/>
            <w:hideMark/>
          </w:tcPr>
          <w:p w14:paraId="5EBB0228" w14:textId="77777777" w:rsidR="00D73008" w:rsidRPr="008D737B" w:rsidRDefault="00D73008" w:rsidP="00387AE5">
            <w:pPr>
              <w:jc w:val="center"/>
              <w:rPr>
                <w:rFonts w:cs="Times New Roman"/>
                <w:b/>
                <w:bCs/>
                <w:color w:val="000000" w:themeColor="text1"/>
                <w:sz w:val="20"/>
                <w:szCs w:val="20"/>
                <w:lang w:eastAsia="en-GB"/>
              </w:rPr>
            </w:pPr>
            <w:r w:rsidRPr="008D737B">
              <w:rPr>
                <w:rFonts w:cs="Times New Roman"/>
                <w:b/>
                <w:bCs/>
                <w:color w:val="000000" w:themeColor="text1"/>
                <w:sz w:val="20"/>
                <w:szCs w:val="20"/>
                <w:lang w:eastAsia="en-GB"/>
              </w:rPr>
              <w:t>2021</w:t>
            </w:r>
          </w:p>
        </w:tc>
        <w:tc>
          <w:tcPr>
            <w:tcW w:w="763" w:type="dxa"/>
            <w:tcBorders>
              <w:top w:val="single" w:sz="4" w:space="0" w:color="auto"/>
              <w:left w:val="nil"/>
              <w:bottom w:val="single" w:sz="8" w:space="0" w:color="auto"/>
              <w:right w:val="nil"/>
            </w:tcBorders>
            <w:shd w:val="clear" w:color="auto" w:fill="auto"/>
            <w:noWrap/>
            <w:vAlign w:val="center"/>
            <w:hideMark/>
          </w:tcPr>
          <w:p w14:paraId="474E9777" w14:textId="77777777" w:rsidR="00D73008" w:rsidRPr="008D737B" w:rsidRDefault="00D73008" w:rsidP="00387AE5">
            <w:pPr>
              <w:jc w:val="center"/>
              <w:rPr>
                <w:rFonts w:cs="Times New Roman"/>
                <w:b/>
                <w:bCs/>
                <w:color w:val="000000" w:themeColor="text1"/>
                <w:sz w:val="20"/>
                <w:szCs w:val="20"/>
                <w:lang w:eastAsia="en-GB"/>
              </w:rPr>
            </w:pPr>
            <w:r w:rsidRPr="008D737B">
              <w:rPr>
                <w:rFonts w:cs="Times New Roman"/>
                <w:b/>
                <w:bCs/>
                <w:color w:val="000000" w:themeColor="text1"/>
                <w:sz w:val="20"/>
                <w:szCs w:val="20"/>
                <w:lang w:eastAsia="en-GB"/>
              </w:rPr>
              <w:t>2022</w:t>
            </w:r>
          </w:p>
        </w:tc>
      </w:tr>
      <w:tr w:rsidR="00D73008" w:rsidRPr="00122FC1" w14:paraId="5361EF48" w14:textId="77777777" w:rsidTr="00387AE5">
        <w:trPr>
          <w:trHeight w:val="193"/>
        </w:trPr>
        <w:tc>
          <w:tcPr>
            <w:tcW w:w="4533" w:type="dxa"/>
            <w:tcBorders>
              <w:top w:val="nil"/>
              <w:left w:val="nil"/>
              <w:bottom w:val="nil"/>
              <w:right w:val="nil"/>
            </w:tcBorders>
            <w:shd w:val="clear" w:color="auto" w:fill="auto"/>
            <w:hideMark/>
          </w:tcPr>
          <w:p w14:paraId="2F2ABD08"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Zníženie sadzby DPPO na 21%</w:t>
            </w:r>
          </w:p>
        </w:tc>
        <w:tc>
          <w:tcPr>
            <w:tcW w:w="762" w:type="dxa"/>
            <w:tcBorders>
              <w:top w:val="nil"/>
              <w:left w:val="nil"/>
              <w:bottom w:val="nil"/>
              <w:right w:val="nil"/>
            </w:tcBorders>
            <w:shd w:val="clear" w:color="auto" w:fill="auto"/>
            <w:noWrap/>
            <w:hideMark/>
          </w:tcPr>
          <w:p w14:paraId="15A29D3F"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-121,3</w:t>
            </w:r>
          </w:p>
        </w:tc>
        <w:tc>
          <w:tcPr>
            <w:tcW w:w="762" w:type="dxa"/>
            <w:tcBorders>
              <w:top w:val="nil"/>
              <w:left w:val="nil"/>
              <w:bottom w:val="nil"/>
              <w:right w:val="nil"/>
            </w:tcBorders>
            <w:shd w:val="clear" w:color="auto" w:fill="auto"/>
            <w:noWrap/>
            <w:hideMark/>
          </w:tcPr>
          <w:p w14:paraId="1A773C5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B530097"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6A4A8E0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9376F0B"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EABE44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r>
      <w:tr w:rsidR="00D73008" w:rsidRPr="00122FC1" w14:paraId="11CEA4AE" w14:textId="77777777" w:rsidTr="00387AE5">
        <w:trPr>
          <w:trHeight w:val="193"/>
        </w:trPr>
        <w:tc>
          <w:tcPr>
            <w:tcW w:w="4533" w:type="dxa"/>
            <w:tcBorders>
              <w:top w:val="nil"/>
              <w:left w:val="nil"/>
              <w:bottom w:val="nil"/>
              <w:right w:val="nil"/>
            </w:tcBorders>
            <w:shd w:val="clear" w:color="auto" w:fill="auto"/>
            <w:hideMark/>
          </w:tcPr>
          <w:p w14:paraId="6F25757F"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Zrušenie daňovej licencie</w:t>
            </w:r>
          </w:p>
        </w:tc>
        <w:tc>
          <w:tcPr>
            <w:tcW w:w="762" w:type="dxa"/>
            <w:tcBorders>
              <w:top w:val="nil"/>
              <w:left w:val="nil"/>
              <w:bottom w:val="nil"/>
              <w:right w:val="nil"/>
            </w:tcBorders>
            <w:shd w:val="clear" w:color="auto" w:fill="auto"/>
            <w:noWrap/>
            <w:hideMark/>
          </w:tcPr>
          <w:p w14:paraId="0B1968E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68D9F86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-115,0</w:t>
            </w:r>
          </w:p>
        </w:tc>
        <w:tc>
          <w:tcPr>
            <w:tcW w:w="763" w:type="dxa"/>
            <w:tcBorders>
              <w:top w:val="nil"/>
              <w:left w:val="nil"/>
              <w:bottom w:val="nil"/>
              <w:right w:val="nil"/>
            </w:tcBorders>
            <w:shd w:val="clear" w:color="auto" w:fill="auto"/>
            <w:noWrap/>
            <w:hideMark/>
          </w:tcPr>
          <w:p w14:paraId="0D1C424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10270E49"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55BC95B"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D4882CB"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13754189" w14:textId="77777777" w:rsidTr="00387AE5">
        <w:trPr>
          <w:trHeight w:val="193"/>
        </w:trPr>
        <w:tc>
          <w:tcPr>
            <w:tcW w:w="4533" w:type="dxa"/>
            <w:tcBorders>
              <w:top w:val="nil"/>
              <w:left w:val="nil"/>
              <w:bottom w:val="nil"/>
              <w:right w:val="nil"/>
            </w:tcBorders>
            <w:shd w:val="clear" w:color="auto" w:fill="auto"/>
            <w:hideMark/>
          </w:tcPr>
          <w:p w14:paraId="3F904F4C"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Zvýšenie paušálnych výdavkov pre SZČO</w:t>
            </w:r>
          </w:p>
        </w:tc>
        <w:tc>
          <w:tcPr>
            <w:tcW w:w="762" w:type="dxa"/>
            <w:tcBorders>
              <w:top w:val="nil"/>
              <w:left w:val="nil"/>
              <w:bottom w:val="nil"/>
              <w:right w:val="nil"/>
            </w:tcBorders>
            <w:shd w:val="clear" w:color="auto" w:fill="auto"/>
            <w:noWrap/>
            <w:hideMark/>
          </w:tcPr>
          <w:p w14:paraId="1E3EF745"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-34,3</w:t>
            </w:r>
          </w:p>
        </w:tc>
        <w:tc>
          <w:tcPr>
            <w:tcW w:w="762" w:type="dxa"/>
            <w:tcBorders>
              <w:top w:val="nil"/>
              <w:left w:val="nil"/>
              <w:bottom w:val="nil"/>
              <w:right w:val="nil"/>
            </w:tcBorders>
            <w:shd w:val="clear" w:color="auto" w:fill="auto"/>
            <w:noWrap/>
            <w:hideMark/>
          </w:tcPr>
          <w:p w14:paraId="70A0D1AE"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498E237"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582B484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F81702B"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3B8CBF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r>
      <w:tr w:rsidR="00D73008" w:rsidRPr="00122FC1" w14:paraId="513F31C6" w14:textId="77777777" w:rsidTr="00387AE5">
        <w:trPr>
          <w:trHeight w:val="193"/>
        </w:trPr>
        <w:tc>
          <w:tcPr>
            <w:tcW w:w="4533" w:type="dxa"/>
            <w:tcBorders>
              <w:top w:val="nil"/>
              <w:left w:val="nil"/>
              <w:bottom w:val="nil"/>
              <w:right w:val="nil"/>
            </w:tcBorders>
            <w:shd w:val="clear" w:color="auto" w:fill="auto"/>
            <w:hideMark/>
          </w:tcPr>
          <w:p w14:paraId="145FDBD8"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Zavedenie 13. a 14. platu (zavedenie od 2018, legislatívne zmeny od 2019)</w:t>
            </w:r>
          </w:p>
        </w:tc>
        <w:tc>
          <w:tcPr>
            <w:tcW w:w="762" w:type="dxa"/>
            <w:tcBorders>
              <w:top w:val="nil"/>
              <w:left w:val="nil"/>
              <w:bottom w:val="nil"/>
              <w:right w:val="nil"/>
            </w:tcBorders>
            <w:shd w:val="clear" w:color="auto" w:fill="auto"/>
            <w:noWrap/>
            <w:hideMark/>
          </w:tcPr>
          <w:p w14:paraId="3C81B45A" w14:textId="77777777" w:rsidR="00D73008" w:rsidRPr="00381915" w:rsidRDefault="00D73008" w:rsidP="00387AE5">
            <w:pPr>
              <w:jc w:val="center"/>
              <w:rPr>
                <w:rFonts w:cs="Times New Roman"/>
                <w:color w:val="000000"/>
                <w:sz w:val="18"/>
                <w:szCs w:val="18"/>
                <w:highlight w:val="yellow"/>
                <w:lang w:val="en-GB" w:eastAsia="en-GB"/>
              </w:rPr>
            </w:pPr>
            <w:r>
              <w:rPr>
                <w:sz w:val="18"/>
                <w:szCs w:val="18"/>
              </w:rPr>
              <w:t>0</w:t>
            </w:r>
          </w:p>
        </w:tc>
        <w:tc>
          <w:tcPr>
            <w:tcW w:w="762" w:type="dxa"/>
            <w:tcBorders>
              <w:top w:val="nil"/>
              <w:left w:val="nil"/>
              <w:bottom w:val="nil"/>
              <w:right w:val="nil"/>
            </w:tcBorders>
            <w:shd w:val="clear" w:color="auto" w:fill="auto"/>
            <w:noWrap/>
            <w:hideMark/>
          </w:tcPr>
          <w:p w14:paraId="56F0B417"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-2,0</w:t>
            </w:r>
          </w:p>
        </w:tc>
        <w:tc>
          <w:tcPr>
            <w:tcW w:w="763" w:type="dxa"/>
            <w:tcBorders>
              <w:top w:val="nil"/>
              <w:left w:val="nil"/>
              <w:bottom w:val="nil"/>
              <w:right w:val="nil"/>
            </w:tcBorders>
            <w:shd w:val="clear" w:color="auto" w:fill="auto"/>
            <w:noWrap/>
            <w:hideMark/>
          </w:tcPr>
          <w:p w14:paraId="6B39B690"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-44,5</w:t>
            </w:r>
          </w:p>
        </w:tc>
        <w:tc>
          <w:tcPr>
            <w:tcW w:w="762" w:type="dxa"/>
            <w:tcBorders>
              <w:top w:val="nil"/>
              <w:left w:val="nil"/>
              <w:bottom w:val="nil"/>
              <w:right w:val="nil"/>
            </w:tcBorders>
            <w:shd w:val="clear" w:color="auto" w:fill="auto"/>
            <w:noWrap/>
            <w:hideMark/>
          </w:tcPr>
          <w:p w14:paraId="201D94D8"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-15,1</w:t>
            </w:r>
          </w:p>
        </w:tc>
        <w:tc>
          <w:tcPr>
            <w:tcW w:w="762" w:type="dxa"/>
            <w:tcBorders>
              <w:top w:val="nil"/>
              <w:left w:val="nil"/>
              <w:bottom w:val="nil"/>
              <w:right w:val="nil"/>
            </w:tcBorders>
            <w:shd w:val="clear" w:color="auto" w:fill="auto"/>
            <w:noWrap/>
            <w:hideMark/>
          </w:tcPr>
          <w:p w14:paraId="29E3F6EA"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-61,6</w:t>
            </w:r>
          </w:p>
        </w:tc>
        <w:tc>
          <w:tcPr>
            <w:tcW w:w="763" w:type="dxa"/>
            <w:tcBorders>
              <w:top w:val="nil"/>
              <w:left w:val="nil"/>
              <w:bottom w:val="nil"/>
              <w:right w:val="nil"/>
            </w:tcBorders>
            <w:shd w:val="clear" w:color="auto" w:fill="auto"/>
            <w:noWrap/>
            <w:hideMark/>
          </w:tcPr>
          <w:p w14:paraId="29843DAF" w14:textId="77777777" w:rsidR="00D73008" w:rsidRPr="00381915" w:rsidRDefault="00D73008" w:rsidP="00387AE5">
            <w:pPr>
              <w:jc w:val="center"/>
              <w:rPr>
                <w:rFonts w:cs="Times New Roman"/>
                <w:sz w:val="18"/>
                <w:szCs w:val="18"/>
                <w:highlight w:val="yellow"/>
                <w:lang w:val="en-GB" w:eastAsia="en-GB"/>
              </w:rPr>
            </w:pPr>
            <w:r>
              <w:rPr>
                <w:sz w:val="18"/>
                <w:szCs w:val="18"/>
              </w:rPr>
              <w:t>0</w:t>
            </w:r>
          </w:p>
        </w:tc>
      </w:tr>
      <w:tr w:rsidR="00D73008" w:rsidRPr="00122FC1" w14:paraId="2DBD42A5" w14:textId="77777777" w:rsidTr="00387AE5">
        <w:trPr>
          <w:trHeight w:val="193"/>
        </w:trPr>
        <w:tc>
          <w:tcPr>
            <w:tcW w:w="4533" w:type="dxa"/>
            <w:tcBorders>
              <w:top w:val="nil"/>
              <w:left w:val="nil"/>
              <w:bottom w:val="nil"/>
              <w:right w:val="nil"/>
            </w:tcBorders>
            <w:shd w:val="clear" w:color="auto" w:fill="auto"/>
            <w:hideMark/>
          </w:tcPr>
          <w:p w14:paraId="0065528C"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Oslobodenie rekreačných šekov od daní a</w:t>
            </w:r>
            <w:r>
              <w:rPr>
                <w:sz w:val="18"/>
                <w:szCs w:val="18"/>
              </w:rPr>
              <w:t> </w:t>
            </w:r>
            <w:r w:rsidRPr="00044758">
              <w:rPr>
                <w:sz w:val="18"/>
                <w:szCs w:val="18"/>
              </w:rPr>
              <w:t>odvodov</w:t>
            </w:r>
          </w:p>
        </w:tc>
        <w:tc>
          <w:tcPr>
            <w:tcW w:w="762" w:type="dxa"/>
            <w:tcBorders>
              <w:top w:val="nil"/>
              <w:left w:val="nil"/>
              <w:bottom w:val="nil"/>
              <w:right w:val="nil"/>
            </w:tcBorders>
            <w:shd w:val="clear" w:color="auto" w:fill="auto"/>
            <w:noWrap/>
            <w:hideMark/>
          </w:tcPr>
          <w:p w14:paraId="4A1C81A0"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2A5BCE1"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B4BDF39"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-57,7</w:t>
            </w:r>
          </w:p>
        </w:tc>
        <w:tc>
          <w:tcPr>
            <w:tcW w:w="762" w:type="dxa"/>
            <w:tcBorders>
              <w:top w:val="nil"/>
              <w:left w:val="nil"/>
              <w:bottom w:val="nil"/>
              <w:right w:val="nil"/>
            </w:tcBorders>
            <w:shd w:val="clear" w:color="auto" w:fill="auto"/>
            <w:noWrap/>
            <w:hideMark/>
          </w:tcPr>
          <w:p w14:paraId="58BF8597"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674E3A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0D4F13F4"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09BD23E0" w14:textId="77777777" w:rsidTr="00387AE5">
        <w:trPr>
          <w:trHeight w:val="193"/>
        </w:trPr>
        <w:tc>
          <w:tcPr>
            <w:tcW w:w="4533" w:type="dxa"/>
            <w:tcBorders>
              <w:top w:val="nil"/>
              <w:left w:val="nil"/>
              <w:bottom w:val="nil"/>
              <w:right w:val="nil"/>
            </w:tcBorders>
            <w:shd w:val="clear" w:color="auto" w:fill="auto"/>
            <w:hideMark/>
          </w:tcPr>
          <w:p w14:paraId="50B286F6"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Oslobodenie nepeňažného benefitu pre zamestnanca na ubytovanie</w:t>
            </w:r>
          </w:p>
        </w:tc>
        <w:tc>
          <w:tcPr>
            <w:tcW w:w="762" w:type="dxa"/>
            <w:tcBorders>
              <w:top w:val="nil"/>
              <w:left w:val="nil"/>
              <w:bottom w:val="nil"/>
              <w:right w:val="nil"/>
            </w:tcBorders>
            <w:shd w:val="clear" w:color="auto" w:fill="auto"/>
            <w:noWrap/>
            <w:hideMark/>
          </w:tcPr>
          <w:p w14:paraId="6BF06F1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1E2E2D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825BE34"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-15,4</w:t>
            </w:r>
          </w:p>
        </w:tc>
        <w:tc>
          <w:tcPr>
            <w:tcW w:w="762" w:type="dxa"/>
            <w:tcBorders>
              <w:top w:val="nil"/>
              <w:left w:val="nil"/>
              <w:bottom w:val="nil"/>
              <w:right w:val="nil"/>
            </w:tcBorders>
            <w:shd w:val="clear" w:color="auto" w:fill="auto"/>
            <w:noWrap/>
            <w:hideMark/>
          </w:tcPr>
          <w:p w14:paraId="5AFEB82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6,4</w:t>
            </w:r>
          </w:p>
        </w:tc>
        <w:tc>
          <w:tcPr>
            <w:tcW w:w="762" w:type="dxa"/>
            <w:tcBorders>
              <w:top w:val="nil"/>
              <w:left w:val="nil"/>
              <w:bottom w:val="nil"/>
              <w:right w:val="nil"/>
            </w:tcBorders>
            <w:shd w:val="clear" w:color="auto" w:fill="auto"/>
            <w:noWrap/>
            <w:hideMark/>
          </w:tcPr>
          <w:p w14:paraId="78EB3988"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30B0B4B"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3E130FFD" w14:textId="77777777" w:rsidTr="00387AE5">
        <w:trPr>
          <w:trHeight w:val="193"/>
        </w:trPr>
        <w:tc>
          <w:tcPr>
            <w:tcW w:w="4533" w:type="dxa"/>
            <w:tcBorders>
              <w:top w:val="nil"/>
              <w:left w:val="nil"/>
              <w:bottom w:val="nil"/>
              <w:right w:val="nil"/>
            </w:tcBorders>
            <w:shd w:val="clear" w:color="auto" w:fill="auto"/>
            <w:hideMark/>
          </w:tcPr>
          <w:p w14:paraId="381603F2"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Zdaňovanie dividend 7</w:t>
            </w:r>
            <w:r>
              <w:rPr>
                <w:sz w:val="18"/>
                <w:szCs w:val="18"/>
              </w:rPr>
              <w:t xml:space="preserve"> </w:t>
            </w:r>
            <w:r w:rsidRPr="00044758">
              <w:rPr>
                <w:sz w:val="18"/>
                <w:szCs w:val="18"/>
              </w:rPr>
              <w:t>% zrážkov</w:t>
            </w:r>
            <w:r>
              <w:rPr>
                <w:sz w:val="18"/>
                <w:szCs w:val="18"/>
              </w:rPr>
              <w:t>ou</w:t>
            </w:r>
            <w:r w:rsidRPr="00044758">
              <w:rPr>
                <w:sz w:val="18"/>
                <w:szCs w:val="18"/>
              </w:rPr>
              <w:t xml:space="preserve"> daň</w:t>
            </w:r>
            <w:r>
              <w:rPr>
                <w:sz w:val="18"/>
                <w:szCs w:val="18"/>
              </w:rPr>
              <w:t>ou</w:t>
            </w:r>
          </w:p>
        </w:tc>
        <w:tc>
          <w:tcPr>
            <w:tcW w:w="762" w:type="dxa"/>
            <w:tcBorders>
              <w:top w:val="nil"/>
              <w:left w:val="nil"/>
              <w:bottom w:val="nil"/>
              <w:right w:val="nil"/>
            </w:tcBorders>
            <w:shd w:val="clear" w:color="auto" w:fill="auto"/>
            <w:noWrap/>
            <w:hideMark/>
          </w:tcPr>
          <w:p w14:paraId="3FA21DE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961E93B"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23,7</w:t>
            </w:r>
          </w:p>
        </w:tc>
        <w:tc>
          <w:tcPr>
            <w:tcW w:w="763" w:type="dxa"/>
            <w:tcBorders>
              <w:top w:val="nil"/>
              <w:left w:val="nil"/>
              <w:bottom w:val="nil"/>
              <w:right w:val="nil"/>
            </w:tcBorders>
            <w:shd w:val="clear" w:color="auto" w:fill="auto"/>
            <w:noWrap/>
            <w:hideMark/>
          </w:tcPr>
          <w:p w14:paraId="4C3D4CC2"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66B67D8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1FA6FBA"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F9CD13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21527CC0" w14:textId="77777777" w:rsidTr="00387AE5">
        <w:trPr>
          <w:trHeight w:val="193"/>
        </w:trPr>
        <w:tc>
          <w:tcPr>
            <w:tcW w:w="4533" w:type="dxa"/>
            <w:tcBorders>
              <w:top w:val="nil"/>
              <w:left w:val="nil"/>
              <w:bottom w:val="nil"/>
              <w:right w:val="nil"/>
            </w:tcBorders>
            <w:shd w:val="clear" w:color="auto" w:fill="auto"/>
            <w:hideMark/>
          </w:tcPr>
          <w:p w14:paraId="7C5921C4"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Oslobodenie príjmov z predaja akcií a obchodných podielov</w:t>
            </w:r>
          </w:p>
        </w:tc>
        <w:tc>
          <w:tcPr>
            <w:tcW w:w="762" w:type="dxa"/>
            <w:tcBorders>
              <w:top w:val="nil"/>
              <w:left w:val="nil"/>
              <w:bottom w:val="nil"/>
              <w:right w:val="nil"/>
            </w:tcBorders>
            <w:shd w:val="clear" w:color="auto" w:fill="auto"/>
            <w:noWrap/>
            <w:hideMark/>
          </w:tcPr>
          <w:p w14:paraId="027159A3"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51887863"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B7F5451"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-5,3</w:t>
            </w:r>
          </w:p>
        </w:tc>
        <w:tc>
          <w:tcPr>
            <w:tcW w:w="762" w:type="dxa"/>
            <w:tcBorders>
              <w:top w:val="nil"/>
              <w:left w:val="nil"/>
              <w:bottom w:val="nil"/>
              <w:right w:val="nil"/>
            </w:tcBorders>
            <w:shd w:val="clear" w:color="auto" w:fill="auto"/>
            <w:noWrap/>
            <w:hideMark/>
          </w:tcPr>
          <w:p w14:paraId="5ED29CE9"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-22,8</w:t>
            </w:r>
          </w:p>
        </w:tc>
        <w:tc>
          <w:tcPr>
            <w:tcW w:w="762" w:type="dxa"/>
            <w:tcBorders>
              <w:top w:val="nil"/>
              <w:left w:val="nil"/>
              <w:bottom w:val="nil"/>
              <w:right w:val="nil"/>
            </w:tcBorders>
            <w:shd w:val="clear" w:color="auto" w:fill="auto"/>
            <w:noWrap/>
            <w:hideMark/>
          </w:tcPr>
          <w:p w14:paraId="50DA8FA7"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BC5E0EB"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4B21712C" w14:textId="77777777" w:rsidTr="00387AE5">
        <w:trPr>
          <w:trHeight w:val="193"/>
        </w:trPr>
        <w:tc>
          <w:tcPr>
            <w:tcW w:w="4533" w:type="dxa"/>
            <w:tcBorders>
              <w:top w:val="nil"/>
              <w:left w:val="nil"/>
              <w:bottom w:val="nil"/>
              <w:right w:val="nil"/>
            </w:tcBorders>
            <w:shd w:val="clear" w:color="auto" w:fill="auto"/>
            <w:hideMark/>
          </w:tcPr>
          <w:p w14:paraId="7488A272"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Súbor opatrení vedúci k zvýšeniu efektívnosti výberu DPH</w:t>
            </w:r>
          </w:p>
        </w:tc>
        <w:tc>
          <w:tcPr>
            <w:tcW w:w="762" w:type="dxa"/>
            <w:tcBorders>
              <w:top w:val="nil"/>
              <w:left w:val="nil"/>
              <w:bottom w:val="nil"/>
              <w:right w:val="nil"/>
            </w:tcBorders>
            <w:shd w:val="clear" w:color="auto" w:fill="auto"/>
            <w:noWrap/>
            <w:hideMark/>
          </w:tcPr>
          <w:p w14:paraId="38CCE14E"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188,7</w:t>
            </w:r>
          </w:p>
        </w:tc>
        <w:tc>
          <w:tcPr>
            <w:tcW w:w="762" w:type="dxa"/>
            <w:tcBorders>
              <w:top w:val="nil"/>
              <w:left w:val="nil"/>
              <w:bottom w:val="nil"/>
              <w:right w:val="nil"/>
            </w:tcBorders>
            <w:shd w:val="clear" w:color="auto" w:fill="auto"/>
            <w:noWrap/>
            <w:hideMark/>
          </w:tcPr>
          <w:p w14:paraId="26EC4AC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22,2</w:t>
            </w:r>
          </w:p>
        </w:tc>
        <w:tc>
          <w:tcPr>
            <w:tcW w:w="763" w:type="dxa"/>
            <w:tcBorders>
              <w:top w:val="nil"/>
              <w:left w:val="nil"/>
              <w:bottom w:val="nil"/>
              <w:right w:val="nil"/>
            </w:tcBorders>
            <w:shd w:val="clear" w:color="auto" w:fill="auto"/>
            <w:noWrap/>
            <w:hideMark/>
          </w:tcPr>
          <w:p w14:paraId="51FD54D0"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7EAB82F4"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14CBD137"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A25E72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321112F4" w14:textId="77777777" w:rsidTr="00387AE5">
        <w:trPr>
          <w:trHeight w:val="193"/>
        </w:trPr>
        <w:tc>
          <w:tcPr>
            <w:tcW w:w="4533" w:type="dxa"/>
            <w:tcBorders>
              <w:top w:val="nil"/>
              <w:left w:val="nil"/>
              <w:bottom w:val="nil"/>
              <w:right w:val="nil"/>
            </w:tcBorders>
            <w:shd w:val="clear" w:color="auto" w:fill="auto"/>
            <w:hideMark/>
          </w:tcPr>
          <w:p w14:paraId="5CFF930D"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Znížená sadzba DPH na ubytovacie služby</w:t>
            </w:r>
          </w:p>
        </w:tc>
        <w:tc>
          <w:tcPr>
            <w:tcW w:w="762" w:type="dxa"/>
            <w:tcBorders>
              <w:top w:val="nil"/>
              <w:left w:val="nil"/>
              <w:bottom w:val="nil"/>
              <w:right w:val="nil"/>
            </w:tcBorders>
            <w:shd w:val="clear" w:color="auto" w:fill="auto"/>
            <w:noWrap/>
            <w:hideMark/>
          </w:tcPr>
          <w:p w14:paraId="53B9536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7C1960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28A5247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-24,3</w:t>
            </w:r>
          </w:p>
        </w:tc>
        <w:tc>
          <w:tcPr>
            <w:tcW w:w="762" w:type="dxa"/>
            <w:tcBorders>
              <w:top w:val="nil"/>
              <w:left w:val="nil"/>
              <w:bottom w:val="nil"/>
              <w:right w:val="nil"/>
            </w:tcBorders>
            <w:shd w:val="clear" w:color="auto" w:fill="auto"/>
            <w:noWrap/>
            <w:hideMark/>
          </w:tcPr>
          <w:p w14:paraId="6274E39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394BE31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2F53848E"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760114DC" w14:textId="77777777" w:rsidTr="00387AE5">
        <w:trPr>
          <w:trHeight w:val="193"/>
        </w:trPr>
        <w:tc>
          <w:tcPr>
            <w:tcW w:w="4533" w:type="dxa"/>
            <w:tcBorders>
              <w:top w:val="nil"/>
              <w:left w:val="nil"/>
              <w:bottom w:val="nil"/>
              <w:right w:val="nil"/>
            </w:tcBorders>
            <w:shd w:val="clear" w:color="auto" w:fill="auto"/>
            <w:hideMark/>
          </w:tcPr>
          <w:p w14:paraId="5410EC89"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Identifikačná látka na pohonné hmoty + eKasa</w:t>
            </w:r>
          </w:p>
        </w:tc>
        <w:tc>
          <w:tcPr>
            <w:tcW w:w="762" w:type="dxa"/>
            <w:tcBorders>
              <w:top w:val="nil"/>
              <w:left w:val="nil"/>
              <w:bottom w:val="nil"/>
              <w:right w:val="nil"/>
            </w:tcBorders>
            <w:shd w:val="clear" w:color="auto" w:fill="auto"/>
            <w:noWrap/>
            <w:hideMark/>
          </w:tcPr>
          <w:p w14:paraId="284F3211"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140780B"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2149E483"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90,0</w:t>
            </w:r>
          </w:p>
        </w:tc>
        <w:tc>
          <w:tcPr>
            <w:tcW w:w="762" w:type="dxa"/>
            <w:tcBorders>
              <w:top w:val="nil"/>
              <w:left w:val="nil"/>
              <w:bottom w:val="nil"/>
              <w:right w:val="nil"/>
            </w:tcBorders>
            <w:shd w:val="clear" w:color="auto" w:fill="auto"/>
            <w:noWrap/>
            <w:hideMark/>
          </w:tcPr>
          <w:p w14:paraId="2AD03701"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90,0</w:t>
            </w:r>
          </w:p>
        </w:tc>
        <w:tc>
          <w:tcPr>
            <w:tcW w:w="762" w:type="dxa"/>
            <w:tcBorders>
              <w:top w:val="nil"/>
              <w:left w:val="nil"/>
              <w:bottom w:val="nil"/>
              <w:right w:val="nil"/>
            </w:tcBorders>
            <w:shd w:val="clear" w:color="auto" w:fill="auto"/>
            <w:noWrap/>
            <w:hideMark/>
          </w:tcPr>
          <w:p w14:paraId="10DAF64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10,0</w:t>
            </w:r>
          </w:p>
        </w:tc>
        <w:tc>
          <w:tcPr>
            <w:tcW w:w="763" w:type="dxa"/>
            <w:tcBorders>
              <w:top w:val="nil"/>
              <w:left w:val="nil"/>
              <w:bottom w:val="nil"/>
              <w:right w:val="nil"/>
            </w:tcBorders>
            <w:shd w:val="clear" w:color="auto" w:fill="auto"/>
            <w:noWrap/>
            <w:hideMark/>
          </w:tcPr>
          <w:p w14:paraId="3B278409"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10,0</w:t>
            </w:r>
          </w:p>
        </w:tc>
      </w:tr>
      <w:tr w:rsidR="00D73008" w:rsidRPr="00122FC1" w14:paraId="7A2E4CE4" w14:textId="77777777" w:rsidTr="00387AE5">
        <w:trPr>
          <w:trHeight w:val="193"/>
        </w:trPr>
        <w:tc>
          <w:tcPr>
            <w:tcW w:w="4533" w:type="dxa"/>
            <w:tcBorders>
              <w:top w:val="nil"/>
              <w:left w:val="nil"/>
              <w:bottom w:val="nil"/>
              <w:right w:val="nil"/>
            </w:tcBorders>
            <w:shd w:val="clear" w:color="auto" w:fill="auto"/>
            <w:hideMark/>
          </w:tcPr>
          <w:p w14:paraId="228A3E4D"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Zvýšenie spotrebnej dane z tabakových výrobkov</w:t>
            </w:r>
          </w:p>
        </w:tc>
        <w:tc>
          <w:tcPr>
            <w:tcW w:w="762" w:type="dxa"/>
            <w:tcBorders>
              <w:top w:val="nil"/>
              <w:left w:val="nil"/>
              <w:bottom w:val="nil"/>
              <w:right w:val="nil"/>
            </w:tcBorders>
            <w:shd w:val="clear" w:color="auto" w:fill="auto"/>
            <w:noWrap/>
            <w:hideMark/>
          </w:tcPr>
          <w:p w14:paraId="2C84C58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29,6</w:t>
            </w:r>
          </w:p>
        </w:tc>
        <w:tc>
          <w:tcPr>
            <w:tcW w:w="762" w:type="dxa"/>
            <w:tcBorders>
              <w:top w:val="nil"/>
              <w:left w:val="nil"/>
              <w:bottom w:val="nil"/>
              <w:right w:val="nil"/>
            </w:tcBorders>
            <w:shd w:val="clear" w:color="auto" w:fill="auto"/>
            <w:noWrap/>
            <w:hideMark/>
          </w:tcPr>
          <w:p w14:paraId="7C9B60D3"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2,9</w:t>
            </w:r>
          </w:p>
        </w:tc>
        <w:tc>
          <w:tcPr>
            <w:tcW w:w="763" w:type="dxa"/>
            <w:tcBorders>
              <w:top w:val="nil"/>
              <w:left w:val="nil"/>
              <w:bottom w:val="nil"/>
              <w:right w:val="nil"/>
            </w:tcBorders>
            <w:shd w:val="clear" w:color="auto" w:fill="auto"/>
            <w:noWrap/>
            <w:hideMark/>
          </w:tcPr>
          <w:p w14:paraId="6FDE7E1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35,9</w:t>
            </w:r>
          </w:p>
        </w:tc>
        <w:tc>
          <w:tcPr>
            <w:tcW w:w="762" w:type="dxa"/>
            <w:tcBorders>
              <w:top w:val="nil"/>
              <w:left w:val="nil"/>
              <w:bottom w:val="nil"/>
              <w:right w:val="nil"/>
            </w:tcBorders>
            <w:shd w:val="clear" w:color="auto" w:fill="auto"/>
            <w:noWrap/>
            <w:hideMark/>
          </w:tcPr>
          <w:p w14:paraId="4598AA99"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CD592DE"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86FF59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r>
      <w:tr w:rsidR="00D73008" w:rsidRPr="00122FC1" w14:paraId="3280B830" w14:textId="77777777" w:rsidTr="00387AE5">
        <w:trPr>
          <w:trHeight w:val="193"/>
        </w:trPr>
        <w:tc>
          <w:tcPr>
            <w:tcW w:w="4533" w:type="dxa"/>
            <w:tcBorders>
              <w:top w:val="nil"/>
              <w:left w:val="nil"/>
              <w:bottom w:val="nil"/>
              <w:right w:val="nil"/>
            </w:tcBorders>
            <w:shd w:val="clear" w:color="auto" w:fill="auto"/>
            <w:hideMark/>
          </w:tcPr>
          <w:p w14:paraId="5D48C455"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Zrušenie max. vymeriavacieho základu pre zdravotné poistenie</w:t>
            </w:r>
          </w:p>
        </w:tc>
        <w:tc>
          <w:tcPr>
            <w:tcW w:w="762" w:type="dxa"/>
            <w:tcBorders>
              <w:top w:val="nil"/>
              <w:left w:val="nil"/>
              <w:bottom w:val="nil"/>
              <w:right w:val="nil"/>
            </w:tcBorders>
            <w:shd w:val="clear" w:color="auto" w:fill="auto"/>
            <w:noWrap/>
            <w:hideMark/>
          </w:tcPr>
          <w:p w14:paraId="4BA0D44F"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96,5</w:t>
            </w:r>
          </w:p>
        </w:tc>
        <w:tc>
          <w:tcPr>
            <w:tcW w:w="762" w:type="dxa"/>
            <w:tcBorders>
              <w:top w:val="nil"/>
              <w:left w:val="nil"/>
              <w:bottom w:val="nil"/>
              <w:right w:val="nil"/>
            </w:tcBorders>
            <w:shd w:val="clear" w:color="auto" w:fill="auto"/>
            <w:noWrap/>
            <w:hideMark/>
          </w:tcPr>
          <w:p w14:paraId="73FDB5F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73A815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A810B39"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53986605"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188E9F44"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09607C77" w14:textId="77777777" w:rsidTr="00387AE5">
        <w:trPr>
          <w:trHeight w:val="193"/>
        </w:trPr>
        <w:tc>
          <w:tcPr>
            <w:tcW w:w="4533" w:type="dxa"/>
            <w:tcBorders>
              <w:top w:val="nil"/>
              <w:left w:val="nil"/>
              <w:bottom w:val="nil"/>
              <w:right w:val="nil"/>
            </w:tcBorders>
            <w:shd w:val="clear" w:color="auto" w:fill="auto"/>
            <w:hideMark/>
          </w:tcPr>
          <w:p w14:paraId="0F26E407"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Zvýšenie max. vymeriavacieho základu pre sociálne odvody</w:t>
            </w:r>
          </w:p>
        </w:tc>
        <w:tc>
          <w:tcPr>
            <w:tcW w:w="762" w:type="dxa"/>
            <w:tcBorders>
              <w:top w:val="nil"/>
              <w:left w:val="nil"/>
              <w:bottom w:val="nil"/>
              <w:right w:val="nil"/>
            </w:tcBorders>
            <w:shd w:val="clear" w:color="auto" w:fill="auto"/>
            <w:noWrap/>
            <w:hideMark/>
          </w:tcPr>
          <w:p w14:paraId="6206AB2B"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70,4</w:t>
            </w:r>
          </w:p>
        </w:tc>
        <w:tc>
          <w:tcPr>
            <w:tcW w:w="762" w:type="dxa"/>
            <w:tcBorders>
              <w:top w:val="nil"/>
              <w:left w:val="nil"/>
              <w:bottom w:val="nil"/>
              <w:right w:val="nil"/>
            </w:tcBorders>
            <w:shd w:val="clear" w:color="auto" w:fill="auto"/>
            <w:noWrap/>
            <w:hideMark/>
          </w:tcPr>
          <w:p w14:paraId="34E18D87"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4BFF460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1B2DD65B"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8851ECD"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35FB6BB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r>
      <w:tr w:rsidR="00D73008" w:rsidRPr="00122FC1" w14:paraId="088963E0" w14:textId="77777777" w:rsidTr="00387AE5">
        <w:trPr>
          <w:trHeight w:val="193"/>
        </w:trPr>
        <w:tc>
          <w:tcPr>
            <w:tcW w:w="4533" w:type="dxa"/>
            <w:tcBorders>
              <w:top w:val="nil"/>
              <w:left w:val="nil"/>
              <w:bottom w:val="nil"/>
              <w:right w:val="nil"/>
            </w:tcBorders>
            <w:shd w:val="clear" w:color="auto" w:fill="auto"/>
            <w:hideMark/>
          </w:tcPr>
          <w:p w14:paraId="5593960E"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Plánované ročné zúčtovanie sociálneho poistenia</w:t>
            </w:r>
          </w:p>
        </w:tc>
        <w:tc>
          <w:tcPr>
            <w:tcW w:w="762" w:type="dxa"/>
            <w:tcBorders>
              <w:top w:val="nil"/>
              <w:left w:val="nil"/>
              <w:bottom w:val="nil"/>
              <w:right w:val="nil"/>
            </w:tcBorders>
            <w:shd w:val="clear" w:color="auto" w:fill="auto"/>
            <w:noWrap/>
            <w:hideMark/>
          </w:tcPr>
          <w:p w14:paraId="19F0731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387C620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16C92EC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3F14AE1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176840E4" w14:textId="77777777" w:rsidR="00D73008" w:rsidRPr="00381915" w:rsidRDefault="00D73008" w:rsidP="00387AE5">
            <w:pPr>
              <w:jc w:val="center"/>
              <w:rPr>
                <w:rFonts w:cs="Times New Roman"/>
                <w:sz w:val="18"/>
                <w:szCs w:val="18"/>
                <w:highlight w:val="yellow"/>
                <w:lang w:val="en-GB" w:eastAsia="en-GB"/>
              </w:rPr>
            </w:pPr>
            <w:r>
              <w:rPr>
                <w:sz w:val="18"/>
                <w:szCs w:val="18"/>
              </w:rPr>
              <w:t>0</w:t>
            </w:r>
          </w:p>
        </w:tc>
        <w:tc>
          <w:tcPr>
            <w:tcW w:w="763" w:type="dxa"/>
            <w:tcBorders>
              <w:top w:val="nil"/>
              <w:left w:val="nil"/>
              <w:bottom w:val="nil"/>
              <w:right w:val="nil"/>
            </w:tcBorders>
            <w:shd w:val="clear" w:color="auto" w:fill="auto"/>
            <w:noWrap/>
            <w:hideMark/>
          </w:tcPr>
          <w:p w14:paraId="158E20B4"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50,0</w:t>
            </w:r>
          </w:p>
        </w:tc>
      </w:tr>
      <w:tr w:rsidR="00D73008" w:rsidRPr="00122FC1" w14:paraId="7E6DA061" w14:textId="77777777" w:rsidTr="00387AE5">
        <w:trPr>
          <w:trHeight w:val="193"/>
        </w:trPr>
        <w:tc>
          <w:tcPr>
            <w:tcW w:w="4533" w:type="dxa"/>
            <w:tcBorders>
              <w:top w:val="nil"/>
              <w:left w:val="nil"/>
              <w:bottom w:val="nil"/>
              <w:right w:val="nil"/>
            </w:tcBorders>
            <w:shd w:val="clear" w:color="auto" w:fill="auto"/>
            <w:hideMark/>
          </w:tcPr>
          <w:p w14:paraId="19C92A9F"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Zavedenie OOP a následné zmeny (zmena uplatňovania OOP, zrušenie OOP pre zamestnávateľa, zavedenie OOP pre dôchodcov)</w:t>
            </w:r>
            <w:r w:rsidRPr="00044758">
              <w:rPr>
                <w:rStyle w:val="Odkaznapoznmkupodiarou"/>
                <w:sz w:val="18"/>
                <w:szCs w:val="18"/>
              </w:rPr>
              <w:t xml:space="preserve"> </w:t>
            </w:r>
            <w:r w:rsidRPr="00044758">
              <w:rPr>
                <w:rStyle w:val="Odkaznapoznmkupodiarou"/>
                <w:sz w:val="18"/>
                <w:szCs w:val="18"/>
              </w:rPr>
              <w:footnoteReference w:id="86"/>
            </w:r>
          </w:p>
        </w:tc>
        <w:tc>
          <w:tcPr>
            <w:tcW w:w="762" w:type="dxa"/>
            <w:tcBorders>
              <w:top w:val="nil"/>
              <w:left w:val="nil"/>
              <w:bottom w:val="nil"/>
              <w:right w:val="nil"/>
            </w:tcBorders>
            <w:shd w:val="clear" w:color="auto" w:fill="auto"/>
            <w:noWrap/>
            <w:hideMark/>
          </w:tcPr>
          <w:p w14:paraId="5574C99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21,0</w:t>
            </w:r>
          </w:p>
        </w:tc>
        <w:tc>
          <w:tcPr>
            <w:tcW w:w="762" w:type="dxa"/>
            <w:tcBorders>
              <w:top w:val="nil"/>
              <w:left w:val="nil"/>
              <w:bottom w:val="nil"/>
              <w:right w:val="nil"/>
            </w:tcBorders>
            <w:shd w:val="clear" w:color="auto" w:fill="auto"/>
            <w:noWrap/>
            <w:hideMark/>
          </w:tcPr>
          <w:p w14:paraId="7C675A2F"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42,8</w:t>
            </w:r>
          </w:p>
        </w:tc>
        <w:tc>
          <w:tcPr>
            <w:tcW w:w="763" w:type="dxa"/>
            <w:tcBorders>
              <w:top w:val="nil"/>
              <w:left w:val="nil"/>
              <w:bottom w:val="nil"/>
              <w:right w:val="nil"/>
            </w:tcBorders>
            <w:shd w:val="clear" w:color="auto" w:fill="auto"/>
            <w:noWrap/>
            <w:hideMark/>
          </w:tcPr>
          <w:p w14:paraId="23FBA839"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58,8</w:t>
            </w:r>
          </w:p>
        </w:tc>
        <w:tc>
          <w:tcPr>
            <w:tcW w:w="762" w:type="dxa"/>
            <w:tcBorders>
              <w:top w:val="nil"/>
              <w:left w:val="nil"/>
              <w:bottom w:val="nil"/>
              <w:right w:val="nil"/>
            </w:tcBorders>
            <w:shd w:val="clear" w:color="auto" w:fill="auto"/>
            <w:noWrap/>
            <w:hideMark/>
          </w:tcPr>
          <w:p w14:paraId="087162F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0EE1917"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494530CA"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3E5F286A" w14:textId="77777777" w:rsidTr="00387AE5">
        <w:trPr>
          <w:trHeight w:val="193"/>
        </w:trPr>
        <w:tc>
          <w:tcPr>
            <w:tcW w:w="4533" w:type="dxa"/>
            <w:tcBorders>
              <w:top w:val="nil"/>
              <w:left w:val="nil"/>
              <w:bottom w:val="nil"/>
              <w:right w:val="nil"/>
            </w:tcBorders>
            <w:shd w:val="clear" w:color="auto" w:fill="auto"/>
            <w:hideMark/>
          </w:tcPr>
          <w:p w14:paraId="4EAE9D3A"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Postupný rast odvodu do II. piliera (automaticky od 2017 o 0,25 p.b./rok)</w:t>
            </w:r>
          </w:p>
        </w:tc>
        <w:tc>
          <w:tcPr>
            <w:tcW w:w="762" w:type="dxa"/>
            <w:tcBorders>
              <w:top w:val="nil"/>
              <w:left w:val="nil"/>
              <w:bottom w:val="nil"/>
              <w:right w:val="nil"/>
            </w:tcBorders>
            <w:shd w:val="clear" w:color="auto" w:fill="auto"/>
            <w:noWrap/>
            <w:hideMark/>
          </w:tcPr>
          <w:p w14:paraId="1BD29ACE"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-28,1</w:t>
            </w:r>
          </w:p>
        </w:tc>
        <w:tc>
          <w:tcPr>
            <w:tcW w:w="762" w:type="dxa"/>
            <w:tcBorders>
              <w:top w:val="nil"/>
              <w:left w:val="nil"/>
              <w:bottom w:val="nil"/>
              <w:right w:val="nil"/>
            </w:tcBorders>
            <w:shd w:val="clear" w:color="auto" w:fill="auto"/>
            <w:noWrap/>
            <w:hideMark/>
          </w:tcPr>
          <w:p w14:paraId="7989976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-32,2</w:t>
            </w:r>
          </w:p>
        </w:tc>
        <w:tc>
          <w:tcPr>
            <w:tcW w:w="763" w:type="dxa"/>
            <w:tcBorders>
              <w:top w:val="nil"/>
              <w:left w:val="nil"/>
              <w:bottom w:val="nil"/>
              <w:right w:val="nil"/>
            </w:tcBorders>
            <w:shd w:val="clear" w:color="auto" w:fill="auto"/>
            <w:noWrap/>
            <w:hideMark/>
          </w:tcPr>
          <w:p w14:paraId="2E82C1C2"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-40,1</w:t>
            </w:r>
          </w:p>
        </w:tc>
        <w:tc>
          <w:tcPr>
            <w:tcW w:w="762" w:type="dxa"/>
            <w:tcBorders>
              <w:top w:val="nil"/>
              <w:left w:val="nil"/>
              <w:bottom w:val="nil"/>
              <w:right w:val="nil"/>
            </w:tcBorders>
            <w:shd w:val="clear" w:color="auto" w:fill="auto"/>
            <w:noWrap/>
            <w:hideMark/>
          </w:tcPr>
          <w:p w14:paraId="694FF9E1"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-43,0</w:t>
            </w:r>
          </w:p>
        </w:tc>
        <w:tc>
          <w:tcPr>
            <w:tcW w:w="762" w:type="dxa"/>
            <w:tcBorders>
              <w:top w:val="nil"/>
              <w:left w:val="nil"/>
              <w:bottom w:val="nil"/>
              <w:right w:val="nil"/>
            </w:tcBorders>
            <w:shd w:val="clear" w:color="auto" w:fill="auto"/>
            <w:noWrap/>
            <w:hideMark/>
          </w:tcPr>
          <w:p w14:paraId="3C3214BD"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-47,7</w:t>
            </w:r>
          </w:p>
        </w:tc>
        <w:tc>
          <w:tcPr>
            <w:tcW w:w="763" w:type="dxa"/>
            <w:tcBorders>
              <w:top w:val="nil"/>
              <w:left w:val="nil"/>
              <w:bottom w:val="nil"/>
              <w:right w:val="nil"/>
            </w:tcBorders>
            <w:shd w:val="clear" w:color="auto" w:fill="auto"/>
            <w:noWrap/>
            <w:hideMark/>
          </w:tcPr>
          <w:p w14:paraId="685274FE"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-49,6</w:t>
            </w:r>
          </w:p>
        </w:tc>
      </w:tr>
      <w:tr w:rsidR="00D73008" w:rsidRPr="00122FC1" w14:paraId="1C759998" w14:textId="77777777" w:rsidTr="00387AE5">
        <w:trPr>
          <w:trHeight w:val="193"/>
        </w:trPr>
        <w:tc>
          <w:tcPr>
            <w:tcW w:w="4533" w:type="dxa"/>
            <w:tcBorders>
              <w:top w:val="nil"/>
              <w:left w:val="nil"/>
              <w:bottom w:val="nil"/>
              <w:right w:val="nil"/>
            </w:tcBorders>
            <w:shd w:val="clear" w:color="auto" w:fill="auto"/>
            <w:hideMark/>
          </w:tcPr>
          <w:p w14:paraId="639E32D0"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Neživotné poistenie</w:t>
            </w:r>
            <w:r>
              <w:rPr>
                <w:sz w:val="18"/>
                <w:szCs w:val="18"/>
              </w:rPr>
              <w:t xml:space="preserve"> - </w:t>
            </w:r>
            <w:r w:rsidRPr="00044758">
              <w:rPr>
                <w:sz w:val="18"/>
                <w:szCs w:val="18"/>
              </w:rPr>
              <w:t>zavedenie odvodu a nahradenie spotrebnou daňou z poistného</w:t>
            </w:r>
          </w:p>
        </w:tc>
        <w:tc>
          <w:tcPr>
            <w:tcW w:w="762" w:type="dxa"/>
            <w:tcBorders>
              <w:top w:val="nil"/>
              <w:left w:val="nil"/>
              <w:bottom w:val="nil"/>
              <w:right w:val="nil"/>
            </w:tcBorders>
            <w:shd w:val="clear" w:color="auto" w:fill="auto"/>
            <w:noWrap/>
            <w:hideMark/>
          </w:tcPr>
          <w:p w14:paraId="47103A4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16,3</w:t>
            </w:r>
          </w:p>
        </w:tc>
        <w:tc>
          <w:tcPr>
            <w:tcW w:w="762" w:type="dxa"/>
            <w:tcBorders>
              <w:top w:val="nil"/>
              <w:left w:val="nil"/>
              <w:bottom w:val="nil"/>
              <w:right w:val="nil"/>
            </w:tcBorders>
            <w:shd w:val="clear" w:color="auto" w:fill="auto"/>
            <w:noWrap/>
            <w:hideMark/>
          </w:tcPr>
          <w:p w14:paraId="5498215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3,7</w:t>
            </w:r>
          </w:p>
        </w:tc>
        <w:tc>
          <w:tcPr>
            <w:tcW w:w="763" w:type="dxa"/>
            <w:tcBorders>
              <w:top w:val="nil"/>
              <w:left w:val="nil"/>
              <w:bottom w:val="nil"/>
              <w:right w:val="nil"/>
            </w:tcBorders>
            <w:shd w:val="clear" w:color="auto" w:fill="auto"/>
            <w:noWrap/>
            <w:hideMark/>
          </w:tcPr>
          <w:p w14:paraId="6B43C9E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53,6</w:t>
            </w:r>
          </w:p>
        </w:tc>
        <w:tc>
          <w:tcPr>
            <w:tcW w:w="762" w:type="dxa"/>
            <w:tcBorders>
              <w:top w:val="nil"/>
              <w:left w:val="nil"/>
              <w:bottom w:val="nil"/>
              <w:right w:val="nil"/>
            </w:tcBorders>
            <w:shd w:val="clear" w:color="auto" w:fill="auto"/>
            <w:noWrap/>
            <w:hideMark/>
          </w:tcPr>
          <w:p w14:paraId="22A50E0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31176F5E"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6B1840AA"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47CE2C65" w14:textId="77777777" w:rsidTr="00387AE5">
        <w:trPr>
          <w:trHeight w:val="193"/>
        </w:trPr>
        <w:tc>
          <w:tcPr>
            <w:tcW w:w="4533" w:type="dxa"/>
            <w:tcBorders>
              <w:top w:val="nil"/>
              <w:left w:val="nil"/>
              <w:bottom w:val="nil"/>
              <w:right w:val="nil"/>
            </w:tcBorders>
            <w:shd w:val="clear" w:color="auto" w:fill="auto"/>
            <w:hideMark/>
          </w:tcPr>
          <w:p w14:paraId="66921BFB"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Zdvojnásobenie sadzby osobitného odvodu v regulovaných odvetviach, a následné zníženie (2019, 2021)</w:t>
            </w:r>
          </w:p>
        </w:tc>
        <w:tc>
          <w:tcPr>
            <w:tcW w:w="762" w:type="dxa"/>
            <w:tcBorders>
              <w:top w:val="nil"/>
              <w:left w:val="nil"/>
              <w:bottom w:val="nil"/>
              <w:right w:val="nil"/>
            </w:tcBorders>
            <w:shd w:val="clear" w:color="auto" w:fill="auto"/>
            <w:noWrap/>
            <w:hideMark/>
          </w:tcPr>
          <w:p w14:paraId="0E485C21"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62,6</w:t>
            </w:r>
          </w:p>
        </w:tc>
        <w:tc>
          <w:tcPr>
            <w:tcW w:w="762" w:type="dxa"/>
            <w:tcBorders>
              <w:top w:val="nil"/>
              <w:left w:val="nil"/>
              <w:bottom w:val="nil"/>
              <w:right w:val="nil"/>
            </w:tcBorders>
            <w:shd w:val="clear" w:color="auto" w:fill="auto"/>
            <w:noWrap/>
            <w:hideMark/>
          </w:tcPr>
          <w:p w14:paraId="09031FB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57E3FB5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-38,2</w:t>
            </w:r>
          </w:p>
        </w:tc>
        <w:tc>
          <w:tcPr>
            <w:tcW w:w="762" w:type="dxa"/>
            <w:tcBorders>
              <w:top w:val="nil"/>
              <w:left w:val="nil"/>
              <w:bottom w:val="nil"/>
              <w:right w:val="nil"/>
            </w:tcBorders>
            <w:shd w:val="clear" w:color="auto" w:fill="auto"/>
            <w:noWrap/>
            <w:hideMark/>
          </w:tcPr>
          <w:p w14:paraId="602DB58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549A1173"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-24,4</w:t>
            </w:r>
          </w:p>
        </w:tc>
        <w:tc>
          <w:tcPr>
            <w:tcW w:w="763" w:type="dxa"/>
            <w:tcBorders>
              <w:top w:val="nil"/>
              <w:left w:val="nil"/>
              <w:bottom w:val="nil"/>
              <w:right w:val="nil"/>
            </w:tcBorders>
            <w:shd w:val="clear" w:color="auto" w:fill="auto"/>
            <w:noWrap/>
            <w:hideMark/>
          </w:tcPr>
          <w:p w14:paraId="359C49F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5E6700CD" w14:textId="77777777" w:rsidTr="00387AE5">
        <w:trPr>
          <w:trHeight w:val="193"/>
        </w:trPr>
        <w:tc>
          <w:tcPr>
            <w:tcW w:w="4533" w:type="dxa"/>
            <w:tcBorders>
              <w:top w:val="nil"/>
              <w:left w:val="nil"/>
              <w:bottom w:val="nil"/>
              <w:right w:val="nil"/>
            </w:tcBorders>
            <w:shd w:val="clear" w:color="auto" w:fill="auto"/>
            <w:hideMark/>
          </w:tcPr>
          <w:p w14:paraId="4B8A0A37"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Plánované zrušenie bankového odvodu</w:t>
            </w:r>
          </w:p>
        </w:tc>
        <w:tc>
          <w:tcPr>
            <w:tcW w:w="762" w:type="dxa"/>
            <w:tcBorders>
              <w:top w:val="nil"/>
              <w:left w:val="nil"/>
              <w:bottom w:val="nil"/>
              <w:right w:val="nil"/>
            </w:tcBorders>
            <w:shd w:val="clear" w:color="auto" w:fill="auto"/>
            <w:noWrap/>
            <w:hideMark/>
          </w:tcPr>
          <w:p w14:paraId="09B6AC90"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006B5D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5C7B461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003D78D1"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515098D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-128,2</w:t>
            </w:r>
          </w:p>
        </w:tc>
        <w:tc>
          <w:tcPr>
            <w:tcW w:w="763" w:type="dxa"/>
            <w:tcBorders>
              <w:top w:val="nil"/>
              <w:left w:val="nil"/>
              <w:bottom w:val="nil"/>
              <w:right w:val="nil"/>
            </w:tcBorders>
            <w:shd w:val="clear" w:color="auto" w:fill="auto"/>
            <w:noWrap/>
            <w:hideMark/>
          </w:tcPr>
          <w:p w14:paraId="1C03F1F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40B4D9E5" w14:textId="77777777" w:rsidTr="00387AE5">
        <w:trPr>
          <w:trHeight w:val="193"/>
        </w:trPr>
        <w:tc>
          <w:tcPr>
            <w:tcW w:w="4533" w:type="dxa"/>
            <w:tcBorders>
              <w:top w:val="nil"/>
              <w:left w:val="nil"/>
              <w:bottom w:val="nil"/>
              <w:right w:val="nil"/>
            </w:tcBorders>
            <w:shd w:val="clear" w:color="auto" w:fill="auto"/>
            <w:hideMark/>
          </w:tcPr>
          <w:p w14:paraId="3096916A"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Zavedenie osobitého odvodu z</w:t>
            </w:r>
            <w:r>
              <w:rPr>
                <w:sz w:val="18"/>
                <w:szCs w:val="18"/>
              </w:rPr>
              <w:t> </w:t>
            </w:r>
            <w:r w:rsidRPr="00044758">
              <w:rPr>
                <w:sz w:val="18"/>
                <w:szCs w:val="18"/>
              </w:rPr>
              <w:t>reťazcov</w:t>
            </w:r>
            <w:r>
              <w:rPr>
                <w:sz w:val="18"/>
                <w:szCs w:val="18"/>
              </w:rPr>
              <w:t>*</w:t>
            </w:r>
          </w:p>
        </w:tc>
        <w:tc>
          <w:tcPr>
            <w:tcW w:w="762" w:type="dxa"/>
            <w:tcBorders>
              <w:top w:val="nil"/>
              <w:left w:val="nil"/>
              <w:bottom w:val="nil"/>
              <w:right w:val="nil"/>
            </w:tcBorders>
            <w:shd w:val="clear" w:color="auto" w:fill="auto"/>
            <w:noWrap/>
            <w:hideMark/>
          </w:tcPr>
          <w:p w14:paraId="1B555A4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34758700"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1BC8D4BB"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84,9</w:t>
            </w:r>
          </w:p>
        </w:tc>
        <w:tc>
          <w:tcPr>
            <w:tcW w:w="762" w:type="dxa"/>
            <w:tcBorders>
              <w:top w:val="nil"/>
              <w:left w:val="nil"/>
              <w:bottom w:val="nil"/>
              <w:right w:val="nil"/>
            </w:tcBorders>
            <w:shd w:val="clear" w:color="auto" w:fill="auto"/>
            <w:noWrap/>
            <w:hideMark/>
          </w:tcPr>
          <w:p w14:paraId="0295D99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49C90631"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3FFF5035"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7CDDFE6B" w14:textId="77777777" w:rsidTr="00387AE5">
        <w:trPr>
          <w:trHeight w:val="193"/>
        </w:trPr>
        <w:tc>
          <w:tcPr>
            <w:tcW w:w="4533" w:type="dxa"/>
            <w:tcBorders>
              <w:top w:val="nil"/>
              <w:left w:val="nil"/>
              <w:bottom w:val="nil"/>
              <w:right w:val="nil"/>
            </w:tcBorders>
            <w:shd w:val="clear" w:color="auto" w:fill="auto"/>
            <w:hideMark/>
          </w:tcPr>
          <w:p w14:paraId="7517FB75"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Poplatok za uloženie odpadu</w:t>
            </w:r>
          </w:p>
        </w:tc>
        <w:tc>
          <w:tcPr>
            <w:tcW w:w="762" w:type="dxa"/>
            <w:tcBorders>
              <w:top w:val="nil"/>
              <w:left w:val="nil"/>
              <w:bottom w:val="nil"/>
              <w:right w:val="nil"/>
            </w:tcBorders>
            <w:shd w:val="clear" w:color="auto" w:fill="auto"/>
            <w:noWrap/>
            <w:hideMark/>
          </w:tcPr>
          <w:p w14:paraId="3416AC7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64E33FE6"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7D173F41"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9,7</w:t>
            </w:r>
          </w:p>
        </w:tc>
        <w:tc>
          <w:tcPr>
            <w:tcW w:w="762" w:type="dxa"/>
            <w:tcBorders>
              <w:top w:val="nil"/>
              <w:left w:val="nil"/>
              <w:bottom w:val="nil"/>
              <w:right w:val="nil"/>
            </w:tcBorders>
            <w:shd w:val="clear" w:color="auto" w:fill="auto"/>
            <w:noWrap/>
            <w:hideMark/>
          </w:tcPr>
          <w:p w14:paraId="7FE2A59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11,5</w:t>
            </w:r>
          </w:p>
        </w:tc>
        <w:tc>
          <w:tcPr>
            <w:tcW w:w="762" w:type="dxa"/>
            <w:tcBorders>
              <w:top w:val="nil"/>
              <w:left w:val="nil"/>
              <w:bottom w:val="nil"/>
              <w:right w:val="nil"/>
            </w:tcBorders>
            <w:shd w:val="clear" w:color="auto" w:fill="auto"/>
            <w:noWrap/>
            <w:hideMark/>
          </w:tcPr>
          <w:p w14:paraId="34F83B6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6,3</w:t>
            </w:r>
          </w:p>
        </w:tc>
        <w:tc>
          <w:tcPr>
            <w:tcW w:w="763" w:type="dxa"/>
            <w:tcBorders>
              <w:top w:val="nil"/>
              <w:left w:val="nil"/>
              <w:bottom w:val="nil"/>
              <w:right w:val="nil"/>
            </w:tcBorders>
            <w:shd w:val="clear" w:color="auto" w:fill="auto"/>
            <w:noWrap/>
            <w:hideMark/>
          </w:tcPr>
          <w:p w14:paraId="320B76E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005F0169" w14:textId="77777777" w:rsidTr="00387AE5">
        <w:trPr>
          <w:trHeight w:val="193"/>
        </w:trPr>
        <w:tc>
          <w:tcPr>
            <w:tcW w:w="4533" w:type="dxa"/>
            <w:tcBorders>
              <w:top w:val="nil"/>
              <w:left w:val="nil"/>
              <w:bottom w:val="nil"/>
              <w:right w:val="nil"/>
            </w:tcBorders>
            <w:shd w:val="clear" w:color="auto" w:fill="auto"/>
            <w:hideMark/>
          </w:tcPr>
          <w:p w14:paraId="6B764209"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Vyššie príjmy z hazardu (zmena výšky odvodov)</w:t>
            </w:r>
          </w:p>
        </w:tc>
        <w:tc>
          <w:tcPr>
            <w:tcW w:w="762" w:type="dxa"/>
            <w:tcBorders>
              <w:top w:val="nil"/>
              <w:left w:val="nil"/>
              <w:bottom w:val="nil"/>
              <w:right w:val="nil"/>
            </w:tcBorders>
            <w:shd w:val="clear" w:color="auto" w:fill="auto"/>
            <w:noWrap/>
            <w:hideMark/>
          </w:tcPr>
          <w:p w14:paraId="32D03427"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9,8</w:t>
            </w:r>
          </w:p>
        </w:tc>
        <w:tc>
          <w:tcPr>
            <w:tcW w:w="762" w:type="dxa"/>
            <w:tcBorders>
              <w:top w:val="nil"/>
              <w:left w:val="nil"/>
              <w:bottom w:val="nil"/>
              <w:right w:val="nil"/>
            </w:tcBorders>
            <w:shd w:val="clear" w:color="auto" w:fill="auto"/>
            <w:noWrap/>
            <w:hideMark/>
          </w:tcPr>
          <w:p w14:paraId="786D90C2"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1E57657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19DBDA1A"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224ACB73"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2A6BB081"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7B2826B6" w14:textId="77777777" w:rsidTr="00387AE5">
        <w:trPr>
          <w:trHeight w:val="193"/>
        </w:trPr>
        <w:tc>
          <w:tcPr>
            <w:tcW w:w="4533" w:type="dxa"/>
            <w:tcBorders>
              <w:top w:val="nil"/>
              <w:left w:val="nil"/>
              <w:bottom w:val="nil"/>
              <w:right w:val="nil"/>
            </w:tcBorders>
            <w:shd w:val="clear" w:color="auto" w:fill="auto"/>
            <w:hideMark/>
          </w:tcPr>
          <w:p w14:paraId="57C5C3A1"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Zavedenie licencií na hazardné hry a iné zmeny v zdaňovaní hazardných hier</w:t>
            </w:r>
          </w:p>
        </w:tc>
        <w:tc>
          <w:tcPr>
            <w:tcW w:w="762" w:type="dxa"/>
            <w:tcBorders>
              <w:top w:val="nil"/>
              <w:left w:val="nil"/>
              <w:bottom w:val="nil"/>
              <w:right w:val="nil"/>
            </w:tcBorders>
            <w:shd w:val="clear" w:color="auto" w:fill="auto"/>
            <w:noWrap/>
            <w:hideMark/>
          </w:tcPr>
          <w:p w14:paraId="58EED0F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2" w:type="dxa"/>
            <w:tcBorders>
              <w:top w:val="nil"/>
              <w:left w:val="nil"/>
              <w:bottom w:val="nil"/>
              <w:right w:val="nil"/>
            </w:tcBorders>
            <w:shd w:val="clear" w:color="auto" w:fill="auto"/>
            <w:noWrap/>
            <w:hideMark/>
          </w:tcPr>
          <w:p w14:paraId="5CD30438"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2655C18C"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11,7</w:t>
            </w:r>
          </w:p>
        </w:tc>
        <w:tc>
          <w:tcPr>
            <w:tcW w:w="762" w:type="dxa"/>
            <w:tcBorders>
              <w:top w:val="nil"/>
              <w:left w:val="nil"/>
              <w:bottom w:val="nil"/>
              <w:right w:val="nil"/>
            </w:tcBorders>
            <w:shd w:val="clear" w:color="auto" w:fill="auto"/>
            <w:noWrap/>
            <w:hideMark/>
          </w:tcPr>
          <w:p w14:paraId="42EECC3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2,8</w:t>
            </w:r>
          </w:p>
        </w:tc>
        <w:tc>
          <w:tcPr>
            <w:tcW w:w="762" w:type="dxa"/>
            <w:tcBorders>
              <w:top w:val="nil"/>
              <w:left w:val="nil"/>
              <w:bottom w:val="nil"/>
              <w:right w:val="nil"/>
            </w:tcBorders>
            <w:shd w:val="clear" w:color="auto" w:fill="auto"/>
            <w:noWrap/>
            <w:hideMark/>
          </w:tcPr>
          <w:p w14:paraId="5E1DF25C"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bottom w:val="nil"/>
              <w:right w:val="nil"/>
            </w:tcBorders>
            <w:shd w:val="clear" w:color="auto" w:fill="auto"/>
            <w:noWrap/>
            <w:hideMark/>
          </w:tcPr>
          <w:p w14:paraId="3DE7A816"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73A3C8BD" w14:textId="77777777" w:rsidTr="00387AE5">
        <w:trPr>
          <w:trHeight w:val="193"/>
        </w:trPr>
        <w:tc>
          <w:tcPr>
            <w:tcW w:w="4533" w:type="dxa"/>
            <w:tcBorders>
              <w:top w:val="nil"/>
              <w:left w:val="nil"/>
              <w:right w:val="nil"/>
            </w:tcBorders>
            <w:shd w:val="clear" w:color="auto" w:fill="auto"/>
            <w:hideMark/>
          </w:tcPr>
          <w:p w14:paraId="4E620256"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Zvýšenie odplaty za poskytovanie služieb - EOSA</w:t>
            </w:r>
          </w:p>
        </w:tc>
        <w:tc>
          <w:tcPr>
            <w:tcW w:w="762" w:type="dxa"/>
            <w:tcBorders>
              <w:top w:val="nil"/>
              <w:left w:val="nil"/>
              <w:right w:val="nil"/>
            </w:tcBorders>
            <w:shd w:val="clear" w:color="auto" w:fill="auto"/>
            <w:noWrap/>
            <w:hideMark/>
          </w:tcPr>
          <w:p w14:paraId="21007E94"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37,2</w:t>
            </w:r>
          </w:p>
        </w:tc>
        <w:tc>
          <w:tcPr>
            <w:tcW w:w="762" w:type="dxa"/>
            <w:tcBorders>
              <w:top w:val="nil"/>
              <w:left w:val="nil"/>
              <w:right w:val="nil"/>
            </w:tcBorders>
            <w:shd w:val="clear" w:color="auto" w:fill="auto"/>
            <w:noWrap/>
            <w:hideMark/>
          </w:tcPr>
          <w:p w14:paraId="2B04A55F"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w:t>
            </w:r>
          </w:p>
        </w:tc>
        <w:tc>
          <w:tcPr>
            <w:tcW w:w="763" w:type="dxa"/>
            <w:tcBorders>
              <w:top w:val="nil"/>
              <w:left w:val="nil"/>
              <w:right w:val="nil"/>
            </w:tcBorders>
            <w:shd w:val="clear" w:color="auto" w:fill="auto"/>
            <w:noWrap/>
            <w:hideMark/>
          </w:tcPr>
          <w:p w14:paraId="6C48EA6D"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0,0</w:t>
            </w:r>
          </w:p>
        </w:tc>
        <w:tc>
          <w:tcPr>
            <w:tcW w:w="762" w:type="dxa"/>
            <w:tcBorders>
              <w:top w:val="nil"/>
              <w:left w:val="nil"/>
              <w:right w:val="nil"/>
            </w:tcBorders>
            <w:shd w:val="clear" w:color="auto" w:fill="auto"/>
            <w:noWrap/>
            <w:hideMark/>
          </w:tcPr>
          <w:p w14:paraId="44564B49"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32,6</w:t>
            </w:r>
          </w:p>
        </w:tc>
        <w:tc>
          <w:tcPr>
            <w:tcW w:w="762" w:type="dxa"/>
            <w:tcBorders>
              <w:top w:val="nil"/>
              <w:left w:val="nil"/>
              <w:right w:val="nil"/>
            </w:tcBorders>
            <w:shd w:val="clear" w:color="auto" w:fill="auto"/>
            <w:noWrap/>
            <w:hideMark/>
          </w:tcPr>
          <w:p w14:paraId="3D931ABE"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c>
          <w:tcPr>
            <w:tcW w:w="763" w:type="dxa"/>
            <w:tcBorders>
              <w:top w:val="nil"/>
              <w:left w:val="nil"/>
              <w:right w:val="nil"/>
            </w:tcBorders>
            <w:shd w:val="clear" w:color="auto" w:fill="auto"/>
            <w:noWrap/>
            <w:hideMark/>
          </w:tcPr>
          <w:p w14:paraId="4F75C217" w14:textId="77777777" w:rsidR="00D73008" w:rsidRPr="00381915" w:rsidRDefault="00D73008" w:rsidP="00387AE5">
            <w:pPr>
              <w:jc w:val="center"/>
              <w:rPr>
                <w:rFonts w:cs="Times New Roman"/>
                <w:sz w:val="18"/>
                <w:szCs w:val="18"/>
                <w:highlight w:val="yellow"/>
                <w:lang w:val="en-GB" w:eastAsia="en-GB"/>
              </w:rPr>
            </w:pPr>
            <w:r w:rsidRPr="00381915">
              <w:rPr>
                <w:sz w:val="18"/>
                <w:szCs w:val="18"/>
              </w:rPr>
              <w:t>0</w:t>
            </w:r>
          </w:p>
        </w:tc>
      </w:tr>
      <w:tr w:rsidR="00D73008" w:rsidRPr="00122FC1" w14:paraId="516361E7" w14:textId="77777777" w:rsidTr="00387AE5">
        <w:trPr>
          <w:trHeight w:val="193"/>
        </w:trPr>
        <w:tc>
          <w:tcPr>
            <w:tcW w:w="4533" w:type="dxa"/>
            <w:tcBorders>
              <w:top w:val="nil"/>
              <w:left w:val="nil"/>
              <w:right w:val="nil"/>
            </w:tcBorders>
            <w:shd w:val="clear" w:color="auto" w:fill="auto"/>
            <w:hideMark/>
          </w:tcPr>
          <w:p w14:paraId="6D58F970" w14:textId="77777777" w:rsidR="00D73008" w:rsidRPr="00044758" w:rsidRDefault="00D73008" w:rsidP="00387AE5">
            <w:pPr>
              <w:rPr>
                <w:rFonts w:cs="Times New Roman"/>
                <w:color w:val="000000"/>
                <w:sz w:val="18"/>
                <w:szCs w:val="18"/>
                <w:highlight w:val="yellow"/>
                <w:lang w:val="en-GB" w:eastAsia="en-GB"/>
              </w:rPr>
            </w:pPr>
            <w:r w:rsidRPr="00044758">
              <w:rPr>
                <w:sz w:val="18"/>
                <w:szCs w:val="18"/>
              </w:rPr>
              <w:t>Príjmy Národného jadrového fondu (spustenie tretieho bloku Atómovej elektrárne Mochovce)</w:t>
            </w:r>
            <w:r w:rsidRPr="00044758" w:rsidDel="006F5831">
              <w:rPr>
                <w:sz w:val="18"/>
                <w:szCs w:val="18"/>
                <w:highlight w:val="yellow"/>
              </w:rPr>
              <w:t xml:space="preserve"> </w:t>
            </w:r>
          </w:p>
        </w:tc>
        <w:tc>
          <w:tcPr>
            <w:tcW w:w="762" w:type="dxa"/>
            <w:tcBorders>
              <w:top w:val="nil"/>
              <w:left w:val="nil"/>
              <w:right w:val="nil"/>
            </w:tcBorders>
            <w:shd w:val="clear" w:color="auto" w:fill="auto"/>
            <w:noWrap/>
            <w:hideMark/>
          </w:tcPr>
          <w:p w14:paraId="0966246B" w14:textId="77777777" w:rsidR="00D73008" w:rsidRPr="00381915" w:rsidRDefault="00D73008" w:rsidP="00387AE5">
            <w:pPr>
              <w:jc w:val="center"/>
              <w:rPr>
                <w:rFonts w:cs="Times New Roman"/>
                <w:color w:val="000000"/>
                <w:sz w:val="18"/>
                <w:szCs w:val="18"/>
                <w:highlight w:val="yellow"/>
                <w:lang w:val="en-GB" w:eastAsia="en-GB"/>
              </w:rPr>
            </w:pPr>
            <w:r>
              <w:rPr>
                <w:sz w:val="18"/>
                <w:szCs w:val="18"/>
              </w:rPr>
              <w:t>0</w:t>
            </w:r>
          </w:p>
        </w:tc>
        <w:tc>
          <w:tcPr>
            <w:tcW w:w="762" w:type="dxa"/>
            <w:tcBorders>
              <w:top w:val="nil"/>
              <w:left w:val="nil"/>
              <w:right w:val="nil"/>
            </w:tcBorders>
            <w:shd w:val="clear" w:color="auto" w:fill="auto"/>
            <w:noWrap/>
            <w:hideMark/>
          </w:tcPr>
          <w:p w14:paraId="2E8FD18C" w14:textId="77777777" w:rsidR="00D73008" w:rsidRPr="00381915" w:rsidRDefault="00D73008" w:rsidP="00387AE5">
            <w:pPr>
              <w:jc w:val="center"/>
              <w:rPr>
                <w:rFonts w:cs="Times New Roman"/>
                <w:color w:val="000000"/>
                <w:sz w:val="18"/>
                <w:szCs w:val="18"/>
                <w:highlight w:val="yellow"/>
                <w:lang w:val="en-GB" w:eastAsia="en-GB"/>
              </w:rPr>
            </w:pPr>
            <w:r>
              <w:rPr>
                <w:sz w:val="18"/>
                <w:szCs w:val="18"/>
              </w:rPr>
              <w:t>0</w:t>
            </w:r>
          </w:p>
        </w:tc>
        <w:tc>
          <w:tcPr>
            <w:tcW w:w="763" w:type="dxa"/>
            <w:tcBorders>
              <w:top w:val="nil"/>
              <w:left w:val="nil"/>
              <w:right w:val="nil"/>
            </w:tcBorders>
            <w:shd w:val="clear" w:color="auto" w:fill="auto"/>
            <w:noWrap/>
            <w:hideMark/>
          </w:tcPr>
          <w:p w14:paraId="5E66B5EF" w14:textId="77777777" w:rsidR="00D73008" w:rsidRPr="00381915" w:rsidRDefault="00D73008" w:rsidP="00387AE5">
            <w:pPr>
              <w:jc w:val="center"/>
              <w:rPr>
                <w:rFonts w:cs="Times New Roman"/>
                <w:color w:val="000000"/>
                <w:sz w:val="18"/>
                <w:szCs w:val="18"/>
                <w:highlight w:val="yellow"/>
                <w:lang w:val="en-GB" w:eastAsia="en-GB"/>
              </w:rPr>
            </w:pPr>
            <w:r w:rsidRPr="00381915">
              <w:rPr>
                <w:sz w:val="18"/>
                <w:szCs w:val="18"/>
              </w:rPr>
              <w:t>36,4</w:t>
            </w:r>
          </w:p>
        </w:tc>
        <w:tc>
          <w:tcPr>
            <w:tcW w:w="762" w:type="dxa"/>
            <w:tcBorders>
              <w:top w:val="nil"/>
              <w:left w:val="nil"/>
              <w:right w:val="nil"/>
            </w:tcBorders>
            <w:shd w:val="clear" w:color="auto" w:fill="auto"/>
            <w:noWrap/>
            <w:hideMark/>
          </w:tcPr>
          <w:p w14:paraId="255E7601" w14:textId="77777777" w:rsidR="00D73008" w:rsidRPr="00381915" w:rsidRDefault="00D73008" w:rsidP="00387AE5">
            <w:pPr>
              <w:jc w:val="center"/>
              <w:rPr>
                <w:rFonts w:cs="Times New Roman"/>
                <w:color w:val="000000"/>
                <w:sz w:val="18"/>
                <w:szCs w:val="18"/>
                <w:highlight w:val="yellow"/>
                <w:lang w:val="en-GB" w:eastAsia="en-GB"/>
              </w:rPr>
            </w:pPr>
            <w:r>
              <w:rPr>
                <w:sz w:val="18"/>
                <w:szCs w:val="18"/>
              </w:rPr>
              <w:t>0</w:t>
            </w:r>
          </w:p>
        </w:tc>
        <w:tc>
          <w:tcPr>
            <w:tcW w:w="762" w:type="dxa"/>
            <w:tcBorders>
              <w:top w:val="nil"/>
              <w:left w:val="nil"/>
              <w:right w:val="nil"/>
            </w:tcBorders>
            <w:shd w:val="clear" w:color="auto" w:fill="auto"/>
            <w:noWrap/>
            <w:hideMark/>
          </w:tcPr>
          <w:p w14:paraId="33E1D895" w14:textId="77777777" w:rsidR="00D73008" w:rsidRPr="00381915" w:rsidRDefault="00D73008" w:rsidP="00387AE5">
            <w:pPr>
              <w:jc w:val="center"/>
              <w:rPr>
                <w:rFonts w:cs="Times New Roman"/>
                <w:color w:val="000000"/>
                <w:sz w:val="18"/>
                <w:szCs w:val="18"/>
                <w:highlight w:val="yellow"/>
                <w:lang w:val="en-GB" w:eastAsia="en-GB"/>
              </w:rPr>
            </w:pPr>
            <w:r>
              <w:rPr>
                <w:sz w:val="18"/>
                <w:szCs w:val="18"/>
              </w:rPr>
              <w:t>0</w:t>
            </w:r>
          </w:p>
        </w:tc>
        <w:tc>
          <w:tcPr>
            <w:tcW w:w="763" w:type="dxa"/>
            <w:tcBorders>
              <w:top w:val="nil"/>
              <w:left w:val="nil"/>
              <w:right w:val="nil"/>
            </w:tcBorders>
            <w:shd w:val="clear" w:color="auto" w:fill="auto"/>
            <w:noWrap/>
            <w:hideMark/>
          </w:tcPr>
          <w:p w14:paraId="7A3EAC42" w14:textId="77777777" w:rsidR="00D73008" w:rsidRPr="00381915" w:rsidRDefault="00D73008" w:rsidP="00387AE5">
            <w:pPr>
              <w:jc w:val="center"/>
              <w:rPr>
                <w:rFonts w:cs="Times New Roman"/>
                <w:color w:val="000000"/>
                <w:sz w:val="18"/>
                <w:szCs w:val="18"/>
                <w:highlight w:val="yellow"/>
                <w:lang w:val="en-GB" w:eastAsia="en-GB"/>
              </w:rPr>
            </w:pPr>
            <w:r>
              <w:rPr>
                <w:sz w:val="18"/>
                <w:szCs w:val="18"/>
              </w:rPr>
              <w:t>0</w:t>
            </w:r>
          </w:p>
        </w:tc>
      </w:tr>
      <w:tr w:rsidR="00D73008" w:rsidRPr="009C5BB2" w14:paraId="4FF3965D" w14:textId="77777777" w:rsidTr="00387AE5">
        <w:trPr>
          <w:trHeight w:val="193"/>
        </w:trPr>
        <w:tc>
          <w:tcPr>
            <w:tcW w:w="4533" w:type="dxa"/>
            <w:tcBorders>
              <w:top w:val="single" w:sz="4" w:space="0" w:color="auto"/>
              <w:left w:val="nil"/>
              <w:bottom w:val="nil"/>
              <w:right w:val="nil"/>
            </w:tcBorders>
            <w:shd w:val="clear" w:color="auto" w:fill="auto"/>
          </w:tcPr>
          <w:p w14:paraId="6CAFB38E" w14:textId="77777777" w:rsidR="00D73008" w:rsidRPr="009C5BB2" w:rsidRDefault="00D73008" w:rsidP="00387AE5">
            <w:pPr>
              <w:rPr>
                <w:b/>
                <w:color w:val="000000" w:themeColor="text1"/>
                <w:sz w:val="20"/>
                <w:szCs w:val="20"/>
              </w:rPr>
            </w:pPr>
            <w:r w:rsidRPr="009C5BB2">
              <w:rPr>
                <w:b/>
                <w:color w:val="000000" w:themeColor="text1"/>
                <w:sz w:val="20"/>
                <w:szCs w:val="20"/>
              </w:rPr>
              <w:t>Spolu</w:t>
            </w:r>
          </w:p>
        </w:tc>
        <w:tc>
          <w:tcPr>
            <w:tcW w:w="762" w:type="dxa"/>
            <w:tcBorders>
              <w:top w:val="single" w:sz="4" w:space="0" w:color="auto"/>
              <w:left w:val="nil"/>
              <w:bottom w:val="nil"/>
              <w:right w:val="nil"/>
            </w:tcBorders>
            <w:shd w:val="clear" w:color="auto" w:fill="auto"/>
            <w:noWrap/>
          </w:tcPr>
          <w:p w14:paraId="2B884A38" w14:textId="77777777" w:rsidR="00D73008" w:rsidRPr="009C5BB2" w:rsidRDefault="00D73008" w:rsidP="00387AE5">
            <w:pPr>
              <w:jc w:val="center"/>
              <w:rPr>
                <w:b/>
                <w:color w:val="000000" w:themeColor="text1"/>
                <w:sz w:val="20"/>
                <w:szCs w:val="20"/>
              </w:rPr>
            </w:pPr>
            <w:r w:rsidRPr="009C5BB2">
              <w:rPr>
                <w:b/>
                <w:color w:val="000000" w:themeColor="text1"/>
                <w:sz w:val="20"/>
                <w:szCs w:val="20"/>
              </w:rPr>
              <w:t>348,4</w:t>
            </w:r>
          </w:p>
        </w:tc>
        <w:tc>
          <w:tcPr>
            <w:tcW w:w="762" w:type="dxa"/>
            <w:tcBorders>
              <w:top w:val="single" w:sz="4" w:space="0" w:color="auto"/>
              <w:left w:val="nil"/>
              <w:bottom w:val="nil"/>
              <w:right w:val="nil"/>
            </w:tcBorders>
            <w:shd w:val="clear" w:color="auto" w:fill="auto"/>
            <w:noWrap/>
          </w:tcPr>
          <w:p w14:paraId="26941518" w14:textId="77777777" w:rsidR="00D73008" w:rsidRPr="009C5BB2" w:rsidRDefault="00D73008" w:rsidP="00387AE5">
            <w:pPr>
              <w:jc w:val="center"/>
              <w:rPr>
                <w:b/>
                <w:color w:val="000000" w:themeColor="text1"/>
                <w:sz w:val="20"/>
                <w:szCs w:val="20"/>
              </w:rPr>
            </w:pPr>
            <w:r w:rsidRPr="009C5BB2">
              <w:rPr>
                <w:b/>
                <w:color w:val="000000" w:themeColor="text1"/>
                <w:sz w:val="20"/>
                <w:szCs w:val="20"/>
              </w:rPr>
              <w:t>-53,9</w:t>
            </w:r>
          </w:p>
        </w:tc>
        <w:tc>
          <w:tcPr>
            <w:tcW w:w="763" w:type="dxa"/>
            <w:tcBorders>
              <w:top w:val="single" w:sz="4" w:space="0" w:color="auto"/>
              <w:left w:val="nil"/>
              <w:bottom w:val="nil"/>
              <w:right w:val="nil"/>
            </w:tcBorders>
            <w:shd w:val="clear" w:color="auto" w:fill="auto"/>
            <w:noWrap/>
          </w:tcPr>
          <w:p w14:paraId="19FA0FE4" w14:textId="77777777" w:rsidR="00D73008" w:rsidRPr="009C5BB2" w:rsidRDefault="00D73008" w:rsidP="00387AE5">
            <w:pPr>
              <w:jc w:val="center"/>
              <w:rPr>
                <w:b/>
                <w:color w:val="000000" w:themeColor="text1"/>
                <w:sz w:val="20"/>
                <w:szCs w:val="20"/>
              </w:rPr>
            </w:pPr>
            <w:r w:rsidRPr="009C5BB2">
              <w:rPr>
                <w:b/>
                <w:color w:val="000000" w:themeColor="text1"/>
                <w:sz w:val="20"/>
                <w:szCs w:val="20"/>
              </w:rPr>
              <w:t>155,5</w:t>
            </w:r>
          </w:p>
        </w:tc>
        <w:tc>
          <w:tcPr>
            <w:tcW w:w="762" w:type="dxa"/>
            <w:tcBorders>
              <w:top w:val="single" w:sz="4" w:space="0" w:color="auto"/>
              <w:left w:val="nil"/>
              <w:bottom w:val="nil"/>
              <w:right w:val="nil"/>
            </w:tcBorders>
            <w:shd w:val="clear" w:color="auto" w:fill="auto"/>
            <w:noWrap/>
          </w:tcPr>
          <w:p w14:paraId="29404CF6" w14:textId="77777777" w:rsidR="00D73008" w:rsidRPr="009C5BB2" w:rsidRDefault="00D73008" w:rsidP="00387AE5">
            <w:pPr>
              <w:jc w:val="center"/>
              <w:rPr>
                <w:b/>
                <w:color w:val="000000" w:themeColor="text1"/>
                <w:sz w:val="20"/>
                <w:szCs w:val="20"/>
              </w:rPr>
            </w:pPr>
            <w:r w:rsidRPr="009C5BB2">
              <w:rPr>
                <w:b/>
                <w:color w:val="000000" w:themeColor="text1"/>
                <w:sz w:val="20"/>
                <w:szCs w:val="20"/>
              </w:rPr>
              <w:t>62,5</w:t>
            </w:r>
          </w:p>
        </w:tc>
        <w:tc>
          <w:tcPr>
            <w:tcW w:w="762" w:type="dxa"/>
            <w:tcBorders>
              <w:top w:val="single" w:sz="4" w:space="0" w:color="auto"/>
              <w:left w:val="nil"/>
              <w:bottom w:val="nil"/>
              <w:right w:val="nil"/>
            </w:tcBorders>
            <w:shd w:val="clear" w:color="auto" w:fill="auto"/>
            <w:noWrap/>
          </w:tcPr>
          <w:p w14:paraId="22D53683" w14:textId="77777777" w:rsidR="00D73008" w:rsidRPr="009C5BB2" w:rsidRDefault="00D73008" w:rsidP="00387AE5">
            <w:pPr>
              <w:jc w:val="center"/>
              <w:rPr>
                <w:b/>
                <w:color w:val="000000" w:themeColor="text1"/>
                <w:sz w:val="20"/>
                <w:szCs w:val="20"/>
              </w:rPr>
            </w:pPr>
            <w:r w:rsidRPr="009C5BB2">
              <w:rPr>
                <w:b/>
                <w:color w:val="000000" w:themeColor="text1"/>
                <w:sz w:val="20"/>
                <w:szCs w:val="20"/>
              </w:rPr>
              <w:t>-245,7</w:t>
            </w:r>
          </w:p>
        </w:tc>
        <w:tc>
          <w:tcPr>
            <w:tcW w:w="763" w:type="dxa"/>
            <w:tcBorders>
              <w:top w:val="single" w:sz="4" w:space="0" w:color="auto"/>
              <w:left w:val="nil"/>
              <w:bottom w:val="nil"/>
              <w:right w:val="nil"/>
            </w:tcBorders>
            <w:shd w:val="clear" w:color="auto" w:fill="auto"/>
            <w:noWrap/>
          </w:tcPr>
          <w:p w14:paraId="6898FB75" w14:textId="77777777" w:rsidR="00D73008" w:rsidRPr="009C5BB2" w:rsidRDefault="00D73008" w:rsidP="00387AE5">
            <w:pPr>
              <w:jc w:val="center"/>
              <w:rPr>
                <w:b/>
                <w:color w:val="000000" w:themeColor="text1"/>
                <w:sz w:val="20"/>
                <w:szCs w:val="20"/>
              </w:rPr>
            </w:pPr>
            <w:r w:rsidRPr="009C5BB2">
              <w:rPr>
                <w:b/>
                <w:color w:val="000000" w:themeColor="text1"/>
                <w:sz w:val="20"/>
                <w:szCs w:val="20"/>
              </w:rPr>
              <w:t>10,4</w:t>
            </w:r>
          </w:p>
        </w:tc>
      </w:tr>
    </w:tbl>
    <w:p w14:paraId="737559A4" w14:textId="77777777" w:rsidR="00D73008" w:rsidRPr="001440EA" w:rsidRDefault="00D73008" w:rsidP="00D73008">
      <w:pPr>
        <w:pStyle w:val="NormalList"/>
        <w:rPr>
          <w:b/>
          <w:color w:val="000000" w:themeColor="text1"/>
          <w:sz w:val="16"/>
          <w:szCs w:val="16"/>
        </w:rPr>
      </w:pPr>
      <w:bookmarkStart w:id="280" w:name="_Toc449430206"/>
      <w:r w:rsidRPr="001440EA">
        <w:rPr>
          <w:i/>
          <w:color w:val="000000" w:themeColor="text1"/>
          <w:sz w:val="16"/>
          <w:szCs w:val="16"/>
        </w:rPr>
        <w:t>*</w:t>
      </w:r>
      <w:r w:rsidRPr="001440EA">
        <w:rPr>
          <w:iCs/>
          <w:color w:val="000000" w:themeColor="text1"/>
          <w:sz w:val="16"/>
          <w:szCs w:val="16"/>
        </w:rPr>
        <w:t xml:space="preserve"> Parlament 3. apríla 2019 schválil zrušenie osobitného odvodu obchodných reťazcov. Rozhodnutie bude mať vplyv na rozpočtovaný výnos odvodu ako aj DPPO. Na pozastavenie účinnosti zákona bude v záujme dodržania deficitu potrebné v priebehu roka reagovať aj na výdavkovej strane. </w:t>
      </w:r>
      <w:r w:rsidRPr="001440EA">
        <w:rPr>
          <w:b/>
          <w:color w:val="000000" w:themeColor="text1"/>
          <w:sz w:val="16"/>
          <w:szCs w:val="16"/>
        </w:rPr>
        <w:br w:type="page"/>
      </w:r>
    </w:p>
    <w:p w14:paraId="77FCCFE7" w14:textId="77777777" w:rsidR="00D73008" w:rsidRPr="00684201" w:rsidRDefault="00D73008" w:rsidP="00684201">
      <w:pPr>
        <w:pStyle w:val="Nadpis3"/>
        <w:spacing w:after="120"/>
        <w:rPr>
          <w:color w:val="2C9ADC" w:themeColor="accent1"/>
          <w:sz w:val="24"/>
          <w:szCs w:val="24"/>
        </w:rPr>
      </w:pPr>
      <w:r w:rsidRPr="00684201">
        <w:rPr>
          <w:color w:val="2C9ADC" w:themeColor="accent1"/>
          <w:sz w:val="24"/>
          <w:szCs w:val="24"/>
        </w:rPr>
        <w:lastRenderedPageBreak/>
        <w:t>Príloha 4 – Prognóza hrubého dlhu verejnej správy podľa hotovostných tokov</w:t>
      </w:r>
    </w:p>
    <w:p w14:paraId="38C0BD57" w14:textId="77777777" w:rsidR="00D73008" w:rsidRDefault="00D73008" w:rsidP="00D73008">
      <w:pPr>
        <w:pStyle w:val="Tabuka"/>
        <w:pBdr>
          <w:bottom w:val="single" w:sz="4" w:space="1" w:color="auto"/>
        </w:pBdr>
        <w:spacing w:after="0"/>
        <w:jc w:val="both"/>
        <w:rPr>
          <w:b w:val="0"/>
          <w:color w:val="auto"/>
          <w:sz w:val="22"/>
          <w:szCs w:val="22"/>
        </w:rPr>
      </w:pPr>
      <w:bookmarkStart w:id="281" w:name="_Toc526783488"/>
      <w:r w:rsidRPr="008D5388">
        <w:rPr>
          <w:color w:val="auto"/>
          <w:sz w:val="22"/>
          <w:szCs w:val="22"/>
        </w:rPr>
        <w:t>Z pohľadu hotovostných faktorov ovplyvňujúcich dynamiku nominálnej úrovne dlhu bude prevládať najmä potreba krytia hotovostného deficitu.</w:t>
      </w:r>
      <w:r w:rsidRPr="008D5388">
        <w:rPr>
          <w:b w:val="0"/>
          <w:color w:val="auto"/>
          <w:sz w:val="22"/>
          <w:szCs w:val="22"/>
        </w:rPr>
        <w:t xml:space="preserve"> Hotovostný schodok štátneho rozpočtu (ŠR) sa v prvých dvoch rokoch</w:t>
      </w:r>
      <w:r>
        <w:rPr>
          <w:b w:val="0"/>
          <w:color w:val="auto"/>
          <w:sz w:val="22"/>
          <w:szCs w:val="22"/>
        </w:rPr>
        <w:t xml:space="preserve"> </w:t>
      </w:r>
      <w:r w:rsidRPr="008D5388">
        <w:rPr>
          <w:b w:val="0"/>
          <w:color w:val="auto"/>
          <w:sz w:val="22"/>
          <w:szCs w:val="22"/>
        </w:rPr>
        <w:t>prognózy</w:t>
      </w:r>
      <w:r>
        <w:rPr>
          <w:b w:val="0"/>
          <w:color w:val="auto"/>
          <w:sz w:val="22"/>
          <w:szCs w:val="22"/>
        </w:rPr>
        <w:t xml:space="preserve"> (2020 a 2021)</w:t>
      </w:r>
      <w:r w:rsidRPr="008D5388">
        <w:rPr>
          <w:b w:val="0"/>
          <w:color w:val="auto"/>
          <w:sz w:val="22"/>
          <w:szCs w:val="22"/>
        </w:rPr>
        <w:t xml:space="preserve"> očakáva mierne nad 2 mld. eur s predpokladaným poklesom pod túto hodnotu na konci sledovaného</w:t>
      </w:r>
      <w:r>
        <w:rPr>
          <w:b w:val="0"/>
          <w:color w:val="auto"/>
          <w:sz w:val="22"/>
          <w:szCs w:val="22"/>
        </w:rPr>
        <w:t xml:space="preserve"> </w:t>
      </w:r>
      <w:r w:rsidRPr="008D5388">
        <w:rPr>
          <w:b w:val="0"/>
          <w:color w:val="auto"/>
          <w:sz w:val="22"/>
          <w:szCs w:val="22"/>
        </w:rPr>
        <w:t>horizontu. Okrem emisií dlhopisov na finančnom trhu, ktoré zvyšujú nominálnu</w:t>
      </w:r>
      <w:r>
        <w:rPr>
          <w:b w:val="0"/>
          <w:color w:val="auto"/>
          <w:sz w:val="22"/>
          <w:szCs w:val="22"/>
        </w:rPr>
        <w:t xml:space="preserve"> </w:t>
      </w:r>
      <w:r w:rsidRPr="008D5388">
        <w:rPr>
          <w:b w:val="0"/>
          <w:color w:val="auto"/>
          <w:sz w:val="22"/>
          <w:szCs w:val="22"/>
        </w:rPr>
        <w:t>úroveň dlhu, bude hotovostný schodok ŠR priebežne financovaný aj aktívnym riadením prostriedkov v</w:t>
      </w:r>
      <w:r>
        <w:rPr>
          <w:b w:val="0"/>
          <w:color w:val="auto"/>
          <w:sz w:val="22"/>
          <w:szCs w:val="22"/>
        </w:rPr>
        <w:t> </w:t>
      </w:r>
      <w:r w:rsidRPr="008D5388">
        <w:rPr>
          <w:b w:val="0"/>
          <w:color w:val="auto"/>
          <w:sz w:val="22"/>
          <w:szCs w:val="22"/>
        </w:rPr>
        <w:t>Štátnej</w:t>
      </w:r>
      <w:r>
        <w:rPr>
          <w:b w:val="0"/>
          <w:color w:val="auto"/>
          <w:sz w:val="22"/>
          <w:szCs w:val="22"/>
        </w:rPr>
        <w:t xml:space="preserve"> </w:t>
      </w:r>
      <w:r w:rsidRPr="008D5388">
        <w:rPr>
          <w:b w:val="0"/>
          <w:color w:val="auto"/>
          <w:sz w:val="22"/>
          <w:szCs w:val="22"/>
        </w:rPr>
        <w:t>pokladnici. K zníženiu celkového nominálneho dlhu budú výraznejšie prispievať ostatné subjekty verejnej správy,</w:t>
      </w:r>
      <w:r>
        <w:rPr>
          <w:b w:val="0"/>
          <w:color w:val="auto"/>
          <w:sz w:val="22"/>
          <w:szCs w:val="22"/>
        </w:rPr>
        <w:t xml:space="preserve"> </w:t>
      </w:r>
      <w:r w:rsidRPr="008D5388">
        <w:rPr>
          <w:b w:val="0"/>
          <w:color w:val="auto"/>
          <w:sz w:val="22"/>
          <w:szCs w:val="22"/>
        </w:rPr>
        <w:t>ktoré budú využívať</w:t>
      </w:r>
      <w:r>
        <w:rPr>
          <w:b w:val="0"/>
          <w:color w:val="auto"/>
          <w:sz w:val="22"/>
          <w:szCs w:val="22"/>
        </w:rPr>
        <w:t xml:space="preserve"> časť </w:t>
      </w:r>
      <w:r w:rsidRPr="008D5388">
        <w:rPr>
          <w:b w:val="0"/>
          <w:color w:val="auto"/>
          <w:sz w:val="22"/>
          <w:szCs w:val="22"/>
        </w:rPr>
        <w:t>svoj</w:t>
      </w:r>
      <w:r>
        <w:rPr>
          <w:b w:val="0"/>
          <w:color w:val="auto"/>
          <w:sz w:val="22"/>
          <w:szCs w:val="22"/>
        </w:rPr>
        <w:t>ich</w:t>
      </w:r>
      <w:r w:rsidRPr="008D5388">
        <w:rPr>
          <w:b w:val="0"/>
          <w:color w:val="auto"/>
          <w:sz w:val="22"/>
          <w:szCs w:val="22"/>
        </w:rPr>
        <w:t xml:space="preserve"> očakávan</w:t>
      </w:r>
      <w:r>
        <w:rPr>
          <w:b w:val="0"/>
          <w:color w:val="auto"/>
          <w:sz w:val="22"/>
          <w:szCs w:val="22"/>
        </w:rPr>
        <w:t>ých</w:t>
      </w:r>
      <w:r w:rsidRPr="008D5388">
        <w:rPr>
          <w:b w:val="0"/>
          <w:color w:val="auto"/>
          <w:sz w:val="22"/>
          <w:szCs w:val="22"/>
        </w:rPr>
        <w:t xml:space="preserve"> prebytk</w:t>
      </w:r>
      <w:r>
        <w:rPr>
          <w:b w:val="0"/>
          <w:color w:val="auto"/>
          <w:sz w:val="22"/>
          <w:szCs w:val="22"/>
        </w:rPr>
        <w:t>ov</w:t>
      </w:r>
      <w:r w:rsidRPr="008D5388">
        <w:rPr>
          <w:b w:val="0"/>
          <w:color w:val="auto"/>
          <w:sz w:val="22"/>
          <w:szCs w:val="22"/>
        </w:rPr>
        <w:t xml:space="preserve"> na znižovanie svojich záväzkov. Hodnotu dlhu na horizonte rozpočtu</w:t>
      </w:r>
      <w:r>
        <w:rPr>
          <w:b w:val="0"/>
          <w:color w:val="auto"/>
          <w:sz w:val="22"/>
          <w:szCs w:val="22"/>
        </w:rPr>
        <w:t xml:space="preserve"> </w:t>
      </w:r>
      <w:r w:rsidRPr="008D5388">
        <w:rPr>
          <w:b w:val="0"/>
          <w:color w:val="auto"/>
          <w:sz w:val="22"/>
          <w:szCs w:val="22"/>
        </w:rPr>
        <w:t>ovplyvnia aj metodické úpravy ako sú diskont pr</w:t>
      </w:r>
      <w:r>
        <w:rPr>
          <w:b w:val="0"/>
          <w:color w:val="auto"/>
          <w:sz w:val="22"/>
          <w:szCs w:val="22"/>
        </w:rPr>
        <w:t>i emisii a splatení dlhopisov.</w:t>
      </w:r>
      <w:r w:rsidRPr="008D5388">
        <w:rPr>
          <w:b w:val="0"/>
          <w:color w:val="auto"/>
          <w:sz w:val="22"/>
          <w:szCs w:val="22"/>
        </w:rPr>
        <w:t xml:space="preserve"> Negatívny vplyv vychádza najmä z</w:t>
      </w:r>
      <w:r>
        <w:rPr>
          <w:b w:val="0"/>
          <w:color w:val="auto"/>
          <w:sz w:val="22"/>
          <w:szCs w:val="22"/>
        </w:rPr>
        <w:t xml:space="preserve"> </w:t>
      </w:r>
      <w:r w:rsidRPr="008D5388">
        <w:rPr>
          <w:b w:val="0"/>
          <w:color w:val="auto"/>
          <w:sz w:val="22"/>
          <w:szCs w:val="22"/>
        </w:rPr>
        <w:t>emisného diskontu na dlhopisoch s dlhšou splatnosťou. Ostatné zmeny v prognóze dlhu súvisia s</w:t>
      </w:r>
      <w:r>
        <w:rPr>
          <w:b w:val="0"/>
          <w:color w:val="auto"/>
          <w:sz w:val="22"/>
          <w:szCs w:val="22"/>
        </w:rPr>
        <w:t> </w:t>
      </w:r>
      <w:r w:rsidRPr="008D5388">
        <w:rPr>
          <w:b w:val="0"/>
          <w:color w:val="auto"/>
          <w:sz w:val="22"/>
          <w:szCs w:val="22"/>
        </w:rPr>
        <w:t>kurzovými</w:t>
      </w:r>
      <w:r>
        <w:rPr>
          <w:b w:val="0"/>
          <w:color w:val="auto"/>
          <w:sz w:val="22"/>
          <w:szCs w:val="22"/>
        </w:rPr>
        <w:t xml:space="preserve"> </w:t>
      </w:r>
      <w:r w:rsidRPr="008D5388">
        <w:rPr>
          <w:b w:val="0"/>
          <w:color w:val="auto"/>
          <w:sz w:val="22"/>
          <w:szCs w:val="22"/>
        </w:rPr>
        <w:t>rozdielmi a zmenou vkladov klientov v Štátnej pokladnici, mimo okruhu verejnej správy.</w:t>
      </w:r>
      <w:r w:rsidRPr="008D5388">
        <w:rPr>
          <w:b w:val="0"/>
          <w:color w:val="auto"/>
          <w:sz w:val="22"/>
          <w:szCs w:val="22"/>
        </w:rPr>
        <w:cr/>
      </w:r>
    </w:p>
    <w:p w14:paraId="552C8626" w14:textId="06E44CD6" w:rsidR="00D73008" w:rsidRPr="00AA3D60" w:rsidRDefault="00D73008" w:rsidP="00D73008">
      <w:pPr>
        <w:pStyle w:val="Tabuka"/>
        <w:pBdr>
          <w:bottom w:val="single" w:sz="4" w:space="1" w:color="auto"/>
        </w:pBdr>
        <w:spacing w:line="276" w:lineRule="auto"/>
        <w:jc w:val="both"/>
      </w:pPr>
      <w:bookmarkStart w:id="282" w:name="_Toc6314233"/>
      <w:r w:rsidRPr="00392121">
        <w:rPr>
          <w:rFonts w:eastAsiaTheme="minorHAnsi"/>
          <w:color w:val="2C9ADC"/>
          <w:lang w:eastAsia="en-US"/>
        </w:rPr>
        <w:t xml:space="preserve">TABUĽKA </w:t>
      </w:r>
      <w:r w:rsidRPr="00392121">
        <w:rPr>
          <w:rFonts w:eastAsiaTheme="minorHAnsi"/>
          <w:color w:val="2C9ADC"/>
          <w:lang w:eastAsia="en-US"/>
        </w:rPr>
        <w:fldChar w:fldCharType="begin"/>
      </w:r>
      <w:r w:rsidRPr="00392121">
        <w:rPr>
          <w:rFonts w:eastAsiaTheme="minorHAnsi"/>
          <w:color w:val="2C9ADC"/>
          <w:lang w:eastAsia="en-US"/>
        </w:rPr>
        <w:instrText xml:space="preserve"> SEQ TABUĽKA \* ARABIC </w:instrText>
      </w:r>
      <w:r w:rsidRPr="00392121">
        <w:rPr>
          <w:rFonts w:eastAsiaTheme="minorHAnsi"/>
          <w:color w:val="2C9ADC"/>
          <w:lang w:eastAsia="en-US"/>
        </w:rPr>
        <w:fldChar w:fldCharType="separate"/>
      </w:r>
      <w:r w:rsidR="00D5739E">
        <w:rPr>
          <w:rFonts w:eastAsiaTheme="minorHAnsi"/>
          <w:noProof/>
          <w:color w:val="2C9ADC"/>
          <w:lang w:eastAsia="en-US"/>
        </w:rPr>
        <w:t>34</w:t>
      </w:r>
      <w:r w:rsidRPr="00392121">
        <w:rPr>
          <w:rFonts w:eastAsiaTheme="minorHAnsi"/>
          <w:color w:val="2C9ADC"/>
          <w:lang w:eastAsia="en-US"/>
        </w:rPr>
        <w:fldChar w:fldCharType="end"/>
      </w:r>
      <w:r w:rsidRPr="00AA3D60">
        <w:t xml:space="preserve"> - Hotovostné vplyvy na zmenu nominálneho hrubého dlhu verejnej správy (v mil. eur)</w:t>
      </w:r>
      <w:bookmarkEnd w:id="281"/>
      <w:bookmarkEnd w:id="282"/>
    </w:p>
    <w:tbl>
      <w:tblPr>
        <w:tblW w:w="5029" w:type="pct"/>
        <w:tblLayout w:type="fixed"/>
        <w:tblCellMar>
          <w:left w:w="70" w:type="dxa"/>
          <w:right w:w="70" w:type="dxa"/>
        </w:tblCellMar>
        <w:tblLook w:val="0400" w:firstRow="0" w:lastRow="0" w:firstColumn="0" w:lastColumn="0" w:noHBand="0" w:noVBand="1"/>
      </w:tblPr>
      <w:tblGrid>
        <w:gridCol w:w="4561"/>
        <w:gridCol w:w="761"/>
        <w:gridCol w:w="761"/>
        <w:gridCol w:w="761"/>
        <w:gridCol w:w="761"/>
        <w:gridCol w:w="341"/>
        <w:gridCol w:w="418"/>
        <w:gridCol w:w="759"/>
      </w:tblGrid>
      <w:tr w:rsidR="00D73008" w:rsidRPr="00AA3D60" w14:paraId="38B5E11A" w14:textId="77777777" w:rsidTr="00387AE5">
        <w:trPr>
          <w:trHeight w:val="230"/>
        </w:trPr>
        <w:tc>
          <w:tcPr>
            <w:tcW w:w="2500" w:type="pct"/>
            <w:tcBorders>
              <w:left w:val="nil"/>
              <w:bottom w:val="single" w:sz="4" w:space="0" w:color="auto"/>
            </w:tcBorders>
            <w:shd w:val="clear" w:color="auto" w:fill="auto"/>
          </w:tcPr>
          <w:p w14:paraId="28234DF3" w14:textId="77777777" w:rsidR="00D73008" w:rsidRPr="00AA3D60" w:rsidRDefault="00D73008" w:rsidP="00387AE5">
            <w:pPr>
              <w:rPr>
                <w:sz w:val="18"/>
                <w:szCs w:val="18"/>
                <w:highlight w:val="yellow"/>
              </w:rPr>
            </w:pPr>
          </w:p>
        </w:tc>
        <w:tc>
          <w:tcPr>
            <w:tcW w:w="417" w:type="pct"/>
            <w:tcBorders>
              <w:bottom w:val="single" w:sz="4" w:space="0" w:color="auto"/>
            </w:tcBorders>
            <w:shd w:val="clear" w:color="auto" w:fill="auto"/>
            <w:vAlign w:val="center"/>
          </w:tcPr>
          <w:p w14:paraId="6D723D90" w14:textId="77777777" w:rsidR="00D73008" w:rsidRPr="00AA3D60" w:rsidRDefault="00D73008" w:rsidP="00387AE5">
            <w:pPr>
              <w:jc w:val="right"/>
              <w:rPr>
                <w:rFonts w:cs="Arial"/>
                <w:b/>
                <w:bCs/>
                <w:sz w:val="18"/>
                <w:szCs w:val="18"/>
              </w:rPr>
            </w:pPr>
            <w:r w:rsidRPr="00AA3D60">
              <w:rPr>
                <w:rFonts w:cs="Arial"/>
                <w:b/>
                <w:bCs/>
                <w:sz w:val="18"/>
                <w:szCs w:val="18"/>
              </w:rPr>
              <w:t>2017S</w:t>
            </w:r>
          </w:p>
        </w:tc>
        <w:tc>
          <w:tcPr>
            <w:tcW w:w="417" w:type="pct"/>
            <w:tcBorders>
              <w:bottom w:val="single" w:sz="4" w:space="0" w:color="auto"/>
            </w:tcBorders>
            <w:shd w:val="clear" w:color="auto" w:fill="auto"/>
            <w:vAlign w:val="center"/>
          </w:tcPr>
          <w:p w14:paraId="52B0B8CB" w14:textId="77777777" w:rsidR="00D73008" w:rsidRPr="00AA3D60" w:rsidRDefault="00D73008" w:rsidP="00387AE5">
            <w:pPr>
              <w:jc w:val="right"/>
              <w:rPr>
                <w:rFonts w:cs="Arial"/>
                <w:b/>
                <w:bCs/>
                <w:sz w:val="18"/>
                <w:szCs w:val="18"/>
              </w:rPr>
            </w:pPr>
            <w:r w:rsidRPr="00AA3D60">
              <w:rPr>
                <w:rFonts w:cs="Arial"/>
                <w:b/>
                <w:bCs/>
                <w:sz w:val="18"/>
                <w:szCs w:val="18"/>
              </w:rPr>
              <w:t>2018</w:t>
            </w:r>
            <w:r>
              <w:rPr>
                <w:rFonts w:cs="Arial"/>
                <w:b/>
                <w:bCs/>
                <w:sz w:val="18"/>
                <w:szCs w:val="18"/>
              </w:rPr>
              <w:t>S</w:t>
            </w:r>
          </w:p>
        </w:tc>
        <w:tc>
          <w:tcPr>
            <w:tcW w:w="417" w:type="pct"/>
            <w:tcBorders>
              <w:bottom w:val="single" w:sz="4" w:space="0" w:color="auto"/>
            </w:tcBorders>
            <w:shd w:val="clear" w:color="auto" w:fill="auto"/>
            <w:vAlign w:val="center"/>
          </w:tcPr>
          <w:p w14:paraId="60AE2AC5" w14:textId="77777777" w:rsidR="00D73008" w:rsidRPr="00AA3D60" w:rsidRDefault="00D73008" w:rsidP="00387AE5">
            <w:pPr>
              <w:jc w:val="right"/>
              <w:rPr>
                <w:rFonts w:cs="Arial"/>
                <w:b/>
                <w:bCs/>
                <w:sz w:val="18"/>
                <w:szCs w:val="18"/>
              </w:rPr>
            </w:pPr>
            <w:r w:rsidRPr="00AA3D60">
              <w:rPr>
                <w:b/>
                <w:bCs/>
                <w:color w:val="000000"/>
                <w:sz w:val="18"/>
                <w:szCs w:val="18"/>
              </w:rPr>
              <w:t>2019 OS</w:t>
            </w:r>
          </w:p>
        </w:tc>
        <w:tc>
          <w:tcPr>
            <w:tcW w:w="417" w:type="pct"/>
            <w:tcBorders>
              <w:bottom w:val="single" w:sz="4" w:space="0" w:color="auto"/>
            </w:tcBorders>
            <w:shd w:val="clear" w:color="auto" w:fill="auto"/>
            <w:vAlign w:val="center"/>
          </w:tcPr>
          <w:p w14:paraId="14ABBE68" w14:textId="77777777" w:rsidR="00D73008" w:rsidRPr="00AA3D60" w:rsidRDefault="00D73008" w:rsidP="00387AE5">
            <w:pPr>
              <w:jc w:val="center"/>
              <w:rPr>
                <w:rFonts w:cs="Arial"/>
                <w:b/>
                <w:bCs/>
                <w:sz w:val="18"/>
                <w:szCs w:val="18"/>
              </w:rPr>
            </w:pPr>
            <w:r w:rsidRPr="00AA3D60">
              <w:rPr>
                <w:b/>
                <w:bCs/>
                <w:color w:val="000000"/>
                <w:sz w:val="18"/>
                <w:szCs w:val="18"/>
              </w:rPr>
              <w:t xml:space="preserve">2020 </w:t>
            </w:r>
            <w:r>
              <w:rPr>
                <w:b/>
                <w:bCs/>
                <w:color w:val="000000"/>
                <w:sz w:val="18"/>
                <w:szCs w:val="18"/>
              </w:rPr>
              <w:t>PS</w:t>
            </w:r>
          </w:p>
        </w:tc>
        <w:tc>
          <w:tcPr>
            <w:tcW w:w="416" w:type="pct"/>
            <w:gridSpan w:val="2"/>
            <w:tcBorders>
              <w:bottom w:val="single" w:sz="4" w:space="0" w:color="auto"/>
            </w:tcBorders>
            <w:shd w:val="clear" w:color="auto" w:fill="auto"/>
            <w:vAlign w:val="center"/>
          </w:tcPr>
          <w:p w14:paraId="1BB45268" w14:textId="77777777" w:rsidR="00D73008" w:rsidRPr="00AA3D60" w:rsidRDefault="00D73008" w:rsidP="00387AE5">
            <w:pPr>
              <w:jc w:val="center"/>
              <w:rPr>
                <w:rFonts w:cs="Arial"/>
                <w:b/>
                <w:bCs/>
                <w:sz w:val="18"/>
                <w:szCs w:val="18"/>
              </w:rPr>
            </w:pPr>
            <w:r w:rsidRPr="00AA3D60">
              <w:rPr>
                <w:b/>
                <w:bCs/>
                <w:color w:val="000000"/>
                <w:sz w:val="18"/>
                <w:szCs w:val="18"/>
              </w:rPr>
              <w:t xml:space="preserve">2021 </w:t>
            </w:r>
            <w:r>
              <w:rPr>
                <w:b/>
                <w:bCs/>
                <w:color w:val="000000"/>
                <w:sz w:val="18"/>
                <w:szCs w:val="18"/>
              </w:rPr>
              <w:t>PS</w:t>
            </w:r>
          </w:p>
        </w:tc>
        <w:tc>
          <w:tcPr>
            <w:tcW w:w="416" w:type="pct"/>
            <w:tcBorders>
              <w:bottom w:val="single" w:sz="4" w:space="0" w:color="auto"/>
            </w:tcBorders>
            <w:shd w:val="clear" w:color="auto" w:fill="auto"/>
            <w:vAlign w:val="center"/>
          </w:tcPr>
          <w:p w14:paraId="6FCA2337" w14:textId="77777777" w:rsidR="00D73008" w:rsidRPr="00AA3D60" w:rsidRDefault="00D73008" w:rsidP="00387AE5">
            <w:pPr>
              <w:jc w:val="center"/>
              <w:rPr>
                <w:rFonts w:cs="Arial"/>
                <w:b/>
                <w:bCs/>
                <w:sz w:val="18"/>
                <w:szCs w:val="18"/>
              </w:rPr>
            </w:pPr>
            <w:r w:rsidRPr="00AA3D60">
              <w:rPr>
                <w:b/>
                <w:bCs/>
                <w:color w:val="000000"/>
                <w:sz w:val="18"/>
                <w:szCs w:val="18"/>
              </w:rPr>
              <w:t xml:space="preserve">2022 </w:t>
            </w:r>
            <w:r>
              <w:rPr>
                <w:b/>
                <w:bCs/>
                <w:color w:val="000000"/>
                <w:sz w:val="18"/>
                <w:szCs w:val="18"/>
              </w:rPr>
              <w:t>PS</w:t>
            </w:r>
          </w:p>
        </w:tc>
      </w:tr>
      <w:tr w:rsidR="00D73008" w:rsidRPr="00044758" w14:paraId="577FBA16" w14:textId="77777777" w:rsidTr="00387AE5">
        <w:trPr>
          <w:trHeight w:val="232"/>
        </w:trPr>
        <w:tc>
          <w:tcPr>
            <w:tcW w:w="2500" w:type="pct"/>
            <w:tcBorders>
              <w:top w:val="single" w:sz="4" w:space="0" w:color="auto"/>
              <w:left w:val="nil"/>
              <w:bottom w:val="single" w:sz="4" w:space="0" w:color="auto"/>
            </w:tcBorders>
            <w:shd w:val="clear" w:color="auto" w:fill="auto"/>
            <w:vAlign w:val="center"/>
          </w:tcPr>
          <w:p w14:paraId="3489807B" w14:textId="77777777" w:rsidR="00D73008" w:rsidRPr="00044758" w:rsidRDefault="00D73008" w:rsidP="00387AE5">
            <w:pPr>
              <w:rPr>
                <w:b/>
                <w:sz w:val="18"/>
                <w:szCs w:val="18"/>
              </w:rPr>
            </w:pPr>
            <w:r w:rsidRPr="00044758">
              <w:rPr>
                <w:b/>
                <w:sz w:val="18"/>
                <w:szCs w:val="18"/>
              </w:rPr>
              <w:t>A. Hrubý dlh verejnej správy (k 1.1.)</w:t>
            </w:r>
          </w:p>
        </w:tc>
        <w:tc>
          <w:tcPr>
            <w:tcW w:w="417" w:type="pct"/>
            <w:tcBorders>
              <w:top w:val="single" w:sz="4" w:space="0" w:color="auto"/>
              <w:bottom w:val="single" w:sz="4" w:space="0" w:color="auto"/>
            </w:tcBorders>
            <w:shd w:val="clear" w:color="auto" w:fill="auto"/>
          </w:tcPr>
          <w:p w14:paraId="1A12C6F4" w14:textId="77777777" w:rsidR="00D73008" w:rsidRPr="00044758" w:rsidRDefault="00D73008" w:rsidP="00387AE5">
            <w:pPr>
              <w:jc w:val="right"/>
              <w:rPr>
                <w:rFonts w:cs="Arial"/>
                <w:b/>
                <w:bCs/>
                <w:sz w:val="18"/>
                <w:szCs w:val="18"/>
              </w:rPr>
            </w:pPr>
            <w:r w:rsidRPr="00044758">
              <w:rPr>
                <w:b/>
                <w:sz w:val="18"/>
                <w:szCs w:val="18"/>
              </w:rPr>
              <w:t>42 053</w:t>
            </w:r>
          </w:p>
        </w:tc>
        <w:tc>
          <w:tcPr>
            <w:tcW w:w="417" w:type="pct"/>
            <w:tcBorders>
              <w:top w:val="single" w:sz="4" w:space="0" w:color="auto"/>
              <w:bottom w:val="single" w:sz="4" w:space="0" w:color="auto"/>
            </w:tcBorders>
            <w:shd w:val="clear" w:color="auto" w:fill="auto"/>
          </w:tcPr>
          <w:p w14:paraId="5D673111" w14:textId="77777777" w:rsidR="00D73008" w:rsidRPr="00044758" w:rsidRDefault="00D73008" w:rsidP="00387AE5">
            <w:pPr>
              <w:jc w:val="right"/>
              <w:rPr>
                <w:rFonts w:cs="Arial"/>
                <w:b/>
                <w:bCs/>
                <w:sz w:val="18"/>
                <w:szCs w:val="18"/>
              </w:rPr>
            </w:pPr>
            <w:r w:rsidRPr="00044758">
              <w:rPr>
                <w:b/>
                <w:sz w:val="18"/>
                <w:szCs w:val="18"/>
              </w:rPr>
              <w:t>43 231</w:t>
            </w:r>
          </w:p>
        </w:tc>
        <w:tc>
          <w:tcPr>
            <w:tcW w:w="417" w:type="pct"/>
            <w:tcBorders>
              <w:top w:val="single" w:sz="4" w:space="0" w:color="auto"/>
              <w:bottom w:val="single" w:sz="4" w:space="0" w:color="auto"/>
            </w:tcBorders>
            <w:shd w:val="clear" w:color="auto" w:fill="auto"/>
          </w:tcPr>
          <w:p w14:paraId="5AD23C61" w14:textId="77777777" w:rsidR="00D73008" w:rsidRPr="00044758" w:rsidRDefault="00D73008" w:rsidP="00387AE5">
            <w:pPr>
              <w:jc w:val="right"/>
              <w:rPr>
                <w:rFonts w:cs="Arial"/>
                <w:b/>
                <w:bCs/>
                <w:sz w:val="18"/>
                <w:szCs w:val="18"/>
              </w:rPr>
            </w:pPr>
            <w:r w:rsidRPr="00044758">
              <w:rPr>
                <w:b/>
                <w:sz w:val="18"/>
                <w:szCs w:val="18"/>
              </w:rPr>
              <w:t>44 137</w:t>
            </w:r>
          </w:p>
        </w:tc>
        <w:tc>
          <w:tcPr>
            <w:tcW w:w="417" w:type="pct"/>
            <w:tcBorders>
              <w:top w:val="single" w:sz="4" w:space="0" w:color="auto"/>
              <w:bottom w:val="single" w:sz="4" w:space="0" w:color="auto"/>
            </w:tcBorders>
            <w:shd w:val="clear" w:color="auto" w:fill="auto"/>
          </w:tcPr>
          <w:p w14:paraId="4E6341F5" w14:textId="77777777" w:rsidR="00D73008" w:rsidRPr="00044758" w:rsidRDefault="00D73008" w:rsidP="00387AE5">
            <w:pPr>
              <w:jc w:val="right"/>
              <w:rPr>
                <w:rFonts w:cs="Arial"/>
                <w:b/>
                <w:bCs/>
                <w:sz w:val="18"/>
                <w:szCs w:val="18"/>
              </w:rPr>
            </w:pPr>
            <w:r w:rsidRPr="00044758">
              <w:rPr>
                <w:b/>
                <w:sz w:val="18"/>
                <w:szCs w:val="18"/>
              </w:rPr>
              <w:t>45 742</w:t>
            </w:r>
          </w:p>
        </w:tc>
        <w:tc>
          <w:tcPr>
            <w:tcW w:w="416" w:type="pct"/>
            <w:gridSpan w:val="2"/>
            <w:tcBorders>
              <w:top w:val="single" w:sz="4" w:space="0" w:color="auto"/>
              <w:bottom w:val="single" w:sz="4" w:space="0" w:color="auto"/>
            </w:tcBorders>
            <w:shd w:val="clear" w:color="auto" w:fill="auto"/>
          </w:tcPr>
          <w:p w14:paraId="50E64359" w14:textId="77777777" w:rsidR="00D73008" w:rsidRPr="00044758" w:rsidRDefault="00D73008" w:rsidP="00387AE5">
            <w:pPr>
              <w:jc w:val="right"/>
              <w:rPr>
                <w:rFonts w:cs="Arial"/>
                <w:b/>
                <w:bCs/>
                <w:sz w:val="18"/>
                <w:szCs w:val="18"/>
              </w:rPr>
            </w:pPr>
            <w:r w:rsidRPr="00044758">
              <w:rPr>
                <w:b/>
                <w:sz w:val="18"/>
                <w:szCs w:val="18"/>
              </w:rPr>
              <w:t>46 960</w:t>
            </w:r>
          </w:p>
        </w:tc>
        <w:tc>
          <w:tcPr>
            <w:tcW w:w="416" w:type="pct"/>
            <w:tcBorders>
              <w:top w:val="single" w:sz="4" w:space="0" w:color="auto"/>
              <w:bottom w:val="single" w:sz="4" w:space="0" w:color="auto"/>
            </w:tcBorders>
            <w:shd w:val="clear" w:color="auto" w:fill="auto"/>
          </w:tcPr>
          <w:p w14:paraId="2CB28407" w14:textId="77777777" w:rsidR="00D73008" w:rsidRPr="00044758" w:rsidRDefault="00D73008" w:rsidP="00387AE5">
            <w:pPr>
              <w:jc w:val="right"/>
              <w:rPr>
                <w:rFonts w:cs="Arial"/>
                <w:b/>
                <w:bCs/>
                <w:sz w:val="18"/>
                <w:szCs w:val="18"/>
              </w:rPr>
            </w:pPr>
            <w:r w:rsidRPr="00044758">
              <w:rPr>
                <w:b/>
                <w:sz w:val="18"/>
                <w:szCs w:val="18"/>
              </w:rPr>
              <w:t>48 527</w:t>
            </w:r>
          </w:p>
        </w:tc>
      </w:tr>
      <w:tr w:rsidR="00D73008" w:rsidRPr="00044758" w14:paraId="1B60E945" w14:textId="77777777" w:rsidTr="00387AE5">
        <w:trPr>
          <w:trHeight w:val="232"/>
        </w:trPr>
        <w:tc>
          <w:tcPr>
            <w:tcW w:w="2500" w:type="pct"/>
            <w:tcBorders>
              <w:top w:val="single" w:sz="4" w:space="0" w:color="auto"/>
              <w:left w:val="nil"/>
            </w:tcBorders>
            <w:shd w:val="clear" w:color="auto" w:fill="auto"/>
            <w:vAlign w:val="center"/>
          </w:tcPr>
          <w:p w14:paraId="5A12CB03" w14:textId="77777777" w:rsidR="00D73008" w:rsidRPr="00044758" w:rsidRDefault="00D73008" w:rsidP="00387AE5">
            <w:pPr>
              <w:rPr>
                <w:b/>
                <w:sz w:val="18"/>
                <w:szCs w:val="18"/>
              </w:rPr>
            </w:pPr>
            <w:r w:rsidRPr="00044758">
              <w:rPr>
                <w:b/>
                <w:sz w:val="18"/>
                <w:szCs w:val="18"/>
              </w:rPr>
              <w:t>B. Celková medziročná zmena hrubého dlhu VS</w:t>
            </w:r>
          </w:p>
        </w:tc>
        <w:tc>
          <w:tcPr>
            <w:tcW w:w="417" w:type="pct"/>
            <w:tcBorders>
              <w:top w:val="single" w:sz="4" w:space="0" w:color="auto"/>
            </w:tcBorders>
            <w:shd w:val="clear" w:color="auto" w:fill="auto"/>
          </w:tcPr>
          <w:p w14:paraId="1E0316F2" w14:textId="77777777" w:rsidR="00D73008" w:rsidRPr="00044758" w:rsidRDefault="00D73008" w:rsidP="00387AE5">
            <w:pPr>
              <w:jc w:val="right"/>
              <w:rPr>
                <w:rFonts w:cs="Arial"/>
                <w:b/>
                <w:bCs/>
                <w:sz w:val="18"/>
                <w:szCs w:val="18"/>
              </w:rPr>
            </w:pPr>
            <w:r w:rsidRPr="00044758">
              <w:rPr>
                <w:b/>
                <w:sz w:val="18"/>
                <w:szCs w:val="18"/>
              </w:rPr>
              <w:t>1 178</w:t>
            </w:r>
          </w:p>
        </w:tc>
        <w:tc>
          <w:tcPr>
            <w:tcW w:w="417" w:type="pct"/>
            <w:tcBorders>
              <w:top w:val="single" w:sz="4" w:space="0" w:color="auto"/>
            </w:tcBorders>
            <w:shd w:val="clear" w:color="auto" w:fill="auto"/>
          </w:tcPr>
          <w:p w14:paraId="7794081E" w14:textId="77777777" w:rsidR="00D73008" w:rsidRPr="00044758" w:rsidRDefault="00D73008" w:rsidP="00387AE5">
            <w:pPr>
              <w:jc w:val="right"/>
              <w:rPr>
                <w:rFonts w:cs="Arial"/>
                <w:b/>
                <w:bCs/>
                <w:sz w:val="18"/>
                <w:szCs w:val="18"/>
              </w:rPr>
            </w:pPr>
            <w:r w:rsidRPr="00044758">
              <w:rPr>
                <w:b/>
                <w:sz w:val="18"/>
                <w:szCs w:val="18"/>
              </w:rPr>
              <w:t>906</w:t>
            </w:r>
          </w:p>
        </w:tc>
        <w:tc>
          <w:tcPr>
            <w:tcW w:w="417" w:type="pct"/>
            <w:tcBorders>
              <w:top w:val="single" w:sz="4" w:space="0" w:color="auto"/>
            </w:tcBorders>
            <w:shd w:val="clear" w:color="auto" w:fill="auto"/>
          </w:tcPr>
          <w:p w14:paraId="05086EAC" w14:textId="77777777" w:rsidR="00D73008" w:rsidRPr="00044758" w:rsidRDefault="00D73008" w:rsidP="00387AE5">
            <w:pPr>
              <w:jc w:val="right"/>
              <w:rPr>
                <w:rFonts w:cs="Arial"/>
                <w:b/>
                <w:bCs/>
                <w:sz w:val="18"/>
                <w:szCs w:val="18"/>
              </w:rPr>
            </w:pPr>
            <w:r w:rsidRPr="00044758">
              <w:rPr>
                <w:b/>
                <w:sz w:val="18"/>
                <w:szCs w:val="18"/>
              </w:rPr>
              <w:t>1 605</w:t>
            </w:r>
          </w:p>
        </w:tc>
        <w:tc>
          <w:tcPr>
            <w:tcW w:w="417" w:type="pct"/>
            <w:tcBorders>
              <w:top w:val="single" w:sz="4" w:space="0" w:color="auto"/>
            </w:tcBorders>
            <w:shd w:val="clear" w:color="auto" w:fill="auto"/>
          </w:tcPr>
          <w:p w14:paraId="2F8A750E" w14:textId="77777777" w:rsidR="00D73008" w:rsidRPr="00044758" w:rsidRDefault="00D73008" w:rsidP="00387AE5">
            <w:pPr>
              <w:jc w:val="right"/>
              <w:rPr>
                <w:rFonts w:cs="Arial"/>
                <w:b/>
                <w:bCs/>
                <w:sz w:val="18"/>
                <w:szCs w:val="18"/>
              </w:rPr>
            </w:pPr>
            <w:r w:rsidRPr="00044758">
              <w:rPr>
                <w:b/>
                <w:sz w:val="18"/>
                <w:szCs w:val="18"/>
              </w:rPr>
              <w:t>1 219</w:t>
            </w:r>
          </w:p>
        </w:tc>
        <w:tc>
          <w:tcPr>
            <w:tcW w:w="416" w:type="pct"/>
            <w:gridSpan w:val="2"/>
            <w:tcBorders>
              <w:top w:val="single" w:sz="4" w:space="0" w:color="auto"/>
            </w:tcBorders>
            <w:shd w:val="clear" w:color="auto" w:fill="auto"/>
          </w:tcPr>
          <w:p w14:paraId="6DB9793E" w14:textId="77777777" w:rsidR="00D73008" w:rsidRPr="00044758" w:rsidRDefault="00D73008" w:rsidP="00387AE5">
            <w:pPr>
              <w:jc w:val="right"/>
              <w:rPr>
                <w:rFonts w:cs="Arial"/>
                <w:b/>
                <w:bCs/>
                <w:sz w:val="18"/>
                <w:szCs w:val="18"/>
              </w:rPr>
            </w:pPr>
            <w:r w:rsidRPr="00044758">
              <w:rPr>
                <w:b/>
                <w:sz w:val="18"/>
                <w:szCs w:val="18"/>
              </w:rPr>
              <w:t>1 567</w:t>
            </w:r>
          </w:p>
        </w:tc>
        <w:tc>
          <w:tcPr>
            <w:tcW w:w="416" w:type="pct"/>
            <w:tcBorders>
              <w:top w:val="single" w:sz="4" w:space="0" w:color="auto"/>
            </w:tcBorders>
            <w:shd w:val="clear" w:color="auto" w:fill="auto"/>
          </w:tcPr>
          <w:p w14:paraId="7F6D3395" w14:textId="77777777" w:rsidR="00D73008" w:rsidRPr="00044758" w:rsidRDefault="00D73008" w:rsidP="00387AE5">
            <w:pPr>
              <w:jc w:val="right"/>
              <w:rPr>
                <w:rFonts w:cs="Arial"/>
                <w:b/>
                <w:bCs/>
                <w:sz w:val="18"/>
                <w:szCs w:val="18"/>
              </w:rPr>
            </w:pPr>
            <w:r w:rsidRPr="00044758">
              <w:rPr>
                <w:b/>
                <w:sz w:val="18"/>
                <w:szCs w:val="18"/>
              </w:rPr>
              <w:t>1 775</w:t>
            </w:r>
          </w:p>
        </w:tc>
      </w:tr>
      <w:tr w:rsidR="00D73008" w:rsidRPr="00AA3D60" w14:paraId="69201046" w14:textId="77777777" w:rsidTr="00387AE5">
        <w:trPr>
          <w:trHeight w:val="232"/>
        </w:trPr>
        <w:tc>
          <w:tcPr>
            <w:tcW w:w="2500" w:type="pct"/>
            <w:tcBorders>
              <w:top w:val="nil"/>
              <w:left w:val="nil"/>
            </w:tcBorders>
            <w:shd w:val="clear" w:color="auto" w:fill="auto"/>
            <w:vAlign w:val="center"/>
          </w:tcPr>
          <w:p w14:paraId="6FE1C592" w14:textId="77777777" w:rsidR="00D73008" w:rsidRPr="00AA3D60" w:rsidRDefault="00D73008" w:rsidP="00387AE5">
            <w:pPr>
              <w:rPr>
                <w:sz w:val="18"/>
                <w:szCs w:val="18"/>
              </w:rPr>
            </w:pPr>
            <w:r w:rsidRPr="00AA3D60">
              <w:rPr>
                <w:sz w:val="18"/>
                <w:szCs w:val="18"/>
              </w:rPr>
              <w:t>- hotovostný deficit ŠR</w:t>
            </w:r>
          </w:p>
        </w:tc>
        <w:tc>
          <w:tcPr>
            <w:tcW w:w="417" w:type="pct"/>
            <w:tcBorders>
              <w:top w:val="nil"/>
            </w:tcBorders>
            <w:shd w:val="clear" w:color="auto" w:fill="auto"/>
          </w:tcPr>
          <w:p w14:paraId="43655325" w14:textId="77777777" w:rsidR="00D73008" w:rsidRPr="00044758" w:rsidRDefault="00D73008" w:rsidP="00387AE5">
            <w:pPr>
              <w:jc w:val="right"/>
              <w:rPr>
                <w:rFonts w:cs="Arial"/>
                <w:sz w:val="18"/>
                <w:szCs w:val="18"/>
              </w:rPr>
            </w:pPr>
            <w:r w:rsidRPr="00044758">
              <w:rPr>
                <w:sz w:val="18"/>
                <w:szCs w:val="18"/>
              </w:rPr>
              <w:t>1 220</w:t>
            </w:r>
          </w:p>
        </w:tc>
        <w:tc>
          <w:tcPr>
            <w:tcW w:w="417" w:type="pct"/>
            <w:tcBorders>
              <w:top w:val="nil"/>
            </w:tcBorders>
            <w:shd w:val="clear" w:color="auto" w:fill="auto"/>
          </w:tcPr>
          <w:p w14:paraId="21339BDE" w14:textId="77777777" w:rsidR="00D73008" w:rsidRPr="00044758" w:rsidRDefault="00D73008" w:rsidP="00387AE5">
            <w:pPr>
              <w:jc w:val="right"/>
              <w:rPr>
                <w:rFonts w:cs="Arial"/>
                <w:sz w:val="18"/>
                <w:szCs w:val="18"/>
              </w:rPr>
            </w:pPr>
            <w:r w:rsidRPr="00044758">
              <w:rPr>
                <w:sz w:val="18"/>
                <w:szCs w:val="18"/>
              </w:rPr>
              <w:t>1 182</w:t>
            </w:r>
          </w:p>
        </w:tc>
        <w:tc>
          <w:tcPr>
            <w:tcW w:w="417" w:type="pct"/>
            <w:tcBorders>
              <w:top w:val="nil"/>
            </w:tcBorders>
            <w:shd w:val="clear" w:color="auto" w:fill="auto"/>
          </w:tcPr>
          <w:p w14:paraId="53EF5CED" w14:textId="77777777" w:rsidR="00D73008" w:rsidRPr="00044758" w:rsidRDefault="00D73008" w:rsidP="00387AE5">
            <w:pPr>
              <w:jc w:val="right"/>
              <w:rPr>
                <w:rFonts w:cs="Arial"/>
                <w:sz w:val="18"/>
                <w:szCs w:val="18"/>
              </w:rPr>
            </w:pPr>
            <w:r w:rsidRPr="00044758">
              <w:rPr>
                <w:sz w:val="18"/>
                <w:szCs w:val="18"/>
              </w:rPr>
              <w:t>2 031</w:t>
            </w:r>
          </w:p>
        </w:tc>
        <w:tc>
          <w:tcPr>
            <w:tcW w:w="417" w:type="pct"/>
            <w:tcBorders>
              <w:top w:val="nil"/>
            </w:tcBorders>
            <w:shd w:val="clear" w:color="auto" w:fill="auto"/>
          </w:tcPr>
          <w:p w14:paraId="20CCE2AA" w14:textId="77777777" w:rsidR="00D73008" w:rsidRPr="00044758" w:rsidRDefault="00D73008" w:rsidP="00387AE5">
            <w:pPr>
              <w:jc w:val="right"/>
              <w:rPr>
                <w:rFonts w:cs="Arial"/>
                <w:sz w:val="18"/>
                <w:szCs w:val="18"/>
              </w:rPr>
            </w:pPr>
            <w:r w:rsidRPr="00044758">
              <w:rPr>
                <w:sz w:val="18"/>
                <w:szCs w:val="18"/>
              </w:rPr>
              <w:t>2 157</w:t>
            </w:r>
          </w:p>
        </w:tc>
        <w:tc>
          <w:tcPr>
            <w:tcW w:w="416" w:type="pct"/>
            <w:gridSpan w:val="2"/>
            <w:tcBorders>
              <w:top w:val="nil"/>
            </w:tcBorders>
            <w:shd w:val="clear" w:color="auto" w:fill="auto"/>
          </w:tcPr>
          <w:p w14:paraId="6F20632E" w14:textId="77777777" w:rsidR="00D73008" w:rsidRPr="00044758" w:rsidRDefault="00D73008" w:rsidP="00387AE5">
            <w:pPr>
              <w:jc w:val="right"/>
              <w:rPr>
                <w:rFonts w:cs="Arial"/>
                <w:sz w:val="18"/>
                <w:szCs w:val="18"/>
              </w:rPr>
            </w:pPr>
            <w:r w:rsidRPr="00044758">
              <w:rPr>
                <w:sz w:val="18"/>
                <w:szCs w:val="18"/>
              </w:rPr>
              <w:t>2 022</w:t>
            </w:r>
          </w:p>
        </w:tc>
        <w:tc>
          <w:tcPr>
            <w:tcW w:w="416" w:type="pct"/>
            <w:tcBorders>
              <w:top w:val="nil"/>
            </w:tcBorders>
            <w:shd w:val="clear" w:color="auto" w:fill="auto"/>
          </w:tcPr>
          <w:p w14:paraId="4889CA3B" w14:textId="77777777" w:rsidR="00D73008" w:rsidRPr="00044758" w:rsidRDefault="00D73008" w:rsidP="00387AE5">
            <w:pPr>
              <w:jc w:val="right"/>
              <w:rPr>
                <w:rFonts w:cs="Arial"/>
                <w:sz w:val="18"/>
                <w:szCs w:val="18"/>
              </w:rPr>
            </w:pPr>
            <w:r w:rsidRPr="00044758">
              <w:rPr>
                <w:sz w:val="18"/>
                <w:szCs w:val="18"/>
              </w:rPr>
              <w:t>1 408</w:t>
            </w:r>
          </w:p>
        </w:tc>
      </w:tr>
      <w:tr w:rsidR="00D73008" w:rsidRPr="00AA3D60" w14:paraId="56D8DF51" w14:textId="77777777" w:rsidTr="00387AE5">
        <w:trPr>
          <w:trHeight w:val="232"/>
        </w:trPr>
        <w:tc>
          <w:tcPr>
            <w:tcW w:w="2500" w:type="pct"/>
            <w:tcBorders>
              <w:top w:val="nil"/>
              <w:left w:val="nil"/>
            </w:tcBorders>
            <w:shd w:val="clear" w:color="auto" w:fill="auto"/>
            <w:vAlign w:val="center"/>
          </w:tcPr>
          <w:p w14:paraId="0E1D3B47" w14:textId="77777777" w:rsidR="00D73008" w:rsidRPr="00AA3D60" w:rsidRDefault="00D73008" w:rsidP="00387AE5">
            <w:pPr>
              <w:ind w:left="356"/>
              <w:rPr>
                <w:sz w:val="18"/>
                <w:szCs w:val="18"/>
              </w:rPr>
            </w:pPr>
            <w:r>
              <w:rPr>
                <w:sz w:val="18"/>
                <w:szCs w:val="18"/>
              </w:rPr>
              <w:t xml:space="preserve">z toho: </w:t>
            </w:r>
            <w:r w:rsidRPr="00AA3D60">
              <w:rPr>
                <w:sz w:val="18"/>
                <w:szCs w:val="18"/>
              </w:rPr>
              <w:t xml:space="preserve">príspevok SR </w:t>
            </w:r>
            <w:r>
              <w:rPr>
                <w:sz w:val="18"/>
                <w:szCs w:val="18"/>
              </w:rPr>
              <w:t xml:space="preserve">do </w:t>
            </w:r>
            <w:r w:rsidRPr="00AA3D60">
              <w:rPr>
                <w:sz w:val="18"/>
                <w:szCs w:val="18"/>
              </w:rPr>
              <w:t>ESM</w:t>
            </w:r>
          </w:p>
        </w:tc>
        <w:tc>
          <w:tcPr>
            <w:tcW w:w="417" w:type="pct"/>
            <w:tcBorders>
              <w:top w:val="nil"/>
            </w:tcBorders>
            <w:shd w:val="clear" w:color="auto" w:fill="auto"/>
            <w:vAlign w:val="center"/>
          </w:tcPr>
          <w:p w14:paraId="1277D136" w14:textId="77777777" w:rsidR="00D73008" w:rsidRPr="00044758" w:rsidRDefault="00D73008" w:rsidP="00387AE5">
            <w:pPr>
              <w:jc w:val="right"/>
              <w:rPr>
                <w:sz w:val="18"/>
                <w:szCs w:val="18"/>
              </w:rPr>
            </w:pPr>
            <w:r w:rsidRPr="0064613A">
              <w:rPr>
                <w:sz w:val="18"/>
                <w:szCs w:val="18"/>
              </w:rPr>
              <w:t>0</w:t>
            </w:r>
          </w:p>
        </w:tc>
        <w:tc>
          <w:tcPr>
            <w:tcW w:w="417" w:type="pct"/>
            <w:tcBorders>
              <w:top w:val="nil"/>
            </w:tcBorders>
            <w:shd w:val="clear" w:color="auto" w:fill="auto"/>
            <w:vAlign w:val="center"/>
          </w:tcPr>
          <w:p w14:paraId="19A1C3DC" w14:textId="77777777" w:rsidR="00D73008" w:rsidRPr="00044758" w:rsidRDefault="00D73008" w:rsidP="00387AE5">
            <w:pPr>
              <w:jc w:val="right"/>
              <w:rPr>
                <w:sz w:val="18"/>
                <w:szCs w:val="18"/>
              </w:rPr>
            </w:pPr>
            <w:r w:rsidRPr="0064613A">
              <w:rPr>
                <w:sz w:val="18"/>
                <w:szCs w:val="18"/>
              </w:rPr>
              <w:t>0</w:t>
            </w:r>
          </w:p>
        </w:tc>
        <w:tc>
          <w:tcPr>
            <w:tcW w:w="417" w:type="pct"/>
            <w:tcBorders>
              <w:top w:val="nil"/>
            </w:tcBorders>
            <w:shd w:val="clear" w:color="auto" w:fill="auto"/>
            <w:vAlign w:val="center"/>
          </w:tcPr>
          <w:p w14:paraId="6DE38E15" w14:textId="77777777" w:rsidR="00D73008" w:rsidRPr="00044758" w:rsidRDefault="00D73008" w:rsidP="00387AE5">
            <w:pPr>
              <w:jc w:val="right"/>
              <w:rPr>
                <w:sz w:val="18"/>
                <w:szCs w:val="18"/>
              </w:rPr>
            </w:pPr>
            <w:r w:rsidRPr="0064613A">
              <w:rPr>
                <w:sz w:val="18"/>
                <w:szCs w:val="18"/>
              </w:rPr>
              <w:t>0</w:t>
            </w:r>
          </w:p>
        </w:tc>
        <w:tc>
          <w:tcPr>
            <w:tcW w:w="417" w:type="pct"/>
            <w:tcBorders>
              <w:top w:val="nil"/>
            </w:tcBorders>
            <w:shd w:val="clear" w:color="auto" w:fill="auto"/>
            <w:vAlign w:val="center"/>
          </w:tcPr>
          <w:p w14:paraId="4DCEC08D" w14:textId="77777777" w:rsidR="00D73008" w:rsidRPr="00044758" w:rsidRDefault="00D73008" w:rsidP="00387AE5">
            <w:pPr>
              <w:jc w:val="right"/>
              <w:rPr>
                <w:sz w:val="18"/>
                <w:szCs w:val="18"/>
              </w:rPr>
            </w:pPr>
            <w:r w:rsidRPr="0064613A">
              <w:rPr>
                <w:sz w:val="18"/>
                <w:szCs w:val="18"/>
              </w:rPr>
              <w:t>68</w:t>
            </w:r>
          </w:p>
        </w:tc>
        <w:tc>
          <w:tcPr>
            <w:tcW w:w="416" w:type="pct"/>
            <w:gridSpan w:val="2"/>
            <w:tcBorders>
              <w:top w:val="nil"/>
            </w:tcBorders>
            <w:shd w:val="clear" w:color="auto" w:fill="auto"/>
            <w:vAlign w:val="center"/>
          </w:tcPr>
          <w:p w14:paraId="0FBDC40E" w14:textId="77777777" w:rsidR="00D73008" w:rsidRPr="00044758" w:rsidRDefault="00D73008" w:rsidP="00387AE5">
            <w:pPr>
              <w:jc w:val="right"/>
              <w:rPr>
                <w:sz w:val="18"/>
                <w:szCs w:val="18"/>
              </w:rPr>
            </w:pPr>
            <w:r w:rsidRPr="0064613A">
              <w:rPr>
                <w:sz w:val="18"/>
                <w:szCs w:val="18"/>
              </w:rPr>
              <w:t>0</w:t>
            </w:r>
          </w:p>
        </w:tc>
        <w:tc>
          <w:tcPr>
            <w:tcW w:w="416" w:type="pct"/>
            <w:tcBorders>
              <w:top w:val="nil"/>
            </w:tcBorders>
            <w:shd w:val="clear" w:color="auto" w:fill="auto"/>
            <w:vAlign w:val="center"/>
          </w:tcPr>
          <w:p w14:paraId="7E1716F6" w14:textId="77777777" w:rsidR="00D73008" w:rsidRPr="00044758" w:rsidRDefault="00D73008" w:rsidP="00387AE5">
            <w:pPr>
              <w:jc w:val="right"/>
              <w:rPr>
                <w:sz w:val="18"/>
                <w:szCs w:val="18"/>
              </w:rPr>
            </w:pPr>
            <w:r w:rsidRPr="0064613A">
              <w:rPr>
                <w:sz w:val="18"/>
                <w:szCs w:val="18"/>
              </w:rPr>
              <w:t>0</w:t>
            </w:r>
          </w:p>
        </w:tc>
      </w:tr>
      <w:tr w:rsidR="00D73008" w:rsidRPr="00AA3D60" w14:paraId="1A1BF23B" w14:textId="77777777" w:rsidTr="00387AE5">
        <w:trPr>
          <w:trHeight w:val="232"/>
        </w:trPr>
        <w:tc>
          <w:tcPr>
            <w:tcW w:w="2500" w:type="pct"/>
            <w:tcBorders>
              <w:top w:val="nil"/>
              <w:left w:val="nil"/>
            </w:tcBorders>
            <w:shd w:val="clear" w:color="auto" w:fill="auto"/>
            <w:vAlign w:val="center"/>
          </w:tcPr>
          <w:p w14:paraId="58FBFB51" w14:textId="77777777" w:rsidR="00D73008" w:rsidRPr="00AA3D60" w:rsidRDefault="00D73008" w:rsidP="00387AE5">
            <w:pPr>
              <w:rPr>
                <w:sz w:val="18"/>
                <w:szCs w:val="18"/>
              </w:rPr>
            </w:pPr>
            <w:r w:rsidRPr="00AA3D60">
              <w:rPr>
                <w:sz w:val="18"/>
                <w:szCs w:val="18"/>
              </w:rPr>
              <w:t>- prostriedky ŠP využité na financovanie hotovostného deficitu ŠR</w:t>
            </w:r>
          </w:p>
        </w:tc>
        <w:tc>
          <w:tcPr>
            <w:tcW w:w="417" w:type="pct"/>
            <w:tcBorders>
              <w:top w:val="nil"/>
            </w:tcBorders>
            <w:shd w:val="clear" w:color="auto" w:fill="auto"/>
          </w:tcPr>
          <w:p w14:paraId="55E54AE9" w14:textId="77777777" w:rsidR="00D73008" w:rsidRPr="00044758" w:rsidRDefault="00D73008" w:rsidP="00387AE5">
            <w:pPr>
              <w:jc w:val="right"/>
              <w:rPr>
                <w:rFonts w:cs="Arial"/>
                <w:sz w:val="18"/>
                <w:szCs w:val="18"/>
              </w:rPr>
            </w:pPr>
            <w:r w:rsidRPr="00044758">
              <w:rPr>
                <w:sz w:val="18"/>
                <w:szCs w:val="18"/>
              </w:rPr>
              <w:t>1</w:t>
            </w:r>
          </w:p>
        </w:tc>
        <w:tc>
          <w:tcPr>
            <w:tcW w:w="417" w:type="pct"/>
            <w:tcBorders>
              <w:top w:val="nil"/>
            </w:tcBorders>
            <w:shd w:val="clear" w:color="auto" w:fill="auto"/>
          </w:tcPr>
          <w:p w14:paraId="5877A97B" w14:textId="77777777" w:rsidR="00D73008" w:rsidRPr="00044758" w:rsidRDefault="00D73008" w:rsidP="00387AE5">
            <w:pPr>
              <w:jc w:val="right"/>
              <w:rPr>
                <w:rFonts w:cs="Arial"/>
                <w:sz w:val="18"/>
                <w:szCs w:val="18"/>
              </w:rPr>
            </w:pPr>
            <w:r w:rsidRPr="00044758">
              <w:rPr>
                <w:sz w:val="18"/>
                <w:szCs w:val="18"/>
              </w:rPr>
              <w:t>-498</w:t>
            </w:r>
          </w:p>
        </w:tc>
        <w:tc>
          <w:tcPr>
            <w:tcW w:w="417" w:type="pct"/>
            <w:tcBorders>
              <w:top w:val="nil"/>
            </w:tcBorders>
            <w:shd w:val="clear" w:color="auto" w:fill="auto"/>
          </w:tcPr>
          <w:p w14:paraId="01ADAF8D" w14:textId="77777777" w:rsidR="00D73008" w:rsidRPr="00044758" w:rsidRDefault="00D73008" w:rsidP="00387AE5">
            <w:pPr>
              <w:jc w:val="right"/>
              <w:rPr>
                <w:rFonts w:cs="Arial"/>
                <w:sz w:val="18"/>
                <w:szCs w:val="18"/>
              </w:rPr>
            </w:pPr>
            <w:r w:rsidRPr="00044758">
              <w:rPr>
                <w:sz w:val="18"/>
                <w:szCs w:val="18"/>
              </w:rPr>
              <w:t>-391</w:t>
            </w:r>
          </w:p>
        </w:tc>
        <w:tc>
          <w:tcPr>
            <w:tcW w:w="417" w:type="pct"/>
            <w:tcBorders>
              <w:top w:val="nil"/>
            </w:tcBorders>
            <w:shd w:val="clear" w:color="auto" w:fill="auto"/>
          </w:tcPr>
          <w:p w14:paraId="7F345BDB" w14:textId="45B33AA5" w:rsidR="00D73008" w:rsidRPr="00044758" w:rsidRDefault="00D73008">
            <w:pPr>
              <w:jc w:val="right"/>
              <w:rPr>
                <w:rFonts w:cs="Arial"/>
                <w:sz w:val="18"/>
                <w:szCs w:val="18"/>
              </w:rPr>
            </w:pPr>
            <w:r w:rsidRPr="00044758">
              <w:rPr>
                <w:sz w:val="18"/>
                <w:szCs w:val="18"/>
              </w:rPr>
              <w:t>-</w:t>
            </w:r>
            <w:r w:rsidR="00592550">
              <w:rPr>
                <w:sz w:val="18"/>
                <w:szCs w:val="18"/>
              </w:rPr>
              <w:t>882</w:t>
            </w:r>
          </w:p>
        </w:tc>
        <w:tc>
          <w:tcPr>
            <w:tcW w:w="416" w:type="pct"/>
            <w:gridSpan w:val="2"/>
            <w:tcBorders>
              <w:top w:val="nil"/>
            </w:tcBorders>
            <w:shd w:val="clear" w:color="auto" w:fill="auto"/>
          </w:tcPr>
          <w:p w14:paraId="16B4E423" w14:textId="77777777" w:rsidR="00D73008" w:rsidRPr="00044758" w:rsidRDefault="00D73008" w:rsidP="00387AE5">
            <w:pPr>
              <w:jc w:val="right"/>
              <w:rPr>
                <w:rFonts w:cs="Arial"/>
                <w:sz w:val="18"/>
                <w:szCs w:val="18"/>
              </w:rPr>
            </w:pPr>
            <w:r w:rsidRPr="00044758">
              <w:rPr>
                <w:sz w:val="18"/>
                <w:szCs w:val="18"/>
              </w:rPr>
              <w:t>-565</w:t>
            </w:r>
          </w:p>
        </w:tc>
        <w:tc>
          <w:tcPr>
            <w:tcW w:w="416" w:type="pct"/>
            <w:tcBorders>
              <w:top w:val="nil"/>
            </w:tcBorders>
            <w:shd w:val="clear" w:color="auto" w:fill="auto"/>
          </w:tcPr>
          <w:p w14:paraId="34A0DBC5" w14:textId="77777777" w:rsidR="00D73008" w:rsidRPr="00044758" w:rsidRDefault="00D73008" w:rsidP="00387AE5">
            <w:pPr>
              <w:jc w:val="right"/>
              <w:rPr>
                <w:rFonts w:cs="Arial"/>
                <w:sz w:val="18"/>
                <w:szCs w:val="18"/>
              </w:rPr>
            </w:pPr>
            <w:r w:rsidRPr="00044758">
              <w:rPr>
                <w:sz w:val="18"/>
                <w:szCs w:val="18"/>
              </w:rPr>
              <w:t>142</w:t>
            </w:r>
          </w:p>
        </w:tc>
      </w:tr>
      <w:tr w:rsidR="00D73008" w:rsidRPr="00AA3D60" w14:paraId="3F6D3B85" w14:textId="77777777" w:rsidTr="00387AE5">
        <w:trPr>
          <w:trHeight w:val="232"/>
        </w:trPr>
        <w:tc>
          <w:tcPr>
            <w:tcW w:w="2500" w:type="pct"/>
            <w:tcBorders>
              <w:top w:val="nil"/>
              <w:left w:val="nil"/>
            </w:tcBorders>
            <w:shd w:val="clear" w:color="auto" w:fill="auto"/>
            <w:vAlign w:val="center"/>
          </w:tcPr>
          <w:p w14:paraId="3D2876DC" w14:textId="77777777" w:rsidR="00D73008" w:rsidRPr="00AA3D60" w:rsidRDefault="00D73008" w:rsidP="00387AE5">
            <w:pPr>
              <w:rPr>
                <w:sz w:val="18"/>
                <w:szCs w:val="18"/>
              </w:rPr>
            </w:pPr>
            <w:r w:rsidRPr="00AA3D60">
              <w:rPr>
                <w:sz w:val="18"/>
                <w:szCs w:val="18"/>
              </w:rPr>
              <w:t>- zadlženie ostatných subjektov VS</w:t>
            </w:r>
          </w:p>
        </w:tc>
        <w:tc>
          <w:tcPr>
            <w:tcW w:w="417" w:type="pct"/>
            <w:tcBorders>
              <w:top w:val="nil"/>
            </w:tcBorders>
            <w:shd w:val="clear" w:color="auto" w:fill="auto"/>
          </w:tcPr>
          <w:p w14:paraId="54649CF4" w14:textId="77777777" w:rsidR="00D73008" w:rsidRPr="00044758" w:rsidRDefault="00D73008" w:rsidP="00387AE5">
            <w:pPr>
              <w:jc w:val="right"/>
              <w:rPr>
                <w:rFonts w:cs="Arial"/>
                <w:sz w:val="18"/>
                <w:szCs w:val="18"/>
              </w:rPr>
            </w:pPr>
            <w:r w:rsidRPr="00044758">
              <w:rPr>
                <w:sz w:val="18"/>
                <w:szCs w:val="18"/>
              </w:rPr>
              <w:t>3</w:t>
            </w:r>
          </w:p>
        </w:tc>
        <w:tc>
          <w:tcPr>
            <w:tcW w:w="417" w:type="pct"/>
            <w:tcBorders>
              <w:top w:val="nil"/>
            </w:tcBorders>
            <w:shd w:val="clear" w:color="auto" w:fill="auto"/>
          </w:tcPr>
          <w:p w14:paraId="32E61DF9" w14:textId="77777777" w:rsidR="00D73008" w:rsidRPr="00044758" w:rsidRDefault="00D73008" w:rsidP="00387AE5">
            <w:pPr>
              <w:jc w:val="right"/>
              <w:rPr>
                <w:rFonts w:cs="Arial"/>
                <w:sz w:val="18"/>
                <w:szCs w:val="18"/>
              </w:rPr>
            </w:pPr>
            <w:r w:rsidRPr="00044758">
              <w:rPr>
                <w:sz w:val="18"/>
                <w:szCs w:val="18"/>
              </w:rPr>
              <w:t>111</w:t>
            </w:r>
          </w:p>
        </w:tc>
        <w:tc>
          <w:tcPr>
            <w:tcW w:w="417" w:type="pct"/>
            <w:tcBorders>
              <w:top w:val="nil"/>
            </w:tcBorders>
            <w:shd w:val="clear" w:color="auto" w:fill="auto"/>
          </w:tcPr>
          <w:p w14:paraId="4118B16C" w14:textId="77777777" w:rsidR="00D73008" w:rsidRPr="00044758" w:rsidRDefault="00D73008" w:rsidP="00387AE5">
            <w:pPr>
              <w:jc w:val="right"/>
              <w:rPr>
                <w:rFonts w:cs="Arial"/>
                <w:sz w:val="18"/>
                <w:szCs w:val="18"/>
              </w:rPr>
            </w:pPr>
            <w:r w:rsidRPr="00044758">
              <w:rPr>
                <w:sz w:val="18"/>
                <w:szCs w:val="18"/>
              </w:rPr>
              <w:t>-47</w:t>
            </w:r>
          </w:p>
        </w:tc>
        <w:tc>
          <w:tcPr>
            <w:tcW w:w="417" w:type="pct"/>
            <w:tcBorders>
              <w:top w:val="nil"/>
            </w:tcBorders>
            <w:shd w:val="clear" w:color="auto" w:fill="auto"/>
          </w:tcPr>
          <w:p w14:paraId="6B5B5F83" w14:textId="77777777" w:rsidR="00D73008" w:rsidRPr="00044758" w:rsidRDefault="00D73008" w:rsidP="00387AE5">
            <w:pPr>
              <w:jc w:val="right"/>
              <w:rPr>
                <w:rFonts w:cs="Arial"/>
                <w:sz w:val="18"/>
                <w:szCs w:val="18"/>
              </w:rPr>
            </w:pPr>
            <w:r w:rsidRPr="00044758">
              <w:rPr>
                <w:sz w:val="18"/>
                <w:szCs w:val="18"/>
              </w:rPr>
              <w:t>-164</w:t>
            </w:r>
          </w:p>
        </w:tc>
        <w:tc>
          <w:tcPr>
            <w:tcW w:w="416" w:type="pct"/>
            <w:gridSpan w:val="2"/>
            <w:tcBorders>
              <w:top w:val="nil"/>
            </w:tcBorders>
            <w:shd w:val="clear" w:color="auto" w:fill="auto"/>
          </w:tcPr>
          <w:p w14:paraId="2B6C1848" w14:textId="77777777" w:rsidR="00D73008" w:rsidRPr="00044758" w:rsidRDefault="00D73008" w:rsidP="00387AE5">
            <w:pPr>
              <w:jc w:val="right"/>
              <w:rPr>
                <w:rFonts w:cs="Arial"/>
                <w:sz w:val="18"/>
                <w:szCs w:val="18"/>
              </w:rPr>
            </w:pPr>
            <w:r w:rsidRPr="00044758">
              <w:rPr>
                <w:sz w:val="18"/>
                <w:szCs w:val="18"/>
              </w:rPr>
              <w:t>-144</w:t>
            </w:r>
          </w:p>
        </w:tc>
        <w:tc>
          <w:tcPr>
            <w:tcW w:w="416" w:type="pct"/>
            <w:tcBorders>
              <w:top w:val="nil"/>
            </w:tcBorders>
            <w:shd w:val="clear" w:color="auto" w:fill="auto"/>
          </w:tcPr>
          <w:p w14:paraId="6CEC4703" w14:textId="77777777" w:rsidR="00D73008" w:rsidRPr="00044758" w:rsidRDefault="00D73008" w:rsidP="00387AE5">
            <w:pPr>
              <w:jc w:val="right"/>
              <w:rPr>
                <w:rFonts w:cs="Arial"/>
                <w:sz w:val="18"/>
                <w:szCs w:val="18"/>
              </w:rPr>
            </w:pPr>
            <w:r w:rsidRPr="00044758">
              <w:rPr>
                <w:sz w:val="18"/>
                <w:szCs w:val="18"/>
              </w:rPr>
              <w:t>-109</w:t>
            </w:r>
          </w:p>
        </w:tc>
      </w:tr>
      <w:tr w:rsidR="00D73008" w:rsidRPr="00AA3D60" w14:paraId="4C135CEB" w14:textId="77777777" w:rsidTr="00387AE5">
        <w:trPr>
          <w:trHeight w:val="232"/>
        </w:trPr>
        <w:tc>
          <w:tcPr>
            <w:tcW w:w="2500" w:type="pct"/>
            <w:tcBorders>
              <w:top w:val="nil"/>
              <w:left w:val="nil"/>
            </w:tcBorders>
            <w:shd w:val="clear" w:color="auto" w:fill="auto"/>
            <w:vAlign w:val="center"/>
          </w:tcPr>
          <w:p w14:paraId="5C9139DA" w14:textId="77777777" w:rsidR="00D73008" w:rsidRPr="00AA3D60" w:rsidRDefault="00D73008" w:rsidP="00387AE5">
            <w:pPr>
              <w:ind w:left="356"/>
              <w:rPr>
                <w:sz w:val="18"/>
                <w:szCs w:val="18"/>
              </w:rPr>
            </w:pPr>
            <w:r w:rsidRPr="00AA3D60">
              <w:rPr>
                <w:sz w:val="18"/>
                <w:szCs w:val="18"/>
              </w:rPr>
              <w:t>z toho: Samospráva (obce a VÚC)</w:t>
            </w:r>
          </w:p>
        </w:tc>
        <w:tc>
          <w:tcPr>
            <w:tcW w:w="417" w:type="pct"/>
            <w:tcBorders>
              <w:top w:val="nil"/>
            </w:tcBorders>
            <w:shd w:val="clear" w:color="auto" w:fill="auto"/>
            <w:vAlign w:val="center"/>
          </w:tcPr>
          <w:p w14:paraId="4A65468C" w14:textId="77777777" w:rsidR="00D73008" w:rsidRPr="0064613A" w:rsidRDefault="00D73008" w:rsidP="00387AE5">
            <w:pPr>
              <w:jc w:val="right"/>
              <w:rPr>
                <w:rFonts w:cs="Arial"/>
                <w:sz w:val="18"/>
                <w:szCs w:val="18"/>
              </w:rPr>
            </w:pPr>
            <w:r w:rsidRPr="0064613A">
              <w:rPr>
                <w:sz w:val="18"/>
                <w:szCs w:val="18"/>
              </w:rPr>
              <w:t>50</w:t>
            </w:r>
          </w:p>
        </w:tc>
        <w:tc>
          <w:tcPr>
            <w:tcW w:w="417" w:type="pct"/>
            <w:tcBorders>
              <w:top w:val="nil"/>
            </w:tcBorders>
            <w:shd w:val="clear" w:color="auto" w:fill="auto"/>
            <w:vAlign w:val="center"/>
          </w:tcPr>
          <w:p w14:paraId="2A504758" w14:textId="77777777" w:rsidR="00D73008" w:rsidRPr="0064613A" w:rsidRDefault="00D73008" w:rsidP="00387AE5">
            <w:pPr>
              <w:jc w:val="right"/>
              <w:rPr>
                <w:rFonts w:cs="Arial"/>
                <w:sz w:val="18"/>
                <w:szCs w:val="18"/>
              </w:rPr>
            </w:pPr>
            <w:r w:rsidRPr="0064613A">
              <w:rPr>
                <w:sz w:val="18"/>
                <w:szCs w:val="18"/>
              </w:rPr>
              <w:t>92</w:t>
            </w:r>
          </w:p>
        </w:tc>
        <w:tc>
          <w:tcPr>
            <w:tcW w:w="417" w:type="pct"/>
            <w:tcBorders>
              <w:top w:val="nil"/>
            </w:tcBorders>
            <w:shd w:val="clear" w:color="auto" w:fill="auto"/>
            <w:vAlign w:val="center"/>
          </w:tcPr>
          <w:p w14:paraId="64CDD6AE" w14:textId="77777777" w:rsidR="00D73008" w:rsidRPr="0064613A" w:rsidRDefault="00D73008" w:rsidP="00387AE5">
            <w:pPr>
              <w:jc w:val="right"/>
              <w:rPr>
                <w:rFonts w:cs="Arial"/>
                <w:sz w:val="18"/>
                <w:szCs w:val="18"/>
              </w:rPr>
            </w:pPr>
            <w:r w:rsidRPr="0064613A">
              <w:rPr>
                <w:sz w:val="18"/>
                <w:szCs w:val="18"/>
              </w:rPr>
              <w:t>-43</w:t>
            </w:r>
          </w:p>
        </w:tc>
        <w:tc>
          <w:tcPr>
            <w:tcW w:w="417" w:type="pct"/>
            <w:tcBorders>
              <w:top w:val="nil"/>
            </w:tcBorders>
            <w:shd w:val="clear" w:color="auto" w:fill="auto"/>
            <w:vAlign w:val="center"/>
          </w:tcPr>
          <w:p w14:paraId="47B1B7A3" w14:textId="77777777" w:rsidR="00D73008" w:rsidRPr="0064613A" w:rsidRDefault="00D73008" w:rsidP="00387AE5">
            <w:pPr>
              <w:jc w:val="right"/>
              <w:rPr>
                <w:rFonts w:cs="Arial"/>
                <w:sz w:val="18"/>
                <w:szCs w:val="18"/>
              </w:rPr>
            </w:pPr>
            <w:r w:rsidRPr="0064613A">
              <w:rPr>
                <w:sz w:val="18"/>
                <w:szCs w:val="18"/>
              </w:rPr>
              <w:t>-103</w:t>
            </w:r>
          </w:p>
        </w:tc>
        <w:tc>
          <w:tcPr>
            <w:tcW w:w="416" w:type="pct"/>
            <w:gridSpan w:val="2"/>
            <w:tcBorders>
              <w:top w:val="nil"/>
            </w:tcBorders>
            <w:shd w:val="clear" w:color="auto" w:fill="auto"/>
            <w:vAlign w:val="center"/>
          </w:tcPr>
          <w:p w14:paraId="07DECDAC" w14:textId="77777777" w:rsidR="00D73008" w:rsidRPr="0064613A" w:rsidRDefault="00D73008" w:rsidP="00387AE5">
            <w:pPr>
              <w:jc w:val="right"/>
              <w:rPr>
                <w:rFonts w:cs="Arial"/>
                <w:sz w:val="18"/>
                <w:szCs w:val="18"/>
              </w:rPr>
            </w:pPr>
            <w:r w:rsidRPr="0064613A">
              <w:rPr>
                <w:sz w:val="18"/>
                <w:szCs w:val="18"/>
              </w:rPr>
              <w:t>-81</w:t>
            </w:r>
          </w:p>
        </w:tc>
        <w:tc>
          <w:tcPr>
            <w:tcW w:w="416" w:type="pct"/>
            <w:tcBorders>
              <w:top w:val="nil"/>
            </w:tcBorders>
            <w:shd w:val="clear" w:color="auto" w:fill="auto"/>
            <w:vAlign w:val="center"/>
          </w:tcPr>
          <w:p w14:paraId="0984F0B7" w14:textId="77777777" w:rsidR="00D73008" w:rsidRPr="0064613A" w:rsidRDefault="00D73008" w:rsidP="00387AE5">
            <w:pPr>
              <w:jc w:val="right"/>
              <w:rPr>
                <w:rFonts w:cs="Arial"/>
                <w:sz w:val="18"/>
                <w:szCs w:val="18"/>
              </w:rPr>
            </w:pPr>
            <w:r w:rsidRPr="0064613A">
              <w:rPr>
                <w:sz w:val="18"/>
                <w:szCs w:val="18"/>
              </w:rPr>
              <w:t>-51</w:t>
            </w:r>
          </w:p>
        </w:tc>
      </w:tr>
      <w:tr w:rsidR="00D73008" w:rsidRPr="00AA3D60" w14:paraId="6DE45A4A" w14:textId="77777777" w:rsidTr="00387AE5">
        <w:trPr>
          <w:trHeight w:val="232"/>
        </w:trPr>
        <w:tc>
          <w:tcPr>
            <w:tcW w:w="2500" w:type="pct"/>
            <w:tcBorders>
              <w:top w:val="nil"/>
              <w:left w:val="nil"/>
            </w:tcBorders>
            <w:shd w:val="clear" w:color="auto" w:fill="auto"/>
            <w:vAlign w:val="center"/>
          </w:tcPr>
          <w:p w14:paraId="1DE0854E" w14:textId="77777777" w:rsidR="00D73008" w:rsidRPr="00AA3D60" w:rsidRDefault="00D73008" w:rsidP="00387AE5">
            <w:pPr>
              <w:ind w:left="356"/>
              <w:rPr>
                <w:sz w:val="18"/>
                <w:szCs w:val="18"/>
              </w:rPr>
            </w:pPr>
            <w:r w:rsidRPr="00AA3D60">
              <w:rPr>
                <w:sz w:val="18"/>
                <w:szCs w:val="18"/>
              </w:rPr>
              <w:t>z toho: NDS</w:t>
            </w:r>
          </w:p>
        </w:tc>
        <w:tc>
          <w:tcPr>
            <w:tcW w:w="417" w:type="pct"/>
            <w:tcBorders>
              <w:top w:val="nil"/>
            </w:tcBorders>
            <w:shd w:val="clear" w:color="auto" w:fill="auto"/>
            <w:vAlign w:val="center"/>
          </w:tcPr>
          <w:p w14:paraId="4966C452" w14:textId="77777777" w:rsidR="00D73008" w:rsidRPr="0064613A" w:rsidRDefault="00D73008" w:rsidP="00387AE5">
            <w:pPr>
              <w:jc w:val="right"/>
              <w:rPr>
                <w:rFonts w:cs="Arial"/>
                <w:sz w:val="18"/>
                <w:szCs w:val="18"/>
              </w:rPr>
            </w:pPr>
            <w:r w:rsidRPr="0064613A">
              <w:rPr>
                <w:sz w:val="18"/>
                <w:szCs w:val="18"/>
              </w:rPr>
              <w:t>-36</w:t>
            </w:r>
          </w:p>
        </w:tc>
        <w:tc>
          <w:tcPr>
            <w:tcW w:w="417" w:type="pct"/>
            <w:tcBorders>
              <w:top w:val="nil"/>
            </w:tcBorders>
            <w:shd w:val="clear" w:color="auto" w:fill="auto"/>
            <w:vAlign w:val="center"/>
          </w:tcPr>
          <w:p w14:paraId="06866678" w14:textId="77777777" w:rsidR="00D73008" w:rsidRPr="0064613A" w:rsidRDefault="00D73008" w:rsidP="00387AE5">
            <w:pPr>
              <w:jc w:val="right"/>
              <w:rPr>
                <w:rFonts w:cs="Arial"/>
                <w:sz w:val="18"/>
                <w:szCs w:val="18"/>
              </w:rPr>
            </w:pPr>
            <w:r w:rsidRPr="0064613A">
              <w:rPr>
                <w:sz w:val="18"/>
                <w:szCs w:val="18"/>
              </w:rPr>
              <w:t>-37</w:t>
            </w:r>
          </w:p>
        </w:tc>
        <w:tc>
          <w:tcPr>
            <w:tcW w:w="417" w:type="pct"/>
            <w:tcBorders>
              <w:top w:val="nil"/>
            </w:tcBorders>
            <w:shd w:val="clear" w:color="auto" w:fill="auto"/>
            <w:vAlign w:val="center"/>
          </w:tcPr>
          <w:p w14:paraId="6D15B38D" w14:textId="77777777" w:rsidR="00D73008" w:rsidRPr="0064613A" w:rsidRDefault="00D73008" w:rsidP="00387AE5">
            <w:pPr>
              <w:jc w:val="right"/>
              <w:rPr>
                <w:rFonts w:cs="Arial"/>
                <w:sz w:val="18"/>
                <w:szCs w:val="18"/>
              </w:rPr>
            </w:pPr>
            <w:r w:rsidRPr="0064613A">
              <w:rPr>
                <w:sz w:val="18"/>
                <w:szCs w:val="18"/>
              </w:rPr>
              <w:t>-37</w:t>
            </w:r>
          </w:p>
        </w:tc>
        <w:tc>
          <w:tcPr>
            <w:tcW w:w="417" w:type="pct"/>
            <w:tcBorders>
              <w:top w:val="nil"/>
            </w:tcBorders>
            <w:shd w:val="clear" w:color="auto" w:fill="auto"/>
            <w:vAlign w:val="center"/>
          </w:tcPr>
          <w:p w14:paraId="74961DA2" w14:textId="77777777" w:rsidR="00D73008" w:rsidRPr="0064613A" w:rsidRDefault="00D73008" w:rsidP="00387AE5">
            <w:pPr>
              <w:jc w:val="right"/>
              <w:rPr>
                <w:rFonts w:cs="Arial"/>
                <w:sz w:val="18"/>
                <w:szCs w:val="18"/>
              </w:rPr>
            </w:pPr>
            <w:r w:rsidRPr="0064613A">
              <w:rPr>
                <w:sz w:val="18"/>
                <w:szCs w:val="18"/>
              </w:rPr>
              <w:t>-37</w:t>
            </w:r>
          </w:p>
        </w:tc>
        <w:tc>
          <w:tcPr>
            <w:tcW w:w="416" w:type="pct"/>
            <w:gridSpan w:val="2"/>
            <w:tcBorders>
              <w:top w:val="nil"/>
            </w:tcBorders>
            <w:shd w:val="clear" w:color="auto" w:fill="auto"/>
            <w:vAlign w:val="center"/>
          </w:tcPr>
          <w:p w14:paraId="3DFBC1F8" w14:textId="77777777" w:rsidR="00D73008" w:rsidRPr="0064613A" w:rsidRDefault="00D73008" w:rsidP="00387AE5">
            <w:pPr>
              <w:jc w:val="right"/>
              <w:rPr>
                <w:rFonts w:cs="Arial"/>
                <w:sz w:val="18"/>
                <w:szCs w:val="18"/>
              </w:rPr>
            </w:pPr>
            <w:r w:rsidRPr="0064613A">
              <w:rPr>
                <w:sz w:val="18"/>
                <w:szCs w:val="18"/>
              </w:rPr>
              <w:t>-37</w:t>
            </w:r>
          </w:p>
        </w:tc>
        <w:tc>
          <w:tcPr>
            <w:tcW w:w="416" w:type="pct"/>
            <w:tcBorders>
              <w:top w:val="nil"/>
            </w:tcBorders>
            <w:shd w:val="clear" w:color="auto" w:fill="auto"/>
            <w:vAlign w:val="center"/>
          </w:tcPr>
          <w:p w14:paraId="7E4D1324" w14:textId="77777777" w:rsidR="00D73008" w:rsidRPr="0064613A" w:rsidRDefault="00D73008" w:rsidP="00387AE5">
            <w:pPr>
              <w:jc w:val="right"/>
              <w:rPr>
                <w:rFonts w:cs="Arial"/>
                <w:sz w:val="18"/>
                <w:szCs w:val="18"/>
              </w:rPr>
            </w:pPr>
            <w:r w:rsidRPr="0064613A">
              <w:rPr>
                <w:sz w:val="18"/>
                <w:szCs w:val="18"/>
              </w:rPr>
              <w:t>-37</w:t>
            </w:r>
          </w:p>
        </w:tc>
      </w:tr>
      <w:tr w:rsidR="00D73008" w:rsidRPr="00AA3D60" w14:paraId="7BC020B2" w14:textId="77777777" w:rsidTr="00387AE5">
        <w:trPr>
          <w:trHeight w:val="232"/>
        </w:trPr>
        <w:tc>
          <w:tcPr>
            <w:tcW w:w="2500" w:type="pct"/>
            <w:tcBorders>
              <w:top w:val="nil"/>
              <w:left w:val="nil"/>
            </w:tcBorders>
            <w:shd w:val="clear" w:color="auto" w:fill="auto"/>
            <w:vAlign w:val="center"/>
          </w:tcPr>
          <w:p w14:paraId="6C68BFCB" w14:textId="77777777" w:rsidR="00D73008" w:rsidRPr="00AA3D60" w:rsidRDefault="00D73008" w:rsidP="00387AE5">
            <w:pPr>
              <w:ind w:left="356"/>
              <w:rPr>
                <w:sz w:val="18"/>
                <w:szCs w:val="18"/>
              </w:rPr>
            </w:pPr>
            <w:r w:rsidRPr="00AA3D60">
              <w:rPr>
                <w:sz w:val="18"/>
                <w:szCs w:val="18"/>
              </w:rPr>
              <w:t>z toho: ŽSR + ŽSSK</w:t>
            </w:r>
          </w:p>
        </w:tc>
        <w:tc>
          <w:tcPr>
            <w:tcW w:w="417" w:type="pct"/>
            <w:tcBorders>
              <w:top w:val="nil"/>
            </w:tcBorders>
            <w:shd w:val="clear" w:color="auto" w:fill="auto"/>
            <w:vAlign w:val="center"/>
          </w:tcPr>
          <w:p w14:paraId="0992B2C7" w14:textId="77777777" w:rsidR="00D73008" w:rsidRPr="0064613A" w:rsidRDefault="00D73008" w:rsidP="00387AE5">
            <w:pPr>
              <w:jc w:val="right"/>
              <w:rPr>
                <w:rFonts w:cs="Arial"/>
                <w:sz w:val="18"/>
                <w:szCs w:val="18"/>
              </w:rPr>
            </w:pPr>
            <w:r w:rsidRPr="0064613A">
              <w:rPr>
                <w:sz w:val="18"/>
                <w:szCs w:val="18"/>
              </w:rPr>
              <w:t>8</w:t>
            </w:r>
          </w:p>
        </w:tc>
        <w:tc>
          <w:tcPr>
            <w:tcW w:w="417" w:type="pct"/>
            <w:tcBorders>
              <w:top w:val="nil"/>
            </w:tcBorders>
            <w:shd w:val="clear" w:color="auto" w:fill="auto"/>
            <w:vAlign w:val="center"/>
          </w:tcPr>
          <w:p w14:paraId="5BE142A6" w14:textId="77777777" w:rsidR="00D73008" w:rsidRPr="0064613A" w:rsidRDefault="00D73008" w:rsidP="00387AE5">
            <w:pPr>
              <w:jc w:val="right"/>
              <w:rPr>
                <w:rFonts w:cs="Arial"/>
                <w:sz w:val="18"/>
                <w:szCs w:val="18"/>
              </w:rPr>
            </w:pPr>
            <w:r w:rsidRPr="0064613A">
              <w:rPr>
                <w:sz w:val="18"/>
                <w:szCs w:val="18"/>
              </w:rPr>
              <w:t>34</w:t>
            </w:r>
          </w:p>
        </w:tc>
        <w:tc>
          <w:tcPr>
            <w:tcW w:w="417" w:type="pct"/>
            <w:tcBorders>
              <w:top w:val="nil"/>
            </w:tcBorders>
            <w:shd w:val="clear" w:color="auto" w:fill="auto"/>
            <w:vAlign w:val="center"/>
          </w:tcPr>
          <w:p w14:paraId="6BC6C9A5" w14:textId="77777777" w:rsidR="00D73008" w:rsidRPr="0064613A" w:rsidRDefault="00D73008" w:rsidP="00387AE5">
            <w:pPr>
              <w:jc w:val="right"/>
              <w:rPr>
                <w:rFonts w:cs="Arial"/>
                <w:sz w:val="18"/>
                <w:szCs w:val="18"/>
              </w:rPr>
            </w:pPr>
            <w:r w:rsidRPr="0064613A">
              <w:rPr>
                <w:sz w:val="18"/>
                <w:szCs w:val="18"/>
              </w:rPr>
              <w:t>0</w:t>
            </w:r>
          </w:p>
        </w:tc>
        <w:tc>
          <w:tcPr>
            <w:tcW w:w="417" w:type="pct"/>
            <w:tcBorders>
              <w:top w:val="nil"/>
            </w:tcBorders>
            <w:shd w:val="clear" w:color="auto" w:fill="auto"/>
            <w:vAlign w:val="center"/>
          </w:tcPr>
          <w:p w14:paraId="4432BBFF" w14:textId="77777777" w:rsidR="00D73008" w:rsidRPr="0064613A" w:rsidRDefault="00D73008" w:rsidP="00387AE5">
            <w:pPr>
              <w:jc w:val="right"/>
              <w:rPr>
                <w:rFonts w:cs="Arial"/>
                <w:sz w:val="18"/>
                <w:szCs w:val="18"/>
              </w:rPr>
            </w:pPr>
            <w:r w:rsidRPr="0064613A">
              <w:rPr>
                <w:sz w:val="18"/>
                <w:szCs w:val="18"/>
              </w:rPr>
              <w:t>-2</w:t>
            </w:r>
          </w:p>
        </w:tc>
        <w:tc>
          <w:tcPr>
            <w:tcW w:w="416" w:type="pct"/>
            <w:gridSpan w:val="2"/>
            <w:tcBorders>
              <w:top w:val="nil"/>
            </w:tcBorders>
            <w:shd w:val="clear" w:color="auto" w:fill="auto"/>
            <w:vAlign w:val="center"/>
          </w:tcPr>
          <w:p w14:paraId="6963059E" w14:textId="77777777" w:rsidR="00D73008" w:rsidRPr="0064613A" w:rsidRDefault="00D73008" w:rsidP="00387AE5">
            <w:pPr>
              <w:jc w:val="right"/>
              <w:rPr>
                <w:rFonts w:cs="Arial"/>
                <w:sz w:val="18"/>
                <w:szCs w:val="18"/>
              </w:rPr>
            </w:pPr>
            <w:r w:rsidRPr="0064613A">
              <w:rPr>
                <w:sz w:val="18"/>
                <w:szCs w:val="18"/>
              </w:rPr>
              <w:t>-27</w:t>
            </w:r>
          </w:p>
        </w:tc>
        <w:tc>
          <w:tcPr>
            <w:tcW w:w="416" w:type="pct"/>
            <w:tcBorders>
              <w:top w:val="nil"/>
            </w:tcBorders>
            <w:shd w:val="clear" w:color="auto" w:fill="auto"/>
            <w:vAlign w:val="center"/>
          </w:tcPr>
          <w:p w14:paraId="16DB7264" w14:textId="77777777" w:rsidR="00D73008" w:rsidRPr="0064613A" w:rsidRDefault="00D73008" w:rsidP="00387AE5">
            <w:pPr>
              <w:jc w:val="right"/>
              <w:rPr>
                <w:rFonts w:cs="Arial"/>
                <w:sz w:val="18"/>
                <w:szCs w:val="18"/>
              </w:rPr>
            </w:pPr>
            <w:r w:rsidRPr="0064613A">
              <w:rPr>
                <w:sz w:val="18"/>
                <w:szCs w:val="18"/>
              </w:rPr>
              <w:t>-27</w:t>
            </w:r>
          </w:p>
        </w:tc>
      </w:tr>
      <w:tr w:rsidR="00D73008" w:rsidRPr="00AA3D60" w14:paraId="7D1734E3" w14:textId="77777777" w:rsidTr="00387AE5">
        <w:trPr>
          <w:trHeight w:val="232"/>
        </w:trPr>
        <w:tc>
          <w:tcPr>
            <w:tcW w:w="2500" w:type="pct"/>
            <w:tcBorders>
              <w:top w:val="nil"/>
              <w:left w:val="nil"/>
            </w:tcBorders>
            <w:shd w:val="clear" w:color="auto" w:fill="auto"/>
            <w:vAlign w:val="center"/>
          </w:tcPr>
          <w:p w14:paraId="14B3399D" w14:textId="77777777" w:rsidR="00D73008" w:rsidRPr="00AA3D60" w:rsidRDefault="00D73008" w:rsidP="00387AE5">
            <w:pPr>
              <w:ind w:left="356"/>
              <w:rPr>
                <w:sz w:val="18"/>
                <w:szCs w:val="18"/>
              </w:rPr>
            </w:pPr>
            <w:r w:rsidRPr="00AA3D60">
              <w:rPr>
                <w:sz w:val="18"/>
                <w:szCs w:val="18"/>
              </w:rPr>
              <w:t>z toho: Dopravné podniky obcí</w:t>
            </w:r>
          </w:p>
        </w:tc>
        <w:tc>
          <w:tcPr>
            <w:tcW w:w="417" w:type="pct"/>
            <w:tcBorders>
              <w:top w:val="nil"/>
            </w:tcBorders>
            <w:shd w:val="clear" w:color="auto" w:fill="auto"/>
            <w:vAlign w:val="center"/>
          </w:tcPr>
          <w:p w14:paraId="3AB5F3B5" w14:textId="77777777" w:rsidR="00D73008" w:rsidRPr="0064613A" w:rsidRDefault="00D73008" w:rsidP="00387AE5">
            <w:pPr>
              <w:jc w:val="right"/>
              <w:rPr>
                <w:rFonts w:cs="Arial"/>
                <w:sz w:val="18"/>
                <w:szCs w:val="18"/>
              </w:rPr>
            </w:pPr>
            <w:r w:rsidRPr="0064613A">
              <w:rPr>
                <w:sz w:val="18"/>
                <w:szCs w:val="18"/>
              </w:rPr>
              <w:t>-4</w:t>
            </w:r>
          </w:p>
        </w:tc>
        <w:tc>
          <w:tcPr>
            <w:tcW w:w="417" w:type="pct"/>
            <w:tcBorders>
              <w:top w:val="nil"/>
            </w:tcBorders>
            <w:shd w:val="clear" w:color="auto" w:fill="auto"/>
            <w:vAlign w:val="center"/>
          </w:tcPr>
          <w:p w14:paraId="71533F04" w14:textId="77777777" w:rsidR="00D73008" w:rsidRPr="0064613A" w:rsidRDefault="00D73008" w:rsidP="00387AE5">
            <w:pPr>
              <w:jc w:val="right"/>
              <w:rPr>
                <w:rFonts w:cs="Arial"/>
                <w:sz w:val="18"/>
                <w:szCs w:val="18"/>
              </w:rPr>
            </w:pPr>
            <w:r w:rsidRPr="0064613A">
              <w:rPr>
                <w:sz w:val="18"/>
                <w:szCs w:val="18"/>
              </w:rPr>
              <w:t>-4</w:t>
            </w:r>
          </w:p>
        </w:tc>
        <w:tc>
          <w:tcPr>
            <w:tcW w:w="417" w:type="pct"/>
            <w:tcBorders>
              <w:top w:val="nil"/>
            </w:tcBorders>
            <w:shd w:val="clear" w:color="auto" w:fill="auto"/>
            <w:vAlign w:val="center"/>
          </w:tcPr>
          <w:p w14:paraId="21A57B9C" w14:textId="77777777" w:rsidR="00D73008" w:rsidRPr="0064613A" w:rsidRDefault="00D73008" w:rsidP="00387AE5">
            <w:pPr>
              <w:jc w:val="right"/>
              <w:rPr>
                <w:rFonts w:cs="Arial"/>
                <w:sz w:val="18"/>
                <w:szCs w:val="18"/>
              </w:rPr>
            </w:pPr>
            <w:r w:rsidRPr="0064613A">
              <w:rPr>
                <w:sz w:val="18"/>
                <w:szCs w:val="18"/>
              </w:rPr>
              <w:t>-3</w:t>
            </w:r>
          </w:p>
        </w:tc>
        <w:tc>
          <w:tcPr>
            <w:tcW w:w="417" w:type="pct"/>
            <w:tcBorders>
              <w:top w:val="nil"/>
            </w:tcBorders>
            <w:shd w:val="clear" w:color="auto" w:fill="auto"/>
            <w:vAlign w:val="center"/>
          </w:tcPr>
          <w:p w14:paraId="6483CC96" w14:textId="77777777" w:rsidR="00D73008" w:rsidRPr="0064613A" w:rsidRDefault="00D73008" w:rsidP="00387AE5">
            <w:pPr>
              <w:jc w:val="right"/>
              <w:rPr>
                <w:rFonts w:cs="Arial"/>
                <w:sz w:val="18"/>
                <w:szCs w:val="18"/>
              </w:rPr>
            </w:pPr>
            <w:r w:rsidRPr="0064613A">
              <w:rPr>
                <w:sz w:val="18"/>
                <w:szCs w:val="18"/>
              </w:rPr>
              <w:t>-4</w:t>
            </w:r>
          </w:p>
        </w:tc>
        <w:tc>
          <w:tcPr>
            <w:tcW w:w="416" w:type="pct"/>
            <w:gridSpan w:val="2"/>
            <w:tcBorders>
              <w:top w:val="nil"/>
            </w:tcBorders>
            <w:shd w:val="clear" w:color="auto" w:fill="auto"/>
            <w:vAlign w:val="center"/>
          </w:tcPr>
          <w:p w14:paraId="2F4C8A2F" w14:textId="77777777" w:rsidR="00D73008" w:rsidRPr="0064613A" w:rsidRDefault="00D73008" w:rsidP="00387AE5">
            <w:pPr>
              <w:jc w:val="right"/>
              <w:rPr>
                <w:rFonts w:cs="Arial"/>
                <w:sz w:val="18"/>
                <w:szCs w:val="18"/>
              </w:rPr>
            </w:pPr>
            <w:r w:rsidRPr="0064613A">
              <w:rPr>
                <w:sz w:val="18"/>
                <w:szCs w:val="18"/>
              </w:rPr>
              <w:t>-4</w:t>
            </w:r>
          </w:p>
        </w:tc>
        <w:tc>
          <w:tcPr>
            <w:tcW w:w="416" w:type="pct"/>
            <w:tcBorders>
              <w:top w:val="nil"/>
            </w:tcBorders>
            <w:shd w:val="clear" w:color="auto" w:fill="auto"/>
            <w:vAlign w:val="center"/>
          </w:tcPr>
          <w:p w14:paraId="265DF1EF" w14:textId="77777777" w:rsidR="00D73008" w:rsidRPr="0064613A" w:rsidRDefault="00D73008" w:rsidP="00387AE5">
            <w:pPr>
              <w:jc w:val="right"/>
              <w:rPr>
                <w:rFonts w:cs="Arial"/>
                <w:sz w:val="18"/>
                <w:szCs w:val="18"/>
              </w:rPr>
            </w:pPr>
            <w:r w:rsidRPr="0064613A">
              <w:rPr>
                <w:sz w:val="18"/>
                <w:szCs w:val="18"/>
              </w:rPr>
              <w:t>-1</w:t>
            </w:r>
          </w:p>
        </w:tc>
      </w:tr>
      <w:tr w:rsidR="00D73008" w:rsidRPr="00AA3D60" w14:paraId="5EC402E1" w14:textId="77777777" w:rsidTr="00387AE5">
        <w:trPr>
          <w:trHeight w:val="232"/>
        </w:trPr>
        <w:tc>
          <w:tcPr>
            <w:tcW w:w="2500" w:type="pct"/>
            <w:tcBorders>
              <w:top w:val="nil"/>
              <w:left w:val="nil"/>
            </w:tcBorders>
            <w:shd w:val="clear" w:color="auto" w:fill="auto"/>
            <w:vAlign w:val="center"/>
          </w:tcPr>
          <w:p w14:paraId="7E54EB36" w14:textId="77777777" w:rsidR="00D73008" w:rsidRPr="00AA3D60" w:rsidRDefault="00D73008" w:rsidP="00387AE5">
            <w:pPr>
              <w:rPr>
                <w:sz w:val="18"/>
                <w:szCs w:val="18"/>
              </w:rPr>
            </w:pPr>
            <w:r w:rsidRPr="00AA3D60">
              <w:rPr>
                <w:sz w:val="18"/>
                <w:szCs w:val="18"/>
              </w:rPr>
              <w:t>- emisný diskont</w:t>
            </w:r>
          </w:p>
        </w:tc>
        <w:tc>
          <w:tcPr>
            <w:tcW w:w="417" w:type="pct"/>
            <w:tcBorders>
              <w:top w:val="nil"/>
            </w:tcBorders>
            <w:shd w:val="clear" w:color="auto" w:fill="auto"/>
          </w:tcPr>
          <w:p w14:paraId="1AD07579" w14:textId="77777777" w:rsidR="00D73008" w:rsidRPr="00044758" w:rsidRDefault="00D73008" w:rsidP="00387AE5">
            <w:pPr>
              <w:jc w:val="right"/>
              <w:rPr>
                <w:rFonts w:cs="Arial"/>
                <w:sz w:val="18"/>
                <w:szCs w:val="18"/>
              </w:rPr>
            </w:pPr>
            <w:r w:rsidRPr="00044758">
              <w:rPr>
                <w:sz w:val="18"/>
                <w:szCs w:val="18"/>
              </w:rPr>
              <w:t>68</w:t>
            </w:r>
          </w:p>
        </w:tc>
        <w:tc>
          <w:tcPr>
            <w:tcW w:w="417" w:type="pct"/>
            <w:tcBorders>
              <w:top w:val="nil"/>
            </w:tcBorders>
            <w:shd w:val="clear" w:color="auto" w:fill="auto"/>
          </w:tcPr>
          <w:p w14:paraId="4A376A5D" w14:textId="77777777" w:rsidR="00D73008" w:rsidRPr="00044758" w:rsidRDefault="00D73008" w:rsidP="00387AE5">
            <w:pPr>
              <w:jc w:val="right"/>
              <w:rPr>
                <w:rFonts w:cs="Arial"/>
                <w:sz w:val="18"/>
                <w:szCs w:val="18"/>
              </w:rPr>
            </w:pPr>
            <w:r w:rsidRPr="00044758">
              <w:rPr>
                <w:sz w:val="18"/>
                <w:szCs w:val="18"/>
              </w:rPr>
              <w:t>7</w:t>
            </w:r>
          </w:p>
        </w:tc>
        <w:tc>
          <w:tcPr>
            <w:tcW w:w="417" w:type="pct"/>
            <w:tcBorders>
              <w:top w:val="nil"/>
            </w:tcBorders>
            <w:shd w:val="clear" w:color="auto" w:fill="auto"/>
          </w:tcPr>
          <w:p w14:paraId="4AF84F98" w14:textId="77777777" w:rsidR="00D73008" w:rsidRPr="00044758" w:rsidRDefault="00D73008" w:rsidP="00387AE5">
            <w:pPr>
              <w:jc w:val="right"/>
              <w:rPr>
                <w:rFonts w:cs="Arial"/>
                <w:sz w:val="18"/>
                <w:szCs w:val="18"/>
              </w:rPr>
            </w:pPr>
            <w:r w:rsidRPr="00044758">
              <w:rPr>
                <w:sz w:val="18"/>
                <w:szCs w:val="18"/>
              </w:rPr>
              <w:t>12</w:t>
            </w:r>
          </w:p>
        </w:tc>
        <w:tc>
          <w:tcPr>
            <w:tcW w:w="417" w:type="pct"/>
            <w:tcBorders>
              <w:top w:val="nil"/>
            </w:tcBorders>
            <w:shd w:val="clear" w:color="auto" w:fill="auto"/>
          </w:tcPr>
          <w:p w14:paraId="331263F2" w14:textId="77777777" w:rsidR="00D73008" w:rsidRPr="00044758" w:rsidRDefault="00D73008" w:rsidP="00387AE5">
            <w:pPr>
              <w:jc w:val="right"/>
              <w:rPr>
                <w:rFonts w:cs="Arial"/>
                <w:sz w:val="18"/>
                <w:szCs w:val="18"/>
              </w:rPr>
            </w:pPr>
            <w:r w:rsidRPr="00044758">
              <w:rPr>
                <w:sz w:val="18"/>
                <w:szCs w:val="18"/>
              </w:rPr>
              <w:t>170</w:t>
            </w:r>
          </w:p>
        </w:tc>
        <w:tc>
          <w:tcPr>
            <w:tcW w:w="416" w:type="pct"/>
            <w:gridSpan w:val="2"/>
            <w:tcBorders>
              <w:top w:val="nil"/>
            </w:tcBorders>
            <w:shd w:val="clear" w:color="auto" w:fill="auto"/>
          </w:tcPr>
          <w:p w14:paraId="6390F9B4" w14:textId="77777777" w:rsidR="00D73008" w:rsidRPr="00044758" w:rsidRDefault="00D73008" w:rsidP="00387AE5">
            <w:pPr>
              <w:jc w:val="right"/>
              <w:rPr>
                <w:rFonts w:cs="Arial"/>
                <w:sz w:val="18"/>
                <w:szCs w:val="18"/>
              </w:rPr>
            </w:pPr>
            <w:r w:rsidRPr="00044758">
              <w:rPr>
                <w:sz w:val="18"/>
                <w:szCs w:val="18"/>
              </w:rPr>
              <w:t>261</w:t>
            </w:r>
          </w:p>
        </w:tc>
        <w:tc>
          <w:tcPr>
            <w:tcW w:w="416" w:type="pct"/>
            <w:tcBorders>
              <w:top w:val="nil"/>
            </w:tcBorders>
            <w:shd w:val="clear" w:color="auto" w:fill="auto"/>
          </w:tcPr>
          <w:p w14:paraId="4BC85079" w14:textId="77777777" w:rsidR="00D73008" w:rsidRPr="00044758" w:rsidRDefault="00D73008" w:rsidP="00387AE5">
            <w:pPr>
              <w:jc w:val="right"/>
              <w:rPr>
                <w:rFonts w:cs="Arial"/>
                <w:sz w:val="18"/>
                <w:szCs w:val="18"/>
              </w:rPr>
            </w:pPr>
            <w:r w:rsidRPr="00044758">
              <w:rPr>
                <w:sz w:val="18"/>
                <w:szCs w:val="18"/>
              </w:rPr>
              <w:t>347</w:t>
            </w:r>
          </w:p>
        </w:tc>
      </w:tr>
      <w:tr w:rsidR="00D73008" w:rsidRPr="00AA3D60" w14:paraId="5D6CC9D9" w14:textId="77777777" w:rsidTr="00387AE5">
        <w:trPr>
          <w:trHeight w:val="232"/>
        </w:trPr>
        <w:tc>
          <w:tcPr>
            <w:tcW w:w="2500" w:type="pct"/>
            <w:tcBorders>
              <w:top w:val="nil"/>
              <w:left w:val="nil"/>
            </w:tcBorders>
            <w:shd w:val="clear" w:color="auto" w:fill="auto"/>
            <w:vAlign w:val="center"/>
          </w:tcPr>
          <w:p w14:paraId="20AF522C" w14:textId="77777777" w:rsidR="00D73008" w:rsidRPr="00AA3D60" w:rsidRDefault="00D73008" w:rsidP="00387AE5">
            <w:pPr>
              <w:rPr>
                <w:sz w:val="18"/>
                <w:szCs w:val="18"/>
              </w:rPr>
            </w:pPr>
            <w:r w:rsidRPr="00AA3D60">
              <w:rPr>
                <w:sz w:val="18"/>
                <w:szCs w:val="18"/>
              </w:rPr>
              <w:t>- diskont pri splatnosti</w:t>
            </w:r>
          </w:p>
        </w:tc>
        <w:tc>
          <w:tcPr>
            <w:tcW w:w="417" w:type="pct"/>
            <w:tcBorders>
              <w:top w:val="nil"/>
            </w:tcBorders>
            <w:shd w:val="clear" w:color="auto" w:fill="auto"/>
          </w:tcPr>
          <w:p w14:paraId="00F03310" w14:textId="77777777" w:rsidR="00D73008" w:rsidRPr="00044758" w:rsidRDefault="00D73008" w:rsidP="00387AE5">
            <w:pPr>
              <w:jc w:val="right"/>
              <w:rPr>
                <w:rFonts w:cs="Arial"/>
                <w:sz w:val="18"/>
                <w:szCs w:val="18"/>
              </w:rPr>
            </w:pPr>
            <w:r w:rsidRPr="00044758">
              <w:rPr>
                <w:sz w:val="18"/>
                <w:szCs w:val="18"/>
              </w:rPr>
              <w:t>-62</w:t>
            </w:r>
          </w:p>
        </w:tc>
        <w:tc>
          <w:tcPr>
            <w:tcW w:w="417" w:type="pct"/>
            <w:tcBorders>
              <w:top w:val="nil"/>
            </w:tcBorders>
            <w:shd w:val="clear" w:color="auto" w:fill="auto"/>
          </w:tcPr>
          <w:p w14:paraId="19E38E75" w14:textId="77777777" w:rsidR="00D73008" w:rsidRPr="00044758" w:rsidRDefault="00D73008" w:rsidP="00387AE5">
            <w:pPr>
              <w:jc w:val="right"/>
              <w:rPr>
                <w:rFonts w:cs="Arial"/>
                <w:sz w:val="18"/>
                <w:szCs w:val="18"/>
              </w:rPr>
            </w:pPr>
            <w:r w:rsidRPr="00044758">
              <w:rPr>
                <w:sz w:val="18"/>
                <w:szCs w:val="18"/>
              </w:rPr>
              <w:t>-7</w:t>
            </w:r>
          </w:p>
        </w:tc>
        <w:tc>
          <w:tcPr>
            <w:tcW w:w="417" w:type="pct"/>
            <w:tcBorders>
              <w:top w:val="nil"/>
            </w:tcBorders>
            <w:shd w:val="clear" w:color="auto" w:fill="auto"/>
          </w:tcPr>
          <w:p w14:paraId="49DCE756" w14:textId="77777777" w:rsidR="00D73008" w:rsidRPr="00044758" w:rsidRDefault="00D73008" w:rsidP="00387AE5">
            <w:pPr>
              <w:jc w:val="right"/>
              <w:rPr>
                <w:rFonts w:cs="Arial"/>
                <w:sz w:val="18"/>
                <w:szCs w:val="18"/>
              </w:rPr>
            </w:pPr>
            <w:r w:rsidRPr="00044758">
              <w:rPr>
                <w:sz w:val="18"/>
                <w:szCs w:val="18"/>
              </w:rPr>
              <w:t>1</w:t>
            </w:r>
          </w:p>
        </w:tc>
        <w:tc>
          <w:tcPr>
            <w:tcW w:w="417" w:type="pct"/>
            <w:tcBorders>
              <w:top w:val="nil"/>
            </w:tcBorders>
            <w:shd w:val="clear" w:color="auto" w:fill="auto"/>
          </w:tcPr>
          <w:p w14:paraId="3AA3A280" w14:textId="77777777" w:rsidR="00D73008" w:rsidRPr="00044758" w:rsidRDefault="00D73008" w:rsidP="00387AE5">
            <w:pPr>
              <w:jc w:val="right"/>
              <w:rPr>
                <w:rFonts w:cs="Arial"/>
                <w:sz w:val="18"/>
                <w:szCs w:val="18"/>
              </w:rPr>
            </w:pPr>
            <w:r w:rsidRPr="00044758">
              <w:rPr>
                <w:sz w:val="18"/>
                <w:szCs w:val="18"/>
              </w:rPr>
              <w:t>-59</w:t>
            </w:r>
          </w:p>
        </w:tc>
        <w:tc>
          <w:tcPr>
            <w:tcW w:w="416" w:type="pct"/>
            <w:gridSpan w:val="2"/>
            <w:tcBorders>
              <w:top w:val="nil"/>
            </w:tcBorders>
            <w:shd w:val="clear" w:color="auto" w:fill="auto"/>
          </w:tcPr>
          <w:p w14:paraId="329DD8F9" w14:textId="77777777" w:rsidR="00D73008" w:rsidRPr="00044758" w:rsidRDefault="00D73008" w:rsidP="00387AE5">
            <w:pPr>
              <w:jc w:val="right"/>
              <w:rPr>
                <w:rFonts w:cs="Arial"/>
                <w:sz w:val="18"/>
                <w:szCs w:val="18"/>
              </w:rPr>
            </w:pPr>
            <w:r w:rsidRPr="00044758">
              <w:rPr>
                <w:sz w:val="18"/>
                <w:szCs w:val="18"/>
              </w:rPr>
              <w:t>-7</w:t>
            </w:r>
          </w:p>
        </w:tc>
        <w:tc>
          <w:tcPr>
            <w:tcW w:w="416" w:type="pct"/>
            <w:tcBorders>
              <w:top w:val="nil"/>
            </w:tcBorders>
            <w:shd w:val="clear" w:color="auto" w:fill="auto"/>
          </w:tcPr>
          <w:p w14:paraId="6C99A571" w14:textId="77777777" w:rsidR="00D73008" w:rsidRPr="00044758" w:rsidRDefault="00D73008" w:rsidP="00387AE5">
            <w:pPr>
              <w:jc w:val="right"/>
              <w:rPr>
                <w:rFonts w:cs="Arial"/>
                <w:sz w:val="18"/>
                <w:szCs w:val="18"/>
              </w:rPr>
            </w:pPr>
            <w:r w:rsidRPr="00044758">
              <w:rPr>
                <w:sz w:val="18"/>
                <w:szCs w:val="18"/>
              </w:rPr>
              <w:t>-11</w:t>
            </w:r>
          </w:p>
        </w:tc>
      </w:tr>
      <w:tr w:rsidR="00D73008" w:rsidRPr="00AA3D60" w14:paraId="6DD33FC0" w14:textId="77777777" w:rsidTr="00387AE5">
        <w:trPr>
          <w:trHeight w:val="232"/>
        </w:trPr>
        <w:tc>
          <w:tcPr>
            <w:tcW w:w="2500" w:type="pct"/>
            <w:tcBorders>
              <w:top w:val="nil"/>
              <w:left w:val="nil"/>
              <w:bottom w:val="single" w:sz="4" w:space="0" w:color="auto"/>
            </w:tcBorders>
            <w:shd w:val="clear" w:color="auto" w:fill="auto"/>
            <w:vAlign w:val="center"/>
          </w:tcPr>
          <w:p w14:paraId="318875F4" w14:textId="77777777" w:rsidR="00D73008" w:rsidRPr="00AA3D60" w:rsidRDefault="00D73008" w:rsidP="00387AE5">
            <w:pPr>
              <w:rPr>
                <w:sz w:val="18"/>
                <w:szCs w:val="18"/>
              </w:rPr>
            </w:pPr>
            <w:r w:rsidRPr="00AA3D60">
              <w:rPr>
                <w:sz w:val="18"/>
                <w:szCs w:val="18"/>
              </w:rPr>
              <w:t>- ostatné</w:t>
            </w:r>
          </w:p>
        </w:tc>
        <w:tc>
          <w:tcPr>
            <w:tcW w:w="417" w:type="pct"/>
            <w:tcBorders>
              <w:top w:val="nil"/>
              <w:bottom w:val="single" w:sz="4" w:space="0" w:color="auto"/>
            </w:tcBorders>
            <w:shd w:val="clear" w:color="auto" w:fill="auto"/>
          </w:tcPr>
          <w:p w14:paraId="5B21EF99" w14:textId="77777777" w:rsidR="00D73008" w:rsidRPr="00044758" w:rsidRDefault="00D73008" w:rsidP="00387AE5">
            <w:pPr>
              <w:jc w:val="right"/>
              <w:rPr>
                <w:rFonts w:cs="Arial"/>
                <w:sz w:val="18"/>
                <w:szCs w:val="18"/>
              </w:rPr>
            </w:pPr>
            <w:r w:rsidRPr="00044758">
              <w:rPr>
                <w:sz w:val="18"/>
                <w:szCs w:val="18"/>
              </w:rPr>
              <w:t>-54</w:t>
            </w:r>
          </w:p>
        </w:tc>
        <w:tc>
          <w:tcPr>
            <w:tcW w:w="417" w:type="pct"/>
            <w:tcBorders>
              <w:top w:val="nil"/>
              <w:bottom w:val="single" w:sz="4" w:space="0" w:color="auto"/>
            </w:tcBorders>
            <w:shd w:val="clear" w:color="auto" w:fill="auto"/>
          </w:tcPr>
          <w:p w14:paraId="3FF1B83E" w14:textId="77777777" w:rsidR="00D73008" w:rsidRPr="00044758" w:rsidRDefault="00D73008" w:rsidP="00387AE5">
            <w:pPr>
              <w:jc w:val="right"/>
              <w:rPr>
                <w:rFonts w:cs="Arial"/>
                <w:sz w:val="18"/>
                <w:szCs w:val="18"/>
              </w:rPr>
            </w:pPr>
            <w:r w:rsidRPr="00044758">
              <w:rPr>
                <w:sz w:val="18"/>
                <w:szCs w:val="18"/>
              </w:rPr>
              <w:t>111</w:t>
            </w:r>
          </w:p>
        </w:tc>
        <w:tc>
          <w:tcPr>
            <w:tcW w:w="417" w:type="pct"/>
            <w:tcBorders>
              <w:top w:val="nil"/>
              <w:bottom w:val="single" w:sz="4" w:space="0" w:color="auto"/>
            </w:tcBorders>
            <w:shd w:val="clear" w:color="auto" w:fill="auto"/>
          </w:tcPr>
          <w:p w14:paraId="3735FF6F" w14:textId="77777777" w:rsidR="00D73008" w:rsidRPr="00044758" w:rsidRDefault="00D73008" w:rsidP="00387AE5">
            <w:pPr>
              <w:jc w:val="right"/>
              <w:rPr>
                <w:rFonts w:cs="Arial"/>
                <w:sz w:val="18"/>
                <w:szCs w:val="18"/>
              </w:rPr>
            </w:pPr>
            <w:r w:rsidRPr="00044758">
              <w:rPr>
                <w:sz w:val="18"/>
                <w:szCs w:val="18"/>
              </w:rPr>
              <w:t>-2</w:t>
            </w:r>
          </w:p>
        </w:tc>
        <w:tc>
          <w:tcPr>
            <w:tcW w:w="417" w:type="pct"/>
            <w:tcBorders>
              <w:top w:val="nil"/>
              <w:bottom w:val="single" w:sz="4" w:space="0" w:color="auto"/>
            </w:tcBorders>
            <w:shd w:val="clear" w:color="auto" w:fill="auto"/>
          </w:tcPr>
          <w:p w14:paraId="2D952828" w14:textId="77777777" w:rsidR="00D73008" w:rsidRPr="00044758" w:rsidRDefault="00D73008" w:rsidP="00387AE5">
            <w:pPr>
              <w:jc w:val="right"/>
              <w:rPr>
                <w:rFonts w:cs="Arial"/>
                <w:sz w:val="18"/>
                <w:szCs w:val="18"/>
              </w:rPr>
            </w:pPr>
            <w:r w:rsidRPr="00044758">
              <w:rPr>
                <w:sz w:val="18"/>
                <w:szCs w:val="18"/>
              </w:rPr>
              <w:t>-2</w:t>
            </w:r>
          </w:p>
        </w:tc>
        <w:tc>
          <w:tcPr>
            <w:tcW w:w="416" w:type="pct"/>
            <w:gridSpan w:val="2"/>
            <w:tcBorders>
              <w:top w:val="nil"/>
              <w:bottom w:val="single" w:sz="4" w:space="0" w:color="auto"/>
            </w:tcBorders>
            <w:shd w:val="clear" w:color="auto" w:fill="auto"/>
          </w:tcPr>
          <w:p w14:paraId="4E325069" w14:textId="77777777" w:rsidR="00D73008" w:rsidRPr="00044758" w:rsidRDefault="00D73008" w:rsidP="00387AE5">
            <w:pPr>
              <w:jc w:val="right"/>
              <w:rPr>
                <w:rFonts w:cs="Arial"/>
                <w:sz w:val="18"/>
                <w:szCs w:val="18"/>
              </w:rPr>
            </w:pPr>
            <w:r w:rsidRPr="00044758">
              <w:rPr>
                <w:sz w:val="18"/>
                <w:szCs w:val="18"/>
              </w:rPr>
              <w:t>-1</w:t>
            </w:r>
          </w:p>
        </w:tc>
        <w:tc>
          <w:tcPr>
            <w:tcW w:w="416" w:type="pct"/>
            <w:tcBorders>
              <w:top w:val="nil"/>
              <w:bottom w:val="single" w:sz="4" w:space="0" w:color="auto"/>
            </w:tcBorders>
            <w:shd w:val="clear" w:color="auto" w:fill="auto"/>
          </w:tcPr>
          <w:p w14:paraId="7B43A9BA" w14:textId="77777777" w:rsidR="00D73008" w:rsidRPr="00044758" w:rsidRDefault="00D73008" w:rsidP="00387AE5">
            <w:pPr>
              <w:jc w:val="right"/>
              <w:rPr>
                <w:rFonts w:cs="Arial"/>
                <w:sz w:val="18"/>
                <w:szCs w:val="18"/>
              </w:rPr>
            </w:pPr>
            <w:r w:rsidRPr="00044758">
              <w:rPr>
                <w:sz w:val="18"/>
                <w:szCs w:val="18"/>
              </w:rPr>
              <w:t>-2</w:t>
            </w:r>
          </w:p>
        </w:tc>
      </w:tr>
      <w:tr w:rsidR="00D73008" w:rsidRPr="00044758" w14:paraId="3F8AB0A6" w14:textId="77777777" w:rsidTr="00387AE5">
        <w:trPr>
          <w:trHeight w:val="232"/>
        </w:trPr>
        <w:tc>
          <w:tcPr>
            <w:tcW w:w="2500" w:type="pct"/>
            <w:tcBorders>
              <w:top w:val="single" w:sz="4" w:space="0" w:color="auto"/>
              <w:left w:val="nil"/>
            </w:tcBorders>
            <w:shd w:val="clear" w:color="auto" w:fill="auto"/>
            <w:vAlign w:val="center"/>
          </w:tcPr>
          <w:p w14:paraId="5C419A44" w14:textId="77777777" w:rsidR="00D73008" w:rsidRPr="00044758" w:rsidRDefault="00D73008" w:rsidP="00387AE5">
            <w:pPr>
              <w:rPr>
                <w:b/>
                <w:sz w:val="18"/>
                <w:szCs w:val="18"/>
              </w:rPr>
            </w:pPr>
            <w:r w:rsidRPr="00044758">
              <w:rPr>
                <w:b/>
                <w:sz w:val="18"/>
                <w:szCs w:val="18"/>
              </w:rPr>
              <w:t>C. Hrubý dlh verejnej správy (k 31.12.)</w:t>
            </w:r>
          </w:p>
        </w:tc>
        <w:tc>
          <w:tcPr>
            <w:tcW w:w="417" w:type="pct"/>
            <w:tcBorders>
              <w:top w:val="single" w:sz="4" w:space="0" w:color="auto"/>
            </w:tcBorders>
            <w:shd w:val="clear" w:color="auto" w:fill="auto"/>
          </w:tcPr>
          <w:p w14:paraId="5BC803BC" w14:textId="77777777" w:rsidR="00D73008" w:rsidRPr="00044758" w:rsidRDefault="00D73008" w:rsidP="00387AE5">
            <w:pPr>
              <w:jc w:val="right"/>
              <w:rPr>
                <w:rFonts w:cs="Arial"/>
                <w:b/>
                <w:bCs/>
                <w:sz w:val="18"/>
                <w:szCs w:val="18"/>
              </w:rPr>
            </w:pPr>
            <w:r w:rsidRPr="00044758">
              <w:rPr>
                <w:b/>
                <w:sz w:val="18"/>
                <w:szCs w:val="18"/>
              </w:rPr>
              <w:t>43 231</w:t>
            </w:r>
          </w:p>
        </w:tc>
        <w:tc>
          <w:tcPr>
            <w:tcW w:w="417" w:type="pct"/>
            <w:tcBorders>
              <w:top w:val="single" w:sz="4" w:space="0" w:color="auto"/>
            </w:tcBorders>
            <w:shd w:val="clear" w:color="auto" w:fill="auto"/>
          </w:tcPr>
          <w:p w14:paraId="234425C1" w14:textId="77777777" w:rsidR="00D73008" w:rsidRPr="00044758" w:rsidRDefault="00D73008" w:rsidP="00387AE5">
            <w:pPr>
              <w:jc w:val="right"/>
              <w:rPr>
                <w:rFonts w:cs="Arial"/>
                <w:b/>
                <w:bCs/>
                <w:sz w:val="18"/>
                <w:szCs w:val="18"/>
              </w:rPr>
            </w:pPr>
            <w:r w:rsidRPr="00044758">
              <w:rPr>
                <w:b/>
                <w:sz w:val="18"/>
                <w:szCs w:val="18"/>
              </w:rPr>
              <w:t>44 137</w:t>
            </w:r>
          </w:p>
        </w:tc>
        <w:tc>
          <w:tcPr>
            <w:tcW w:w="417" w:type="pct"/>
            <w:tcBorders>
              <w:top w:val="single" w:sz="4" w:space="0" w:color="auto"/>
            </w:tcBorders>
            <w:shd w:val="clear" w:color="auto" w:fill="auto"/>
          </w:tcPr>
          <w:p w14:paraId="08692A85" w14:textId="77777777" w:rsidR="00D73008" w:rsidRPr="00044758" w:rsidRDefault="00D73008" w:rsidP="00387AE5">
            <w:pPr>
              <w:jc w:val="right"/>
              <w:rPr>
                <w:rFonts w:cs="Arial"/>
                <w:b/>
                <w:bCs/>
                <w:sz w:val="18"/>
                <w:szCs w:val="18"/>
              </w:rPr>
            </w:pPr>
            <w:r w:rsidRPr="00044758">
              <w:rPr>
                <w:b/>
                <w:sz w:val="18"/>
                <w:szCs w:val="18"/>
              </w:rPr>
              <w:t>45 742</w:t>
            </w:r>
          </w:p>
        </w:tc>
        <w:tc>
          <w:tcPr>
            <w:tcW w:w="417" w:type="pct"/>
            <w:tcBorders>
              <w:top w:val="single" w:sz="4" w:space="0" w:color="auto"/>
            </w:tcBorders>
            <w:shd w:val="clear" w:color="auto" w:fill="auto"/>
          </w:tcPr>
          <w:p w14:paraId="4590D5C8" w14:textId="77777777" w:rsidR="00D73008" w:rsidRPr="00044758" w:rsidRDefault="00D73008" w:rsidP="00387AE5">
            <w:pPr>
              <w:jc w:val="right"/>
              <w:rPr>
                <w:rFonts w:cs="Arial"/>
                <w:b/>
                <w:bCs/>
                <w:sz w:val="18"/>
                <w:szCs w:val="18"/>
              </w:rPr>
            </w:pPr>
            <w:r w:rsidRPr="00044758">
              <w:rPr>
                <w:b/>
                <w:sz w:val="18"/>
                <w:szCs w:val="18"/>
              </w:rPr>
              <w:t>46 960</w:t>
            </w:r>
          </w:p>
        </w:tc>
        <w:tc>
          <w:tcPr>
            <w:tcW w:w="416" w:type="pct"/>
            <w:gridSpan w:val="2"/>
            <w:tcBorders>
              <w:top w:val="single" w:sz="4" w:space="0" w:color="auto"/>
            </w:tcBorders>
            <w:shd w:val="clear" w:color="auto" w:fill="auto"/>
          </w:tcPr>
          <w:p w14:paraId="60662C9A" w14:textId="77777777" w:rsidR="00D73008" w:rsidRPr="00044758" w:rsidRDefault="00D73008" w:rsidP="00387AE5">
            <w:pPr>
              <w:jc w:val="right"/>
              <w:rPr>
                <w:rFonts w:cs="Arial"/>
                <w:b/>
                <w:bCs/>
                <w:sz w:val="18"/>
                <w:szCs w:val="18"/>
              </w:rPr>
            </w:pPr>
            <w:r w:rsidRPr="00044758">
              <w:rPr>
                <w:b/>
                <w:sz w:val="18"/>
                <w:szCs w:val="18"/>
              </w:rPr>
              <w:t>48 527</w:t>
            </w:r>
          </w:p>
        </w:tc>
        <w:tc>
          <w:tcPr>
            <w:tcW w:w="416" w:type="pct"/>
            <w:tcBorders>
              <w:top w:val="single" w:sz="4" w:space="0" w:color="auto"/>
            </w:tcBorders>
            <w:shd w:val="clear" w:color="auto" w:fill="auto"/>
          </w:tcPr>
          <w:p w14:paraId="4AC9ECB5" w14:textId="77777777" w:rsidR="00D73008" w:rsidRPr="00044758" w:rsidRDefault="00D73008" w:rsidP="00387AE5">
            <w:pPr>
              <w:jc w:val="right"/>
              <w:rPr>
                <w:rFonts w:cs="Arial"/>
                <w:b/>
                <w:bCs/>
                <w:sz w:val="18"/>
                <w:szCs w:val="18"/>
              </w:rPr>
            </w:pPr>
            <w:r w:rsidRPr="00044758">
              <w:rPr>
                <w:b/>
                <w:sz w:val="18"/>
                <w:szCs w:val="18"/>
              </w:rPr>
              <w:t>50 302</w:t>
            </w:r>
          </w:p>
        </w:tc>
      </w:tr>
      <w:tr w:rsidR="00D73008" w:rsidRPr="00044758" w14:paraId="2F63FA5D" w14:textId="77777777" w:rsidTr="00387AE5">
        <w:trPr>
          <w:trHeight w:val="232"/>
        </w:trPr>
        <w:tc>
          <w:tcPr>
            <w:tcW w:w="2500" w:type="pct"/>
            <w:tcBorders>
              <w:top w:val="nil"/>
              <w:left w:val="nil"/>
              <w:bottom w:val="single" w:sz="4" w:space="0" w:color="auto"/>
            </w:tcBorders>
            <w:shd w:val="clear" w:color="auto" w:fill="auto"/>
            <w:vAlign w:val="center"/>
          </w:tcPr>
          <w:p w14:paraId="46A7A26D" w14:textId="77777777" w:rsidR="00D73008" w:rsidRPr="00044758" w:rsidRDefault="00D73008" w:rsidP="00387AE5">
            <w:pPr>
              <w:ind w:left="214"/>
              <w:rPr>
                <w:b/>
                <w:sz w:val="18"/>
                <w:szCs w:val="18"/>
              </w:rPr>
            </w:pPr>
            <w:r w:rsidRPr="00044758">
              <w:rPr>
                <w:b/>
                <w:sz w:val="18"/>
                <w:szCs w:val="18"/>
              </w:rPr>
              <w:t>v % HDP</w:t>
            </w:r>
          </w:p>
        </w:tc>
        <w:tc>
          <w:tcPr>
            <w:tcW w:w="417" w:type="pct"/>
            <w:tcBorders>
              <w:top w:val="nil"/>
              <w:bottom w:val="single" w:sz="4" w:space="0" w:color="auto"/>
            </w:tcBorders>
            <w:shd w:val="clear" w:color="auto" w:fill="auto"/>
          </w:tcPr>
          <w:p w14:paraId="280F0C70" w14:textId="77777777" w:rsidR="00D73008" w:rsidRPr="00044758" w:rsidRDefault="00D73008" w:rsidP="00387AE5">
            <w:pPr>
              <w:jc w:val="right"/>
              <w:rPr>
                <w:rFonts w:cs="Arial"/>
                <w:b/>
                <w:bCs/>
                <w:sz w:val="18"/>
                <w:szCs w:val="18"/>
              </w:rPr>
            </w:pPr>
            <w:r w:rsidRPr="00044758">
              <w:rPr>
                <w:b/>
                <w:sz w:val="18"/>
                <w:szCs w:val="18"/>
              </w:rPr>
              <w:t>50,9</w:t>
            </w:r>
          </w:p>
        </w:tc>
        <w:tc>
          <w:tcPr>
            <w:tcW w:w="417" w:type="pct"/>
            <w:tcBorders>
              <w:top w:val="nil"/>
              <w:bottom w:val="single" w:sz="4" w:space="0" w:color="auto"/>
            </w:tcBorders>
            <w:shd w:val="clear" w:color="auto" w:fill="auto"/>
          </w:tcPr>
          <w:p w14:paraId="645CDA2F" w14:textId="77777777" w:rsidR="00D73008" w:rsidRPr="00044758" w:rsidRDefault="00D73008" w:rsidP="00387AE5">
            <w:pPr>
              <w:jc w:val="right"/>
              <w:rPr>
                <w:rFonts w:cs="Arial"/>
                <w:b/>
                <w:bCs/>
                <w:sz w:val="18"/>
                <w:szCs w:val="18"/>
              </w:rPr>
            </w:pPr>
            <w:r w:rsidRPr="00044758">
              <w:rPr>
                <w:b/>
                <w:sz w:val="18"/>
                <w:szCs w:val="18"/>
              </w:rPr>
              <w:t>48,9</w:t>
            </w:r>
          </w:p>
        </w:tc>
        <w:tc>
          <w:tcPr>
            <w:tcW w:w="417" w:type="pct"/>
            <w:tcBorders>
              <w:top w:val="nil"/>
              <w:bottom w:val="single" w:sz="4" w:space="0" w:color="auto"/>
            </w:tcBorders>
            <w:shd w:val="clear" w:color="auto" w:fill="auto"/>
          </w:tcPr>
          <w:p w14:paraId="592B3170" w14:textId="77777777" w:rsidR="00D73008" w:rsidRPr="00044758" w:rsidRDefault="00D73008" w:rsidP="00387AE5">
            <w:pPr>
              <w:jc w:val="right"/>
              <w:rPr>
                <w:rFonts w:cs="Arial"/>
                <w:b/>
                <w:bCs/>
                <w:sz w:val="18"/>
                <w:szCs w:val="18"/>
              </w:rPr>
            </w:pPr>
            <w:r w:rsidRPr="00044758">
              <w:rPr>
                <w:b/>
                <w:sz w:val="18"/>
                <w:szCs w:val="18"/>
              </w:rPr>
              <w:t>47,5</w:t>
            </w:r>
          </w:p>
        </w:tc>
        <w:tc>
          <w:tcPr>
            <w:tcW w:w="417" w:type="pct"/>
            <w:tcBorders>
              <w:top w:val="nil"/>
              <w:bottom w:val="single" w:sz="4" w:space="0" w:color="auto"/>
            </w:tcBorders>
            <w:shd w:val="clear" w:color="auto" w:fill="auto"/>
          </w:tcPr>
          <w:p w14:paraId="691472E5" w14:textId="77777777" w:rsidR="00D73008" w:rsidRPr="00044758" w:rsidRDefault="00D73008" w:rsidP="00387AE5">
            <w:pPr>
              <w:jc w:val="right"/>
              <w:rPr>
                <w:rFonts w:cs="Arial"/>
                <w:b/>
                <w:bCs/>
                <w:sz w:val="18"/>
                <w:szCs w:val="18"/>
              </w:rPr>
            </w:pPr>
            <w:r w:rsidRPr="00044758">
              <w:rPr>
                <w:b/>
                <w:sz w:val="18"/>
                <w:szCs w:val="18"/>
              </w:rPr>
              <w:t>45,9</w:t>
            </w:r>
          </w:p>
        </w:tc>
        <w:tc>
          <w:tcPr>
            <w:tcW w:w="416" w:type="pct"/>
            <w:gridSpan w:val="2"/>
            <w:tcBorders>
              <w:top w:val="nil"/>
              <w:bottom w:val="single" w:sz="4" w:space="0" w:color="auto"/>
            </w:tcBorders>
            <w:shd w:val="clear" w:color="auto" w:fill="auto"/>
          </w:tcPr>
          <w:p w14:paraId="5088B9E5" w14:textId="77777777" w:rsidR="00D73008" w:rsidRPr="00044758" w:rsidRDefault="00D73008" w:rsidP="00387AE5">
            <w:pPr>
              <w:jc w:val="right"/>
              <w:rPr>
                <w:rFonts w:cs="Arial"/>
                <w:b/>
                <w:bCs/>
                <w:sz w:val="18"/>
                <w:szCs w:val="18"/>
              </w:rPr>
            </w:pPr>
            <w:r w:rsidRPr="00044758">
              <w:rPr>
                <w:b/>
                <w:sz w:val="18"/>
                <w:szCs w:val="18"/>
              </w:rPr>
              <w:t>44,9</w:t>
            </w:r>
          </w:p>
        </w:tc>
        <w:tc>
          <w:tcPr>
            <w:tcW w:w="416" w:type="pct"/>
            <w:tcBorders>
              <w:top w:val="nil"/>
              <w:bottom w:val="single" w:sz="4" w:space="0" w:color="auto"/>
            </w:tcBorders>
            <w:shd w:val="clear" w:color="auto" w:fill="auto"/>
          </w:tcPr>
          <w:p w14:paraId="285065F4" w14:textId="77777777" w:rsidR="00D73008" w:rsidRPr="00044758" w:rsidRDefault="00D73008" w:rsidP="00387AE5">
            <w:pPr>
              <w:jc w:val="right"/>
              <w:rPr>
                <w:rFonts w:cs="Arial"/>
                <w:b/>
                <w:bCs/>
                <w:sz w:val="18"/>
                <w:szCs w:val="18"/>
              </w:rPr>
            </w:pPr>
            <w:r w:rsidRPr="00044758">
              <w:rPr>
                <w:b/>
                <w:sz w:val="18"/>
                <w:szCs w:val="18"/>
              </w:rPr>
              <w:t>44,4</w:t>
            </w:r>
          </w:p>
        </w:tc>
      </w:tr>
      <w:tr w:rsidR="00D73008" w:rsidRPr="00AA3D60" w14:paraId="31386362" w14:textId="77777777" w:rsidTr="00387AE5">
        <w:trPr>
          <w:trHeight w:val="230"/>
        </w:trPr>
        <w:tc>
          <w:tcPr>
            <w:tcW w:w="4355" w:type="pct"/>
            <w:gridSpan w:val="6"/>
            <w:tcBorders>
              <w:left w:val="nil"/>
              <w:right w:val="nil"/>
            </w:tcBorders>
            <w:shd w:val="clear" w:color="auto" w:fill="auto"/>
            <w:vAlign w:val="center"/>
          </w:tcPr>
          <w:p w14:paraId="29888885" w14:textId="77777777" w:rsidR="00D73008" w:rsidRPr="00AA3D60" w:rsidRDefault="00D73008" w:rsidP="00387AE5">
            <w:pPr>
              <w:rPr>
                <w:sz w:val="16"/>
                <w:szCs w:val="16"/>
              </w:rPr>
            </w:pPr>
            <w:r w:rsidRPr="00AA3D60">
              <w:rPr>
                <w:i/>
                <w:sz w:val="16"/>
                <w:szCs w:val="16"/>
              </w:rPr>
              <w:t>Pozn.: Plusové položky zvyšujú dlh verejnej správy k 31.12. príslušného roku, mínusové položky dlh znižujú.</w:t>
            </w:r>
          </w:p>
        </w:tc>
        <w:tc>
          <w:tcPr>
            <w:tcW w:w="645" w:type="pct"/>
            <w:gridSpan w:val="2"/>
            <w:tcBorders>
              <w:left w:val="nil"/>
              <w:right w:val="nil"/>
            </w:tcBorders>
            <w:shd w:val="clear" w:color="auto" w:fill="auto"/>
            <w:vAlign w:val="center"/>
          </w:tcPr>
          <w:p w14:paraId="75EA1BC6" w14:textId="77777777" w:rsidR="00D73008" w:rsidRPr="00AA3D60" w:rsidRDefault="00D73008" w:rsidP="00387AE5">
            <w:pPr>
              <w:jc w:val="right"/>
              <w:rPr>
                <w:i/>
                <w:sz w:val="16"/>
                <w:szCs w:val="16"/>
              </w:rPr>
            </w:pPr>
            <w:r w:rsidRPr="00AA3D60">
              <w:rPr>
                <w:i/>
                <w:sz w:val="16"/>
                <w:szCs w:val="16"/>
              </w:rPr>
              <w:t>Zdroj: MF SR</w:t>
            </w:r>
          </w:p>
        </w:tc>
      </w:tr>
      <w:tr w:rsidR="00D73008" w:rsidRPr="00AA3D60" w14:paraId="22CFC0E1" w14:textId="77777777" w:rsidTr="00387AE5">
        <w:trPr>
          <w:trHeight w:val="230"/>
        </w:trPr>
        <w:tc>
          <w:tcPr>
            <w:tcW w:w="4355" w:type="pct"/>
            <w:gridSpan w:val="6"/>
            <w:tcBorders>
              <w:left w:val="nil"/>
              <w:right w:val="nil"/>
            </w:tcBorders>
            <w:shd w:val="clear" w:color="auto" w:fill="auto"/>
            <w:vAlign w:val="center"/>
          </w:tcPr>
          <w:p w14:paraId="5B49622B" w14:textId="77777777" w:rsidR="00D73008" w:rsidRDefault="00D73008" w:rsidP="00387AE5">
            <w:pPr>
              <w:rPr>
                <w:i/>
                <w:sz w:val="16"/>
                <w:szCs w:val="16"/>
              </w:rPr>
            </w:pPr>
          </w:p>
          <w:p w14:paraId="2947F4F9" w14:textId="77777777" w:rsidR="00D73008" w:rsidRDefault="00D73008" w:rsidP="00387AE5">
            <w:pPr>
              <w:rPr>
                <w:i/>
                <w:sz w:val="16"/>
                <w:szCs w:val="16"/>
              </w:rPr>
            </w:pPr>
          </w:p>
          <w:p w14:paraId="488DB6C5" w14:textId="77777777" w:rsidR="00D73008" w:rsidRPr="00AA3D60" w:rsidRDefault="00D73008" w:rsidP="00387AE5">
            <w:pPr>
              <w:rPr>
                <w:i/>
                <w:sz w:val="16"/>
                <w:szCs w:val="16"/>
              </w:rPr>
            </w:pPr>
          </w:p>
        </w:tc>
        <w:tc>
          <w:tcPr>
            <w:tcW w:w="645" w:type="pct"/>
            <w:gridSpan w:val="2"/>
            <w:tcBorders>
              <w:left w:val="nil"/>
              <w:right w:val="nil"/>
            </w:tcBorders>
            <w:shd w:val="clear" w:color="auto" w:fill="auto"/>
            <w:vAlign w:val="center"/>
          </w:tcPr>
          <w:p w14:paraId="7FA973E3" w14:textId="77777777" w:rsidR="00D73008" w:rsidRPr="00AA3D60" w:rsidRDefault="00D73008" w:rsidP="00387AE5">
            <w:pPr>
              <w:jc w:val="right"/>
              <w:rPr>
                <w:i/>
                <w:sz w:val="16"/>
                <w:szCs w:val="16"/>
              </w:rPr>
            </w:pPr>
          </w:p>
        </w:tc>
      </w:tr>
    </w:tbl>
    <w:p w14:paraId="1727437E" w14:textId="77777777" w:rsidR="00D73008" w:rsidRDefault="00D73008" w:rsidP="00D73008">
      <w:pPr>
        <w:spacing w:after="160" w:line="259" w:lineRule="auto"/>
        <w:rPr>
          <w:rFonts w:eastAsia="Arial Narrow" w:cs="Arial Narrow"/>
          <w:b/>
          <w:bCs/>
          <w:color w:val="2C9ADC" w:themeColor="accent1"/>
          <w:sz w:val="24"/>
          <w:szCs w:val="36"/>
          <w:highlight w:val="yellow"/>
          <w:lang w:eastAsia="en-US"/>
        </w:rPr>
      </w:pPr>
      <w:r>
        <w:rPr>
          <w:sz w:val="24"/>
          <w:highlight w:val="yellow"/>
        </w:rPr>
        <w:br w:type="page"/>
      </w:r>
    </w:p>
    <w:p w14:paraId="585504C0" w14:textId="77777777" w:rsidR="00D73008" w:rsidRPr="00684201" w:rsidRDefault="00D73008" w:rsidP="00684201">
      <w:pPr>
        <w:pStyle w:val="Nadpis3"/>
        <w:spacing w:after="120"/>
        <w:rPr>
          <w:color w:val="2C9ADC" w:themeColor="accent1"/>
          <w:sz w:val="24"/>
          <w:szCs w:val="24"/>
        </w:rPr>
      </w:pPr>
      <w:bookmarkStart w:id="283" w:name="_Ref6313784"/>
      <w:r w:rsidRPr="00684201">
        <w:rPr>
          <w:color w:val="2C9ADC" w:themeColor="accent1"/>
          <w:sz w:val="24"/>
          <w:szCs w:val="24"/>
        </w:rPr>
        <w:lastRenderedPageBreak/>
        <w:t>Príloha 5 – Predpoklady pre výpočet indikátorov udržateľnosti</w:t>
      </w:r>
      <w:bookmarkEnd w:id="283"/>
    </w:p>
    <w:p w14:paraId="50A41AA2" w14:textId="77777777" w:rsidR="00D73008" w:rsidRPr="00EB0305" w:rsidRDefault="00D73008" w:rsidP="00D73008">
      <w:pPr>
        <w:spacing w:after="240"/>
        <w:jc w:val="both"/>
      </w:pPr>
      <w:r w:rsidRPr="00EB0305">
        <w:t>Nad rámec hodnotenia EK pracuje MF SR pri analyzovaní strednodobej a dlhodobej udržateľnosti s aktuálnymi z fiškálneho rámca pre Program stability na roky 201</w:t>
      </w:r>
      <w:r>
        <w:t>9 až 2022</w:t>
      </w:r>
      <w:r w:rsidRPr="00EB0305">
        <w:t xml:space="preserve"> (pre odhad salda VS a dlhu VS vo východiskovom roku)</w:t>
      </w:r>
      <w:r>
        <w:t xml:space="preserve"> a s najnovšími opatreniami (nad rámec projekcií AWG 2018), ktoré majú vplyv na výdavky citlivé na starnutie</w:t>
      </w:r>
      <w:r w:rsidRPr="00EB0305">
        <w:t>.</w:t>
      </w:r>
      <w:r w:rsidRPr="00EB0305">
        <w:rPr>
          <w:b/>
        </w:rPr>
        <w:t xml:space="preserve"> </w:t>
      </w:r>
      <w:r w:rsidRPr="00EB0305" w:rsidDel="00AC4D56">
        <w:t>Metodickým rozdielom oproti EK je tiež zahrnutie vplyvu II. piliera nielen na výdavkovej, ale aj príjmovej strane.</w:t>
      </w:r>
      <w:r>
        <w:rPr>
          <w:rStyle w:val="Odkaznapoznmkupodiarou"/>
        </w:rPr>
        <w:footnoteReference w:id="87"/>
      </w:r>
      <w:r w:rsidRPr="00EB0305" w:rsidDel="00AC4D56">
        <w:t xml:space="preserve"> </w:t>
      </w:r>
      <w:r>
        <w:t>Ostatné predpoklady sú prebraté z</w:t>
      </w:r>
      <w:r w:rsidRPr="00EB0305">
        <w:t xml:space="preserve"> </w:t>
      </w:r>
      <w:r>
        <w:t>najaktuálnejšej</w:t>
      </w:r>
      <w:r w:rsidRPr="00EB0305">
        <w:t xml:space="preserve"> prognózy výdavkov citlivých na starnutie podľa </w:t>
      </w:r>
      <w:hyperlink r:id="rId49" w:history="1">
        <w:r w:rsidRPr="00777EE7">
          <w:rPr>
            <w:rStyle w:val="Hypertextovprepojenie"/>
            <w:color w:val="2C9ADC" w:themeColor="accent1"/>
          </w:rPr>
          <w:t>Správy o starnutí z roku 2018</w:t>
        </w:r>
      </w:hyperlink>
      <w:r w:rsidRPr="00EB0305">
        <w:t>.</w:t>
      </w:r>
      <w:r>
        <w:t xml:space="preserve"> </w:t>
      </w:r>
    </w:p>
    <w:p w14:paraId="429E8D5F" w14:textId="77777777" w:rsidR="00D73008" w:rsidRPr="00EB0305" w:rsidRDefault="00D73008" w:rsidP="00D73008">
      <w:pPr>
        <w:autoSpaceDE w:val="0"/>
        <w:autoSpaceDN w:val="0"/>
        <w:adjustRightInd w:val="0"/>
        <w:spacing w:after="240"/>
        <w:jc w:val="both"/>
        <w:rPr>
          <w:iCs/>
        </w:rPr>
      </w:pPr>
      <w:r w:rsidRPr="00EB0305">
        <w:rPr>
          <w:iCs/>
        </w:rPr>
        <w:t>Pre účely Programu stability bolo analyzovaných niekoľko scenárov. Predpoklady výpočtu a analytický rozbor príspevkov jednotlivých faktorov k výsledným hodnotám S1 a S2 sú uvedené v tabuľkách nižšie.</w:t>
      </w:r>
    </w:p>
    <w:tbl>
      <w:tblPr>
        <w:tblW w:w="8994" w:type="dxa"/>
        <w:tblLayout w:type="fixed"/>
        <w:tblCellMar>
          <w:left w:w="70" w:type="dxa"/>
          <w:right w:w="70" w:type="dxa"/>
        </w:tblCellMar>
        <w:tblLook w:val="04A0" w:firstRow="1" w:lastRow="0" w:firstColumn="1" w:lastColumn="0" w:noHBand="0" w:noVBand="1"/>
      </w:tblPr>
      <w:tblGrid>
        <w:gridCol w:w="1371"/>
        <w:gridCol w:w="747"/>
        <w:gridCol w:w="748"/>
        <w:gridCol w:w="498"/>
        <w:gridCol w:w="1461"/>
        <w:gridCol w:w="780"/>
        <w:gridCol w:w="428"/>
        <w:gridCol w:w="991"/>
        <w:gridCol w:w="985"/>
        <w:gridCol w:w="985"/>
      </w:tblGrid>
      <w:tr w:rsidR="00D73008" w:rsidRPr="0046517F" w14:paraId="40D38D01" w14:textId="77777777" w:rsidTr="00387AE5">
        <w:trPr>
          <w:trHeight w:val="105"/>
        </w:trPr>
        <w:tc>
          <w:tcPr>
            <w:tcW w:w="7024" w:type="dxa"/>
            <w:gridSpan w:val="8"/>
            <w:tcBorders>
              <w:top w:val="nil"/>
              <w:left w:val="nil"/>
              <w:bottom w:val="single" w:sz="8" w:space="0" w:color="auto"/>
              <w:right w:val="nil"/>
            </w:tcBorders>
            <w:shd w:val="clear" w:color="auto" w:fill="auto"/>
            <w:noWrap/>
            <w:vAlign w:val="center"/>
            <w:hideMark/>
          </w:tcPr>
          <w:p w14:paraId="57A24B27" w14:textId="0A51EAD7" w:rsidR="00D73008" w:rsidRPr="0046517F" w:rsidRDefault="00D73008" w:rsidP="00387AE5">
            <w:pPr>
              <w:pStyle w:val="Popis"/>
              <w:keepNext/>
              <w:spacing w:after="0"/>
              <w:rPr>
                <w:sz w:val="20"/>
                <w:szCs w:val="20"/>
              </w:rPr>
            </w:pPr>
            <w:bookmarkStart w:id="284" w:name="_Toc449430180"/>
            <w:bookmarkStart w:id="285" w:name="_Toc6314234"/>
            <w:r w:rsidRPr="00392121">
              <w:rPr>
                <w:rFonts w:eastAsiaTheme="minorHAnsi"/>
                <w:color w:val="2C9ADC"/>
                <w:sz w:val="20"/>
                <w:szCs w:val="20"/>
                <w:lang w:eastAsia="en-US"/>
              </w:rPr>
              <w:t xml:space="preserve">TABUĽKA </w:t>
            </w:r>
            <w:r w:rsidRPr="00392121">
              <w:rPr>
                <w:rFonts w:eastAsiaTheme="minorHAnsi"/>
                <w:color w:val="2C9ADC"/>
                <w:sz w:val="20"/>
                <w:szCs w:val="20"/>
                <w:lang w:eastAsia="en-US"/>
              </w:rPr>
              <w:fldChar w:fldCharType="begin"/>
            </w:r>
            <w:r w:rsidRPr="00392121">
              <w:rPr>
                <w:rFonts w:eastAsiaTheme="minorHAnsi"/>
                <w:color w:val="2C9ADC"/>
                <w:sz w:val="20"/>
                <w:szCs w:val="20"/>
                <w:lang w:eastAsia="en-US"/>
              </w:rPr>
              <w:instrText xml:space="preserve"> SEQ TABUĽKA \* ARABIC </w:instrText>
            </w:r>
            <w:r w:rsidRPr="00392121">
              <w:rPr>
                <w:rFonts w:eastAsiaTheme="minorHAnsi"/>
                <w:color w:val="2C9ADC"/>
                <w:sz w:val="20"/>
                <w:szCs w:val="20"/>
                <w:lang w:eastAsia="en-US"/>
              </w:rPr>
              <w:fldChar w:fldCharType="separate"/>
            </w:r>
            <w:r w:rsidR="00D5739E">
              <w:rPr>
                <w:rFonts w:eastAsiaTheme="minorHAnsi"/>
                <w:noProof/>
                <w:color w:val="2C9ADC"/>
                <w:sz w:val="20"/>
                <w:szCs w:val="20"/>
                <w:lang w:eastAsia="en-US"/>
              </w:rPr>
              <w:t>35</w:t>
            </w:r>
            <w:r w:rsidRPr="00392121">
              <w:rPr>
                <w:rFonts w:eastAsiaTheme="minorHAnsi"/>
                <w:color w:val="2C9ADC"/>
                <w:sz w:val="20"/>
                <w:szCs w:val="20"/>
                <w:lang w:eastAsia="en-US"/>
              </w:rPr>
              <w:fldChar w:fldCharType="end"/>
            </w:r>
            <w:r w:rsidRPr="0046517F">
              <w:rPr>
                <w:sz w:val="20"/>
                <w:szCs w:val="20"/>
              </w:rPr>
              <w:t xml:space="preserve"> - Predpoklady MF SR pre výpočet indikátora udržateľnosti S</w:t>
            </w:r>
            <w:bookmarkEnd w:id="284"/>
            <w:r w:rsidRPr="0046517F">
              <w:rPr>
                <w:sz w:val="20"/>
                <w:szCs w:val="20"/>
              </w:rPr>
              <w:t>1</w:t>
            </w:r>
            <w:bookmarkEnd w:id="285"/>
          </w:p>
        </w:tc>
        <w:tc>
          <w:tcPr>
            <w:tcW w:w="985" w:type="dxa"/>
            <w:tcBorders>
              <w:top w:val="nil"/>
              <w:left w:val="nil"/>
              <w:bottom w:val="single" w:sz="8" w:space="0" w:color="auto"/>
              <w:right w:val="nil"/>
            </w:tcBorders>
          </w:tcPr>
          <w:p w14:paraId="082A089D" w14:textId="77777777" w:rsidR="00D73008" w:rsidRPr="0046517F" w:rsidRDefault="00D73008" w:rsidP="00387AE5">
            <w:pPr>
              <w:pStyle w:val="Popis"/>
              <w:keepNext/>
              <w:spacing w:after="0"/>
              <w:rPr>
                <w:sz w:val="20"/>
                <w:szCs w:val="20"/>
              </w:rPr>
            </w:pPr>
          </w:p>
        </w:tc>
        <w:tc>
          <w:tcPr>
            <w:tcW w:w="985" w:type="dxa"/>
            <w:tcBorders>
              <w:top w:val="nil"/>
              <w:left w:val="nil"/>
              <w:bottom w:val="single" w:sz="8" w:space="0" w:color="auto"/>
              <w:right w:val="nil"/>
            </w:tcBorders>
          </w:tcPr>
          <w:p w14:paraId="4F9922A9" w14:textId="77777777" w:rsidR="00D73008" w:rsidRPr="0046517F" w:rsidRDefault="00D73008" w:rsidP="00387AE5">
            <w:pPr>
              <w:pStyle w:val="Popis"/>
              <w:keepNext/>
              <w:spacing w:after="0"/>
              <w:rPr>
                <w:sz w:val="20"/>
                <w:szCs w:val="20"/>
              </w:rPr>
            </w:pPr>
          </w:p>
        </w:tc>
      </w:tr>
      <w:tr w:rsidR="00D73008" w:rsidRPr="00EB0305" w14:paraId="3A4C18A8" w14:textId="77777777" w:rsidTr="00387AE5">
        <w:trPr>
          <w:trHeight w:val="100"/>
        </w:trPr>
        <w:tc>
          <w:tcPr>
            <w:tcW w:w="1371" w:type="dxa"/>
            <w:tcBorders>
              <w:top w:val="nil"/>
              <w:left w:val="nil"/>
              <w:bottom w:val="single" w:sz="8" w:space="0" w:color="auto"/>
              <w:right w:val="nil"/>
            </w:tcBorders>
            <w:shd w:val="clear" w:color="auto" w:fill="auto"/>
            <w:noWrap/>
            <w:vAlign w:val="center"/>
            <w:hideMark/>
          </w:tcPr>
          <w:p w14:paraId="0ED53084" w14:textId="77777777" w:rsidR="00D73008" w:rsidRPr="00EB0305" w:rsidRDefault="00D73008" w:rsidP="00387AE5">
            <w:pPr>
              <w:jc w:val="center"/>
              <w:rPr>
                <w:rFonts w:cs="Times New Roman"/>
                <w:b/>
                <w:bCs/>
                <w:color w:val="000000"/>
                <w:sz w:val="18"/>
                <w:szCs w:val="18"/>
                <w:highlight w:val="yellow"/>
              </w:rPr>
            </w:pPr>
            <w:r w:rsidRPr="00EB0305">
              <w:rPr>
                <w:rFonts w:cs="Times New Roman"/>
                <w:b/>
                <w:bCs/>
                <w:color w:val="000000"/>
                <w:sz w:val="18"/>
                <w:szCs w:val="18"/>
              </w:rPr>
              <w:t> </w:t>
            </w:r>
          </w:p>
        </w:tc>
        <w:tc>
          <w:tcPr>
            <w:tcW w:w="747" w:type="dxa"/>
            <w:tcBorders>
              <w:top w:val="nil"/>
              <w:left w:val="nil"/>
              <w:bottom w:val="single" w:sz="8" w:space="0" w:color="auto"/>
              <w:right w:val="nil"/>
            </w:tcBorders>
            <w:shd w:val="clear" w:color="auto" w:fill="auto"/>
            <w:noWrap/>
            <w:vAlign w:val="center"/>
            <w:hideMark/>
          </w:tcPr>
          <w:p w14:paraId="23B2E091" w14:textId="77777777" w:rsidR="00D73008" w:rsidRPr="00EB0305" w:rsidRDefault="00D73008" w:rsidP="00387AE5">
            <w:pPr>
              <w:jc w:val="center"/>
              <w:rPr>
                <w:rFonts w:cs="Times New Roman"/>
                <w:b/>
                <w:bCs/>
                <w:color w:val="000000"/>
                <w:sz w:val="16"/>
                <w:szCs w:val="16"/>
                <w:highlight w:val="yellow"/>
              </w:rPr>
            </w:pPr>
            <w:r w:rsidRPr="00EB0305">
              <w:rPr>
                <w:rFonts w:cs="Times New Roman"/>
                <w:b/>
                <w:bCs/>
                <w:color w:val="000000"/>
                <w:sz w:val="16"/>
                <w:szCs w:val="16"/>
              </w:rPr>
              <w:t>Východiskový rok (t</w:t>
            </w:r>
            <w:r w:rsidRPr="00EB0305">
              <w:rPr>
                <w:rFonts w:cs="Times New Roman"/>
                <w:b/>
                <w:bCs/>
                <w:color w:val="000000"/>
                <w:sz w:val="16"/>
                <w:szCs w:val="16"/>
                <w:vertAlign w:val="subscript"/>
              </w:rPr>
              <w:t>0</w:t>
            </w:r>
            <w:r w:rsidRPr="00EB0305">
              <w:rPr>
                <w:rFonts w:cs="Times New Roman"/>
                <w:b/>
                <w:bCs/>
                <w:color w:val="000000"/>
                <w:sz w:val="16"/>
                <w:szCs w:val="16"/>
              </w:rPr>
              <w:t>)</w:t>
            </w:r>
          </w:p>
        </w:tc>
        <w:tc>
          <w:tcPr>
            <w:tcW w:w="748" w:type="dxa"/>
            <w:tcBorders>
              <w:top w:val="nil"/>
              <w:left w:val="nil"/>
              <w:bottom w:val="single" w:sz="8" w:space="0" w:color="auto"/>
              <w:right w:val="nil"/>
            </w:tcBorders>
            <w:shd w:val="clear" w:color="auto" w:fill="auto"/>
            <w:noWrap/>
            <w:vAlign w:val="center"/>
            <w:hideMark/>
          </w:tcPr>
          <w:p w14:paraId="205DDF63"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Štrukturálne primárne saldo</w:t>
            </w:r>
          </w:p>
        </w:tc>
        <w:tc>
          <w:tcPr>
            <w:tcW w:w="498" w:type="dxa"/>
            <w:tcBorders>
              <w:top w:val="nil"/>
              <w:left w:val="nil"/>
              <w:bottom w:val="single" w:sz="8" w:space="0" w:color="auto"/>
              <w:right w:val="nil"/>
            </w:tcBorders>
            <w:shd w:val="clear" w:color="auto" w:fill="auto"/>
            <w:noWrap/>
            <w:vAlign w:val="center"/>
            <w:hideMark/>
          </w:tcPr>
          <w:p w14:paraId="4C4FA218"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DLH (t</w:t>
            </w:r>
            <w:r w:rsidRPr="00EB0305">
              <w:rPr>
                <w:rFonts w:cs="Times New Roman"/>
                <w:b/>
                <w:bCs/>
                <w:color w:val="000000"/>
                <w:sz w:val="16"/>
                <w:szCs w:val="16"/>
                <w:vertAlign w:val="subscript"/>
              </w:rPr>
              <w:t>0</w:t>
            </w:r>
            <w:r w:rsidRPr="00EB0305">
              <w:rPr>
                <w:rFonts w:cs="Times New Roman"/>
                <w:b/>
                <w:bCs/>
                <w:color w:val="000000"/>
                <w:sz w:val="16"/>
                <w:szCs w:val="16"/>
              </w:rPr>
              <w:t>)</w:t>
            </w:r>
          </w:p>
        </w:tc>
        <w:tc>
          <w:tcPr>
            <w:tcW w:w="1461" w:type="dxa"/>
            <w:tcBorders>
              <w:top w:val="nil"/>
              <w:left w:val="nil"/>
              <w:bottom w:val="single" w:sz="8" w:space="0" w:color="auto"/>
              <w:right w:val="nil"/>
            </w:tcBorders>
            <w:shd w:val="clear" w:color="auto" w:fill="auto"/>
            <w:noWrap/>
            <w:vAlign w:val="center"/>
            <w:hideMark/>
          </w:tcPr>
          <w:p w14:paraId="260A5759"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Postupná konsolidácia*</w:t>
            </w:r>
          </w:p>
        </w:tc>
        <w:tc>
          <w:tcPr>
            <w:tcW w:w="780" w:type="dxa"/>
            <w:tcBorders>
              <w:top w:val="nil"/>
              <w:left w:val="nil"/>
              <w:bottom w:val="single" w:sz="8" w:space="0" w:color="auto"/>
              <w:right w:val="nil"/>
            </w:tcBorders>
            <w:shd w:val="clear" w:color="auto" w:fill="auto"/>
            <w:noWrap/>
            <w:vAlign w:val="center"/>
            <w:hideMark/>
          </w:tcPr>
          <w:p w14:paraId="75C5C8FF"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Koncový rok (t</w:t>
            </w:r>
            <w:r w:rsidRPr="00EB0305">
              <w:rPr>
                <w:rFonts w:cs="Times New Roman"/>
                <w:b/>
                <w:bCs/>
                <w:color w:val="000000"/>
                <w:sz w:val="16"/>
                <w:szCs w:val="16"/>
                <w:vertAlign w:val="subscript"/>
              </w:rPr>
              <w:t>1</w:t>
            </w:r>
            <w:r w:rsidRPr="00EB0305">
              <w:rPr>
                <w:rFonts w:cs="Times New Roman"/>
                <w:b/>
                <w:bCs/>
                <w:color w:val="000000"/>
                <w:sz w:val="16"/>
                <w:szCs w:val="16"/>
              </w:rPr>
              <w:t>)</w:t>
            </w:r>
          </w:p>
        </w:tc>
        <w:tc>
          <w:tcPr>
            <w:tcW w:w="428" w:type="dxa"/>
            <w:tcBorders>
              <w:top w:val="nil"/>
              <w:left w:val="nil"/>
              <w:bottom w:val="single" w:sz="8" w:space="0" w:color="auto"/>
              <w:right w:val="nil"/>
            </w:tcBorders>
            <w:shd w:val="clear" w:color="auto" w:fill="auto"/>
            <w:noWrap/>
            <w:vAlign w:val="center"/>
            <w:hideMark/>
          </w:tcPr>
          <w:p w14:paraId="3FBCCC68"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DLH (t</w:t>
            </w:r>
            <w:r w:rsidRPr="00EB0305">
              <w:rPr>
                <w:rFonts w:cs="Times New Roman"/>
                <w:b/>
                <w:bCs/>
                <w:color w:val="000000"/>
                <w:sz w:val="16"/>
                <w:szCs w:val="16"/>
                <w:vertAlign w:val="subscript"/>
              </w:rPr>
              <w:t>1</w:t>
            </w:r>
            <w:r w:rsidRPr="00EB0305">
              <w:rPr>
                <w:rFonts w:cs="Times New Roman"/>
                <w:b/>
                <w:bCs/>
                <w:color w:val="000000"/>
                <w:sz w:val="16"/>
                <w:szCs w:val="16"/>
              </w:rPr>
              <w:t>)</w:t>
            </w:r>
          </w:p>
        </w:tc>
        <w:tc>
          <w:tcPr>
            <w:tcW w:w="991" w:type="dxa"/>
            <w:tcBorders>
              <w:top w:val="nil"/>
              <w:left w:val="nil"/>
              <w:bottom w:val="single" w:sz="8" w:space="0" w:color="auto"/>
              <w:right w:val="single" w:sz="4" w:space="0" w:color="auto"/>
            </w:tcBorders>
            <w:vAlign w:val="center"/>
          </w:tcPr>
          <w:p w14:paraId="48FA8FAB"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Vplyv II.</w:t>
            </w:r>
            <w:r>
              <w:rPr>
                <w:rFonts w:cs="Times New Roman"/>
                <w:b/>
                <w:bCs/>
                <w:color w:val="000000"/>
                <w:sz w:val="16"/>
                <w:szCs w:val="16"/>
              </w:rPr>
              <w:t xml:space="preserve"> </w:t>
            </w:r>
            <w:r w:rsidRPr="00EB0305">
              <w:rPr>
                <w:rFonts w:cs="Times New Roman"/>
                <w:b/>
                <w:bCs/>
                <w:color w:val="000000"/>
                <w:sz w:val="16"/>
                <w:szCs w:val="16"/>
              </w:rPr>
              <w:t>piliera na P a V strane</w:t>
            </w:r>
          </w:p>
        </w:tc>
        <w:tc>
          <w:tcPr>
            <w:tcW w:w="985" w:type="dxa"/>
            <w:tcBorders>
              <w:top w:val="nil"/>
              <w:left w:val="single" w:sz="4" w:space="0" w:color="auto"/>
              <w:bottom w:val="single" w:sz="8" w:space="0" w:color="auto"/>
              <w:right w:val="nil"/>
            </w:tcBorders>
            <w:vAlign w:val="center"/>
          </w:tcPr>
          <w:p w14:paraId="4F665D73"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Výsledná Hodnota S1</w:t>
            </w:r>
          </w:p>
        </w:tc>
        <w:tc>
          <w:tcPr>
            <w:tcW w:w="985" w:type="dxa"/>
            <w:tcBorders>
              <w:top w:val="nil"/>
              <w:left w:val="nil"/>
              <w:bottom w:val="single" w:sz="8" w:space="0" w:color="auto"/>
              <w:right w:val="nil"/>
            </w:tcBorders>
            <w:vAlign w:val="center"/>
          </w:tcPr>
          <w:p w14:paraId="251BE5D0"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Riziko udržateľnosti</w:t>
            </w:r>
          </w:p>
        </w:tc>
      </w:tr>
      <w:tr w:rsidR="00D73008" w:rsidRPr="00EB0305" w14:paraId="647BA118" w14:textId="77777777" w:rsidTr="00387AE5">
        <w:trPr>
          <w:trHeight w:val="114"/>
        </w:trPr>
        <w:tc>
          <w:tcPr>
            <w:tcW w:w="1371" w:type="dxa"/>
            <w:tcBorders>
              <w:top w:val="nil"/>
              <w:left w:val="nil"/>
              <w:right w:val="nil"/>
            </w:tcBorders>
            <w:shd w:val="clear" w:color="auto" w:fill="auto"/>
            <w:noWrap/>
            <w:vAlign w:val="center"/>
            <w:hideMark/>
          </w:tcPr>
          <w:p w14:paraId="145AB26F" w14:textId="77777777" w:rsidR="00D73008" w:rsidRPr="00EB0305" w:rsidRDefault="00D73008" w:rsidP="00387AE5">
            <w:pPr>
              <w:rPr>
                <w:rFonts w:cs="Times New Roman"/>
                <w:b/>
                <w:sz w:val="18"/>
                <w:szCs w:val="18"/>
              </w:rPr>
            </w:pPr>
            <w:r>
              <w:rPr>
                <w:rFonts w:cs="Times New Roman"/>
                <w:b/>
                <w:sz w:val="18"/>
                <w:szCs w:val="18"/>
              </w:rPr>
              <w:t>R 2020</w:t>
            </w:r>
          </w:p>
        </w:tc>
        <w:tc>
          <w:tcPr>
            <w:tcW w:w="747" w:type="dxa"/>
            <w:tcBorders>
              <w:top w:val="nil"/>
              <w:left w:val="nil"/>
              <w:right w:val="nil"/>
            </w:tcBorders>
            <w:shd w:val="clear" w:color="auto" w:fill="auto"/>
            <w:noWrap/>
            <w:vAlign w:val="center"/>
            <w:hideMark/>
          </w:tcPr>
          <w:p w14:paraId="767C1826" w14:textId="77777777" w:rsidR="00D73008" w:rsidRPr="00EB0305" w:rsidRDefault="00D73008" w:rsidP="00387AE5">
            <w:pPr>
              <w:jc w:val="center"/>
              <w:rPr>
                <w:rFonts w:cs="Times New Roman"/>
                <w:sz w:val="18"/>
                <w:szCs w:val="18"/>
              </w:rPr>
            </w:pPr>
            <w:r>
              <w:rPr>
                <w:rFonts w:cs="Times New Roman"/>
                <w:sz w:val="18"/>
                <w:szCs w:val="18"/>
              </w:rPr>
              <w:t>2020</w:t>
            </w:r>
          </w:p>
        </w:tc>
        <w:tc>
          <w:tcPr>
            <w:tcW w:w="748" w:type="dxa"/>
            <w:tcBorders>
              <w:top w:val="nil"/>
              <w:left w:val="nil"/>
              <w:right w:val="nil"/>
            </w:tcBorders>
            <w:shd w:val="clear" w:color="auto" w:fill="auto"/>
            <w:noWrap/>
            <w:vAlign w:val="center"/>
            <w:hideMark/>
          </w:tcPr>
          <w:p w14:paraId="11B7631E" w14:textId="77777777" w:rsidR="00D73008" w:rsidRPr="00DA1BA9" w:rsidRDefault="00D73008" w:rsidP="00387AE5">
            <w:pPr>
              <w:jc w:val="center"/>
              <w:rPr>
                <w:rFonts w:cs="Times New Roman"/>
                <w:sz w:val="18"/>
                <w:szCs w:val="18"/>
              </w:rPr>
            </w:pPr>
            <w:r>
              <w:rPr>
                <w:rFonts w:cs="Times New Roman"/>
                <w:sz w:val="18"/>
                <w:szCs w:val="18"/>
              </w:rPr>
              <w:t>0,6</w:t>
            </w:r>
          </w:p>
        </w:tc>
        <w:tc>
          <w:tcPr>
            <w:tcW w:w="498" w:type="dxa"/>
            <w:tcBorders>
              <w:top w:val="nil"/>
              <w:left w:val="nil"/>
              <w:right w:val="nil"/>
            </w:tcBorders>
            <w:shd w:val="clear" w:color="auto" w:fill="auto"/>
            <w:noWrap/>
            <w:vAlign w:val="center"/>
            <w:hideMark/>
          </w:tcPr>
          <w:p w14:paraId="43622C5F" w14:textId="77777777" w:rsidR="00D73008" w:rsidRPr="00DA1BA9" w:rsidRDefault="00D73008" w:rsidP="00387AE5">
            <w:pPr>
              <w:jc w:val="center"/>
              <w:rPr>
                <w:rFonts w:cs="Times New Roman"/>
                <w:sz w:val="18"/>
                <w:szCs w:val="18"/>
              </w:rPr>
            </w:pPr>
            <w:r w:rsidRPr="00DA1BA9">
              <w:rPr>
                <w:rFonts w:cs="Times New Roman"/>
                <w:sz w:val="18"/>
                <w:szCs w:val="18"/>
              </w:rPr>
              <w:t>45,9</w:t>
            </w:r>
          </w:p>
        </w:tc>
        <w:tc>
          <w:tcPr>
            <w:tcW w:w="1461" w:type="dxa"/>
            <w:tcBorders>
              <w:top w:val="nil"/>
              <w:left w:val="nil"/>
              <w:right w:val="nil"/>
            </w:tcBorders>
            <w:shd w:val="clear" w:color="auto" w:fill="auto"/>
            <w:noWrap/>
            <w:vAlign w:val="center"/>
            <w:hideMark/>
          </w:tcPr>
          <w:p w14:paraId="284D1460" w14:textId="77777777" w:rsidR="00D73008" w:rsidRPr="00EB0305" w:rsidRDefault="00D73008" w:rsidP="00387AE5">
            <w:pPr>
              <w:jc w:val="center"/>
              <w:rPr>
                <w:rFonts w:cs="Times New Roman"/>
                <w:sz w:val="18"/>
                <w:szCs w:val="18"/>
              </w:rPr>
            </w:pPr>
            <w:r w:rsidRPr="00EB0305">
              <w:rPr>
                <w:rFonts w:cs="Times New Roman"/>
                <w:sz w:val="18"/>
                <w:szCs w:val="18"/>
              </w:rPr>
              <w:t>202</w:t>
            </w:r>
            <w:r>
              <w:rPr>
                <w:rFonts w:cs="Times New Roman"/>
                <w:sz w:val="18"/>
                <w:szCs w:val="18"/>
              </w:rPr>
              <w:t>1</w:t>
            </w:r>
            <w:r w:rsidRPr="00EB0305">
              <w:rPr>
                <w:rFonts w:cs="Times New Roman"/>
                <w:sz w:val="18"/>
                <w:szCs w:val="18"/>
              </w:rPr>
              <w:t xml:space="preserve"> až 202</w:t>
            </w:r>
            <w:r>
              <w:rPr>
                <w:rFonts w:cs="Times New Roman"/>
                <w:sz w:val="18"/>
                <w:szCs w:val="18"/>
              </w:rPr>
              <w:t>5</w:t>
            </w:r>
          </w:p>
        </w:tc>
        <w:tc>
          <w:tcPr>
            <w:tcW w:w="780" w:type="dxa"/>
            <w:tcBorders>
              <w:top w:val="nil"/>
              <w:left w:val="nil"/>
              <w:right w:val="nil"/>
            </w:tcBorders>
            <w:shd w:val="clear" w:color="auto" w:fill="auto"/>
            <w:noWrap/>
            <w:vAlign w:val="center"/>
            <w:hideMark/>
          </w:tcPr>
          <w:p w14:paraId="301374E0" w14:textId="77777777" w:rsidR="00D73008" w:rsidRPr="00EB0305" w:rsidRDefault="00D73008" w:rsidP="00387AE5">
            <w:pPr>
              <w:jc w:val="center"/>
              <w:rPr>
                <w:rFonts w:cs="Times New Roman"/>
                <w:sz w:val="18"/>
                <w:szCs w:val="18"/>
              </w:rPr>
            </w:pPr>
            <w:r w:rsidRPr="00EB0305">
              <w:rPr>
                <w:rFonts w:cs="Times New Roman"/>
                <w:sz w:val="18"/>
                <w:szCs w:val="18"/>
              </w:rPr>
              <w:t>2</w:t>
            </w:r>
            <w:r>
              <w:rPr>
                <w:rFonts w:cs="Times New Roman"/>
                <w:sz w:val="18"/>
                <w:szCs w:val="18"/>
              </w:rPr>
              <w:t>033</w:t>
            </w:r>
          </w:p>
        </w:tc>
        <w:tc>
          <w:tcPr>
            <w:tcW w:w="428" w:type="dxa"/>
            <w:tcBorders>
              <w:top w:val="nil"/>
              <w:left w:val="nil"/>
              <w:right w:val="nil"/>
            </w:tcBorders>
            <w:shd w:val="clear" w:color="auto" w:fill="auto"/>
            <w:noWrap/>
            <w:vAlign w:val="center"/>
            <w:hideMark/>
          </w:tcPr>
          <w:p w14:paraId="75779295" w14:textId="77777777" w:rsidR="00D73008" w:rsidRPr="00EB0305" w:rsidRDefault="00D73008" w:rsidP="00387AE5">
            <w:pPr>
              <w:jc w:val="center"/>
              <w:rPr>
                <w:rFonts w:cs="Times New Roman"/>
                <w:sz w:val="18"/>
                <w:szCs w:val="18"/>
              </w:rPr>
            </w:pPr>
            <w:r w:rsidRPr="00EB0305">
              <w:rPr>
                <w:rFonts w:cs="Times New Roman"/>
                <w:sz w:val="18"/>
                <w:szCs w:val="18"/>
              </w:rPr>
              <w:t>60</w:t>
            </w:r>
          </w:p>
        </w:tc>
        <w:tc>
          <w:tcPr>
            <w:tcW w:w="991" w:type="dxa"/>
            <w:tcBorders>
              <w:top w:val="nil"/>
              <w:left w:val="nil"/>
              <w:right w:val="single" w:sz="4" w:space="0" w:color="auto"/>
            </w:tcBorders>
            <w:shd w:val="clear" w:color="auto" w:fill="auto"/>
            <w:vAlign w:val="center"/>
          </w:tcPr>
          <w:p w14:paraId="073F5CD6" w14:textId="77777777" w:rsidR="00D73008" w:rsidRPr="00EB0305" w:rsidRDefault="00D73008" w:rsidP="00387AE5">
            <w:pPr>
              <w:jc w:val="center"/>
              <w:rPr>
                <w:rFonts w:cs="Times New Roman"/>
                <w:b/>
                <w:sz w:val="18"/>
                <w:szCs w:val="18"/>
              </w:rPr>
            </w:pPr>
            <w:r w:rsidRPr="00EB0305">
              <w:rPr>
                <w:rFonts w:cs="Times New Roman"/>
                <w:b/>
                <w:sz w:val="18"/>
                <w:szCs w:val="18"/>
              </w:rPr>
              <w:t>áno</w:t>
            </w:r>
          </w:p>
        </w:tc>
        <w:tc>
          <w:tcPr>
            <w:tcW w:w="985" w:type="dxa"/>
            <w:tcBorders>
              <w:top w:val="nil"/>
              <w:left w:val="single" w:sz="4" w:space="0" w:color="auto"/>
              <w:right w:val="nil"/>
            </w:tcBorders>
            <w:vAlign w:val="center"/>
          </w:tcPr>
          <w:p w14:paraId="24D93737" w14:textId="77777777" w:rsidR="00D73008" w:rsidRPr="00DA1BA9" w:rsidRDefault="00D73008" w:rsidP="00387AE5">
            <w:pPr>
              <w:jc w:val="center"/>
              <w:rPr>
                <w:rFonts w:cs="Times New Roman"/>
                <w:b/>
                <w:sz w:val="18"/>
                <w:szCs w:val="18"/>
              </w:rPr>
            </w:pPr>
            <w:r w:rsidRPr="00DA1BA9">
              <w:rPr>
                <w:rFonts w:cs="Times New Roman"/>
                <w:b/>
                <w:sz w:val="18"/>
                <w:szCs w:val="18"/>
              </w:rPr>
              <w:t>-2,</w:t>
            </w:r>
            <w:r>
              <w:rPr>
                <w:rFonts w:cs="Times New Roman"/>
                <w:b/>
                <w:sz w:val="18"/>
                <w:szCs w:val="18"/>
              </w:rPr>
              <w:t>5</w:t>
            </w:r>
          </w:p>
        </w:tc>
        <w:tc>
          <w:tcPr>
            <w:tcW w:w="985" w:type="dxa"/>
            <w:tcBorders>
              <w:top w:val="nil"/>
              <w:left w:val="nil"/>
              <w:right w:val="nil"/>
            </w:tcBorders>
            <w:shd w:val="clear" w:color="auto" w:fill="B0D6AF" w:themeFill="accent3"/>
            <w:vAlign w:val="center"/>
          </w:tcPr>
          <w:p w14:paraId="3C27F8AC" w14:textId="77777777" w:rsidR="00D73008" w:rsidRPr="00EB0305" w:rsidRDefault="00D73008" w:rsidP="00387AE5">
            <w:pPr>
              <w:jc w:val="center"/>
              <w:rPr>
                <w:rFonts w:cs="Times New Roman"/>
                <w:b/>
                <w:sz w:val="18"/>
                <w:szCs w:val="18"/>
              </w:rPr>
            </w:pPr>
            <w:r w:rsidRPr="00EB0305">
              <w:rPr>
                <w:rFonts w:cs="Times New Roman"/>
                <w:b/>
                <w:sz w:val="18"/>
                <w:szCs w:val="18"/>
              </w:rPr>
              <w:t>nízke</w:t>
            </w:r>
          </w:p>
        </w:tc>
      </w:tr>
      <w:tr w:rsidR="00D73008" w:rsidRPr="00EB0305" w14:paraId="03246CE2" w14:textId="77777777" w:rsidTr="00387AE5">
        <w:trPr>
          <w:trHeight w:val="114"/>
        </w:trPr>
        <w:tc>
          <w:tcPr>
            <w:tcW w:w="1371" w:type="dxa"/>
            <w:tcBorders>
              <w:top w:val="nil"/>
              <w:left w:val="nil"/>
              <w:right w:val="nil"/>
            </w:tcBorders>
            <w:shd w:val="clear" w:color="auto" w:fill="auto"/>
            <w:noWrap/>
            <w:vAlign w:val="center"/>
          </w:tcPr>
          <w:p w14:paraId="75E001EA" w14:textId="77777777" w:rsidR="00D73008" w:rsidRPr="00EB0305" w:rsidRDefault="00D73008" w:rsidP="00387AE5">
            <w:pPr>
              <w:rPr>
                <w:rFonts w:cs="Times New Roman"/>
                <w:b/>
                <w:sz w:val="18"/>
                <w:szCs w:val="18"/>
              </w:rPr>
            </w:pPr>
            <w:r>
              <w:rPr>
                <w:rFonts w:cs="Times New Roman"/>
                <w:b/>
                <w:sz w:val="18"/>
                <w:szCs w:val="18"/>
              </w:rPr>
              <w:t>R 2020</w:t>
            </w:r>
            <w:r w:rsidRPr="00EB0305">
              <w:rPr>
                <w:rFonts w:cs="Times New Roman"/>
                <w:b/>
                <w:sz w:val="18"/>
                <w:szCs w:val="18"/>
              </w:rPr>
              <w:t xml:space="preserve"> – </w:t>
            </w:r>
          </w:p>
          <w:p w14:paraId="2DB652F0" w14:textId="77777777" w:rsidR="00D73008" w:rsidRPr="00EB0305" w:rsidRDefault="00D73008" w:rsidP="00387AE5">
            <w:pPr>
              <w:rPr>
                <w:rFonts w:cs="Times New Roman"/>
                <w:b/>
                <w:sz w:val="18"/>
                <w:szCs w:val="18"/>
              </w:rPr>
            </w:pPr>
            <w:r w:rsidRPr="00EB0305">
              <w:rPr>
                <w:rFonts w:cs="Times New Roman"/>
                <w:b/>
                <w:sz w:val="18"/>
                <w:szCs w:val="18"/>
              </w:rPr>
              <w:t>dlhová brzda</w:t>
            </w:r>
          </w:p>
        </w:tc>
        <w:tc>
          <w:tcPr>
            <w:tcW w:w="747" w:type="dxa"/>
            <w:tcBorders>
              <w:top w:val="nil"/>
              <w:left w:val="nil"/>
              <w:right w:val="nil"/>
            </w:tcBorders>
            <w:shd w:val="clear" w:color="auto" w:fill="auto"/>
            <w:noWrap/>
            <w:vAlign w:val="center"/>
          </w:tcPr>
          <w:p w14:paraId="46988E70" w14:textId="77777777" w:rsidR="00D73008" w:rsidRPr="00EB0305" w:rsidRDefault="00D73008" w:rsidP="00387AE5">
            <w:pPr>
              <w:jc w:val="center"/>
              <w:rPr>
                <w:rFonts w:cs="Times New Roman"/>
                <w:sz w:val="18"/>
                <w:szCs w:val="18"/>
              </w:rPr>
            </w:pPr>
            <w:r>
              <w:rPr>
                <w:rFonts w:cs="Times New Roman"/>
                <w:sz w:val="18"/>
                <w:szCs w:val="18"/>
              </w:rPr>
              <w:t>2020</w:t>
            </w:r>
          </w:p>
        </w:tc>
        <w:tc>
          <w:tcPr>
            <w:tcW w:w="748" w:type="dxa"/>
            <w:tcBorders>
              <w:top w:val="nil"/>
              <w:left w:val="nil"/>
              <w:right w:val="nil"/>
            </w:tcBorders>
            <w:shd w:val="clear" w:color="auto" w:fill="auto"/>
            <w:noWrap/>
            <w:vAlign w:val="center"/>
          </w:tcPr>
          <w:p w14:paraId="659D42F1" w14:textId="77777777" w:rsidR="00D73008" w:rsidRPr="00DA1BA9" w:rsidRDefault="00D73008" w:rsidP="00387AE5">
            <w:pPr>
              <w:jc w:val="center"/>
              <w:rPr>
                <w:rFonts w:cs="Times New Roman"/>
                <w:sz w:val="18"/>
                <w:szCs w:val="18"/>
              </w:rPr>
            </w:pPr>
            <w:r>
              <w:rPr>
                <w:rFonts w:cs="Times New Roman"/>
                <w:sz w:val="18"/>
                <w:szCs w:val="18"/>
              </w:rPr>
              <w:t>0,6</w:t>
            </w:r>
          </w:p>
        </w:tc>
        <w:tc>
          <w:tcPr>
            <w:tcW w:w="498" w:type="dxa"/>
            <w:tcBorders>
              <w:top w:val="nil"/>
              <w:left w:val="nil"/>
              <w:right w:val="nil"/>
            </w:tcBorders>
            <w:shd w:val="clear" w:color="auto" w:fill="auto"/>
            <w:noWrap/>
            <w:vAlign w:val="center"/>
          </w:tcPr>
          <w:p w14:paraId="5D1DF2BD" w14:textId="77777777" w:rsidR="00D73008" w:rsidRPr="00DA1BA9" w:rsidRDefault="00D73008" w:rsidP="00387AE5">
            <w:pPr>
              <w:jc w:val="center"/>
              <w:rPr>
                <w:rFonts w:cs="Times New Roman"/>
                <w:sz w:val="18"/>
                <w:szCs w:val="18"/>
              </w:rPr>
            </w:pPr>
            <w:r w:rsidRPr="00DA1BA9">
              <w:rPr>
                <w:rFonts w:cs="Times New Roman"/>
                <w:sz w:val="18"/>
                <w:szCs w:val="18"/>
              </w:rPr>
              <w:t>45,9</w:t>
            </w:r>
          </w:p>
        </w:tc>
        <w:tc>
          <w:tcPr>
            <w:tcW w:w="1461" w:type="dxa"/>
            <w:tcBorders>
              <w:top w:val="nil"/>
              <w:left w:val="nil"/>
              <w:right w:val="nil"/>
            </w:tcBorders>
            <w:shd w:val="clear" w:color="auto" w:fill="auto"/>
            <w:noWrap/>
            <w:vAlign w:val="center"/>
          </w:tcPr>
          <w:p w14:paraId="60F618AC" w14:textId="77777777" w:rsidR="00D73008" w:rsidRPr="00EB0305" w:rsidRDefault="00D73008" w:rsidP="00387AE5">
            <w:pPr>
              <w:jc w:val="center"/>
              <w:rPr>
                <w:rFonts w:cs="Times New Roman"/>
                <w:sz w:val="18"/>
                <w:szCs w:val="18"/>
              </w:rPr>
            </w:pPr>
            <w:r w:rsidRPr="00EB0305">
              <w:rPr>
                <w:rFonts w:cs="Times New Roman"/>
                <w:sz w:val="18"/>
                <w:szCs w:val="18"/>
              </w:rPr>
              <w:t>202</w:t>
            </w:r>
            <w:r>
              <w:rPr>
                <w:rFonts w:cs="Times New Roman"/>
                <w:sz w:val="18"/>
                <w:szCs w:val="18"/>
              </w:rPr>
              <w:t>1</w:t>
            </w:r>
            <w:r w:rsidRPr="00EB0305">
              <w:rPr>
                <w:rFonts w:cs="Times New Roman"/>
                <w:sz w:val="18"/>
                <w:szCs w:val="18"/>
              </w:rPr>
              <w:t xml:space="preserve"> až 202</w:t>
            </w:r>
            <w:r>
              <w:rPr>
                <w:rFonts w:cs="Times New Roman"/>
                <w:sz w:val="18"/>
                <w:szCs w:val="18"/>
              </w:rPr>
              <w:t>5</w:t>
            </w:r>
          </w:p>
        </w:tc>
        <w:tc>
          <w:tcPr>
            <w:tcW w:w="780" w:type="dxa"/>
            <w:tcBorders>
              <w:top w:val="nil"/>
              <w:left w:val="nil"/>
              <w:right w:val="nil"/>
            </w:tcBorders>
            <w:shd w:val="clear" w:color="auto" w:fill="auto"/>
            <w:noWrap/>
            <w:vAlign w:val="center"/>
          </w:tcPr>
          <w:p w14:paraId="5C1D5A6C" w14:textId="77777777" w:rsidR="00D73008" w:rsidRPr="00EB0305" w:rsidRDefault="00D73008" w:rsidP="00387AE5">
            <w:pPr>
              <w:jc w:val="center"/>
              <w:rPr>
                <w:rFonts w:cs="Times New Roman"/>
                <w:sz w:val="18"/>
                <w:szCs w:val="18"/>
              </w:rPr>
            </w:pPr>
            <w:r>
              <w:rPr>
                <w:rFonts w:cs="Times New Roman"/>
                <w:sz w:val="18"/>
                <w:szCs w:val="18"/>
              </w:rPr>
              <w:t>2033</w:t>
            </w:r>
          </w:p>
        </w:tc>
        <w:tc>
          <w:tcPr>
            <w:tcW w:w="428" w:type="dxa"/>
            <w:tcBorders>
              <w:top w:val="nil"/>
              <w:left w:val="nil"/>
              <w:right w:val="nil"/>
            </w:tcBorders>
            <w:shd w:val="clear" w:color="auto" w:fill="auto"/>
            <w:noWrap/>
            <w:vAlign w:val="center"/>
          </w:tcPr>
          <w:p w14:paraId="6D22B633" w14:textId="77777777" w:rsidR="00D73008" w:rsidRPr="00EB0305" w:rsidRDefault="00D73008" w:rsidP="00387AE5">
            <w:pPr>
              <w:jc w:val="center"/>
              <w:rPr>
                <w:rFonts w:cs="Times New Roman"/>
                <w:sz w:val="18"/>
                <w:szCs w:val="18"/>
              </w:rPr>
            </w:pPr>
            <w:r w:rsidRPr="00EB0305">
              <w:rPr>
                <w:rFonts w:cs="Times New Roman"/>
                <w:sz w:val="18"/>
                <w:szCs w:val="18"/>
              </w:rPr>
              <w:t>40</w:t>
            </w:r>
          </w:p>
        </w:tc>
        <w:tc>
          <w:tcPr>
            <w:tcW w:w="991" w:type="dxa"/>
            <w:tcBorders>
              <w:top w:val="nil"/>
              <w:left w:val="nil"/>
              <w:right w:val="single" w:sz="4" w:space="0" w:color="auto"/>
            </w:tcBorders>
            <w:shd w:val="clear" w:color="auto" w:fill="auto"/>
            <w:vAlign w:val="center"/>
          </w:tcPr>
          <w:p w14:paraId="67B4C1FA" w14:textId="77777777" w:rsidR="00D73008" w:rsidRPr="00EB0305" w:rsidRDefault="00D73008" w:rsidP="00387AE5">
            <w:pPr>
              <w:jc w:val="center"/>
              <w:rPr>
                <w:rFonts w:cs="Times New Roman"/>
                <w:b/>
                <w:sz w:val="18"/>
                <w:szCs w:val="18"/>
              </w:rPr>
            </w:pPr>
            <w:r w:rsidRPr="00EB0305">
              <w:rPr>
                <w:rFonts w:cs="Times New Roman"/>
                <w:b/>
                <w:sz w:val="18"/>
                <w:szCs w:val="18"/>
              </w:rPr>
              <w:t>áno</w:t>
            </w:r>
          </w:p>
        </w:tc>
        <w:tc>
          <w:tcPr>
            <w:tcW w:w="985" w:type="dxa"/>
            <w:tcBorders>
              <w:top w:val="nil"/>
              <w:left w:val="single" w:sz="4" w:space="0" w:color="auto"/>
              <w:right w:val="nil"/>
            </w:tcBorders>
            <w:vAlign w:val="center"/>
          </w:tcPr>
          <w:p w14:paraId="1C8292FA" w14:textId="77777777" w:rsidR="00D73008" w:rsidRPr="00DA1BA9" w:rsidRDefault="00D73008" w:rsidP="00387AE5">
            <w:pPr>
              <w:jc w:val="center"/>
              <w:rPr>
                <w:rFonts w:cs="Times New Roman"/>
                <w:b/>
                <w:sz w:val="18"/>
                <w:szCs w:val="18"/>
              </w:rPr>
            </w:pPr>
            <w:r>
              <w:rPr>
                <w:rFonts w:cs="Times New Roman"/>
                <w:b/>
                <w:sz w:val="18"/>
                <w:szCs w:val="18"/>
              </w:rPr>
              <w:t>-0,6</w:t>
            </w:r>
          </w:p>
          <w:p w14:paraId="584D3DA9" w14:textId="77777777" w:rsidR="00D73008" w:rsidRPr="00DA1BA9" w:rsidRDefault="00D73008" w:rsidP="00387AE5">
            <w:pPr>
              <w:jc w:val="center"/>
              <w:rPr>
                <w:rFonts w:cs="Times New Roman"/>
                <w:b/>
                <w:sz w:val="18"/>
                <w:szCs w:val="18"/>
              </w:rPr>
            </w:pPr>
          </w:p>
        </w:tc>
        <w:tc>
          <w:tcPr>
            <w:tcW w:w="985" w:type="dxa"/>
            <w:tcBorders>
              <w:top w:val="nil"/>
              <w:left w:val="nil"/>
              <w:right w:val="nil"/>
            </w:tcBorders>
            <w:shd w:val="clear" w:color="auto" w:fill="B0D6AF" w:themeFill="accent3"/>
            <w:vAlign w:val="center"/>
          </w:tcPr>
          <w:p w14:paraId="2643691E" w14:textId="77777777" w:rsidR="00D73008" w:rsidRPr="00EB0305" w:rsidRDefault="00D73008" w:rsidP="00387AE5">
            <w:pPr>
              <w:jc w:val="center"/>
              <w:rPr>
                <w:rFonts w:cs="Times New Roman"/>
                <w:b/>
                <w:sz w:val="18"/>
                <w:szCs w:val="18"/>
              </w:rPr>
            </w:pPr>
            <w:r w:rsidRPr="00EB0305">
              <w:rPr>
                <w:rFonts w:cs="Times New Roman"/>
                <w:b/>
                <w:sz w:val="18"/>
                <w:szCs w:val="18"/>
              </w:rPr>
              <w:t>nízke</w:t>
            </w:r>
          </w:p>
        </w:tc>
      </w:tr>
      <w:tr w:rsidR="00D73008" w:rsidRPr="00EB0305" w14:paraId="56F9E2AE" w14:textId="77777777" w:rsidTr="00387AE5">
        <w:trPr>
          <w:trHeight w:val="114"/>
        </w:trPr>
        <w:tc>
          <w:tcPr>
            <w:tcW w:w="1371" w:type="dxa"/>
            <w:tcBorders>
              <w:top w:val="nil"/>
              <w:left w:val="nil"/>
              <w:right w:val="nil"/>
            </w:tcBorders>
            <w:shd w:val="clear" w:color="auto" w:fill="auto"/>
            <w:noWrap/>
            <w:vAlign w:val="center"/>
            <w:hideMark/>
          </w:tcPr>
          <w:p w14:paraId="2771CA6F" w14:textId="77777777" w:rsidR="00D73008" w:rsidRPr="00EB0305" w:rsidRDefault="00D73008" w:rsidP="00387AE5">
            <w:pPr>
              <w:rPr>
                <w:rFonts w:cs="Times New Roman"/>
                <w:b/>
                <w:sz w:val="18"/>
                <w:szCs w:val="18"/>
              </w:rPr>
            </w:pPr>
            <w:r>
              <w:rPr>
                <w:rFonts w:cs="Times New Roman"/>
                <w:b/>
                <w:sz w:val="18"/>
                <w:szCs w:val="18"/>
              </w:rPr>
              <w:t>R 2022</w:t>
            </w:r>
          </w:p>
        </w:tc>
        <w:tc>
          <w:tcPr>
            <w:tcW w:w="747" w:type="dxa"/>
            <w:tcBorders>
              <w:top w:val="nil"/>
              <w:left w:val="nil"/>
              <w:right w:val="nil"/>
            </w:tcBorders>
            <w:shd w:val="clear" w:color="auto" w:fill="auto"/>
            <w:noWrap/>
            <w:vAlign w:val="center"/>
            <w:hideMark/>
          </w:tcPr>
          <w:p w14:paraId="536FBDDF" w14:textId="77777777" w:rsidR="00D73008" w:rsidRPr="00EB0305" w:rsidRDefault="00D73008" w:rsidP="00387AE5">
            <w:pPr>
              <w:jc w:val="center"/>
              <w:rPr>
                <w:rFonts w:cs="Times New Roman"/>
                <w:sz w:val="18"/>
                <w:szCs w:val="18"/>
              </w:rPr>
            </w:pPr>
            <w:r>
              <w:rPr>
                <w:rFonts w:cs="Times New Roman"/>
                <w:sz w:val="18"/>
                <w:szCs w:val="18"/>
              </w:rPr>
              <w:t>2022</w:t>
            </w:r>
          </w:p>
        </w:tc>
        <w:tc>
          <w:tcPr>
            <w:tcW w:w="748" w:type="dxa"/>
            <w:tcBorders>
              <w:top w:val="nil"/>
              <w:left w:val="nil"/>
              <w:right w:val="nil"/>
            </w:tcBorders>
            <w:shd w:val="clear" w:color="auto" w:fill="auto"/>
            <w:noWrap/>
            <w:vAlign w:val="center"/>
            <w:hideMark/>
          </w:tcPr>
          <w:p w14:paraId="00D3F1AD" w14:textId="77777777" w:rsidR="00D73008" w:rsidRPr="00DA1BA9" w:rsidRDefault="00D73008" w:rsidP="00387AE5">
            <w:pPr>
              <w:jc w:val="center"/>
              <w:rPr>
                <w:rFonts w:cs="Times New Roman"/>
                <w:sz w:val="18"/>
                <w:szCs w:val="18"/>
              </w:rPr>
            </w:pPr>
            <w:r>
              <w:rPr>
                <w:rFonts w:cs="Times New Roman"/>
                <w:sz w:val="18"/>
                <w:szCs w:val="18"/>
              </w:rPr>
              <w:t>0,8</w:t>
            </w:r>
          </w:p>
        </w:tc>
        <w:tc>
          <w:tcPr>
            <w:tcW w:w="498" w:type="dxa"/>
            <w:tcBorders>
              <w:top w:val="nil"/>
              <w:left w:val="nil"/>
              <w:right w:val="nil"/>
            </w:tcBorders>
            <w:shd w:val="clear" w:color="auto" w:fill="auto"/>
            <w:noWrap/>
            <w:vAlign w:val="center"/>
            <w:hideMark/>
          </w:tcPr>
          <w:p w14:paraId="5DEB2F45" w14:textId="77777777" w:rsidR="00D73008" w:rsidRPr="00DA1BA9" w:rsidRDefault="00D73008" w:rsidP="00387AE5">
            <w:pPr>
              <w:jc w:val="center"/>
              <w:rPr>
                <w:rFonts w:cs="Times New Roman"/>
                <w:sz w:val="18"/>
                <w:szCs w:val="18"/>
              </w:rPr>
            </w:pPr>
            <w:r w:rsidRPr="00DA1BA9">
              <w:rPr>
                <w:rFonts w:cs="Times New Roman"/>
                <w:sz w:val="18"/>
                <w:szCs w:val="18"/>
              </w:rPr>
              <w:t>44,4</w:t>
            </w:r>
          </w:p>
        </w:tc>
        <w:tc>
          <w:tcPr>
            <w:tcW w:w="1461" w:type="dxa"/>
            <w:tcBorders>
              <w:top w:val="nil"/>
              <w:left w:val="nil"/>
              <w:right w:val="nil"/>
            </w:tcBorders>
            <w:shd w:val="clear" w:color="auto" w:fill="auto"/>
            <w:noWrap/>
            <w:vAlign w:val="center"/>
            <w:hideMark/>
          </w:tcPr>
          <w:p w14:paraId="22815777" w14:textId="77777777" w:rsidR="00D73008" w:rsidRPr="00EB0305" w:rsidRDefault="00D73008" w:rsidP="00387AE5">
            <w:pPr>
              <w:jc w:val="center"/>
              <w:rPr>
                <w:rFonts w:cs="Times New Roman"/>
                <w:sz w:val="18"/>
                <w:szCs w:val="18"/>
              </w:rPr>
            </w:pPr>
            <w:r w:rsidRPr="00EB0305">
              <w:rPr>
                <w:rFonts w:cs="Times New Roman"/>
                <w:sz w:val="18"/>
                <w:szCs w:val="18"/>
              </w:rPr>
              <w:t>202</w:t>
            </w:r>
            <w:r>
              <w:rPr>
                <w:rFonts w:cs="Times New Roman"/>
                <w:sz w:val="18"/>
                <w:szCs w:val="18"/>
              </w:rPr>
              <w:t>3</w:t>
            </w:r>
            <w:r w:rsidRPr="00EB0305">
              <w:rPr>
                <w:rFonts w:cs="Times New Roman"/>
                <w:sz w:val="18"/>
                <w:szCs w:val="18"/>
              </w:rPr>
              <w:t xml:space="preserve"> až 202</w:t>
            </w:r>
            <w:r>
              <w:rPr>
                <w:rFonts w:cs="Times New Roman"/>
                <w:sz w:val="18"/>
                <w:szCs w:val="18"/>
              </w:rPr>
              <w:t>7</w:t>
            </w:r>
          </w:p>
        </w:tc>
        <w:tc>
          <w:tcPr>
            <w:tcW w:w="780" w:type="dxa"/>
            <w:tcBorders>
              <w:top w:val="nil"/>
              <w:left w:val="nil"/>
              <w:right w:val="nil"/>
            </w:tcBorders>
            <w:shd w:val="clear" w:color="auto" w:fill="auto"/>
            <w:noWrap/>
            <w:vAlign w:val="center"/>
            <w:hideMark/>
          </w:tcPr>
          <w:p w14:paraId="570536A9" w14:textId="77777777" w:rsidR="00D73008" w:rsidRPr="00EB0305" w:rsidRDefault="00D73008" w:rsidP="00387AE5">
            <w:pPr>
              <w:jc w:val="center"/>
              <w:rPr>
                <w:rFonts w:cs="Times New Roman"/>
                <w:sz w:val="18"/>
                <w:szCs w:val="18"/>
              </w:rPr>
            </w:pPr>
            <w:r>
              <w:rPr>
                <w:rFonts w:cs="Times New Roman"/>
                <w:sz w:val="18"/>
                <w:szCs w:val="18"/>
              </w:rPr>
              <w:t>2035</w:t>
            </w:r>
          </w:p>
        </w:tc>
        <w:tc>
          <w:tcPr>
            <w:tcW w:w="428" w:type="dxa"/>
            <w:tcBorders>
              <w:top w:val="nil"/>
              <w:left w:val="nil"/>
              <w:right w:val="nil"/>
            </w:tcBorders>
            <w:shd w:val="clear" w:color="auto" w:fill="auto"/>
            <w:noWrap/>
            <w:vAlign w:val="center"/>
            <w:hideMark/>
          </w:tcPr>
          <w:p w14:paraId="7E0EE7B4" w14:textId="77777777" w:rsidR="00D73008" w:rsidRPr="00EB0305" w:rsidRDefault="00D73008" w:rsidP="00387AE5">
            <w:pPr>
              <w:jc w:val="center"/>
              <w:rPr>
                <w:rFonts w:cs="Times New Roman"/>
                <w:sz w:val="18"/>
                <w:szCs w:val="18"/>
              </w:rPr>
            </w:pPr>
            <w:r w:rsidRPr="00EB0305">
              <w:rPr>
                <w:rFonts w:cs="Times New Roman"/>
                <w:sz w:val="18"/>
                <w:szCs w:val="18"/>
              </w:rPr>
              <w:t>60</w:t>
            </w:r>
          </w:p>
        </w:tc>
        <w:tc>
          <w:tcPr>
            <w:tcW w:w="991" w:type="dxa"/>
            <w:tcBorders>
              <w:top w:val="nil"/>
              <w:left w:val="nil"/>
              <w:right w:val="single" w:sz="4" w:space="0" w:color="auto"/>
            </w:tcBorders>
            <w:shd w:val="clear" w:color="auto" w:fill="auto"/>
            <w:vAlign w:val="center"/>
          </w:tcPr>
          <w:p w14:paraId="1CDBDD54" w14:textId="77777777" w:rsidR="00D73008" w:rsidRPr="00EB0305" w:rsidRDefault="00D73008" w:rsidP="00387AE5">
            <w:pPr>
              <w:jc w:val="center"/>
              <w:rPr>
                <w:rFonts w:cs="Times New Roman"/>
                <w:b/>
                <w:sz w:val="18"/>
                <w:szCs w:val="18"/>
              </w:rPr>
            </w:pPr>
            <w:r w:rsidRPr="00EB0305">
              <w:rPr>
                <w:rFonts w:cs="Times New Roman"/>
                <w:b/>
                <w:sz w:val="18"/>
                <w:szCs w:val="18"/>
              </w:rPr>
              <w:t>áno</w:t>
            </w:r>
          </w:p>
        </w:tc>
        <w:tc>
          <w:tcPr>
            <w:tcW w:w="985" w:type="dxa"/>
            <w:tcBorders>
              <w:top w:val="nil"/>
              <w:left w:val="single" w:sz="4" w:space="0" w:color="auto"/>
              <w:right w:val="nil"/>
            </w:tcBorders>
            <w:vAlign w:val="center"/>
          </w:tcPr>
          <w:p w14:paraId="39C69996" w14:textId="77777777" w:rsidR="00D73008" w:rsidRPr="00DA1BA9" w:rsidRDefault="00D73008" w:rsidP="00387AE5">
            <w:pPr>
              <w:jc w:val="center"/>
              <w:rPr>
                <w:rFonts w:cs="Times New Roman"/>
                <w:b/>
                <w:sz w:val="18"/>
                <w:szCs w:val="18"/>
              </w:rPr>
            </w:pPr>
            <w:r w:rsidRPr="00DA1BA9">
              <w:rPr>
                <w:rFonts w:cs="Times New Roman"/>
                <w:b/>
                <w:sz w:val="18"/>
                <w:szCs w:val="18"/>
              </w:rPr>
              <w:t>-</w:t>
            </w:r>
            <w:r>
              <w:rPr>
                <w:rFonts w:cs="Times New Roman"/>
                <w:b/>
                <w:sz w:val="18"/>
                <w:szCs w:val="18"/>
              </w:rPr>
              <w:t>2</w:t>
            </w:r>
            <w:r w:rsidRPr="00DA1BA9">
              <w:rPr>
                <w:rFonts w:cs="Times New Roman"/>
                <w:b/>
                <w:sz w:val="18"/>
                <w:szCs w:val="18"/>
              </w:rPr>
              <w:t>,</w:t>
            </w:r>
            <w:r>
              <w:rPr>
                <w:rFonts w:cs="Times New Roman"/>
                <w:b/>
                <w:sz w:val="18"/>
                <w:szCs w:val="18"/>
              </w:rPr>
              <w:t>6</w:t>
            </w:r>
          </w:p>
        </w:tc>
        <w:tc>
          <w:tcPr>
            <w:tcW w:w="985" w:type="dxa"/>
            <w:tcBorders>
              <w:top w:val="nil"/>
              <w:left w:val="nil"/>
              <w:right w:val="nil"/>
            </w:tcBorders>
            <w:shd w:val="clear" w:color="auto" w:fill="B0D6AF" w:themeFill="accent3"/>
            <w:vAlign w:val="center"/>
          </w:tcPr>
          <w:p w14:paraId="12FEE091" w14:textId="77777777" w:rsidR="00D73008" w:rsidRPr="00EB0305" w:rsidRDefault="00D73008" w:rsidP="00387AE5">
            <w:pPr>
              <w:jc w:val="center"/>
              <w:rPr>
                <w:rFonts w:cs="Times New Roman"/>
                <w:b/>
                <w:sz w:val="18"/>
                <w:szCs w:val="18"/>
              </w:rPr>
            </w:pPr>
            <w:r w:rsidRPr="00EB0305">
              <w:rPr>
                <w:rFonts w:cs="Times New Roman"/>
                <w:b/>
                <w:sz w:val="18"/>
                <w:szCs w:val="18"/>
              </w:rPr>
              <w:t>nízke</w:t>
            </w:r>
          </w:p>
        </w:tc>
      </w:tr>
      <w:tr w:rsidR="00D73008" w:rsidRPr="00EB0305" w14:paraId="18F77394" w14:textId="77777777" w:rsidTr="00387AE5">
        <w:trPr>
          <w:trHeight w:val="48"/>
        </w:trPr>
        <w:tc>
          <w:tcPr>
            <w:tcW w:w="1371" w:type="dxa"/>
            <w:tcBorders>
              <w:left w:val="nil"/>
              <w:bottom w:val="single" w:sz="4" w:space="0" w:color="auto"/>
              <w:right w:val="nil"/>
            </w:tcBorders>
            <w:shd w:val="clear" w:color="auto" w:fill="auto"/>
            <w:noWrap/>
            <w:vAlign w:val="center"/>
            <w:hideMark/>
          </w:tcPr>
          <w:p w14:paraId="4B7A1C67" w14:textId="77777777" w:rsidR="00D73008" w:rsidRPr="00EB0305" w:rsidRDefault="00D73008" w:rsidP="00387AE5">
            <w:pPr>
              <w:rPr>
                <w:rFonts w:cs="Times New Roman"/>
                <w:b/>
                <w:iCs/>
                <w:color w:val="000000"/>
                <w:sz w:val="18"/>
                <w:szCs w:val="18"/>
              </w:rPr>
            </w:pPr>
            <w:r>
              <w:rPr>
                <w:rFonts w:cs="Times New Roman"/>
                <w:b/>
                <w:iCs/>
                <w:color w:val="000000"/>
                <w:sz w:val="18"/>
                <w:szCs w:val="18"/>
              </w:rPr>
              <w:t>R 2022</w:t>
            </w:r>
            <w:r w:rsidRPr="00EB0305">
              <w:rPr>
                <w:rFonts w:cs="Times New Roman"/>
                <w:b/>
                <w:iCs/>
                <w:color w:val="000000"/>
                <w:sz w:val="18"/>
                <w:szCs w:val="18"/>
              </w:rPr>
              <w:t xml:space="preserve"> – </w:t>
            </w:r>
          </w:p>
          <w:p w14:paraId="26A08A8A" w14:textId="77777777" w:rsidR="00D73008" w:rsidRPr="00EB0305" w:rsidRDefault="00D73008" w:rsidP="00387AE5">
            <w:pPr>
              <w:rPr>
                <w:rFonts w:cs="Times New Roman"/>
                <w:b/>
                <w:iCs/>
                <w:color w:val="000000"/>
                <w:sz w:val="18"/>
                <w:szCs w:val="18"/>
              </w:rPr>
            </w:pPr>
            <w:r w:rsidRPr="00EB0305">
              <w:rPr>
                <w:rFonts w:cs="Times New Roman"/>
                <w:b/>
                <w:iCs/>
                <w:color w:val="000000"/>
                <w:sz w:val="18"/>
                <w:szCs w:val="18"/>
              </w:rPr>
              <w:t>dlhová brzda</w:t>
            </w:r>
          </w:p>
        </w:tc>
        <w:tc>
          <w:tcPr>
            <w:tcW w:w="747" w:type="dxa"/>
            <w:tcBorders>
              <w:left w:val="nil"/>
              <w:bottom w:val="single" w:sz="4" w:space="0" w:color="auto"/>
              <w:right w:val="nil"/>
            </w:tcBorders>
            <w:shd w:val="clear" w:color="auto" w:fill="auto"/>
            <w:noWrap/>
            <w:vAlign w:val="center"/>
            <w:hideMark/>
          </w:tcPr>
          <w:p w14:paraId="77EF91EB" w14:textId="77777777" w:rsidR="00D73008" w:rsidRPr="00EB0305" w:rsidRDefault="00D73008" w:rsidP="00387AE5">
            <w:pPr>
              <w:jc w:val="center"/>
              <w:rPr>
                <w:rFonts w:cs="Times New Roman"/>
                <w:iCs/>
                <w:color w:val="000000"/>
                <w:sz w:val="18"/>
                <w:szCs w:val="18"/>
              </w:rPr>
            </w:pPr>
            <w:r>
              <w:rPr>
                <w:rFonts w:cs="Times New Roman"/>
                <w:iCs/>
                <w:color w:val="000000"/>
                <w:sz w:val="18"/>
                <w:szCs w:val="18"/>
              </w:rPr>
              <w:t>2022</w:t>
            </w:r>
          </w:p>
        </w:tc>
        <w:tc>
          <w:tcPr>
            <w:tcW w:w="748" w:type="dxa"/>
            <w:tcBorders>
              <w:left w:val="nil"/>
              <w:bottom w:val="single" w:sz="4" w:space="0" w:color="auto"/>
              <w:right w:val="nil"/>
            </w:tcBorders>
            <w:shd w:val="clear" w:color="auto" w:fill="auto"/>
            <w:noWrap/>
            <w:vAlign w:val="center"/>
            <w:hideMark/>
          </w:tcPr>
          <w:p w14:paraId="3CBDD0A5" w14:textId="77777777" w:rsidR="00D73008" w:rsidRPr="00DA1BA9" w:rsidRDefault="00D73008" w:rsidP="00387AE5">
            <w:pPr>
              <w:jc w:val="center"/>
              <w:rPr>
                <w:rFonts w:cs="Times New Roman"/>
                <w:color w:val="000000"/>
                <w:sz w:val="18"/>
                <w:szCs w:val="18"/>
              </w:rPr>
            </w:pPr>
            <w:r>
              <w:rPr>
                <w:rFonts w:cs="Times New Roman"/>
                <w:color w:val="000000"/>
                <w:sz w:val="18"/>
                <w:szCs w:val="18"/>
              </w:rPr>
              <w:t>0,8</w:t>
            </w:r>
          </w:p>
        </w:tc>
        <w:tc>
          <w:tcPr>
            <w:tcW w:w="498" w:type="dxa"/>
            <w:tcBorders>
              <w:left w:val="nil"/>
              <w:bottom w:val="single" w:sz="4" w:space="0" w:color="auto"/>
              <w:right w:val="nil"/>
            </w:tcBorders>
            <w:shd w:val="clear" w:color="auto" w:fill="auto"/>
            <w:noWrap/>
            <w:vAlign w:val="center"/>
            <w:hideMark/>
          </w:tcPr>
          <w:p w14:paraId="58FA0F8C" w14:textId="77777777" w:rsidR="00D73008" w:rsidRPr="00DA1BA9" w:rsidRDefault="00D73008" w:rsidP="00387AE5">
            <w:pPr>
              <w:jc w:val="center"/>
              <w:rPr>
                <w:rFonts w:cs="Times New Roman"/>
                <w:iCs/>
                <w:color w:val="000000"/>
                <w:sz w:val="18"/>
                <w:szCs w:val="18"/>
              </w:rPr>
            </w:pPr>
            <w:r w:rsidRPr="00DA1BA9">
              <w:rPr>
                <w:rFonts w:cs="Times New Roman"/>
                <w:sz w:val="18"/>
                <w:szCs w:val="18"/>
              </w:rPr>
              <w:t>44,4</w:t>
            </w:r>
          </w:p>
        </w:tc>
        <w:tc>
          <w:tcPr>
            <w:tcW w:w="1461" w:type="dxa"/>
            <w:tcBorders>
              <w:left w:val="nil"/>
              <w:bottom w:val="single" w:sz="4" w:space="0" w:color="auto"/>
              <w:right w:val="nil"/>
            </w:tcBorders>
            <w:shd w:val="clear" w:color="auto" w:fill="auto"/>
            <w:noWrap/>
            <w:vAlign w:val="center"/>
            <w:hideMark/>
          </w:tcPr>
          <w:p w14:paraId="0C336440" w14:textId="77777777" w:rsidR="00D73008" w:rsidRPr="00EB0305" w:rsidRDefault="00D73008" w:rsidP="00387AE5">
            <w:pPr>
              <w:jc w:val="center"/>
              <w:rPr>
                <w:rFonts w:cs="Times New Roman"/>
                <w:iCs/>
                <w:color w:val="000000"/>
                <w:sz w:val="18"/>
                <w:szCs w:val="18"/>
              </w:rPr>
            </w:pPr>
            <w:r w:rsidRPr="00EB0305">
              <w:rPr>
                <w:rFonts w:cs="Times New Roman"/>
                <w:sz w:val="18"/>
                <w:szCs w:val="18"/>
              </w:rPr>
              <w:t>202</w:t>
            </w:r>
            <w:r>
              <w:rPr>
                <w:rFonts w:cs="Times New Roman"/>
                <w:sz w:val="18"/>
                <w:szCs w:val="18"/>
              </w:rPr>
              <w:t>3</w:t>
            </w:r>
            <w:r w:rsidRPr="00EB0305">
              <w:rPr>
                <w:rFonts w:cs="Times New Roman"/>
                <w:sz w:val="18"/>
                <w:szCs w:val="18"/>
              </w:rPr>
              <w:t xml:space="preserve"> až 202</w:t>
            </w:r>
            <w:r>
              <w:rPr>
                <w:rFonts w:cs="Times New Roman"/>
                <w:sz w:val="18"/>
                <w:szCs w:val="18"/>
              </w:rPr>
              <w:t>7</w:t>
            </w:r>
          </w:p>
        </w:tc>
        <w:tc>
          <w:tcPr>
            <w:tcW w:w="780" w:type="dxa"/>
            <w:tcBorders>
              <w:left w:val="nil"/>
              <w:bottom w:val="single" w:sz="4" w:space="0" w:color="auto"/>
              <w:right w:val="nil"/>
            </w:tcBorders>
            <w:shd w:val="clear" w:color="auto" w:fill="auto"/>
            <w:noWrap/>
            <w:vAlign w:val="center"/>
            <w:hideMark/>
          </w:tcPr>
          <w:p w14:paraId="2A999E6D" w14:textId="77777777" w:rsidR="00D73008" w:rsidRPr="00EB0305" w:rsidRDefault="00D73008" w:rsidP="00387AE5">
            <w:pPr>
              <w:jc w:val="center"/>
              <w:rPr>
                <w:rFonts w:cs="Times New Roman"/>
                <w:iCs/>
                <w:color w:val="000000"/>
                <w:sz w:val="18"/>
                <w:szCs w:val="18"/>
              </w:rPr>
            </w:pPr>
            <w:r>
              <w:rPr>
                <w:rFonts w:cs="Times New Roman"/>
                <w:iCs/>
                <w:color w:val="000000"/>
                <w:sz w:val="18"/>
                <w:szCs w:val="18"/>
              </w:rPr>
              <w:t>2035</w:t>
            </w:r>
          </w:p>
        </w:tc>
        <w:tc>
          <w:tcPr>
            <w:tcW w:w="428" w:type="dxa"/>
            <w:tcBorders>
              <w:left w:val="nil"/>
              <w:bottom w:val="single" w:sz="4" w:space="0" w:color="auto"/>
              <w:right w:val="nil"/>
            </w:tcBorders>
            <w:shd w:val="clear" w:color="auto" w:fill="auto"/>
            <w:noWrap/>
            <w:vAlign w:val="center"/>
            <w:hideMark/>
          </w:tcPr>
          <w:p w14:paraId="625F97C2" w14:textId="77777777" w:rsidR="00D73008" w:rsidRPr="00EB0305" w:rsidRDefault="00D73008" w:rsidP="00387AE5">
            <w:pPr>
              <w:jc w:val="center"/>
              <w:rPr>
                <w:rFonts w:cs="Times New Roman"/>
                <w:iCs/>
                <w:color w:val="000000"/>
                <w:sz w:val="18"/>
                <w:szCs w:val="18"/>
              </w:rPr>
            </w:pPr>
            <w:r w:rsidRPr="00EB0305">
              <w:rPr>
                <w:rFonts w:cs="Times New Roman"/>
                <w:iCs/>
                <w:color w:val="000000"/>
                <w:sz w:val="18"/>
                <w:szCs w:val="18"/>
              </w:rPr>
              <w:t>40</w:t>
            </w:r>
          </w:p>
        </w:tc>
        <w:tc>
          <w:tcPr>
            <w:tcW w:w="991" w:type="dxa"/>
            <w:tcBorders>
              <w:left w:val="nil"/>
              <w:bottom w:val="single" w:sz="4" w:space="0" w:color="auto"/>
              <w:right w:val="single" w:sz="4" w:space="0" w:color="auto"/>
            </w:tcBorders>
            <w:shd w:val="clear" w:color="auto" w:fill="auto"/>
            <w:vAlign w:val="center"/>
          </w:tcPr>
          <w:p w14:paraId="084DD75B" w14:textId="77777777" w:rsidR="00D73008" w:rsidRPr="00EB0305" w:rsidRDefault="00D73008" w:rsidP="00387AE5">
            <w:pPr>
              <w:jc w:val="center"/>
              <w:rPr>
                <w:rFonts w:cs="Times New Roman"/>
                <w:b/>
                <w:iCs/>
                <w:color w:val="000000"/>
                <w:sz w:val="18"/>
                <w:szCs w:val="18"/>
              </w:rPr>
            </w:pPr>
            <w:r w:rsidRPr="00EB0305">
              <w:rPr>
                <w:rFonts w:cs="Times New Roman"/>
                <w:b/>
                <w:sz w:val="18"/>
                <w:szCs w:val="18"/>
              </w:rPr>
              <w:t>áno</w:t>
            </w:r>
          </w:p>
        </w:tc>
        <w:tc>
          <w:tcPr>
            <w:tcW w:w="985" w:type="dxa"/>
            <w:tcBorders>
              <w:left w:val="single" w:sz="4" w:space="0" w:color="auto"/>
              <w:bottom w:val="single" w:sz="4" w:space="0" w:color="auto"/>
              <w:right w:val="nil"/>
            </w:tcBorders>
            <w:vAlign w:val="center"/>
          </w:tcPr>
          <w:p w14:paraId="2D4B646C" w14:textId="77777777" w:rsidR="00D73008" w:rsidRPr="00DA1BA9" w:rsidRDefault="00D73008" w:rsidP="00387AE5">
            <w:pPr>
              <w:jc w:val="center"/>
              <w:rPr>
                <w:rFonts w:cs="Times New Roman"/>
                <w:b/>
                <w:iCs/>
                <w:color w:val="000000"/>
                <w:sz w:val="18"/>
                <w:szCs w:val="18"/>
              </w:rPr>
            </w:pPr>
            <w:r w:rsidRPr="00DA1BA9">
              <w:rPr>
                <w:rFonts w:cs="Times New Roman"/>
                <w:b/>
                <w:iCs/>
                <w:color w:val="000000"/>
                <w:sz w:val="18"/>
                <w:szCs w:val="18"/>
              </w:rPr>
              <w:t>-</w:t>
            </w:r>
            <w:r>
              <w:rPr>
                <w:rFonts w:cs="Times New Roman"/>
                <w:b/>
                <w:iCs/>
                <w:color w:val="000000"/>
                <w:sz w:val="18"/>
                <w:szCs w:val="18"/>
              </w:rPr>
              <w:t>0</w:t>
            </w:r>
            <w:r w:rsidRPr="00DA1BA9">
              <w:rPr>
                <w:rFonts w:cs="Times New Roman"/>
                <w:b/>
                <w:iCs/>
                <w:color w:val="000000"/>
                <w:sz w:val="18"/>
                <w:szCs w:val="18"/>
              </w:rPr>
              <w:t>,</w:t>
            </w:r>
            <w:r>
              <w:rPr>
                <w:rFonts w:cs="Times New Roman"/>
                <w:b/>
                <w:iCs/>
                <w:color w:val="000000"/>
                <w:sz w:val="18"/>
                <w:szCs w:val="18"/>
              </w:rPr>
              <w:t>7</w:t>
            </w:r>
          </w:p>
        </w:tc>
        <w:tc>
          <w:tcPr>
            <w:tcW w:w="985" w:type="dxa"/>
            <w:tcBorders>
              <w:left w:val="nil"/>
              <w:bottom w:val="single" w:sz="4" w:space="0" w:color="auto"/>
              <w:right w:val="nil"/>
            </w:tcBorders>
            <w:shd w:val="clear" w:color="auto" w:fill="B0D6AF" w:themeFill="accent3"/>
            <w:vAlign w:val="center"/>
          </w:tcPr>
          <w:p w14:paraId="40585D13" w14:textId="77777777" w:rsidR="00D73008" w:rsidRPr="00EB0305" w:rsidRDefault="00D73008" w:rsidP="00387AE5">
            <w:pPr>
              <w:jc w:val="center"/>
              <w:rPr>
                <w:rFonts w:cs="Times New Roman"/>
                <w:b/>
                <w:iCs/>
                <w:color w:val="000000"/>
                <w:sz w:val="18"/>
                <w:szCs w:val="18"/>
              </w:rPr>
            </w:pPr>
            <w:r w:rsidRPr="00EB0305">
              <w:rPr>
                <w:rFonts w:cs="Times New Roman"/>
                <w:b/>
                <w:iCs/>
                <w:color w:val="000000"/>
                <w:sz w:val="18"/>
                <w:szCs w:val="18"/>
              </w:rPr>
              <w:t>nízke</w:t>
            </w:r>
          </w:p>
        </w:tc>
      </w:tr>
    </w:tbl>
    <w:p w14:paraId="6819A7CA" w14:textId="77777777" w:rsidR="00D73008" w:rsidRPr="00EB0305" w:rsidRDefault="00D73008" w:rsidP="00D73008">
      <w:pPr>
        <w:jc w:val="center"/>
        <w:rPr>
          <w:rFonts w:cs="Times New Roman"/>
          <w:i/>
          <w:sz w:val="16"/>
          <w:szCs w:val="16"/>
        </w:rPr>
      </w:pPr>
      <w:r>
        <w:rPr>
          <w:rFonts w:cs="Times New Roman"/>
          <w:i/>
          <w:sz w:val="16"/>
          <w:szCs w:val="16"/>
        </w:rPr>
        <w:t xml:space="preserve">                                                                                                                                                                                                                           </w:t>
      </w:r>
      <w:r w:rsidRPr="00EB0305">
        <w:rPr>
          <w:rFonts w:cs="Times New Roman"/>
          <w:i/>
          <w:sz w:val="16"/>
          <w:szCs w:val="16"/>
        </w:rPr>
        <w:t>Zdroj: MF SR</w:t>
      </w:r>
    </w:p>
    <w:p w14:paraId="3B46E4F9" w14:textId="77777777" w:rsidR="00D73008" w:rsidRPr="00EB0305" w:rsidRDefault="00D73008" w:rsidP="00D73008">
      <w:pPr>
        <w:rPr>
          <w:rFonts w:cs="Times New Roman"/>
          <w:i/>
          <w:sz w:val="16"/>
          <w:szCs w:val="16"/>
        </w:rPr>
      </w:pPr>
      <w:r w:rsidRPr="00EB0305">
        <w:rPr>
          <w:rFonts w:cs="Times New Roman"/>
          <w:i/>
          <w:sz w:val="16"/>
          <w:szCs w:val="16"/>
        </w:rPr>
        <w:t xml:space="preserve">*V prípade zápornej výslednej hodnoty S1 sa jedná o využitie identifikovaného fiškálneho priestoru postupne v daných rokoch. </w:t>
      </w:r>
    </w:p>
    <w:p w14:paraId="29CAF036" w14:textId="77777777" w:rsidR="00D73008" w:rsidRPr="00EB0305" w:rsidRDefault="00D73008" w:rsidP="00D73008">
      <w:pPr>
        <w:autoSpaceDE w:val="0"/>
        <w:autoSpaceDN w:val="0"/>
        <w:adjustRightInd w:val="0"/>
        <w:jc w:val="both"/>
        <w:rPr>
          <w:iCs/>
          <w:sz w:val="18"/>
          <w:szCs w:val="18"/>
        </w:rPr>
      </w:pPr>
    </w:p>
    <w:tbl>
      <w:tblPr>
        <w:tblW w:w="0" w:type="auto"/>
        <w:tblLayout w:type="fixed"/>
        <w:tblCellMar>
          <w:left w:w="70" w:type="dxa"/>
          <w:right w:w="70" w:type="dxa"/>
        </w:tblCellMar>
        <w:tblLook w:val="04A0" w:firstRow="1" w:lastRow="0" w:firstColumn="1" w:lastColumn="0" w:noHBand="0" w:noVBand="1"/>
      </w:tblPr>
      <w:tblGrid>
        <w:gridCol w:w="6946"/>
        <w:gridCol w:w="2126"/>
      </w:tblGrid>
      <w:tr w:rsidR="00D73008" w:rsidRPr="0046517F" w14:paraId="7A68ACF6" w14:textId="77777777" w:rsidTr="00387AE5">
        <w:trPr>
          <w:trHeight w:val="209"/>
        </w:trPr>
        <w:tc>
          <w:tcPr>
            <w:tcW w:w="6946" w:type="dxa"/>
            <w:tcBorders>
              <w:top w:val="nil"/>
              <w:left w:val="nil"/>
              <w:bottom w:val="single" w:sz="8" w:space="0" w:color="auto"/>
              <w:right w:val="nil"/>
            </w:tcBorders>
            <w:shd w:val="clear" w:color="auto" w:fill="auto"/>
            <w:noWrap/>
            <w:vAlign w:val="center"/>
            <w:hideMark/>
          </w:tcPr>
          <w:p w14:paraId="696E1398" w14:textId="22E0AD98" w:rsidR="00D73008" w:rsidRPr="0046517F" w:rsidRDefault="00D73008" w:rsidP="00387AE5">
            <w:pPr>
              <w:pStyle w:val="Popis"/>
              <w:keepNext/>
              <w:spacing w:after="0"/>
              <w:rPr>
                <w:sz w:val="20"/>
                <w:szCs w:val="20"/>
              </w:rPr>
            </w:pPr>
            <w:bookmarkStart w:id="286" w:name="_Toc6314235"/>
            <w:r w:rsidRPr="00392121">
              <w:rPr>
                <w:rFonts w:eastAsiaTheme="minorHAnsi"/>
                <w:color w:val="2C9ADC"/>
                <w:sz w:val="20"/>
                <w:szCs w:val="20"/>
                <w:lang w:eastAsia="en-US"/>
              </w:rPr>
              <w:t xml:space="preserve">TABUĽKA </w:t>
            </w:r>
            <w:r w:rsidRPr="00392121">
              <w:rPr>
                <w:rFonts w:eastAsiaTheme="minorHAnsi"/>
                <w:color w:val="2C9ADC"/>
                <w:sz w:val="20"/>
                <w:szCs w:val="20"/>
                <w:lang w:eastAsia="en-US"/>
              </w:rPr>
              <w:fldChar w:fldCharType="begin"/>
            </w:r>
            <w:r w:rsidRPr="00392121">
              <w:rPr>
                <w:rFonts w:eastAsiaTheme="minorHAnsi"/>
                <w:color w:val="2C9ADC"/>
                <w:sz w:val="20"/>
                <w:szCs w:val="20"/>
                <w:lang w:eastAsia="en-US"/>
              </w:rPr>
              <w:instrText xml:space="preserve"> SEQ TABUĽKA \* ARABIC </w:instrText>
            </w:r>
            <w:r w:rsidRPr="00392121">
              <w:rPr>
                <w:rFonts w:eastAsiaTheme="minorHAnsi"/>
                <w:color w:val="2C9ADC"/>
                <w:sz w:val="20"/>
                <w:szCs w:val="20"/>
                <w:lang w:eastAsia="en-US"/>
              </w:rPr>
              <w:fldChar w:fldCharType="separate"/>
            </w:r>
            <w:r w:rsidR="00D5739E">
              <w:rPr>
                <w:rFonts w:eastAsiaTheme="minorHAnsi"/>
                <w:noProof/>
                <w:color w:val="2C9ADC"/>
                <w:sz w:val="20"/>
                <w:szCs w:val="20"/>
                <w:lang w:eastAsia="en-US"/>
              </w:rPr>
              <w:t>36</w:t>
            </w:r>
            <w:r w:rsidRPr="00392121">
              <w:rPr>
                <w:rFonts w:eastAsiaTheme="minorHAnsi"/>
                <w:color w:val="2C9ADC"/>
                <w:sz w:val="20"/>
                <w:szCs w:val="20"/>
                <w:lang w:eastAsia="en-US"/>
              </w:rPr>
              <w:fldChar w:fldCharType="end"/>
            </w:r>
            <w:r w:rsidRPr="0046517F">
              <w:rPr>
                <w:sz w:val="20"/>
                <w:szCs w:val="20"/>
              </w:rPr>
              <w:t xml:space="preserve"> - Rozbor indikátora udržateľnosti S1</w:t>
            </w:r>
            <w:bookmarkEnd w:id="286"/>
          </w:p>
        </w:tc>
        <w:tc>
          <w:tcPr>
            <w:tcW w:w="2126" w:type="dxa"/>
            <w:tcBorders>
              <w:top w:val="nil"/>
              <w:left w:val="nil"/>
              <w:bottom w:val="single" w:sz="8" w:space="0" w:color="auto"/>
              <w:right w:val="nil"/>
            </w:tcBorders>
          </w:tcPr>
          <w:p w14:paraId="3EF28F1A" w14:textId="77777777" w:rsidR="00D73008" w:rsidRPr="0046517F" w:rsidRDefault="00D73008" w:rsidP="00387AE5">
            <w:pPr>
              <w:pStyle w:val="Popis"/>
              <w:keepNext/>
              <w:spacing w:after="0"/>
              <w:rPr>
                <w:sz w:val="20"/>
                <w:szCs w:val="20"/>
              </w:rPr>
            </w:pPr>
          </w:p>
        </w:tc>
      </w:tr>
    </w:tbl>
    <w:p w14:paraId="1CC05560" w14:textId="77777777" w:rsidR="00D73008" w:rsidRPr="00EB0305" w:rsidRDefault="00D73008" w:rsidP="00D73008">
      <w:pPr>
        <w:autoSpaceDE w:val="0"/>
        <w:autoSpaceDN w:val="0"/>
        <w:adjustRightInd w:val="0"/>
        <w:jc w:val="both"/>
        <w:rPr>
          <w:iCs/>
          <w:sz w:val="18"/>
          <w:szCs w:val="18"/>
        </w:rPr>
      </w:pPr>
    </w:p>
    <w:tbl>
      <w:tblPr>
        <w:tblW w:w="5000" w:type="pct"/>
        <w:tblCellMar>
          <w:left w:w="70" w:type="dxa"/>
          <w:right w:w="70" w:type="dxa"/>
        </w:tblCellMar>
        <w:tblLook w:val="04A0" w:firstRow="1" w:lastRow="0" w:firstColumn="1" w:lastColumn="0" w:noHBand="0" w:noVBand="1"/>
      </w:tblPr>
      <w:tblGrid>
        <w:gridCol w:w="3788"/>
        <w:gridCol w:w="1455"/>
        <w:gridCol w:w="1400"/>
        <w:gridCol w:w="1259"/>
        <w:gridCol w:w="1168"/>
      </w:tblGrid>
      <w:tr w:rsidR="00D73008" w:rsidRPr="00EB0305" w14:paraId="6E5F0BA6" w14:textId="77777777" w:rsidTr="00387AE5">
        <w:trPr>
          <w:trHeight w:val="392"/>
        </w:trPr>
        <w:tc>
          <w:tcPr>
            <w:tcW w:w="2088" w:type="pct"/>
            <w:tcBorders>
              <w:top w:val="single" w:sz="8" w:space="0" w:color="auto"/>
              <w:left w:val="nil"/>
              <w:bottom w:val="single" w:sz="4" w:space="0" w:color="auto"/>
            </w:tcBorders>
            <w:shd w:val="clear" w:color="auto" w:fill="auto"/>
            <w:noWrap/>
            <w:vAlign w:val="center"/>
          </w:tcPr>
          <w:p w14:paraId="19980F08" w14:textId="77777777" w:rsidR="00D73008" w:rsidRPr="00EB0305" w:rsidRDefault="00D73008" w:rsidP="00387AE5">
            <w:pPr>
              <w:rPr>
                <w:rFonts w:cs="Times New Roman"/>
                <w:b/>
                <w:bCs/>
                <w:color w:val="000000" w:themeColor="text1"/>
                <w:sz w:val="18"/>
                <w:szCs w:val="18"/>
              </w:rPr>
            </w:pPr>
          </w:p>
        </w:tc>
        <w:tc>
          <w:tcPr>
            <w:tcW w:w="802" w:type="pct"/>
            <w:tcBorders>
              <w:top w:val="single" w:sz="8" w:space="0" w:color="auto"/>
              <w:bottom w:val="single" w:sz="4" w:space="0" w:color="auto"/>
            </w:tcBorders>
            <w:shd w:val="clear" w:color="auto" w:fill="auto"/>
            <w:noWrap/>
            <w:vAlign w:val="center"/>
          </w:tcPr>
          <w:p w14:paraId="7985607F" w14:textId="77777777" w:rsidR="00D73008" w:rsidRPr="00EB0305" w:rsidRDefault="00D73008" w:rsidP="00387AE5">
            <w:pPr>
              <w:jc w:val="center"/>
              <w:rPr>
                <w:rFonts w:cs="Times New Roman"/>
                <w:b/>
                <w:bCs/>
                <w:color w:val="000000" w:themeColor="text1"/>
                <w:sz w:val="18"/>
                <w:szCs w:val="18"/>
              </w:rPr>
            </w:pPr>
            <w:r>
              <w:rPr>
                <w:rFonts w:cs="Times New Roman"/>
                <w:b/>
                <w:bCs/>
                <w:color w:val="000000" w:themeColor="text1"/>
                <w:sz w:val="18"/>
                <w:szCs w:val="18"/>
              </w:rPr>
              <w:t>R 2020</w:t>
            </w:r>
          </w:p>
        </w:tc>
        <w:tc>
          <w:tcPr>
            <w:tcW w:w="772" w:type="pct"/>
            <w:tcBorders>
              <w:top w:val="single" w:sz="8" w:space="0" w:color="auto"/>
              <w:bottom w:val="single" w:sz="4" w:space="0" w:color="auto"/>
              <w:right w:val="single" w:sz="4" w:space="0" w:color="auto"/>
            </w:tcBorders>
            <w:shd w:val="clear" w:color="auto" w:fill="auto"/>
            <w:vAlign w:val="center"/>
          </w:tcPr>
          <w:p w14:paraId="0CD3E9FE" w14:textId="77777777" w:rsidR="00D73008" w:rsidRPr="00EB0305" w:rsidRDefault="00D73008" w:rsidP="00387AE5">
            <w:pPr>
              <w:jc w:val="center"/>
              <w:rPr>
                <w:rFonts w:cs="Times New Roman"/>
                <w:b/>
                <w:bCs/>
                <w:color w:val="000000" w:themeColor="text1"/>
                <w:sz w:val="18"/>
                <w:szCs w:val="18"/>
              </w:rPr>
            </w:pPr>
            <w:r>
              <w:rPr>
                <w:rFonts w:cs="Times New Roman"/>
                <w:b/>
                <w:bCs/>
                <w:color w:val="000000" w:themeColor="text1"/>
                <w:sz w:val="18"/>
                <w:szCs w:val="18"/>
              </w:rPr>
              <w:t>R2020</w:t>
            </w:r>
            <w:r w:rsidRPr="00EB0305">
              <w:rPr>
                <w:rFonts w:cs="Times New Roman"/>
                <w:b/>
                <w:bCs/>
                <w:color w:val="000000" w:themeColor="text1"/>
                <w:sz w:val="18"/>
                <w:szCs w:val="18"/>
              </w:rPr>
              <w:t xml:space="preserve"> - dlhová brzda</w:t>
            </w:r>
          </w:p>
        </w:tc>
        <w:tc>
          <w:tcPr>
            <w:tcW w:w="694" w:type="pct"/>
            <w:tcBorders>
              <w:top w:val="single" w:sz="8" w:space="0" w:color="auto"/>
              <w:left w:val="single" w:sz="4" w:space="0" w:color="auto"/>
              <w:bottom w:val="single" w:sz="4" w:space="0" w:color="auto"/>
            </w:tcBorders>
            <w:shd w:val="clear" w:color="auto" w:fill="auto"/>
            <w:noWrap/>
            <w:vAlign w:val="center"/>
          </w:tcPr>
          <w:p w14:paraId="38C46082" w14:textId="77777777" w:rsidR="00D73008" w:rsidRPr="00EB0305" w:rsidRDefault="00D73008" w:rsidP="00387AE5">
            <w:pPr>
              <w:jc w:val="center"/>
              <w:rPr>
                <w:rFonts w:cs="Times New Roman"/>
                <w:b/>
                <w:bCs/>
                <w:color w:val="000000" w:themeColor="text1"/>
                <w:sz w:val="18"/>
                <w:szCs w:val="18"/>
              </w:rPr>
            </w:pPr>
            <w:r w:rsidRPr="00EB0305">
              <w:rPr>
                <w:rFonts w:cs="Times New Roman"/>
                <w:b/>
                <w:bCs/>
                <w:color w:val="000000" w:themeColor="text1"/>
                <w:sz w:val="18"/>
                <w:szCs w:val="18"/>
              </w:rPr>
              <w:t>R</w:t>
            </w:r>
            <w:r>
              <w:rPr>
                <w:rFonts w:cs="Times New Roman"/>
                <w:b/>
                <w:bCs/>
                <w:color w:val="000000" w:themeColor="text1"/>
                <w:sz w:val="18"/>
                <w:szCs w:val="18"/>
              </w:rPr>
              <w:t xml:space="preserve"> 2022</w:t>
            </w:r>
          </w:p>
        </w:tc>
        <w:tc>
          <w:tcPr>
            <w:tcW w:w="644" w:type="pct"/>
            <w:tcBorders>
              <w:top w:val="single" w:sz="8" w:space="0" w:color="auto"/>
              <w:bottom w:val="single" w:sz="4" w:space="0" w:color="auto"/>
            </w:tcBorders>
            <w:shd w:val="clear" w:color="auto" w:fill="auto"/>
            <w:vAlign w:val="center"/>
          </w:tcPr>
          <w:p w14:paraId="60B72DA5" w14:textId="77777777" w:rsidR="00D73008" w:rsidRPr="00EB0305" w:rsidRDefault="00D73008" w:rsidP="00387AE5">
            <w:pPr>
              <w:jc w:val="center"/>
              <w:rPr>
                <w:rFonts w:cs="Times New Roman"/>
                <w:b/>
                <w:bCs/>
                <w:color w:val="000000" w:themeColor="text1"/>
                <w:sz w:val="18"/>
                <w:szCs w:val="18"/>
              </w:rPr>
            </w:pPr>
            <w:r>
              <w:rPr>
                <w:rFonts w:cs="Times New Roman"/>
                <w:b/>
                <w:bCs/>
                <w:color w:val="000000" w:themeColor="text1"/>
                <w:sz w:val="18"/>
                <w:szCs w:val="18"/>
              </w:rPr>
              <w:t>R 2022</w:t>
            </w:r>
            <w:r w:rsidRPr="00EB0305">
              <w:rPr>
                <w:rFonts w:cs="Times New Roman"/>
                <w:b/>
                <w:bCs/>
                <w:color w:val="000000" w:themeColor="text1"/>
                <w:sz w:val="18"/>
                <w:szCs w:val="18"/>
              </w:rPr>
              <w:t xml:space="preserve"> - dlhová brzda</w:t>
            </w:r>
          </w:p>
        </w:tc>
      </w:tr>
      <w:tr w:rsidR="00D73008" w:rsidRPr="00EB0305" w14:paraId="1A0C7606" w14:textId="77777777" w:rsidTr="00387AE5">
        <w:trPr>
          <w:trHeight w:val="289"/>
        </w:trPr>
        <w:tc>
          <w:tcPr>
            <w:tcW w:w="2088" w:type="pct"/>
            <w:tcBorders>
              <w:top w:val="single" w:sz="8" w:space="0" w:color="auto"/>
              <w:left w:val="nil"/>
              <w:bottom w:val="single" w:sz="4" w:space="0" w:color="auto"/>
            </w:tcBorders>
            <w:shd w:val="clear" w:color="auto" w:fill="auto"/>
            <w:noWrap/>
            <w:vAlign w:val="center"/>
            <w:hideMark/>
          </w:tcPr>
          <w:p w14:paraId="4F4ED10C" w14:textId="77777777" w:rsidR="00D73008" w:rsidRPr="00EB0305" w:rsidRDefault="00D73008" w:rsidP="00387AE5">
            <w:pPr>
              <w:rPr>
                <w:rFonts w:cs="Times New Roman"/>
                <w:b/>
                <w:bCs/>
                <w:color w:val="000000" w:themeColor="text1"/>
                <w:sz w:val="18"/>
                <w:szCs w:val="18"/>
              </w:rPr>
            </w:pPr>
            <w:r w:rsidRPr="00EB0305">
              <w:rPr>
                <w:rFonts w:cs="Times New Roman"/>
                <w:b/>
                <w:bCs/>
                <w:color w:val="000000" w:themeColor="text1"/>
                <w:sz w:val="18"/>
                <w:szCs w:val="18"/>
              </w:rPr>
              <w:t>S1 Indikátor (% HDP)</w:t>
            </w:r>
          </w:p>
        </w:tc>
        <w:tc>
          <w:tcPr>
            <w:tcW w:w="802" w:type="pct"/>
            <w:tcBorders>
              <w:top w:val="single" w:sz="8" w:space="0" w:color="auto"/>
              <w:bottom w:val="single" w:sz="4" w:space="0" w:color="auto"/>
            </w:tcBorders>
            <w:shd w:val="clear" w:color="auto" w:fill="B0D6AF" w:themeFill="accent3"/>
            <w:noWrap/>
            <w:vAlign w:val="center"/>
          </w:tcPr>
          <w:p w14:paraId="1DB68903" w14:textId="77777777" w:rsidR="00D73008" w:rsidRPr="00EB0305" w:rsidRDefault="00D73008" w:rsidP="00387AE5">
            <w:pPr>
              <w:jc w:val="center"/>
              <w:rPr>
                <w:rFonts w:cs="Times New Roman"/>
                <w:b/>
                <w:bCs/>
                <w:color w:val="000000" w:themeColor="text1"/>
                <w:sz w:val="18"/>
                <w:szCs w:val="18"/>
              </w:rPr>
            </w:pPr>
            <w:r>
              <w:rPr>
                <w:rFonts w:cs="Times New Roman"/>
                <w:b/>
                <w:bCs/>
                <w:color w:val="000000" w:themeColor="text1"/>
                <w:sz w:val="18"/>
                <w:szCs w:val="18"/>
              </w:rPr>
              <w:t>-2</w:t>
            </w:r>
            <w:r w:rsidRPr="00EB0305">
              <w:rPr>
                <w:rFonts w:cs="Times New Roman"/>
                <w:b/>
                <w:bCs/>
                <w:color w:val="000000" w:themeColor="text1"/>
                <w:sz w:val="18"/>
                <w:szCs w:val="18"/>
              </w:rPr>
              <w:t>,</w:t>
            </w:r>
            <w:r>
              <w:rPr>
                <w:rFonts w:cs="Times New Roman"/>
                <w:b/>
                <w:bCs/>
                <w:color w:val="000000" w:themeColor="text1"/>
                <w:sz w:val="18"/>
                <w:szCs w:val="18"/>
              </w:rPr>
              <w:t>5</w:t>
            </w:r>
          </w:p>
        </w:tc>
        <w:tc>
          <w:tcPr>
            <w:tcW w:w="772" w:type="pct"/>
            <w:tcBorders>
              <w:top w:val="single" w:sz="8" w:space="0" w:color="auto"/>
              <w:bottom w:val="single" w:sz="4" w:space="0" w:color="auto"/>
              <w:right w:val="single" w:sz="4" w:space="0" w:color="auto"/>
            </w:tcBorders>
            <w:shd w:val="clear" w:color="auto" w:fill="B0D6AF" w:themeFill="accent3"/>
            <w:vAlign w:val="center"/>
          </w:tcPr>
          <w:p w14:paraId="7EB2EEC9" w14:textId="77777777" w:rsidR="00D73008" w:rsidRPr="00EB0305" w:rsidRDefault="00D73008" w:rsidP="00387AE5">
            <w:pPr>
              <w:jc w:val="center"/>
              <w:rPr>
                <w:rFonts w:cs="Times New Roman"/>
                <w:b/>
                <w:bCs/>
                <w:color w:val="000000" w:themeColor="text1"/>
                <w:sz w:val="18"/>
                <w:szCs w:val="18"/>
              </w:rPr>
            </w:pPr>
            <w:r w:rsidRPr="00EB0305">
              <w:rPr>
                <w:rFonts w:cs="Times New Roman"/>
                <w:b/>
                <w:bCs/>
                <w:color w:val="000000" w:themeColor="text1"/>
                <w:sz w:val="18"/>
                <w:szCs w:val="18"/>
              </w:rPr>
              <w:t>-</w:t>
            </w:r>
            <w:r>
              <w:rPr>
                <w:rFonts w:cs="Times New Roman"/>
                <w:b/>
                <w:bCs/>
                <w:color w:val="000000" w:themeColor="text1"/>
                <w:sz w:val="18"/>
                <w:szCs w:val="18"/>
              </w:rPr>
              <w:t>0</w:t>
            </w:r>
            <w:r w:rsidRPr="00EB0305">
              <w:rPr>
                <w:rFonts w:cs="Times New Roman"/>
                <w:b/>
                <w:bCs/>
                <w:color w:val="000000" w:themeColor="text1"/>
                <w:sz w:val="18"/>
                <w:szCs w:val="18"/>
              </w:rPr>
              <w:t>,</w:t>
            </w:r>
            <w:r>
              <w:rPr>
                <w:rFonts w:cs="Times New Roman"/>
                <w:b/>
                <w:bCs/>
                <w:color w:val="000000" w:themeColor="text1"/>
                <w:sz w:val="18"/>
                <w:szCs w:val="18"/>
              </w:rPr>
              <w:t>6</w:t>
            </w:r>
          </w:p>
        </w:tc>
        <w:tc>
          <w:tcPr>
            <w:tcW w:w="694" w:type="pct"/>
            <w:tcBorders>
              <w:top w:val="single" w:sz="8" w:space="0" w:color="auto"/>
              <w:left w:val="single" w:sz="4" w:space="0" w:color="auto"/>
              <w:bottom w:val="single" w:sz="4" w:space="0" w:color="auto"/>
            </w:tcBorders>
            <w:shd w:val="clear" w:color="auto" w:fill="B0D6AF" w:themeFill="accent3"/>
            <w:noWrap/>
            <w:vAlign w:val="center"/>
          </w:tcPr>
          <w:p w14:paraId="317F85CA" w14:textId="77777777" w:rsidR="00D73008" w:rsidRPr="00EB0305" w:rsidRDefault="00D73008" w:rsidP="00387AE5">
            <w:pPr>
              <w:jc w:val="center"/>
              <w:rPr>
                <w:rFonts w:cs="Times New Roman"/>
                <w:b/>
                <w:bCs/>
                <w:color w:val="000000" w:themeColor="text1"/>
                <w:sz w:val="18"/>
                <w:szCs w:val="18"/>
              </w:rPr>
            </w:pPr>
            <w:r w:rsidRPr="00EB0305">
              <w:rPr>
                <w:rFonts w:cs="Times New Roman"/>
                <w:b/>
                <w:bCs/>
                <w:color w:val="000000" w:themeColor="text1"/>
                <w:sz w:val="18"/>
                <w:szCs w:val="18"/>
              </w:rPr>
              <w:t>-</w:t>
            </w:r>
            <w:r>
              <w:rPr>
                <w:rFonts w:cs="Times New Roman"/>
                <w:b/>
                <w:bCs/>
                <w:color w:val="000000" w:themeColor="text1"/>
                <w:sz w:val="18"/>
                <w:szCs w:val="18"/>
              </w:rPr>
              <w:t>2,6</w:t>
            </w:r>
          </w:p>
        </w:tc>
        <w:tc>
          <w:tcPr>
            <w:tcW w:w="644" w:type="pct"/>
            <w:tcBorders>
              <w:top w:val="single" w:sz="8" w:space="0" w:color="auto"/>
              <w:bottom w:val="single" w:sz="4" w:space="0" w:color="auto"/>
            </w:tcBorders>
            <w:shd w:val="clear" w:color="auto" w:fill="B0D6AF" w:themeFill="accent3"/>
            <w:vAlign w:val="center"/>
          </w:tcPr>
          <w:p w14:paraId="043C5819" w14:textId="77777777" w:rsidR="00D73008" w:rsidRPr="00EB0305" w:rsidRDefault="00D73008" w:rsidP="00387AE5">
            <w:pPr>
              <w:jc w:val="center"/>
              <w:rPr>
                <w:rFonts w:cs="Times New Roman"/>
                <w:b/>
                <w:bCs/>
                <w:color w:val="000000" w:themeColor="text1"/>
                <w:sz w:val="18"/>
                <w:szCs w:val="18"/>
              </w:rPr>
            </w:pPr>
            <w:r>
              <w:rPr>
                <w:rFonts w:cs="Times New Roman"/>
                <w:b/>
                <w:bCs/>
                <w:color w:val="000000" w:themeColor="text1"/>
                <w:sz w:val="18"/>
                <w:szCs w:val="18"/>
              </w:rPr>
              <w:t>-0</w:t>
            </w:r>
            <w:r w:rsidRPr="00EB0305">
              <w:rPr>
                <w:rFonts w:cs="Times New Roman"/>
                <w:b/>
                <w:bCs/>
                <w:color w:val="000000" w:themeColor="text1"/>
                <w:sz w:val="18"/>
                <w:szCs w:val="18"/>
              </w:rPr>
              <w:t>,</w:t>
            </w:r>
            <w:r>
              <w:rPr>
                <w:rFonts w:cs="Times New Roman"/>
                <w:b/>
                <w:bCs/>
                <w:color w:val="000000" w:themeColor="text1"/>
                <w:sz w:val="18"/>
                <w:szCs w:val="18"/>
              </w:rPr>
              <w:t>7</w:t>
            </w:r>
          </w:p>
        </w:tc>
      </w:tr>
      <w:tr w:rsidR="00D73008" w:rsidRPr="00EB0305" w14:paraId="33E81840" w14:textId="77777777" w:rsidTr="00387AE5">
        <w:trPr>
          <w:trHeight w:val="231"/>
        </w:trPr>
        <w:tc>
          <w:tcPr>
            <w:tcW w:w="2088" w:type="pct"/>
            <w:tcBorders>
              <w:top w:val="single" w:sz="4" w:space="0" w:color="auto"/>
              <w:left w:val="nil"/>
            </w:tcBorders>
            <w:shd w:val="clear" w:color="auto" w:fill="auto"/>
            <w:noWrap/>
            <w:vAlign w:val="center"/>
          </w:tcPr>
          <w:p w14:paraId="6B188DD5" w14:textId="77777777" w:rsidR="00D73008" w:rsidRPr="00EB0305" w:rsidRDefault="00D73008" w:rsidP="00387AE5">
            <w:pPr>
              <w:rPr>
                <w:rFonts w:cs="Times New Roman"/>
                <w:bCs/>
                <w:color w:val="000000"/>
                <w:sz w:val="18"/>
                <w:szCs w:val="18"/>
              </w:rPr>
            </w:pPr>
            <w:r w:rsidRPr="00EB0305">
              <w:rPr>
                <w:rFonts w:cs="Times New Roman"/>
                <w:bCs/>
                <w:color w:val="000000"/>
                <w:sz w:val="18"/>
                <w:szCs w:val="18"/>
              </w:rPr>
              <w:t>z toho:</w:t>
            </w:r>
          </w:p>
        </w:tc>
        <w:tc>
          <w:tcPr>
            <w:tcW w:w="802" w:type="pct"/>
            <w:tcBorders>
              <w:top w:val="single" w:sz="4" w:space="0" w:color="auto"/>
            </w:tcBorders>
            <w:shd w:val="clear" w:color="auto" w:fill="auto"/>
            <w:noWrap/>
            <w:vAlign w:val="center"/>
          </w:tcPr>
          <w:p w14:paraId="2806136D" w14:textId="77777777" w:rsidR="00D73008" w:rsidRPr="00EB0305" w:rsidRDefault="00D73008" w:rsidP="00387AE5">
            <w:pPr>
              <w:jc w:val="center"/>
              <w:rPr>
                <w:rFonts w:cs="Times New Roman"/>
                <w:b/>
                <w:bCs/>
                <w:color w:val="000000"/>
                <w:sz w:val="18"/>
                <w:szCs w:val="18"/>
              </w:rPr>
            </w:pPr>
          </w:p>
        </w:tc>
        <w:tc>
          <w:tcPr>
            <w:tcW w:w="772" w:type="pct"/>
            <w:tcBorders>
              <w:top w:val="single" w:sz="4" w:space="0" w:color="auto"/>
              <w:right w:val="single" w:sz="4" w:space="0" w:color="auto"/>
            </w:tcBorders>
            <w:shd w:val="clear" w:color="auto" w:fill="auto"/>
            <w:vAlign w:val="center"/>
          </w:tcPr>
          <w:p w14:paraId="0C23F792" w14:textId="77777777" w:rsidR="00D73008" w:rsidRPr="00EB0305" w:rsidRDefault="00D73008" w:rsidP="00387AE5">
            <w:pPr>
              <w:jc w:val="center"/>
              <w:rPr>
                <w:rFonts w:cs="Times New Roman"/>
                <w:b/>
                <w:bCs/>
                <w:color w:val="000000"/>
                <w:sz w:val="18"/>
                <w:szCs w:val="18"/>
              </w:rPr>
            </w:pPr>
          </w:p>
        </w:tc>
        <w:tc>
          <w:tcPr>
            <w:tcW w:w="694" w:type="pct"/>
            <w:tcBorders>
              <w:top w:val="single" w:sz="4" w:space="0" w:color="auto"/>
              <w:left w:val="single" w:sz="4" w:space="0" w:color="auto"/>
            </w:tcBorders>
            <w:shd w:val="clear" w:color="auto" w:fill="auto"/>
            <w:noWrap/>
            <w:vAlign w:val="center"/>
          </w:tcPr>
          <w:p w14:paraId="5ADD4DA4" w14:textId="77777777" w:rsidR="00D73008" w:rsidRPr="00EB0305" w:rsidRDefault="00D73008" w:rsidP="00387AE5">
            <w:pPr>
              <w:jc w:val="center"/>
              <w:rPr>
                <w:rFonts w:cs="Times New Roman"/>
                <w:b/>
                <w:bCs/>
                <w:color w:val="000000"/>
                <w:sz w:val="18"/>
                <w:szCs w:val="18"/>
              </w:rPr>
            </w:pPr>
          </w:p>
        </w:tc>
        <w:tc>
          <w:tcPr>
            <w:tcW w:w="644" w:type="pct"/>
            <w:tcBorders>
              <w:top w:val="single" w:sz="4" w:space="0" w:color="auto"/>
            </w:tcBorders>
            <w:shd w:val="clear" w:color="auto" w:fill="auto"/>
            <w:vAlign w:val="center"/>
          </w:tcPr>
          <w:p w14:paraId="76F86FDB" w14:textId="77777777" w:rsidR="00D73008" w:rsidRPr="00EB0305" w:rsidRDefault="00D73008" w:rsidP="00387AE5">
            <w:pPr>
              <w:jc w:val="center"/>
              <w:rPr>
                <w:rFonts w:cs="Times New Roman"/>
                <w:b/>
                <w:bCs/>
                <w:color w:val="000000"/>
                <w:sz w:val="18"/>
                <w:szCs w:val="18"/>
                <w:highlight w:val="yellow"/>
              </w:rPr>
            </w:pPr>
          </w:p>
        </w:tc>
      </w:tr>
      <w:tr w:rsidR="00D73008" w:rsidRPr="00EB0305" w14:paraId="0E22C3E2" w14:textId="77777777" w:rsidTr="00387AE5">
        <w:trPr>
          <w:trHeight w:val="231"/>
        </w:trPr>
        <w:tc>
          <w:tcPr>
            <w:tcW w:w="2088" w:type="pct"/>
            <w:tcBorders>
              <w:left w:val="nil"/>
            </w:tcBorders>
            <w:shd w:val="clear" w:color="auto" w:fill="auto"/>
            <w:noWrap/>
            <w:vAlign w:val="center"/>
            <w:hideMark/>
          </w:tcPr>
          <w:p w14:paraId="69F7141B"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Počiatočná rozpočtová pozícia</w:t>
            </w:r>
          </w:p>
        </w:tc>
        <w:tc>
          <w:tcPr>
            <w:tcW w:w="802" w:type="pct"/>
            <w:shd w:val="clear" w:color="auto" w:fill="auto"/>
            <w:noWrap/>
            <w:vAlign w:val="center"/>
          </w:tcPr>
          <w:p w14:paraId="46CB4D3D" w14:textId="77777777" w:rsidR="00D73008" w:rsidRPr="00EB0305" w:rsidRDefault="00D73008" w:rsidP="00387AE5">
            <w:pPr>
              <w:jc w:val="center"/>
              <w:rPr>
                <w:rFonts w:cs="Times New Roman"/>
                <w:color w:val="000000"/>
                <w:sz w:val="18"/>
                <w:szCs w:val="18"/>
              </w:rPr>
            </w:pPr>
            <w:r>
              <w:rPr>
                <w:rFonts w:cs="Times New Roman"/>
                <w:color w:val="000000"/>
                <w:sz w:val="18"/>
                <w:szCs w:val="18"/>
              </w:rPr>
              <w:t>-1</w:t>
            </w:r>
            <w:r w:rsidRPr="00EB0305">
              <w:rPr>
                <w:rFonts w:cs="Times New Roman"/>
                <w:color w:val="000000"/>
                <w:sz w:val="18"/>
                <w:szCs w:val="18"/>
              </w:rPr>
              <w:t>,</w:t>
            </w:r>
            <w:r>
              <w:rPr>
                <w:rFonts w:cs="Times New Roman"/>
                <w:color w:val="000000"/>
                <w:sz w:val="18"/>
                <w:szCs w:val="18"/>
              </w:rPr>
              <w:t>3</w:t>
            </w:r>
          </w:p>
        </w:tc>
        <w:tc>
          <w:tcPr>
            <w:tcW w:w="772" w:type="pct"/>
            <w:tcBorders>
              <w:right w:val="single" w:sz="4" w:space="0" w:color="auto"/>
            </w:tcBorders>
            <w:shd w:val="clear" w:color="auto" w:fill="auto"/>
            <w:vAlign w:val="center"/>
          </w:tcPr>
          <w:p w14:paraId="005EF98D" w14:textId="77777777" w:rsidR="00D73008" w:rsidRPr="00EB0305" w:rsidRDefault="00D73008" w:rsidP="00387AE5">
            <w:pPr>
              <w:jc w:val="center"/>
              <w:rPr>
                <w:rFonts w:cs="Times New Roman"/>
                <w:color w:val="000000"/>
                <w:sz w:val="18"/>
                <w:szCs w:val="18"/>
              </w:rPr>
            </w:pPr>
            <w:r w:rsidRPr="00EB0305">
              <w:rPr>
                <w:rFonts w:cs="Times New Roman"/>
                <w:color w:val="000000"/>
                <w:sz w:val="18"/>
                <w:szCs w:val="18"/>
              </w:rPr>
              <w:t>-</w:t>
            </w:r>
            <w:r>
              <w:rPr>
                <w:rFonts w:cs="Times New Roman"/>
                <w:color w:val="000000"/>
                <w:sz w:val="18"/>
                <w:szCs w:val="18"/>
              </w:rPr>
              <w:t>1</w:t>
            </w:r>
            <w:r w:rsidRPr="00EB0305">
              <w:rPr>
                <w:rFonts w:cs="Times New Roman"/>
                <w:color w:val="000000"/>
                <w:sz w:val="18"/>
                <w:szCs w:val="18"/>
              </w:rPr>
              <w:t>,</w:t>
            </w:r>
            <w:r>
              <w:rPr>
                <w:rFonts w:cs="Times New Roman"/>
                <w:color w:val="000000"/>
                <w:sz w:val="18"/>
                <w:szCs w:val="18"/>
              </w:rPr>
              <w:t>3</w:t>
            </w:r>
          </w:p>
        </w:tc>
        <w:tc>
          <w:tcPr>
            <w:tcW w:w="694" w:type="pct"/>
            <w:tcBorders>
              <w:left w:val="single" w:sz="4" w:space="0" w:color="auto"/>
            </w:tcBorders>
            <w:shd w:val="clear" w:color="auto" w:fill="auto"/>
            <w:noWrap/>
            <w:vAlign w:val="center"/>
          </w:tcPr>
          <w:p w14:paraId="56984846" w14:textId="77777777" w:rsidR="00D73008" w:rsidRPr="00EB0305" w:rsidRDefault="00D73008" w:rsidP="00387AE5">
            <w:pPr>
              <w:jc w:val="center"/>
              <w:rPr>
                <w:rFonts w:cs="Times New Roman"/>
                <w:color w:val="000000"/>
                <w:sz w:val="18"/>
                <w:szCs w:val="18"/>
              </w:rPr>
            </w:pPr>
            <w:r w:rsidRPr="00EB0305">
              <w:rPr>
                <w:rFonts w:cs="Times New Roman"/>
                <w:color w:val="000000"/>
                <w:sz w:val="18"/>
                <w:szCs w:val="18"/>
              </w:rPr>
              <w:t>-</w:t>
            </w:r>
            <w:r>
              <w:rPr>
                <w:rFonts w:cs="Times New Roman"/>
                <w:color w:val="000000"/>
                <w:sz w:val="18"/>
                <w:szCs w:val="18"/>
              </w:rPr>
              <w:t>1,4</w:t>
            </w:r>
          </w:p>
        </w:tc>
        <w:tc>
          <w:tcPr>
            <w:tcW w:w="644" w:type="pct"/>
            <w:shd w:val="clear" w:color="auto" w:fill="auto"/>
            <w:vAlign w:val="center"/>
          </w:tcPr>
          <w:p w14:paraId="2B198C29" w14:textId="77777777" w:rsidR="00D73008" w:rsidRPr="00EB0305" w:rsidRDefault="00D73008" w:rsidP="00387AE5">
            <w:pPr>
              <w:jc w:val="center"/>
              <w:rPr>
                <w:rFonts w:cs="Times New Roman"/>
                <w:color w:val="000000"/>
                <w:sz w:val="18"/>
                <w:szCs w:val="18"/>
              </w:rPr>
            </w:pPr>
            <w:r>
              <w:rPr>
                <w:rFonts w:cs="Times New Roman"/>
                <w:color w:val="000000"/>
                <w:sz w:val="18"/>
                <w:szCs w:val="18"/>
              </w:rPr>
              <w:t>-1,4</w:t>
            </w:r>
          </w:p>
        </w:tc>
      </w:tr>
      <w:tr w:rsidR="00D73008" w:rsidRPr="00EB0305" w14:paraId="2EE64C80" w14:textId="77777777" w:rsidTr="00387AE5">
        <w:trPr>
          <w:trHeight w:val="231"/>
        </w:trPr>
        <w:tc>
          <w:tcPr>
            <w:tcW w:w="2088" w:type="pct"/>
            <w:tcBorders>
              <w:left w:val="nil"/>
            </w:tcBorders>
            <w:shd w:val="clear" w:color="auto" w:fill="auto"/>
            <w:noWrap/>
            <w:vAlign w:val="center"/>
            <w:hideMark/>
          </w:tcPr>
          <w:p w14:paraId="66C17769"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Náklady odkladu konsolidácie*</w:t>
            </w:r>
          </w:p>
        </w:tc>
        <w:tc>
          <w:tcPr>
            <w:tcW w:w="802" w:type="pct"/>
            <w:shd w:val="clear" w:color="auto" w:fill="auto"/>
            <w:noWrap/>
            <w:vAlign w:val="center"/>
          </w:tcPr>
          <w:p w14:paraId="270EEDD5" w14:textId="77777777" w:rsidR="00D73008" w:rsidRPr="00EB0305" w:rsidRDefault="00D73008" w:rsidP="00387AE5">
            <w:pPr>
              <w:jc w:val="center"/>
              <w:rPr>
                <w:rFonts w:cs="Times New Roman"/>
                <w:color w:val="000000"/>
                <w:sz w:val="18"/>
                <w:szCs w:val="18"/>
              </w:rPr>
            </w:pPr>
            <w:r>
              <w:rPr>
                <w:rFonts w:cs="Times New Roman"/>
                <w:color w:val="000000"/>
                <w:sz w:val="18"/>
                <w:szCs w:val="18"/>
              </w:rPr>
              <w:t>-0,4</w:t>
            </w:r>
          </w:p>
        </w:tc>
        <w:tc>
          <w:tcPr>
            <w:tcW w:w="772" w:type="pct"/>
            <w:tcBorders>
              <w:right w:val="single" w:sz="4" w:space="0" w:color="auto"/>
            </w:tcBorders>
            <w:shd w:val="clear" w:color="auto" w:fill="auto"/>
            <w:vAlign w:val="center"/>
          </w:tcPr>
          <w:p w14:paraId="02C6D36F" w14:textId="77777777" w:rsidR="00D73008" w:rsidRPr="00EB0305" w:rsidRDefault="00D73008" w:rsidP="00387AE5">
            <w:pPr>
              <w:jc w:val="center"/>
              <w:rPr>
                <w:rFonts w:cs="Times New Roman"/>
                <w:color w:val="000000"/>
                <w:sz w:val="18"/>
                <w:szCs w:val="18"/>
              </w:rPr>
            </w:pPr>
            <w:r w:rsidRPr="00EB0305">
              <w:rPr>
                <w:rFonts w:cs="Times New Roman"/>
                <w:color w:val="000000"/>
                <w:sz w:val="18"/>
                <w:szCs w:val="18"/>
              </w:rPr>
              <w:t>-0,1</w:t>
            </w:r>
          </w:p>
        </w:tc>
        <w:tc>
          <w:tcPr>
            <w:tcW w:w="694" w:type="pct"/>
            <w:tcBorders>
              <w:left w:val="single" w:sz="4" w:space="0" w:color="auto"/>
            </w:tcBorders>
            <w:shd w:val="clear" w:color="auto" w:fill="auto"/>
            <w:noWrap/>
            <w:vAlign w:val="center"/>
          </w:tcPr>
          <w:p w14:paraId="20A9EEA4" w14:textId="77777777" w:rsidR="00D73008" w:rsidRPr="00EB0305" w:rsidRDefault="00D73008" w:rsidP="00387AE5">
            <w:pPr>
              <w:jc w:val="center"/>
              <w:rPr>
                <w:rFonts w:cs="Times New Roman"/>
                <w:color w:val="000000"/>
                <w:sz w:val="18"/>
                <w:szCs w:val="18"/>
              </w:rPr>
            </w:pPr>
            <w:r>
              <w:rPr>
                <w:rFonts w:cs="Times New Roman"/>
                <w:color w:val="000000"/>
                <w:sz w:val="18"/>
                <w:szCs w:val="18"/>
              </w:rPr>
              <w:t>-0,4</w:t>
            </w:r>
          </w:p>
        </w:tc>
        <w:tc>
          <w:tcPr>
            <w:tcW w:w="644" w:type="pct"/>
            <w:shd w:val="clear" w:color="auto" w:fill="auto"/>
            <w:vAlign w:val="center"/>
          </w:tcPr>
          <w:p w14:paraId="3234CE97" w14:textId="77777777" w:rsidR="00D73008" w:rsidRPr="00EB0305" w:rsidRDefault="00D73008" w:rsidP="00387AE5">
            <w:pPr>
              <w:jc w:val="center"/>
              <w:rPr>
                <w:rFonts w:cs="Times New Roman"/>
                <w:color w:val="000000"/>
                <w:sz w:val="18"/>
                <w:szCs w:val="18"/>
              </w:rPr>
            </w:pPr>
            <w:r>
              <w:rPr>
                <w:rFonts w:cs="Times New Roman"/>
                <w:color w:val="000000"/>
                <w:sz w:val="18"/>
                <w:szCs w:val="18"/>
              </w:rPr>
              <w:t>-0,1</w:t>
            </w:r>
          </w:p>
        </w:tc>
      </w:tr>
      <w:tr w:rsidR="00D73008" w:rsidRPr="00EB0305" w14:paraId="39D180FB" w14:textId="77777777" w:rsidTr="00387AE5">
        <w:trPr>
          <w:trHeight w:val="231"/>
        </w:trPr>
        <w:tc>
          <w:tcPr>
            <w:tcW w:w="2088" w:type="pct"/>
            <w:tcBorders>
              <w:left w:val="nil"/>
            </w:tcBorders>
            <w:shd w:val="clear" w:color="auto" w:fill="auto"/>
            <w:noWrap/>
            <w:vAlign w:val="center"/>
            <w:hideMark/>
          </w:tcPr>
          <w:p w14:paraId="54119594"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Požadovaná úroveň dlhu v koncovom roku</w:t>
            </w:r>
          </w:p>
        </w:tc>
        <w:tc>
          <w:tcPr>
            <w:tcW w:w="802" w:type="pct"/>
            <w:shd w:val="clear" w:color="auto" w:fill="auto"/>
            <w:noWrap/>
            <w:vAlign w:val="center"/>
          </w:tcPr>
          <w:p w14:paraId="41A428C1" w14:textId="77777777" w:rsidR="00D73008" w:rsidRPr="00EB0305" w:rsidRDefault="00D73008" w:rsidP="00387AE5">
            <w:pPr>
              <w:jc w:val="center"/>
              <w:rPr>
                <w:rFonts w:cs="Times New Roman"/>
                <w:color w:val="000000"/>
                <w:sz w:val="18"/>
                <w:szCs w:val="18"/>
              </w:rPr>
            </w:pPr>
            <w:r>
              <w:rPr>
                <w:rFonts w:cs="Times New Roman"/>
                <w:color w:val="000000"/>
                <w:sz w:val="18"/>
                <w:szCs w:val="18"/>
              </w:rPr>
              <w:t>-1,2</w:t>
            </w:r>
          </w:p>
        </w:tc>
        <w:tc>
          <w:tcPr>
            <w:tcW w:w="772" w:type="pct"/>
            <w:tcBorders>
              <w:right w:val="single" w:sz="4" w:space="0" w:color="auto"/>
            </w:tcBorders>
            <w:shd w:val="clear" w:color="auto" w:fill="auto"/>
            <w:vAlign w:val="center"/>
          </w:tcPr>
          <w:p w14:paraId="51BC53B9" w14:textId="77777777" w:rsidR="00D73008" w:rsidRPr="00EB0305" w:rsidRDefault="00D73008" w:rsidP="00387AE5">
            <w:pPr>
              <w:jc w:val="center"/>
              <w:rPr>
                <w:rFonts w:cs="Times New Roman"/>
                <w:color w:val="000000"/>
                <w:sz w:val="18"/>
                <w:szCs w:val="18"/>
              </w:rPr>
            </w:pPr>
            <w:r w:rsidRPr="00EB0305">
              <w:rPr>
                <w:rFonts w:cs="Times New Roman"/>
                <w:color w:val="000000"/>
                <w:sz w:val="18"/>
                <w:szCs w:val="18"/>
              </w:rPr>
              <w:t>0,5</w:t>
            </w:r>
          </w:p>
        </w:tc>
        <w:tc>
          <w:tcPr>
            <w:tcW w:w="694" w:type="pct"/>
            <w:tcBorders>
              <w:left w:val="single" w:sz="4" w:space="0" w:color="auto"/>
            </w:tcBorders>
            <w:shd w:val="clear" w:color="auto" w:fill="auto"/>
            <w:noWrap/>
            <w:vAlign w:val="center"/>
          </w:tcPr>
          <w:p w14:paraId="40E4B15B" w14:textId="77777777" w:rsidR="00D73008" w:rsidRPr="00EB0305" w:rsidRDefault="00D73008" w:rsidP="00387AE5">
            <w:pPr>
              <w:jc w:val="center"/>
              <w:rPr>
                <w:rFonts w:cs="Times New Roman"/>
                <w:color w:val="000000"/>
                <w:sz w:val="18"/>
                <w:szCs w:val="18"/>
              </w:rPr>
            </w:pPr>
            <w:r>
              <w:rPr>
                <w:rFonts w:cs="Times New Roman"/>
                <w:color w:val="000000"/>
                <w:sz w:val="18"/>
                <w:szCs w:val="18"/>
              </w:rPr>
              <w:t>-1,3</w:t>
            </w:r>
          </w:p>
        </w:tc>
        <w:tc>
          <w:tcPr>
            <w:tcW w:w="644" w:type="pct"/>
            <w:shd w:val="clear" w:color="auto" w:fill="auto"/>
            <w:vAlign w:val="center"/>
          </w:tcPr>
          <w:p w14:paraId="2074BF09" w14:textId="77777777" w:rsidR="00D73008" w:rsidRPr="00EB0305" w:rsidRDefault="00D73008" w:rsidP="00387AE5">
            <w:pPr>
              <w:jc w:val="center"/>
              <w:rPr>
                <w:rFonts w:cs="Times New Roman"/>
                <w:color w:val="000000"/>
                <w:sz w:val="18"/>
                <w:szCs w:val="18"/>
              </w:rPr>
            </w:pPr>
            <w:r>
              <w:rPr>
                <w:rFonts w:cs="Times New Roman"/>
                <w:color w:val="000000"/>
                <w:sz w:val="18"/>
                <w:szCs w:val="18"/>
              </w:rPr>
              <w:t>0,4</w:t>
            </w:r>
          </w:p>
        </w:tc>
      </w:tr>
      <w:tr w:rsidR="00D73008" w:rsidRPr="00EB0305" w14:paraId="52F1C56C" w14:textId="77777777" w:rsidTr="00387AE5">
        <w:trPr>
          <w:trHeight w:val="231"/>
        </w:trPr>
        <w:tc>
          <w:tcPr>
            <w:tcW w:w="2088" w:type="pct"/>
            <w:tcBorders>
              <w:left w:val="nil"/>
            </w:tcBorders>
            <w:shd w:val="clear" w:color="auto" w:fill="auto"/>
            <w:noWrap/>
            <w:vAlign w:val="center"/>
            <w:hideMark/>
          </w:tcPr>
          <w:p w14:paraId="354DE651"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Dlhodobé výdavky (náklady starnutia)</w:t>
            </w:r>
          </w:p>
        </w:tc>
        <w:tc>
          <w:tcPr>
            <w:tcW w:w="802" w:type="pct"/>
            <w:shd w:val="clear" w:color="auto" w:fill="auto"/>
            <w:noWrap/>
            <w:vAlign w:val="center"/>
          </w:tcPr>
          <w:p w14:paraId="08896FB2" w14:textId="77777777" w:rsidR="00D73008" w:rsidRPr="00EB0305" w:rsidRDefault="00D73008" w:rsidP="00387AE5">
            <w:pPr>
              <w:jc w:val="center"/>
              <w:rPr>
                <w:rFonts w:cs="Times New Roman"/>
                <w:color w:val="000000"/>
                <w:sz w:val="18"/>
                <w:szCs w:val="18"/>
              </w:rPr>
            </w:pPr>
            <w:r>
              <w:rPr>
                <w:rFonts w:cs="Times New Roman"/>
                <w:color w:val="000000"/>
                <w:sz w:val="18"/>
                <w:szCs w:val="18"/>
              </w:rPr>
              <w:t>0,2</w:t>
            </w:r>
          </w:p>
        </w:tc>
        <w:tc>
          <w:tcPr>
            <w:tcW w:w="772" w:type="pct"/>
            <w:tcBorders>
              <w:right w:val="single" w:sz="4" w:space="0" w:color="auto"/>
            </w:tcBorders>
            <w:shd w:val="clear" w:color="auto" w:fill="auto"/>
            <w:vAlign w:val="center"/>
          </w:tcPr>
          <w:p w14:paraId="1B8EB0F8" w14:textId="77777777" w:rsidR="00D73008" w:rsidRPr="00EB0305" w:rsidRDefault="00D73008" w:rsidP="00387AE5">
            <w:pPr>
              <w:jc w:val="center"/>
              <w:rPr>
                <w:rFonts w:cs="Times New Roman"/>
                <w:color w:val="000000"/>
                <w:sz w:val="18"/>
                <w:szCs w:val="18"/>
              </w:rPr>
            </w:pPr>
            <w:r>
              <w:rPr>
                <w:rFonts w:cs="Times New Roman"/>
                <w:color w:val="000000"/>
                <w:sz w:val="18"/>
                <w:szCs w:val="18"/>
              </w:rPr>
              <w:t>0,2</w:t>
            </w:r>
          </w:p>
        </w:tc>
        <w:tc>
          <w:tcPr>
            <w:tcW w:w="694" w:type="pct"/>
            <w:tcBorders>
              <w:left w:val="single" w:sz="4" w:space="0" w:color="auto"/>
            </w:tcBorders>
            <w:shd w:val="clear" w:color="auto" w:fill="auto"/>
            <w:noWrap/>
            <w:vAlign w:val="center"/>
          </w:tcPr>
          <w:p w14:paraId="4C27E180" w14:textId="77777777" w:rsidR="00D73008" w:rsidRPr="00EB0305" w:rsidRDefault="00D73008" w:rsidP="00387AE5">
            <w:pPr>
              <w:jc w:val="center"/>
              <w:rPr>
                <w:rFonts w:cs="Times New Roman"/>
                <w:color w:val="000000"/>
                <w:sz w:val="18"/>
                <w:szCs w:val="18"/>
              </w:rPr>
            </w:pPr>
            <w:r>
              <w:rPr>
                <w:rFonts w:cs="Times New Roman"/>
                <w:color w:val="000000"/>
                <w:sz w:val="18"/>
                <w:szCs w:val="18"/>
              </w:rPr>
              <w:t>0,4</w:t>
            </w:r>
          </w:p>
        </w:tc>
        <w:tc>
          <w:tcPr>
            <w:tcW w:w="644" w:type="pct"/>
            <w:shd w:val="clear" w:color="auto" w:fill="auto"/>
            <w:vAlign w:val="center"/>
          </w:tcPr>
          <w:p w14:paraId="3102C950" w14:textId="77777777" w:rsidR="00D73008" w:rsidRPr="00EB0305" w:rsidRDefault="00D73008" w:rsidP="00387AE5">
            <w:pPr>
              <w:jc w:val="center"/>
              <w:rPr>
                <w:rFonts w:cs="Times New Roman"/>
                <w:color w:val="000000"/>
                <w:sz w:val="18"/>
                <w:szCs w:val="18"/>
              </w:rPr>
            </w:pPr>
            <w:r>
              <w:rPr>
                <w:rFonts w:cs="Times New Roman"/>
                <w:color w:val="000000"/>
                <w:sz w:val="18"/>
                <w:szCs w:val="18"/>
              </w:rPr>
              <w:t>0,4</w:t>
            </w:r>
          </w:p>
        </w:tc>
      </w:tr>
      <w:tr w:rsidR="00D73008" w:rsidRPr="00EB0305" w14:paraId="5ECF039E" w14:textId="77777777" w:rsidTr="00387AE5">
        <w:trPr>
          <w:trHeight w:val="231"/>
        </w:trPr>
        <w:tc>
          <w:tcPr>
            <w:tcW w:w="2088" w:type="pct"/>
            <w:tcBorders>
              <w:left w:val="nil"/>
              <w:bottom w:val="single" w:sz="8" w:space="0" w:color="auto"/>
            </w:tcBorders>
            <w:shd w:val="clear" w:color="auto" w:fill="auto"/>
            <w:noWrap/>
            <w:vAlign w:val="center"/>
            <w:hideMark/>
          </w:tcPr>
          <w:p w14:paraId="202FA564"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Výpadok príjmov kvôli druhému pilieru</w:t>
            </w:r>
          </w:p>
        </w:tc>
        <w:tc>
          <w:tcPr>
            <w:tcW w:w="802" w:type="pct"/>
            <w:tcBorders>
              <w:bottom w:val="single" w:sz="8" w:space="0" w:color="auto"/>
            </w:tcBorders>
            <w:shd w:val="clear" w:color="auto" w:fill="auto"/>
            <w:noWrap/>
            <w:vAlign w:val="center"/>
          </w:tcPr>
          <w:p w14:paraId="5EE8A90B" w14:textId="77777777" w:rsidR="00D73008" w:rsidRPr="00EB0305" w:rsidRDefault="00D73008" w:rsidP="00387AE5">
            <w:pPr>
              <w:jc w:val="center"/>
              <w:rPr>
                <w:rFonts w:cs="Times New Roman"/>
                <w:color w:val="000000"/>
                <w:sz w:val="18"/>
                <w:szCs w:val="18"/>
              </w:rPr>
            </w:pPr>
            <w:r>
              <w:rPr>
                <w:rFonts w:cs="Times New Roman"/>
                <w:color w:val="000000"/>
                <w:sz w:val="18"/>
                <w:szCs w:val="18"/>
              </w:rPr>
              <w:t>0,2</w:t>
            </w:r>
          </w:p>
        </w:tc>
        <w:tc>
          <w:tcPr>
            <w:tcW w:w="772" w:type="pct"/>
            <w:tcBorders>
              <w:bottom w:val="single" w:sz="8" w:space="0" w:color="auto"/>
              <w:right w:val="single" w:sz="4" w:space="0" w:color="auto"/>
            </w:tcBorders>
            <w:shd w:val="clear" w:color="auto" w:fill="auto"/>
            <w:vAlign w:val="center"/>
          </w:tcPr>
          <w:p w14:paraId="1EAA0249" w14:textId="77777777" w:rsidR="00D73008" w:rsidRPr="00EB0305" w:rsidRDefault="00D73008" w:rsidP="00387AE5">
            <w:pPr>
              <w:jc w:val="center"/>
              <w:rPr>
                <w:rFonts w:cs="Times New Roman"/>
                <w:color w:val="000000"/>
                <w:sz w:val="18"/>
                <w:szCs w:val="18"/>
              </w:rPr>
            </w:pPr>
            <w:r>
              <w:rPr>
                <w:rFonts w:cs="Times New Roman"/>
                <w:color w:val="000000"/>
                <w:sz w:val="18"/>
                <w:szCs w:val="18"/>
              </w:rPr>
              <w:t>0,2</w:t>
            </w:r>
          </w:p>
        </w:tc>
        <w:tc>
          <w:tcPr>
            <w:tcW w:w="694" w:type="pct"/>
            <w:tcBorders>
              <w:left w:val="single" w:sz="4" w:space="0" w:color="auto"/>
              <w:bottom w:val="single" w:sz="8" w:space="0" w:color="auto"/>
            </w:tcBorders>
            <w:shd w:val="clear" w:color="auto" w:fill="auto"/>
            <w:noWrap/>
            <w:vAlign w:val="center"/>
          </w:tcPr>
          <w:p w14:paraId="7B266496" w14:textId="77777777" w:rsidR="00D73008" w:rsidRPr="00EB0305" w:rsidRDefault="00D73008" w:rsidP="00387AE5">
            <w:pPr>
              <w:jc w:val="center"/>
              <w:rPr>
                <w:rFonts w:cs="Times New Roman"/>
                <w:color w:val="000000"/>
                <w:sz w:val="18"/>
                <w:szCs w:val="18"/>
              </w:rPr>
            </w:pPr>
            <w:r>
              <w:rPr>
                <w:rFonts w:cs="Times New Roman"/>
                <w:color w:val="000000"/>
                <w:sz w:val="18"/>
                <w:szCs w:val="18"/>
              </w:rPr>
              <w:t>0,1</w:t>
            </w:r>
          </w:p>
        </w:tc>
        <w:tc>
          <w:tcPr>
            <w:tcW w:w="644" w:type="pct"/>
            <w:tcBorders>
              <w:bottom w:val="single" w:sz="8" w:space="0" w:color="auto"/>
            </w:tcBorders>
            <w:shd w:val="clear" w:color="auto" w:fill="auto"/>
            <w:vAlign w:val="center"/>
          </w:tcPr>
          <w:p w14:paraId="0AEDC5EE" w14:textId="77777777" w:rsidR="00D73008" w:rsidRPr="00EB0305" w:rsidRDefault="00D73008" w:rsidP="00387AE5">
            <w:pPr>
              <w:jc w:val="center"/>
              <w:rPr>
                <w:rFonts w:cs="Times New Roman"/>
                <w:color w:val="000000"/>
                <w:sz w:val="18"/>
                <w:szCs w:val="18"/>
              </w:rPr>
            </w:pPr>
            <w:r>
              <w:rPr>
                <w:rFonts w:cs="Times New Roman"/>
                <w:color w:val="000000"/>
                <w:sz w:val="18"/>
                <w:szCs w:val="18"/>
              </w:rPr>
              <w:t>0,1</w:t>
            </w:r>
          </w:p>
        </w:tc>
      </w:tr>
    </w:tbl>
    <w:p w14:paraId="46CA9B2A" w14:textId="77777777" w:rsidR="00D73008" w:rsidRPr="00EB0305" w:rsidRDefault="00D73008" w:rsidP="00D73008">
      <w:pPr>
        <w:jc w:val="right"/>
        <w:rPr>
          <w:rFonts w:cs="Times New Roman"/>
          <w:i/>
          <w:sz w:val="16"/>
          <w:szCs w:val="16"/>
        </w:rPr>
      </w:pPr>
      <w:r w:rsidRPr="00EB0305">
        <w:rPr>
          <w:rFonts w:cs="Times New Roman"/>
          <w:i/>
          <w:sz w:val="16"/>
          <w:szCs w:val="16"/>
        </w:rPr>
        <w:t>Zdroj: MF SR</w:t>
      </w:r>
    </w:p>
    <w:p w14:paraId="65AF8122" w14:textId="77777777" w:rsidR="00D73008" w:rsidRPr="00EB0305" w:rsidRDefault="00D73008" w:rsidP="00D73008">
      <w:pPr>
        <w:rPr>
          <w:rFonts w:cs="Times New Roman"/>
          <w:i/>
          <w:sz w:val="16"/>
          <w:szCs w:val="16"/>
        </w:rPr>
      </w:pPr>
      <w:r w:rsidRPr="00EB0305">
        <w:rPr>
          <w:rFonts w:cs="Times New Roman"/>
          <w:i/>
          <w:sz w:val="16"/>
          <w:szCs w:val="16"/>
        </w:rPr>
        <w:t xml:space="preserve">*V prípade zápornej výslednej hodnoty S1 sa jedná o využitie identifikovaného fiškálneho priestoru postupne v daných rokoch. </w:t>
      </w:r>
    </w:p>
    <w:p w14:paraId="18F9DE41" w14:textId="77777777" w:rsidR="00D73008" w:rsidRPr="00EB0305" w:rsidRDefault="00D73008" w:rsidP="00D73008">
      <w:pPr>
        <w:autoSpaceDE w:val="0"/>
        <w:autoSpaceDN w:val="0"/>
        <w:adjustRightInd w:val="0"/>
        <w:jc w:val="both"/>
        <w:rPr>
          <w:iCs/>
          <w:sz w:val="20"/>
          <w:szCs w:val="20"/>
        </w:rPr>
      </w:pPr>
    </w:p>
    <w:tbl>
      <w:tblPr>
        <w:tblW w:w="9112" w:type="dxa"/>
        <w:tblLayout w:type="fixed"/>
        <w:tblCellMar>
          <w:left w:w="70" w:type="dxa"/>
          <w:right w:w="70" w:type="dxa"/>
        </w:tblCellMar>
        <w:tblLook w:val="04A0" w:firstRow="1" w:lastRow="0" w:firstColumn="1" w:lastColumn="0" w:noHBand="0" w:noVBand="1"/>
      </w:tblPr>
      <w:tblGrid>
        <w:gridCol w:w="2418"/>
        <w:gridCol w:w="1239"/>
        <w:gridCol w:w="1088"/>
        <w:gridCol w:w="1088"/>
        <w:gridCol w:w="1091"/>
        <w:gridCol w:w="1093"/>
        <w:gridCol w:w="1095"/>
      </w:tblGrid>
      <w:tr w:rsidR="00D73008" w:rsidRPr="00EB0305" w14:paraId="7FC78B5E" w14:textId="77777777" w:rsidTr="00387AE5">
        <w:trPr>
          <w:trHeight w:val="175"/>
        </w:trPr>
        <w:tc>
          <w:tcPr>
            <w:tcW w:w="9112" w:type="dxa"/>
            <w:gridSpan w:val="7"/>
            <w:tcBorders>
              <w:top w:val="nil"/>
              <w:left w:val="nil"/>
              <w:bottom w:val="single" w:sz="8" w:space="0" w:color="auto"/>
              <w:right w:val="nil"/>
            </w:tcBorders>
            <w:shd w:val="clear" w:color="auto" w:fill="auto"/>
            <w:noWrap/>
            <w:vAlign w:val="center"/>
            <w:hideMark/>
          </w:tcPr>
          <w:p w14:paraId="44D0227A" w14:textId="603589BA" w:rsidR="00D73008" w:rsidRPr="0046517F" w:rsidRDefault="00D73008" w:rsidP="00387AE5">
            <w:pPr>
              <w:pStyle w:val="Popis"/>
              <w:keepNext/>
              <w:spacing w:after="0"/>
              <w:rPr>
                <w:sz w:val="20"/>
                <w:szCs w:val="20"/>
              </w:rPr>
            </w:pPr>
            <w:bookmarkStart w:id="287" w:name="_Toc6314236"/>
            <w:r w:rsidRPr="00392121">
              <w:rPr>
                <w:rFonts w:eastAsiaTheme="minorHAnsi"/>
                <w:color w:val="2C9ADC"/>
                <w:sz w:val="20"/>
                <w:szCs w:val="20"/>
                <w:lang w:eastAsia="en-US"/>
              </w:rPr>
              <w:t xml:space="preserve">TABUĽKA </w:t>
            </w:r>
            <w:r w:rsidRPr="00392121">
              <w:rPr>
                <w:rFonts w:eastAsiaTheme="minorHAnsi"/>
                <w:color w:val="2C9ADC"/>
                <w:sz w:val="20"/>
                <w:szCs w:val="20"/>
                <w:lang w:eastAsia="en-US"/>
              </w:rPr>
              <w:fldChar w:fldCharType="begin"/>
            </w:r>
            <w:r w:rsidRPr="00392121">
              <w:rPr>
                <w:rFonts w:eastAsiaTheme="minorHAnsi"/>
                <w:color w:val="2C9ADC"/>
                <w:sz w:val="20"/>
                <w:szCs w:val="20"/>
                <w:lang w:eastAsia="en-US"/>
              </w:rPr>
              <w:instrText xml:space="preserve"> SEQ TABUĽKA \* ARABIC </w:instrText>
            </w:r>
            <w:r w:rsidRPr="00392121">
              <w:rPr>
                <w:rFonts w:eastAsiaTheme="minorHAnsi"/>
                <w:color w:val="2C9ADC"/>
                <w:sz w:val="20"/>
                <w:szCs w:val="20"/>
                <w:lang w:eastAsia="en-US"/>
              </w:rPr>
              <w:fldChar w:fldCharType="separate"/>
            </w:r>
            <w:r w:rsidR="00D5739E">
              <w:rPr>
                <w:rFonts w:eastAsiaTheme="minorHAnsi"/>
                <w:noProof/>
                <w:color w:val="2C9ADC"/>
                <w:sz w:val="20"/>
                <w:szCs w:val="20"/>
                <w:lang w:eastAsia="en-US"/>
              </w:rPr>
              <w:t>37</w:t>
            </w:r>
            <w:r w:rsidRPr="00392121">
              <w:rPr>
                <w:rFonts w:eastAsiaTheme="minorHAnsi"/>
                <w:color w:val="2C9ADC"/>
                <w:sz w:val="20"/>
                <w:szCs w:val="20"/>
                <w:lang w:eastAsia="en-US"/>
              </w:rPr>
              <w:fldChar w:fldCharType="end"/>
            </w:r>
            <w:r w:rsidRPr="0046517F">
              <w:rPr>
                <w:sz w:val="20"/>
                <w:szCs w:val="20"/>
              </w:rPr>
              <w:t xml:space="preserve"> - Predpoklady MF SR pre výpočet indikátora udržateľnosti S2</w:t>
            </w:r>
            <w:bookmarkEnd w:id="287"/>
          </w:p>
        </w:tc>
      </w:tr>
      <w:tr w:rsidR="00D73008" w:rsidRPr="00EB0305" w14:paraId="09426B54" w14:textId="77777777" w:rsidTr="00387AE5">
        <w:trPr>
          <w:trHeight w:val="416"/>
        </w:trPr>
        <w:tc>
          <w:tcPr>
            <w:tcW w:w="2418" w:type="dxa"/>
            <w:tcBorders>
              <w:top w:val="nil"/>
              <w:left w:val="nil"/>
              <w:bottom w:val="single" w:sz="8" w:space="0" w:color="auto"/>
              <w:right w:val="nil"/>
            </w:tcBorders>
            <w:shd w:val="clear" w:color="auto" w:fill="auto"/>
            <w:noWrap/>
            <w:vAlign w:val="center"/>
            <w:hideMark/>
          </w:tcPr>
          <w:p w14:paraId="253A8851" w14:textId="77777777" w:rsidR="00D73008" w:rsidRPr="00EB0305" w:rsidRDefault="00D73008" w:rsidP="00387AE5">
            <w:pPr>
              <w:jc w:val="center"/>
              <w:rPr>
                <w:rFonts w:cs="Times New Roman"/>
                <w:b/>
                <w:bCs/>
                <w:color w:val="000000"/>
                <w:sz w:val="18"/>
                <w:szCs w:val="18"/>
                <w:highlight w:val="yellow"/>
              </w:rPr>
            </w:pPr>
            <w:r w:rsidRPr="00EB0305">
              <w:rPr>
                <w:rFonts w:cs="Times New Roman"/>
                <w:b/>
                <w:bCs/>
                <w:color w:val="000000"/>
                <w:sz w:val="18"/>
                <w:szCs w:val="18"/>
              </w:rPr>
              <w:t> </w:t>
            </w:r>
          </w:p>
        </w:tc>
        <w:tc>
          <w:tcPr>
            <w:tcW w:w="1239" w:type="dxa"/>
            <w:tcBorders>
              <w:top w:val="nil"/>
              <w:left w:val="nil"/>
              <w:bottom w:val="single" w:sz="8" w:space="0" w:color="auto"/>
              <w:right w:val="nil"/>
            </w:tcBorders>
            <w:shd w:val="clear" w:color="auto" w:fill="auto"/>
            <w:noWrap/>
            <w:vAlign w:val="center"/>
            <w:hideMark/>
          </w:tcPr>
          <w:p w14:paraId="518C45F2" w14:textId="77777777" w:rsidR="00D73008" w:rsidRPr="00EB0305" w:rsidRDefault="00D73008" w:rsidP="00387AE5">
            <w:pPr>
              <w:jc w:val="center"/>
              <w:rPr>
                <w:rFonts w:cs="Times New Roman"/>
                <w:b/>
                <w:bCs/>
                <w:color w:val="000000"/>
                <w:sz w:val="16"/>
                <w:szCs w:val="16"/>
                <w:highlight w:val="yellow"/>
              </w:rPr>
            </w:pPr>
            <w:r w:rsidRPr="00EB0305">
              <w:rPr>
                <w:rFonts w:cs="Times New Roman"/>
                <w:b/>
                <w:bCs/>
                <w:color w:val="000000"/>
                <w:sz w:val="16"/>
                <w:szCs w:val="16"/>
              </w:rPr>
              <w:t>Východiskový rok (t</w:t>
            </w:r>
            <w:r w:rsidRPr="00EB0305">
              <w:rPr>
                <w:rFonts w:cs="Times New Roman"/>
                <w:b/>
                <w:bCs/>
                <w:color w:val="000000"/>
                <w:sz w:val="16"/>
                <w:szCs w:val="16"/>
                <w:vertAlign w:val="subscript"/>
              </w:rPr>
              <w:t>0</w:t>
            </w:r>
            <w:r w:rsidRPr="00EB0305">
              <w:rPr>
                <w:rFonts w:cs="Times New Roman"/>
                <w:b/>
                <w:bCs/>
                <w:color w:val="000000"/>
                <w:sz w:val="16"/>
                <w:szCs w:val="16"/>
              </w:rPr>
              <w:t>)</w:t>
            </w:r>
          </w:p>
        </w:tc>
        <w:tc>
          <w:tcPr>
            <w:tcW w:w="1088" w:type="dxa"/>
            <w:tcBorders>
              <w:top w:val="nil"/>
              <w:left w:val="nil"/>
              <w:bottom w:val="single" w:sz="8" w:space="0" w:color="auto"/>
              <w:right w:val="nil"/>
            </w:tcBorders>
            <w:shd w:val="clear" w:color="auto" w:fill="auto"/>
            <w:noWrap/>
            <w:vAlign w:val="center"/>
            <w:hideMark/>
          </w:tcPr>
          <w:p w14:paraId="0D642970"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Štrukturálne primárne saldo</w:t>
            </w:r>
          </w:p>
        </w:tc>
        <w:tc>
          <w:tcPr>
            <w:tcW w:w="1088" w:type="dxa"/>
            <w:tcBorders>
              <w:top w:val="nil"/>
              <w:left w:val="nil"/>
              <w:bottom w:val="single" w:sz="8" w:space="0" w:color="auto"/>
              <w:right w:val="nil"/>
            </w:tcBorders>
            <w:shd w:val="clear" w:color="auto" w:fill="auto"/>
            <w:noWrap/>
            <w:vAlign w:val="center"/>
            <w:hideMark/>
          </w:tcPr>
          <w:p w14:paraId="56965CF7"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DLH (t</w:t>
            </w:r>
            <w:r w:rsidRPr="00EB0305">
              <w:rPr>
                <w:rFonts w:cs="Times New Roman"/>
                <w:b/>
                <w:bCs/>
                <w:color w:val="000000"/>
                <w:sz w:val="16"/>
                <w:szCs w:val="16"/>
                <w:vertAlign w:val="subscript"/>
              </w:rPr>
              <w:t>0</w:t>
            </w:r>
            <w:r w:rsidRPr="00EB0305">
              <w:rPr>
                <w:rFonts w:cs="Times New Roman"/>
                <w:b/>
                <w:bCs/>
                <w:color w:val="000000"/>
                <w:sz w:val="16"/>
                <w:szCs w:val="16"/>
              </w:rPr>
              <w:t>)</w:t>
            </w:r>
          </w:p>
        </w:tc>
        <w:tc>
          <w:tcPr>
            <w:tcW w:w="1091" w:type="dxa"/>
            <w:tcBorders>
              <w:top w:val="nil"/>
              <w:left w:val="nil"/>
              <w:bottom w:val="single" w:sz="8" w:space="0" w:color="auto"/>
              <w:right w:val="single" w:sz="4" w:space="0" w:color="auto"/>
            </w:tcBorders>
          </w:tcPr>
          <w:p w14:paraId="6179612C"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Vplyv II.</w:t>
            </w:r>
            <w:r>
              <w:rPr>
                <w:rFonts w:cs="Times New Roman"/>
                <w:b/>
                <w:bCs/>
                <w:color w:val="000000"/>
                <w:sz w:val="16"/>
                <w:szCs w:val="16"/>
              </w:rPr>
              <w:t xml:space="preserve"> </w:t>
            </w:r>
            <w:r w:rsidRPr="00EB0305">
              <w:rPr>
                <w:rFonts w:cs="Times New Roman"/>
                <w:b/>
                <w:bCs/>
                <w:color w:val="000000"/>
                <w:sz w:val="16"/>
                <w:szCs w:val="16"/>
              </w:rPr>
              <w:t>piliera na P a V strane</w:t>
            </w:r>
          </w:p>
        </w:tc>
        <w:tc>
          <w:tcPr>
            <w:tcW w:w="1093" w:type="dxa"/>
            <w:tcBorders>
              <w:top w:val="nil"/>
              <w:left w:val="single" w:sz="4" w:space="0" w:color="auto"/>
              <w:bottom w:val="single" w:sz="8" w:space="0" w:color="auto"/>
              <w:right w:val="nil"/>
            </w:tcBorders>
            <w:vAlign w:val="center"/>
          </w:tcPr>
          <w:p w14:paraId="0891AEFA"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Výsledná Hodnota S1</w:t>
            </w:r>
          </w:p>
        </w:tc>
        <w:tc>
          <w:tcPr>
            <w:tcW w:w="1095" w:type="dxa"/>
            <w:tcBorders>
              <w:top w:val="nil"/>
              <w:left w:val="nil"/>
              <w:bottom w:val="single" w:sz="8" w:space="0" w:color="auto"/>
              <w:right w:val="nil"/>
            </w:tcBorders>
            <w:shd w:val="clear" w:color="auto" w:fill="auto"/>
            <w:noWrap/>
            <w:vAlign w:val="center"/>
          </w:tcPr>
          <w:p w14:paraId="57F26610" w14:textId="77777777" w:rsidR="00D73008" w:rsidRPr="00EB0305" w:rsidRDefault="00D73008" w:rsidP="00387AE5">
            <w:pPr>
              <w:jc w:val="center"/>
              <w:rPr>
                <w:rFonts w:cs="Times New Roman"/>
                <w:b/>
                <w:bCs/>
                <w:color w:val="000000"/>
                <w:sz w:val="16"/>
                <w:szCs w:val="16"/>
              </w:rPr>
            </w:pPr>
            <w:r w:rsidRPr="00EB0305">
              <w:rPr>
                <w:rFonts w:cs="Times New Roman"/>
                <w:b/>
                <w:bCs/>
                <w:color w:val="000000"/>
                <w:sz w:val="16"/>
                <w:szCs w:val="16"/>
              </w:rPr>
              <w:t>Riziko udržateľnosti</w:t>
            </w:r>
          </w:p>
        </w:tc>
      </w:tr>
      <w:tr w:rsidR="00D73008" w:rsidRPr="00EB0305" w14:paraId="1A04FA65" w14:textId="77777777" w:rsidTr="00387AE5">
        <w:trPr>
          <w:trHeight w:val="191"/>
        </w:trPr>
        <w:tc>
          <w:tcPr>
            <w:tcW w:w="2418" w:type="dxa"/>
            <w:tcBorders>
              <w:top w:val="nil"/>
              <w:left w:val="nil"/>
              <w:right w:val="nil"/>
            </w:tcBorders>
            <w:shd w:val="clear" w:color="auto" w:fill="auto"/>
            <w:noWrap/>
            <w:vAlign w:val="center"/>
            <w:hideMark/>
          </w:tcPr>
          <w:p w14:paraId="541C1E20" w14:textId="77777777" w:rsidR="00D73008" w:rsidRPr="00EB0305" w:rsidRDefault="00D73008" w:rsidP="00387AE5">
            <w:pPr>
              <w:rPr>
                <w:rFonts w:cs="Times New Roman"/>
                <w:b/>
                <w:sz w:val="18"/>
                <w:szCs w:val="18"/>
              </w:rPr>
            </w:pPr>
            <w:r>
              <w:rPr>
                <w:rFonts w:cs="Times New Roman"/>
                <w:b/>
                <w:sz w:val="18"/>
                <w:szCs w:val="18"/>
              </w:rPr>
              <w:t>R 2020</w:t>
            </w:r>
          </w:p>
        </w:tc>
        <w:tc>
          <w:tcPr>
            <w:tcW w:w="1239" w:type="dxa"/>
            <w:tcBorders>
              <w:top w:val="nil"/>
              <w:left w:val="nil"/>
              <w:right w:val="nil"/>
            </w:tcBorders>
            <w:shd w:val="clear" w:color="auto" w:fill="auto"/>
            <w:noWrap/>
            <w:vAlign w:val="center"/>
            <w:hideMark/>
          </w:tcPr>
          <w:p w14:paraId="55BC9CB2" w14:textId="77777777" w:rsidR="00D73008" w:rsidRPr="00EB0305" w:rsidRDefault="00D73008" w:rsidP="00387AE5">
            <w:pPr>
              <w:jc w:val="center"/>
              <w:rPr>
                <w:rFonts w:cs="Times New Roman"/>
                <w:sz w:val="18"/>
                <w:szCs w:val="18"/>
              </w:rPr>
            </w:pPr>
            <w:r>
              <w:rPr>
                <w:rFonts w:cs="Times New Roman"/>
                <w:sz w:val="18"/>
                <w:szCs w:val="18"/>
              </w:rPr>
              <w:t>2020</w:t>
            </w:r>
          </w:p>
        </w:tc>
        <w:tc>
          <w:tcPr>
            <w:tcW w:w="1088" w:type="dxa"/>
            <w:tcBorders>
              <w:top w:val="nil"/>
              <w:left w:val="nil"/>
              <w:right w:val="nil"/>
            </w:tcBorders>
            <w:shd w:val="clear" w:color="auto" w:fill="auto"/>
            <w:noWrap/>
            <w:vAlign w:val="center"/>
            <w:hideMark/>
          </w:tcPr>
          <w:p w14:paraId="3FD44828" w14:textId="77777777" w:rsidR="00D73008" w:rsidRPr="006F6177" w:rsidRDefault="00D73008" w:rsidP="00387AE5">
            <w:pPr>
              <w:jc w:val="center"/>
              <w:rPr>
                <w:rFonts w:cs="Times New Roman"/>
                <w:sz w:val="18"/>
                <w:szCs w:val="18"/>
                <w:highlight w:val="yellow"/>
              </w:rPr>
            </w:pPr>
            <w:r>
              <w:rPr>
                <w:rFonts w:cs="Times New Roman"/>
                <w:sz w:val="18"/>
                <w:szCs w:val="18"/>
              </w:rPr>
              <w:t>0,6</w:t>
            </w:r>
          </w:p>
        </w:tc>
        <w:tc>
          <w:tcPr>
            <w:tcW w:w="1088" w:type="dxa"/>
            <w:tcBorders>
              <w:top w:val="nil"/>
              <w:left w:val="nil"/>
              <w:right w:val="nil"/>
            </w:tcBorders>
            <w:shd w:val="clear" w:color="auto" w:fill="auto"/>
            <w:noWrap/>
            <w:vAlign w:val="center"/>
            <w:hideMark/>
          </w:tcPr>
          <w:p w14:paraId="4DE10B29" w14:textId="77777777" w:rsidR="00D73008" w:rsidRPr="006F6177" w:rsidRDefault="00D73008" w:rsidP="00387AE5">
            <w:pPr>
              <w:jc w:val="center"/>
              <w:rPr>
                <w:rFonts w:cs="Times New Roman"/>
                <w:sz w:val="18"/>
                <w:szCs w:val="18"/>
                <w:highlight w:val="yellow"/>
              </w:rPr>
            </w:pPr>
            <w:r w:rsidRPr="00DA1BA9">
              <w:rPr>
                <w:rFonts w:cs="Times New Roman"/>
                <w:sz w:val="18"/>
                <w:szCs w:val="18"/>
              </w:rPr>
              <w:t>45,9</w:t>
            </w:r>
          </w:p>
        </w:tc>
        <w:tc>
          <w:tcPr>
            <w:tcW w:w="1091" w:type="dxa"/>
            <w:tcBorders>
              <w:top w:val="nil"/>
              <w:left w:val="nil"/>
              <w:right w:val="single" w:sz="4" w:space="0" w:color="auto"/>
            </w:tcBorders>
            <w:vAlign w:val="center"/>
          </w:tcPr>
          <w:p w14:paraId="4D75FB8F" w14:textId="77777777" w:rsidR="00D73008" w:rsidRPr="00EB0305" w:rsidRDefault="00D73008" w:rsidP="00387AE5">
            <w:pPr>
              <w:jc w:val="center"/>
              <w:rPr>
                <w:rFonts w:cs="Times New Roman"/>
                <w:b/>
                <w:sz w:val="18"/>
                <w:szCs w:val="18"/>
              </w:rPr>
            </w:pPr>
            <w:r w:rsidRPr="00EB0305">
              <w:rPr>
                <w:rFonts w:cs="Times New Roman"/>
                <w:b/>
                <w:sz w:val="18"/>
                <w:szCs w:val="18"/>
              </w:rPr>
              <w:t>áno</w:t>
            </w:r>
          </w:p>
        </w:tc>
        <w:tc>
          <w:tcPr>
            <w:tcW w:w="1093" w:type="dxa"/>
            <w:tcBorders>
              <w:top w:val="nil"/>
              <w:left w:val="single" w:sz="4" w:space="0" w:color="auto"/>
              <w:right w:val="nil"/>
            </w:tcBorders>
            <w:shd w:val="clear" w:color="auto" w:fill="FFFFAF"/>
          </w:tcPr>
          <w:p w14:paraId="42408AB8" w14:textId="77777777" w:rsidR="00D73008" w:rsidRPr="00EB0305" w:rsidRDefault="00D73008" w:rsidP="00387AE5">
            <w:pPr>
              <w:jc w:val="center"/>
              <w:rPr>
                <w:rFonts w:cs="Times New Roman"/>
                <w:b/>
                <w:sz w:val="18"/>
                <w:szCs w:val="18"/>
              </w:rPr>
            </w:pPr>
            <w:r>
              <w:rPr>
                <w:rFonts w:cs="Times New Roman"/>
                <w:b/>
                <w:sz w:val="18"/>
                <w:szCs w:val="18"/>
              </w:rPr>
              <w:t>3,6</w:t>
            </w:r>
          </w:p>
        </w:tc>
        <w:tc>
          <w:tcPr>
            <w:tcW w:w="1095" w:type="dxa"/>
            <w:tcBorders>
              <w:top w:val="nil"/>
              <w:left w:val="nil"/>
              <w:right w:val="nil"/>
            </w:tcBorders>
            <w:shd w:val="clear" w:color="auto" w:fill="FFFFAF"/>
            <w:noWrap/>
            <w:vAlign w:val="center"/>
          </w:tcPr>
          <w:p w14:paraId="411692A7" w14:textId="77777777" w:rsidR="00D73008" w:rsidRPr="00EB0305" w:rsidRDefault="00D73008" w:rsidP="00387AE5">
            <w:pPr>
              <w:jc w:val="center"/>
              <w:rPr>
                <w:rFonts w:cs="Times New Roman"/>
                <w:b/>
                <w:sz w:val="18"/>
                <w:szCs w:val="18"/>
              </w:rPr>
            </w:pPr>
            <w:r w:rsidRPr="00EB0305">
              <w:rPr>
                <w:rFonts w:cs="Times New Roman"/>
                <w:b/>
                <w:sz w:val="18"/>
                <w:szCs w:val="18"/>
              </w:rPr>
              <w:t>stredné</w:t>
            </w:r>
          </w:p>
        </w:tc>
      </w:tr>
      <w:tr w:rsidR="00D73008" w:rsidRPr="00EB0305" w14:paraId="63231D31" w14:textId="77777777" w:rsidTr="00387AE5">
        <w:trPr>
          <w:trHeight w:val="191"/>
        </w:trPr>
        <w:tc>
          <w:tcPr>
            <w:tcW w:w="2418" w:type="dxa"/>
            <w:tcBorders>
              <w:top w:val="nil"/>
              <w:left w:val="nil"/>
              <w:bottom w:val="single" w:sz="4" w:space="0" w:color="auto"/>
              <w:right w:val="nil"/>
            </w:tcBorders>
            <w:shd w:val="clear" w:color="auto" w:fill="auto"/>
            <w:noWrap/>
            <w:vAlign w:val="center"/>
            <w:hideMark/>
          </w:tcPr>
          <w:p w14:paraId="4C06B37B" w14:textId="77777777" w:rsidR="00D73008" w:rsidRPr="00EB0305" w:rsidRDefault="00D73008" w:rsidP="00387AE5">
            <w:pPr>
              <w:rPr>
                <w:rFonts w:cs="Times New Roman"/>
                <w:b/>
                <w:sz w:val="18"/>
                <w:szCs w:val="18"/>
              </w:rPr>
            </w:pPr>
            <w:r>
              <w:rPr>
                <w:rFonts w:cs="Times New Roman"/>
                <w:b/>
                <w:sz w:val="18"/>
                <w:szCs w:val="18"/>
              </w:rPr>
              <w:t>R 2022</w:t>
            </w:r>
          </w:p>
        </w:tc>
        <w:tc>
          <w:tcPr>
            <w:tcW w:w="1239" w:type="dxa"/>
            <w:tcBorders>
              <w:top w:val="nil"/>
              <w:left w:val="nil"/>
              <w:bottom w:val="single" w:sz="4" w:space="0" w:color="auto"/>
              <w:right w:val="nil"/>
            </w:tcBorders>
            <w:shd w:val="clear" w:color="auto" w:fill="auto"/>
            <w:noWrap/>
            <w:vAlign w:val="center"/>
            <w:hideMark/>
          </w:tcPr>
          <w:p w14:paraId="382057C4" w14:textId="77777777" w:rsidR="00D73008" w:rsidRPr="00EB0305" w:rsidRDefault="00D73008" w:rsidP="00387AE5">
            <w:pPr>
              <w:jc w:val="center"/>
              <w:rPr>
                <w:rFonts w:cs="Times New Roman"/>
                <w:sz w:val="18"/>
                <w:szCs w:val="18"/>
              </w:rPr>
            </w:pPr>
            <w:r>
              <w:rPr>
                <w:rFonts w:cs="Times New Roman"/>
                <w:sz w:val="18"/>
                <w:szCs w:val="18"/>
              </w:rPr>
              <w:t>2022</w:t>
            </w:r>
          </w:p>
        </w:tc>
        <w:tc>
          <w:tcPr>
            <w:tcW w:w="1088" w:type="dxa"/>
            <w:tcBorders>
              <w:top w:val="nil"/>
              <w:left w:val="nil"/>
              <w:bottom w:val="single" w:sz="4" w:space="0" w:color="auto"/>
              <w:right w:val="nil"/>
            </w:tcBorders>
            <w:shd w:val="clear" w:color="auto" w:fill="auto"/>
            <w:noWrap/>
            <w:vAlign w:val="center"/>
            <w:hideMark/>
          </w:tcPr>
          <w:p w14:paraId="4BD3CB20" w14:textId="77777777" w:rsidR="00D73008" w:rsidRPr="006F6177" w:rsidRDefault="00D73008" w:rsidP="00387AE5">
            <w:pPr>
              <w:jc w:val="center"/>
              <w:rPr>
                <w:rFonts w:cs="Times New Roman"/>
                <w:sz w:val="18"/>
                <w:szCs w:val="18"/>
                <w:highlight w:val="yellow"/>
              </w:rPr>
            </w:pPr>
            <w:r>
              <w:rPr>
                <w:rFonts w:cs="Times New Roman"/>
                <w:sz w:val="18"/>
                <w:szCs w:val="18"/>
              </w:rPr>
              <w:t>0,8</w:t>
            </w:r>
          </w:p>
        </w:tc>
        <w:tc>
          <w:tcPr>
            <w:tcW w:w="1088" w:type="dxa"/>
            <w:tcBorders>
              <w:top w:val="nil"/>
              <w:left w:val="nil"/>
              <w:bottom w:val="single" w:sz="4" w:space="0" w:color="auto"/>
              <w:right w:val="nil"/>
            </w:tcBorders>
            <w:shd w:val="clear" w:color="auto" w:fill="auto"/>
            <w:noWrap/>
            <w:vAlign w:val="center"/>
            <w:hideMark/>
          </w:tcPr>
          <w:p w14:paraId="17246B0F" w14:textId="77777777" w:rsidR="00D73008" w:rsidRPr="006F6177" w:rsidRDefault="00D73008" w:rsidP="00387AE5">
            <w:pPr>
              <w:jc w:val="center"/>
              <w:rPr>
                <w:rFonts w:cs="Times New Roman"/>
                <w:sz w:val="18"/>
                <w:szCs w:val="18"/>
                <w:highlight w:val="yellow"/>
              </w:rPr>
            </w:pPr>
            <w:r w:rsidRPr="00DA1BA9">
              <w:rPr>
                <w:rFonts w:cs="Times New Roman"/>
                <w:sz w:val="18"/>
                <w:szCs w:val="18"/>
              </w:rPr>
              <w:t>44,4</w:t>
            </w:r>
          </w:p>
        </w:tc>
        <w:tc>
          <w:tcPr>
            <w:tcW w:w="1091" w:type="dxa"/>
            <w:tcBorders>
              <w:top w:val="nil"/>
              <w:left w:val="nil"/>
              <w:bottom w:val="single" w:sz="4" w:space="0" w:color="auto"/>
              <w:right w:val="single" w:sz="4" w:space="0" w:color="auto"/>
            </w:tcBorders>
            <w:vAlign w:val="center"/>
          </w:tcPr>
          <w:p w14:paraId="6B2BEF85" w14:textId="77777777" w:rsidR="00D73008" w:rsidRPr="00EB0305" w:rsidRDefault="00D73008" w:rsidP="00387AE5">
            <w:pPr>
              <w:jc w:val="center"/>
              <w:rPr>
                <w:rFonts w:cs="Times New Roman"/>
                <w:b/>
                <w:sz w:val="18"/>
                <w:szCs w:val="18"/>
              </w:rPr>
            </w:pPr>
            <w:r w:rsidRPr="00EB0305">
              <w:rPr>
                <w:rFonts w:cs="Times New Roman"/>
                <w:b/>
                <w:sz w:val="18"/>
                <w:szCs w:val="18"/>
              </w:rPr>
              <w:t>áno</w:t>
            </w:r>
          </w:p>
        </w:tc>
        <w:tc>
          <w:tcPr>
            <w:tcW w:w="1093" w:type="dxa"/>
            <w:tcBorders>
              <w:top w:val="nil"/>
              <w:left w:val="single" w:sz="4" w:space="0" w:color="auto"/>
              <w:bottom w:val="single" w:sz="4" w:space="0" w:color="auto"/>
              <w:right w:val="nil"/>
            </w:tcBorders>
            <w:shd w:val="clear" w:color="auto" w:fill="FFFFAF"/>
          </w:tcPr>
          <w:p w14:paraId="0F90AFB0" w14:textId="77777777" w:rsidR="00D73008" w:rsidRPr="00E1569E" w:rsidRDefault="00D73008" w:rsidP="00387AE5">
            <w:pPr>
              <w:jc w:val="center"/>
              <w:rPr>
                <w:rFonts w:cs="Times New Roman"/>
                <w:b/>
                <w:sz w:val="18"/>
                <w:szCs w:val="18"/>
              </w:rPr>
            </w:pPr>
            <w:r>
              <w:rPr>
                <w:rFonts w:cs="Times New Roman"/>
                <w:b/>
                <w:sz w:val="18"/>
                <w:szCs w:val="18"/>
              </w:rPr>
              <w:t>3,5</w:t>
            </w:r>
          </w:p>
        </w:tc>
        <w:tc>
          <w:tcPr>
            <w:tcW w:w="1095" w:type="dxa"/>
            <w:tcBorders>
              <w:top w:val="nil"/>
              <w:left w:val="nil"/>
              <w:bottom w:val="single" w:sz="4" w:space="0" w:color="auto"/>
              <w:right w:val="nil"/>
            </w:tcBorders>
            <w:shd w:val="clear" w:color="auto" w:fill="FFFFAF"/>
            <w:noWrap/>
            <w:vAlign w:val="center"/>
          </w:tcPr>
          <w:p w14:paraId="3CB0BBD8" w14:textId="77777777" w:rsidR="00D73008" w:rsidRPr="00E1569E" w:rsidRDefault="00D73008" w:rsidP="00387AE5">
            <w:pPr>
              <w:jc w:val="center"/>
              <w:rPr>
                <w:rFonts w:cs="Times New Roman"/>
                <w:b/>
                <w:sz w:val="18"/>
                <w:szCs w:val="18"/>
              </w:rPr>
            </w:pPr>
            <w:r w:rsidRPr="00EB0305">
              <w:rPr>
                <w:rFonts w:cs="Times New Roman"/>
                <w:b/>
                <w:sz w:val="18"/>
                <w:szCs w:val="18"/>
              </w:rPr>
              <w:t>stredné</w:t>
            </w:r>
          </w:p>
        </w:tc>
      </w:tr>
    </w:tbl>
    <w:p w14:paraId="5523C4D4" w14:textId="77777777" w:rsidR="00D73008" w:rsidRPr="00701CD5" w:rsidRDefault="00D73008" w:rsidP="00D73008">
      <w:pPr>
        <w:jc w:val="right"/>
        <w:rPr>
          <w:rFonts w:cs="Times New Roman"/>
          <w:i/>
          <w:sz w:val="16"/>
          <w:szCs w:val="16"/>
        </w:rPr>
      </w:pPr>
      <w:r w:rsidRPr="00701CD5">
        <w:rPr>
          <w:rFonts w:cs="Times New Roman"/>
          <w:i/>
          <w:sz w:val="16"/>
          <w:szCs w:val="16"/>
        </w:rPr>
        <w:t>Zdroj: MF SR</w:t>
      </w:r>
    </w:p>
    <w:p w14:paraId="5842E5A9" w14:textId="0FA855B8" w:rsidR="00D73008" w:rsidRPr="0046517F" w:rsidRDefault="00D73008" w:rsidP="00D73008">
      <w:pPr>
        <w:pStyle w:val="Popis"/>
        <w:keepNext/>
        <w:spacing w:after="0"/>
        <w:rPr>
          <w:sz w:val="20"/>
          <w:szCs w:val="20"/>
        </w:rPr>
      </w:pPr>
      <w:bookmarkStart w:id="288" w:name="_Toc6314237"/>
      <w:r w:rsidRPr="00392121">
        <w:rPr>
          <w:rFonts w:eastAsiaTheme="minorHAnsi"/>
          <w:color w:val="2C9ADC"/>
          <w:sz w:val="20"/>
          <w:szCs w:val="20"/>
          <w:lang w:eastAsia="en-US"/>
        </w:rPr>
        <w:t xml:space="preserve">TABUĽKA </w:t>
      </w:r>
      <w:r w:rsidRPr="00392121">
        <w:rPr>
          <w:rFonts w:eastAsiaTheme="minorHAnsi"/>
          <w:color w:val="2C9ADC"/>
          <w:sz w:val="20"/>
          <w:szCs w:val="20"/>
          <w:lang w:eastAsia="en-US"/>
        </w:rPr>
        <w:fldChar w:fldCharType="begin"/>
      </w:r>
      <w:r w:rsidRPr="00392121">
        <w:rPr>
          <w:rFonts w:eastAsiaTheme="minorHAnsi"/>
          <w:color w:val="2C9ADC"/>
          <w:sz w:val="20"/>
          <w:szCs w:val="20"/>
          <w:lang w:eastAsia="en-US"/>
        </w:rPr>
        <w:instrText xml:space="preserve"> SEQ TABUĽKA \* ARABIC </w:instrText>
      </w:r>
      <w:r w:rsidRPr="00392121">
        <w:rPr>
          <w:rFonts w:eastAsiaTheme="minorHAnsi"/>
          <w:color w:val="2C9ADC"/>
          <w:sz w:val="20"/>
          <w:szCs w:val="20"/>
          <w:lang w:eastAsia="en-US"/>
        </w:rPr>
        <w:fldChar w:fldCharType="separate"/>
      </w:r>
      <w:r w:rsidR="00D5739E">
        <w:rPr>
          <w:rFonts w:eastAsiaTheme="minorHAnsi"/>
          <w:noProof/>
          <w:color w:val="2C9ADC"/>
          <w:sz w:val="20"/>
          <w:szCs w:val="20"/>
          <w:lang w:eastAsia="en-US"/>
        </w:rPr>
        <w:t>38</w:t>
      </w:r>
      <w:r w:rsidRPr="00392121">
        <w:rPr>
          <w:rFonts w:eastAsiaTheme="minorHAnsi"/>
          <w:color w:val="2C9ADC"/>
          <w:sz w:val="20"/>
          <w:szCs w:val="20"/>
          <w:lang w:eastAsia="en-US"/>
        </w:rPr>
        <w:fldChar w:fldCharType="end"/>
      </w:r>
      <w:r w:rsidRPr="0046517F">
        <w:rPr>
          <w:sz w:val="20"/>
          <w:szCs w:val="20"/>
        </w:rPr>
        <w:t xml:space="preserve"> - Rozbor indikátora udržateľnosti S2</w:t>
      </w:r>
      <w:bookmarkEnd w:id="288"/>
    </w:p>
    <w:tbl>
      <w:tblPr>
        <w:tblW w:w="5024" w:type="pct"/>
        <w:tblCellMar>
          <w:left w:w="70" w:type="dxa"/>
          <w:right w:w="70" w:type="dxa"/>
        </w:tblCellMar>
        <w:tblLook w:val="04A0" w:firstRow="1" w:lastRow="0" w:firstColumn="1" w:lastColumn="0" w:noHBand="0" w:noVBand="1"/>
      </w:tblPr>
      <w:tblGrid>
        <w:gridCol w:w="3562"/>
        <w:gridCol w:w="1566"/>
        <w:gridCol w:w="1281"/>
        <w:gridCol w:w="1424"/>
        <w:gridCol w:w="1281"/>
      </w:tblGrid>
      <w:tr w:rsidR="00D73008" w:rsidRPr="00EB0305" w14:paraId="624BBA1B" w14:textId="77777777" w:rsidTr="00387AE5">
        <w:trPr>
          <w:trHeight w:val="436"/>
        </w:trPr>
        <w:tc>
          <w:tcPr>
            <w:tcW w:w="1954" w:type="pct"/>
            <w:tcBorders>
              <w:top w:val="single" w:sz="4" w:space="0" w:color="auto"/>
              <w:left w:val="nil"/>
              <w:bottom w:val="single" w:sz="8" w:space="0" w:color="auto"/>
            </w:tcBorders>
            <w:shd w:val="clear" w:color="auto" w:fill="auto"/>
            <w:noWrap/>
            <w:vAlign w:val="center"/>
          </w:tcPr>
          <w:p w14:paraId="19716CC6" w14:textId="77777777" w:rsidR="00D73008" w:rsidRPr="00EB0305" w:rsidRDefault="00D73008" w:rsidP="00387AE5">
            <w:pPr>
              <w:jc w:val="center"/>
              <w:rPr>
                <w:rFonts w:cs="Times New Roman"/>
                <w:b/>
                <w:color w:val="000000"/>
                <w:sz w:val="18"/>
                <w:szCs w:val="18"/>
              </w:rPr>
            </w:pPr>
          </w:p>
        </w:tc>
        <w:tc>
          <w:tcPr>
            <w:tcW w:w="1562" w:type="pct"/>
            <w:gridSpan w:val="2"/>
            <w:tcBorders>
              <w:top w:val="single" w:sz="4" w:space="0" w:color="auto"/>
              <w:left w:val="nil"/>
              <w:bottom w:val="single" w:sz="8" w:space="0" w:color="auto"/>
            </w:tcBorders>
            <w:shd w:val="clear" w:color="auto" w:fill="auto"/>
            <w:vAlign w:val="center"/>
          </w:tcPr>
          <w:p w14:paraId="2F669C61" w14:textId="77777777" w:rsidR="00D73008" w:rsidRPr="00EB0305" w:rsidRDefault="00D73008" w:rsidP="00387AE5">
            <w:pPr>
              <w:jc w:val="center"/>
              <w:rPr>
                <w:rFonts w:cs="Times New Roman"/>
                <w:b/>
                <w:color w:val="000000"/>
                <w:sz w:val="18"/>
                <w:szCs w:val="18"/>
              </w:rPr>
            </w:pPr>
            <w:r>
              <w:rPr>
                <w:rFonts w:cs="Times New Roman"/>
                <w:b/>
                <w:color w:val="000000"/>
                <w:sz w:val="18"/>
                <w:szCs w:val="18"/>
              </w:rPr>
              <w:t>R 2020</w:t>
            </w:r>
          </w:p>
        </w:tc>
        <w:tc>
          <w:tcPr>
            <w:tcW w:w="1484" w:type="pct"/>
            <w:gridSpan w:val="2"/>
            <w:tcBorders>
              <w:top w:val="single" w:sz="4" w:space="0" w:color="auto"/>
              <w:left w:val="nil"/>
              <w:bottom w:val="single" w:sz="8" w:space="0" w:color="auto"/>
            </w:tcBorders>
            <w:shd w:val="clear" w:color="auto" w:fill="auto"/>
            <w:vAlign w:val="center"/>
          </w:tcPr>
          <w:p w14:paraId="0E8A14C6" w14:textId="77777777" w:rsidR="00D73008" w:rsidRPr="00EB0305" w:rsidRDefault="00D73008" w:rsidP="00387AE5">
            <w:pPr>
              <w:jc w:val="center"/>
              <w:rPr>
                <w:rFonts w:cs="Times New Roman"/>
                <w:b/>
                <w:color w:val="000000"/>
                <w:sz w:val="18"/>
                <w:szCs w:val="18"/>
              </w:rPr>
            </w:pPr>
            <w:r>
              <w:rPr>
                <w:rFonts w:cs="Times New Roman"/>
                <w:b/>
                <w:color w:val="000000"/>
                <w:sz w:val="18"/>
                <w:szCs w:val="18"/>
              </w:rPr>
              <w:t>R 2022</w:t>
            </w:r>
          </w:p>
        </w:tc>
      </w:tr>
      <w:tr w:rsidR="00D73008" w:rsidRPr="00EB0305" w14:paraId="0832776A" w14:textId="77777777" w:rsidTr="00387AE5">
        <w:trPr>
          <w:trHeight w:val="291"/>
        </w:trPr>
        <w:tc>
          <w:tcPr>
            <w:tcW w:w="1954" w:type="pct"/>
            <w:tcBorders>
              <w:top w:val="single" w:sz="8" w:space="0" w:color="auto"/>
              <w:left w:val="nil"/>
              <w:bottom w:val="single" w:sz="4" w:space="0" w:color="auto"/>
            </w:tcBorders>
            <w:shd w:val="clear" w:color="auto" w:fill="auto"/>
            <w:noWrap/>
            <w:vAlign w:val="center"/>
            <w:hideMark/>
          </w:tcPr>
          <w:p w14:paraId="0E2F9745" w14:textId="77777777" w:rsidR="00D73008" w:rsidRPr="00EB0305" w:rsidRDefault="00D73008" w:rsidP="00387AE5">
            <w:pPr>
              <w:rPr>
                <w:rFonts w:cs="Times New Roman"/>
                <w:b/>
                <w:bCs/>
                <w:color w:val="000000" w:themeColor="text1"/>
                <w:sz w:val="18"/>
                <w:szCs w:val="18"/>
              </w:rPr>
            </w:pPr>
            <w:r w:rsidRPr="00EB0305">
              <w:rPr>
                <w:rFonts w:cs="Times New Roman"/>
                <w:b/>
                <w:bCs/>
                <w:color w:val="000000" w:themeColor="text1"/>
                <w:sz w:val="18"/>
                <w:szCs w:val="18"/>
              </w:rPr>
              <w:t>S2 Indikátor (% HDP)</w:t>
            </w:r>
          </w:p>
        </w:tc>
        <w:tc>
          <w:tcPr>
            <w:tcW w:w="1562" w:type="pct"/>
            <w:gridSpan w:val="2"/>
            <w:tcBorders>
              <w:top w:val="single" w:sz="8" w:space="0" w:color="auto"/>
              <w:bottom w:val="single" w:sz="4" w:space="0" w:color="auto"/>
            </w:tcBorders>
            <w:shd w:val="clear" w:color="auto" w:fill="FFFFAF"/>
            <w:noWrap/>
            <w:vAlign w:val="center"/>
          </w:tcPr>
          <w:p w14:paraId="52CAF666" w14:textId="77777777" w:rsidR="00D73008" w:rsidRPr="00EB0305" w:rsidRDefault="00D73008" w:rsidP="00387AE5">
            <w:pPr>
              <w:jc w:val="center"/>
              <w:rPr>
                <w:rFonts w:cs="Times New Roman"/>
                <w:b/>
                <w:bCs/>
                <w:color w:val="000000" w:themeColor="text1"/>
                <w:sz w:val="18"/>
                <w:szCs w:val="18"/>
              </w:rPr>
            </w:pPr>
            <w:r>
              <w:rPr>
                <w:rFonts w:cs="Times New Roman"/>
                <w:b/>
                <w:sz w:val="18"/>
                <w:szCs w:val="18"/>
              </w:rPr>
              <w:t>3,6</w:t>
            </w:r>
          </w:p>
        </w:tc>
        <w:tc>
          <w:tcPr>
            <w:tcW w:w="1484" w:type="pct"/>
            <w:gridSpan w:val="2"/>
            <w:tcBorders>
              <w:top w:val="single" w:sz="8" w:space="0" w:color="auto"/>
              <w:bottom w:val="single" w:sz="4" w:space="0" w:color="auto"/>
            </w:tcBorders>
            <w:shd w:val="clear" w:color="auto" w:fill="FFFFAF"/>
            <w:noWrap/>
            <w:vAlign w:val="center"/>
          </w:tcPr>
          <w:p w14:paraId="4F5B9A12" w14:textId="77777777" w:rsidR="00D73008" w:rsidRPr="00EB0305" w:rsidRDefault="00D73008" w:rsidP="00387AE5">
            <w:pPr>
              <w:jc w:val="center"/>
              <w:rPr>
                <w:rFonts w:cs="Times New Roman"/>
                <w:b/>
                <w:bCs/>
                <w:color w:val="000000" w:themeColor="text1"/>
                <w:sz w:val="18"/>
                <w:szCs w:val="18"/>
              </w:rPr>
            </w:pPr>
            <w:r>
              <w:rPr>
                <w:rFonts w:cs="Times New Roman"/>
                <w:b/>
                <w:bCs/>
                <w:color w:val="000000" w:themeColor="text1"/>
                <w:sz w:val="18"/>
                <w:szCs w:val="18"/>
              </w:rPr>
              <w:t>3,5</w:t>
            </w:r>
          </w:p>
        </w:tc>
      </w:tr>
      <w:tr w:rsidR="00D73008" w:rsidRPr="00EB0305" w14:paraId="3D512118" w14:textId="77777777" w:rsidTr="00387AE5">
        <w:trPr>
          <w:trHeight w:val="231"/>
        </w:trPr>
        <w:tc>
          <w:tcPr>
            <w:tcW w:w="1954" w:type="pct"/>
            <w:tcBorders>
              <w:top w:val="single" w:sz="4" w:space="0" w:color="auto"/>
              <w:left w:val="nil"/>
            </w:tcBorders>
            <w:shd w:val="clear" w:color="auto" w:fill="auto"/>
            <w:noWrap/>
            <w:vAlign w:val="center"/>
          </w:tcPr>
          <w:p w14:paraId="131BCCF1" w14:textId="77777777" w:rsidR="00D73008" w:rsidRPr="00EB0305" w:rsidRDefault="00D73008" w:rsidP="00387AE5">
            <w:pPr>
              <w:rPr>
                <w:rFonts w:cs="Times New Roman"/>
                <w:bCs/>
                <w:color w:val="000000"/>
                <w:sz w:val="18"/>
                <w:szCs w:val="18"/>
              </w:rPr>
            </w:pPr>
            <w:r w:rsidRPr="00EB0305">
              <w:rPr>
                <w:rFonts w:cs="Times New Roman"/>
                <w:bCs/>
                <w:color w:val="000000"/>
                <w:sz w:val="18"/>
                <w:szCs w:val="18"/>
              </w:rPr>
              <w:t>z toho:</w:t>
            </w:r>
          </w:p>
        </w:tc>
        <w:tc>
          <w:tcPr>
            <w:tcW w:w="859" w:type="pct"/>
            <w:tcBorders>
              <w:top w:val="single" w:sz="4" w:space="0" w:color="auto"/>
            </w:tcBorders>
            <w:shd w:val="clear" w:color="auto" w:fill="auto"/>
            <w:noWrap/>
            <w:vAlign w:val="center"/>
          </w:tcPr>
          <w:p w14:paraId="2C91EC34" w14:textId="77777777" w:rsidR="00D73008" w:rsidRPr="00EB0305" w:rsidRDefault="00D73008" w:rsidP="00387AE5">
            <w:pPr>
              <w:jc w:val="center"/>
              <w:rPr>
                <w:rFonts w:cs="Times New Roman"/>
                <w:b/>
                <w:bCs/>
                <w:color w:val="000000"/>
                <w:sz w:val="18"/>
                <w:szCs w:val="18"/>
              </w:rPr>
            </w:pPr>
          </w:p>
        </w:tc>
        <w:tc>
          <w:tcPr>
            <w:tcW w:w="702" w:type="pct"/>
            <w:tcBorders>
              <w:top w:val="single" w:sz="4" w:space="0" w:color="auto"/>
            </w:tcBorders>
            <w:shd w:val="clear" w:color="auto" w:fill="auto"/>
            <w:vAlign w:val="center"/>
          </w:tcPr>
          <w:p w14:paraId="751F58A2" w14:textId="77777777" w:rsidR="00D73008" w:rsidRPr="00EB0305" w:rsidRDefault="00D73008" w:rsidP="00387AE5">
            <w:pPr>
              <w:jc w:val="center"/>
              <w:rPr>
                <w:rFonts w:cs="Times New Roman"/>
                <w:b/>
                <w:bCs/>
                <w:color w:val="000000"/>
                <w:sz w:val="18"/>
                <w:szCs w:val="18"/>
              </w:rPr>
            </w:pPr>
          </w:p>
        </w:tc>
        <w:tc>
          <w:tcPr>
            <w:tcW w:w="781" w:type="pct"/>
            <w:tcBorders>
              <w:top w:val="single" w:sz="4" w:space="0" w:color="auto"/>
            </w:tcBorders>
            <w:shd w:val="clear" w:color="auto" w:fill="auto"/>
            <w:noWrap/>
            <w:vAlign w:val="center"/>
          </w:tcPr>
          <w:p w14:paraId="4E984592" w14:textId="77777777" w:rsidR="00D73008" w:rsidRPr="00EB0305" w:rsidRDefault="00D73008" w:rsidP="00387AE5">
            <w:pPr>
              <w:jc w:val="center"/>
              <w:rPr>
                <w:rFonts w:cs="Times New Roman"/>
                <w:b/>
                <w:bCs/>
                <w:color w:val="000000"/>
                <w:sz w:val="18"/>
                <w:szCs w:val="18"/>
              </w:rPr>
            </w:pPr>
          </w:p>
        </w:tc>
        <w:tc>
          <w:tcPr>
            <w:tcW w:w="703" w:type="pct"/>
            <w:tcBorders>
              <w:top w:val="single" w:sz="4" w:space="0" w:color="auto"/>
            </w:tcBorders>
            <w:shd w:val="clear" w:color="auto" w:fill="auto"/>
            <w:vAlign w:val="center"/>
          </w:tcPr>
          <w:p w14:paraId="42B1E2A8" w14:textId="77777777" w:rsidR="00D73008" w:rsidRPr="00EB0305" w:rsidRDefault="00D73008" w:rsidP="00387AE5">
            <w:pPr>
              <w:jc w:val="center"/>
              <w:rPr>
                <w:rFonts w:cs="Times New Roman"/>
                <w:b/>
                <w:bCs/>
                <w:color w:val="000000"/>
                <w:sz w:val="18"/>
                <w:szCs w:val="18"/>
                <w:highlight w:val="yellow"/>
              </w:rPr>
            </w:pPr>
          </w:p>
        </w:tc>
      </w:tr>
      <w:tr w:rsidR="00D73008" w:rsidRPr="00EB0305" w14:paraId="5B0C63DD" w14:textId="77777777" w:rsidTr="00387AE5">
        <w:trPr>
          <w:trHeight w:val="231"/>
        </w:trPr>
        <w:tc>
          <w:tcPr>
            <w:tcW w:w="1954" w:type="pct"/>
            <w:tcBorders>
              <w:left w:val="nil"/>
            </w:tcBorders>
            <w:shd w:val="clear" w:color="auto" w:fill="auto"/>
            <w:noWrap/>
            <w:vAlign w:val="center"/>
            <w:hideMark/>
          </w:tcPr>
          <w:p w14:paraId="6C6F7C4B"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Počiatočná rozpočtová pozícia</w:t>
            </w:r>
          </w:p>
        </w:tc>
        <w:tc>
          <w:tcPr>
            <w:tcW w:w="1562" w:type="pct"/>
            <w:gridSpan w:val="2"/>
            <w:shd w:val="clear" w:color="auto" w:fill="auto"/>
            <w:noWrap/>
            <w:vAlign w:val="center"/>
          </w:tcPr>
          <w:p w14:paraId="0C003CA4" w14:textId="77777777" w:rsidR="00D73008" w:rsidRPr="00EB0305" w:rsidRDefault="00D73008" w:rsidP="00387AE5">
            <w:pPr>
              <w:jc w:val="center"/>
              <w:rPr>
                <w:rFonts w:cs="Times New Roman"/>
                <w:color w:val="000000"/>
                <w:sz w:val="18"/>
                <w:szCs w:val="18"/>
              </w:rPr>
            </w:pPr>
            <w:r>
              <w:rPr>
                <w:rFonts w:cs="Times New Roman"/>
                <w:color w:val="000000"/>
                <w:sz w:val="18"/>
                <w:szCs w:val="18"/>
              </w:rPr>
              <w:t>0</w:t>
            </w:r>
            <w:r w:rsidRPr="00EB0305">
              <w:rPr>
                <w:rFonts w:cs="Times New Roman"/>
                <w:color w:val="000000"/>
                <w:sz w:val="18"/>
                <w:szCs w:val="18"/>
              </w:rPr>
              <w:t>,</w:t>
            </w:r>
            <w:r>
              <w:rPr>
                <w:rFonts w:cs="Times New Roman"/>
                <w:color w:val="000000"/>
                <w:sz w:val="18"/>
                <w:szCs w:val="18"/>
              </w:rPr>
              <w:t>0</w:t>
            </w:r>
          </w:p>
        </w:tc>
        <w:tc>
          <w:tcPr>
            <w:tcW w:w="1484" w:type="pct"/>
            <w:gridSpan w:val="2"/>
            <w:shd w:val="clear" w:color="auto" w:fill="auto"/>
            <w:noWrap/>
            <w:vAlign w:val="center"/>
          </w:tcPr>
          <w:p w14:paraId="00230891" w14:textId="77777777" w:rsidR="00D73008" w:rsidRPr="00EB0305" w:rsidRDefault="00D73008" w:rsidP="00387AE5">
            <w:pPr>
              <w:jc w:val="center"/>
              <w:rPr>
                <w:rFonts w:cs="Times New Roman"/>
                <w:color w:val="000000"/>
                <w:sz w:val="18"/>
                <w:szCs w:val="18"/>
              </w:rPr>
            </w:pPr>
            <w:r>
              <w:rPr>
                <w:rFonts w:cs="Times New Roman"/>
                <w:color w:val="000000"/>
                <w:sz w:val="18"/>
                <w:szCs w:val="18"/>
              </w:rPr>
              <w:t>-0,1</w:t>
            </w:r>
          </w:p>
        </w:tc>
      </w:tr>
      <w:tr w:rsidR="00D73008" w:rsidRPr="00EB0305" w14:paraId="5E39B512" w14:textId="77777777" w:rsidTr="00387AE5">
        <w:trPr>
          <w:trHeight w:val="231"/>
        </w:trPr>
        <w:tc>
          <w:tcPr>
            <w:tcW w:w="1954" w:type="pct"/>
            <w:tcBorders>
              <w:left w:val="nil"/>
            </w:tcBorders>
            <w:shd w:val="clear" w:color="auto" w:fill="auto"/>
            <w:noWrap/>
            <w:vAlign w:val="center"/>
            <w:hideMark/>
          </w:tcPr>
          <w:p w14:paraId="055FF02E"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Výdavky na penzie</w:t>
            </w:r>
          </w:p>
        </w:tc>
        <w:tc>
          <w:tcPr>
            <w:tcW w:w="1562" w:type="pct"/>
            <w:gridSpan w:val="2"/>
            <w:shd w:val="clear" w:color="auto" w:fill="auto"/>
            <w:noWrap/>
            <w:vAlign w:val="center"/>
          </w:tcPr>
          <w:p w14:paraId="4C8DBCDF" w14:textId="77777777" w:rsidR="00D73008" w:rsidRPr="00EB0305" w:rsidRDefault="00D73008" w:rsidP="00387AE5">
            <w:pPr>
              <w:jc w:val="center"/>
              <w:rPr>
                <w:rFonts w:cs="Times New Roman"/>
                <w:color w:val="000000"/>
                <w:sz w:val="18"/>
                <w:szCs w:val="18"/>
              </w:rPr>
            </w:pPr>
            <w:r>
              <w:rPr>
                <w:rFonts w:cs="Times New Roman"/>
                <w:color w:val="000000"/>
                <w:sz w:val="18"/>
                <w:szCs w:val="18"/>
              </w:rPr>
              <w:t>2,0</w:t>
            </w:r>
          </w:p>
        </w:tc>
        <w:tc>
          <w:tcPr>
            <w:tcW w:w="1484" w:type="pct"/>
            <w:gridSpan w:val="2"/>
            <w:shd w:val="clear" w:color="auto" w:fill="auto"/>
            <w:noWrap/>
            <w:vAlign w:val="center"/>
          </w:tcPr>
          <w:p w14:paraId="74939EA2" w14:textId="77777777" w:rsidR="00D73008" w:rsidRPr="00EB0305" w:rsidRDefault="00D73008" w:rsidP="00387AE5">
            <w:pPr>
              <w:jc w:val="center"/>
              <w:rPr>
                <w:rFonts w:cs="Times New Roman"/>
                <w:color w:val="000000"/>
                <w:sz w:val="18"/>
                <w:szCs w:val="18"/>
              </w:rPr>
            </w:pPr>
            <w:r>
              <w:rPr>
                <w:rFonts w:cs="Times New Roman"/>
                <w:color w:val="000000"/>
                <w:sz w:val="18"/>
                <w:szCs w:val="18"/>
              </w:rPr>
              <w:t>2,3</w:t>
            </w:r>
          </w:p>
        </w:tc>
      </w:tr>
      <w:tr w:rsidR="00D73008" w:rsidRPr="00EB0305" w14:paraId="069DDE05" w14:textId="77777777" w:rsidTr="00387AE5">
        <w:trPr>
          <w:trHeight w:val="231"/>
        </w:trPr>
        <w:tc>
          <w:tcPr>
            <w:tcW w:w="1954" w:type="pct"/>
            <w:tcBorders>
              <w:left w:val="nil"/>
            </w:tcBorders>
            <w:shd w:val="clear" w:color="auto" w:fill="auto"/>
            <w:noWrap/>
            <w:vAlign w:val="center"/>
            <w:hideMark/>
          </w:tcPr>
          <w:p w14:paraId="66E45611"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Zdravotná a dlhodobá starostlivosť</w:t>
            </w:r>
          </w:p>
        </w:tc>
        <w:tc>
          <w:tcPr>
            <w:tcW w:w="1562" w:type="pct"/>
            <w:gridSpan w:val="2"/>
            <w:shd w:val="clear" w:color="auto" w:fill="auto"/>
            <w:noWrap/>
            <w:vAlign w:val="center"/>
          </w:tcPr>
          <w:p w14:paraId="60C6C4E8" w14:textId="77777777" w:rsidR="00D73008" w:rsidRPr="00EB0305" w:rsidRDefault="00D73008" w:rsidP="00387AE5">
            <w:pPr>
              <w:jc w:val="center"/>
              <w:rPr>
                <w:rFonts w:cs="Times New Roman"/>
                <w:color w:val="000000"/>
                <w:sz w:val="18"/>
                <w:szCs w:val="18"/>
              </w:rPr>
            </w:pPr>
            <w:r>
              <w:rPr>
                <w:rFonts w:cs="Times New Roman"/>
                <w:color w:val="000000"/>
                <w:sz w:val="18"/>
                <w:szCs w:val="18"/>
              </w:rPr>
              <w:t>1,3</w:t>
            </w:r>
          </w:p>
        </w:tc>
        <w:tc>
          <w:tcPr>
            <w:tcW w:w="1484" w:type="pct"/>
            <w:gridSpan w:val="2"/>
            <w:shd w:val="clear" w:color="auto" w:fill="auto"/>
            <w:noWrap/>
            <w:vAlign w:val="center"/>
          </w:tcPr>
          <w:p w14:paraId="447CE65A" w14:textId="77777777" w:rsidR="00D73008" w:rsidRPr="00EB0305" w:rsidRDefault="00D73008" w:rsidP="00387AE5">
            <w:pPr>
              <w:jc w:val="center"/>
              <w:rPr>
                <w:rFonts w:cs="Times New Roman"/>
                <w:color w:val="000000"/>
                <w:sz w:val="18"/>
                <w:szCs w:val="18"/>
              </w:rPr>
            </w:pPr>
            <w:r>
              <w:rPr>
                <w:rFonts w:cs="Times New Roman"/>
                <w:color w:val="000000"/>
                <w:sz w:val="18"/>
                <w:szCs w:val="18"/>
              </w:rPr>
              <w:t>1,2</w:t>
            </w:r>
          </w:p>
        </w:tc>
      </w:tr>
      <w:tr w:rsidR="00D73008" w:rsidRPr="00EB0305" w14:paraId="7B2B902E" w14:textId="77777777" w:rsidTr="00387AE5">
        <w:trPr>
          <w:trHeight w:val="231"/>
        </w:trPr>
        <w:tc>
          <w:tcPr>
            <w:tcW w:w="1954" w:type="pct"/>
            <w:tcBorders>
              <w:left w:val="nil"/>
            </w:tcBorders>
            <w:shd w:val="clear" w:color="auto" w:fill="auto"/>
            <w:noWrap/>
            <w:vAlign w:val="bottom"/>
            <w:hideMark/>
          </w:tcPr>
          <w:p w14:paraId="715B18B1" w14:textId="77777777" w:rsidR="00D73008" w:rsidRPr="00EB0305" w:rsidRDefault="00D73008" w:rsidP="00387AE5">
            <w:pPr>
              <w:rPr>
                <w:rFonts w:cs="Times New Roman"/>
                <w:color w:val="000000"/>
                <w:sz w:val="18"/>
                <w:szCs w:val="18"/>
              </w:rPr>
            </w:pPr>
            <w:r w:rsidRPr="00EB0305">
              <w:rPr>
                <w:rFonts w:cs="Times New Roman"/>
                <w:color w:val="000000"/>
                <w:sz w:val="18"/>
                <w:szCs w:val="18"/>
              </w:rPr>
              <w:t xml:space="preserve">  Výdavky na vzdelanie a dávky v nezamestnanosti</w:t>
            </w:r>
          </w:p>
        </w:tc>
        <w:tc>
          <w:tcPr>
            <w:tcW w:w="1562" w:type="pct"/>
            <w:gridSpan w:val="2"/>
            <w:shd w:val="clear" w:color="auto" w:fill="auto"/>
            <w:noWrap/>
            <w:vAlign w:val="center"/>
          </w:tcPr>
          <w:p w14:paraId="4ECF24F4" w14:textId="77777777" w:rsidR="00D73008" w:rsidRPr="00EB0305" w:rsidRDefault="00D73008" w:rsidP="00387AE5">
            <w:pPr>
              <w:jc w:val="center"/>
              <w:rPr>
                <w:rFonts w:cs="Times New Roman"/>
                <w:color w:val="000000"/>
                <w:sz w:val="18"/>
                <w:szCs w:val="18"/>
              </w:rPr>
            </w:pPr>
            <w:r w:rsidRPr="00EB0305">
              <w:rPr>
                <w:rFonts w:cs="Times New Roman"/>
                <w:color w:val="000000"/>
                <w:sz w:val="18"/>
                <w:szCs w:val="18"/>
              </w:rPr>
              <w:t>0,1</w:t>
            </w:r>
          </w:p>
        </w:tc>
        <w:tc>
          <w:tcPr>
            <w:tcW w:w="1484" w:type="pct"/>
            <w:gridSpan w:val="2"/>
            <w:shd w:val="clear" w:color="auto" w:fill="auto"/>
            <w:noWrap/>
            <w:vAlign w:val="center"/>
          </w:tcPr>
          <w:p w14:paraId="7BC978C8" w14:textId="77777777" w:rsidR="00D73008" w:rsidRPr="00EB0305" w:rsidRDefault="00D73008" w:rsidP="00387AE5">
            <w:pPr>
              <w:jc w:val="center"/>
              <w:rPr>
                <w:rFonts w:cs="Times New Roman"/>
                <w:color w:val="000000"/>
                <w:sz w:val="18"/>
                <w:szCs w:val="18"/>
              </w:rPr>
            </w:pPr>
            <w:r w:rsidRPr="00EB0305">
              <w:rPr>
                <w:rFonts w:cs="Times New Roman"/>
                <w:color w:val="000000"/>
                <w:sz w:val="18"/>
                <w:szCs w:val="18"/>
              </w:rPr>
              <w:t>0,1</w:t>
            </w:r>
          </w:p>
        </w:tc>
      </w:tr>
      <w:tr w:rsidR="00D73008" w:rsidRPr="00EB0305" w14:paraId="18E58E49" w14:textId="77777777" w:rsidTr="00387AE5">
        <w:trPr>
          <w:trHeight w:val="231"/>
        </w:trPr>
        <w:tc>
          <w:tcPr>
            <w:tcW w:w="1954" w:type="pct"/>
            <w:tcBorders>
              <w:left w:val="nil"/>
              <w:bottom w:val="single" w:sz="8" w:space="0" w:color="auto"/>
            </w:tcBorders>
            <w:shd w:val="clear" w:color="auto" w:fill="auto"/>
            <w:noWrap/>
            <w:vAlign w:val="center"/>
            <w:hideMark/>
          </w:tcPr>
          <w:p w14:paraId="51473AE8" w14:textId="77777777" w:rsidR="00D73008" w:rsidRPr="009C5BB2" w:rsidRDefault="00D73008" w:rsidP="00387AE5">
            <w:pPr>
              <w:rPr>
                <w:rFonts w:cs="Times New Roman"/>
                <w:color w:val="000000"/>
                <w:sz w:val="18"/>
                <w:szCs w:val="18"/>
              </w:rPr>
            </w:pPr>
            <w:r w:rsidRPr="009C5BB2">
              <w:rPr>
                <w:rFonts w:cs="Times New Roman"/>
                <w:color w:val="000000"/>
                <w:sz w:val="18"/>
                <w:szCs w:val="18"/>
              </w:rPr>
              <w:t xml:space="preserve">  Výpadok príjmov kvôli druhému pilieru</w:t>
            </w:r>
          </w:p>
        </w:tc>
        <w:tc>
          <w:tcPr>
            <w:tcW w:w="1562" w:type="pct"/>
            <w:gridSpan w:val="2"/>
            <w:tcBorders>
              <w:bottom w:val="single" w:sz="8" w:space="0" w:color="auto"/>
            </w:tcBorders>
            <w:shd w:val="clear" w:color="auto" w:fill="auto"/>
            <w:noWrap/>
            <w:vAlign w:val="center"/>
          </w:tcPr>
          <w:p w14:paraId="34ABBC69" w14:textId="77777777" w:rsidR="00D73008" w:rsidRPr="009C5BB2" w:rsidRDefault="00D73008" w:rsidP="00387AE5">
            <w:pPr>
              <w:jc w:val="center"/>
              <w:rPr>
                <w:rFonts w:cs="Times New Roman"/>
                <w:color w:val="000000"/>
                <w:sz w:val="18"/>
                <w:szCs w:val="18"/>
              </w:rPr>
            </w:pPr>
            <w:r w:rsidRPr="009C5BB2">
              <w:rPr>
                <w:rFonts w:cs="Times New Roman"/>
                <w:color w:val="000000"/>
                <w:sz w:val="18"/>
                <w:szCs w:val="18"/>
              </w:rPr>
              <w:t>0,0</w:t>
            </w:r>
          </w:p>
        </w:tc>
        <w:tc>
          <w:tcPr>
            <w:tcW w:w="1484" w:type="pct"/>
            <w:gridSpan w:val="2"/>
            <w:tcBorders>
              <w:bottom w:val="single" w:sz="8" w:space="0" w:color="auto"/>
            </w:tcBorders>
            <w:shd w:val="clear" w:color="auto" w:fill="auto"/>
            <w:noWrap/>
            <w:vAlign w:val="center"/>
          </w:tcPr>
          <w:p w14:paraId="3B67D1BA" w14:textId="77777777" w:rsidR="00D73008" w:rsidRPr="009C5BB2" w:rsidRDefault="00D73008" w:rsidP="00387AE5">
            <w:pPr>
              <w:jc w:val="center"/>
              <w:rPr>
                <w:rFonts w:cs="Times New Roman"/>
                <w:color w:val="000000"/>
                <w:sz w:val="18"/>
                <w:szCs w:val="18"/>
              </w:rPr>
            </w:pPr>
            <w:r w:rsidRPr="009C5BB2">
              <w:rPr>
                <w:rFonts w:cs="Times New Roman"/>
                <w:color w:val="000000"/>
                <w:sz w:val="18"/>
                <w:szCs w:val="18"/>
              </w:rPr>
              <w:t>-0,1</w:t>
            </w:r>
          </w:p>
        </w:tc>
      </w:tr>
    </w:tbl>
    <w:p w14:paraId="39904576" w14:textId="77777777" w:rsidR="00D73008" w:rsidRPr="00B84441" w:rsidRDefault="00D73008" w:rsidP="00D73008"/>
    <w:p w14:paraId="6EC58985" w14:textId="77777777" w:rsidR="00D73008" w:rsidRDefault="00D73008" w:rsidP="00D73008">
      <w:pPr>
        <w:rPr>
          <w:b/>
          <w:color w:val="2C9ADC"/>
          <w:sz w:val="24"/>
          <w:szCs w:val="28"/>
          <w:highlight w:val="yellow"/>
        </w:rPr>
      </w:pPr>
    </w:p>
    <w:p w14:paraId="2B39A25D" w14:textId="77777777" w:rsidR="00D73008" w:rsidRPr="00684201" w:rsidRDefault="00D73008" w:rsidP="00684201">
      <w:pPr>
        <w:pStyle w:val="Nadpis3"/>
        <w:spacing w:after="120"/>
        <w:rPr>
          <w:color w:val="2C9ADC" w:themeColor="accent1"/>
          <w:sz w:val="24"/>
          <w:szCs w:val="24"/>
        </w:rPr>
      </w:pPr>
      <w:r w:rsidRPr="00684201">
        <w:rPr>
          <w:color w:val="2C9ADC" w:themeColor="accent1"/>
          <w:sz w:val="24"/>
          <w:szCs w:val="24"/>
        </w:rPr>
        <w:lastRenderedPageBreak/>
        <w:t>Príloha 6 - Výbory pre makroekonomické a daňové prognózy</w:t>
      </w:r>
      <w:bookmarkEnd w:id="280"/>
    </w:p>
    <w:p w14:paraId="5D1684C1" w14:textId="77777777" w:rsidR="00D73008" w:rsidRPr="00881A37" w:rsidRDefault="00D73008" w:rsidP="00D73008">
      <w:pPr>
        <w:spacing w:after="240"/>
        <w:jc w:val="both"/>
        <w:rPr>
          <w:rFonts w:cs="Arial Narrow"/>
        </w:rPr>
      </w:pPr>
      <w:r w:rsidRPr="00881A37">
        <w:rPr>
          <w:rFonts w:cs="Arial Narrow"/>
        </w:rPr>
        <w:t xml:space="preserve">Program stability je založený na makroekonomických a daňových prognózach do roku 2022 zverejnených vo februári 2019. Makroekonomický scenár ako aj prognózované daňové príjmy podliehajú predbežnej diskusii, schváleniu a kontrole zo strany odbornej verejnosti prostredníctvom výborov, ktorých členmi sú národní experti z verejného a súkromného sektora. Termíny na zverejňovanie prognóz aj princípy činnosti výborov sú zakotvené v zákone o rozpočtovej zodpovednosti. </w:t>
      </w:r>
    </w:p>
    <w:p w14:paraId="43EFB814" w14:textId="77777777" w:rsidR="00D73008" w:rsidRPr="00881A37" w:rsidRDefault="00D73008" w:rsidP="00D73008">
      <w:pPr>
        <w:spacing w:after="240"/>
        <w:jc w:val="both"/>
        <w:rPr>
          <w:rFonts w:cs="Arial Narrow"/>
        </w:rPr>
      </w:pPr>
      <w:r w:rsidRPr="00881A37">
        <w:rPr>
          <w:rFonts w:cs="Arial Narrow"/>
        </w:rPr>
        <w:t>Po zasadnutí Výboru pre makroekonomické prognózy v januári 2019</w:t>
      </w:r>
      <w:r w:rsidRPr="00881A37">
        <w:rPr>
          <w:rStyle w:val="Odkaznapoznmkupodiarou"/>
        </w:rPr>
        <w:footnoteReference w:id="88"/>
      </w:r>
      <w:r w:rsidRPr="00881A37">
        <w:rPr>
          <w:rFonts w:cs="Arial Narrow"/>
        </w:rPr>
        <w:t xml:space="preserve"> hodnotili väčšina členov strednodobú makroekonomickú prognózu MF SR ako </w:t>
      </w:r>
      <w:r w:rsidRPr="00881A37">
        <w:rPr>
          <w:rFonts w:cs="Arial Narrow"/>
          <w:b/>
        </w:rPr>
        <w:t xml:space="preserve">realistickú, </w:t>
      </w:r>
      <w:r w:rsidRPr="00881A37">
        <w:rPr>
          <w:rFonts w:cs="Arial Narrow"/>
        </w:rPr>
        <w:t xml:space="preserve">dvaja členovia ju označili za </w:t>
      </w:r>
      <w:r w:rsidRPr="00881A37">
        <w:rPr>
          <w:rFonts w:cs="Arial Narrow"/>
          <w:b/>
        </w:rPr>
        <w:t>optimistickú.</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025"/>
        <w:gridCol w:w="553"/>
        <w:gridCol w:w="559"/>
        <w:gridCol w:w="559"/>
        <w:gridCol w:w="559"/>
        <w:gridCol w:w="179"/>
        <w:gridCol w:w="436"/>
        <w:gridCol w:w="615"/>
        <w:gridCol w:w="605"/>
        <w:gridCol w:w="593"/>
        <w:gridCol w:w="585"/>
        <w:gridCol w:w="175"/>
      </w:tblGrid>
      <w:tr w:rsidR="00D73008" w:rsidRPr="00392121" w14:paraId="65825A2F" w14:textId="77777777" w:rsidTr="00387AE5">
        <w:trPr>
          <w:trHeight w:val="288"/>
          <w:jc w:val="center"/>
        </w:trPr>
        <w:tc>
          <w:tcPr>
            <w:tcW w:w="9245" w:type="dxa"/>
            <w:gridSpan w:val="13"/>
            <w:tcBorders>
              <w:top w:val="nil"/>
              <w:left w:val="nil"/>
              <w:bottom w:val="single" w:sz="8" w:space="0" w:color="auto"/>
              <w:right w:val="nil"/>
            </w:tcBorders>
            <w:shd w:val="clear" w:color="auto" w:fill="auto"/>
          </w:tcPr>
          <w:p w14:paraId="5E75BA8B" w14:textId="62DB718D" w:rsidR="00D73008" w:rsidRPr="00392121" w:rsidRDefault="00D73008" w:rsidP="00387AE5">
            <w:pPr>
              <w:rPr>
                <w:rFonts w:cs="Arial Narrow"/>
                <w:b/>
                <w:bCs/>
                <w:sz w:val="20"/>
                <w:szCs w:val="20"/>
              </w:rPr>
            </w:pPr>
            <w:bookmarkStart w:id="289" w:name="_Toc6314238"/>
            <w:r w:rsidRPr="00392121">
              <w:rPr>
                <w:rFonts w:eastAsiaTheme="minorHAnsi"/>
                <w:b/>
                <w:color w:val="2C9ADC"/>
                <w:sz w:val="20"/>
                <w:szCs w:val="20"/>
                <w:lang w:eastAsia="en-US"/>
              </w:rPr>
              <w:t xml:space="preserve">TABUĽKA </w:t>
            </w:r>
            <w:r w:rsidRPr="00392121">
              <w:rPr>
                <w:rFonts w:eastAsiaTheme="minorHAnsi"/>
                <w:b/>
                <w:color w:val="2C9ADC"/>
                <w:sz w:val="20"/>
                <w:szCs w:val="20"/>
                <w:lang w:eastAsia="en-US"/>
              </w:rPr>
              <w:fldChar w:fldCharType="begin"/>
            </w:r>
            <w:r w:rsidRPr="00392121">
              <w:rPr>
                <w:rFonts w:eastAsiaTheme="minorHAnsi"/>
                <w:b/>
                <w:color w:val="2C9ADC"/>
                <w:sz w:val="20"/>
                <w:szCs w:val="20"/>
                <w:lang w:eastAsia="en-US"/>
              </w:rPr>
              <w:instrText xml:space="preserve"> SEQ TABUĽKA \* ARABIC </w:instrText>
            </w:r>
            <w:r w:rsidRPr="00392121">
              <w:rPr>
                <w:rFonts w:eastAsiaTheme="minorHAnsi"/>
                <w:b/>
                <w:color w:val="2C9ADC"/>
                <w:sz w:val="20"/>
                <w:szCs w:val="20"/>
                <w:lang w:eastAsia="en-US"/>
              </w:rPr>
              <w:fldChar w:fldCharType="separate"/>
            </w:r>
            <w:r w:rsidR="00D5739E">
              <w:rPr>
                <w:rFonts w:eastAsiaTheme="minorHAnsi"/>
                <w:b/>
                <w:noProof/>
                <w:color w:val="2C9ADC"/>
                <w:sz w:val="20"/>
                <w:szCs w:val="20"/>
                <w:lang w:eastAsia="en-US"/>
              </w:rPr>
              <w:t>39</w:t>
            </w:r>
            <w:r w:rsidRPr="00392121">
              <w:rPr>
                <w:rFonts w:eastAsiaTheme="minorHAnsi"/>
                <w:b/>
                <w:color w:val="2C9ADC"/>
                <w:sz w:val="20"/>
                <w:szCs w:val="20"/>
                <w:lang w:eastAsia="en-US"/>
              </w:rPr>
              <w:fldChar w:fldCharType="end"/>
            </w:r>
            <w:r w:rsidRPr="00392121">
              <w:rPr>
                <w:rFonts w:cs="Arial"/>
                <w:b/>
                <w:color w:val="2C9ADC"/>
                <w:sz w:val="20"/>
                <w:szCs w:val="20"/>
              </w:rPr>
              <w:t xml:space="preserve"> - </w:t>
            </w:r>
            <w:r w:rsidRPr="00392121">
              <w:rPr>
                <w:rFonts w:cs="Times New Roman"/>
                <w:b/>
                <w:bCs/>
                <w:color w:val="2C9ADC"/>
                <w:sz w:val="20"/>
                <w:szCs w:val="20"/>
              </w:rPr>
              <w:t>Hodnotenie februárovej prognózy MF SR vo Výbore pre makroekonomické prognózy</w:t>
            </w:r>
            <w:bookmarkEnd w:id="289"/>
          </w:p>
        </w:tc>
      </w:tr>
      <w:tr w:rsidR="00D73008" w:rsidRPr="00B21C97" w14:paraId="14B5C33D" w14:textId="77777777" w:rsidTr="00387AE5">
        <w:trPr>
          <w:trHeight w:val="109"/>
          <w:jc w:val="center"/>
        </w:trPr>
        <w:tc>
          <w:tcPr>
            <w:tcW w:w="6236" w:type="dxa"/>
            <w:gridSpan w:val="7"/>
            <w:tcBorders>
              <w:top w:val="single" w:sz="8" w:space="0" w:color="auto"/>
              <w:left w:val="nil"/>
              <w:bottom w:val="single" w:sz="8" w:space="0" w:color="auto"/>
              <w:right w:val="nil"/>
            </w:tcBorders>
            <w:shd w:val="clear" w:color="auto" w:fill="auto"/>
          </w:tcPr>
          <w:p w14:paraId="54CAA84C" w14:textId="77777777" w:rsidR="00D73008" w:rsidRPr="00881A37" w:rsidRDefault="00D73008" w:rsidP="00387AE5">
            <w:pPr>
              <w:spacing w:before="40" w:after="40"/>
              <w:jc w:val="both"/>
              <w:rPr>
                <w:rFonts w:cs="Arial Narrow"/>
                <w:b/>
                <w:bCs/>
                <w:sz w:val="20"/>
                <w:szCs w:val="20"/>
              </w:rPr>
            </w:pPr>
            <w:r w:rsidRPr="00881A37">
              <w:rPr>
                <w:rFonts w:cs="Arial Narrow"/>
                <w:b/>
                <w:bCs/>
                <w:sz w:val="20"/>
                <w:szCs w:val="20"/>
              </w:rPr>
              <w:t>Člen výboru</w:t>
            </w:r>
          </w:p>
        </w:tc>
        <w:tc>
          <w:tcPr>
            <w:tcW w:w="3009" w:type="dxa"/>
            <w:gridSpan w:val="6"/>
            <w:tcBorders>
              <w:top w:val="single" w:sz="8" w:space="0" w:color="auto"/>
              <w:left w:val="nil"/>
              <w:bottom w:val="single" w:sz="8" w:space="0" w:color="auto"/>
              <w:right w:val="nil"/>
            </w:tcBorders>
            <w:shd w:val="clear" w:color="auto" w:fill="auto"/>
          </w:tcPr>
          <w:p w14:paraId="7DA742AC" w14:textId="77777777" w:rsidR="00D73008" w:rsidRPr="00881A37" w:rsidRDefault="00D73008" w:rsidP="00387AE5">
            <w:pPr>
              <w:spacing w:before="40" w:after="40"/>
              <w:jc w:val="center"/>
              <w:rPr>
                <w:rFonts w:cs="Arial Narrow"/>
                <w:b/>
                <w:bCs/>
                <w:sz w:val="20"/>
                <w:szCs w:val="20"/>
              </w:rPr>
            </w:pPr>
            <w:r w:rsidRPr="00881A37">
              <w:rPr>
                <w:rFonts w:cs="Arial Narrow"/>
                <w:b/>
                <w:bCs/>
                <w:sz w:val="20"/>
                <w:szCs w:val="20"/>
              </w:rPr>
              <w:t xml:space="preserve">Charakteristika prognózy </w:t>
            </w:r>
          </w:p>
        </w:tc>
      </w:tr>
      <w:tr w:rsidR="00D73008" w:rsidRPr="00B21C97" w14:paraId="2BBC8FD3" w14:textId="77777777" w:rsidTr="00387AE5">
        <w:trPr>
          <w:trHeight w:val="109"/>
          <w:jc w:val="center"/>
        </w:trPr>
        <w:tc>
          <w:tcPr>
            <w:tcW w:w="6236" w:type="dxa"/>
            <w:gridSpan w:val="7"/>
            <w:tcBorders>
              <w:top w:val="single" w:sz="8" w:space="0" w:color="auto"/>
              <w:left w:val="nil"/>
              <w:bottom w:val="nil"/>
              <w:right w:val="nil"/>
            </w:tcBorders>
          </w:tcPr>
          <w:p w14:paraId="1C0FAD4A" w14:textId="77777777" w:rsidR="00D73008" w:rsidRPr="00881A37" w:rsidRDefault="00D73008" w:rsidP="00387AE5">
            <w:pPr>
              <w:spacing w:before="20" w:after="20"/>
              <w:jc w:val="both"/>
              <w:rPr>
                <w:rFonts w:cs="Arial Narrow"/>
                <w:sz w:val="20"/>
                <w:szCs w:val="20"/>
              </w:rPr>
            </w:pPr>
            <w:r w:rsidRPr="00881A37">
              <w:rPr>
                <w:rFonts w:cs="Arial Narrow"/>
                <w:sz w:val="20"/>
                <w:szCs w:val="20"/>
              </w:rPr>
              <w:t>NBS, ČSOB, Infostat, SAV, SLSP, VÚB</w:t>
            </w:r>
          </w:p>
        </w:tc>
        <w:tc>
          <w:tcPr>
            <w:tcW w:w="3009" w:type="dxa"/>
            <w:gridSpan w:val="6"/>
            <w:tcBorders>
              <w:top w:val="single" w:sz="8" w:space="0" w:color="auto"/>
              <w:left w:val="nil"/>
              <w:bottom w:val="nil"/>
              <w:right w:val="nil"/>
            </w:tcBorders>
          </w:tcPr>
          <w:p w14:paraId="2077B738" w14:textId="77777777" w:rsidR="00D73008" w:rsidRPr="00881A37" w:rsidRDefault="00D73008" w:rsidP="00387AE5">
            <w:pPr>
              <w:spacing w:before="20" w:after="20"/>
              <w:jc w:val="center"/>
              <w:rPr>
                <w:rFonts w:cs="Arial Narrow"/>
                <w:sz w:val="20"/>
                <w:szCs w:val="20"/>
              </w:rPr>
            </w:pPr>
            <w:r w:rsidRPr="00881A37">
              <w:rPr>
                <w:rFonts w:cs="Arial Narrow"/>
                <w:sz w:val="20"/>
                <w:szCs w:val="20"/>
              </w:rPr>
              <w:t>realistická</w:t>
            </w:r>
          </w:p>
        </w:tc>
      </w:tr>
      <w:tr w:rsidR="00D73008" w:rsidRPr="00B21C97" w14:paraId="5AB9A1AA" w14:textId="77777777" w:rsidTr="00387AE5">
        <w:trPr>
          <w:trHeight w:val="109"/>
          <w:jc w:val="center"/>
        </w:trPr>
        <w:tc>
          <w:tcPr>
            <w:tcW w:w="6236" w:type="dxa"/>
            <w:gridSpan w:val="7"/>
            <w:tcBorders>
              <w:top w:val="nil"/>
              <w:left w:val="nil"/>
              <w:bottom w:val="nil"/>
              <w:right w:val="nil"/>
            </w:tcBorders>
          </w:tcPr>
          <w:p w14:paraId="7BE65921" w14:textId="77777777" w:rsidR="00D73008" w:rsidRPr="00881A37" w:rsidRDefault="00D73008" w:rsidP="00387AE5">
            <w:pPr>
              <w:spacing w:before="20" w:after="20"/>
              <w:jc w:val="both"/>
              <w:rPr>
                <w:rFonts w:cs="Arial Narrow"/>
                <w:sz w:val="20"/>
                <w:szCs w:val="20"/>
              </w:rPr>
            </w:pPr>
            <w:r w:rsidRPr="00881A37">
              <w:rPr>
                <w:rFonts w:cs="Arial Narrow"/>
                <w:sz w:val="20"/>
                <w:szCs w:val="20"/>
              </w:rPr>
              <w:t>Tatrabanka, UNICREDIT Bank</w:t>
            </w:r>
          </w:p>
        </w:tc>
        <w:tc>
          <w:tcPr>
            <w:tcW w:w="3009" w:type="dxa"/>
            <w:gridSpan w:val="6"/>
            <w:tcBorders>
              <w:top w:val="nil"/>
              <w:left w:val="nil"/>
              <w:bottom w:val="nil"/>
              <w:right w:val="nil"/>
            </w:tcBorders>
          </w:tcPr>
          <w:p w14:paraId="4EF65221" w14:textId="77777777" w:rsidR="00D73008" w:rsidRPr="00881A37" w:rsidRDefault="00D73008" w:rsidP="00387AE5">
            <w:pPr>
              <w:spacing w:before="20" w:after="20"/>
              <w:jc w:val="center"/>
              <w:rPr>
                <w:rFonts w:cs="Arial Narrow"/>
                <w:sz w:val="20"/>
                <w:szCs w:val="20"/>
              </w:rPr>
            </w:pPr>
            <w:r w:rsidRPr="00881A37">
              <w:rPr>
                <w:rFonts w:cs="Arial Narrow"/>
                <w:sz w:val="20"/>
                <w:szCs w:val="20"/>
              </w:rPr>
              <w:t>optimistická</w:t>
            </w:r>
          </w:p>
        </w:tc>
      </w:tr>
      <w:tr w:rsidR="00D73008" w:rsidRPr="00B21C97" w14:paraId="0FB048C8" w14:textId="77777777" w:rsidTr="00387AE5">
        <w:trPr>
          <w:trHeight w:val="109"/>
          <w:jc w:val="center"/>
        </w:trPr>
        <w:tc>
          <w:tcPr>
            <w:tcW w:w="2802" w:type="dxa"/>
            <w:tcBorders>
              <w:left w:val="nil"/>
              <w:bottom w:val="nil"/>
              <w:right w:val="nil"/>
            </w:tcBorders>
          </w:tcPr>
          <w:p w14:paraId="1E7BE342" w14:textId="77777777" w:rsidR="00D73008" w:rsidRPr="00881A37" w:rsidRDefault="00D73008" w:rsidP="00387AE5">
            <w:pPr>
              <w:jc w:val="both"/>
              <w:rPr>
                <w:rFonts w:cs="Arial Narrow"/>
              </w:rPr>
            </w:pPr>
          </w:p>
        </w:tc>
        <w:tc>
          <w:tcPr>
            <w:tcW w:w="6443" w:type="dxa"/>
            <w:gridSpan w:val="12"/>
            <w:tcBorders>
              <w:left w:val="nil"/>
              <w:bottom w:val="nil"/>
              <w:right w:val="nil"/>
            </w:tcBorders>
          </w:tcPr>
          <w:p w14:paraId="11CA0F0E" w14:textId="77777777" w:rsidR="00D73008" w:rsidRPr="00881A37" w:rsidRDefault="00D73008" w:rsidP="00387AE5">
            <w:pPr>
              <w:spacing w:before="40" w:after="240"/>
              <w:jc w:val="right"/>
              <w:rPr>
                <w:rFonts w:cs="Arial Narrow"/>
                <w:i/>
                <w:iCs/>
                <w:sz w:val="16"/>
                <w:szCs w:val="16"/>
              </w:rPr>
            </w:pPr>
            <w:r w:rsidRPr="00881A37">
              <w:rPr>
                <w:rFonts w:cs="Arial Narrow"/>
                <w:i/>
                <w:iCs/>
                <w:sz w:val="16"/>
                <w:szCs w:val="16"/>
              </w:rPr>
              <w:t xml:space="preserve">Zdroj: Výbor pre makroekonomické prognózy </w:t>
            </w:r>
          </w:p>
        </w:tc>
      </w:tr>
      <w:tr w:rsidR="00D73008" w:rsidRPr="00392121" w14:paraId="7E68A57C"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300"/>
          <w:jc w:val="center"/>
        </w:trPr>
        <w:tc>
          <w:tcPr>
            <w:tcW w:w="9070" w:type="dxa"/>
            <w:gridSpan w:val="12"/>
            <w:shd w:val="clear" w:color="auto" w:fill="auto"/>
            <w:vAlign w:val="center"/>
            <w:hideMark/>
          </w:tcPr>
          <w:p w14:paraId="78E4D913" w14:textId="6E0B4E32" w:rsidR="00D73008" w:rsidRPr="00392121" w:rsidRDefault="00D73008" w:rsidP="00387AE5">
            <w:pPr>
              <w:rPr>
                <w:rFonts w:cs="Times New Roman"/>
                <w:b/>
                <w:bCs/>
                <w:color w:val="2C9ADC"/>
                <w:sz w:val="20"/>
                <w:szCs w:val="20"/>
              </w:rPr>
            </w:pPr>
            <w:bookmarkStart w:id="290" w:name="_Toc6314239"/>
            <w:r w:rsidRPr="00392121">
              <w:rPr>
                <w:rFonts w:eastAsiaTheme="minorHAnsi"/>
                <w:b/>
                <w:color w:val="2C9ADC"/>
                <w:sz w:val="20"/>
                <w:szCs w:val="20"/>
                <w:lang w:eastAsia="en-US"/>
              </w:rPr>
              <w:t xml:space="preserve">TABUĽKA </w:t>
            </w:r>
            <w:r w:rsidRPr="00392121">
              <w:rPr>
                <w:rFonts w:eastAsiaTheme="minorHAnsi"/>
                <w:b/>
                <w:color w:val="2C9ADC"/>
                <w:sz w:val="20"/>
                <w:szCs w:val="20"/>
                <w:lang w:eastAsia="en-US"/>
              </w:rPr>
              <w:fldChar w:fldCharType="begin"/>
            </w:r>
            <w:r w:rsidRPr="00392121">
              <w:rPr>
                <w:rFonts w:eastAsiaTheme="minorHAnsi"/>
                <w:b/>
                <w:color w:val="2C9ADC"/>
                <w:sz w:val="20"/>
                <w:szCs w:val="20"/>
                <w:lang w:eastAsia="en-US"/>
              </w:rPr>
              <w:instrText xml:space="preserve"> SEQ TABUĽKA \* ARABIC </w:instrText>
            </w:r>
            <w:r w:rsidRPr="00392121">
              <w:rPr>
                <w:rFonts w:eastAsiaTheme="minorHAnsi"/>
                <w:b/>
                <w:color w:val="2C9ADC"/>
                <w:sz w:val="20"/>
                <w:szCs w:val="20"/>
                <w:lang w:eastAsia="en-US"/>
              </w:rPr>
              <w:fldChar w:fldCharType="separate"/>
            </w:r>
            <w:r w:rsidR="00D5739E">
              <w:rPr>
                <w:rFonts w:eastAsiaTheme="minorHAnsi"/>
                <w:b/>
                <w:noProof/>
                <w:color w:val="2C9ADC"/>
                <w:sz w:val="20"/>
                <w:szCs w:val="20"/>
                <w:lang w:eastAsia="en-US"/>
              </w:rPr>
              <w:t>40</w:t>
            </w:r>
            <w:r w:rsidRPr="00392121">
              <w:rPr>
                <w:rFonts w:eastAsiaTheme="minorHAnsi"/>
                <w:b/>
                <w:color w:val="2C9ADC"/>
                <w:sz w:val="20"/>
                <w:szCs w:val="20"/>
                <w:lang w:eastAsia="en-US"/>
              </w:rPr>
              <w:fldChar w:fldCharType="end"/>
            </w:r>
            <w:r w:rsidRPr="00392121">
              <w:rPr>
                <w:rFonts w:cs="Arial"/>
                <w:b/>
                <w:color w:val="2C9ADC"/>
                <w:sz w:val="20"/>
                <w:szCs w:val="20"/>
              </w:rPr>
              <w:t xml:space="preserve"> - </w:t>
            </w:r>
            <w:r w:rsidRPr="00392121">
              <w:rPr>
                <w:rFonts w:cs="Times New Roman"/>
                <w:b/>
                <w:bCs/>
                <w:color w:val="2C9ADC"/>
                <w:sz w:val="20"/>
                <w:szCs w:val="20"/>
              </w:rPr>
              <w:t>Priemerná prognóza vybraných indikátorov vývoja ekonomiky SR členov Výboru pre makroekonomické prognózovanie (okrem MF SR) a prognóza MF SR</w:t>
            </w:r>
            <w:bookmarkEnd w:id="290"/>
          </w:p>
        </w:tc>
      </w:tr>
      <w:tr w:rsidR="00D73008" w:rsidRPr="00881A37" w14:paraId="771C5F71"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300"/>
          <w:jc w:val="center"/>
        </w:trPr>
        <w:tc>
          <w:tcPr>
            <w:tcW w:w="3827" w:type="dxa"/>
            <w:gridSpan w:val="2"/>
            <w:tcBorders>
              <w:top w:val="single" w:sz="8" w:space="0" w:color="auto"/>
              <w:left w:val="nil"/>
              <w:bottom w:val="single" w:sz="4" w:space="0" w:color="auto"/>
              <w:right w:val="single" w:sz="8" w:space="0" w:color="auto"/>
            </w:tcBorders>
            <w:shd w:val="clear" w:color="auto" w:fill="auto"/>
            <w:noWrap/>
            <w:vAlign w:val="center"/>
            <w:hideMark/>
          </w:tcPr>
          <w:p w14:paraId="0FA1825B" w14:textId="77777777" w:rsidR="00D73008" w:rsidRPr="00881A37" w:rsidRDefault="00D73008" w:rsidP="00387AE5">
            <w:pPr>
              <w:rPr>
                <w:rFonts w:cs="Times New Roman"/>
                <w:b/>
                <w:bCs/>
                <w:color w:val="000000"/>
                <w:sz w:val="18"/>
                <w:szCs w:val="18"/>
              </w:rPr>
            </w:pPr>
            <w:r w:rsidRPr="00881A37">
              <w:rPr>
                <w:rFonts w:cs="Times New Roman"/>
                <w:b/>
                <w:bCs/>
                <w:color w:val="000000"/>
                <w:sz w:val="18"/>
                <w:szCs w:val="18"/>
              </w:rPr>
              <w:t> </w:t>
            </w:r>
          </w:p>
        </w:tc>
        <w:tc>
          <w:tcPr>
            <w:tcW w:w="553" w:type="dxa"/>
            <w:tcBorders>
              <w:top w:val="single" w:sz="8" w:space="0" w:color="auto"/>
              <w:left w:val="nil"/>
              <w:bottom w:val="single" w:sz="4" w:space="0" w:color="auto"/>
              <w:right w:val="single" w:sz="8" w:space="0" w:color="auto"/>
            </w:tcBorders>
            <w:shd w:val="clear" w:color="auto" w:fill="auto"/>
            <w:noWrap/>
            <w:vAlign w:val="center"/>
            <w:hideMark/>
          </w:tcPr>
          <w:p w14:paraId="42129DB9" w14:textId="77777777" w:rsidR="00D73008" w:rsidRPr="00881A37" w:rsidRDefault="00D73008" w:rsidP="00387AE5">
            <w:pPr>
              <w:rPr>
                <w:rFonts w:cs="Times New Roman"/>
                <w:b/>
                <w:bCs/>
                <w:color w:val="000000"/>
                <w:sz w:val="18"/>
                <w:szCs w:val="18"/>
              </w:rPr>
            </w:pPr>
            <w:r w:rsidRPr="00881A37">
              <w:rPr>
                <w:rFonts w:cs="Times New Roman"/>
                <w:b/>
                <w:bCs/>
                <w:color w:val="000000"/>
                <w:sz w:val="18"/>
                <w:szCs w:val="18"/>
              </w:rPr>
              <w:t>2018</w:t>
            </w:r>
            <w:r>
              <w:rPr>
                <w:rFonts w:cs="Times New Roman"/>
                <w:b/>
                <w:bCs/>
                <w:color w:val="000000"/>
                <w:sz w:val="18"/>
                <w:szCs w:val="18"/>
              </w:rPr>
              <w:t>*</w:t>
            </w:r>
          </w:p>
        </w:tc>
        <w:tc>
          <w:tcPr>
            <w:tcW w:w="1118" w:type="dxa"/>
            <w:gridSpan w:val="2"/>
            <w:tcBorders>
              <w:top w:val="single" w:sz="8" w:space="0" w:color="auto"/>
              <w:left w:val="nil"/>
              <w:bottom w:val="single" w:sz="4" w:space="0" w:color="auto"/>
              <w:right w:val="nil"/>
            </w:tcBorders>
            <w:shd w:val="clear" w:color="auto" w:fill="auto"/>
            <w:noWrap/>
            <w:vAlign w:val="center"/>
            <w:hideMark/>
          </w:tcPr>
          <w:p w14:paraId="5F3992AE"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2019</w:t>
            </w:r>
          </w:p>
        </w:tc>
        <w:tc>
          <w:tcPr>
            <w:tcW w:w="1174" w:type="dxa"/>
            <w:gridSpan w:val="3"/>
            <w:tcBorders>
              <w:top w:val="single" w:sz="8" w:space="0" w:color="auto"/>
              <w:left w:val="nil"/>
              <w:bottom w:val="single" w:sz="4" w:space="0" w:color="auto"/>
              <w:right w:val="nil"/>
            </w:tcBorders>
            <w:shd w:val="clear" w:color="auto" w:fill="auto"/>
            <w:noWrap/>
            <w:vAlign w:val="center"/>
            <w:hideMark/>
          </w:tcPr>
          <w:p w14:paraId="3EBCFA33"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2020</w:t>
            </w:r>
          </w:p>
        </w:tc>
        <w:tc>
          <w:tcPr>
            <w:tcW w:w="1220" w:type="dxa"/>
            <w:gridSpan w:val="2"/>
            <w:tcBorders>
              <w:top w:val="single" w:sz="8" w:space="0" w:color="auto"/>
              <w:left w:val="nil"/>
              <w:bottom w:val="single" w:sz="4" w:space="0" w:color="auto"/>
              <w:right w:val="nil"/>
            </w:tcBorders>
            <w:shd w:val="clear" w:color="auto" w:fill="auto"/>
            <w:vAlign w:val="center"/>
            <w:hideMark/>
          </w:tcPr>
          <w:p w14:paraId="72D739F6"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2021</w:t>
            </w:r>
          </w:p>
        </w:tc>
        <w:tc>
          <w:tcPr>
            <w:tcW w:w="1178" w:type="dxa"/>
            <w:gridSpan w:val="2"/>
            <w:tcBorders>
              <w:top w:val="single" w:sz="8" w:space="0" w:color="auto"/>
              <w:left w:val="nil"/>
              <w:bottom w:val="single" w:sz="4" w:space="0" w:color="auto"/>
              <w:right w:val="nil"/>
            </w:tcBorders>
            <w:shd w:val="clear" w:color="auto" w:fill="auto"/>
            <w:vAlign w:val="center"/>
            <w:hideMark/>
          </w:tcPr>
          <w:p w14:paraId="45D77E7D"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2022</w:t>
            </w:r>
          </w:p>
        </w:tc>
      </w:tr>
      <w:tr w:rsidR="00D73008" w:rsidRPr="00881A37" w14:paraId="16552652"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300"/>
          <w:jc w:val="center"/>
        </w:trPr>
        <w:tc>
          <w:tcPr>
            <w:tcW w:w="3827" w:type="dxa"/>
            <w:gridSpan w:val="2"/>
            <w:tcBorders>
              <w:top w:val="single" w:sz="4" w:space="0" w:color="auto"/>
              <w:left w:val="nil"/>
              <w:bottom w:val="nil"/>
              <w:right w:val="single" w:sz="8" w:space="0" w:color="auto"/>
            </w:tcBorders>
            <w:shd w:val="clear" w:color="auto" w:fill="auto"/>
            <w:noWrap/>
            <w:vAlign w:val="center"/>
            <w:hideMark/>
          </w:tcPr>
          <w:p w14:paraId="168670AF" w14:textId="77777777" w:rsidR="00D73008" w:rsidRPr="00881A37" w:rsidRDefault="00D73008" w:rsidP="00387AE5">
            <w:pPr>
              <w:rPr>
                <w:rFonts w:cs="Times New Roman"/>
                <w:b/>
                <w:bCs/>
                <w:color w:val="000000"/>
                <w:sz w:val="18"/>
                <w:szCs w:val="18"/>
              </w:rPr>
            </w:pPr>
            <w:r w:rsidRPr="00881A37">
              <w:rPr>
                <w:rFonts w:cs="Times New Roman"/>
                <w:b/>
                <w:bCs/>
                <w:color w:val="000000"/>
                <w:sz w:val="18"/>
                <w:szCs w:val="18"/>
              </w:rPr>
              <w:t> v %, ak nie je uvedené inak</w:t>
            </w:r>
          </w:p>
        </w:tc>
        <w:tc>
          <w:tcPr>
            <w:tcW w:w="553" w:type="dxa"/>
            <w:tcBorders>
              <w:top w:val="single" w:sz="4" w:space="0" w:color="auto"/>
              <w:left w:val="nil"/>
              <w:bottom w:val="nil"/>
              <w:right w:val="single" w:sz="8" w:space="0" w:color="auto"/>
            </w:tcBorders>
            <w:shd w:val="clear" w:color="auto" w:fill="auto"/>
            <w:noWrap/>
            <w:vAlign w:val="center"/>
            <w:hideMark/>
          </w:tcPr>
          <w:p w14:paraId="3E9D9C27"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 </w:t>
            </w:r>
          </w:p>
        </w:tc>
        <w:tc>
          <w:tcPr>
            <w:tcW w:w="559" w:type="dxa"/>
            <w:tcBorders>
              <w:top w:val="single" w:sz="4" w:space="0" w:color="auto"/>
              <w:left w:val="nil"/>
              <w:bottom w:val="nil"/>
              <w:right w:val="nil"/>
            </w:tcBorders>
            <w:shd w:val="clear" w:color="auto" w:fill="auto"/>
            <w:noWrap/>
            <w:vAlign w:val="center"/>
            <w:hideMark/>
          </w:tcPr>
          <w:p w14:paraId="3F7C4EF2"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Výbor</w:t>
            </w:r>
          </w:p>
        </w:tc>
        <w:tc>
          <w:tcPr>
            <w:tcW w:w="559" w:type="dxa"/>
            <w:tcBorders>
              <w:top w:val="single" w:sz="4" w:space="0" w:color="auto"/>
              <w:left w:val="nil"/>
              <w:bottom w:val="nil"/>
              <w:right w:val="nil"/>
            </w:tcBorders>
            <w:shd w:val="clear" w:color="auto" w:fill="auto"/>
            <w:noWrap/>
            <w:vAlign w:val="center"/>
            <w:hideMark/>
          </w:tcPr>
          <w:p w14:paraId="1EED7E65"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MFSR</w:t>
            </w:r>
          </w:p>
        </w:tc>
        <w:tc>
          <w:tcPr>
            <w:tcW w:w="559" w:type="dxa"/>
            <w:tcBorders>
              <w:top w:val="single" w:sz="4" w:space="0" w:color="auto"/>
              <w:left w:val="nil"/>
              <w:bottom w:val="nil"/>
              <w:right w:val="nil"/>
            </w:tcBorders>
            <w:shd w:val="clear" w:color="auto" w:fill="auto"/>
            <w:noWrap/>
            <w:vAlign w:val="center"/>
            <w:hideMark/>
          </w:tcPr>
          <w:p w14:paraId="1816B26C"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Výbor</w:t>
            </w:r>
          </w:p>
        </w:tc>
        <w:tc>
          <w:tcPr>
            <w:tcW w:w="615" w:type="dxa"/>
            <w:gridSpan w:val="2"/>
            <w:tcBorders>
              <w:top w:val="single" w:sz="4" w:space="0" w:color="auto"/>
              <w:left w:val="nil"/>
              <w:bottom w:val="nil"/>
              <w:right w:val="nil"/>
            </w:tcBorders>
            <w:shd w:val="clear" w:color="auto" w:fill="auto"/>
            <w:noWrap/>
            <w:vAlign w:val="center"/>
            <w:hideMark/>
          </w:tcPr>
          <w:p w14:paraId="39C7A8E2"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MFSR</w:t>
            </w:r>
          </w:p>
        </w:tc>
        <w:tc>
          <w:tcPr>
            <w:tcW w:w="615" w:type="dxa"/>
            <w:tcBorders>
              <w:top w:val="single" w:sz="4" w:space="0" w:color="auto"/>
              <w:left w:val="nil"/>
              <w:bottom w:val="nil"/>
              <w:right w:val="nil"/>
            </w:tcBorders>
            <w:shd w:val="clear" w:color="auto" w:fill="auto"/>
            <w:vAlign w:val="center"/>
            <w:hideMark/>
          </w:tcPr>
          <w:p w14:paraId="3BA6C32A"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Výbor</w:t>
            </w:r>
          </w:p>
        </w:tc>
        <w:tc>
          <w:tcPr>
            <w:tcW w:w="605" w:type="dxa"/>
            <w:tcBorders>
              <w:top w:val="single" w:sz="4" w:space="0" w:color="auto"/>
              <w:left w:val="nil"/>
              <w:bottom w:val="nil"/>
              <w:right w:val="nil"/>
            </w:tcBorders>
            <w:shd w:val="clear" w:color="auto" w:fill="auto"/>
            <w:vAlign w:val="center"/>
            <w:hideMark/>
          </w:tcPr>
          <w:p w14:paraId="0799ECAA"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MFSR</w:t>
            </w:r>
          </w:p>
        </w:tc>
        <w:tc>
          <w:tcPr>
            <w:tcW w:w="593" w:type="dxa"/>
            <w:tcBorders>
              <w:top w:val="single" w:sz="4" w:space="0" w:color="auto"/>
              <w:left w:val="nil"/>
              <w:bottom w:val="nil"/>
              <w:right w:val="nil"/>
            </w:tcBorders>
            <w:shd w:val="clear" w:color="auto" w:fill="auto"/>
            <w:vAlign w:val="center"/>
            <w:hideMark/>
          </w:tcPr>
          <w:p w14:paraId="3718F765"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Výbor</w:t>
            </w:r>
          </w:p>
        </w:tc>
        <w:tc>
          <w:tcPr>
            <w:tcW w:w="585" w:type="dxa"/>
            <w:tcBorders>
              <w:top w:val="single" w:sz="4" w:space="0" w:color="auto"/>
              <w:left w:val="nil"/>
              <w:bottom w:val="nil"/>
              <w:right w:val="nil"/>
            </w:tcBorders>
            <w:shd w:val="clear" w:color="auto" w:fill="auto"/>
            <w:vAlign w:val="center"/>
            <w:hideMark/>
          </w:tcPr>
          <w:p w14:paraId="53D7BC06" w14:textId="77777777" w:rsidR="00D73008" w:rsidRPr="00881A37" w:rsidRDefault="00D73008" w:rsidP="00387AE5">
            <w:pPr>
              <w:jc w:val="center"/>
              <w:rPr>
                <w:rFonts w:cs="Times New Roman"/>
                <w:b/>
                <w:bCs/>
                <w:color w:val="000000"/>
                <w:sz w:val="18"/>
                <w:szCs w:val="18"/>
              </w:rPr>
            </w:pPr>
            <w:r w:rsidRPr="00881A37">
              <w:rPr>
                <w:rFonts w:cs="Times New Roman"/>
                <w:b/>
                <w:bCs/>
                <w:color w:val="000000"/>
                <w:sz w:val="18"/>
                <w:szCs w:val="18"/>
              </w:rPr>
              <w:t>MFSR</w:t>
            </w:r>
          </w:p>
        </w:tc>
      </w:tr>
      <w:tr w:rsidR="00D73008" w:rsidRPr="00881A37" w14:paraId="31434A1A"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noWrap/>
            <w:vAlign w:val="center"/>
            <w:hideMark/>
          </w:tcPr>
          <w:p w14:paraId="5BABE018" w14:textId="77777777" w:rsidR="00D73008" w:rsidRPr="00881A37" w:rsidRDefault="00D73008" w:rsidP="00387AE5">
            <w:pPr>
              <w:rPr>
                <w:rFonts w:cs="Times New Roman"/>
                <w:color w:val="000000"/>
                <w:sz w:val="18"/>
                <w:szCs w:val="18"/>
              </w:rPr>
            </w:pPr>
            <w:r w:rsidRPr="00881A37">
              <w:rPr>
                <w:rFonts w:cs="Times New Roman"/>
                <w:color w:val="000000"/>
                <w:sz w:val="18"/>
                <w:szCs w:val="18"/>
              </w:rPr>
              <w:t>Hrubý domáci produkt; reálny rast</w:t>
            </w:r>
          </w:p>
        </w:tc>
        <w:tc>
          <w:tcPr>
            <w:tcW w:w="553" w:type="dxa"/>
            <w:tcBorders>
              <w:top w:val="nil"/>
              <w:left w:val="nil"/>
              <w:bottom w:val="nil"/>
              <w:right w:val="single" w:sz="8" w:space="0" w:color="auto"/>
            </w:tcBorders>
            <w:shd w:val="clear" w:color="auto" w:fill="auto"/>
            <w:noWrap/>
            <w:hideMark/>
          </w:tcPr>
          <w:p w14:paraId="6BC0DD6C" w14:textId="77777777" w:rsidR="00D73008" w:rsidRPr="00881A37" w:rsidRDefault="00D73008" w:rsidP="00387AE5">
            <w:pPr>
              <w:jc w:val="center"/>
              <w:rPr>
                <w:rFonts w:cs="Times New Roman"/>
                <w:color w:val="000000"/>
                <w:sz w:val="18"/>
                <w:szCs w:val="18"/>
              </w:rPr>
            </w:pPr>
            <w:r w:rsidRPr="00881A37">
              <w:rPr>
                <w:sz w:val="18"/>
                <w:szCs w:val="18"/>
              </w:rPr>
              <w:t>4,1</w:t>
            </w:r>
          </w:p>
        </w:tc>
        <w:tc>
          <w:tcPr>
            <w:tcW w:w="559" w:type="dxa"/>
            <w:tcBorders>
              <w:top w:val="nil"/>
              <w:left w:val="nil"/>
              <w:bottom w:val="nil"/>
              <w:right w:val="nil"/>
            </w:tcBorders>
            <w:shd w:val="clear" w:color="auto" w:fill="auto"/>
            <w:noWrap/>
            <w:hideMark/>
          </w:tcPr>
          <w:p w14:paraId="60FB56DE" w14:textId="77777777" w:rsidR="00D73008" w:rsidRPr="00881A37" w:rsidRDefault="00D73008" w:rsidP="00387AE5">
            <w:pPr>
              <w:jc w:val="center"/>
              <w:rPr>
                <w:rFonts w:cs="Times New Roman"/>
                <w:color w:val="000000"/>
                <w:sz w:val="18"/>
                <w:szCs w:val="18"/>
              </w:rPr>
            </w:pPr>
            <w:r w:rsidRPr="00881A37">
              <w:rPr>
                <w:sz w:val="18"/>
                <w:szCs w:val="18"/>
              </w:rPr>
              <w:t>4,0</w:t>
            </w:r>
          </w:p>
        </w:tc>
        <w:tc>
          <w:tcPr>
            <w:tcW w:w="559" w:type="dxa"/>
            <w:tcBorders>
              <w:top w:val="nil"/>
              <w:left w:val="nil"/>
              <w:bottom w:val="nil"/>
              <w:right w:val="nil"/>
            </w:tcBorders>
            <w:shd w:val="clear" w:color="auto" w:fill="auto"/>
            <w:noWrap/>
            <w:hideMark/>
          </w:tcPr>
          <w:p w14:paraId="25406C60" w14:textId="77777777" w:rsidR="00D73008" w:rsidRPr="00881A37" w:rsidRDefault="00D73008" w:rsidP="00387AE5">
            <w:pPr>
              <w:jc w:val="center"/>
              <w:rPr>
                <w:rFonts w:cs="Times New Roman"/>
                <w:color w:val="000000"/>
                <w:sz w:val="18"/>
                <w:szCs w:val="18"/>
              </w:rPr>
            </w:pPr>
            <w:r w:rsidRPr="00881A37">
              <w:rPr>
                <w:sz w:val="18"/>
                <w:szCs w:val="18"/>
              </w:rPr>
              <w:t>4,0</w:t>
            </w:r>
          </w:p>
        </w:tc>
        <w:tc>
          <w:tcPr>
            <w:tcW w:w="559" w:type="dxa"/>
            <w:tcBorders>
              <w:top w:val="nil"/>
              <w:left w:val="nil"/>
              <w:bottom w:val="nil"/>
              <w:right w:val="nil"/>
            </w:tcBorders>
            <w:shd w:val="clear" w:color="auto" w:fill="auto"/>
            <w:noWrap/>
            <w:hideMark/>
          </w:tcPr>
          <w:p w14:paraId="338A5DAA" w14:textId="77777777" w:rsidR="00D73008" w:rsidRPr="00881A37" w:rsidRDefault="00D73008" w:rsidP="00387AE5">
            <w:pPr>
              <w:jc w:val="center"/>
              <w:rPr>
                <w:rFonts w:cs="Times New Roman"/>
                <w:color w:val="000000"/>
                <w:sz w:val="18"/>
                <w:szCs w:val="18"/>
              </w:rPr>
            </w:pPr>
            <w:r w:rsidRPr="00881A37">
              <w:rPr>
                <w:sz w:val="18"/>
                <w:szCs w:val="18"/>
              </w:rPr>
              <w:t>3,4</w:t>
            </w:r>
          </w:p>
        </w:tc>
        <w:tc>
          <w:tcPr>
            <w:tcW w:w="615" w:type="dxa"/>
            <w:gridSpan w:val="2"/>
            <w:tcBorders>
              <w:top w:val="nil"/>
              <w:left w:val="nil"/>
              <w:bottom w:val="nil"/>
              <w:right w:val="nil"/>
            </w:tcBorders>
            <w:shd w:val="clear" w:color="auto" w:fill="auto"/>
            <w:noWrap/>
            <w:hideMark/>
          </w:tcPr>
          <w:p w14:paraId="5E3824D6" w14:textId="77777777" w:rsidR="00D73008" w:rsidRPr="00881A37" w:rsidRDefault="00D73008" w:rsidP="00387AE5">
            <w:pPr>
              <w:jc w:val="center"/>
              <w:rPr>
                <w:rFonts w:cs="Times New Roman"/>
                <w:color w:val="000000"/>
                <w:sz w:val="18"/>
                <w:szCs w:val="18"/>
              </w:rPr>
            </w:pPr>
            <w:r w:rsidRPr="00881A37">
              <w:rPr>
                <w:sz w:val="18"/>
                <w:szCs w:val="18"/>
              </w:rPr>
              <w:t>3,7</w:t>
            </w:r>
          </w:p>
        </w:tc>
        <w:tc>
          <w:tcPr>
            <w:tcW w:w="615" w:type="dxa"/>
            <w:tcBorders>
              <w:top w:val="nil"/>
              <w:left w:val="nil"/>
              <w:bottom w:val="nil"/>
              <w:right w:val="nil"/>
            </w:tcBorders>
            <w:shd w:val="clear" w:color="auto" w:fill="auto"/>
            <w:noWrap/>
            <w:hideMark/>
          </w:tcPr>
          <w:p w14:paraId="2AEA1D08" w14:textId="77777777" w:rsidR="00D73008" w:rsidRPr="00881A37" w:rsidRDefault="00D73008" w:rsidP="00387AE5">
            <w:pPr>
              <w:jc w:val="center"/>
              <w:rPr>
                <w:rFonts w:cs="Times New Roman"/>
                <w:color w:val="000000"/>
                <w:sz w:val="18"/>
                <w:szCs w:val="18"/>
              </w:rPr>
            </w:pPr>
            <w:r w:rsidRPr="00881A37">
              <w:rPr>
                <w:sz w:val="18"/>
                <w:szCs w:val="18"/>
              </w:rPr>
              <w:t>2,9</w:t>
            </w:r>
          </w:p>
        </w:tc>
        <w:tc>
          <w:tcPr>
            <w:tcW w:w="605" w:type="dxa"/>
            <w:tcBorders>
              <w:top w:val="nil"/>
              <w:left w:val="nil"/>
              <w:bottom w:val="nil"/>
              <w:right w:val="nil"/>
            </w:tcBorders>
            <w:shd w:val="clear" w:color="auto" w:fill="auto"/>
            <w:hideMark/>
          </w:tcPr>
          <w:p w14:paraId="726875F9" w14:textId="77777777" w:rsidR="00D73008" w:rsidRPr="00881A37" w:rsidRDefault="00D73008" w:rsidP="00387AE5">
            <w:pPr>
              <w:jc w:val="center"/>
              <w:rPr>
                <w:rFonts w:cs="Times New Roman"/>
                <w:color w:val="000000"/>
                <w:sz w:val="18"/>
                <w:szCs w:val="18"/>
              </w:rPr>
            </w:pPr>
            <w:r w:rsidRPr="00881A37">
              <w:rPr>
                <w:sz w:val="18"/>
                <w:szCs w:val="18"/>
              </w:rPr>
              <w:t>3,2</w:t>
            </w:r>
          </w:p>
        </w:tc>
        <w:tc>
          <w:tcPr>
            <w:tcW w:w="593" w:type="dxa"/>
            <w:tcBorders>
              <w:top w:val="nil"/>
              <w:left w:val="nil"/>
              <w:bottom w:val="nil"/>
              <w:right w:val="nil"/>
            </w:tcBorders>
            <w:shd w:val="clear" w:color="auto" w:fill="auto"/>
            <w:hideMark/>
          </w:tcPr>
          <w:p w14:paraId="2C82C8E5" w14:textId="77777777" w:rsidR="00D73008" w:rsidRPr="00881A37" w:rsidRDefault="00D73008" w:rsidP="00387AE5">
            <w:pPr>
              <w:jc w:val="center"/>
              <w:rPr>
                <w:rFonts w:cs="Times New Roman"/>
                <w:color w:val="000000"/>
                <w:sz w:val="18"/>
                <w:szCs w:val="18"/>
              </w:rPr>
            </w:pPr>
            <w:r w:rsidRPr="00881A37">
              <w:rPr>
                <w:sz w:val="18"/>
                <w:szCs w:val="18"/>
              </w:rPr>
              <w:t>2,7</w:t>
            </w:r>
          </w:p>
        </w:tc>
        <w:tc>
          <w:tcPr>
            <w:tcW w:w="585" w:type="dxa"/>
            <w:tcBorders>
              <w:top w:val="nil"/>
              <w:left w:val="nil"/>
              <w:bottom w:val="nil"/>
              <w:right w:val="nil"/>
            </w:tcBorders>
            <w:shd w:val="clear" w:color="auto" w:fill="auto"/>
            <w:hideMark/>
          </w:tcPr>
          <w:p w14:paraId="3061C159" w14:textId="77777777" w:rsidR="00D73008" w:rsidRPr="00881A37" w:rsidRDefault="00D73008" w:rsidP="00387AE5">
            <w:pPr>
              <w:jc w:val="center"/>
              <w:rPr>
                <w:rFonts w:cs="Times New Roman"/>
                <w:color w:val="000000"/>
                <w:sz w:val="18"/>
                <w:szCs w:val="18"/>
              </w:rPr>
            </w:pPr>
            <w:r w:rsidRPr="00881A37">
              <w:rPr>
                <w:sz w:val="18"/>
                <w:szCs w:val="18"/>
              </w:rPr>
              <w:t>2,5</w:t>
            </w:r>
          </w:p>
        </w:tc>
      </w:tr>
      <w:tr w:rsidR="00D73008" w:rsidRPr="00881A37" w14:paraId="0AEB9CDE"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noWrap/>
            <w:vAlign w:val="center"/>
            <w:hideMark/>
          </w:tcPr>
          <w:p w14:paraId="7D7E87F5" w14:textId="77777777" w:rsidR="00D73008" w:rsidRPr="00881A37" w:rsidRDefault="00D73008" w:rsidP="00387AE5">
            <w:pPr>
              <w:rPr>
                <w:rFonts w:cs="Times New Roman"/>
                <w:color w:val="000000"/>
                <w:sz w:val="18"/>
                <w:szCs w:val="18"/>
              </w:rPr>
            </w:pPr>
            <w:r w:rsidRPr="00881A37">
              <w:rPr>
                <w:rFonts w:cs="Times New Roman"/>
                <w:color w:val="000000"/>
                <w:sz w:val="18"/>
                <w:szCs w:val="18"/>
              </w:rPr>
              <w:t>Hrubý domáci produkt v bežných cenách; mld. eur</w:t>
            </w:r>
          </w:p>
        </w:tc>
        <w:tc>
          <w:tcPr>
            <w:tcW w:w="553" w:type="dxa"/>
            <w:tcBorders>
              <w:top w:val="nil"/>
              <w:left w:val="nil"/>
              <w:bottom w:val="nil"/>
              <w:right w:val="single" w:sz="8" w:space="0" w:color="auto"/>
            </w:tcBorders>
            <w:shd w:val="clear" w:color="auto" w:fill="auto"/>
            <w:noWrap/>
            <w:hideMark/>
          </w:tcPr>
          <w:p w14:paraId="7A32AAE6" w14:textId="77777777" w:rsidR="00D73008" w:rsidRPr="00881A37" w:rsidRDefault="00D73008" w:rsidP="00387AE5">
            <w:pPr>
              <w:jc w:val="center"/>
              <w:rPr>
                <w:rFonts w:cs="Times New Roman"/>
                <w:color w:val="000000"/>
                <w:sz w:val="18"/>
                <w:szCs w:val="18"/>
              </w:rPr>
            </w:pPr>
            <w:r w:rsidRPr="00881A37">
              <w:rPr>
                <w:sz w:val="18"/>
                <w:szCs w:val="18"/>
              </w:rPr>
              <w:t>90,2</w:t>
            </w:r>
          </w:p>
        </w:tc>
        <w:tc>
          <w:tcPr>
            <w:tcW w:w="559" w:type="dxa"/>
            <w:tcBorders>
              <w:top w:val="nil"/>
              <w:left w:val="nil"/>
              <w:bottom w:val="nil"/>
              <w:right w:val="nil"/>
            </w:tcBorders>
            <w:shd w:val="clear" w:color="auto" w:fill="auto"/>
            <w:noWrap/>
            <w:hideMark/>
          </w:tcPr>
          <w:p w14:paraId="04D34526" w14:textId="77777777" w:rsidR="00D73008" w:rsidRPr="00881A37" w:rsidRDefault="00D73008" w:rsidP="00387AE5">
            <w:pPr>
              <w:jc w:val="center"/>
              <w:rPr>
                <w:rFonts w:cs="Times New Roman"/>
                <w:color w:val="000000"/>
                <w:sz w:val="18"/>
                <w:szCs w:val="18"/>
              </w:rPr>
            </w:pPr>
            <w:r w:rsidRPr="00881A37">
              <w:rPr>
                <w:sz w:val="18"/>
                <w:szCs w:val="18"/>
              </w:rPr>
              <w:t>96,2</w:t>
            </w:r>
          </w:p>
        </w:tc>
        <w:tc>
          <w:tcPr>
            <w:tcW w:w="559" w:type="dxa"/>
            <w:tcBorders>
              <w:top w:val="nil"/>
              <w:left w:val="nil"/>
              <w:bottom w:val="nil"/>
              <w:right w:val="nil"/>
            </w:tcBorders>
            <w:shd w:val="clear" w:color="auto" w:fill="auto"/>
            <w:noWrap/>
            <w:hideMark/>
          </w:tcPr>
          <w:p w14:paraId="38108591" w14:textId="77777777" w:rsidR="00D73008" w:rsidRPr="00881A37" w:rsidRDefault="00D73008" w:rsidP="00387AE5">
            <w:pPr>
              <w:jc w:val="center"/>
              <w:rPr>
                <w:rFonts w:cs="Times New Roman"/>
                <w:color w:val="000000"/>
                <w:sz w:val="18"/>
                <w:szCs w:val="18"/>
              </w:rPr>
            </w:pPr>
            <w:r w:rsidRPr="00881A37">
              <w:rPr>
                <w:sz w:val="18"/>
                <w:szCs w:val="18"/>
              </w:rPr>
              <w:t>96,3</w:t>
            </w:r>
          </w:p>
        </w:tc>
        <w:tc>
          <w:tcPr>
            <w:tcW w:w="559" w:type="dxa"/>
            <w:tcBorders>
              <w:top w:val="nil"/>
              <w:left w:val="nil"/>
              <w:bottom w:val="nil"/>
              <w:right w:val="nil"/>
            </w:tcBorders>
            <w:shd w:val="clear" w:color="auto" w:fill="auto"/>
            <w:noWrap/>
            <w:hideMark/>
          </w:tcPr>
          <w:p w14:paraId="6CE0DF71" w14:textId="77777777" w:rsidR="00D73008" w:rsidRPr="00881A37" w:rsidRDefault="00D73008" w:rsidP="00387AE5">
            <w:pPr>
              <w:jc w:val="center"/>
              <w:rPr>
                <w:rFonts w:cs="Times New Roman"/>
                <w:color w:val="000000"/>
                <w:sz w:val="18"/>
                <w:szCs w:val="18"/>
              </w:rPr>
            </w:pPr>
            <w:r w:rsidRPr="00881A37">
              <w:rPr>
                <w:sz w:val="18"/>
                <w:szCs w:val="18"/>
              </w:rPr>
              <w:t>101,5</w:t>
            </w:r>
          </w:p>
        </w:tc>
        <w:tc>
          <w:tcPr>
            <w:tcW w:w="615" w:type="dxa"/>
            <w:gridSpan w:val="2"/>
            <w:tcBorders>
              <w:top w:val="nil"/>
              <w:left w:val="nil"/>
              <w:bottom w:val="nil"/>
              <w:right w:val="nil"/>
            </w:tcBorders>
            <w:shd w:val="clear" w:color="auto" w:fill="auto"/>
            <w:noWrap/>
            <w:hideMark/>
          </w:tcPr>
          <w:p w14:paraId="09E8F51B" w14:textId="77777777" w:rsidR="00D73008" w:rsidRPr="00881A37" w:rsidRDefault="00D73008" w:rsidP="00387AE5">
            <w:pPr>
              <w:jc w:val="center"/>
              <w:rPr>
                <w:rFonts w:cs="Times New Roman"/>
                <w:color w:val="000000"/>
                <w:sz w:val="18"/>
                <w:szCs w:val="18"/>
              </w:rPr>
            </w:pPr>
            <w:r w:rsidRPr="00881A37">
              <w:rPr>
                <w:sz w:val="18"/>
                <w:szCs w:val="18"/>
              </w:rPr>
              <w:t>102,2</w:t>
            </w:r>
          </w:p>
        </w:tc>
        <w:tc>
          <w:tcPr>
            <w:tcW w:w="615" w:type="dxa"/>
            <w:tcBorders>
              <w:top w:val="nil"/>
              <w:left w:val="nil"/>
              <w:bottom w:val="nil"/>
              <w:right w:val="nil"/>
            </w:tcBorders>
            <w:shd w:val="clear" w:color="auto" w:fill="auto"/>
            <w:noWrap/>
            <w:hideMark/>
          </w:tcPr>
          <w:p w14:paraId="490FB472" w14:textId="77777777" w:rsidR="00D73008" w:rsidRPr="00881A37" w:rsidRDefault="00D73008" w:rsidP="00387AE5">
            <w:pPr>
              <w:jc w:val="center"/>
              <w:rPr>
                <w:rFonts w:cs="Times New Roman"/>
                <w:color w:val="000000"/>
                <w:sz w:val="18"/>
                <w:szCs w:val="18"/>
              </w:rPr>
            </w:pPr>
            <w:r w:rsidRPr="00881A37">
              <w:rPr>
                <w:sz w:val="18"/>
                <w:szCs w:val="18"/>
              </w:rPr>
              <w:t>106,5</w:t>
            </w:r>
          </w:p>
        </w:tc>
        <w:tc>
          <w:tcPr>
            <w:tcW w:w="605" w:type="dxa"/>
            <w:tcBorders>
              <w:top w:val="nil"/>
              <w:left w:val="nil"/>
              <w:bottom w:val="nil"/>
              <w:right w:val="nil"/>
            </w:tcBorders>
            <w:shd w:val="clear" w:color="auto" w:fill="auto"/>
            <w:hideMark/>
          </w:tcPr>
          <w:p w14:paraId="7A8A569F" w14:textId="77777777" w:rsidR="00D73008" w:rsidRPr="00881A37" w:rsidRDefault="00D73008" w:rsidP="00387AE5">
            <w:pPr>
              <w:jc w:val="center"/>
              <w:rPr>
                <w:rFonts w:cs="Times New Roman"/>
                <w:color w:val="000000"/>
                <w:sz w:val="18"/>
                <w:szCs w:val="18"/>
              </w:rPr>
            </w:pPr>
            <w:r w:rsidRPr="00881A37">
              <w:rPr>
                <w:sz w:val="18"/>
                <w:szCs w:val="18"/>
              </w:rPr>
              <w:t>108</w:t>
            </w:r>
          </w:p>
        </w:tc>
        <w:tc>
          <w:tcPr>
            <w:tcW w:w="593" w:type="dxa"/>
            <w:tcBorders>
              <w:top w:val="nil"/>
              <w:left w:val="nil"/>
              <w:bottom w:val="nil"/>
              <w:right w:val="nil"/>
            </w:tcBorders>
            <w:shd w:val="clear" w:color="auto" w:fill="auto"/>
            <w:hideMark/>
          </w:tcPr>
          <w:p w14:paraId="282A1078" w14:textId="77777777" w:rsidR="00D73008" w:rsidRPr="00881A37" w:rsidRDefault="00D73008" w:rsidP="00387AE5">
            <w:pPr>
              <w:jc w:val="center"/>
              <w:rPr>
                <w:rFonts w:cs="Times New Roman"/>
                <w:color w:val="000000"/>
                <w:sz w:val="18"/>
                <w:szCs w:val="18"/>
              </w:rPr>
            </w:pPr>
            <w:r w:rsidRPr="00881A37">
              <w:rPr>
                <w:sz w:val="18"/>
                <w:szCs w:val="18"/>
              </w:rPr>
              <w:t>111,4</w:t>
            </w:r>
          </w:p>
        </w:tc>
        <w:tc>
          <w:tcPr>
            <w:tcW w:w="585" w:type="dxa"/>
            <w:tcBorders>
              <w:top w:val="nil"/>
              <w:left w:val="nil"/>
              <w:bottom w:val="nil"/>
              <w:right w:val="nil"/>
            </w:tcBorders>
            <w:shd w:val="clear" w:color="auto" w:fill="auto"/>
            <w:hideMark/>
          </w:tcPr>
          <w:p w14:paraId="70C68510" w14:textId="77777777" w:rsidR="00D73008" w:rsidRPr="00881A37" w:rsidRDefault="00D73008" w:rsidP="00387AE5">
            <w:pPr>
              <w:jc w:val="center"/>
              <w:rPr>
                <w:rFonts w:cs="Times New Roman"/>
                <w:color w:val="000000"/>
                <w:sz w:val="18"/>
                <w:szCs w:val="18"/>
              </w:rPr>
            </w:pPr>
            <w:r w:rsidRPr="00881A37">
              <w:rPr>
                <w:sz w:val="18"/>
                <w:szCs w:val="18"/>
              </w:rPr>
              <w:t>113,4</w:t>
            </w:r>
          </w:p>
        </w:tc>
      </w:tr>
      <w:tr w:rsidR="00D73008" w:rsidRPr="00881A37" w14:paraId="63D0E936"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vAlign w:val="center"/>
            <w:hideMark/>
          </w:tcPr>
          <w:p w14:paraId="0BEDB36A" w14:textId="77777777" w:rsidR="00D73008" w:rsidRPr="00881A37" w:rsidRDefault="00D73008" w:rsidP="00387AE5">
            <w:pPr>
              <w:rPr>
                <w:rFonts w:cs="Times New Roman"/>
                <w:color w:val="000000"/>
                <w:sz w:val="18"/>
                <w:szCs w:val="18"/>
              </w:rPr>
            </w:pPr>
            <w:r w:rsidRPr="00881A37">
              <w:rPr>
                <w:rFonts w:cs="Times New Roman"/>
                <w:color w:val="000000"/>
                <w:sz w:val="18"/>
                <w:szCs w:val="18"/>
              </w:rPr>
              <w:t>Konečná spotreba domácností; reálny rast</w:t>
            </w:r>
          </w:p>
        </w:tc>
        <w:tc>
          <w:tcPr>
            <w:tcW w:w="553" w:type="dxa"/>
            <w:tcBorders>
              <w:top w:val="nil"/>
              <w:left w:val="nil"/>
              <w:bottom w:val="nil"/>
              <w:right w:val="single" w:sz="8" w:space="0" w:color="auto"/>
            </w:tcBorders>
            <w:shd w:val="clear" w:color="auto" w:fill="auto"/>
            <w:noWrap/>
            <w:hideMark/>
          </w:tcPr>
          <w:p w14:paraId="390896EA" w14:textId="77777777" w:rsidR="00D73008" w:rsidRPr="00881A37" w:rsidRDefault="00D73008" w:rsidP="00387AE5">
            <w:pPr>
              <w:jc w:val="center"/>
              <w:rPr>
                <w:rFonts w:cs="Times New Roman"/>
                <w:color w:val="000000"/>
                <w:sz w:val="18"/>
                <w:szCs w:val="18"/>
              </w:rPr>
            </w:pPr>
            <w:r w:rsidRPr="00881A37">
              <w:rPr>
                <w:sz w:val="18"/>
                <w:szCs w:val="18"/>
              </w:rPr>
              <w:t>3,0</w:t>
            </w:r>
          </w:p>
        </w:tc>
        <w:tc>
          <w:tcPr>
            <w:tcW w:w="559" w:type="dxa"/>
            <w:tcBorders>
              <w:top w:val="nil"/>
              <w:left w:val="nil"/>
              <w:bottom w:val="nil"/>
              <w:right w:val="nil"/>
            </w:tcBorders>
            <w:shd w:val="clear" w:color="auto" w:fill="auto"/>
            <w:noWrap/>
            <w:hideMark/>
          </w:tcPr>
          <w:p w14:paraId="19926BB2" w14:textId="77777777" w:rsidR="00D73008" w:rsidRPr="00881A37" w:rsidRDefault="00D73008" w:rsidP="00387AE5">
            <w:pPr>
              <w:jc w:val="center"/>
              <w:rPr>
                <w:rFonts w:cs="Times New Roman"/>
                <w:color w:val="000000"/>
                <w:sz w:val="18"/>
                <w:szCs w:val="18"/>
              </w:rPr>
            </w:pPr>
            <w:r w:rsidRPr="00881A37">
              <w:rPr>
                <w:sz w:val="18"/>
                <w:szCs w:val="18"/>
              </w:rPr>
              <w:t>3,2</w:t>
            </w:r>
          </w:p>
        </w:tc>
        <w:tc>
          <w:tcPr>
            <w:tcW w:w="559" w:type="dxa"/>
            <w:tcBorders>
              <w:top w:val="nil"/>
              <w:left w:val="nil"/>
              <w:bottom w:val="nil"/>
              <w:right w:val="nil"/>
            </w:tcBorders>
            <w:shd w:val="clear" w:color="auto" w:fill="auto"/>
            <w:noWrap/>
            <w:hideMark/>
          </w:tcPr>
          <w:p w14:paraId="213A5997" w14:textId="77777777" w:rsidR="00D73008" w:rsidRPr="00881A37" w:rsidRDefault="00D73008" w:rsidP="00387AE5">
            <w:pPr>
              <w:jc w:val="center"/>
              <w:rPr>
                <w:rFonts w:cs="Times New Roman"/>
                <w:color w:val="000000"/>
                <w:sz w:val="18"/>
                <w:szCs w:val="18"/>
              </w:rPr>
            </w:pPr>
            <w:r w:rsidRPr="00881A37">
              <w:rPr>
                <w:sz w:val="18"/>
                <w:szCs w:val="18"/>
              </w:rPr>
              <w:t>3,3</w:t>
            </w:r>
          </w:p>
        </w:tc>
        <w:tc>
          <w:tcPr>
            <w:tcW w:w="559" w:type="dxa"/>
            <w:tcBorders>
              <w:top w:val="nil"/>
              <w:left w:val="nil"/>
              <w:bottom w:val="nil"/>
              <w:right w:val="nil"/>
            </w:tcBorders>
            <w:shd w:val="clear" w:color="auto" w:fill="auto"/>
            <w:noWrap/>
            <w:hideMark/>
          </w:tcPr>
          <w:p w14:paraId="568BCC19" w14:textId="77777777" w:rsidR="00D73008" w:rsidRPr="00881A37" w:rsidRDefault="00D73008" w:rsidP="00387AE5">
            <w:pPr>
              <w:jc w:val="center"/>
              <w:rPr>
                <w:rFonts w:cs="Times New Roman"/>
                <w:color w:val="000000"/>
                <w:sz w:val="18"/>
                <w:szCs w:val="18"/>
              </w:rPr>
            </w:pPr>
            <w:r w:rsidRPr="00881A37">
              <w:rPr>
                <w:sz w:val="18"/>
                <w:szCs w:val="18"/>
              </w:rPr>
              <w:t>2,7</w:t>
            </w:r>
          </w:p>
        </w:tc>
        <w:tc>
          <w:tcPr>
            <w:tcW w:w="615" w:type="dxa"/>
            <w:gridSpan w:val="2"/>
            <w:tcBorders>
              <w:top w:val="nil"/>
              <w:left w:val="nil"/>
              <w:bottom w:val="nil"/>
              <w:right w:val="nil"/>
            </w:tcBorders>
            <w:shd w:val="clear" w:color="auto" w:fill="auto"/>
            <w:noWrap/>
            <w:hideMark/>
          </w:tcPr>
          <w:p w14:paraId="4C21B78B" w14:textId="77777777" w:rsidR="00D73008" w:rsidRPr="00881A37" w:rsidRDefault="00D73008" w:rsidP="00387AE5">
            <w:pPr>
              <w:jc w:val="center"/>
              <w:rPr>
                <w:rFonts w:cs="Times New Roman"/>
                <w:color w:val="000000"/>
                <w:sz w:val="18"/>
                <w:szCs w:val="18"/>
              </w:rPr>
            </w:pPr>
            <w:r w:rsidRPr="00881A37">
              <w:rPr>
                <w:sz w:val="18"/>
                <w:szCs w:val="18"/>
              </w:rPr>
              <w:t>2,9</w:t>
            </w:r>
          </w:p>
        </w:tc>
        <w:tc>
          <w:tcPr>
            <w:tcW w:w="615" w:type="dxa"/>
            <w:tcBorders>
              <w:top w:val="nil"/>
              <w:left w:val="nil"/>
              <w:bottom w:val="nil"/>
              <w:right w:val="nil"/>
            </w:tcBorders>
            <w:shd w:val="clear" w:color="auto" w:fill="auto"/>
            <w:noWrap/>
            <w:hideMark/>
          </w:tcPr>
          <w:p w14:paraId="448B2EE1" w14:textId="77777777" w:rsidR="00D73008" w:rsidRPr="00881A37" w:rsidRDefault="00D73008" w:rsidP="00387AE5">
            <w:pPr>
              <w:jc w:val="center"/>
              <w:rPr>
                <w:rFonts w:cs="Times New Roman"/>
                <w:color w:val="000000"/>
                <w:sz w:val="18"/>
                <w:szCs w:val="18"/>
              </w:rPr>
            </w:pPr>
            <w:r w:rsidRPr="00881A37">
              <w:rPr>
                <w:sz w:val="18"/>
                <w:szCs w:val="18"/>
              </w:rPr>
              <w:t>2,4</w:t>
            </w:r>
          </w:p>
        </w:tc>
        <w:tc>
          <w:tcPr>
            <w:tcW w:w="605" w:type="dxa"/>
            <w:tcBorders>
              <w:top w:val="nil"/>
              <w:left w:val="nil"/>
              <w:bottom w:val="nil"/>
              <w:right w:val="nil"/>
            </w:tcBorders>
            <w:shd w:val="clear" w:color="auto" w:fill="auto"/>
            <w:hideMark/>
          </w:tcPr>
          <w:p w14:paraId="2A925058" w14:textId="77777777" w:rsidR="00D73008" w:rsidRPr="00881A37" w:rsidRDefault="00D73008" w:rsidP="00387AE5">
            <w:pPr>
              <w:jc w:val="center"/>
              <w:rPr>
                <w:rFonts w:cs="Times New Roman"/>
                <w:color w:val="000000"/>
                <w:sz w:val="18"/>
                <w:szCs w:val="18"/>
              </w:rPr>
            </w:pPr>
            <w:r w:rsidRPr="00881A37">
              <w:rPr>
                <w:sz w:val="18"/>
                <w:szCs w:val="18"/>
              </w:rPr>
              <w:t>2,2</w:t>
            </w:r>
          </w:p>
        </w:tc>
        <w:tc>
          <w:tcPr>
            <w:tcW w:w="593" w:type="dxa"/>
            <w:tcBorders>
              <w:top w:val="nil"/>
              <w:left w:val="nil"/>
              <w:bottom w:val="nil"/>
              <w:right w:val="nil"/>
            </w:tcBorders>
            <w:shd w:val="clear" w:color="auto" w:fill="auto"/>
            <w:hideMark/>
          </w:tcPr>
          <w:p w14:paraId="4A211B4E" w14:textId="77777777" w:rsidR="00D73008" w:rsidRPr="00881A37" w:rsidRDefault="00D73008" w:rsidP="00387AE5">
            <w:pPr>
              <w:jc w:val="center"/>
              <w:rPr>
                <w:rFonts w:cs="Times New Roman"/>
                <w:color w:val="000000"/>
                <w:sz w:val="18"/>
                <w:szCs w:val="18"/>
              </w:rPr>
            </w:pPr>
            <w:r w:rsidRPr="00881A37">
              <w:rPr>
                <w:sz w:val="18"/>
                <w:szCs w:val="18"/>
              </w:rPr>
              <w:t>2,2</w:t>
            </w:r>
          </w:p>
        </w:tc>
        <w:tc>
          <w:tcPr>
            <w:tcW w:w="585" w:type="dxa"/>
            <w:tcBorders>
              <w:top w:val="nil"/>
              <w:left w:val="nil"/>
              <w:bottom w:val="nil"/>
              <w:right w:val="nil"/>
            </w:tcBorders>
            <w:shd w:val="clear" w:color="auto" w:fill="auto"/>
            <w:hideMark/>
          </w:tcPr>
          <w:p w14:paraId="73216948" w14:textId="77777777" w:rsidR="00D73008" w:rsidRPr="00881A37" w:rsidRDefault="00D73008" w:rsidP="00387AE5">
            <w:pPr>
              <w:jc w:val="center"/>
              <w:rPr>
                <w:rFonts w:cs="Times New Roman"/>
                <w:color w:val="000000"/>
                <w:sz w:val="18"/>
                <w:szCs w:val="18"/>
              </w:rPr>
            </w:pPr>
            <w:r w:rsidRPr="00881A37">
              <w:rPr>
                <w:sz w:val="18"/>
                <w:szCs w:val="18"/>
              </w:rPr>
              <w:t>1,7</w:t>
            </w:r>
          </w:p>
        </w:tc>
      </w:tr>
      <w:tr w:rsidR="00D73008" w:rsidRPr="00881A37" w14:paraId="53D7CD18"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vAlign w:val="center"/>
            <w:hideMark/>
          </w:tcPr>
          <w:p w14:paraId="608FB8C6" w14:textId="77777777" w:rsidR="00D73008" w:rsidRPr="00881A37" w:rsidRDefault="00D73008" w:rsidP="00387AE5">
            <w:pPr>
              <w:rPr>
                <w:rFonts w:cs="Times New Roman"/>
                <w:color w:val="000000"/>
                <w:sz w:val="18"/>
                <w:szCs w:val="18"/>
              </w:rPr>
            </w:pPr>
            <w:r w:rsidRPr="00881A37">
              <w:rPr>
                <w:rFonts w:cs="Times New Roman"/>
                <w:color w:val="000000"/>
                <w:sz w:val="18"/>
                <w:szCs w:val="18"/>
              </w:rPr>
              <w:t>Konečná spotreba domácností; nominálny rast</w:t>
            </w:r>
          </w:p>
        </w:tc>
        <w:tc>
          <w:tcPr>
            <w:tcW w:w="553" w:type="dxa"/>
            <w:tcBorders>
              <w:top w:val="nil"/>
              <w:left w:val="nil"/>
              <w:bottom w:val="nil"/>
              <w:right w:val="single" w:sz="8" w:space="0" w:color="auto"/>
            </w:tcBorders>
            <w:shd w:val="clear" w:color="auto" w:fill="auto"/>
            <w:noWrap/>
            <w:hideMark/>
          </w:tcPr>
          <w:p w14:paraId="04B05CF3" w14:textId="77777777" w:rsidR="00D73008" w:rsidRPr="00881A37" w:rsidRDefault="00D73008" w:rsidP="00387AE5">
            <w:pPr>
              <w:jc w:val="center"/>
              <w:rPr>
                <w:rFonts w:cs="Times New Roman"/>
                <w:color w:val="000000"/>
                <w:sz w:val="18"/>
                <w:szCs w:val="18"/>
              </w:rPr>
            </w:pPr>
            <w:r w:rsidRPr="00881A37">
              <w:rPr>
                <w:sz w:val="18"/>
                <w:szCs w:val="18"/>
              </w:rPr>
              <w:t>5,4</w:t>
            </w:r>
          </w:p>
        </w:tc>
        <w:tc>
          <w:tcPr>
            <w:tcW w:w="559" w:type="dxa"/>
            <w:tcBorders>
              <w:top w:val="nil"/>
              <w:left w:val="nil"/>
              <w:bottom w:val="nil"/>
              <w:right w:val="nil"/>
            </w:tcBorders>
            <w:shd w:val="clear" w:color="auto" w:fill="auto"/>
            <w:noWrap/>
            <w:hideMark/>
          </w:tcPr>
          <w:p w14:paraId="7CEA81A8" w14:textId="77777777" w:rsidR="00D73008" w:rsidRPr="00881A37" w:rsidRDefault="00D73008" w:rsidP="00387AE5">
            <w:pPr>
              <w:jc w:val="center"/>
              <w:rPr>
                <w:rFonts w:cs="Times New Roman"/>
                <w:color w:val="000000"/>
                <w:sz w:val="18"/>
                <w:szCs w:val="18"/>
              </w:rPr>
            </w:pPr>
            <w:r w:rsidRPr="00881A37">
              <w:rPr>
                <w:sz w:val="18"/>
                <w:szCs w:val="18"/>
              </w:rPr>
              <w:t>5,8</w:t>
            </w:r>
          </w:p>
        </w:tc>
        <w:tc>
          <w:tcPr>
            <w:tcW w:w="559" w:type="dxa"/>
            <w:tcBorders>
              <w:top w:val="nil"/>
              <w:left w:val="nil"/>
              <w:bottom w:val="nil"/>
              <w:right w:val="nil"/>
            </w:tcBorders>
            <w:shd w:val="clear" w:color="auto" w:fill="auto"/>
            <w:noWrap/>
            <w:hideMark/>
          </w:tcPr>
          <w:p w14:paraId="4B7D10C1" w14:textId="77777777" w:rsidR="00D73008" w:rsidRPr="00881A37" w:rsidRDefault="00D73008" w:rsidP="00387AE5">
            <w:pPr>
              <w:jc w:val="center"/>
              <w:rPr>
                <w:rFonts w:cs="Times New Roman"/>
                <w:color w:val="000000"/>
                <w:sz w:val="18"/>
                <w:szCs w:val="18"/>
              </w:rPr>
            </w:pPr>
            <w:r w:rsidRPr="00881A37">
              <w:rPr>
                <w:sz w:val="18"/>
                <w:szCs w:val="18"/>
              </w:rPr>
              <w:t>6,0</w:t>
            </w:r>
          </w:p>
        </w:tc>
        <w:tc>
          <w:tcPr>
            <w:tcW w:w="559" w:type="dxa"/>
            <w:tcBorders>
              <w:top w:val="nil"/>
              <w:left w:val="nil"/>
              <w:bottom w:val="nil"/>
              <w:right w:val="nil"/>
            </w:tcBorders>
            <w:shd w:val="clear" w:color="auto" w:fill="auto"/>
            <w:noWrap/>
            <w:hideMark/>
          </w:tcPr>
          <w:p w14:paraId="17F8865F" w14:textId="77777777" w:rsidR="00D73008" w:rsidRPr="00881A37" w:rsidRDefault="00D73008" w:rsidP="00387AE5">
            <w:pPr>
              <w:jc w:val="center"/>
              <w:rPr>
                <w:rFonts w:cs="Times New Roman"/>
                <w:color w:val="000000"/>
                <w:sz w:val="18"/>
                <w:szCs w:val="18"/>
              </w:rPr>
            </w:pPr>
            <w:r w:rsidRPr="00881A37">
              <w:rPr>
                <w:sz w:val="18"/>
                <w:szCs w:val="18"/>
              </w:rPr>
              <w:t>5,1</w:t>
            </w:r>
          </w:p>
        </w:tc>
        <w:tc>
          <w:tcPr>
            <w:tcW w:w="615" w:type="dxa"/>
            <w:gridSpan w:val="2"/>
            <w:tcBorders>
              <w:top w:val="nil"/>
              <w:left w:val="nil"/>
              <w:bottom w:val="nil"/>
              <w:right w:val="nil"/>
            </w:tcBorders>
            <w:shd w:val="clear" w:color="auto" w:fill="auto"/>
            <w:noWrap/>
            <w:hideMark/>
          </w:tcPr>
          <w:p w14:paraId="34479E37" w14:textId="77777777" w:rsidR="00D73008" w:rsidRPr="00881A37" w:rsidRDefault="00D73008" w:rsidP="00387AE5">
            <w:pPr>
              <w:jc w:val="center"/>
              <w:rPr>
                <w:rFonts w:cs="Times New Roman"/>
                <w:color w:val="000000"/>
                <w:sz w:val="18"/>
                <w:szCs w:val="18"/>
              </w:rPr>
            </w:pPr>
            <w:r w:rsidRPr="00881A37">
              <w:rPr>
                <w:sz w:val="18"/>
                <w:szCs w:val="18"/>
              </w:rPr>
              <w:t>5,3</w:t>
            </w:r>
          </w:p>
        </w:tc>
        <w:tc>
          <w:tcPr>
            <w:tcW w:w="615" w:type="dxa"/>
            <w:tcBorders>
              <w:top w:val="nil"/>
              <w:left w:val="nil"/>
              <w:bottom w:val="nil"/>
              <w:right w:val="nil"/>
            </w:tcBorders>
            <w:shd w:val="clear" w:color="auto" w:fill="auto"/>
            <w:noWrap/>
            <w:hideMark/>
          </w:tcPr>
          <w:p w14:paraId="3A8D6432" w14:textId="77777777" w:rsidR="00D73008" w:rsidRPr="00881A37" w:rsidRDefault="00D73008" w:rsidP="00387AE5">
            <w:pPr>
              <w:jc w:val="center"/>
              <w:rPr>
                <w:rFonts w:cs="Times New Roman"/>
                <w:color w:val="000000"/>
                <w:sz w:val="18"/>
                <w:szCs w:val="18"/>
              </w:rPr>
            </w:pPr>
            <w:r w:rsidRPr="00881A37">
              <w:rPr>
                <w:sz w:val="18"/>
                <w:szCs w:val="18"/>
              </w:rPr>
              <w:t>4,7</w:t>
            </w:r>
          </w:p>
        </w:tc>
        <w:tc>
          <w:tcPr>
            <w:tcW w:w="605" w:type="dxa"/>
            <w:tcBorders>
              <w:top w:val="nil"/>
              <w:left w:val="nil"/>
              <w:bottom w:val="nil"/>
              <w:right w:val="nil"/>
            </w:tcBorders>
            <w:shd w:val="clear" w:color="auto" w:fill="auto"/>
            <w:hideMark/>
          </w:tcPr>
          <w:p w14:paraId="5D499F30" w14:textId="77777777" w:rsidR="00D73008" w:rsidRPr="00881A37" w:rsidRDefault="00D73008" w:rsidP="00387AE5">
            <w:pPr>
              <w:jc w:val="center"/>
              <w:rPr>
                <w:rFonts w:cs="Times New Roman"/>
                <w:color w:val="000000"/>
                <w:sz w:val="18"/>
                <w:szCs w:val="18"/>
              </w:rPr>
            </w:pPr>
            <w:r w:rsidRPr="00881A37">
              <w:rPr>
                <w:sz w:val="18"/>
                <w:szCs w:val="18"/>
              </w:rPr>
              <w:t>4,7</w:t>
            </w:r>
          </w:p>
        </w:tc>
        <w:tc>
          <w:tcPr>
            <w:tcW w:w="593" w:type="dxa"/>
            <w:tcBorders>
              <w:top w:val="nil"/>
              <w:left w:val="nil"/>
              <w:bottom w:val="nil"/>
              <w:right w:val="nil"/>
            </w:tcBorders>
            <w:shd w:val="clear" w:color="auto" w:fill="auto"/>
            <w:hideMark/>
          </w:tcPr>
          <w:p w14:paraId="6C6CEA26" w14:textId="77777777" w:rsidR="00D73008" w:rsidRPr="00881A37" w:rsidRDefault="00D73008" w:rsidP="00387AE5">
            <w:pPr>
              <w:jc w:val="center"/>
              <w:rPr>
                <w:rFonts w:cs="Times New Roman"/>
                <w:color w:val="000000"/>
                <w:sz w:val="18"/>
                <w:szCs w:val="18"/>
              </w:rPr>
            </w:pPr>
            <w:r w:rsidRPr="00881A37">
              <w:rPr>
                <w:sz w:val="18"/>
                <w:szCs w:val="18"/>
              </w:rPr>
              <w:t>4,4</w:t>
            </w:r>
          </w:p>
        </w:tc>
        <w:tc>
          <w:tcPr>
            <w:tcW w:w="585" w:type="dxa"/>
            <w:tcBorders>
              <w:top w:val="nil"/>
              <w:left w:val="nil"/>
              <w:bottom w:val="nil"/>
              <w:right w:val="nil"/>
            </w:tcBorders>
            <w:shd w:val="clear" w:color="auto" w:fill="auto"/>
            <w:hideMark/>
          </w:tcPr>
          <w:p w14:paraId="295F9B5B" w14:textId="77777777" w:rsidR="00D73008" w:rsidRPr="00881A37" w:rsidRDefault="00D73008" w:rsidP="00387AE5">
            <w:pPr>
              <w:jc w:val="center"/>
              <w:rPr>
                <w:rFonts w:cs="Times New Roman"/>
                <w:color w:val="000000"/>
                <w:sz w:val="18"/>
                <w:szCs w:val="18"/>
              </w:rPr>
            </w:pPr>
            <w:r w:rsidRPr="00881A37">
              <w:rPr>
                <w:sz w:val="18"/>
                <w:szCs w:val="18"/>
              </w:rPr>
              <w:t>4,1</w:t>
            </w:r>
          </w:p>
        </w:tc>
      </w:tr>
      <w:tr w:rsidR="00D73008" w:rsidRPr="00881A37" w14:paraId="6377C9E8"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vAlign w:val="center"/>
            <w:hideMark/>
          </w:tcPr>
          <w:p w14:paraId="18E40629" w14:textId="77777777" w:rsidR="00D73008" w:rsidRPr="00881A37" w:rsidRDefault="00D73008" w:rsidP="00387AE5">
            <w:pPr>
              <w:rPr>
                <w:rFonts w:cs="Times New Roman"/>
                <w:color w:val="000000"/>
                <w:sz w:val="18"/>
                <w:szCs w:val="18"/>
              </w:rPr>
            </w:pPr>
            <w:r w:rsidRPr="00881A37">
              <w:rPr>
                <w:rFonts w:cs="Times New Roman"/>
                <w:color w:val="000000"/>
                <w:sz w:val="18"/>
                <w:szCs w:val="18"/>
              </w:rPr>
              <w:t>Priemerná mesačná mzda; reálny rast</w:t>
            </w:r>
          </w:p>
        </w:tc>
        <w:tc>
          <w:tcPr>
            <w:tcW w:w="553" w:type="dxa"/>
            <w:tcBorders>
              <w:top w:val="nil"/>
              <w:left w:val="nil"/>
              <w:bottom w:val="nil"/>
              <w:right w:val="single" w:sz="8" w:space="0" w:color="auto"/>
            </w:tcBorders>
            <w:shd w:val="clear" w:color="auto" w:fill="auto"/>
            <w:noWrap/>
            <w:hideMark/>
          </w:tcPr>
          <w:p w14:paraId="7ECD10B5" w14:textId="77777777" w:rsidR="00D73008" w:rsidRPr="00881A37" w:rsidRDefault="00D73008" w:rsidP="00387AE5">
            <w:pPr>
              <w:jc w:val="center"/>
              <w:rPr>
                <w:rFonts w:cs="Times New Roman"/>
                <w:color w:val="000000"/>
                <w:sz w:val="18"/>
                <w:szCs w:val="18"/>
              </w:rPr>
            </w:pPr>
            <w:r w:rsidRPr="00881A37">
              <w:rPr>
                <w:sz w:val="18"/>
                <w:szCs w:val="18"/>
              </w:rPr>
              <w:t>3,6</w:t>
            </w:r>
          </w:p>
        </w:tc>
        <w:tc>
          <w:tcPr>
            <w:tcW w:w="559" w:type="dxa"/>
            <w:tcBorders>
              <w:top w:val="nil"/>
              <w:left w:val="nil"/>
              <w:bottom w:val="nil"/>
              <w:right w:val="nil"/>
            </w:tcBorders>
            <w:shd w:val="clear" w:color="auto" w:fill="auto"/>
            <w:noWrap/>
            <w:hideMark/>
          </w:tcPr>
          <w:p w14:paraId="1C06EA57" w14:textId="77777777" w:rsidR="00D73008" w:rsidRPr="00881A37" w:rsidRDefault="00D73008" w:rsidP="00387AE5">
            <w:pPr>
              <w:jc w:val="center"/>
              <w:rPr>
                <w:rFonts w:cs="Times New Roman"/>
                <w:color w:val="000000"/>
                <w:sz w:val="18"/>
                <w:szCs w:val="18"/>
              </w:rPr>
            </w:pPr>
            <w:r w:rsidRPr="00881A37">
              <w:rPr>
                <w:sz w:val="18"/>
                <w:szCs w:val="18"/>
              </w:rPr>
              <w:t>3,9</w:t>
            </w:r>
          </w:p>
        </w:tc>
        <w:tc>
          <w:tcPr>
            <w:tcW w:w="559" w:type="dxa"/>
            <w:tcBorders>
              <w:top w:val="nil"/>
              <w:left w:val="nil"/>
              <w:bottom w:val="nil"/>
              <w:right w:val="nil"/>
            </w:tcBorders>
            <w:shd w:val="clear" w:color="auto" w:fill="auto"/>
            <w:noWrap/>
            <w:hideMark/>
          </w:tcPr>
          <w:p w14:paraId="5058C560" w14:textId="77777777" w:rsidR="00D73008" w:rsidRPr="00881A37" w:rsidRDefault="00D73008" w:rsidP="00387AE5">
            <w:pPr>
              <w:jc w:val="center"/>
              <w:rPr>
                <w:rFonts w:cs="Times New Roman"/>
                <w:color w:val="000000"/>
                <w:sz w:val="18"/>
                <w:szCs w:val="18"/>
              </w:rPr>
            </w:pPr>
            <w:r w:rsidRPr="00881A37">
              <w:rPr>
                <w:sz w:val="18"/>
                <w:szCs w:val="18"/>
              </w:rPr>
              <w:t>4,0</w:t>
            </w:r>
          </w:p>
        </w:tc>
        <w:tc>
          <w:tcPr>
            <w:tcW w:w="559" w:type="dxa"/>
            <w:tcBorders>
              <w:top w:val="nil"/>
              <w:left w:val="nil"/>
              <w:bottom w:val="nil"/>
              <w:right w:val="nil"/>
            </w:tcBorders>
            <w:shd w:val="clear" w:color="auto" w:fill="auto"/>
            <w:noWrap/>
            <w:hideMark/>
          </w:tcPr>
          <w:p w14:paraId="7898CF6F" w14:textId="77777777" w:rsidR="00D73008" w:rsidRPr="00881A37" w:rsidRDefault="00D73008" w:rsidP="00387AE5">
            <w:pPr>
              <w:jc w:val="center"/>
              <w:rPr>
                <w:rFonts w:cs="Times New Roman"/>
                <w:color w:val="000000"/>
                <w:sz w:val="18"/>
                <w:szCs w:val="18"/>
              </w:rPr>
            </w:pPr>
            <w:r w:rsidRPr="00881A37">
              <w:rPr>
                <w:sz w:val="18"/>
                <w:szCs w:val="18"/>
              </w:rPr>
              <w:t>3,2</w:t>
            </w:r>
          </w:p>
        </w:tc>
        <w:tc>
          <w:tcPr>
            <w:tcW w:w="615" w:type="dxa"/>
            <w:gridSpan w:val="2"/>
            <w:tcBorders>
              <w:top w:val="nil"/>
              <w:left w:val="nil"/>
              <w:bottom w:val="nil"/>
              <w:right w:val="nil"/>
            </w:tcBorders>
            <w:shd w:val="clear" w:color="auto" w:fill="auto"/>
            <w:hideMark/>
          </w:tcPr>
          <w:p w14:paraId="195AD42E" w14:textId="77777777" w:rsidR="00D73008" w:rsidRPr="00881A37" w:rsidRDefault="00D73008" w:rsidP="00387AE5">
            <w:pPr>
              <w:jc w:val="center"/>
              <w:rPr>
                <w:rFonts w:cs="Times New Roman"/>
                <w:color w:val="000000"/>
                <w:sz w:val="18"/>
                <w:szCs w:val="18"/>
              </w:rPr>
            </w:pPr>
            <w:r w:rsidRPr="00881A37">
              <w:rPr>
                <w:sz w:val="18"/>
                <w:szCs w:val="18"/>
              </w:rPr>
              <w:t>3,8</w:t>
            </w:r>
          </w:p>
        </w:tc>
        <w:tc>
          <w:tcPr>
            <w:tcW w:w="615" w:type="dxa"/>
            <w:tcBorders>
              <w:top w:val="nil"/>
              <w:left w:val="nil"/>
              <w:bottom w:val="nil"/>
              <w:right w:val="nil"/>
            </w:tcBorders>
            <w:shd w:val="clear" w:color="auto" w:fill="auto"/>
            <w:noWrap/>
            <w:hideMark/>
          </w:tcPr>
          <w:p w14:paraId="4C8AB01E" w14:textId="77777777" w:rsidR="00D73008" w:rsidRPr="00881A37" w:rsidRDefault="00D73008" w:rsidP="00387AE5">
            <w:pPr>
              <w:jc w:val="center"/>
              <w:rPr>
                <w:rFonts w:cs="Times New Roman"/>
                <w:color w:val="000000"/>
                <w:sz w:val="18"/>
                <w:szCs w:val="18"/>
              </w:rPr>
            </w:pPr>
            <w:r w:rsidRPr="00881A37">
              <w:rPr>
                <w:sz w:val="18"/>
                <w:szCs w:val="18"/>
              </w:rPr>
              <w:t>2,8</w:t>
            </w:r>
          </w:p>
        </w:tc>
        <w:tc>
          <w:tcPr>
            <w:tcW w:w="605" w:type="dxa"/>
            <w:tcBorders>
              <w:top w:val="nil"/>
              <w:left w:val="nil"/>
              <w:bottom w:val="nil"/>
              <w:right w:val="nil"/>
            </w:tcBorders>
            <w:shd w:val="clear" w:color="auto" w:fill="auto"/>
            <w:hideMark/>
          </w:tcPr>
          <w:p w14:paraId="7F934CB5" w14:textId="77777777" w:rsidR="00D73008" w:rsidRPr="00881A37" w:rsidRDefault="00D73008" w:rsidP="00387AE5">
            <w:pPr>
              <w:jc w:val="center"/>
              <w:rPr>
                <w:rFonts w:cs="Times New Roman"/>
                <w:color w:val="000000"/>
                <w:sz w:val="18"/>
                <w:szCs w:val="18"/>
              </w:rPr>
            </w:pPr>
            <w:r w:rsidRPr="00881A37">
              <w:rPr>
                <w:sz w:val="18"/>
                <w:szCs w:val="18"/>
              </w:rPr>
              <w:t>2,9</w:t>
            </w:r>
          </w:p>
        </w:tc>
        <w:tc>
          <w:tcPr>
            <w:tcW w:w="593" w:type="dxa"/>
            <w:tcBorders>
              <w:top w:val="nil"/>
              <w:left w:val="nil"/>
              <w:bottom w:val="nil"/>
              <w:right w:val="nil"/>
            </w:tcBorders>
            <w:shd w:val="clear" w:color="auto" w:fill="auto"/>
            <w:hideMark/>
          </w:tcPr>
          <w:p w14:paraId="50F2A57A" w14:textId="77777777" w:rsidR="00D73008" w:rsidRPr="00881A37" w:rsidRDefault="00D73008" w:rsidP="00387AE5">
            <w:pPr>
              <w:jc w:val="center"/>
              <w:rPr>
                <w:rFonts w:cs="Times New Roman"/>
                <w:color w:val="000000"/>
                <w:sz w:val="18"/>
                <w:szCs w:val="18"/>
              </w:rPr>
            </w:pPr>
            <w:r w:rsidRPr="00881A37">
              <w:rPr>
                <w:sz w:val="18"/>
                <w:szCs w:val="18"/>
              </w:rPr>
              <w:t>2,3</w:t>
            </w:r>
          </w:p>
        </w:tc>
        <w:tc>
          <w:tcPr>
            <w:tcW w:w="585" w:type="dxa"/>
            <w:tcBorders>
              <w:top w:val="nil"/>
              <w:left w:val="nil"/>
              <w:bottom w:val="nil"/>
              <w:right w:val="nil"/>
            </w:tcBorders>
            <w:shd w:val="clear" w:color="auto" w:fill="auto"/>
            <w:hideMark/>
          </w:tcPr>
          <w:p w14:paraId="07C31E8D" w14:textId="77777777" w:rsidR="00D73008" w:rsidRPr="00881A37" w:rsidRDefault="00D73008" w:rsidP="00387AE5">
            <w:pPr>
              <w:jc w:val="center"/>
              <w:rPr>
                <w:rFonts w:cs="Times New Roman"/>
                <w:color w:val="000000"/>
                <w:sz w:val="18"/>
                <w:szCs w:val="18"/>
              </w:rPr>
            </w:pPr>
            <w:r w:rsidRPr="00881A37">
              <w:rPr>
                <w:sz w:val="18"/>
                <w:szCs w:val="18"/>
              </w:rPr>
              <w:t>2,0</w:t>
            </w:r>
          </w:p>
        </w:tc>
      </w:tr>
      <w:tr w:rsidR="00D73008" w:rsidRPr="00881A37" w14:paraId="69ADF768"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vAlign w:val="center"/>
            <w:hideMark/>
          </w:tcPr>
          <w:p w14:paraId="0589BC73" w14:textId="77777777" w:rsidR="00D73008" w:rsidRPr="00881A37" w:rsidRDefault="00D73008" w:rsidP="00387AE5">
            <w:pPr>
              <w:rPr>
                <w:rFonts w:cs="Times New Roman"/>
                <w:color w:val="000000"/>
                <w:sz w:val="18"/>
                <w:szCs w:val="18"/>
              </w:rPr>
            </w:pPr>
            <w:r w:rsidRPr="00881A37">
              <w:rPr>
                <w:rFonts w:cs="Times New Roman"/>
                <w:color w:val="000000"/>
                <w:sz w:val="18"/>
                <w:szCs w:val="18"/>
              </w:rPr>
              <w:t>Priemerná mesačná mzda; nominálny rast</w:t>
            </w:r>
          </w:p>
        </w:tc>
        <w:tc>
          <w:tcPr>
            <w:tcW w:w="553" w:type="dxa"/>
            <w:tcBorders>
              <w:top w:val="nil"/>
              <w:left w:val="nil"/>
              <w:bottom w:val="nil"/>
              <w:right w:val="single" w:sz="8" w:space="0" w:color="auto"/>
            </w:tcBorders>
            <w:shd w:val="clear" w:color="auto" w:fill="auto"/>
            <w:noWrap/>
            <w:hideMark/>
          </w:tcPr>
          <w:p w14:paraId="100F423A" w14:textId="77777777" w:rsidR="00D73008" w:rsidRPr="00881A37" w:rsidRDefault="00D73008" w:rsidP="00387AE5">
            <w:pPr>
              <w:jc w:val="center"/>
              <w:rPr>
                <w:rFonts w:cs="Times New Roman"/>
                <w:color w:val="000000"/>
                <w:sz w:val="18"/>
                <w:szCs w:val="18"/>
              </w:rPr>
            </w:pPr>
            <w:r w:rsidRPr="00881A37">
              <w:rPr>
                <w:sz w:val="18"/>
                <w:szCs w:val="18"/>
              </w:rPr>
              <w:t>6,2</w:t>
            </w:r>
          </w:p>
        </w:tc>
        <w:tc>
          <w:tcPr>
            <w:tcW w:w="559" w:type="dxa"/>
            <w:tcBorders>
              <w:top w:val="nil"/>
              <w:left w:val="nil"/>
              <w:bottom w:val="nil"/>
              <w:right w:val="nil"/>
            </w:tcBorders>
            <w:shd w:val="clear" w:color="auto" w:fill="auto"/>
            <w:noWrap/>
            <w:hideMark/>
          </w:tcPr>
          <w:p w14:paraId="346C5242" w14:textId="77777777" w:rsidR="00D73008" w:rsidRPr="00881A37" w:rsidRDefault="00D73008" w:rsidP="00387AE5">
            <w:pPr>
              <w:jc w:val="center"/>
              <w:rPr>
                <w:rFonts w:cs="Times New Roman"/>
                <w:color w:val="000000"/>
                <w:sz w:val="18"/>
                <w:szCs w:val="18"/>
              </w:rPr>
            </w:pPr>
            <w:r w:rsidRPr="00881A37">
              <w:rPr>
                <w:sz w:val="18"/>
                <w:szCs w:val="18"/>
              </w:rPr>
              <w:t>6,5</w:t>
            </w:r>
          </w:p>
        </w:tc>
        <w:tc>
          <w:tcPr>
            <w:tcW w:w="559" w:type="dxa"/>
            <w:tcBorders>
              <w:top w:val="nil"/>
              <w:left w:val="nil"/>
              <w:bottom w:val="nil"/>
              <w:right w:val="nil"/>
            </w:tcBorders>
            <w:shd w:val="clear" w:color="auto" w:fill="auto"/>
            <w:noWrap/>
            <w:hideMark/>
          </w:tcPr>
          <w:p w14:paraId="3A9C87BE" w14:textId="77777777" w:rsidR="00D73008" w:rsidRPr="00881A37" w:rsidRDefault="00D73008" w:rsidP="00387AE5">
            <w:pPr>
              <w:jc w:val="center"/>
              <w:rPr>
                <w:rFonts w:cs="Times New Roman"/>
                <w:color w:val="000000"/>
                <w:sz w:val="18"/>
                <w:szCs w:val="18"/>
              </w:rPr>
            </w:pPr>
            <w:r w:rsidRPr="00881A37">
              <w:rPr>
                <w:sz w:val="18"/>
                <w:szCs w:val="18"/>
              </w:rPr>
              <w:t>6,7</w:t>
            </w:r>
          </w:p>
        </w:tc>
        <w:tc>
          <w:tcPr>
            <w:tcW w:w="559" w:type="dxa"/>
            <w:tcBorders>
              <w:top w:val="nil"/>
              <w:left w:val="nil"/>
              <w:bottom w:val="nil"/>
              <w:right w:val="nil"/>
            </w:tcBorders>
            <w:shd w:val="clear" w:color="auto" w:fill="auto"/>
            <w:noWrap/>
            <w:hideMark/>
          </w:tcPr>
          <w:p w14:paraId="22104EBB" w14:textId="77777777" w:rsidR="00D73008" w:rsidRPr="00881A37" w:rsidRDefault="00D73008" w:rsidP="00387AE5">
            <w:pPr>
              <w:jc w:val="center"/>
              <w:rPr>
                <w:rFonts w:cs="Times New Roman"/>
                <w:color w:val="000000"/>
                <w:sz w:val="18"/>
                <w:szCs w:val="18"/>
              </w:rPr>
            </w:pPr>
            <w:r w:rsidRPr="00881A37">
              <w:rPr>
                <w:sz w:val="18"/>
                <w:szCs w:val="18"/>
              </w:rPr>
              <w:t>5,5</w:t>
            </w:r>
          </w:p>
        </w:tc>
        <w:tc>
          <w:tcPr>
            <w:tcW w:w="615" w:type="dxa"/>
            <w:gridSpan w:val="2"/>
            <w:tcBorders>
              <w:top w:val="nil"/>
              <w:left w:val="nil"/>
              <w:bottom w:val="nil"/>
              <w:right w:val="nil"/>
            </w:tcBorders>
            <w:shd w:val="clear" w:color="auto" w:fill="auto"/>
            <w:noWrap/>
            <w:hideMark/>
          </w:tcPr>
          <w:p w14:paraId="66A91314" w14:textId="77777777" w:rsidR="00D73008" w:rsidRPr="00881A37" w:rsidRDefault="00D73008" w:rsidP="00387AE5">
            <w:pPr>
              <w:jc w:val="center"/>
              <w:rPr>
                <w:rFonts w:cs="Times New Roman"/>
                <w:color w:val="000000"/>
                <w:sz w:val="18"/>
                <w:szCs w:val="18"/>
              </w:rPr>
            </w:pPr>
            <w:r w:rsidRPr="00881A37">
              <w:rPr>
                <w:sz w:val="18"/>
                <w:szCs w:val="18"/>
              </w:rPr>
              <w:t>6,3</w:t>
            </w:r>
          </w:p>
        </w:tc>
        <w:tc>
          <w:tcPr>
            <w:tcW w:w="615" w:type="dxa"/>
            <w:tcBorders>
              <w:top w:val="nil"/>
              <w:left w:val="nil"/>
              <w:bottom w:val="nil"/>
              <w:right w:val="nil"/>
            </w:tcBorders>
            <w:shd w:val="clear" w:color="auto" w:fill="auto"/>
            <w:noWrap/>
            <w:hideMark/>
          </w:tcPr>
          <w:p w14:paraId="7F4DDA7A" w14:textId="77777777" w:rsidR="00D73008" w:rsidRPr="00881A37" w:rsidRDefault="00D73008" w:rsidP="00387AE5">
            <w:pPr>
              <w:jc w:val="center"/>
              <w:rPr>
                <w:rFonts w:cs="Times New Roman"/>
                <w:color w:val="000000"/>
                <w:sz w:val="18"/>
                <w:szCs w:val="18"/>
              </w:rPr>
            </w:pPr>
            <w:r w:rsidRPr="00881A37">
              <w:rPr>
                <w:sz w:val="18"/>
                <w:szCs w:val="18"/>
              </w:rPr>
              <w:t>4,9</w:t>
            </w:r>
          </w:p>
        </w:tc>
        <w:tc>
          <w:tcPr>
            <w:tcW w:w="605" w:type="dxa"/>
            <w:tcBorders>
              <w:top w:val="nil"/>
              <w:left w:val="nil"/>
              <w:bottom w:val="nil"/>
              <w:right w:val="nil"/>
            </w:tcBorders>
            <w:shd w:val="clear" w:color="auto" w:fill="auto"/>
            <w:hideMark/>
          </w:tcPr>
          <w:p w14:paraId="68C36FF5" w14:textId="77777777" w:rsidR="00D73008" w:rsidRPr="00881A37" w:rsidRDefault="00D73008" w:rsidP="00387AE5">
            <w:pPr>
              <w:jc w:val="center"/>
              <w:rPr>
                <w:rFonts w:cs="Times New Roman"/>
                <w:color w:val="000000"/>
                <w:sz w:val="18"/>
                <w:szCs w:val="18"/>
              </w:rPr>
            </w:pPr>
            <w:r w:rsidRPr="00881A37">
              <w:rPr>
                <w:sz w:val="18"/>
                <w:szCs w:val="18"/>
              </w:rPr>
              <w:t>5,3</w:t>
            </w:r>
          </w:p>
        </w:tc>
        <w:tc>
          <w:tcPr>
            <w:tcW w:w="593" w:type="dxa"/>
            <w:tcBorders>
              <w:top w:val="nil"/>
              <w:left w:val="nil"/>
              <w:bottom w:val="nil"/>
              <w:right w:val="nil"/>
            </w:tcBorders>
            <w:shd w:val="clear" w:color="auto" w:fill="auto"/>
            <w:hideMark/>
          </w:tcPr>
          <w:p w14:paraId="2CAAEABD" w14:textId="77777777" w:rsidR="00D73008" w:rsidRPr="00881A37" w:rsidRDefault="00D73008" w:rsidP="00387AE5">
            <w:pPr>
              <w:jc w:val="center"/>
              <w:rPr>
                <w:rFonts w:cs="Times New Roman"/>
                <w:color w:val="000000"/>
                <w:sz w:val="18"/>
                <w:szCs w:val="18"/>
              </w:rPr>
            </w:pPr>
            <w:r w:rsidRPr="00881A37">
              <w:rPr>
                <w:sz w:val="18"/>
                <w:szCs w:val="18"/>
              </w:rPr>
              <w:t>4,4</w:t>
            </w:r>
          </w:p>
        </w:tc>
        <w:tc>
          <w:tcPr>
            <w:tcW w:w="585" w:type="dxa"/>
            <w:tcBorders>
              <w:top w:val="nil"/>
              <w:left w:val="nil"/>
              <w:bottom w:val="nil"/>
              <w:right w:val="nil"/>
            </w:tcBorders>
            <w:shd w:val="clear" w:color="auto" w:fill="auto"/>
            <w:hideMark/>
          </w:tcPr>
          <w:p w14:paraId="33FC1B3E" w14:textId="77777777" w:rsidR="00D73008" w:rsidRPr="00881A37" w:rsidRDefault="00D73008" w:rsidP="00387AE5">
            <w:pPr>
              <w:jc w:val="center"/>
              <w:rPr>
                <w:rFonts w:cs="Times New Roman"/>
                <w:color w:val="000000"/>
                <w:sz w:val="18"/>
                <w:szCs w:val="18"/>
              </w:rPr>
            </w:pPr>
            <w:r w:rsidRPr="00881A37">
              <w:rPr>
                <w:sz w:val="18"/>
                <w:szCs w:val="18"/>
              </w:rPr>
              <w:t>4,5</w:t>
            </w:r>
          </w:p>
        </w:tc>
      </w:tr>
      <w:tr w:rsidR="00D73008" w:rsidRPr="00881A37" w14:paraId="25F47E15"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vAlign w:val="center"/>
            <w:hideMark/>
          </w:tcPr>
          <w:p w14:paraId="51F94179" w14:textId="3FFD7D3A" w:rsidR="00D73008" w:rsidRPr="00881A37" w:rsidRDefault="00D73008" w:rsidP="00387AE5">
            <w:pPr>
              <w:rPr>
                <w:rFonts w:cs="Times New Roman"/>
                <w:color w:val="000000"/>
                <w:sz w:val="18"/>
                <w:szCs w:val="18"/>
              </w:rPr>
            </w:pPr>
            <w:r w:rsidRPr="00881A37">
              <w:rPr>
                <w:rFonts w:cs="Times New Roman"/>
                <w:color w:val="000000"/>
                <w:sz w:val="18"/>
                <w:szCs w:val="18"/>
              </w:rPr>
              <w:t>Rast zamestnanosti (</w:t>
            </w:r>
            <w:r w:rsidR="00684201" w:rsidRPr="00881A37">
              <w:rPr>
                <w:rFonts w:cs="Times New Roman"/>
                <w:color w:val="000000"/>
                <w:sz w:val="18"/>
                <w:szCs w:val="18"/>
              </w:rPr>
              <w:t>štát</w:t>
            </w:r>
            <w:r w:rsidRPr="00881A37">
              <w:rPr>
                <w:rFonts w:cs="Times New Roman"/>
                <w:color w:val="000000"/>
                <w:sz w:val="18"/>
                <w:szCs w:val="18"/>
              </w:rPr>
              <w:t>. výkazníctvo)</w:t>
            </w:r>
          </w:p>
        </w:tc>
        <w:tc>
          <w:tcPr>
            <w:tcW w:w="553" w:type="dxa"/>
            <w:tcBorders>
              <w:top w:val="nil"/>
              <w:left w:val="nil"/>
              <w:bottom w:val="nil"/>
              <w:right w:val="single" w:sz="8" w:space="0" w:color="auto"/>
            </w:tcBorders>
            <w:shd w:val="clear" w:color="auto" w:fill="auto"/>
            <w:noWrap/>
            <w:hideMark/>
          </w:tcPr>
          <w:p w14:paraId="62519FFD" w14:textId="77777777" w:rsidR="00D73008" w:rsidRPr="00881A37" w:rsidRDefault="00D73008" w:rsidP="00387AE5">
            <w:pPr>
              <w:jc w:val="center"/>
              <w:rPr>
                <w:rFonts w:cs="Times New Roman"/>
                <w:color w:val="000000"/>
                <w:sz w:val="18"/>
                <w:szCs w:val="18"/>
              </w:rPr>
            </w:pPr>
            <w:r w:rsidRPr="00881A37">
              <w:rPr>
                <w:sz w:val="18"/>
                <w:szCs w:val="18"/>
              </w:rPr>
              <w:t>1,9</w:t>
            </w:r>
          </w:p>
        </w:tc>
        <w:tc>
          <w:tcPr>
            <w:tcW w:w="559" w:type="dxa"/>
            <w:tcBorders>
              <w:top w:val="nil"/>
              <w:left w:val="nil"/>
              <w:bottom w:val="nil"/>
              <w:right w:val="nil"/>
            </w:tcBorders>
            <w:shd w:val="clear" w:color="auto" w:fill="auto"/>
            <w:noWrap/>
            <w:hideMark/>
          </w:tcPr>
          <w:p w14:paraId="70738F5D" w14:textId="77777777" w:rsidR="00D73008" w:rsidRPr="00881A37" w:rsidRDefault="00D73008" w:rsidP="00387AE5">
            <w:pPr>
              <w:jc w:val="center"/>
              <w:rPr>
                <w:rFonts w:cs="Times New Roman"/>
                <w:color w:val="000000"/>
                <w:sz w:val="18"/>
                <w:szCs w:val="18"/>
              </w:rPr>
            </w:pPr>
            <w:r w:rsidRPr="00881A37">
              <w:rPr>
                <w:sz w:val="18"/>
                <w:szCs w:val="18"/>
              </w:rPr>
              <w:t>1,1</w:t>
            </w:r>
          </w:p>
        </w:tc>
        <w:tc>
          <w:tcPr>
            <w:tcW w:w="559" w:type="dxa"/>
            <w:tcBorders>
              <w:top w:val="nil"/>
              <w:left w:val="nil"/>
              <w:bottom w:val="nil"/>
              <w:right w:val="nil"/>
            </w:tcBorders>
            <w:shd w:val="clear" w:color="auto" w:fill="auto"/>
            <w:noWrap/>
            <w:hideMark/>
          </w:tcPr>
          <w:p w14:paraId="1C4FD68D" w14:textId="77777777" w:rsidR="00D73008" w:rsidRPr="00881A37" w:rsidRDefault="00D73008" w:rsidP="00387AE5">
            <w:pPr>
              <w:jc w:val="center"/>
              <w:rPr>
                <w:rFonts w:cs="Times New Roman"/>
                <w:color w:val="000000"/>
                <w:sz w:val="18"/>
                <w:szCs w:val="18"/>
              </w:rPr>
            </w:pPr>
            <w:r w:rsidRPr="00881A37">
              <w:rPr>
                <w:sz w:val="18"/>
                <w:szCs w:val="18"/>
              </w:rPr>
              <w:t>1,1</w:t>
            </w:r>
          </w:p>
        </w:tc>
        <w:tc>
          <w:tcPr>
            <w:tcW w:w="559" w:type="dxa"/>
            <w:tcBorders>
              <w:top w:val="nil"/>
              <w:left w:val="nil"/>
              <w:bottom w:val="nil"/>
              <w:right w:val="nil"/>
            </w:tcBorders>
            <w:shd w:val="clear" w:color="auto" w:fill="auto"/>
            <w:noWrap/>
            <w:hideMark/>
          </w:tcPr>
          <w:p w14:paraId="3DE6AB20" w14:textId="77777777" w:rsidR="00D73008" w:rsidRPr="00881A37" w:rsidRDefault="00D73008" w:rsidP="00387AE5">
            <w:pPr>
              <w:jc w:val="center"/>
              <w:rPr>
                <w:rFonts w:cs="Times New Roman"/>
                <w:color w:val="000000"/>
                <w:sz w:val="18"/>
                <w:szCs w:val="18"/>
              </w:rPr>
            </w:pPr>
            <w:r w:rsidRPr="00881A37">
              <w:rPr>
                <w:sz w:val="18"/>
                <w:szCs w:val="18"/>
              </w:rPr>
              <w:t>0,8</w:t>
            </w:r>
          </w:p>
        </w:tc>
        <w:tc>
          <w:tcPr>
            <w:tcW w:w="615" w:type="dxa"/>
            <w:gridSpan w:val="2"/>
            <w:tcBorders>
              <w:top w:val="nil"/>
              <w:left w:val="nil"/>
              <w:bottom w:val="nil"/>
              <w:right w:val="nil"/>
            </w:tcBorders>
            <w:shd w:val="clear" w:color="auto" w:fill="auto"/>
            <w:noWrap/>
            <w:hideMark/>
          </w:tcPr>
          <w:p w14:paraId="553FC48A" w14:textId="77777777" w:rsidR="00D73008" w:rsidRPr="00881A37" w:rsidRDefault="00D73008" w:rsidP="00387AE5">
            <w:pPr>
              <w:jc w:val="center"/>
              <w:rPr>
                <w:rFonts w:cs="Times New Roman"/>
                <w:color w:val="000000"/>
                <w:sz w:val="18"/>
                <w:szCs w:val="18"/>
              </w:rPr>
            </w:pPr>
            <w:r w:rsidRPr="00881A37">
              <w:rPr>
                <w:sz w:val="18"/>
                <w:szCs w:val="18"/>
              </w:rPr>
              <w:t>0,8</w:t>
            </w:r>
          </w:p>
        </w:tc>
        <w:tc>
          <w:tcPr>
            <w:tcW w:w="615" w:type="dxa"/>
            <w:tcBorders>
              <w:top w:val="nil"/>
              <w:left w:val="nil"/>
              <w:bottom w:val="nil"/>
              <w:right w:val="nil"/>
            </w:tcBorders>
            <w:shd w:val="clear" w:color="auto" w:fill="auto"/>
            <w:noWrap/>
            <w:hideMark/>
          </w:tcPr>
          <w:p w14:paraId="0A63BAC7" w14:textId="77777777" w:rsidR="00D73008" w:rsidRPr="00881A37" w:rsidRDefault="00D73008" w:rsidP="00387AE5">
            <w:pPr>
              <w:jc w:val="center"/>
              <w:rPr>
                <w:rFonts w:cs="Times New Roman"/>
                <w:color w:val="000000"/>
                <w:sz w:val="18"/>
                <w:szCs w:val="18"/>
              </w:rPr>
            </w:pPr>
            <w:r w:rsidRPr="00881A37">
              <w:rPr>
                <w:sz w:val="18"/>
                <w:szCs w:val="18"/>
              </w:rPr>
              <w:t>0,3</w:t>
            </w:r>
          </w:p>
        </w:tc>
        <w:tc>
          <w:tcPr>
            <w:tcW w:w="605" w:type="dxa"/>
            <w:tcBorders>
              <w:top w:val="nil"/>
              <w:left w:val="nil"/>
              <w:bottom w:val="nil"/>
              <w:right w:val="nil"/>
            </w:tcBorders>
            <w:shd w:val="clear" w:color="auto" w:fill="auto"/>
            <w:hideMark/>
          </w:tcPr>
          <w:p w14:paraId="2F011333" w14:textId="77777777" w:rsidR="00D73008" w:rsidRPr="00881A37" w:rsidRDefault="00D73008" w:rsidP="00387AE5">
            <w:pPr>
              <w:jc w:val="center"/>
              <w:rPr>
                <w:rFonts w:cs="Times New Roman"/>
                <w:color w:val="000000"/>
                <w:sz w:val="18"/>
                <w:szCs w:val="18"/>
              </w:rPr>
            </w:pPr>
            <w:r w:rsidRPr="00881A37">
              <w:rPr>
                <w:sz w:val="18"/>
                <w:szCs w:val="18"/>
              </w:rPr>
              <w:t>0,6</w:t>
            </w:r>
          </w:p>
        </w:tc>
        <w:tc>
          <w:tcPr>
            <w:tcW w:w="593" w:type="dxa"/>
            <w:tcBorders>
              <w:top w:val="nil"/>
              <w:left w:val="nil"/>
              <w:bottom w:val="nil"/>
              <w:right w:val="nil"/>
            </w:tcBorders>
            <w:shd w:val="clear" w:color="auto" w:fill="auto"/>
            <w:hideMark/>
          </w:tcPr>
          <w:p w14:paraId="574A5A20" w14:textId="77777777" w:rsidR="00D73008" w:rsidRPr="00881A37" w:rsidRDefault="00D73008" w:rsidP="00387AE5">
            <w:pPr>
              <w:jc w:val="center"/>
              <w:rPr>
                <w:rFonts w:cs="Times New Roman"/>
                <w:color w:val="000000"/>
                <w:sz w:val="18"/>
                <w:szCs w:val="18"/>
              </w:rPr>
            </w:pPr>
            <w:r w:rsidRPr="00881A37">
              <w:rPr>
                <w:sz w:val="18"/>
                <w:szCs w:val="18"/>
              </w:rPr>
              <w:t>0,4</w:t>
            </w:r>
          </w:p>
        </w:tc>
        <w:tc>
          <w:tcPr>
            <w:tcW w:w="585" w:type="dxa"/>
            <w:tcBorders>
              <w:top w:val="nil"/>
              <w:left w:val="nil"/>
              <w:bottom w:val="nil"/>
              <w:right w:val="nil"/>
            </w:tcBorders>
            <w:shd w:val="clear" w:color="auto" w:fill="auto"/>
            <w:hideMark/>
          </w:tcPr>
          <w:p w14:paraId="5A706C38" w14:textId="77777777" w:rsidR="00D73008" w:rsidRPr="00881A37" w:rsidRDefault="00D73008" w:rsidP="00387AE5">
            <w:pPr>
              <w:jc w:val="center"/>
              <w:rPr>
                <w:rFonts w:cs="Times New Roman"/>
                <w:color w:val="000000"/>
                <w:sz w:val="18"/>
                <w:szCs w:val="18"/>
              </w:rPr>
            </w:pPr>
            <w:r w:rsidRPr="00881A37">
              <w:rPr>
                <w:sz w:val="18"/>
                <w:szCs w:val="18"/>
              </w:rPr>
              <w:t>0,5</w:t>
            </w:r>
          </w:p>
        </w:tc>
      </w:tr>
      <w:tr w:rsidR="00D73008" w:rsidRPr="00881A37" w14:paraId="64EE8DA4"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nil"/>
              <w:right w:val="single" w:sz="8" w:space="0" w:color="auto"/>
            </w:tcBorders>
            <w:shd w:val="clear" w:color="auto" w:fill="auto"/>
            <w:vAlign w:val="center"/>
            <w:hideMark/>
          </w:tcPr>
          <w:p w14:paraId="2F95A806" w14:textId="77777777" w:rsidR="00D73008" w:rsidRPr="00881A37" w:rsidRDefault="00D73008" w:rsidP="00387AE5">
            <w:pPr>
              <w:rPr>
                <w:rFonts w:cs="Times New Roman"/>
                <w:color w:val="000000"/>
                <w:sz w:val="18"/>
                <w:szCs w:val="18"/>
              </w:rPr>
            </w:pPr>
            <w:r w:rsidRPr="00881A37">
              <w:rPr>
                <w:rFonts w:cs="Times New Roman"/>
                <w:color w:val="000000"/>
                <w:sz w:val="18"/>
                <w:szCs w:val="18"/>
              </w:rPr>
              <w:t>Index spotrebiteľských cien; priemerný rast; CPI</w:t>
            </w:r>
          </w:p>
        </w:tc>
        <w:tc>
          <w:tcPr>
            <w:tcW w:w="553" w:type="dxa"/>
            <w:tcBorders>
              <w:top w:val="nil"/>
              <w:left w:val="nil"/>
              <w:bottom w:val="nil"/>
              <w:right w:val="single" w:sz="8" w:space="0" w:color="auto"/>
            </w:tcBorders>
            <w:shd w:val="clear" w:color="auto" w:fill="auto"/>
            <w:noWrap/>
            <w:hideMark/>
          </w:tcPr>
          <w:p w14:paraId="1B5BB118" w14:textId="77777777" w:rsidR="00D73008" w:rsidRPr="00881A37" w:rsidRDefault="00D73008" w:rsidP="00387AE5">
            <w:pPr>
              <w:jc w:val="center"/>
              <w:rPr>
                <w:rFonts w:cs="Times New Roman"/>
                <w:color w:val="000000"/>
                <w:sz w:val="18"/>
                <w:szCs w:val="18"/>
              </w:rPr>
            </w:pPr>
            <w:r w:rsidRPr="00881A37">
              <w:rPr>
                <w:sz w:val="18"/>
                <w:szCs w:val="18"/>
              </w:rPr>
              <w:t>2,5</w:t>
            </w:r>
          </w:p>
        </w:tc>
        <w:tc>
          <w:tcPr>
            <w:tcW w:w="559" w:type="dxa"/>
            <w:tcBorders>
              <w:top w:val="nil"/>
              <w:left w:val="nil"/>
              <w:bottom w:val="nil"/>
              <w:right w:val="nil"/>
            </w:tcBorders>
            <w:shd w:val="clear" w:color="auto" w:fill="auto"/>
            <w:noWrap/>
            <w:hideMark/>
          </w:tcPr>
          <w:p w14:paraId="27A5A110" w14:textId="77777777" w:rsidR="00D73008" w:rsidRPr="00881A37" w:rsidRDefault="00D73008" w:rsidP="00387AE5">
            <w:pPr>
              <w:jc w:val="center"/>
              <w:rPr>
                <w:rFonts w:cs="Times New Roman"/>
                <w:color w:val="000000"/>
                <w:sz w:val="18"/>
                <w:szCs w:val="18"/>
              </w:rPr>
            </w:pPr>
            <w:r w:rsidRPr="00881A37">
              <w:rPr>
                <w:sz w:val="18"/>
                <w:szCs w:val="18"/>
              </w:rPr>
              <w:t>2,6</w:t>
            </w:r>
          </w:p>
        </w:tc>
        <w:tc>
          <w:tcPr>
            <w:tcW w:w="559" w:type="dxa"/>
            <w:tcBorders>
              <w:top w:val="nil"/>
              <w:left w:val="nil"/>
              <w:bottom w:val="nil"/>
              <w:right w:val="nil"/>
            </w:tcBorders>
            <w:shd w:val="clear" w:color="auto" w:fill="auto"/>
            <w:noWrap/>
            <w:hideMark/>
          </w:tcPr>
          <w:p w14:paraId="1820B742" w14:textId="77777777" w:rsidR="00D73008" w:rsidRPr="00881A37" w:rsidRDefault="00D73008" w:rsidP="00387AE5">
            <w:pPr>
              <w:jc w:val="center"/>
              <w:rPr>
                <w:rFonts w:cs="Times New Roman"/>
                <w:color w:val="000000"/>
                <w:sz w:val="18"/>
                <w:szCs w:val="18"/>
              </w:rPr>
            </w:pPr>
            <w:r w:rsidRPr="00881A37">
              <w:rPr>
                <w:sz w:val="18"/>
                <w:szCs w:val="18"/>
              </w:rPr>
              <w:t>2,6</w:t>
            </w:r>
          </w:p>
        </w:tc>
        <w:tc>
          <w:tcPr>
            <w:tcW w:w="559" w:type="dxa"/>
            <w:tcBorders>
              <w:top w:val="nil"/>
              <w:left w:val="nil"/>
              <w:bottom w:val="nil"/>
              <w:right w:val="nil"/>
            </w:tcBorders>
            <w:shd w:val="clear" w:color="auto" w:fill="auto"/>
            <w:noWrap/>
            <w:hideMark/>
          </w:tcPr>
          <w:p w14:paraId="3A232DA7" w14:textId="77777777" w:rsidR="00D73008" w:rsidRPr="00881A37" w:rsidRDefault="00D73008" w:rsidP="00387AE5">
            <w:pPr>
              <w:jc w:val="center"/>
              <w:rPr>
                <w:rFonts w:cs="Times New Roman"/>
                <w:color w:val="000000"/>
                <w:sz w:val="18"/>
                <w:szCs w:val="18"/>
              </w:rPr>
            </w:pPr>
            <w:r w:rsidRPr="00881A37">
              <w:rPr>
                <w:sz w:val="18"/>
                <w:szCs w:val="18"/>
              </w:rPr>
              <w:t>2,3</w:t>
            </w:r>
          </w:p>
        </w:tc>
        <w:tc>
          <w:tcPr>
            <w:tcW w:w="615" w:type="dxa"/>
            <w:gridSpan w:val="2"/>
            <w:tcBorders>
              <w:top w:val="nil"/>
              <w:left w:val="nil"/>
              <w:bottom w:val="nil"/>
              <w:right w:val="nil"/>
            </w:tcBorders>
            <w:shd w:val="clear" w:color="auto" w:fill="auto"/>
            <w:noWrap/>
            <w:hideMark/>
          </w:tcPr>
          <w:p w14:paraId="729B2EDD" w14:textId="77777777" w:rsidR="00D73008" w:rsidRPr="00881A37" w:rsidRDefault="00D73008" w:rsidP="00387AE5">
            <w:pPr>
              <w:jc w:val="center"/>
              <w:rPr>
                <w:rFonts w:cs="Times New Roman"/>
                <w:color w:val="000000"/>
                <w:sz w:val="18"/>
                <w:szCs w:val="18"/>
              </w:rPr>
            </w:pPr>
            <w:r w:rsidRPr="00881A37">
              <w:rPr>
                <w:sz w:val="18"/>
                <w:szCs w:val="18"/>
              </w:rPr>
              <w:t>2,4</w:t>
            </w:r>
          </w:p>
        </w:tc>
        <w:tc>
          <w:tcPr>
            <w:tcW w:w="615" w:type="dxa"/>
            <w:tcBorders>
              <w:top w:val="nil"/>
              <w:left w:val="nil"/>
              <w:bottom w:val="nil"/>
              <w:right w:val="nil"/>
            </w:tcBorders>
            <w:shd w:val="clear" w:color="auto" w:fill="auto"/>
            <w:noWrap/>
            <w:hideMark/>
          </w:tcPr>
          <w:p w14:paraId="4661D443" w14:textId="77777777" w:rsidR="00D73008" w:rsidRPr="00881A37" w:rsidRDefault="00D73008" w:rsidP="00387AE5">
            <w:pPr>
              <w:jc w:val="center"/>
              <w:rPr>
                <w:rFonts w:cs="Times New Roman"/>
                <w:color w:val="000000"/>
                <w:sz w:val="18"/>
                <w:szCs w:val="18"/>
              </w:rPr>
            </w:pPr>
            <w:r w:rsidRPr="00881A37">
              <w:rPr>
                <w:sz w:val="18"/>
                <w:szCs w:val="18"/>
              </w:rPr>
              <w:t>2,1</w:t>
            </w:r>
          </w:p>
        </w:tc>
        <w:tc>
          <w:tcPr>
            <w:tcW w:w="605" w:type="dxa"/>
            <w:tcBorders>
              <w:top w:val="nil"/>
              <w:left w:val="nil"/>
              <w:bottom w:val="nil"/>
              <w:right w:val="nil"/>
            </w:tcBorders>
            <w:shd w:val="clear" w:color="auto" w:fill="auto"/>
            <w:hideMark/>
          </w:tcPr>
          <w:p w14:paraId="3218F179" w14:textId="77777777" w:rsidR="00D73008" w:rsidRPr="00881A37" w:rsidRDefault="00D73008" w:rsidP="00387AE5">
            <w:pPr>
              <w:jc w:val="center"/>
              <w:rPr>
                <w:rFonts w:cs="Times New Roman"/>
                <w:color w:val="000000"/>
                <w:sz w:val="18"/>
                <w:szCs w:val="18"/>
              </w:rPr>
            </w:pPr>
            <w:r w:rsidRPr="00881A37">
              <w:rPr>
                <w:sz w:val="18"/>
                <w:szCs w:val="18"/>
              </w:rPr>
              <w:t>2,4</w:t>
            </w:r>
          </w:p>
        </w:tc>
        <w:tc>
          <w:tcPr>
            <w:tcW w:w="593" w:type="dxa"/>
            <w:tcBorders>
              <w:top w:val="nil"/>
              <w:left w:val="nil"/>
              <w:bottom w:val="nil"/>
              <w:right w:val="nil"/>
            </w:tcBorders>
            <w:shd w:val="clear" w:color="auto" w:fill="auto"/>
            <w:hideMark/>
          </w:tcPr>
          <w:p w14:paraId="01F46E5A" w14:textId="77777777" w:rsidR="00D73008" w:rsidRPr="00881A37" w:rsidRDefault="00D73008" w:rsidP="00387AE5">
            <w:pPr>
              <w:jc w:val="center"/>
              <w:rPr>
                <w:rFonts w:cs="Times New Roman"/>
                <w:color w:val="000000"/>
                <w:sz w:val="18"/>
                <w:szCs w:val="18"/>
              </w:rPr>
            </w:pPr>
            <w:r w:rsidRPr="00881A37">
              <w:rPr>
                <w:sz w:val="18"/>
                <w:szCs w:val="18"/>
              </w:rPr>
              <w:t>2,1</w:t>
            </w:r>
          </w:p>
        </w:tc>
        <w:tc>
          <w:tcPr>
            <w:tcW w:w="585" w:type="dxa"/>
            <w:tcBorders>
              <w:top w:val="nil"/>
              <w:left w:val="nil"/>
              <w:bottom w:val="nil"/>
              <w:right w:val="nil"/>
            </w:tcBorders>
            <w:shd w:val="clear" w:color="auto" w:fill="auto"/>
            <w:hideMark/>
          </w:tcPr>
          <w:p w14:paraId="193A1970" w14:textId="77777777" w:rsidR="00D73008" w:rsidRPr="00881A37" w:rsidRDefault="00D73008" w:rsidP="00387AE5">
            <w:pPr>
              <w:jc w:val="center"/>
              <w:rPr>
                <w:rFonts w:cs="Times New Roman"/>
                <w:color w:val="000000"/>
                <w:sz w:val="18"/>
                <w:szCs w:val="18"/>
              </w:rPr>
            </w:pPr>
            <w:r w:rsidRPr="00881A37">
              <w:rPr>
                <w:sz w:val="18"/>
                <w:szCs w:val="18"/>
              </w:rPr>
              <w:t>2,4</w:t>
            </w:r>
          </w:p>
        </w:tc>
      </w:tr>
      <w:tr w:rsidR="00D73008" w:rsidRPr="00881A37" w14:paraId="0E661A7E"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83"/>
          <w:jc w:val="center"/>
        </w:trPr>
        <w:tc>
          <w:tcPr>
            <w:tcW w:w="3827" w:type="dxa"/>
            <w:gridSpan w:val="2"/>
            <w:tcBorders>
              <w:top w:val="nil"/>
              <w:left w:val="nil"/>
              <w:bottom w:val="single" w:sz="8" w:space="0" w:color="auto"/>
              <w:right w:val="single" w:sz="8" w:space="0" w:color="auto"/>
            </w:tcBorders>
            <w:shd w:val="clear" w:color="auto" w:fill="auto"/>
            <w:vAlign w:val="center"/>
            <w:hideMark/>
          </w:tcPr>
          <w:p w14:paraId="2EBCC703" w14:textId="77777777" w:rsidR="00D73008" w:rsidRPr="00881A37" w:rsidRDefault="00D73008" w:rsidP="00387AE5">
            <w:pPr>
              <w:rPr>
                <w:rFonts w:cs="Times New Roman"/>
                <w:color w:val="000000"/>
                <w:sz w:val="18"/>
                <w:szCs w:val="18"/>
              </w:rPr>
            </w:pPr>
            <w:r w:rsidRPr="00881A37">
              <w:rPr>
                <w:rFonts w:cs="Times New Roman"/>
                <w:color w:val="000000"/>
                <w:sz w:val="18"/>
                <w:szCs w:val="18"/>
              </w:rPr>
              <w:t>Bilancia bežného účtu; podiel na HDP</w:t>
            </w:r>
          </w:p>
        </w:tc>
        <w:tc>
          <w:tcPr>
            <w:tcW w:w="553" w:type="dxa"/>
            <w:tcBorders>
              <w:top w:val="nil"/>
              <w:left w:val="nil"/>
              <w:bottom w:val="single" w:sz="8" w:space="0" w:color="auto"/>
              <w:right w:val="single" w:sz="8" w:space="0" w:color="auto"/>
            </w:tcBorders>
            <w:shd w:val="clear" w:color="auto" w:fill="auto"/>
            <w:noWrap/>
            <w:hideMark/>
          </w:tcPr>
          <w:p w14:paraId="1B2B904A" w14:textId="77777777" w:rsidR="00D73008" w:rsidRPr="00881A37" w:rsidRDefault="00D73008" w:rsidP="00387AE5">
            <w:pPr>
              <w:jc w:val="center"/>
              <w:rPr>
                <w:rFonts w:cs="Times New Roman"/>
                <w:color w:val="000000"/>
                <w:sz w:val="18"/>
                <w:szCs w:val="18"/>
              </w:rPr>
            </w:pPr>
            <w:r w:rsidRPr="00881A37">
              <w:rPr>
                <w:sz w:val="18"/>
                <w:szCs w:val="18"/>
              </w:rPr>
              <w:t>-2,5</w:t>
            </w:r>
          </w:p>
        </w:tc>
        <w:tc>
          <w:tcPr>
            <w:tcW w:w="559" w:type="dxa"/>
            <w:tcBorders>
              <w:top w:val="nil"/>
              <w:left w:val="nil"/>
              <w:bottom w:val="single" w:sz="8" w:space="0" w:color="auto"/>
              <w:right w:val="nil"/>
            </w:tcBorders>
            <w:shd w:val="clear" w:color="auto" w:fill="auto"/>
            <w:noWrap/>
            <w:hideMark/>
          </w:tcPr>
          <w:p w14:paraId="714B2452" w14:textId="77777777" w:rsidR="00D73008" w:rsidRPr="00881A37" w:rsidRDefault="00D73008" w:rsidP="00387AE5">
            <w:pPr>
              <w:jc w:val="center"/>
              <w:rPr>
                <w:rFonts w:cs="Times New Roman"/>
                <w:color w:val="000000"/>
                <w:sz w:val="18"/>
                <w:szCs w:val="18"/>
              </w:rPr>
            </w:pPr>
            <w:r w:rsidRPr="00881A37">
              <w:rPr>
                <w:sz w:val="18"/>
                <w:szCs w:val="18"/>
              </w:rPr>
              <w:t>-0,9</w:t>
            </w:r>
          </w:p>
        </w:tc>
        <w:tc>
          <w:tcPr>
            <w:tcW w:w="559" w:type="dxa"/>
            <w:tcBorders>
              <w:top w:val="nil"/>
              <w:left w:val="nil"/>
              <w:bottom w:val="single" w:sz="8" w:space="0" w:color="auto"/>
              <w:right w:val="nil"/>
            </w:tcBorders>
            <w:shd w:val="clear" w:color="auto" w:fill="auto"/>
            <w:noWrap/>
            <w:hideMark/>
          </w:tcPr>
          <w:p w14:paraId="6ABD5BE4" w14:textId="77777777" w:rsidR="00D73008" w:rsidRPr="00881A37" w:rsidRDefault="00D73008" w:rsidP="00387AE5">
            <w:pPr>
              <w:jc w:val="center"/>
              <w:rPr>
                <w:rFonts w:cs="Times New Roman"/>
                <w:color w:val="000000"/>
                <w:sz w:val="18"/>
                <w:szCs w:val="18"/>
              </w:rPr>
            </w:pPr>
            <w:r w:rsidRPr="00881A37">
              <w:rPr>
                <w:sz w:val="18"/>
                <w:szCs w:val="18"/>
              </w:rPr>
              <w:t>-2,0</w:t>
            </w:r>
          </w:p>
        </w:tc>
        <w:tc>
          <w:tcPr>
            <w:tcW w:w="559" w:type="dxa"/>
            <w:tcBorders>
              <w:top w:val="nil"/>
              <w:left w:val="nil"/>
              <w:bottom w:val="single" w:sz="8" w:space="0" w:color="auto"/>
              <w:right w:val="nil"/>
            </w:tcBorders>
            <w:shd w:val="clear" w:color="auto" w:fill="auto"/>
            <w:noWrap/>
            <w:hideMark/>
          </w:tcPr>
          <w:p w14:paraId="7D7B2EA3" w14:textId="77777777" w:rsidR="00D73008" w:rsidRPr="00881A37" w:rsidRDefault="00D73008" w:rsidP="00387AE5">
            <w:pPr>
              <w:jc w:val="center"/>
              <w:rPr>
                <w:rFonts w:cs="Times New Roman"/>
                <w:color w:val="000000"/>
                <w:sz w:val="18"/>
                <w:szCs w:val="18"/>
              </w:rPr>
            </w:pPr>
            <w:r w:rsidRPr="00881A37">
              <w:rPr>
                <w:sz w:val="18"/>
                <w:szCs w:val="18"/>
              </w:rPr>
              <w:t>-0,7</w:t>
            </w:r>
          </w:p>
        </w:tc>
        <w:tc>
          <w:tcPr>
            <w:tcW w:w="615" w:type="dxa"/>
            <w:gridSpan w:val="2"/>
            <w:tcBorders>
              <w:top w:val="nil"/>
              <w:left w:val="nil"/>
              <w:bottom w:val="single" w:sz="8" w:space="0" w:color="auto"/>
              <w:right w:val="nil"/>
            </w:tcBorders>
            <w:shd w:val="clear" w:color="auto" w:fill="auto"/>
            <w:noWrap/>
            <w:hideMark/>
          </w:tcPr>
          <w:p w14:paraId="79B92A3C" w14:textId="77777777" w:rsidR="00D73008" w:rsidRPr="00881A37" w:rsidRDefault="00D73008" w:rsidP="00387AE5">
            <w:pPr>
              <w:jc w:val="center"/>
              <w:rPr>
                <w:rFonts w:cs="Times New Roman"/>
                <w:color w:val="000000"/>
                <w:sz w:val="18"/>
                <w:szCs w:val="18"/>
              </w:rPr>
            </w:pPr>
            <w:r w:rsidRPr="00881A37">
              <w:rPr>
                <w:sz w:val="18"/>
                <w:szCs w:val="18"/>
              </w:rPr>
              <w:t>-1,5</w:t>
            </w:r>
          </w:p>
        </w:tc>
        <w:tc>
          <w:tcPr>
            <w:tcW w:w="615" w:type="dxa"/>
            <w:tcBorders>
              <w:top w:val="nil"/>
              <w:left w:val="nil"/>
              <w:bottom w:val="single" w:sz="8" w:space="0" w:color="auto"/>
              <w:right w:val="nil"/>
            </w:tcBorders>
            <w:shd w:val="clear" w:color="auto" w:fill="auto"/>
            <w:noWrap/>
            <w:hideMark/>
          </w:tcPr>
          <w:p w14:paraId="4F9625EC" w14:textId="77777777" w:rsidR="00D73008" w:rsidRPr="00881A37" w:rsidRDefault="00D73008" w:rsidP="00387AE5">
            <w:pPr>
              <w:jc w:val="center"/>
              <w:rPr>
                <w:rFonts w:cs="Times New Roman"/>
                <w:color w:val="000000"/>
                <w:sz w:val="18"/>
                <w:szCs w:val="18"/>
              </w:rPr>
            </w:pPr>
            <w:r w:rsidRPr="00881A37">
              <w:rPr>
                <w:sz w:val="18"/>
                <w:szCs w:val="18"/>
              </w:rPr>
              <w:t>-0,7</w:t>
            </w:r>
          </w:p>
        </w:tc>
        <w:tc>
          <w:tcPr>
            <w:tcW w:w="605" w:type="dxa"/>
            <w:tcBorders>
              <w:top w:val="nil"/>
              <w:left w:val="nil"/>
              <w:bottom w:val="single" w:sz="8" w:space="0" w:color="auto"/>
              <w:right w:val="nil"/>
            </w:tcBorders>
            <w:shd w:val="clear" w:color="auto" w:fill="auto"/>
            <w:hideMark/>
          </w:tcPr>
          <w:p w14:paraId="4E39BEC0" w14:textId="77777777" w:rsidR="00D73008" w:rsidRPr="00881A37" w:rsidRDefault="00D73008" w:rsidP="00387AE5">
            <w:pPr>
              <w:jc w:val="center"/>
              <w:rPr>
                <w:rFonts w:cs="Times New Roman"/>
                <w:color w:val="000000"/>
                <w:sz w:val="18"/>
                <w:szCs w:val="18"/>
              </w:rPr>
            </w:pPr>
            <w:r w:rsidRPr="00881A37">
              <w:rPr>
                <w:sz w:val="18"/>
                <w:szCs w:val="18"/>
              </w:rPr>
              <w:t>-1,1</w:t>
            </w:r>
          </w:p>
        </w:tc>
        <w:tc>
          <w:tcPr>
            <w:tcW w:w="593" w:type="dxa"/>
            <w:tcBorders>
              <w:top w:val="nil"/>
              <w:left w:val="nil"/>
              <w:bottom w:val="single" w:sz="8" w:space="0" w:color="auto"/>
              <w:right w:val="nil"/>
            </w:tcBorders>
            <w:shd w:val="clear" w:color="auto" w:fill="auto"/>
            <w:hideMark/>
          </w:tcPr>
          <w:p w14:paraId="1857BACC" w14:textId="77777777" w:rsidR="00D73008" w:rsidRPr="00881A37" w:rsidRDefault="00D73008" w:rsidP="00387AE5">
            <w:pPr>
              <w:jc w:val="center"/>
              <w:rPr>
                <w:rFonts w:cs="Times New Roman"/>
                <w:color w:val="000000"/>
                <w:sz w:val="18"/>
                <w:szCs w:val="18"/>
              </w:rPr>
            </w:pPr>
            <w:r w:rsidRPr="00881A37">
              <w:rPr>
                <w:sz w:val="18"/>
                <w:szCs w:val="18"/>
              </w:rPr>
              <w:t>-0,3</w:t>
            </w:r>
          </w:p>
        </w:tc>
        <w:tc>
          <w:tcPr>
            <w:tcW w:w="585" w:type="dxa"/>
            <w:tcBorders>
              <w:top w:val="nil"/>
              <w:left w:val="nil"/>
              <w:bottom w:val="single" w:sz="8" w:space="0" w:color="auto"/>
              <w:right w:val="nil"/>
            </w:tcBorders>
            <w:shd w:val="clear" w:color="auto" w:fill="auto"/>
            <w:hideMark/>
          </w:tcPr>
          <w:p w14:paraId="78A5DEED" w14:textId="77777777" w:rsidR="00D73008" w:rsidRPr="00881A37" w:rsidRDefault="00D73008" w:rsidP="00387AE5">
            <w:pPr>
              <w:jc w:val="center"/>
              <w:rPr>
                <w:rFonts w:cs="Times New Roman"/>
                <w:color w:val="000000"/>
                <w:sz w:val="18"/>
                <w:szCs w:val="18"/>
              </w:rPr>
            </w:pPr>
            <w:r w:rsidRPr="00881A37">
              <w:rPr>
                <w:sz w:val="18"/>
                <w:szCs w:val="18"/>
              </w:rPr>
              <w:t>-1,0</w:t>
            </w:r>
          </w:p>
        </w:tc>
      </w:tr>
      <w:tr w:rsidR="00D73008" w:rsidRPr="00193396" w14:paraId="3DB05567"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0"/>
          <w:jc w:val="center"/>
        </w:trPr>
        <w:tc>
          <w:tcPr>
            <w:tcW w:w="9070" w:type="dxa"/>
            <w:gridSpan w:val="12"/>
            <w:tcBorders>
              <w:top w:val="single" w:sz="8" w:space="0" w:color="auto"/>
              <w:left w:val="nil"/>
              <w:bottom w:val="single" w:sz="8" w:space="0" w:color="auto"/>
              <w:right w:val="nil"/>
            </w:tcBorders>
            <w:shd w:val="clear" w:color="000000" w:fill="FFFFFF"/>
            <w:noWrap/>
            <w:vAlign w:val="center"/>
            <w:hideMark/>
          </w:tcPr>
          <w:p w14:paraId="7E1318EE" w14:textId="77777777" w:rsidR="00D73008" w:rsidRPr="00193396" w:rsidRDefault="00D73008" w:rsidP="00387AE5">
            <w:pPr>
              <w:jc w:val="right"/>
              <w:rPr>
                <w:rFonts w:cs="Times New Roman"/>
                <w:i/>
                <w:iCs/>
                <w:color w:val="000000"/>
                <w:sz w:val="16"/>
                <w:szCs w:val="16"/>
              </w:rPr>
            </w:pPr>
            <w:r w:rsidRPr="00193396">
              <w:rPr>
                <w:rFonts w:cs="Times New Roman"/>
                <w:i/>
                <w:iCs/>
                <w:color w:val="000000"/>
                <w:sz w:val="16"/>
                <w:szCs w:val="16"/>
              </w:rPr>
              <w:t xml:space="preserve">                                                                                                           Zdroj: Výbor pre makroekonomické prognózovanie</w:t>
            </w:r>
          </w:p>
        </w:tc>
      </w:tr>
      <w:tr w:rsidR="00D73008" w:rsidRPr="00B21C97" w14:paraId="2E560F72" w14:textId="77777777" w:rsidTr="00387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75" w:type="dxa"/>
          <w:trHeight w:val="20"/>
          <w:jc w:val="center"/>
        </w:trPr>
        <w:tc>
          <w:tcPr>
            <w:tcW w:w="9070" w:type="dxa"/>
            <w:gridSpan w:val="12"/>
            <w:tcBorders>
              <w:top w:val="single" w:sz="8" w:space="0" w:color="auto"/>
              <w:left w:val="nil"/>
              <w:bottom w:val="nil"/>
              <w:right w:val="nil"/>
            </w:tcBorders>
            <w:shd w:val="clear" w:color="000000" w:fill="FFFFFF"/>
            <w:noWrap/>
            <w:vAlign w:val="center"/>
          </w:tcPr>
          <w:p w14:paraId="30C91C79" w14:textId="77777777" w:rsidR="00D73008" w:rsidRPr="00881A37" w:rsidRDefault="00D73008" w:rsidP="00387AE5">
            <w:pPr>
              <w:jc w:val="both"/>
              <w:rPr>
                <w:rFonts w:cs="Times New Roman"/>
                <w:i/>
                <w:iCs/>
                <w:color w:val="000000"/>
                <w:sz w:val="16"/>
                <w:szCs w:val="16"/>
              </w:rPr>
            </w:pPr>
            <w:r w:rsidRPr="00881A37">
              <w:rPr>
                <w:i/>
                <w:iCs/>
                <w:color w:val="000000"/>
                <w:sz w:val="16"/>
                <w:szCs w:val="16"/>
              </w:rPr>
              <w:t>* HDP za skutočnosť 2018 bol podľa jarnej notifikácie revidovaný oproti prognóze mierne smerom nadol. Použitím nominálnych rastov HDP pre roky 2019 až 2022 z prognózy (Výbor pre makroekonomické prognózy z januára 2019) bol reťazením medziročných zmien zostavený časový rad zodpovedajúci novej úrovni radu HDP. Tento časový rad je použitý aj v ďalších častiach dokumentu.                                                                                                                  </w:t>
            </w:r>
          </w:p>
        </w:tc>
      </w:tr>
    </w:tbl>
    <w:p w14:paraId="369B58D0" w14:textId="77777777" w:rsidR="00D73008" w:rsidRPr="00881A37" w:rsidRDefault="00D73008" w:rsidP="00D73008">
      <w:pPr>
        <w:spacing w:before="240" w:after="240"/>
        <w:rPr>
          <w:b/>
        </w:rPr>
      </w:pPr>
      <w:r w:rsidRPr="00881A37">
        <w:rPr>
          <w:b/>
        </w:rPr>
        <w:t>Výbor pre daňové prognózy</w:t>
      </w:r>
    </w:p>
    <w:p w14:paraId="00AAF996" w14:textId="77777777" w:rsidR="00D73008" w:rsidRPr="00881A37" w:rsidRDefault="00D73008" w:rsidP="00D73008">
      <w:pPr>
        <w:spacing w:after="240"/>
        <w:jc w:val="both"/>
        <w:rPr>
          <w:b/>
        </w:rPr>
      </w:pPr>
      <w:r w:rsidRPr="00881A37">
        <w:rPr>
          <w:rFonts w:cs="Arial Narrow"/>
        </w:rPr>
        <w:t>MF SR na zasadnutí Výboru pre da</w:t>
      </w:r>
      <w:r w:rsidRPr="00881A37">
        <w:rPr>
          <w:rFonts w:cs="Times New Roman"/>
        </w:rPr>
        <w:t>ň</w:t>
      </w:r>
      <w:r w:rsidRPr="00881A37">
        <w:rPr>
          <w:rFonts w:cs="Arial Narrow"/>
        </w:rPr>
        <w:t>ové prognózy vo februári 201</w:t>
      </w:r>
      <w:r>
        <w:rPr>
          <w:rFonts w:cs="Arial Narrow"/>
        </w:rPr>
        <w:t>9</w:t>
      </w:r>
      <w:r w:rsidRPr="00881A37">
        <w:rPr>
          <w:rFonts w:cs="Arial Narrow"/>
        </w:rPr>
        <w:t xml:space="preserve"> prezentovalo svoju aktualizovanú strednodobú prognózu da</w:t>
      </w:r>
      <w:r w:rsidRPr="00881A37">
        <w:rPr>
          <w:rFonts w:cs="Times New Roman"/>
        </w:rPr>
        <w:t>ň</w:t>
      </w:r>
      <w:r w:rsidRPr="00881A37">
        <w:rPr>
          <w:rFonts w:cs="Arial Narrow"/>
        </w:rPr>
        <w:t>ových príjmov na roky 201</w:t>
      </w:r>
      <w:r>
        <w:rPr>
          <w:rFonts w:cs="Arial Narrow"/>
        </w:rPr>
        <w:t>8</w:t>
      </w:r>
      <w:r w:rsidRPr="00881A37">
        <w:rPr>
          <w:rFonts w:cs="Arial Narrow"/>
        </w:rPr>
        <w:t xml:space="preserve"> až 202</w:t>
      </w:r>
      <w:r>
        <w:rPr>
          <w:rFonts w:cs="Arial Narrow"/>
        </w:rPr>
        <w:t>2</w:t>
      </w:r>
      <w:r w:rsidRPr="00881A37">
        <w:rPr>
          <w:rFonts w:cs="Arial Narrow"/>
        </w:rPr>
        <w:t xml:space="preserve">. </w:t>
      </w:r>
      <w:r w:rsidRPr="00881A37">
        <w:t>Strednodobá prognóza da</w:t>
      </w:r>
      <w:r w:rsidRPr="00881A37">
        <w:rPr>
          <w:rFonts w:cs="Times New Roman"/>
        </w:rPr>
        <w:t>ň</w:t>
      </w:r>
      <w:r w:rsidRPr="00881A37">
        <w:t>ových príjmov a sociálnych odvodov MF SR bola všetkými členmi výboru ozna</w:t>
      </w:r>
      <w:r w:rsidRPr="00881A37">
        <w:rPr>
          <w:rFonts w:cs="Times New Roman"/>
        </w:rPr>
        <w:t>č</w:t>
      </w:r>
      <w:r w:rsidRPr="00881A37">
        <w:t xml:space="preserve">ená ako </w:t>
      </w:r>
      <w:r w:rsidRPr="00881A37">
        <w:rPr>
          <w:b/>
        </w:rPr>
        <w:t>realistická.</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9"/>
        <w:gridCol w:w="3402"/>
        <w:gridCol w:w="37"/>
      </w:tblGrid>
      <w:tr w:rsidR="00D73008" w:rsidRPr="00DB0183" w14:paraId="33FC7553" w14:textId="77777777" w:rsidTr="00387AE5">
        <w:trPr>
          <w:trHeight w:val="372"/>
          <w:jc w:val="center"/>
        </w:trPr>
        <w:tc>
          <w:tcPr>
            <w:tcW w:w="9108" w:type="dxa"/>
            <w:gridSpan w:val="3"/>
            <w:tcBorders>
              <w:top w:val="nil"/>
              <w:left w:val="nil"/>
              <w:bottom w:val="single" w:sz="8" w:space="0" w:color="auto"/>
              <w:right w:val="nil"/>
            </w:tcBorders>
            <w:shd w:val="clear" w:color="auto" w:fill="auto"/>
            <w:vAlign w:val="center"/>
          </w:tcPr>
          <w:p w14:paraId="3A3590B0" w14:textId="28A11F42" w:rsidR="00D73008" w:rsidRPr="00881A37" w:rsidRDefault="00D73008" w:rsidP="00387AE5">
            <w:pPr>
              <w:rPr>
                <w:rFonts w:cs="Times New Roman"/>
                <w:b/>
                <w:bCs/>
                <w:color w:val="2C9ADC"/>
                <w:sz w:val="20"/>
                <w:szCs w:val="20"/>
              </w:rPr>
            </w:pPr>
            <w:bookmarkStart w:id="291" w:name="_Toc6314240"/>
            <w:r w:rsidRPr="00881A37">
              <w:rPr>
                <w:rFonts w:cs="Arial"/>
                <w:b/>
                <w:color w:val="2C9ADC"/>
                <w:sz w:val="20"/>
                <w:szCs w:val="20"/>
              </w:rPr>
              <w:t xml:space="preserve">TABUĽKA </w:t>
            </w:r>
            <w:r w:rsidRPr="00881A37">
              <w:rPr>
                <w:rFonts w:cs="Arial"/>
                <w:b/>
                <w:color w:val="2C9ADC"/>
                <w:sz w:val="20"/>
                <w:szCs w:val="20"/>
              </w:rPr>
              <w:fldChar w:fldCharType="begin"/>
            </w:r>
            <w:r w:rsidRPr="00881A37">
              <w:rPr>
                <w:rFonts w:cs="Arial"/>
                <w:b/>
                <w:color w:val="2C9ADC"/>
                <w:sz w:val="20"/>
                <w:szCs w:val="20"/>
              </w:rPr>
              <w:instrText xml:space="preserve"> SEQ TABUĽKA \* ARABIC </w:instrText>
            </w:r>
            <w:r w:rsidRPr="00881A37">
              <w:rPr>
                <w:rFonts w:cs="Arial"/>
                <w:b/>
                <w:color w:val="2C9ADC"/>
                <w:sz w:val="20"/>
                <w:szCs w:val="20"/>
              </w:rPr>
              <w:fldChar w:fldCharType="separate"/>
            </w:r>
            <w:r w:rsidR="00D5739E">
              <w:rPr>
                <w:rFonts w:cs="Arial"/>
                <w:b/>
                <w:noProof/>
                <w:color w:val="2C9ADC"/>
                <w:sz w:val="20"/>
                <w:szCs w:val="20"/>
              </w:rPr>
              <w:t>41</w:t>
            </w:r>
            <w:r w:rsidRPr="00881A37">
              <w:rPr>
                <w:rFonts w:cs="Arial"/>
                <w:b/>
                <w:color w:val="2C9ADC"/>
                <w:sz w:val="20"/>
                <w:szCs w:val="20"/>
              </w:rPr>
              <w:fldChar w:fldCharType="end"/>
            </w:r>
            <w:r w:rsidRPr="00881A37">
              <w:rPr>
                <w:rFonts w:cs="Arial"/>
                <w:b/>
                <w:color w:val="2C9ADC"/>
                <w:sz w:val="20"/>
                <w:szCs w:val="20"/>
              </w:rPr>
              <w:t xml:space="preserve"> - </w:t>
            </w:r>
            <w:r w:rsidRPr="00881A37">
              <w:rPr>
                <w:rFonts w:cs="Times New Roman"/>
                <w:b/>
                <w:bCs/>
                <w:color w:val="2C9ADC"/>
                <w:sz w:val="20"/>
                <w:szCs w:val="20"/>
              </w:rPr>
              <w:t>Hodnotenie prognózy MF SR vo Výbore pre daňové prognózy</w:t>
            </w:r>
            <w:bookmarkEnd w:id="291"/>
          </w:p>
        </w:tc>
      </w:tr>
      <w:tr w:rsidR="00D73008" w:rsidRPr="00DB0183" w14:paraId="6C78267A" w14:textId="77777777" w:rsidTr="00387AE5">
        <w:trPr>
          <w:gridAfter w:val="1"/>
          <w:wAfter w:w="37" w:type="dxa"/>
          <w:trHeight w:val="34"/>
          <w:jc w:val="center"/>
        </w:trPr>
        <w:tc>
          <w:tcPr>
            <w:tcW w:w="5669" w:type="dxa"/>
            <w:tcBorders>
              <w:top w:val="single" w:sz="8" w:space="0" w:color="auto"/>
              <w:left w:val="nil"/>
              <w:bottom w:val="single" w:sz="8" w:space="0" w:color="auto"/>
              <w:right w:val="nil"/>
            </w:tcBorders>
            <w:shd w:val="clear" w:color="auto" w:fill="auto"/>
            <w:vAlign w:val="center"/>
          </w:tcPr>
          <w:p w14:paraId="772DB7BB" w14:textId="77777777" w:rsidR="00D73008" w:rsidRPr="00881A37" w:rsidRDefault="00D73008" w:rsidP="00387AE5">
            <w:pPr>
              <w:spacing w:before="40" w:after="40"/>
              <w:jc w:val="both"/>
              <w:rPr>
                <w:rFonts w:cs="Arial Narrow"/>
                <w:b/>
                <w:bCs/>
                <w:sz w:val="20"/>
                <w:szCs w:val="20"/>
              </w:rPr>
            </w:pPr>
            <w:r w:rsidRPr="00881A37">
              <w:rPr>
                <w:rFonts w:cs="Arial Narrow"/>
                <w:b/>
                <w:bCs/>
                <w:sz w:val="20"/>
                <w:szCs w:val="20"/>
              </w:rPr>
              <w:t>Člen výboru</w:t>
            </w:r>
          </w:p>
        </w:tc>
        <w:tc>
          <w:tcPr>
            <w:tcW w:w="3402" w:type="dxa"/>
            <w:tcBorders>
              <w:top w:val="single" w:sz="8" w:space="0" w:color="auto"/>
              <w:left w:val="nil"/>
              <w:bottom w:val="single" w:sz="8" w:space="0" w:color="auto"/>
              <w:right w:val="nil"/>
            </w:tcBorders>
            <w:shd w:val="clear" w:color="auto" w:fill="auto"/>
            <w:vAlign w:val="center"/>
          </w:tcPr>
          <w:p w14:paraId="2FEE852F" w14:textId="77777777" w:rsidR="00D73008" w:rsidRPr="00881A37" w:rsidRDefault="00D73008" w:rsidP="00387AE5">
            <w:pPr>
              <w:spacing w:before="40" w:after="40"/>
              <w:jc w:val="center"/>
              <w:rPr>
                <w:rFonts w:cs="Arial Narrow"/>
                <w:b/>
                <w:bCs/>
                <w:sz w:val="20"/>
                <w:szCs w:val="20"/>
              </w:rPr>
            </w:pPr>
            <w:r w:rsidRPr="00881A37">
              <w:rPr>
                <w:rFonts w:cs="Arial Narrow"/>
                <w:b/>
                <w:bCs/>
                <w:sz w:val="20"/>
                <w:szCs w:val="20"/>
              </w:rPr>
              <w:t xml:space="preserve">Charakteristika prognózy </w:t>
            </w:r>
          </w:p>
        </w:tc>
      </w:tr>
      <w:tr w:rsidR="00D73008" w:rsidRPr="00B21C97" w14:paraId="1F1A8F67" w14:textId="77777777" w:rsidTr="00387AE5">
        <w:trPr>
          <w:gridAfter w:val="1"/>
          <w:wAfter w:w="37" w:type="dxa"/>
          <w:trHeight w:val="34"/>
          <w:jc w:val="center"/>
        </w:trPr>
        <w:tc>
          <w:tcPr>
            <w:tcW w:w="5669" w:type="dxa"/>
            <w:tcBorders>
              <w:top w:val="single" w:sz="8" w:space="0" w:color="auto"/>
              <w:left w:val="nil"/>
              <w:bottom w:val="single" w:sz="8" w:space="0" w:color="auto"/>
              <w:right w:val="nil"/>
            </w:tcBorders>
            <w:vAlign w:val="center"/>
          </w:tcPr>
          <w:p w14:paraId="5868FE52" w14:textId="77777777" w:rsidR="00D73008" w:rsidRPr="00881A37" w:rsidRDefault="00D73008" w:rsidP="00387AE5">
            <w:pPr>
              <w:spacing w:before="20" w:after="20"/>
              <w:jc w:val="both"/>
              <w:rPr>
                <w:rFonts w:cs="Arial Narrow"/>
                <w:sz w:val="20"/>
                <w:szCs w:val="20"/>
              </w:rPr>
            </w:pPr>
            <w:r w:rsidRPr="00881A37">
              <w:rPr>
                <w:rFonts w:cs="Arial Narrow"/>
                <w:sz w:val="20"/>
                <w:szCs w:val="20"/>
              </w:rPr>
              <w:t xml:space="preserve">NBS, Infostat, Tatra banka, </w:t>
            </w:r>
            <w:r w:rsidRPr="00881A37">
              <w:rPr>
                <w:rFonts w:cs="Times New Roman"/>
                <w:sz w:val="20"/>
                <w:szCs w:val="20"/>
              </w:rPr>
              <w:t>Č</w:t>
            </w:r>
            <w:r w:rsidRPr="00881A37">
              <w:rPr>
                <w:rFonts w:cs="Arial Narrow"/>
                <w:sz w:val="20"/>
                <w:szCs w:val="20"/>
              </w:rPr>
              <w:t>SOB, KRRZ, SLSP, UniCredit Bank</w:t>
            </w:r>
          </w:p>
        </w:tc>
        <w:tc>
          <w:tcPr>
            <w:tcW w:w="3402" w:type="dxa"/>
            <w:tcBorders>
              <w:top w:val="single" w:sz="8" w:space="0" w:color="auto"/>
              <w:left w:val="nil"/>
              <w:bottom w:val="single" w:sz="8" w:space="0" w:color="auto"/>
              <w:right w:val="nil"/>
            </w:tcBorders>
            <w:vAlign w:val="center"/>
          </w:tcPr>
          <w:p w14:paraId="4EF16E20" w14:textId="77777777" w:rsidR="00D73008" w:rsidRPr="00881A37" w:rsidRDefault="00D73008" w:rsidP="00387AE5">
            <w:pPr>
              <w:spacing w:before="20" w:after="20"/>
              <w:jc w:val="center"/>
              <w:rPr>
                <w:rFonts w:cs="Arial Narrow"/>
                <w:sz w:val="20"/>
                <w:szCs w:val="20"/>
              </w:rPr>
            </w:pPr>
            <w:r w:rsidRPr="00881A37">
              <w:rPr>
                <w:rFonts w:cs="Arial Narrow"/>
                <w:sz w:val="20"/>
                <w:szCs w:val="20"/>
              </w:rPr>
              <w:t>realistická</w:t>
            </w:r>
          </w:p>
        </w:tc>
      </w:tr>
    </w:tbl>
    <w:p w14:paraId="58FC2AB9" w14:textId="77777777" w:rsidR="00D73008" w:rsidRPr="00B21C97" w:rsidRDefault="00D73008" w:rsidP="00D73008">
      <w:pPr>
        <w:rPr>
          <w:rFonts w:cs="Arial"/>
          <w:b/>
          <w:bCs/>
          <w:highlight w:val="yellow"/>
        </w:rPr>
      </w:pPr>
    </w:p>
    <w:p w14:paraId="5CFFDFE9" w14:textId="77777777" w:rsidR="00D73008" w:rsidRPr="00B21C97" w:rsidRDefault="00D73008" w:rsidP="00D73008">
      <w:pPr>
        <w:rPr>
          <w:highlight w:val="yellow"/>
        </w:rPr>
      </w:pPr>
      <w:r w:rsidRPr="00B21C97">
        <w:rPr>
          <w:highlight w:val="yellow"/>
        </w:rPr>
        <w:br w:type="page"/>
      </w:r>
    </w:p>
    <w:p w14:paraId="5F3DCC47" w14:textId="77777777" w:rsidR="00D73008" w:rsidRPr="00684201" w:rsidRDefault="00D73008" w:rsidP="00684201">
      <w:pPr>
        <w:pStyle w:val="Nadpis3"/>
        <w:spacing w:after="120"/>
        <w:rPr>
          <w:color w:val="2C9ADC" w:themeColor="accent1"/>
          <w:sz w:val="24"/>
          <w:szCs w:val="24"/>
        </w:rPr>
      </w:pPr>
      <w:bookmarkStart w:id="292" w:name="_Ref6313944"/>
      <w:r w:rsidRPr="00684201">
        <w:rPr>
          <w:color w:val="2C9ADC" w:themeColor="accent1"/>
          <w:sz w:val="24"/>
          <w:szCs w:val="24"/>
        </w:rPr>
        <w:lastRenderedPageBreak/>
        <w:t>Príloha 7 - Zoznam opatrení vplývajúcich na saldo verejnej správy v rokoch 2019 až 2022</w:t>
      </w:r>
      <w:bookmarkEnd w:id="292"/>
    </w:p>
    <w:p w14:paraId="60D2A971" w14:textId="2548A2D0" w:rsidR="00D73008" w:rsidRDefault="00D73008" w:rsidP="00D73008">
      <w:pPr>
        <w:jc w:val="both"/>
      </w:pPr>
      <w:r w:rsidRPr="006261D8">
        <w:rPr>
          <w:b/>
        </w:rPr>
        <w:t xml:space="preserve">Scenár nezmenených politík popisuje vývoj položiek podľa predpokladov makroekonomickej prognózy, ale aj na základe opatrení, o ktorých bolo rozhodnuté pred 1. januárom 2019. </w:t>
      </w:r>
      <w:r w:rsidRPr="00313666">
        <w:t xml:space="preserve">V tabuľke nižšie sú uvedené </w:t>
      </w:r>
      <w:r w:rsidRPr="00EB7FB3">
        <w:t>všetky rozpočtové opatrenia</w:t>
      </w:r>
      <w:r w:rsidRPr="005A520F">
        <w:t xml:space="preserve">, </w:t>
      </w:r>
      <w:r w:rsidRPr="00313666">
        <w:t xml:space="preserve">ktoré vplývajú na zmenu salda VS v rokoch 2019 až 2022 (oproti roku 2018), </w:t>
      </w:r>
      <w:r>
        <w:t xml:space="preserve">a to </w:t>
      </w:r>
      <w:r w:rsidRPr="00313666">
        <w:t>b</w:t>
      </w:r>
      <w:r>
        <w:t>ez ohľadu na dátum rozhodnutia o danom opatrení.</w:t>
      </w:r>
    </w:p>
    <w:p w14:paraId="0CBB323D" w14:textId="77777777" w:rsidR="00D73008" w:rsidRDefault="00D73008" w:rsidP="00D73008"/>
    <w:p w14:paraId="04830E01" w14:textId="6D2D819B" w:rsidR="00D73008" w:rsidRPr="00392121" w:rsidRDefault="00D73008" w:rsidP="00D73008">
      <w:pPr>
        <w:rPr>
          <w:b/>
          <w:color w:val="2C9ADC" w:themeColor="accent1"/>
          <w:sz w:val="20"/>
          <w:szCs w:val="20"/>
        </w:rPr>
      </w:pPr>
      <w:bookmarkStart w:id="293" w:name="_Toc6314241"/>
      <w:r w:rsidRPr="00392121">
        <w:rPr>
          <w:rFonts w:eastAsiaTheme="minorHAnsi"/>
          <w:b/>
          <w:color w:val="2C9ADC"/>
          <w:sz w:val="20"/>
          <w:szCs w:val="20"/>
          <w:lang w:eastAsia="en-US"/>
        </w:rPr>
        <w:t xml:space="preserve">TABUĽKA </w:t>
      </w:r>
      <w:r w:rsidRPr="00392121">
        <w:rPr>
          <w:rFonts w:eastAsiaTheme="minorHAnsi"/>
          <w:b/>
          <w:color w:val="2C9ADC"/>
          <w:sz w:val="20"/>
          <w:szCs w:val="20"/>
          <w:lang w:eastAsia="en-US"/>
        </w:rPr>
        <w:fldChar w:fldCharType="begin"/>
      </w:r>
      <w:r w:rsidRPr="00392121">
        <w:rPr>
          <w:rFonts w:eastAsiaTheme="minorHAnsi"/>
          <w:b/>
          <w:color w:val="2C9ADC"/>
          <w:sz w:val="20"/>
          <w:szCs w:val="20"/>
          <w:lang w:eastAsia="en-US"/>
        </w:rPr>
        <w:instrText xml:space="preserve"> SEQ TABUĽKA \* ARABIC </w:instrText>
      </w:r>
      <w:r w:rsidRPr="00392121">
        <w:rPr>
          <w:rFonts w:eastAsiaTheme="minorHAnsi"/>
          <w:b/>
          <w:color w:val="2C9ADC"/>
          <w:sz w:val="20"/>
          <w:szCs w:val="20"/>
          <w:lang w:eastAsia="en-US"/>
        </w:rPr>
        <w:fldChar w:fldCharType="separate"/>
      </w:r>
      <w:r w:rsidR="00D5739E">
        <w:rPr>
          <w:rFonts w:eastAsiaTheme="minorHAnsi"/>
          <w:b/>
          <w:noProof/>
          <w:color w:val="2C9ADC"/>
          <w:sz w:val="20"/>
          <w:szCs w:val="20"/>
          <w:lang w:eastAsia="en-US"/>
        </w:rPr>
        <w:t>42</w:t>
      </w:r>
      <w:r w:rsidRPr="00392121">
        <w:rPr>
          <w:rFonts w:eastAsiaTheme="minorHAnsi"/>
          <w:b/>
          <w:color w:val="2C9ADC"/>
          <w:sz w:val="20"/>
          <w:szCs w:val="20"/>
          <w:lang w:eastAsia="en-US"/>
        </w:rPr>
        <w:fldChar w:fldCharType="end"/>
      </w:r>
      <w:r w:rsidR="00F961A8">
        <w:rPr>
          <w:b/>
          <w:color w:val="2C9ADC" w:themeColor="accent1"/>
          <w:sz w:val="20"/>
          <w:szCs w:val="20"/>
        </w:rPr>
        <w:t xml:space="preserve"> -</w:t>
      </w:r>
      <w:r w:rsidRPr="00392121">
        <w:rPr>
          <w:b/>
          <w:color w:val="2C9ADC" w:themeColor="accent1"/>
          <w:sz w:val="20"/>
          <w:szCs w:val="20"/>
        </w:rPr>
        <w:t xml:space="preserve"> </w:t>
      </w:r>
      <w:r w:rsidR="00F961A8">
        <w:rPr>
          <w:b/>
          <w:color w:val="2C9ADC" w:themeColor="accent1"/>
          <w:sz w:val="20"/>
          <w:szCs w:val="20"/>
        </w:rPr>
        <w:t>Z</w:t>
      </w:r>
      <w:r w:rsidRPr="00392121">
        <w:rPr>
          <w:b/>
          <w:color w:val="2C9ADC" w:themeColor="accent1"/>
          <w:sz w:val="20"/>
          <w:szCs w:val="20"/>
        </w:rPr>
        <w:t>oznam opatrení (vplyv v porovnaní s bázou 2018), mil. eur</w:t>
      </w:r>
      <w:bookmarkEnd w:id="293"/>
    </w:p>
    <w:tbl>
      <w:tblPr>
        <w:tblW w:w="9192" w:type="dxa"/>
        <w:tblLayout w:type="fixed"/>
        <w:tblCellMar>
          <w:left w:w="0" w:type="dxa"/>
          <w:right w:w="0" w:type="dxa"/>
        </w:tblCellMar>
        <w:tblLook w:val="04A0" w:firstRow="1" w:lastRow="0" w:firstColumn="1" w:lastColumn="0" w:noHBand="0" w:noVBand="1"/>
      </w:tblPr>
      <w:tblGrid>
        <w:gridCol w:w="5251"/>
        <w:gridCol w:w="130"/>
        <w:gridCol w:w="747"/>
        <w:gridCol w:w="205"/>
        <w:gridCol w:w="953"/>
        <w:gridCol w:w="779"/>
        <w:gridCol w:w="174"/>
        <w:gridCol w:w="907"/>
        <w:gridCol w:w="46"/>
      </w:tblGrid>
      <w:tr w:rsidR="00D73008" w:rsidRPr="00152128" w14:paraId="20017AA7" w14:textId="77777777" w:rsidTr="00387AE5">
        <w:trPr>
          <w:trHeight w:val="245"/>
        </w:trPr>
        <w:tc>
          <w:tcPr>
            <w:tcW w:w="5381" w:type="dxa"/>
            <w:gridSpan w:val="2"/>
            <w:tcBorders>
              <w:bottom w:val="single" w:sz="4" w:space="0" w:color="auto"/>
            </w:tcBorders>
            <w:noWrap/>
            <w:tcMar>
              <w:top w:w="0" w:type="dxa"/>
              <w:left w:w="108" w:type="dxa"/>
              <w:bottom w:w="0" w:type="dxa"/>
              <w:right w:w="108" w:type="dxa"/>
            </w:tcMar>
            <w:vAlign w:val="center"/>
          </w:tcPr>
          <w:p w14:paraId="32BCE68D" w14:textId="77777777" w:rsidR="00D73008" w:rsidRPr="00152128" w:rsidRDefault="00D73008" w:rsidP="00387AE5">
            <w:pPr>
              <w:ind w:left="138" w:hanging="138"/>
              <w:rPr>
                <w:b/>
                <w:color w:val="000000"/>
                <w:sz w:val="20"/>
                <w:szCs w:val="20"/>
                <w:lang w:eastAsia="en-GB"/>
              </w:rPr>
            </w:pPr>
            <w:r w:rsidRPr="00152128">
              <w:rPr>
                <w:b/>
                <w:color w:val="000000"/>
                <w:sz w:val="20"/>
                <w:szCs w:val="20"/>
                <w:lang w:eastAsia="en-GB"/>
              </w:rPr>
              <w:t>Príjmové opatrenia</w:t>
            </w:r>
          </w:p>
        </w:tc>
        <w:tc>
          <w:tcPr>
            <w:tcW w:w="952" w:type="dxa"/>
            <w:gridSpan w:val="2"/>
            <w:tcBorders>
              <w:bottom w:val="single" w:sz="4" w:space="0" w:color="auto"/>
            </w:tcBorders>
            <w:noWrap/>
            <w:tcMar>
              <w:top w:w="0" w:type="dxa"/>
              <w:left w:w="108" w:type="dxa"/>
              <w:bottom w:w="0" w:type="dxa"/>
              <w:right w:w="108" w:type="dxa"/>
            </w:tcMar>
            <w:vAlign w:val="center"/>
          </w:tcPr>
          <w:p w14:paraId="13E56CD1" w14:textId="77777777" w:rsidR="00D73008" w:rsidRPr="00152128" w:rsidRDefault="00D73008" w:rsidP="00387AE5">
            <w:pPr>
              <w:ind w:left="138" w:hanging="138"/>
              <w:jc w:val="center"/>
              <w:rPr>
                <w:color w:val="000000"/>
                <w:sz w:val="20"/>
                <w:szCs w:val="20"/>
                <w:lang w:eastAsia="en-GB"/>
              </w:rPr>
            </w:pPr>
            <w:r w:rsidRPr="00152128">
              <w:rPr>
                <w:b/>
                <w:bCs/>
                <w:color w:val="000000"/>
                <w:sz w:val="20"/>
                <w:szCs w:val="20"/>
                <w:lang w:eastAsia="en-GB"/>
              </w:rPr>
              <w:t>2019</w:t>
            </w:r>
          </w:p>
        </w:tc>
        <w:tc>
          <w:tcPr>
            <w:tcW w:w="953" w:type="dxa"/>
            <w:tcBorders>
              <w:bottom w:val="single" w:sz="4" w:space="0" w:color="auto"/>
            </w:tcBorders>
            <w:noWrap/>
            <w:tcMar>
              <w:top w:w="0" w:type="dxa"/>
              <w:left w:w="108" w:type="dxa"/>
              <w:bottom w:w="0" w:type="dxa"/>
              <w:right w:w="108" w:type="dxa"/>
            </w:tcMar>
            <w:vAlign w:val="center"/>
          </w:tcPr>
          <w:p w14:paraId="638C4D3D" w14:textId="77777777" w:rsidR="00D73008" w:rsidRPr="00152128" w:rsidRDefault="00D73008" w:rsidP="00387AE5">
            <w:pPr>
              <w:ind w:left="138" w:hanging="138"/>
              <w:jc w:val="center"/>
              <w:rPr>
                <w:color w:val="000000"/>
                <w:sz w:val="20"/>
                <w:szCs w:val="20"/>
                <w:lang w:eastAsia="en-GB"/>
              </w:rPr>
            </w:pPr>
            <w:r w:rsidRPr="00152128">
              <w:rPr>
                <w:b/>
                <w:bCs/>
                <w:color w:val="000000"/>
                <w:sz w:val="20"/>
                <w:szCs w:val="20"/>
                <w:lang w:eastAsia="en-GB"/>
              </w:rPr>
              <w:t>2020</w:t>
            </w:r>
          </w:p>
        </w:tc>
        <w:tc>
          <w:tcPr>
            <w:tcW w:w="953" w:type="dxa"/>
            <w:gridSpan w:val="2"/>
            <w:tcBorders>
              <w:bottom w:val="single" w:sz="4" w:space="0" w:color="auto"/>
            </w:tcBorders>
            <w:noWrap/>
            <w:tcMar>
              <w:top w:w="0" w:type="dxa"/>
              <w:left w:w="108" w:type="dxa"/>
              <w:bottom w:w="0" w:type="dxa"/>
              <w:right w:w="108" w:type="dxa"/>
            </w:tcMar>
            <w:vAlign w:val="center"/>
          </w:tcPr>
          <w:p w14:paraId="187C09A9" w14:textId="77777777" w:rsidR="00D73008" w:rsidRPr="00152128" w:rsidRDefault="00D73008" w:rsidP="00387AE5">
            <w:pPr>
              <w:ind w:left="138" w:hanging="138"/>
              <w:jc w:val="center"/>
              <w:rPr>
                <w:color w:val="000000"/>
                <w:sz w:val="20"/>
                <w:szCs w:val="20"/>
                <w:lang w:eastAsia="en-GB"/>
              </w:rPr>
            </w:pPr>
            <w:r w:rsidRPr="00152128">
              <w:rPr>
                <w:b/>
                <w:bCs/>
                <w:color w:val="000000"/>
                <w:sz w:val="20"/>
                <w:szCs w:val="20"/>
                <w:lang w:eastAsia="en-GB"/>
              </w:rPr>
              <w:t>2021</w:t>
            </w:r>
          </w:p>
        </w:tc>
        <w:tc>
          <w:tcPr>
            <w:tcW w:w="953" w:type="dxa"/>
            <w:gridSpan w:val="2"/>
            <w:tcBorders>
              <w:bottom w:val="single" w:sz="4" w:space="0" w:color="auto"/>
            </w:tcBorders>
            <w:vAlign w:val="center"/>
          </w:tcPr>
          <w:p w14:paraId="698B4C78" w14:textId="77777777" w:rsidR="00D73008" w:rsidRPr="00152128" w:rsidRDefault="00D73008" w:rsidP="00387AE5">
            <w:pPr>
              <w:ind w:left="138" w:hanging="138"/>
              <w:jc w:val="center"/>
              <w:rPr>
                <w:color w:val="000000"/>
                <w:sz w:val="20"/>
                <w:szCs w:val="20"/>
                <w:lang w:eastAsia="en-GB"/>
              </w:rPr>
            </w:pPr>
            <w:r w:rsidRPr="00152128">
              <w:rPr>
                <w:b/>
                <w:bCs/>
                <w:color w:val="000000"/>
                <w:sz w:val="20"/>
                <w:szCs w:val="20"/>
                <w:lang w:eastAsia="en-GB"/>
              </w:rPr>
              <w:t>2022</w:t>
            </w:r>
          </w:p>
        </w:tc>
      </w:tr>
      <w:tr w:rsidR="00D73008" w:rsidRPr="004622CB" w14:paraId="7DC49F15" w14:textId="77777777" w:rsidTr="00387AE5">
        <w:trPr>
          <w:trHeight w:val="245"/>
        </w:trPr>
        <w:tc>
          <w:tcPr>
            <w:tcW w:w="5381" w:type="dxa"/>
            <w:gridSpan w:val="2"/>
            <w:tcBorders>
              <w:top w:val="single" w:sz="4" w:space="0" w:color="auto"/>
            </w:tcBorders>
            <w:noWrap/>
            <w:tcMar>
              <w:top w:w="0" w:type="dxa"/>
              <w:left w:w="108" w:type="dxa"/>
              <w:bottom w:w="0" w:type="dxa"/>
              <w:right w:w="108" w:type="dxa"/>
            </w:tcMar>
          </w:tcPr>
          <w:p w14:paraId="73CB1116" w14:textId="77777777" w:rsidR="00D73008" w:rsidRPr="00F27602" w:rsidRDefault="00D73008" w:rsidP="00387AE5">
            <w:pPr>
              <w:ind w:left="138" w:hanging="138"/>
              <w:rPr>
                <w:b/>
                <w:color w:val="000000"/>
                <w:sz w:val="18"/>
                <w:szCs w:val="18"/>
                <w:lang w:eastAsia="en-GB"/>
              </w:rPr>
            </w:pPr>
            <w:r w:rsidRPr="00F27602">
              <w:rPr>
                <w:sz w:val="18"/>
                <w:szCs w:val="18"/>
              </w:rPr>
              <w:t>Zavedenie osobitného odvodu z obratu obchodných reťazcov</w:t>
            </w:r>
          </w:p>
        </w:tc>
        <w:tc>
          <w:tcPr>
            <w:tcW w:w="952" w:type="dxa"/>
            <w:gridSpan w:val="2"/>
            <w:tcBorders>
              <w:top w:val="single" w:sz="4" w:space="0" w:color="auto"/>
            </w:tcBorders>
            <w:noWrap/>
            <w:tcMar>
              <w:top w:w="0" w:type="dxa"/>
              <w:left w:w="108" w:type="dxa"/>
              <w:bottom w:w="0" w:type="dxa"/>
              <w:right w:w="108" w:type="dxa"/>
            </w:tcMar>
          </w:tcPr>
          <w:p w14:paraId="505B7094" w14:textId="77777777" w:rsidR="00D73008" w:rsidRPr="00E436AB" w:rsidRDefault="00D73008" w:rsidP="00387AE5">
            <w:pPr>
              <w:ind w:left="138" w:hanging="138"/>
              <w:jc w:val="center"/>
              <w:rPr>
                <w:color w:val="000000"/>
                <w:sz w:val="18"/>
                <w:szCs w:val="18"/>
                <w:lang w:eastAsia="en-GB"/>
              </w:rPr>
            </w:pPr>
            <w:r w:rsidRPr="00E436AB">
              <w:rPr>
                <w:sz w:val="18"/>
                <w:szCs w:val="18"/>
              </w:rPr>
              <w:t>84,9</w:t>
            </w:r>
          </w:p>
        </w:tc>
        <w:tc>
          <w:tcPr>
            <w:tcW w:w="953" w:type="dxa"/>
            <w:tcBorders>
              <w:top w:val="single" w:sz="4" w:space="0" w:color="auto"/>
            </w:tcBorders>
            <w:noWrap/>
            <w:tcMar>
              <w:top w:w="0" w:type="dxa"/>
              <w:left w:w="108" w:type="dxa"/>
              <w:bottom w:w="0" w:type="dxa"/>
              <w:right w:w="108" w:type="dxa"/>
            </w:tcMar>
          </w:tcPr>
          <w:p w14:paraId="5EFAB3B5" w14:textId="77777777" w:rsidR="00D73008" w:rsidRPr="00E436AB" w:rsidRDefault="00D73008" w:rsidP="00387AE5">
            <w:pPr>
              <w:ind w:left="138" w:hanging="138"/>
              <w:jc w:val="center"/>
              <w:rPr>
                <w:color w:val="000000"/>
                <w:sz w:val="18"/>
                <w:szCs w:val="18"/>
                <w:lang w:eastAsia="en-GB"/>
              </w:rPr>
            </w:pPr>
            <w:r w:rsidRPr="00E436AB">
              <w:rPr>
                <w:sz w:val="18"/>
                <w:szCs w:val="18"/>
              </w:rPr>
              <w:t>101,2</w:t>
            </w:r>
          </w:p>
        </w:tc>
        <w:tc>
          <w:tcPr>
            <w:tcW w:w="953" w:type="dxa"/>
            <w:gridSpan w:val="2"/>
            <w:tcBorders>
              <w:top w:val="single" w:sz="4" w:space="0" w:color="auto"/>
            </w:tcBorders>
            <w:noWrap/>
            <w:tcMar>
              <w:top w:w="0" w:type="dxa"/>
              <w:left w:w="108" w:type="dxa"/>
              <w:bottom w:w="0" w:type="dxa"/>
              <w:right w:w="108" w:type="dxa"/>
            </w:tcMar>
          </w:tcPr>
          <w:p w14:paraId="52CD0DB4" w14:textId="77777777" w:rsidR="00D73008" w:rsidRPr="00E436AB" w:rsidRDefault="00D73008" w:rsidP="00387AE5">
            <w:pPr>
              <w:ind w:left="138" w:hanging="138"/>
              <w:jc w:val="center"/>
              <w:rPr>
                <w:color w:val="000000"/>
                <w:sz w:val="18"/>
                <w:szCs w:val="18"/>
                <w:lang w:eastAsia="en-GB"/>
              </w:rPr>
            </w:pPr>
            <w:r w:rsidRPr="00E436AB">
              <w:rPr>
                <w:sz w:val="18"/>
                <w:szCs w:val="18"/>
              </w:rPr>
              <w:t>106,0</w:t>
            </w:r>
          </w:p>
        </w:tc>
        <w:tc>
          <w:tcPr>
            <w:tcW w:w="953" w:type="dxa"/>
            <w:gridSpan w:val="2"/>
            <w:tcBorders>
              <w:top w:val="single" w:sz="4" w:space="0" w:color="auto"/>
            </w:tcBorders>
          </w:tcPr>
          <w:p w14:paraId="1F93A243" w14:textId="77777777" w:rsidR="00D73008" w:rsidRPr="00E436AB" w:rsidRDefault="00D73008" w:rsidP="00387AE5">
            <w:pPr>
              <w:ind w:left="138" w:hanging="138"/>
              <w:jc w:val="center"/>
              <w:rPr>
                <w:color w:val="000000"/>
                <w:sz w:val="18"/>
                <w:szCs w:val="18"/>
                <w:lang w:eastAsia="en-GB"/>
              </w:rPr>
            </w:pPr>
            <w:r w:rsidRPr="00E436AB">
              <w:rPr>
                <w:sz w:val="18"/>
                <w:szCs w:val="18"/>
              </w:rPr>
              <w:t>110,5</w:t>
            </w:r>
          </w:p>
        </w:tc>
      </w:tr>
      <w:tr w:rsidR="00D73008" w:rsidRPr="004622CB" w14:paraId="47BEA236" w14:textId="77777777" w:rsidTr="00387AE5">
        <w:trPr>
          <w:trHeight w:val="245"/>
        </w:trPr>
        <w:tc>
          <w:tcPr>
            <w:tcW w:w="5381" w:type="dxa"/>
            <w:gridSpan w:val="2"/>
            <w:noWrap/>
            <w:tcMar>
              <w:top w:w="0" w:type="dxa"/>
              <w:left w:w="108" w:type="dxa"/>
              <w:bottom w:w="0" w:type="dxa"/>
              <w:right w:w="108" w:type="dxa"/>
            </w:tcMar>
          </w:tcPr>
          <w:p w14:paraId="7B17D20D" w14:textId="77777777" w:rsidR="00D73008" w:rsidRPr="00F27602" w:rsidRDefault="00D73008" w:rsidP="00387AE5">
            <w:pPr>
              <w:ind w:left="138" w:hanging="138"/>
              <w:rPr>
                <w:b/>
                <w:color w:val="000000"/>
                <w:sz w:val="18"/>
                <w:szCs w:val="18"/>
                <w:lang w:eastAsia="en-GB"/>
              </w:rPr>
            </w:pPr>
            <w:r w:rsidRPr="00F27602">
              <w:rPr>
                <w:sz w:val="18"/>
                <w:szCs w:val="18"/>
              </w:rPr>
              <w:t>Rozšírenie a úprava pôvodného poplatku na spotrebnú daň</w:t>
            </w:r>
          </w:p>
        </w:tc>
        <w:tc>
          <w:tcPr>
            <w:tcW w:w="952" w:type="dxa"/>
            <w:gridSpan w:val="2"/>
            <w:noWrap/>
            <w:tcMar>
              <w:top w:w="0" w:type="dxa"/>
              <w:left w:w="108" w:type="dxa"/>
              <w:bottom w:w="0" w:type="dxa"/>
              <w:right w:w="108" w:type="dxa"/>
            </w:tcMar>
          </w:tcPr>
          <w:p w14:paraId="5BE22C70" w14:textId="77777777" w:rsidR="00D73008" w:rsidRPr="00E436AB" w:rsidRDefault="00D73008" w:rsidP="00387AE5">
            <w:pPr>
              <w:ind w:left="138" w:hanging="138"/>
              <w:jc w:val="center"/>
              <w:rPr>
                <w:color w:val="000000"/>
                <w:sz w:val="18"/>
                <w:szCs w:val="18"/>
                <w:lang w:eastAsia="en-GB"/>
              </w:rPr>
            </w:pPr>
            <w:r w:rsidRPr="00E436AB">
              <w:rPr>
                <w:sz w:val="18"/>
                <w:szCs w:val="18"/>
              </w:rPr>
              <w:t>53,6</w:t>
            </w:r>
          </w:p>
        </w:tc>
        <w:tc>
          <w:tcPr>
            <w:tcW w:w="953" w:type="dxa"/>
            <w:noWrap/>
            <w:tcMar>
              <w:top w:w="0" w:type="dxa"/>
              <w:left w:w="108" w:type="dxa"/>
              <w:bottom w:w="0" w:type="dxa"/>
              <w:right w:w="108" w:type="dxa"/>
            </w:tcMar>
          </w:tcPr>
          <w:p w14:paraId="0ECFBE4D" w14:textId="77777777" w:rsidR="00D73008" w:rsidRPr="00E436AB" w:rsidRDefault="00D73008" w:rsidP="00387AE5">
            <w:pPr>
              <w:ind w:left="138" w:hanging="138"/>
              <w:jc w:val="center"/>
              <w:rPr>
                <w:color w:val="000000"/>
                <w:sz w:val="18"/>
                <w:szCs w:val="18"/>
                <w:lang w:eastAsia="en-GB"/>
              </w:rPr>
            </w:pPr>
            <w:r w:rsidRPr="00E436AB">
              <w:rPr>
                <w:sz w:val="18"/>
                <w:szCs w:val="18"/>
              </w:rPr>
              <w:t>55,8</w:t>
            </w:r>
          </w:p>
        </w:tc>
        <w:tc>
          <w:tcPr>
            <w:tcW w:w="953" w:type="dxa"/>
            <w:gridSpan w:val="2"/>
            <w:noWrap/>
            <w:tcMar>
              <w:top w:w="0" w:type="dxa"/>
              <w:left w:w="108" w:type="dxa"/>
              <w:bottom w:w="0" w:type="dxa"/>
              <w:right w:w="108" w:type="dxa"/>
            </w:tcMar>
          </w:tcPr>
          <w:p w14:paraId="52C43BE1" w14:textId="77777777" w:rsidR="00D73008" w:rsidRPr="00E436AB" w:rsidRDefault="00D73008" w:rsidP="00387AE5">
            <w:pPr>
              <w:ind w:left="138" w:hanging="138"/>
              <w:jc w:val="center"/>
              <w:rPr>
                <w:color w:val="000000"/>
                <w:sz w:val="18"/>
                <w:szCs w:val="18"/>
                <w:lang w:eastAsia="en-GB"/>
              </w:rPr>
            </w:pPr>
            <w:r w:rsidRPr="00E436AB">
              <w:rPr>
                <w:sz w:val="18"/>
                <w:szCs w:val="18"/>
              </w:rPr>
              <w:t>58,1</w:t>
            </w:r>
          </w:p>
        </w:tc>
        <w:tc>
          <w:tcPr>
            <w:tcW w:w="953" w:type="dxa"/>
            <w:gridSpan w:val="2"/>
          </w:tcPr>
          <w:p w14:paraId="4D3A1183" w14:textId="77777777" w:rsidR="00D73008" w:rsidRPr="00E436AB" w:rsidRDefault="00D73008" w:rsidP="00387AE5">
            <w:pPr>
              <w:ind w:left="138" w:hanging="138"/>
              <w:jc w:val="center"/>
              <w:rPr>
                <w:color w:val="000000"/>
                <w:sz w:val="18"/>
                <w:szCs w:val="18"/>
                <w:lang w:eastAsia="en-GB"/>
              </w:rPr>
            </w:pPr>
            <w:r w:rsidRPr="00E436AB">
              <w:rPr>
                <w:sz w:val="18"/>
                <w:szCs w:val="18"/>
              </w:rPr>
              <w:t>60,4</w:t>
            </w:r>
          </w:p>
        </w:tc>
      </w:tr>
      <w:tr w:rsidR="00D73008" w:rsidRPr="004622CB" w14:paraId="4C959877" w14:textId="77777777" w:rsidTr="00387AE5">
        <w:trPr>
          <w:trHeight w:val="245"/>
        </w:trPr>
        <w:tc>
          <w:tcPr>
            <w:tcW w:w="5381" w:type="dxa"/>
            <w:gridSpan w:val="2"/>
            <w:noWrap/>
            <w:tcMar>
              <w:top w:w="0" w:type="dxa"/>
              <w:left w:w="108" w:type="dxa"/>
              <w:bottom w:w="0" w:type="dxa"/>
              <w:right w:w="108" w:type="dxa"/>
            </w:tcMar>
          </w:tcPr>
          <w:p w14:paraId="7761C05D" w14:textId="77777777" w:rsidR="00D73008" w:rsidRPr="00F27602" w:rsidRDefault="00D73008" w:rsidP="00387AE5">
            <w:pPr>
              <w:ind w:left="138" w:hanging="138"/>
              <w:rPr>
                <w:b/>
                <w:color w:val="000000"/>
                <w:sz w:val="18"/>
                <w:szCs w:val="18"/>
                <w:lang w:eastAsia="en-GB"/>
              </w:rPr>
            </w:pPr>
            <w:r w:rsidRPr="00F27602">
              <w:rPr>
                <w:sz w:val="18"/>
                <w:szCs w:val="18"/>
              </w:rPr>
              <w:t>Zrušenie odvodovej odpočítateľnej položky pre zamestnávateľov</w:t>
            </w:r>
          </w:p>
        </w:tc>
        <w:tc>
          <w:tcPr>
            <w:tcW w:w="952" w:type="dxa"/>
            <w:gridSpan w:val="2"/>
            <w:noWrap/>
            <w:tcMar>
              <w:top w:w="0" w:type="dxa"/>
              <w:left w:w="108" w:type="dxa"/>
              <w:bottom w:w="0" w:type="dxa"/>
              <w:right w:w="108" w:type="dxa"/>
            </w:tcMar>
          </w:tcPr>
          <w:p w14:paraId="7C1DAC50" w14:textId="77777777" w:rsidR="00D73008" w:rsidRPr="00E436AB" w:rsidRDefault="00D73008" w:rsidP="00387AE5">
            <w:pPr>
              <w:ind w:left="138" w:hanging="138"/>
              <w:jc w:val="center"/>
              <w:rPr>
                <w:color w:val="000000"/>
                <w:sz w:val="18"/>
                <w:szCs w:val="18"/>
                <w:lang w:eastAsia="en-GB"/>
              </w:rPr>
            </w:pPr>
            <w:r w:rsidRPr="00E436AB">
              <w:rPr>
                <w:sz w:val="18"/>
                <w:szCs w:val="18"/>
              </w:rPr>
              <w:t>67,9</w:t>
            </w:r>
          </w:p>
        </w:tc>
        <w:tc>
          <w:tcPr>
            <w:tcW w:w="953" w:type="dxa"/>
            <w:noWrap/>
            <w:tcMar>
              <w:top w:w="0" w:type="dxa"/>
              <w:left w:w="108" w:type="dxa"/>
              <w:bottom w:w="0" w:type="dxa"/>
              <w:right w:w="108" w:type="dxa"/>
            </w:tcMar>
          </w:tcPr>
          <w:p w14:paraId="19687512" w14:textId="77777777" w:rsidR="00D73008" w:rsidRPr="00E436AB" w:rsidRDefault="00D73008" w:rsidP="00387AE5">
            <w:pPr>
              <w:ind w:left="138" w:hanging="138"/>
              <w:jc w:val="center"/>
              <w:rPr>
                <w:color w:val="000000"/>
                <w:sz w:val="18"/>
                <w:szCs w:val="18"/>
                <w:lang w:eastAsia="en-GB"/>
              </w:rPr>
            </w:pPr>
            <w:r w:rsidRPr="00E436AB">
              <w:rPr>
                <w:sz w:val="18"/>
                <w:szCs w:val="18"/>
              </w:rPr>
              <w:t>59,8</w:t>
            </w:r>
          </w:p>
        </w:tc>
        <w:tc>
          <w:tcPr>
            <w:tcW w:w="953" w:type="dxa"/>
            <w:gridSpan w:val="2"/>
            <w:noWrap/>
            <w:tcMar>
              <w:top w:w="0" w:type="dxa"/>
              <w:left w:w="108" w:type="dxa"/>
              <w:bottom w:w="0" w:type="dxa"/>
              <w:right w:w="108" w:type="dxa"/>
            </w:tcMar>
          </w:tcPr>
          <w:p w14:paraId="575FFEB1" w14:textId="77777777" w:rsidR="00D73008" w:rsidRPr="00E436AB" w:rsidRDefault="00D73008" w:rsidP="00387AE5">
            <w:pPr>
              <w:ind w:left="138" w:hanging="138"/>
              <w:jc w:val="center"/>
              <w:rPr>
                <w:color w:val="000000"/>
                <w:sz w:val="18"/>
                <w:szCs w:val="18"/>
                <w:lang w:eastAsia="en-GB"/>
              </w:rPr>
            </w:pPr>
            <w:r w:rsidRPr="00E436AB">
              <w:rPr>
                <w:sz w:val="18"/>
                <w:szCs w:val="18"/>
              </w:rPr>
              <w:t>52,9</w:t>
            </w:r>
          </w:p>
        </w:tc>
        <w:tc>
          <w:tcPr>
            <w:tcW w:w="953" w:type="dxa"/>
            <w:gridSpan w:val="2"/>
          </w:tcPr>
          <w:p w14:paraId="18BAAD43" w14:textId="77777777" w:rsidR="00D73008" w:rsidRPr="00E436AB" w:rsidRDefault="00D73008" w:rsidP="00387AE5">
            <w:pPr>
              <w:ind w:left="138" w:hanging="138"/>
              <w:jc w:val="center"/>
              <w:rPr>
                <w:color w:val="000000"/>
                <w:sz w:val="18"/>
                <w:szCs w:val="18"/>
                <w:lang w:eastAsia="en-GB"/>
              </w:rPr>
            </w:pPr>
            <w:r w:rsidRPr="00E436AB">
              <w:rPr>
                <w:sz w:val="18"/>
                <w:szCs w:val="18"/>
              </w:rPr>
              <w:t>47,0</w:t>
            </w:r>
          </w:p>
        </w:tc>
      </w:tr>
      <w:tr w:rsidR="00D73008" w:rsidRPr="004622CB" w14:paraId="07E2E9D7" w14:textId="77777777" w:rsidTr="00387AE5">
        <w:trPr>
          <w:trHeight w:val="245"/>
        </w:trPr>
        <w:tc>
          <w:tcPr>
            <w:tcW w:w="5381" w:type="dxa"/>
            <w:gridSpan w:val="2"/>
            <w:noWrap/>
            <w:tcMar>
              <w:top w:w="0" w:type="dxa"/>
              <w:left w:w="108" w:type="dxa"/>
              <w:bottom w:w="0" w:type="dxa"/>
              <w:right w:w="108" w:type="dxa"/>
            </w:tcMar>
          </w:tcPr>
          <w:p w14:paraId="2206DEC1" w14:textId="77777777" w:rsidR="00D73008" w:rsidRPr="00F27602" w:rsidRDefault="00D73008" w:rsidP="00387AE5">
            <w:pPr>
              <w:ind w:left="138" w:hanging="138"/>
              <w:rPr>
                <w:b/>
                <w:color w:val="000000"/>
                <w:sz w:val="18"/>
                <w:szCs w:val="18"/>
                <w:lang w:eastAsia="en-GB"/>
              </w:rPr>
            </w:pPr>
            <w:r w:rsidRPr="00F27602">
              <w:rPr>
                <w:sz w:val="18"/>
                <w:szCs w:val="18"/>
              </w:rPr>
              <w:t>Zvýšenie spotrebnej dane z tabakových výrobkov (od 1.2.2019)</w:t>
            </w:r>
          </w:p>
        </w:tc>
        <w:tc>
          <w:tcPr>
            <w:tcW w:w="952" w:type="dxa"/>
            <w:gridSpan w:val="2"/>
            <w:noWrap/>
            <w:tcMar>
              <w:top w:w="0" w:type="dxa"/>
              <w:left w:w="108" w:type="dxa"/>
              <w:bottom w:w="0" w:type="dxa"/>
              <w:right w:w="108" w:type="dxa"/>
            </w:tcMar>
          </w:tcPr>
          <w:p w14:paraId="7C9C5D90" w14:textId="77777777" w:rsidR="00D73008" w:rsidRPr="00E436AB" w:rsidRDefault="00D73008" w:rsidP="00387AE5">
            <w:pPr>
              <w:ind w:left="138" w:hanging="138"/>
              <w:jc w:val="center"/>
              <w:rPr>
                <w:color w:val="000000"/>
                <w:sz w:val="18"/>
                <w:szCs w:val="18"/>
                <w:lang w:eastAsia="en-GB"/>
              </w:rPr>
            </w:pPr>
            <w:r w:rsidRPr="00E436AB">
              <w:rPr>
                <w:sz w:val="18"/>
                <w:szCs w:val="18"/>
              </w:rPr>
              <w:t>36,0</w:t>
            </w:r>
          </w:p>
        </w:tc>
        <w:tc>
          <w:tcPr>
            <w:tcW w:w="953" w:type="dxa"/>
            <w:noWrap/>
            <w:tcMar>
              <w:top w:w="0" w:type="dxa"/>
              <w:left w:w="108" w:type="dxa"/>
              <w:bottom w:w="0" w:type="dxa"/>
              <w:right w:w="108" w:type="dxa"/>
            </w:tcMar>
          </w:tcPr>
          <w:p w14:paraId="15BE5A25" w14:textId="77777777" w:rsidR="00D73008" w:rsidRPr="00E436AB" w:rsidRDefault="00D73008" w:rsidP="00387AE5">
            <w:pPr>
              <w:ind w:left="138" w:hanging="138"/>
              <w:jc w:val="center"/>
              <w:rPr>
                <w:color w:val="000000"/>
                <w:sz w:val="18"/>
                <w:szCs w:val="18"/>
                <w:lang w:eastAsia="en-GB"/>
              </w:rPr>
            </w:pPr>
            <w:r w:rsidRPr="00E436AB">
              <w:rPr>
                <w:sz w:val="18"/>
                <w:szCs w:val="18"/>
              </w:rPr>
              <w:t>37,0</w:t>
            </w:r>
          </w:p>
        </w:tc>
        <w:tc>
          <w:tcPr>
            <w:tcW w:w="953" w:type="dxa"/>
            <w:gridSpan w:val="2"/>
            <w:noWrap/>
            <w:tcMar>
              <w:top w:w="0" w:type="dxa"/>
              <w:left w:w="108" w:type="dxa"/>
              <w:bottom w:w="0" w:type="dxa"/>
              <w:right w:w="108" w:type="dxa"/>
            </w:tcMar>
          </w:tcPr>
          <w:p w14:paraId="42950898" w14:textId="77777777" w:rsidR="00D73008" w:rsidRPr="00E436AB" w:rsidRDefault="00D73008" w:rsidP="00387AE5">
            <w:pPr>
              <w:ind w:left="138" w:hanging="138"/>
              <w:jc w:val="center"/>
              <w:rPr>
                <w:color w:val="000000"/>
                <w:sz w:val="18"/>
                <w:szCs w:val="18"/>
                <w:lang w:eastAsia="en-GB"/>
              </w:rPr>
            </w:pPr>
            <w:r w:rsidRPr="00E436AB">
              <w:rPr>
                <w:sz w:val="18"/>
                <w:szCs w:val="18"/>
              </w:rPr>
              <w:t>37,0</w:t>
            </w:r>
          </w:p>
        </w:tc>
        <w:tc>
          <w:tcPr>
            <w:tcW w:w="953" w:type="dxa"/>
            <w:gridSpan w:val="2"/>
          </w:tcPr>
          <w:p w14:paraId="6A77902C" w14:textId="77777777" w:rsidR="00D73008" w:rsidRPr="00E436AB" w:rsidRDefault="00D73008" w:rsidP="00387AE5">
            <w:pPr>
              <w:ind w:left="138" w:hanging="138"/>
              <w:jc w:val="center"/>
              <w:rPr>
                <w:color w:val="000000"/>
                <w:sz w:val="18"/>
                <w:szCs w:val="18"/>
                <w:lang w:eastAsia="en-GB"/>
              </w:rPr>
            </w:pPr>
            <w:r w:rsidRPr="00E436AB">
              <w:rPr>
                <w:sz w:val="18"/>
                <w:szCs w:val="18"/>
              </w:rPr>
              <w:t>38,0</w:t>
            </w:r>
          </w:p>
        </w:tc>
      </w:tr>
      <w:tr w:rsidR="00D73008" w:rsidRPr="004622CB" w14:paraId="425B3855" w14:textId="77777777" w:rsidTr="00387AE5">
        <w:trPr>
          <w:trHeight w:val="245"/>
        </w:trPr>
        <w:tc>
          <w:tcPr>
            <w:tcW w:w="5381" w:type="dxa"/>
            <w:gridSpan w:val="2"/>
            <w:noWrap/>
            <w:tcMar>
              <w:top w:w="0" w:type="dxa"/>
              <w:left w:w="108" w:type="dxa"/>
              <w:bottom w:w="0" w:type="dxa"/>
              <w:right w:w="108" w:type="dxa"/>
            </w:tcMar>
          </w:tcPr>
          <w:p w14:paraId="27318844" w14:textId="77777777" w:rsidR="00D73008" w:rsidRPr="00F27602" w:rsidRDefault="00D73008" w:rsidP="00387AE5">
            <w:pPr>
              <w:ind w:left="138" w:hanging="138"/>
              <w:rPr>
                <w:b/>
                <w:color w:val="000000"/>
                <w:sz w:val="18"/>
                <w:szCs w:val="18"/>
                <w:lang w:eastAsia="en-GB"/>
              </w:rPr>
            </w:pPr>
            <w:r w:rsidRPr="00F27602">
              <w:rPr>
                <w:sz w:val="18"/>
                <w:szCs w:val="18"/>
              </w:rPr>
              <w:t>Zavedenie licencií na hazardné hry</w:t>
            </w:r>
          </w:p>
        </w:tc>
        <w:tc>
          <w:tcPr>
            <w:tcW w:w="952" w:type="dxa"/>
            <w:gridSpan w:val="2"/>
            <w:noWrap/>
            <w:tcMar>
              <w:top w:w="0" w:type="dxa"/>
              <w:left w:w="108" w:type="dxa"/>
              <w:bottom w:w="0" w:type="dxa"/>
              <w:right w:w="108" w:type="dxa"/>
            </w:tcMar>
          </w:tcPr>
          <w:p w14:paraId="32456428" w14:textId="77777777" w:rsidR="00D73008" w:rsidRPr="00E436AB" w:rsidRDefault="00D73008" w:rsidP="00387AE5">
            <w:pPr>
              <w:ind w:left="138" w:hanging="138"/>
              <w:jc w:val="center"/>
              <w:rPr>
                <w:color w:val="000000"/>
                <w:sz w:val="18"/>
                <w:szCs w:val="18"/>
                <w:lang w:eastAsia="en-GB"/>
              </w:rPr>
            </w:pPr>
            <w:r w:rsidRPr="00E436AB">
              <w:rPr>
                <w:sz w:val="18"/>
                <w:szCs w:val="18"/>
              </w:rPr>
              <w:t>11,7</w:t>
            </w:r>
          </w:p>
        </w:tc>
        <w:tc>
          <w:tcPr>
            <w:tcW w:w="953" w:type="dxa"/>
            <w:noWrap/>
            <w:tcMar>
              <w:top w:w="0" w:type="dxa"/>
              <w:left w:w="108" w:type="dxa"/>
              <w:bottom w:w="0" w:type="dxa"/>
              <w:right w:w="108" w:type="dxa"/>
            </w:tcMar>
          </w:tcPr>
          <w:p w14:paraId="2B202900" w14:textId="77777777" w:rsidR="00D73008" w:rsidRPr="00E436AB" w:rsidRDefault="00D73008" w:rsidP="00387AE5">
            <w:pPr>
              <w:ind w:left="138" w:hanging="138"/>
              <w:jc w:val="center"/>
              <w:rPr>
                <w:color w:val="000000"/>
                <w:sz w:val="18"/>
                <w:szCs w:val="18"/>
                <w:lang w:eastAsia="en-GB"/>
              </w:rPr>
            </w:pPr>
            <w:r w:rsidRPr="00E436AB">
              <w:rPr>
                <w:sz w:val="18"/>
                <w:szCs w:val="18"/>
              </w:rPr>
              <w:t>14,5</w:t>
            </w:r>
          </w:p>
        </w:tc>
        <w:tc>
          <w:tcPr>
            <w:tcW w:w="953" w:type="dxa"/>
            <w:gridSpan w:val="2"/>
            <w:noWrap/>
            <w:tcMar>
              <w:top w:w="0" w:type="dxa"/>
              <w:left w:w="108" w:type="dxa"/>
              <w:bottom w:w="0" w:type="dxa"/>
              <w:right w:w="108" w:type="dxa"/>
            </w:tcMar>
          </w:tcPr>
          <w:p w14:paraId="0BD1B002" w14:textId="77777777" w:rsidR="00D73008" w:rsidRPr="00E436AB" w:rsidRDefault="00D73008" w:rsidP="00387AE5">
            <w:pPr>
              <w:ind w:left="138" w:hanging="138"/>
              <w:jc w:val="center"/>
              <w:rPr>
                <w:color w:val="000000"/>
                <w:sz w:val="18"/>
                <w:szCs w:val="18"/>
                <w:lang w:eastAsia="en-GB"/>
              </w:rPr>
            </w:pPr>
            <w:r w:rsidRPr="00E436AB">
              <w:rPr>
                <w:sz w:val="18"/>
                <w:szCs w:val="18"/>
              </w:rPr>
              <w:t>14,5</w:t>
            </w:r>
          </w:p>
        </w:tc>
        <w:tc>
          <w:tcPr>
            <w:tcW w:w="953" w:type="dxa"/>
            <w:gridSpan w:val="2"/>
          </w:tcPr>
          <w:p w14:paraId="0659E963" w14:textId="77777777" w:rsidR="00D73008" w:rsidRPr="00E436AB" w:rsidRDefault="00D73008" w:rsidP="00387AE5">
            <w:pPr>
              <w:ind w:left="138" w:hanging="138"/>
              <w:jc w:val="center"/>
              <w:rPr>
                <w:color w:val="000000"/>
                <w:sz w:val="18"/>
                <w:szCs w:val="18"/>
                <w:lang w:eastAsia="en-GB"/>
              </w:rPr>
            </w:pPr>
            <w:r w:rsidRPr="00E436AB">
              <w:rPr>
                <w:sz w:val="18"/>
                <w:szCs w:val="18"/>
              </w:rPr>
              <w:t>14,5</w:t>
            </w:r>
          </w:p>
        </w:tc>
      </w:tr>
      <w:tr w:rsidR="00D73008" w:rsidRPr="004622CB" w14:paraId="5FDE75AB" w14:textId="77777777" w:rsidTr="00387AE5">
        <w:trPr>
          <w:trHeight w:val="245"/>
        </w:trPr>
        <w:tc>
          <w:tcPr>
            <w:tcW w:w="5381" w:type="dxa"/>
            <w:gridSpan w:val="2"/>
            <w:noWrap/>
            <w:tcMar>
              <w:top w:w="0" w:type="dxa"/>
              <w:left w:w="108" w:type="dxa"/>
              <w:bottom w:w="0" w:type="dxa"/>
              <w:right w:w="108" w:type="dxa"/>
            </w:tcMar>
          </w:tcPr>
          <w:p w14:paraId="408CE5A7" w14:textId="77777777" w:rsidR="00D73008" w:rsidRPr="00F27602" w:rsidRDefault="00D73008" w:rsidP="00387AE5">
            <w:pPr>
              <w:ind w:left="138" w:hanging="138"/>
              <w:rPr>
                <w:b/>
                <w:color w:val="000000"/>
                <w:sz w:val="18"/>
                <w:szCs w:val="18"/>
                <w:lang w:eastAsia="en-GB"/>
              </w:rPr>
            </w:pPr>
            <w:r w:rsidRPr="00F27602">
              <w:rPr>
                <w:sz w:val="18"/>
                <w:szCs w:val="18"/>
              </w:rPr>
              <w:t>Poplatok za uloženie odpadu</w:t>
            </w:r>
          </w:p>
        </w:tc>
        <w:tc>
          <w:tcPr>
            <w:tcW w:w="952" w:type="dxa"/>
            <w:gridSpan w:val="2"/>
            <w:noWrap/>
            <w:tcMar>
              <w:top w:w="0" w:type="dxa"/>
              <w:left w:w="108" w:type="dxa"/>
              <w:bottom w:w="0" w:type="dxa"/>
              <w:right w:w="108" w:type="dxa"/>
            </w:tcMar>
          </w:tcPr>
          <w:p w14:paraId="78530A29" w14:textId="77777777" w:rsidR="00D73008" w:rsidRPr="00E436AB" w:rsidRDefault="00D73008" w:rsidP="00387AE5">
            <w:pPr>
              <w:ind w:left="138" w:hanging="138"/>
              <w:jc w:val="center"/>
              <w:rPr>
                <w:color w:val="000000"/>
                <w:sz w:val="18"/>
                <w:szCs w:val="18"/>
                <w:lang w:eastAsia="en-GB"/>
              </w:rPr>
            </w:pPr>
            <w:r w:rsidRPr="00E436AB">
              <w:rPr>
                <w:sz w:val="18"/>
                <w:szCs w:val="18"/>
              </w:rPr>
              <w:t>9,7</w:t>
            </w:r>
          </w:p>
        </w:tc>
        <w:tc>
          <w:tcPr>
            <w:tcW w:w="953" w:type="dxa"/>
            <w:noWrap/>
            <w:tcMar>
              <w:top w:w="0" w:type="dxa"/>
              <w:left w:w="108" w:type="dxa"/>
              <w:bottom w:w="0" w:type="dxa"/>
              <w:right w:w="108" w:type="dxa"/>
            </w:tcMar>
          </w:tcPr>
          <w:p w14:paraId="24B9C693" w14:textId="77777777" w:rsidR="00D73008" w:rsidRPr="00E436AB" w:rsidRDefault="00D73008" w:rsidP="00387AE5">
            <w:pPr>
              <w:ind w:left="138" w:hanging="138"/>
              <w:jc w:val="center"/>
              <w:rPr>
                <w:color w:val="000000"/>
                <w:sz w:val="18"/>
                <w:szCs w:val="18"/>
                <w:lang w:eastAsia="en-GB"/>
              </w:rPr>
            </w:pPr>
            <w:r w:rsidRPr="00E436AB">
              <w:rPr>
                <w:sz w:val="18"/>
                <w:szCs w:val="18"/>
              </w:rPr>
              <w:t>21,2</w:t>
            </w:r>
          </w:p>
        </w:tc>
        <w:tc>
          <w:tcPr>
            <w:tcW w:w="953" w:type="dxa"/>
            <w:gridSpan w:val="2"/>
            <w:noWrap/>
            <w:tcMar>
              <w:top w:w="0" w:type="dxa"/>
              <w:left w:w="108" w:type="dxa"/>
              <w:bottom w:w="0" w:type="dxa"/>
              <w:right w:w="108" w:type="dxa"/>
            </w:tcMar>
          </w:tcPr>
          <w:p w14:paraId="0603BCAA" w14:textId="77777777" w:rsidR="00D73008" w:rsidRPr="00E436AB" w:rsidRDefault="00D73008" w:rsidP="00387AE5">
            <w:pPr>
              <w:ind w:left="138" w:hanging="138"/>
              <w:jc w:val="center"/>
              <w:rPr>
                <w:color w:val="000000"/>
                <w:sz w:val="18"/>
                <w:szCs w:val="18"/>
                <w:lang w:eastAsia="en-GB"/>
              </w:rPr>
            </w:pPr>
            <w:r w:rsidRPr="00E436AB">
              <w:rPr>
                <w:sz w:val="18"/>
                <w:szCs w:val="18"/>
              </w:rPr>
              <w:t>27,5</w:t>
            </w:r>
          </w:p>
        </w:tc>
        <w:tc>
          <w:tcPr>
            <w:tcW w:w="953" w:type="dxa"/>
            <w:gridSpan w:val="2"/>
          </w:tcPr>
          <w:p w14:paraId="58696F44" w14:textId="77777777" w:rsidR="00D73008" w:rsidRPr="00E436AB" w:rsidRDefault="00D73008" w:rsidP="00387AE5">
            <w:pPr>
              <w:ind w:left="138" w:hanging="138"/>
              <w:jc w:val="center"/>
              <w:rPr>
                <w:color w:val="000000"/>
                <w:sz w:val="18"/>
                <w:szCs w:val="18"/>
                <w:lang w:eastAsia="en-GB"/>
              </w:rPr>
            </w:pPr>
            <w:r w:rsidRPr="00E436AB">
              <w:rPr>
                <w:sz w:val="18"/>
                <w:szCs w:val="18"/>
              </w:rPr>
              <w:t>26,3</w:t>
            </w:r>
          </w:p>
        </w:tc>
      </w:tr>
      <w:tr w:rsidR="00D73008" w:rsidRPr="004622CB" w14:paraId="536E86A6" w14:textId="77777777" w:rsidTr="00387AE5">
        <w:trPr>
          <w:trHeight w:val="245"/>
        </w:trPr>
        <w:tc>
          <w:tcPr>
            <w:tcW w:w="5381" w:type="dxa"/>
            <w:gridSpan w:val="2"/>
            <w:noWrap/>
            <w:tcMar>
              <w:top w:w="0" w:type="dxa"/>
              <w:left w:w="108" w:type="dxa"/>
              <w:bottom w:w="0" w:type="dxa"/>
              <w:right w:w="108" w:type="dxa"/>
            </w:tcMar>
          </w:tcPr>
          <w:p w14:paraId="74550586" w14:textId="77777777" w:rsidR="00D73008" w:rsidRPr="00F27602" w:rsidRDefault="00D73008" w:rsidP="00387AE5">
            <w:pPr>
              <w:ind w:left="138" w:hanging="138"/>
              <w:rPr>
                <w:b/>
                <w:color w:val="000000"/>
                <w:sz w:val="18"/>
                <w:szCs w:val="18"/>
                <w:lang w:eastAsia="en-GB"/>
              </w:rPr>
            </w:pPr>
            <w:r w:rsidRPr="00F27602">
              <w:rPr>
                <w:sz w:val="18"/>
                <w:szCs w:val="18"/>
              </w:rPr>
              <w:t>Zrušenie bankového odvodu (v roku 2021)</w:t>
            </w:r>
          </w:p>
        </w:tc>
        <w:tc>
          <w:tcPr>
            <w:tcW w:w="952" w:type="dxa"/>
            <w:gridSpan w:val="2"/>
            <w:noWrap/>
            <w:tcMar>
              <w:top w:w="0" w:type="dxa"/>
              <w:left w:w="108" w:type="dxa"/>
              <w:bottom w:w="0" w:type="dxa"/>
              <w:right w:w="108" w:type="dxa"/>
            </w:tcMar>
          </w:tcPr>
          <w:p w14:paraId="7CC1CECD" w14:textId="77777777" w:rsidR="00D73008" w:rsidRPr="00E436AB" w:rsidRDefault="00D73008" w:rsidP="00387AE5">
            <w:pPr>
              <w:ind w:left="138" w:hanging="138"/>
              <w:jc w:val="center"/>
              <w:rPr>
                <w:color w:val="000000"/>
                <w:sz w:val="18"/>
                <w:szCs w:val="18"/>
                <w:lang w:eastAsia="en-GB"/>
              </w:rPr>
            </w:pPr>
            <w:r>
              <w:rPr>
                <w:sz w:val="18"/>
                <w:szCs w:val="18"/>
              </w:rPr>
              <w:t>-</w:t>
            </w:r>
          </w:p>
        </w:tc>
        <w:tc>
          <w:tcPr>
            <w:tcW w:w="953" w:type="dxa"/>
            <w:noWrap/>
            <w:tcMar>
              <w:top w:w="0" w:type="dxa"/>
              <w:left w:w="108" w:type="dxa"/>
              <w:bottom w:w="0" w:type="dxa"/>
              <w:right w:w="108" w:type="dxa"/>
            </w:tcMar>
          </w:tcPr>
          <w:p w14:paraId="322788AF" w14:textId="77777777" w:rsidR="00D73008" w:rsidRPr="00E436AB" w:rsidRDefault="00D73008" w:rsidP="00387AE5">
            <w:pPr>
              <w:ind w:left="138" w:hanging="138"/>
              <w:jc w:val="center"/>
              <w:rPr>
                <w:color w:val="000000"/>
                <w:sz w:val="18"/>
                <w:szCs w:val="18"/>
                <w:lang w:eastAsia="en-GB"/>
              </w:rPr>
            </w:pPr>
            <w:r>
              <w:rPr>
                <w:sz w:val="18"/>
                <w:szCs w:val="18"/>
              </w:rPr>
              <w:t>-</w:t>
            </w:r>
          </w:p>
        </w:tc>
        <w:tc>
          <w:tcPr>
            <w:tcW w:w="953" w:type="dxa"/>
            <w:gridSpan w:val="2"/>
            <w:noWrap/>
            <w:tcMar>
              <w:top w:w="0" w:type="dxa"/>
              <w:left w:w="108" w:type="dxa"/>
              <w:bottom w:w="0" w:type="dxa"/>
              <w:right w:w="108" w:type="dxa"/>
            </w:tcMar>
          </w:tcPr>
          <w:p w14:paraId="31B35EF1" w14:textId="77777777" w:rsidR="00D73008" w:rsidRPr="00E436AB" w:rsidRDefault="00D73008" w:rsidP="00387AE5">
            <w:pPr>
              <w:ind w:left="138" w:hanging="138"/>
              <w:jc w:val="center"/>
              <w:rPr>
                <w:color w:val="000000"/>
                <w:sz w:val="18"/>
                <w:szCs w:val="18"/>
                <w:lang w:eastAsia="en-GB"/>
              </w:rPr>
            </w:pPr>
            <w:r w:rsidRPr="00E436AB">
              <w:rPr>
                <w:sz w:val="18"/>
                <w:szCs w:val="18"/>
              </w:rPr>
              <w:t>-128,2</w:t>
            </w:r>
          </w:p>
        </w:tc>
        <w:tc>
          <w:tcPr>
            <w:tcW w:w="953" w:type="dxa"/>
            <w:gridSpan w:val="2"/>
          </w:tcPr>
          <w:p w14:paraId="494E1453" w14:textId="77777777" w:rsidR="00D73008" w:rsidRPr="00E436AB" w:rsidRDefault="00D73008" w:rsidP="00387AE5">
            <w:pPr>
              <w:ind w:left="138" w:hanging="138"/>
              <w:jc w:val="center"/>
              <w:rPr>
                <w:color w:val="000000"/>
                <w:sz w:val="18"/>
                <w:szCs w:val="18"/>
                <w:lang w:eastAsia="en-GB"/>
              </w:rPr>
            </w:pPr>
            <w:r w:rsidRPr="00E436AB">
              <w:rPr>
                <w:sz w:val="18"/>
                <w:szCs w:val="18"/>
              </w:rPr>
              <w:t>-128,2</w:t>
            </w:r>
          </w:p>
        </w:tc>
      </w:tr>
      <w:tr w:rsidR="00D73008" w:rsidRPr="004622CB" w14:paraId="3401B6EA" w14:textId="77777777" w:rsidTr="00387AE5">
        <w:trPr>
          <w:trHeight w:val="245"/>
        </w:trPr>
        <w:tc>
          <w:tcPr>
            <w:tcW w:w="5381" w:type="dxa"/>
            <w:gridSpan w:val="2"/>
            <w:noWrap/>
            <w:tcMar>
              <w:top w:w="0" w:type="dxa"/>
              <w:left w:w="108" w:type="dxa"/>
              <w:bottom w:w="0" w:type="dxa"/>
              <w:right w:w="108" w:type="dxa"/>
            </w:tcMar>
          </w:tcPr>
          <w:p w14:paraId="5230679E" w14:textId="77777777" w:rsidR="00D73008" w:rsidRPr="00F27602" w:rsidRDefault="00D73008" w:rsidP="00387AE5">
            <w:pPr>
              <w:ind w:left="138" w:hanging="138"/>
              <w:rPr>
                <w:b/>
                <w:color w:val="000000"/>
                <w:sz w:val="18"/>
                <w:szCs w:val="18"/>
                <w:lang w:eastAsia="en-GB"/>
              </w:rPr>
            </w:pPr>
            <w:r w:rsidRPr="00F27602">
              <w:rPr>
                <w:sz w:val="18"/>
                <w:szCs w:val="18"/>
              </w:rPr>
              <w:t>Zvýšenie poplatku za správu (EOSA)</w:t>
            </w:r>
          </w:p>
        </w:tc>
        <w:tc>
          <w:tcPr>
            <w:tcW w:w="952" w:type="dxa"/>
            <w:gridSpan w:val="2"/>
            <w:noWrap/>
            <w:tcMar>
              <w:top w:w="0" w:type="dxa"/>
              <w:left w:w="108" w:type="dxa"/>
              <w:bottom w:w="0" w:type="dxa"/>
              <w:right w:w="108" w:type="dxa"/>
            </w:tcMar>
          </w:tcPr>
          <w:p w14:paraId="26040605" w14:textId="77777777" w:rsidR="00D73008" w:rsidRPr="00E436AB" w:rsidRDefault="00D73008" w:rsidP="00387AE5">
            <w:pPr>
              <w:ind w:left="138" w:hanging="138"/>
              <w:jc w:val="center"/>
              <w:rPr>
                <w:color w:val="000000"/>
                <w:sz w:val="18"/>
                <w:szCs w:val="18"/>
                <w:lang w:eastAsia="en-GB"/>
              </w:rPr>
            </w:pPr>
            <w:r>
              <w:rPr>
                <w:sz w:val="18"/>
                <w:szCs w:val="18"/>
              </w:rPr>
              <w:t>-</w:t>
            </w:r>
          </w:p>
        </w:tc>
        <w:tc>
          <w:tcPr>
            <w:tcW w:w="953" w:type="dxa"/>
            <w:noWrap/>
            <w:tcMar>
              <w:top w:w="0" w:type="dxa"/>
              <w:left w:w="108" w:type="dxa"/>
              <w:bottom w:w="0" w:type="dxa"/>
              <w:right w:w="108" w:type="dxa"/>
            </w:tcMar>
          </w:tcPr>
          <w:p w14:paraId="0367BDB2" w14:textId="77777777" w:rsidR="00D73008" w:rsidRPr="00E436AB" w:rsidRDefault="00D73008" w:rsidP="00387AE5">
            <w:pPr>
              <w:ind w:left="138" w:hanging="138"/>
              <w:jc w:val="center"/>
              <w:rPr>
                <w:color w:val="000000"/>
                <w:sz w:val="18"/>
                <w:szCs w:val="18"/>
                <w:lang w:eastAsia="en-GB"/>
              </w:rPr>
            </w:pPr>
            <w:r w:rsidRPr="00E436AB">
              <w:rPr>
                <w:sz w:val="18"/>
                <w:szCs w:val="18"/>
              </w:rPr>
              <w:t>32,6</w:t>
            </w:r>
          </w:p>
        </w:tc>
        <w:tc>
          <w:tcPr>
            <w:tcW w:w="953" w:type="dxa"/>
            <w:gridSpan w:val="2"/>
            <w:noWrap/>
            <w:tcMar>
              <w:top w:w="0" w:type="dxa"/>
              <w:left w:w="108" w:type="dxa"/>
              <w:bottom w:w="0" w:type="dxa"/>
              <w:right w:w="108" w:type="dxa"/>
            </w:tcMar>
          </w:tcPr>
          <w:p w14:paraId="3DE4FAE7" w14:textId="77777777" w:rsidR="00D73008" w:rsidRPr="00E436AB" w:rsidRDefault="00D73008" w:rsidP="00387AE5">
            <w:pPr>
              <w:ind w:left="138" w:hanging="138"/>
              <w:jc w:val="center"/>
              <w:rPr>
                <w:color w:val="000000"/>
                <w:sz w:val="18"/>
                <w:szCs w:val="18"/>
                <w:lang w:eastAsia="en-GB"/>
              </w:rPr>
            </w:pPr>
            <w:r w:rsidRPr="00E436AB">
              <w:rPr>
                <w:sz w:val="18"/>
                <w:szCs w:val="18"/>
              </w:rPr>
              <w:t>32,6</w:t>
            </w:r>
          </w:p>
        </w:tc>
        <w:tc>
          <w:tcPr>
            <w:tcW w:w="953" w:type="dxa"/>
            <w:gridSpan w:val="2"/>
          </w:tcPr>
          <w:p w14:paraId="147A5453" w14:textId="77777777" w:rsidR="00D73008" w:rsidRPr="00E436AB" w:rsidRDefault="00D73008" w:rsidP="00387AE5">
            <w:pPr>
              <w:ind w:left="138" w:hanging="138"/>
              <w:jc w:val="center"/>
              <w:rPr>
                <w:color w:val="000000"/>
                <w:sz w:val="18"/>
                <w:szCs w:val="18"/>
                <w:lang w:eastAsia="en-GB"/>
              </w:rPr>
            </w:pPr>
            <w:r w:rsidRPr="00E436AB">
              <w:rPr>
                <w:sz w:val="18"/>
                <w:szCs w:val="18"/>
              </w:rPr>
              <w:t>32,6</w:t>
            </w:r>
          </w:p>
        </w:tc>
      </w:tr>
      <w:tr w:rsidR="00D73008" w:rsidRPr="004622CB" w14:paraId="0F60365A" w14:textId="77777777" w:rsidTr="00387AE5">
        <w:trPr>
          <w:trHeight w:val="245"/>
        </w:trPr>
        <w:tc>
          <w:tcPr>
            <w:tcW w:w="5381" w:type="dxa"/>
            <w:gridSpan w:val="2"/>
            <w:noWrap/>
            <w:tcMar>
              <w:top w:w="0" w:type="dxa"/>
              <w:left w:w="108" w:type="dxa"/>
              <w:bottom w:w="0" w:type="dxa"/>
              <w:right w:w="108" w:type="dxa"/>
            </w:tcMar>
          </w:tcPr>
          <w:p w14:paraId="40D302C7" w14:textId="77777777" w:rsidR="00D73008" w:rsidRPr="00F27602" w:rsidRDefault="00D73008" w:rsidP="00387AE5">
            <w:pPr>
              <w:ind w:left="138" w:hanging="138"/>
              <w:rPr>
                <w:b/>
                <w:color w:val="000000"/>
                <w:sz w:val="18"/>
                <w:szCs w:val="18"/>
                <w:lang w:eastAsia="en-GB"/>
              </w:rPr>
            </w:pPr>
            <w:r w:rsidRPr="00F27602">
              <w:rPr>
                <w:sz w:val="18"/>
                <w:szCs w:val="18"/>
              </w:rPr>
              <w:t>Ročné zúčtovanie sociálnych odvodov</w:t>
            </w:r>
          </w:p>
        </w:tc>
        <w:tc>
          <w:tcPr>
            <w:tcW w:w="952" w:type="dxa"/>
            <w:gridSpan w:val="2"/>
            <w:noWrap/>
            <w:tcMar>
              <w:top w:w="0" w:type="dxa"/>
              <w:left w:w="108" w:type="dxa"/>
              <w:bottom w:w="0" w:type="dxa"/>
              <w:right w:w="108" w:type="dxa"/>
            </w:tcMar>
          </w:tcPr>
          <w:p w14:paraId="7A1E68FA" w14:textId="77777777" w:rsidR="00D73008" w:rsidRPr="00E436AB" w:rsidRDefault="00D73008" w:rsidP="00387AE5">
            <w:pPr>
              <w:ind w:left="138" w:hanging="138"/>
              <w:jc w:val="center"/>
              <w:rPr>
                <w:color w:val="000000"/>
                <w:sz w:val="18"/>
                <w:szCs w:val="18"/>
                <w:lang w:eastAsia="en-GB"/>
              </w:rPr>
            </w:pPr>
            <w:r>
              <w:rPr>
                <w:sz w:val="18"/>
                <w:szCs w:val="18"/>
              </w:rPr>
              <w:t>-</w:t>
            </w:r>
          </w:p>
        </w:tc>
        <w:tc>
          <w:tcPr>
            <w:tcW w:w="953" w:type="dxa"/>
            <w:noWrap/>
            <w:tcMar>
              <w:top w:w="0" w:type="dxa"/>
              <w:left w:w="108" w:type="dxa"/>
              <w:bottom w:w="0" w:type="dxa"/>
              <w:right w:w="108" w:type="dxa"/>
            </w:tcMar>
          </w:tcPr>
          <w:p w14:paraId="7BAE331B" w14:textId="77777777" w:rsidR="00D73008" w:rsidRPr="00E436AB" w:rsidRDefault="00D73008" w:rsidP="00387AE5">
            <w:pPr>
              <w:ind w:left="138" w:hanging="138"/>
              <w:jc w:val="center"/>
              <w:rPr>
                <w:color w:val="000000"/>
                <w:sz w:val="18"/>
                <w:szCs w:val="18"/>
                <w:lang w:eastAsia="en-GB"/>
              </w:rPr>
            </w:pPr>
            <w:r>
              <w:rPr>
                <w:sz w:val="18"/>
                <w:szCs w:val="18"/>
              </w:rPr>
              <w:t>-</w:t>
            </w:r>
          </w:p>
        </w:tc>
        <w:tc>
          <w:tcPr>
            <w:tcW w:w="953" w:type="dxa"/>
            <w:gridSpan w:val="2"/>
            <w:noWrap/>
            <w:tcMar>
              <w:top w:w="0" w:type="dxa"/>
              <w:left w:w="108" w:type="dxa"/>
              <w:bottom w:w="0" w:type="dxa"/>
              <w:right w:w="108" w:type="dxa"/>
            </w:tcMar>
          </w:tcPr>
          <w:p w14:paraId="64EB8F6A" w14:textId="77777777" w:rsidR="00D73008" w:rsidRPr="00E436AB" w:rsidRDefault="00D73008" w:rsidP="00387AE5">
            <w:pPr>
              <w:ind w:left="138" w:hanging="138"/>
              <w:jc w:val="center"/>
              <w:rPr>
                <w:color w:val="000000"/>
                <w:sz w:val="18"/>
                <w:szCs w:val="18"/>
                <w:lang w:eastAsia="en-GB"/>
              </w:rPr>
            </w:pPr>
            <w:r>
              <w:rPr>
                <w:sz w:val="18"/>
                <w:szCs w:val="18"/>
              </w:rPr>
              <w:t>-</w:t>
            </w:r>
          </w:p>
        </w:tc>
        <w:tc>
          <w:tcPr>
            <w:tcW w:w="953" w:type="dxa"/>
            <w:gridSpan w:val="2"/>
          </w:tcPr>
          <w:p w14:paraId="3BE9B20B" w14:textId="77777777" w:rsidR="00D73008" w:rsidRPr="00E436AB" w:rsidRDefault="00D73008" w:rsidP="00387AE5">
            <w:pPr>
              <w:ind w:left="138" w:hanging="138"/>
              <w:jc w:val="center"/>
              <w:rPr>
                <w:color w:val="000000"/>
                <w:sz w:val="18"/>
                <w:szCs w:val="18"/>
                <w:lang w:eastAsia="en-GB"/>
              </w:rPr>
            </w:pPr>
            <w:r w:rsidRPr="00E436AB">
              <w:rPr>
                <w:sz w:val="18"/>
                <w:szCs w:val="18"/>
              </w:rPr>
              <w:t>50,0</w:t>
            </w:r>
          </w:p>
        </w:tc>
      </w:tr>
      <w:tr w:rsidR="00D73008" w:rsidRPr="004622CB" w14:paraId="5CF217AE" w14:textId="77777777" w:rsidTr="00387AE5">
        <w:trPr>
          <w:trHeight w:val="245"/>
        </w:trPr>
        <w:tc>
          <w:tcPr>
            <w:tcW w:w="5381" w:type="dxa"/>
            <w:gridSpan w:val="2"/>
            <w:noWrap/>
            <w:tcMar>
              <w:top w:w="0" w:type="dxa"/>
              <w:left w:w="108" w:type="dxa"/>
              <w:bottom w:w="0" w:type="dxa"/>
              <w:right w:w="108" w:type="dxa"/>
            </w:tcMar>
          </w:tcPr>
          <w:p w14:paraId="7911D2D0" w14:textId="77777777" w:rsidR="00D73008" w:rsidRPr="00F27602" w:rsidRDefault="00D73008" w:rsidP="00387AE5">
            <w:pPr>
              <w:ind w:left="138" w:hanging="138"/>
              <w:rPr>
                <w:b/>
                <w:color w:val="000000"/>
                <w:sz w:val="18"/>
                <w:szCs w:val="18"/>
                <w:lang w:eastAsia="en-GB"/>
              </w:rPr>
            </w:pPr>
            <w:r w:rsidRPr="00F27602">
              <w:rPr>
                <w:sz w:val="18"/>
                <w:szCs w:val="18"/>
              </w:rPr>
              <w:t>Zvýšenie superodpočtu na vedu a výskum na 100%</w:t>
            </w:r>
          </w:p>
        </w:tc>
        <w:tc>
          <w:tcPr>
            <w:tcW w:w="952" w:type="dxa"/>
            <w:gridSpan w:val="2"/>
            <w:noWrap/>
            <w:tcMar>
              <w:top w:w="0" w:type="dxa"/>
              <w:left w:w="108" w:type="dxa"/>
              <w:bottom w:w="0" w:type="dxa"/>
              <w:right w:w="108" w:type="dxa"/>
            </w:tcMar>
          </w:tcPr>
          <w:p w14:paraId="3BD177A3" w14:textId="77777777" w:rsidR="00D73008" w:rsidRPr="00E436AB" w:rsidRDefault="00D73008" w:rsidP="00387AE5">
            <w:pPr>
              <w:ind w:left="138" w:hanging="138"/>
              <w:jc w:val="center"/>
              <w:rPr>
                <w:color w:val="000000"/>
                <w:sz w:val="18"/>
                <w:szCs w:val="18"/>
                <w:lang w:eastAsia="en-GB"/>
              </w:rPr>
            </w:pPr>
            <w:r w:rsidRPr="00E436AB">
              <w:rPr>
                <w:sz w:val="18"/>
                <w:szCs w:val="18"/>
              </w:rPr>
              <w:t>-2,0</w:t>
            </w:r>
          </w:p>
        </w:tc>
        <w:tc>
          <w:tcPr>
            <w:tcW w:w="953" w:type="dxa"/>
            <w:noWrap/>
            <w:tcMar>
              <w:top w:w="0" w:type="dxa"/>
              <w:left w:w="108" w:type="dxa"/>
              <w:bottom w:w="0" w:type="dxa"/>
              <w:right w:w="108" w:type="dxa"/>
            </w:tcMar>
          </w:tcPr>
          <w:p w14:paraId="6DE78EA4" w14:textId="77777777" w:rsidR="00D73008" w:rsidRPr="00E436AB" w:rsidRDefault="00D73008" w:rsidP="00387AE5">
            <w:pPr>
              <w:ind w:left="138" w:hanging="138"/>
              <w:jc w:val="center"/>
              <w:rPr>
                <w:color w:val="000000"/>
                <w:sz w:val="18"/>
                <w:szCs w:val="18"/>
                <w:lang w:eastAsia="en-GB"/>
              </w:rPr>
            </w:pPr>
            <w:r w:rsidRPr="00E436AB">
              <w:rPr>
                <w:sz w:val="18"/>
                <w:szCs w:val="18"/>
              </w:rPr>
              <w:t>-4,3</w:t>
            </w:r>
          </w:p>
        </w:tc>
        <w:tc>
          <w:tcPr>
            <w:tcW w:w="953" w:type="dxa"/>
            <w:gridSpan w:val="2"/>
            <w:noWrap/>
            <w:tcMar>
              <w:top w:w="0" w:type="dxa"/>
              <w:left w:w="108" w:type="dxa"/>
              <w:bottom w:w="0" w:type="dxa"/>
              <w:right w:w="108" w:type="dxa"/>
            </w:tcMar>
          </w:tcPr>
          <w:p w14:paraId="67580F07" w14:textId="77777777" w:rsidR="00D73008" w:rsidRPr="00E436AB" w:rsidRDefault="00D73008" w:rsidP="00387AE5">
            <w:pPr>
              <w:ind w:left="138" w:hanging="138"/>
              <w:jc w:val="center"/>
              <w:rPr>
                <w:color w:val="000000"/>
                <w:sz w:val="18"/>
                <w:szCs w:val="18"/>
                <w:lang w:eastAsia="en-GB"/>
              </w:rPr>
            </w:pPr>
            <w:r w:rsidRPr="00E436AB">
              <w:rPr>
                <w:sz w:val="18"/>
                <w:szCs w:val="18"/>
              </w:rPr>
              <w:t>-6,3</w:t>
            </w:r>
          </w:p>
        </w:tc>
        <w:tc>
          <w:tcPr>
            <w:tcW w:w="953" w:type="dxa"/>
            <w:gridSpan w:val="2"/>
          </w:tcPr>
          <w:p w14:paraId="38457DA6" w14:textId="77777777" w:rsidR="00D73008" w:rsidRPr="00E436AB" w:rsidRDefault="00D73008" w:rsidP="00387AE5">
            <w:pPr>
              <w:ind w:left="138" w:hanging="138"/>
              <w:jc w:val="center"/>
              <w:rPr>
                <w:color w:val="000000"/>
                <w:sz w:val="18"/>
                <w:szCs w:val="18"/>
                <w:lang w:eastAsia="en-GB"/>
              </w:rPr>
            </w:pPr>
            <w:r w:rsidRPr="00E436AB">
              <w:rPr>
                <w:sz w:val="18"/>
                <w:szCs w:val="18"/>
              </w:rPr>
              <w:t>-8,5</w:t>
            </w:r>
          </w:p>
        </w:tc>
      </w:tr>
      <w:tr w:rsidR="00D73008" w:rsidRPr="004622CB" w14:paraId="2AD8AF3B" w14:textId="77777777" w:rsidTr="00387AE5">
        <w:trPr>
          <w:trHeight w:val="245"/>
        </w:trPr>
        <w:tc>
          <w:tcPr>
            <w:tcW w:w="5381" w:type="dxa"/>
            <w:gridSpan w:val="2"/>
            <w:noWrap/>
            <w:tcMar>
              <w:top w:w="0" w:type="dxa"/>
              <w:left w:w="108" w:type="dxa"/>
              <w:bottom w:w="0" w:type="dxa"/>
              <w:right w:w="108" w:type="dxa"/>
            </w:tcMar>
          </w:tcPr>
          <w:p w14:paraId="4E8347E6" w14:textId="77777777" w:rsidR="00D73008" w:rsidRPr="00F27602" w:rsidRDefault="00D73008" w:rsidP="00387AE5">
            <w:pPr>
              <w:ind w:left="138" w:hanging="138"/>
              <w:rPr>
                <w:b/>
                <w:color w:val="000000"/>
                <w:sz w:val="18"/>
                <w:szCs w:val="18"/>
                <w:lang w:eastAsia="en-GB"/>
              </w:rPr>
            </w:pPr>
            <w:r w:rsidRPr="00F27602">
              <w:rPr>
                <w:sz w:val="18"/>
                <w:szCs w:val="18"/>
              </w:rPr>
              <w:t>Zavedenie odvodovej odpočítateľnej položky pre dôchodcov</w:t>
            </w:r>
          </w:p>
        </w:tc>
        <w:tc>
          <w:tcPr>
            <w:tcW w:w="952" w:type="dxa"/>
            <w:gridSpan w:val="2"/>
            <w:noWrap/>
            <w:tcMar>
              <w:top w:w="0" w:type="dxa"/>
              <w:left w:w="108" w:type="dxa"/>
              <w:bottom w:w="0" w:type="dxa"/>
              <w:right w:w="108" w:type="dxa"/>
            </w:tcMar>
          </w:tcPr>
          <w:p w14:paraId="1D6A2CA8" w14:textId="77777777" w:rsidR="00D73008" w:rsidRPr="00E436AB" w:rsidRDefault="00D73008" w:rsidP="00387AE5">
            <w:pPr>
              <w:ind w:left="138" w:hanging="138"/>
              <w:jc w:val="center"/>
              <w:rPr>
                <w:color w:val="000000"/>
                <w:sz w:val="18"/>
                <w:szCs w:val="18"/>
                <w:lang w:eastAsia="en-GB"/>
              </w:rPr>
            </w:pPr>
            <w:r w:rsidRPr="00E436AB">
              <w:rPr>
                <w:sz w:val="18"/>
                <w:szCs w:val="18"/>
              </w:rPr>
              <w:t>-9,7</w:t>
            </w:r>
          </w:p>
        </w:tc>
        <w:tc>
          <w:tcPr>
            <w:tcW w:w="953" w:type="dxa"/>
            <w:noWrap/>
            <w:tcMar>
              <w:top w:w="0" w:type="dxa"/>
              <w:left w:w="108" w:type="dxa"/>
              <w:bottom w:w="0" w:type="dxa"/>
              <w:right w:w="108" w:type="dxa"/>
            </w:tcMar>
          </w:tcPr>
          <w:p w14:paraId="0D3FE44E" w14:textId="77777777" w:rsidR="00D73008" w:rsidRPr="00E436AB" w:rsidRDefault="00D73008" w:rsidP="00387AE5">
            <w:pPr>
              <w:ind w:left="138" w:hanging="138"/>
              <w:jc w:val="center"/>
              <w:rPr>
                <w:color w:val="000000"/>
                <w:sz w:val="18"/>
                <w:szCs w:val="18"/>
                <w:lang w:eastAsia="en-GB"/>
              </w:rPr>
            </w:pPr>
            <w:r w:rsidRPr="00E436AB">
              <w:rPr>
                <w:sz w:val="18"/>
                <w:szCs w:val="18"/>
              </w:rPr>
              <w:t>-10,0</w:t>
            </w:r>
          </w:p>
        </w:tc>
        <w:tc>
          <w:tcPr>
            <w:tcW w:w="953" w:type="dxa"/>
            <w:gridSpan w:val="2"/>
            <w:noWrap/>
            <w:tcMar>
              <w:top w:w="0" w:type="dxa"/>
              <w:left w:w="108" w:type="dxa"/>
              <w:bottom w:w="0" w:type="dxa"/>
              <w:right w:w="108" w:type="dxa"/>
            </w:tcMar>
          </w:tcPr>
          <w:p w14:paraId="67262B72" w14:textId="77777777" w:rsidR="00D73008" w:rsidRPr="00E436AB" w:rsidRDefault="00D73008" w:rsidP="00387AE5">
            <w:pPr>
              <w:ind w:left="138" w:hanging="138"/>
              <w:jc w:val="center"/>
              <w:rPr>
                <w:color w:val="000000"/>
                <w:sz w:val="18"/>
                <w:szCs w:val="18"/>
                <w:lang w:eastAsia="en-GB"/>
              </w:rPr>
            </w:pPr>
            <w:r w:rsidRPr="00E436AB">
              <w:rPr>
                <w:sz w:val="18"/>
                <w:szCs w:val="18"/>
              </w:rPr>
              <w:t>-10,3</w:t>
            </w:r>
          </w:p>
        </w:tc>
        <w:tc>
          <w:tcPr>
            <w:tcW w:w="953" w:type="dxa"/>
            <w:gridSpan w:val="2"/>
          </w:tcPr>
          <w:p w14:paraId="3E5DAD93" w14:textId="77777777" w:rsidR="00D73008" w:rsidRPr="00E436AB" w:rsidRDefault="00D73008" w:rsidP="00387AE5">
            <w:pPr>
              <w:ind w:left="138" w:hanging="138"/>
              <w:jc w:val="center"/>
              <w:rPr>
                <w:color w:val="000000"/>
                <w:sz w:val="18"/>
                <w:szCs w:val="18"/>
                <w:lang w:eastAsia="en-GB"/>
              </w:rPr>
            </w:pPr>
            <w:r w:rsidRPr="00E436AB">
              <w:rPr>
                <w:sz w:val="18"/>
                <w:szCs w:val="18"/>
              </w:rPr>
              <w:t>-11,5</w:t>
            </w:r>
          </w:p>
        </w:tc>
      </w:tr>
      <w:tr w:rsidR="00D73008" w:rsidRPr="004622CB" w14:paraId="6F9B5898" w14:textId="77777777" w:rsidTr="00387AE5">
        <w:trPr>
          <w:trHeight w:val="245"/>
        </w:trPr>
        <w:tc>
          <w:tcPr>
            <w:tcW w:w="5381" w:type="dxa"/>
            <w:gridSpan w:val="2"/>
            <w:noWrap/>
            <w:tcMar>
              <w:top w:w="0" w:type="dxa"/>
              <w:left w:w="108" w:type="dxa"/>
              <w:bottom w:w="0" w:type="dxa"/>
              <w:right w:w="108" w:type="dxa"/>
            </w:tcMar>
          </w:tcPr>
          <w:p w14:paraId="55C72135" w14:textId="77777777" w:rsidR="00D73008" w:rsidRPr="00F27602" w:rsidRDefault="00D73008" w:rsidP="00387AE5">
            <w:pPr>
              <w:ind w:left="138" w:hanging="138"/>
              <w:rPr>
                <w:b/>
                <w:color w:val="000000"/>
                <w:sz w:val="18"/>
                <w:szCs w:val="18"/>
                <w:lang w:eastAsia="en-GB"/>
              </w:rPr>
            </w:pPr>
            <w:r w:rsidRPr="00F27602">
              <w:rPr>
                <w:sz w:val="18"/>
                <w:szCs w:val="18"/>
              </w:rPr>
              <w:t>Oslobodenie nepeň. benefitu pre zamestnanca na ubytovanie</w:t>
            </w:r>
          </w:p>
        </w:tc>
        <w:tc>
          <w:tcPr>
            <w:tcW w:w="952" w:type="dxa"/>
            <w:gridSpan w:val="2"/>
            <w:noWrap/>
            <w:tcMar>
              <w:top w:w="0" w:type="dxa"/>
              <w:left w:w="108" w:type="dxa"/>
              <w:bottom w:w="0" w:type="dxa"/>
              <w:right w:w="108" w:type="dxa"/>
            </w:tcMar>
          </w:tcPr>
          <w:p w14:paraId="5351BFA0" w14:textId="77777777" w:rsidR="00D73008" w:rsidRPr="00E436AB" w:rsidRDefault="00D73008" w:rsidP="00387AE5">
            <w:pPr>
              <w:ind w:left="138" w:hanging="138"/>
              <w:jc w:val="center"/>
              <w:rPr>
                <w:color w:val="000000"/>
                <w:sz w:val="18"/>
                <w:szCs w:val="18"/>
                <w:lang w:eastAsia="en-GB"/>
              </w:rPr>
            </w:pPr>
            <w:r w:rsidRPr="00E436AB">
              <w:rPr>
                <w:sz w:val="18"/>
                <w:szCs w:val="18"/>
              </w:rPr>
              <w:t>-15,4</w:t>
            </w:r>
          </w:p>
        </w:tc>
        <w:tc>
          <w:tcPr>
            <w:tcW w:w="953" w:type="dxa"/>
            <w:noWrap/>
            <w:tcMar>
              <w:top w:w="0" w:type="dxa"/>
              <w:left w:w="108" w:type="dxa"/>
              <w:bottom w:w="0" w:type="dxa"/>
              <w:right w:w="108" w:type="dxa"/>
            </w:tcMar>
          </w:tcPr>
          <w:p w14:paraId="02314102" w14:textId="77777777" w:rsidR="00D73008" w:rsidRPr="00E436AB" w:rsidRDefault="00D73008" w:rsidP="00387AE5">
            <w:pPr>
              <w:ind w:left="138" w:hanging="138"/>
              <w:jc w:val="center"/>
              <w:rPr>
                <w:color w:val="000000"/>
                <w:sz w:val="18"/>
                <w:szCs w:val="18"/>
                <w:lang w:eastAsia="en-GB"/>
              </w:rPr>
            </w:pPr>
            <w:r w:rsidRPr="00E436AB">
              <w:rPr>
                <w:sz w:val="18"/>
                <w:szCs w:val="18"/>
              </w:rPr>
              <w:t>-9,0</w:t>
            </w:r>
          </w:p>
        </w:tc>
        <w:tc>
          <w:tcPr>
            <w:tcW w:w="953" w:type="dxa"/>
            <w:gridSpan w:val="2"/>
            <w:noWrap/>
            <w:tcMar>
              <w:top w:w="0" w:type="dxa"/>
              <w:left w:w="108" w:type="dxa"/>
              <w:bottom w:w="0" w:type="dxa"/>
              <w:right w:w="108" w:type="dxa"/>
            </w:tcMar>
          </w:tcPr>
          <w:p w14:paraId="3697A213" w14:textId="77777777" w:rsidR="00D73008" w:rsidRPr="00E436AB" w:rsidRDefault="00D73008" w:rsidP="00387AE5">
            <w:pPr>
              <w:ind w:left="138" w:hanging="138"/>
              <w:jc w:val="center"/>
              <w:rPr>
                <w:color w:val="000000"/>
                <w:sz w:val="18"/>
                <w:szCs w:val="18"/>
                <w:lang w:eastAsia="en-GB"/>
              </w:rPr>
            </w:pPr>
            <w:r w:rsidRPr="00E436AB">
              <w:rPr>
                <w:sz w:val="18"/>
                <w:szCs w:val="18"/>
              </w:rPr>
              <w:t>-9,0</w:t>
            </w:r>
          </w:p>
        </w:tc>
        <w:tc>
          <w:tcPr>
            <w:tcW w:w="953" w:type="dxa"/>
            <w:gridSpan w:val="2"/>
          </w:tcPr>
          <w:p w14:paraId="72317D28" w14:textId="77777777" w:rsidR="00D73008" w:rsidRPr="00E436AB" w:rsidRDefault="00D73008" w:rsidP="00387AE5">
            <w:pPr>
              <w:ind w:left="138" w:hanging="138"/>
              <w:jc w:val="center"/>
              <w:rPr>
                <w:color w:val="000000"/>
                <w:sz w:val="18"/>
                <w:szCs w:val="18"/>
                <w:lang w:eastAsia="en-GB"/>
              </w:rPr>
            </w:pPr>
            <w:r w:rsidRPr="00E436AB">
              <w:rPr>
                <w:sz w:val="18"/>
                <w:szCs w:val="18"/>
              </w:rPr>
              <w:t>-9,0</w:t>
            </w:r>
          </w:p>
        </w:tc>
      </w:tr>
      <w:tr w:rsidR="00D73008" w:rsidRPr="004622CB" w14:paraId="3B9C64D5" w14:textId="77777777" w:rsidTr="00387AE5">
        <w:trPr>
          <w:trHeight w:val="245"/>
        </w:trPr>
        <w:tc>
          <w:tcPr>
            <w:tcW w:w="5381" w:type="dxa"/>
            <w:gridSpan w:val="2"/>
            <w:noWrap/>
            <w:tcMar>
              <w:top w:w="0" w:type="dxa"/>
              <w:left w:w="108" w:type="dxa"/>
              <w:bottom w:w="0" w:type="dxa"/>
              <w:right w:w="108" w:type="dxa"/>
            </w:tcMar>
          </w:tcPr>
          <w:p w14:paraId="35A2C32B" w14:textId="77777777" w:rsidR="00D73008" w:rsidRPr="00F27602" w:rsidRDefault="00D73008" w:rsidP="00387AE5">
            <w:pPr>
              <w:ind w:left="138" w:hanging="138"/>
              <w:rPr>
                <w:b/>
                <w:color w:val="000000"/>
                <w:sz w:val="18"/>
                <w:szCs w:val="18"/>
                <w:lang w:eastAsia="en-GB"/>
              </w:rPr>
            </w:pPr>
            <w:r w:rsidRPr="00F27602">
              <w:rPr>
                <w:sz w:val="18"/>
                <w:szCs w:val="18"/>
              </w:rPr>
              <w:t>Znížená sadzba DPH na ubytovacie služby</w:t>
            </w:r>
          </w:p>
        </w:tc>
        <w:tc>
          <w:tcPr>
            <w:tcW w:w="952" w:type="dxa"/>
            <w:gridSpan w:val="2"/>
            <w:noWrap/>
            <w:tcMar>
              <w:top w:w="0" w:type="dxa"/>
              <w:left w:w="108" w:type="dxa"/>
              <w:bottom w:w="0" w:type="dxa"/>
              <w:right w:w="108" w:type="dxa"/>
            </w:tcMar>
          </w:tcPr>
          <w:p w14:paraId="40261D84" w14:textId="77777777" w:rsidR="00D73008" w:rsidRPr="00E436AB" w:rsidRDefault="00D73008" w:rsidP="00387AE5">
            <w:pPr>
              <w:ind w:left="138" w:hanging="138"/>
              <w:jc w:val="center"/>
              <w:rPr>
                <w:color w:val="000000"/>
                <w:sz w:val="18"/>
                <w:szCs w:val="18"/>
                <w:lang w:eastAsia="en-GB"/>
              </w:rPr>
            </w:pPr>
            <w:r w:rsidRPr="00E436AB">
              <w:rPr>
                <w:sz w:val="18"/>
                <w:szCs w:val="18"/>
              </w:rPr>
              <w:t>-24,3</w:t>
            </w:r>
          </w:p>
        </w:tc>
        <w:tc>
          <w:tcPr>
            <w:tcW w:w="953" w:type="dxa"/>
            <w:noWrap/>
            <w:tcMar>
              <w:top w:w="0" w:type="dxa"/>
              <w:left w:w="108" w:type="dxa"/>
              <w:bottom w:w="0" w:type="dxa"/>
              <w:right w:w="108" w:type="dxa"/>
            </w:tcMar>
          </w:tcPr>
          <w:p w14:paraId="11472314" w14:textId="77777777" w:rsidR="00D73008" w:rsidRPr="00E436AB" w:rsidRDefault="00D73008" w:rsidP="00387AE5">
            <w:pPr>
              <w:ind w:left="138" w:hanging="138"/>
              <w:jc w:val="center"/>
              <w:rPr>
                <w:color w:val="000000"/>
                <w:sz w:val="18"/>
                <w:szCs w:val="18"/>
                <w:lang w:eastAsia="en-GB"/>
              </w:rPr>
            </w:pPr>
            <w:r w:rsidRPr="00E436AB">
              <w:rPr>
                <w:sz w:val="18"/>
                <w:szCs w:val="18"/>
              </w:rPr>
              <w:t>-25,4</w:t>
            </w:r>
          </w:p>
        </w:tc>
        <w:tc>
          <w:tcPr>
            <w:tcW w:w="953" w:type="dxa"/>
            <w:gridSpan w:val="2"/>
            <w:noWrap/>
            <w:tcMar>
              <w:top w:w="0" w:type="dxa"/>
              <w:left w:w="108" w:type="dxa"/>
              <w:bottom w:w="0" w:type="dxa"/>
              <w:right w:w="108" w:type="dxa"/>
            </w:tcMar>
          </w:tcPr>
          <w:p w14:paraId="71196CBC" w14:textId="77777777" w:rsidR="00D73008" w:rsidRPr="00E436AB" w:rsidRDefault="00D73008" w:rsidP="00387AE5">
            <w:pPr>
              <w:ind w:left="138" w:hanging="138"/>
              <w:jc w:val="center"/>
              <w:rPr>
                <w:color w:val="000000"/>
                <w:sz w:val="18"/>
                <w:szCs w:val="18"/>
                <w:lang w:eastAsia="en-GB"/>
              </w:rPr>
            </w:pPr>
            <w:r w:rsidRPr="00E436AB">
              <w:rPr>
                <w:sz w:val="18"/>
                <w:szCs w:val="18"/>
              </w:rPr>
              <w:t>-26,6</w:t>
            </w:r>
          </w:p>
        </w:tc>
        <w:tc>
          <w:tcPr>
            <w:tcW w:w="953" w:type="dxa"/>
            <w:gridSpan w:val="2"/>
          </w:tcPr>
          <w:p w14:paraId="776D6A85" w14:textId="77777777" w:rsidR="00D73008" w:rsidRPr="00E436AB" w:rsidRDefault="00D73008" w:rsidP="00387AE5">
            <w:pPr>
              <w:ind w:left="138" w:hanging="138"/>
              <w:jc w:val="center"/>
              <w:rPr>
                <w:color w:val="000000"/>
                <w:sz w:val="18"/>
                <w:szCs w:val="18"/>
                <w:lang w:eastAsia="en-GB"/>
              </w:rPr>
            </w:pPr>
            <w:r>
              <w:rPr>
                <w:sz w:val="18"/>
                <w:szCs w:val="18"/>
              </w:rPr>
              <w:t>28</w:t>
            </w:r>
            <w:r w:rsidRPr="00E436AB">
              <w:rPr>
                <w:sz w:val="18"/>
                <w:szCs w:val="18"/>
              </w:rPr>
              <w:t>,</w:t>
            </w:r>
            <w:r>
              <w:rPr>
                <w:sz w:val="18"/>
                <w:szCs w:val="18"/>
              </w:rPr>
              <w:t>0</w:t>
            </w:r>
          </w:p>
        </w:tc>
      </w:tr>
      <w:tr w:rsidR="00D73008" w:rsidRPr="004622CB" w14:paraId="473F4A58" w14:textId="77777777" w:rsidTr="00387AE5">
        <w:trPr>
          <w:trHeight w:val="245"/>
        </w:trPr>
        <w:tc>
          <w:tcPr>
            <w:tcW w:w="5381" w:type="dxa"/>
            <w:gridSpan w:val="2"/>
            <w:noWrap/>
            <w:tcMar>
              <w:top w:w="0" w:type="dxa"/>
              <w:left w:w="108" w:type="dxa"/>
              <w:bottom w:w="0" w:type="dxa"/>
              <w:right w:w="108" w:type="dxa"/>
            </w:tcMar>
          </w:tcPr>
          <w:p w14:paraId="79D5043C" w14:textId="77777777" w:rsidR="00D73008" w:rsidRPr="00F27602" w:rsidRDefault="00D73008" w:rsidP="00387AE5">
            <w:pPr>
              <w:ind w:left="138" w:hanging="138"/>
              <w:rPr>
                <w:b/>
                <w:color w:val="000000"/>
                <w:sz w:val="18"/>
                <w:szCs w:val="18"/>
                <w:lang w:eastAsia="en-GB"/>
              </w:rPr>
            </w:pPr>
            <w:r w:rsidRPr="00F27602">
              <w:rPr>
                <w:sz w:val="18"/>
                <w:szCs w:val="18"/>
              </w:rPr>
              <w:t xml:space="preserve">Zníženie </w:t>
            </w:r>
            <w:r>
              <w:rPr>
                <w:sz w:val="18"/>
                <w:szCs w:val="18"/>
              </w:rPr>
              <w:t xml:space="preserve">sadzby </w:t>
            </w:r>
            <w:r w:rsidRPr="00F27602">
              <w:rPr>
                <w:sz w:val="18"/>
                <w:szCs w:val="18"/>
              </w:rPr>
              <w:t>osobitného odvodu v regulovaných odvetviach (od roku 2019 a 2021)</w:t>
            </w:r>
          </w:p>
        </w:tc>
        <w:tc>
          <w:tcPr>
            <w:tcW w:w="952" w:type="dxa"/>
            <w:gridSpan w:val="2"/>
            <w:noWrap/>
            <w:tcMar>
              <w:top w:w="0" w:type="dxa"/>
              <w:left w:w="108" w:type="dxa"/>
              <w:bottom w:w="0" w:type="dxa"/>
              <w:right w:w="108" w:type="dxa"/>
            </w:tcMar>
          </w:tcPr>
          <w:p w14:paraId="7C106F39" w14:textId="77777777" w:rsidR="00D73008" w:rsidRPr="00105D11" w:rsidRDefault="00D73008" w:rsidP="00387AE5">
            <w:pPr>
              <w:ind w:left="138" w:hanging="138"/>
              <w:jc w:val="center"/>
              <w:rPr>
                <w:color w:val="000000"/>
                <w:sz w:val="18"/>
                <w:szCs w:val="18"/>
                <w:lang w:eastAsia="en-GB"/>
              </w:rPr>
            </w:pPr>
            <w:r w:rsidRPr="00105D11">
              <w:rPr>
                <w:sz w:val="18"/>
                <w:szCs w:val="18"/>
              </w:rPr>
              <w:t>-33,0</w:t>
            </w:r>
          </w:p>
        </w:tc>
        <w:tc>
          <w:tcPr>
            <w:tcW w:w="953" w:type="dxa"/>
            <w:noWrap/>
            <w:tcMar>
              <w:top w:w="0" w:type="dxa"/>
              <w:left w:w="108" w:type="dxa"/>
              <w:bottom w:w="0" w:type="dxa"/>
              <w:right w:w="108" w:type="dxa"/>
            </w:tcMar>
          </w:tcPr>
          <w:p w14:paraId="1D87E09C" w14:textId="77777777" w:rsidR="00D73008" w:rsidRPr="00105D11" w:rsidRDefault="00D73008" w:rsidP="00387AE5">
            <w:pPr>
              <w:ind w:left="138" w:hanging="138"/>
              <w:jc w:val="center"/>
              <w:rPr>
                <w:color w:val="000000"/>
                <w:sz w:val="18"/>
                <w:szCs w:val="18"/>
                <w:lang w:eastAsia="en-GB"/>
              </w:rPr>
            </w:pPr>
            <w:r w:rsidRPr="00105D11">
              <w:rPr>
                <w:sz w:val="18"/>
                <w:szCs w:val="18"/>
              </w:rPr>
              <w:t>-29,0</w:t>
            </w:r>
          </w:p>
        </w:tc>
        <w:tc>
          <w:tcPr>
            <w:tcW w:w="953" w:type="dxa"/>
            <w:gridSpan w:val="2"/>
            <w:noWrap/>
            <w:tcMar>
              <w:top w:w="0" w:type="dxa"/>
              <w:left w:w="108" w:type="dxa"/>
              <w:bottom w:w="0" w:type="dxa"/>
              <w:right w:w="108" w:type="dxa"/>
            </w:tcMar>
          </w:tcPr>
          <w:p w14:paraId="00C080BD" w14:textId="77777777" w:rsidR="00D73008" w:rsidRPr="00105D11" w:rsidRDefault="00D73008" w:rsidP="00387AE5">
            <w:pPr>
              <w:ind w:left="138" w:hanging="138"/>
              <w:jc w:val="center"/>
              <w:rPr>
                <w:color w:val="000000"/>
                <w:sz w:val="18"/>
                <w:szCs w:val="18"/>
                <w:lang w:eastAsia="en-GB"/>
              </w:rPr>
            </w:pPr>
            <w:r w:rsidRPr="00105D11">
              <w:rPr>
                <w:sz w:val="18"/>
                <w:szCs w:val="18"/>
              </w:rPr>
              <w:t>-57,0</w:t>
            </w:r>
          </w:p>
        </w:tc>
        <w:tc>
          <w:tcPr>
            <w:tcW w:w="953" w:type="dxa"/>
            <w:gridSpan w:val="2"/>
          </w:tcPr>
          <w:p w14:paraId="741791BF" w14:textId="77777777" w:rsidR="00D73008" w:rsidRPr="00105D11" w:rsidRDefault="00D73008" w:rsidP="00387AE5">
            <w:pPr>
              <w:ind w:left="138" w:hanging="138"/>
              <w:jc w:val="center"/>
              <w:rPr>
                <w:color w:val="000000"/>
                <w:sz w:val="18"/>
                <w:szCs w:val="18"/>
                <w:lang w:eastAsia="en-GB"/>
              </w:rPr>
            </w:pPr>
            <w:r w:rsidRPr="00105D11">
              <w:rPr>
                <w:sz w:val="18"/>
                <w:szCs w:val="18"/>
              </w:rPr>
              <w:t>-57,0</w:t>
            </w:r>
          </w:p>
        </w:tc>
      </w:tr>
      <w:tr w:rsidR="00D73008" w:rsidRPr="004622CB" w14:paraId="172B30DC" w14:textId="77777777" w:rsidTr="00387AE5">
        <w:trPr>
          <w:trHeight w:val="245"/>
        </w:trPr>
        <w:tc>
          <w:tcPr>
            <w:tcW w:w="5381" w:type="dxa"/>
            <w:gridSpan w:val="2"/>
            <w:noWrap/>
            <w:tcMar>
              <w:top w:w="0" w:type="dxa"/>
              <w:left w:w="108" w:type="dxa"/>
              <w:bottom w:w="0" w:type="dxa"/>
              <w:right w:w="108" w:type="dxa"/>
            </w:tcMar>
          </w:tcPr>
          <w:p w14:paraId="6213DE05" w14:textId="77777777" w:rsidR="00D73008" w:rsidRPr="00F27602" w:rsidRDefault="00D73008" w:rsidP="00387AE5">
            <w:pPr>
              <w:ind w:left="138" w:hanging="138"/>
              <w:rPr>
                <w:b/>
                <w:color w:val="000000"/>
                <w:sz w:val="18"/>
                <w:szCs w:val="18"/>
                <w:lang w:eastAsia="en-GB"/>
              </w:rPr>
            </w:pPr>
            <w:r w:rsidRPr="00F27602">
              <w:rPr>
                <w:sz w:val="18"/>
                <w:szCs w:val="18"/>
              </w:rPr>
              <w:t>Zvyšovanie príspevku na sociálne poistenie do druhého piliera (automatické od roku 2017 o 0,25 p.b. ročne)</w:t>
            </w:r>
          </w:p>
        </w:tc>
        <w:tc>
          <w:tcPr>
            <w:tcW w:w="952" w:type="dxa"/>
            <w:gridSpan w:val="2"/>
            <w:noWrap/>
            <w:tcMar>
              <w:top w:w="0" w:type="dxa"/>
              <w:left w:w="108" w:type="dxa"/>
              <w:bottom w:w="0" w:type="dxa"/>
              <w:right w:w="108" w:type="dxa"/>
            </w:tcMar>
          </w:tcPr>
          <w:p w14:paraId="2F394DAB" w14:textId="77777777" w:rsidR="00D73008" w:rsidRPr="00105D11" w:rsidRDefault="00D73008" w:rsidP="00387AE5">
            <w:pPr>
              <w:ind w:left="138" w:hanging="138"/>
              <w:jc w:val="center"/>
              <w:rPr>
                <w:color w:val="000000"/>
                <w:sz w:val="18"/>
                <w:szCs w:val="18"/>
                <w:lang w:eastAsia="en-GB"/>
              </w:rPr>
            </w:pPr>
            <w:r w:rsidRPr="00105D11">
              <w:rPr>
                <w:sz w:val="18"/>
                <w:szCs w:val="18"/>
              </w:rPr>
              <w:t>-40,0</w:t>
            </w:r>
          </w:p>
        </w:tc>
        <w:tc>
          <w:tcPr>
            <w:tcW w:w="953" w:type="dxa"/>
            <w:noWrap/>
            <w:tcMar>
              <w:top w:w="0" w:type="dxa"/>
              <w:left w:w="108" w:type="dxa"/>
              <w:bottom w:w="0" w:type="dxa"/>
              <w:right w:w="108" w:type="dxa"/>
            </w:tcMar>
          </w:tcPr>
          <w:p w14:paraId="44656985" w14:textId="77777777" w:rsidR="00D73008" w:rsidRPr="00105D11" w:rsidRDefault="00D73008" w:rsidP="00387AE5">
            <w:pPr>
              <w:ind w:left="138" w:hanging="138"/>
              <w:jc w:val="center"/>
              <w:rPr>
                <w:color w:val="000000"/>
                <w:sz w:val="18"/>
                <w:szCs w:val="18"/>
                <w:lang w:eastAsia="en-GB"/>
              </w:rPr>
            </w:pPr>
            <w:r w:rsidRPr="00105D11">
              <w:rPr>
                <w:sz w:val="18"/>
                <w:szCs w:val="18"/>
              </w:rPr>
              <w:t>-83,1</w:t>
            </w:r>
          </w:p>
        </w:tc>
        <w:tc>
          <w:tcPr>
            <w:tcW w:w="953" w:type="dxa"/>
            <w:gridSpan w:val="2"/>
            <w:noWrap/>
            <w:tcMar>
              <w:top w:w="0" w:type="dxa"/>
              <w:left w:w="108" w:type="dxa"/>
              <w:bottom w:w="0" w:type="dxa"/>
              <w:right w:w="108" w:type="dxa"/>
            </w:tcMar>
          </w:tcPr>
          <w:p w14:paraId="018DE957" w14:textId="77777777" w:rsidR="00D73008" w:rsidRPr="00105D11" w:rsidRDefault="00D73008" w:rsidP="00387AE5">
            <w:pPr>
              <w:ind w:left="138" w:hanging="138"/>
              <w:jc w:val="center"/>
              <w:rPr>
                <w:color w:val="000000"/>
                <w:sz w:val="18"/>
                <w:szCs w:val="18"/>
                <w:lang w:eastAsia="en-GB"/>
              </w:rPr>
            </w:pPr>
            <w:r w:rsidRPr="00105D11">
              <w:rPr>
                <w:sz w:val="18"/>
                <w:szCs w:val="18"/>
              </w:rPr>
              <w:t>-130,8</w:t>
            </w:r>
          </w:p>
        </w:tc>
        <w:tc>
          <w:tcPr>
            <w:tcW w:w="953" w:type="dxa"/>
            <w:gridSpan w:val="2"/>
          </w:tcPr>
          <w:p w14:paraId="3C3D4FCD" w14:textId="77777777" w:rsidR="00D73008" w:rsidRPr="00105D11" w:rsidRDefault="00D73008" w:rsidP="00387AE5">
            <w:pPr>
              <w:ind w:left="138" w:hanging="138"/>
              <w:jc w:val="center"/>
              <w:rPr>
                <w:color w:val="000000"/>
                <w:sz w:val="18"/>
                <w:szCs w:val="18"/>
                <w:lang w:eastAsia="en-GB"/>
              </w:rPr>
            </w:pPr>
            <w:r w:rsidRPr="00105D11">
              <w:rPr>
                <w:sz w:val="18"/>
                <w:szCs w:val="18"/>
              </w:rPr>
              <w:t>-180,5</w:t>
            </w:r>
          </w:p>
        </w:tc>
      </w:tr>
      <w:tr w:rsidR="00D73008" w:rsidRPr="004622CB" w14:paraId="61372FC7" w14:textId="77777777" w:rsidTr="00387AE5">
        <w:trPr>
          <w:trHeight w:val="245"/>
        </w:trPr>
        <w:tc>
          <w:tcPr>
            <w:tcW w:w="5381" w:type="dxa"/>
            <w:gridSpan w:val="2"/>
            <w:noWrap/>
            <w:tcMar>
              <w:top w:w="0" w:type="dxa"/>
              <w:left w:w="108" w:type="dxa"/>
              <w:bottom w:w="0" w:type="dxa"/>
              <w:right w:w="108" w:type="dxa"/>
            </w:tcMar>
          </w:tcPr>
          <w:p w14:paraId="6EFE2E80" w14:textId="77777777" w:rsidR="00D73008" w:rsidRPr="00F27602" w:rsidRDefault="00D73008" w:rsidP="00387AE5">
            <w:pPr>
              <w:ind w:left="138" w:hanging="138"/>
              <w:rPr>
                <w:b/>
                <w:color w:val="000000"/>
                <w:sz w:val="18"/>
                <w:szCs w:val="18"/>
                <w:lang w:eastAsia="en-GB"/>
              </w:rPr>
            </w:pPr>
            <w:r w:rsidRPr="00F27602">
              <w:rPr>
                <w:sz w:val="18"/>
                <w:szCs w:val="18"/>
              </w:rPr>
              <w:t>Zavedenie 13. a 14. platu (zavedenie od 2018, legislatívne zmeny od 2019)</w:t>
            </w:r>
          </w:p>
        </w:tc>
        <w:tc>
          <w:tcPr>
            <w:tcW w:w="952" w:type="dxa"/>
            <w:gridSpan w:val="2"/>
            <w:noWrap/>
            <w:tcMar>
              <w:top w:w="0" w:type="dxa"/>
              <w:left w:w="108" w:type="dxa"/>
              <w:bottom w:w="0" w:type="dxa"/>
              <w:right w:w="108" w:type="dxa"/>
            </w:tcMar>
          </w:tcPr>
          <w:p w14:paraId="284AE8C0" w14:textId="77777777" w:rsidR="00D73008" w:rsidRPr="00105D11" w:rsidRDefault="00D73008" w:rsidP="00387AE5">
            <w:pPr>
              <w:ind w:left="138" w:hanging="138"/>
              <w:jc w:val="center"/>
              <w:rPr>
                <w:color w:val="000000"/>
                <w:sz w:val="18"/>
                <w:szCs w:val="18"/>
                <w:lang w:eastAsia="en-GB"/>
              </w:rPr>
            </w:pPr>
            <w:r w:rsidRPr="00105D11">
              <w:rPr>
                <w:sz w:val="18"/>
                <w:szCs w:val="18"/>
              </w:rPr>
              <w:t>-44,5</w:t>
            </w:r>
          </w:p>
        </w:tc>
        <w:tc>
          <w:tcPr>
            <w:tcW w:w="953" w:type="dxa"/>
            <w:noWrap/>
            <w:tcMar>
              <w:top w:w="0" w:type="dxa"/>
              <w:left w:w="108" w:type="dxa"/>
              <w:bottom w:w="0" w:type="dxa"/>
              <w:right w:w="108" w:type="dxa"/>
            </w:tcMar>
          </w:tcPr>
          <w:p w14:paraId="5CCFD827" w14:textId="77777777" w:rsidR="00D73008" w:rsidRPr="00105D11" w:rsidRDefault="00D73008" w:rsidP="00387AE5">
            <w:pPr>
              <w:ind w:left="138" w:hanging="138"/>
              <w:jc w:val="center"/>
              <w:rPr>
                <w:color w:val="000000"/>
                <w:sz w:val="18"/>
                <w:szCs w:val="18"/>
                <w:lang w:eastAsia="en-GB"/>
              </w:rPr>
            </w:pPr>
            <w:r w:rsidRPr="00105D11">
              <w:rPr>
                <w:sz w:val="18"/>
                <w:szCs w:val="18"/>
              </w:rPr>
              <w:t>-59,6</w:t>
            </w:r>
          </w:p>
        </w:tc>
        <w:tc>
          <w:tcPr>
            <w:tcW w:w="953" w:type="dxa"/>
            <w:gridSpan w:val="2"/>
            <w:noWrap/>
            <w:tcMar>
              <w:top w:w="0" w:type="dxa"/>
              <w:left w:w="108" w:type="dxa"/>
              <w:bottom w:w="0" w:type="dxa"/>
              <w:right w:w="108" w:type="dxa"/>
            </w:tcMar>
          </w:tcPr>
          <w:p w14:paraId="2CA4382C" w14:textId="77777777" w:rsidR="00D73008" w:rsidRPr="00105D11" w:rsidRDefault="00D73008" w:rsidP="00387AE5">
            <w:pPr>
              <w:ind w:left="138" w:hanging="138"/>
              <w:jc w:val="center"/>
              <w:rPr>
                <w:color w:val="000000"/>
                <w:sz w:val="18"/>
                <w:szCs w:val="18"/>
                <w:lang w:eastAsia="en-GB"/>
              </w:rPr>
            </w:pPr>
            <w:r w:rsidRPr="00105D11">
              <w:rPr>
                <w:sz w:val="18"/>
                <w:szCs w:val="18"/>
              </w:rPr>
              <w:t>-121,2</w:t>
            </w:r>
          </w:p>
        </w:tc>
        <w:tc>
          <w:tcPr>
            <w:tcW w:w="953" w:type="dxa"/>
            <w:gridSpan w:val="2"/>
          </w:tcPr>
          <w:p w14:paraId="330BA7F5" w14:textId="77777777" w:rsidR="00D73008" w:rsidRPr="00105D11" w:rsidRDefault="00D73008" w:rsidP="00387AE5">
            <w:pPr>
              <w:ind w:left="138" w:hanging="138"/>
              <w:jc w:val="center"/>
              <w:rPr>
                <w:color w:val="000000"/>
                <w:sz w:val="18"/>
                <w:szCs w:val="18"/>
                <w:lang w:eastAsia="en-GB"/>
              </w:rPr>
            </w:pPr>
            <w:r w:rsidRPr="00105D11">
              <w:rPr>
                <w:sz w:val="18"/>
                <w:szCs w:val="18"/>
              </w:rPr>
              <w:t>-120,8</w:t>
            </w:r>
          </w:p>
        </w:tc>
      </w:tr>
      <w:tr w:rsidR="00D73008" w:rsidRPr="004622CB" w14:paraId="4848F15D" w14:textId="77777777" w:rsidTr="00387AE5">
        <w:trPr>
          <w:trHeight w:val="245"/>
        </w:trPr>
        <w:tc>
          <w:tcPr>
            <w:tcW w:w="5381" w:type="dxa"/>
            <w:gridSpan w:val="2"/>
            <w:noWrap/>
            <w:tcMar>
              <w:top w:w="0" w:type="dxa"/>
              <w:left w:w="108" w:type="dxa"/>
              <w:bottom w:w="0" w:type="dxa"/>
              <w:right w:w="108" w:type="dxa"/>
            </w:tcMar>
          </w:tcPr>
          <w:p w14:paraId="1D30D3F7" w14:textId="77777777" w:rsidR="00D73008" w:rsidRPr="00F27602" w:rsidRDefault="00D73008" w:rsidP="00387AE5">
            <w:pPr>
              <w:ind w:left="138" w:hanging="138"/>
              <w:rPr>
                <w:b/>
                <w:color w:val="000000"/>
                <w:sz w:val="18"/>
                <w:szCs w:val="18"/>
                <w:lang w:eastAsia="en-GB"/>
              </w:rPr>
            </w:pPr>
            <w:r w:rsidRPr="00F27602">
              <w:rPr>
                <w:sz w:val="18"/>
                <w:szCs w:val="18"/>
              </w:rPr>
              <w:t>Oslobodenie rekreačných šekov od daní a odvodov</w:t>
            </w:r>
          </w:p>
        </w:tc>
        <w:tc>
          <w:tcPr>
            <w:tcW w:w="952" w:type="dxa"/>
            <w:gridSpan w:val="2"/>
            <w:noWrap/>
            <w:tcMar>
              <w:top w:w="0" w:type="dxa"/>
              <w:left w:w="108" w:type="dxa"/>
              <w:bottom w:w="0" w:type="dxa"/>
              <w:right w:w="108" w:type="dxa"/>
            </w:tcMar>
          </w:tcPr>
          <w:p w14:paraId="75406911" w14:textId="77777777" w:rsidR="00D73008" w:rsidRPr="00105D11" w:rsidRDefault="00D73008" w:rsidP="00387AE5">
            <w:pPr>
              <w:ind w:left="138" w:hanging="138"/>
              <w:jc w:val="center"/>
              <w:rPr>
                <w:color w:val="000000"/>
                <w:sz w:val="18"/>
                <w:szCs w:val="18"/>
                <w:lang w:eastAsia="en-GB"/>
              </w:rPr>
            </w:pPr>
            <w:r w:rsidRPr="00105D11">
              <w:rPr>
                <w:sz w:val="18"/>
                <w:szCs w:val="18"/>
              </w:rPr>
              <w:t>-57,7</w:t>
            </w:r>
          </w:p>
        </w:tc>
        <w:tc>
          <w:tcPr>
            <w:tcW w:w="953" w:type="dxa"/>
            <w:noWrap/>
            <w:tcMar>
              <w:top w:w="0" w:type="dxa"/>
              <w:left w:w="108" w:type="dxa"/>
              <w:bottom w:w="0" w:type="dxa"/>
              <w:right w:w="108" w:type="dxa"/>
            </w:tcMar>
          </w:tcPr>
          <w:p w14:paraId="430BB62C" w14:textId="77777777" w:rsidR="00D73008" w:rsidRPr="00105D11" w:rsidRDefault="00D73008" w:rsidP="00387AE5">
            <w:pPr>
              <w:ind w:left="138" w:hanging="138"/>
              <w:jc w:val="center"/>
              <w:rPr>
                <w:color w:val="000000"/>
                <w:sz w:val="18"/>
                <w:szCs w:val="18"/>
                <w:lang w:eastAsia="en-GB"/>
              </w:rPr>
            </w:pPr>
            <w:r w:rsidRPr="00105D11">
              <w:rPr>
                <w:sz w:val="18"/>
                <w:szCs w:val="18"/>
              </w:rPr>
              <w:t>-59,0</w:t>
            </w:r>
          </w:p>
        </w:tc>
        <w:tc>
          <w:tcPr>
            <w:tcW w:w="953" w:type="dxa"/>
            <w:gridSpan w:val="2"/>
            <w:noWrap/>
            <w:tcMar>
              <w:top w:w="0" w:type="dxa"/>
              <w:left w:w="108" w:type="dxa"/>
              <w:bottom w:w="0" w:type="dxa"/>
              <w:right w:w="108" w:type="dxa"/>
            </w:tcMar>
          </w:tcPr>
          <w:p w14:paraId="33589FB6" w14:textId="77777777" w:rsidR="00D73008" w:rsidRPr="00105D11" w:rsidRDefault="00D73008" w:rsidP="00387AE5">
            <w:pPr>
              <w:ind w:left="138" w:hanging="138"/>
              <w:jc w:val="center"/>
              <w:rPr>
                <w:color w:val="000000"/>
                <w:sz w:val="18"/>
                <w:szCs w:val="18"/>
                <w:lang w:eastAsia="en-GB"/>
              </w:rPr>
            </w:pPr>
            <w:r w:rsidRPr="00105D11">
              <w:rPr>
                <w:sz w:val="18"/>
                <w:szCs w:val="18"/>
              </w:rPr>
              <w:t>-60,2</w:t>
            </w:r>
          </w:p>
        </w:tc>
        <w:tc>
          <w:tcPr>
            <w:tcW w:w="953" w:type="dxa"/>
            <w:gridSpan w:val="2"/>
          </w:tcPr>
          <w:p w14:paraId="69F3C7E8" w14:textId="77777777" w:rsidR="00D73008" w:rsidRPr="00105D11" w:rsidRDefault="00D73008" w:rsidP="00387AE5">
            <w:pPr>
              <w:ind w:left="138" w:hanging="138"/>
              <w:jc w:val="center"/>
              <w:rPr>
                <w:color w:val="000000"/>
                <w:sz w:val="18"/>
                <w:szCs w:val="18"/>
                <w:lang w:eastAsia="en-GB"/>
              </w:rPr>
            </w:pPr>
            <w:r w:rsidRPr="00105D11">
              <w:rPr>
                <w:sz w:val="18"/>
                <w:szCs w:val="18"/>
              </w:rPr>
              <w:t>-61,5</w:t>
            </w:r>
          </w:p>
        </w:tc>
      </w:tr>
      <w:tr w:rsidR="00D73008" w:rsidRPr="00152128" w14:paraId="2C608D44" w14:textId="77777777" w:rsidTr="00387AE5">
        <w:trPr>
          <w:trHeight w:val="245"/>
        </w:trPr>
        <w:tc>
          <w:tcPr>
            <w:tcW w:w="5381" w:type="dxa"/>
            <w:gridSpan w:val="2"/>
            <w:tcBorders>
              <w:bottom w:val="single" w:sz="4" w:space="0" w:color="auto"/>
            </w:tcBorders>
            <w:noWrap/>
            <w:tcMar>
              <w:top w:w="0" w:type="dxa"/>
              <w:left w:w="108" w:type="dxa"/>
              <w:bottom w:w="0" w:type="dxa"/>
              <w:right w:w="108" w:type="dxa"/>
            </w:tcMar>
            <w:vAlign w:val="center"/>
          </w:tcPr>
          <w:p w14:paraId="31604DB5" w14:textId="77777777" w:rsidR="00D73008" w:rsidRPr="00152128" w:rsidRDefault="00D73008" w:rsidP="00387AE5">
            <w:pPr>
              <w:ind w:left="138" w:hanging="138"/>
              <w:rPr>
                <w:b/>
                <w:color w:val="000000"/>
                <w:sz w:val="20"/>
                <w:szCs w:val="20"/>
                <w:lang w:eastAsia="en-GB"/>
              </w:rPr>
            </w:pPr>
            <w:r w:rsidRPr="00152128">
              <w:rPr>
                <w:b/>
                <w:color w:val="000000"/>
                <w:sz w:val="20"/>
                <w:szCs w:val="20"/>
                <w:lang w:eastAsia="en-GB"/>
              </w:rPr>
              <w:t>Výdavkové opatrenia</w:t>
            </w:r>
          </w:p>
        </w:tc>
        <w:tc>
          <w:tcPr>
            <w:tcW w:w="952" w:type="dxa"/>
            <w:gridSpan w:val="2"/>
            <w:tcBorders>
              <w:bottom w:val="single" w:sz="4" w:space="0" w:color="auto"/>
            </w:tcBorders>
            <w:noWrap/>
            <w:tcMar>
              <w:top w:w="0" w:type="dxa"/>
              <w:left w:w="108" w:type="dxa"/>
              <w:bottom w:w="0" w:type="dxa"/>
              <w:right w:w="108" w:type="dxa"/>
            </w:tcMar>
            <w:vAlign w:val="center"/>
          </w:tcPr>
          <w:p w14:paraId="5691F930" w14:textId="77777777" w:rsidR="00D73008" w:rsidRPr="00152128" w:rsidRDefault="00D73008" w:rsidP="00387AE5">
            <w:pPr>
              <w:ind w:left="138" w:hanging="138"/>
              <w:jc w:val="center"/>
              <w:rPr>
                <w:color w:val="000000"/>
                <w:sz w:val="20"/>
                <w:szCs w:val="20"/>
                <w:lang w:eastAsia="en-GB"/>
              </w:rPr>
            </w:pPr>
          </w:p>
        </w:tc>
        <w:tc>
          <w:tcPr>
            <w:tcW w:w="953" w:type="dxa"/>
            <w:tcBorders>
              <w:bottom w:val="single" w:sz="4" w:space="0" w:color="auto"/>
            </w:tcBorders>
            <w:noWrap/>
            <w:tcMar>
              <w:top w:w="0" w:type="dxa"/>
              <w:left w:w="108" w:type="dxa"/>
              <w:bottom w:w="0" w:type="dxa"/>
              <w:right w:w="108" w:type="dxa"/>
            </w:tcMar>
            <w:vAlign w:val="center"/>
          </w:tcPr>
          <w:p w14:paraId="39117783" w14:textId="77777777" w:rsidR="00D73008" w:rsidRPr="00152128" w:rsidRDefault="00D73008" w:rsidP="00387AE5">
            <w:pPr>
              <w:ind w:left="138" w:hanging="138"/>
              <w:jc w:val="center"/>
              <w:rPr>
                <w:color w:val="000000"/>
                <w:sz w:val="20"/>
                <w:szCs w:val="20"/>
                <w:lang w:eastAsia="en-GB"/>
              </w:rPr>
            </w:pPr>
          </w:p>
        </w:tc>
        <w:tc>
          <w:tcPr>
            <w:tcW w:w="953" w:type="dxa"/>
            <w:gridSpan w:val="2"/>
            <w:tcBorders>
              <w:bottom w:val="single" w:sz="4" w:space="0" w:color="auto"/>
            </w:tcBorders>
            <w:noWrap/>
            <w:tcMar>
              <w:top w:w="0" w:type="dxa"/>
              <w:left w:w="108" w:type="dxa"/>
              <w:bottom w:w="0" w:type="dxa"/>
              <w:right w:w="108" w:type="dxa"/>
            </w:tcMar>
            <w:vAlign w:val="center"/>
          </w:tcPr>
          <w:p w14:paraId="6E22A498" w14:textId="77777777" w:rsidR="00D73008" w:rsidRPr="00152128" w:rsidRDefault="00D73008" w:rsidP="00387AE5">
            <w:pPr>
              <w:ind w:left="138" w:hanging="138"/>
              <w:jc w:val="center"/>
              <w:rPr>
                <w:color w:val="000000"/>
                <w:sz w:val="20"/>
                <w:szCs w:val="20"/>
                <w:lang w:eastAsia="en-GB"/>
              </w:rPr>
            </w:pPr>
          </w:p>
        </w:tc>
        <w:tc>
          <w:tcPr>
            <w:tcW w:w="953" w:type="dxa"/>
            <w:gridSpan w:val="2"/>
            <w:tcBorders>
              <w:bottom w:val="single" w:sz="4" w:space="0" w:color="auto"/>
            </w:tcBorders>
            <w:vAlign w:val="center"/>
          </w:tcPr>
          <w:p w14:paraId="42114A6A" w14:textId="77777777" w:rsidR="00D73008" w:rsidRPr="00152128" w:rsidRDefault="00D73008" w:rsidP="00387AE5">
            <w:pPr>
              <w:ind w:left="138" w:hanging="138"/>
              <w:jc w:val="center"/>
              <w:rPr>
                <w:color w:val="000000"/>
                <w:sz w:val="20"/>
                <w:szCs w:val="20"/>
                <w:lang w:eastAsia="en-GB"/>
              </w:rPr>
            </w:pPr>
          </w:p>
        </w:tc>
      </w:tr>
      <w:tr w:rsidR="00D73008" w:rsidRPr="004622CB" w14:paraId="13AF8B98" w14:textId="77777777" w:rsidTr="00387AE5">
        <w:trPr>
          <w:trHeight w:val="245"/>
        </w:trPr>
        <w:tc>
          <w:tcPr>
            <w:tcW w:w="5381" w:type="dxa"/>
            <w:gridSpan w:val="2"/>
            <w:noWrap/>
            <w:tcMar>
              <w:top w:w="0" w:type="dxa"/>
              <w:left w:w="108" w:type="dxa"/>
              <w:bottom w:w="0" w:type="dxa"/>
              <w:right w:w="108" w:type="dxa"/>
            </w:tcMar>
            <w:vAlign w:val="center"/>
          </w:tcPr>
          <w:p w14:paraId="0F182B7E" w14:textId="77777777" w:rsidR="00D73008" w:rsidRPr="004622CB" w:rsidRDefault="00D73008" w:rsidP="00387AE5">
            <w:pPr>
              <w:ind w:left="138" w:hanging="138"/>
              <w:rPr>
                <w:color w:val="000000"/>
                <w:sz w:val="18"/>
                <w:szCs w:val="18"/>
                <w:lang w:eastAsia="en-GB"/>
              </w:rPr>
            </w:pPr>
            <w:r>
              <w:rPr>
                <w:color w:val="000000"/>
                <w:sz w:val="18"/>
                <w:szCs w:val="18"/>
                <w:lang w:eastAsia="en-GB"/>
              </w:rPr>
              <w:t>Stravovanie na školách zadarmo</w:t>
            </w:r>
          </w:p>
        </w:tc>
        <w:tc>
          <w:tcPr>
            <w:tcW w:w="952" w:type="dxa"/>
            <w:gridSpan w:val="2"/>
            <w:noWrap/>
            <w:tcMar>
              <w:top w:w="0" w:type="dxa"/>
              <w:left w:w="108" w:type="dxa"/>
              <w:bottom w:w="0" w:type="dxa"/>
              <w:right w:w="108" w:type="dxa"/>
            </w:tcMar>
            <w:vAlign w:val="center"/>
          </w:tcPr>
          <w:p w14:paraId="2D4946AF"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70</w:t>
            </w:r>
          </w:p>
        </w:tc>
        <w:tc>
          <w:tcPr>
            <w:tcW w:w="953" w:type="dxa"/>
            <w:noWrap/>
            <w:tcMar>
              <w:top w:w="0" w:type="dxa"/>
              <w:left w:w="108" w:type="dxa"/>
              <w:bottom w:w="0" w:type="dxa"/>
              <w:right w:w="108" w:type="dxa"/>
            </w:tcMar>
            <w:vAlign w:val="center"/>
          </w:tcPr>
          <w:p w14:paraId="6F296D1B"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85</w:t>
            </w:r>
          </w:p>
        </w:tc>
        <w:tc>
          <w:tcPr>
            <w:tcW w:w="953" w:type="dxa"/>
            <w:gridSpan w:val="2"/>
            <w:noWrap/>
            <w:tcMar>
              <w:top w:w="0" w:type="dxa"/>
              <w:left w:w="108" w:type="dxa"/>
              <w:bottom w:w="0" w:type="dxa"/>
              <w:right w:w="108" w:type="dxa"/>
            </w:tcMar>
            <w:vAlign w:val="center"/>
          </w:tcPr>
          <w:p w14:paraId="234B943B"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91</w:t>
            </w:r>
          </w:p>
        </w:tc>
        <w:tc>
          <w:tcPr>
            <w:tcW w:w="953" w:type="dxa"/>
            <w:gridSpan w:val="2"/>
            <w:vAlign w:val="center"/>
          </w:tcPr>
          <w:p w14:paraId="258252CF"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91</w:t>
            </w:r>
          </w:p>
        </w:tc>
      </w:tr>
      <w:tr w:rsidR="00D73008" w:rsidRPr="004622CB" w14:paraId="2A62E9B5" w14:textId="77777777" w:rsidTr="00387AE5">
        <w:trPr>
          <w:trHeight w:val="245"/>
        </w:trPr>
        <w:tc>
          <w:tcPr>
            <w:tcW w:w="5381" w:type="dxa"/>
            <w:gridSpan w:val="2"/>
            <w:noWrap/>
            <w:tcMar>
              <w:top w:w="0" w:type="dxa"/>
              <w:left w:w="108" w:type="dxa"/>
              <w:bottom w:w="0" w:type="dxa"/>
              <w:right w:w="108" w:type="dxa"/>
            </w:tcMar>
            <w:vAlign w:val="center"/>
          </w:tcPr>
          <w:p w14:paraId="508B0921" w14:textId="77777777" w:rsidR="00D73008" w:rsidRPr="004622CB" w:rsidRDefault="00D73008" w:rsidP="00387AE5">
            <w:pPr>
              <w:ind w:left="138" w:hanging="138"/>
              <w:rPr>
                <w:color w:val="000000"/>
                <w:sz w:val="18"/>
                <w:szCs w:val="18"/>
                <w:lang w:eastAsia="en-GB"/>
              </w:rPr>
            </w:pPr>
            <w:r>
              <w:rPr>
                <w:color w:val="000000"/>
                <w:sz w:val="18"/>
                <w:szCs w:val="18"/>
                <w:lang w:eastAsia="en-GB"/>
              </w:rPr>
              <w:t>Navýšenie vianočných dôchodkov</w:t>
            </w:r>
          </w:p>
        </w:tc>
        <w:tc>
          <w:tcPr>
            <w:tcW w:w="952" w:type="dxa"/>
            <w:gridSpan w:val="2"/>
            <w:noWrap/>
            <w:tcMar>
              <w:top w:w="0" w:type="dxa"/>
              <w:left w:w="108" w:type="dxa"/>
              <w:bottom w:w="0" w:type="dxa"/>
              <w:right w:w="108" w:type="dxa"/>
            </w:tcMar>
            <w:vAlign w:val="center"/>
          </w:tcPr>
          <w:p w14:paraId="00EA18B3"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61,3</w:t>
            </w:r>
          </w:p>
        </w:tc>
        <w:tc>
          <w:tcPr>
            <w:tcW w:w="953" w:type="dxa"/>
            <w:noWrap/>
            <w:tcMar>
              <w:top w:w="0" w:type="dxa"/>
              <w:left w:w="108" w:type="dxa"/>
              <w:bottom w:w="0" w:type="dxa"/>
              <w:right w:w="108" w:type="dxa"/>
            </w:tcMar>
            <w:vAlign w:val="center"/>
          </w:tcPr>
          <w:p w14:paraId="2FC2391C"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61,3</w:t>
            </w:r>
          </w:p>
        </w:tc>
        <w:tc>
          <w:tcPr>
            <w:tcW w:w="953" w:type="dxa"/>
            <w:gridSpan w:val="2"/>
            <w:noWrap/>
            <w:tcMar>
              <w:top w:w="0" w:type="dxa"/>
              <w:left w:w="108" w:type="dxa"/>
              <w:bottom w:w="0" w:type="dxa"/>
              <w:right w:w="108" w:type="dxa"/>
            </w:tcMar>
            <w:vAlign w:val="center"/>
          </w:tcPr>
          <w:p w14:paraId="4915B5D9"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61,3</w:t>
            </w:r>
          </w:p>
        </w:tc>
        <w:tc>
          <w:tcPr>
            <w:tcW w:w="953" w:type="dxa"/>
            <w:gridSpan w:val="2"/>
            <w:vAlign w:val="center"/>
          </w:tcPr>
          <w:p w14:paraId="60EE2088" w14:textId="77777777" w:rsidR="00D73008" w:rsidRPr="004622CB" w:rsidRDefault="00D73008" w:rsidP="00387AE5">
            <w:pPr>
              <w:ind w:left="138" w:hanging="138"/>
              <w:jc w:val="center"/>
              <w:rPr>
                <w:color w:val="000000"/>
                <w:sz w:val="18"/>
                <w:szCs w:val="18"/>
                <w:lang w:eastAsia="en-GB"/>
              </w:rPr>
            </w:pPr>
            <w:r>
              <w:rPr>
                <w:color w:val="000000"/>
                <w:sz w:val="18"/>
                <w:szCs w:val="18"/>
                <w:lang w:eastAsia="en-GB"/>
              </w:rPr>
              <w:t>61,3</w:t>
            </w:r>
          </w:p>
        </w:tc>
      </w:tr>
      <w:tr w:rsidR="00D73008" w:rsidRPr="004622CB" w14:paraId="07FD7F49" w14:textId="77777777" w:rsidTr="00387AE5">
        <w:trPr>
          <w:trHeight w:val="245"/>
        </w:trPr>
        <w:tc>
          <w:tcPr>
            <w:tcW w:w="5381" w:type="dxa"/>
            <w:gridSpan w:val="2"/>
            <w:noWrap/>
            <w:tcMar>
              <w:top w:w="0" w:type="dxa"/>
              <w:left w:w="108" w:type="dxa"/>
              <w:bottom w:w="0" w:type="dxa"/>
              <w:right w:w="108" w:type="dxa"/>
            </w:tcMar>
            <w:vAlign w:val="center"/>
          </w:tcPr>
          <w:p w14:paraId="2FAC989A" w14:textId="77777777" w:rsidR="00D73008" w:rsidRDefault="00D73008" w:rsidP="00387AE5">
            <w:pPr>
              <w:ind w:left="138" w:hanging="138"/>
              <w:rPr>
                <w:color w:val="000000"/>
                <w:sz w:val="18"/>
                <w:szCs w:val="18"/>
                <w:lang w:eastAsia="en-GB"/>
              </w:rPr>
            </w:pPr>
            <w:r>
              <w:rPr>
                <w:color w:val="000000"/>
                <w:sz w:val="18"/>
                <w:szCs w:val="18"/>
                <w:lang w:eastAsia="en-GB"/>
              </w:rPr>
              <w:t>Zdvojnásobenie</w:t>
            </w:r>
            <w:r w:rsidRPr="00AD2D30">
              <w:rPr>
                <w:color w:val="000000"/>
                <w:sz w:val="18"/>
                <w:szCs w:val="18"/>
                <w:lang w:eastAsia="en-GB"/>
              </w:rPr>
              <w:t xml:space="preserve"> daňového bonusu pre rodičov detí do 6 rokov</w:t>
            </w:r>
          </w:p>
        </w:tc>
        <w:tc>
          <w:tcPr>
            <w:tcW w:w="952" w:type="dxa"/>
            <w:gridSpan w:val="2"/>
            <w:noWrap/>
            <w:tcMar>
              <w:top w:w="0" w:type="dxa"/>
              <w:left w:w="108" w:type="dxa"/>
              <w:bottom w:w="0" w:type="dxa"/>
              <w:right w:w="108" w:type="dxa"/>
            </w:tcMar>
            <w:vAlign w:val="center"/>
          </w:tcPr>
          <w:p w14:paraId="0B67093D" w14:textId="77777777" w:rsidR="00D73008" w:rsidRDefault="00D73008" w:rsidP="00387AE5">
            <w:pPr>
              <w:ind w:left="138" w:hanging="138"/>
              <w:jc w:val="center"/>
              <w:rPr>
                <w:color w:val="000000"/>
                <w:sz w:val="18"/>
                <w:szCs w:val="18"/>
                <w:lang w:eastAsia="en-GB"/>
              </w:rPr>
            </w:pPr>
            <w:r>
              <w:rPr>
                <w:color w:val="000000"/>
                <w:sz w:val="18"/>
                <w:szCs w:val="18"/>
                <w:lang w:eastAsia="en-GB"/>
              </w:rPr>
              <w:t>58</w:t>
            </w:r>
          </w:p>
        </w:tc>
        <w:tc>
          <w:tcPr>
            <w:tcW w:w="953" w:type="dxa"/>
            <w:noWrap/>
            <w:tcMar>
              <w:top w:w="0" w:type="dxa"/>
              <w:left w:w="108" w:type="dxa"/>
              <w:bottom w:w="0" w:type="dxa"/>
              <w:right w:w="108" w:type="dxa"/>
            </w:tcMar>
            <w:vAlign w:val="center"/>
          </w:tcPr>
          <w:p w14:paraId="0ADA32F8" w14:textId="77777777" w:rsidR="00D73008" w:rsidRDefault="00D73008" w:rsidP="00387AE5">
            <w:pPr>
              <w:ind w:left="138" w:hanging="138"/>
              <w:jc w:val="center"/>
              <w:rPr>
                <w:color w:val="000000"/>
                <w:sz w:val="18"/>
                <w:szCs w:val="18"/>
                <w:lang w:eastAsia="en-GB"/>
              </w:rPr>
            </w:pPr>
            <w:r>
              <w:rPr>
                <w:color w:val="000000"/>
                <w:sz w:val="18"/>
                <w:szCs w:val="18"/>
                <w:lang w:eastAsia="en-GB"/>
              </w:rPr>
              <w:t>79</w:t>
            </w:r>
          </w:p>
        </w:tc>
        <w:tc>
          <w:tcPr>
            <w:tcW w:w="953" w:type="dxa"/>
            <w:gridSpan w:val="2"/>
            <w:noWrap/>
            <w:tcMar>
              <w:top w:w="0" w:type="dxa"/>
              <w:left w:w="108" w:type="dxa"/>
              <w:bottom w:w="0" w:type="dxa"/>
              <w:right w:w="108" w:type="dxa"/>
            </w:tcMar>
            <w:vAlign w:val="center"/>
          </w:tcPr>
          <w:p w14:paraId="6FE20458" w14:textId="77777777" w:rsidR="00D73008" w:rsidRDefault="00D73008" w:rsidP="00387AE5">
            <w:pPr>
              <w:ind w:left="138" w:hanging="138"/>
              <w:jc w:val="center"/>
              <w:rPr>
                <w:color w:val="000000"/>
                <w:sz w:val="18"/>
                <w:szCs w:val="18"/>
                <w:lang w:eastAsia="en-GB"/>
              </w:rPr>
            </w:pPr>
            <w:r>
              <w:rPr>
                <w:color w:val="000000"/>
                <w:sz w:val="18"/>
                <w:szCs w:val="18"/>
                <w:lang w:eastAsia="en-GB"/>
              </w:rPr>
              <w:t>81</w:t>
            </w:r>
          </w:p>
        </w:tc>
        <w:tc>
          <w:tcPr>
            <w:tcW w:w="953" w:type="dxa"/>
            <w:gridSpan w:val="2"/>
            <w:vAlign w:val="center"/>
          </w:tcPr>
          <w:p w14:paraId="4CCDA345" w14:textId="77777777" w:rsidR="00D73008" w:rsidRDefault="00D73008" w:rsidP="00387AE5">
            <w:pPr>
              <w:ind w:left="138" w:hanging="138"/>
              <w:jc w:val="center"/>
              <w:rPr>
                <w:color w:val="000000"/>
                <w:sz w:val="18"/>
                <w:szCs w:val="18"/>
                <w:lang w:eastAsia="en-GB"/>
              </w:rPr>
            </w:pPr>
            <w:r>
              <w:rPr>
                <w:color w:val="000000"/>
                <w:sz w:val="18"/>
                <w:szCs w:val="18"/>
                <w:lang w:eastAsia="en-GB"/>
              </w:rPr>
              <w:t>81</w:t>
            </w:r>
          </w:p>
        </w:tc>
      </w:tr>
      <w:tr w:rsidR="00D73008" w:rsidRPr="004622CB" w14:paraId="34D0E98F" w14:textId="77777777" w:rsidTr="00387AE5">
        <w:trPr>
          <w:trHeight w:val="245"/>
        </w:trPr>
        <w:tc>
          <w:tcPr>
            <w:tcW w:w="5381" w:type="dxa"/>
            <w:gridSpan w:val="2"/>
            <w:noWrap/>
            <w:tcMar>
              <w:top w:w="0" w:type="dxa"/>
              <w:left w:w="108" w:type="dxa"/>
              <w:bottom w:w="0" w:type="dxa"/>
              <w:right w:w="108" w:type="dxa"/>
            </w:tcMar>
            <w:vAlign w:val="center"/>
          </w:tcPr>
          <w:p w14:paraId="2308D89B" w14:textId="77777777" w:rsidR="00D73008" w:rsidRDefault="00D73008" w:rsidP="00387AE5">
            <w:pPr>
              <w:ind w:left="138" w:hanging="138"/>
              <w:rPr>
                <w:color w:val="000000"/>
                <w:sz w:val="18"/>
                <w:szCs w:val="18"/>
                <w:lang w:eastAsia="en-GB"/>
              </w:rPr>
            </w:pPr>
            <w:r>
              <w:rPr>
                <w:color w:val="000000"/>
                <w:sz w:val="18"/>
                <w:szCs w:val="18"/>
                <w:lang w:eastAsia="en-GB"/>
              </w:rPr>
              <w:t>Výdavky z výnosu z osobitného odvodu pre obchodné reťazce</w:t>
            </w:r>
          </w:p>
        </w:tc>
        <w:tc>
          <w:tcPr>
            <w:tcW w:w="952" w:type="dxa"/>
            <w:gridSpan w:val="2"/>
            <w:noWrap/>
            <w:tcMar>
              <w:top w:w="0" w:type="dxa"/>
              <w:left w:w="108" w:type="dxa"/>
              <w:bottom w:w="0" w:type="dxa"/>
              <w:right w:w="108" w:type="dxa"/>
            </w:tcMar>
          </w:tcPr>
          <w:p w14:paraId="256A77EB" w14:textId="77777777" w:rsidR="00D73008" w:rsidRDefault="00D73008" w:rsidP="00387AE5">
            <w:pPr>
              <w:ind w:left="138" w:hanging="138"/>
              <w:jc w:val="center"/>
              <w:rPr>
                <w:color w:val="000000"/>
                <w:sz w:val="18"/>
                <w:szCs w:val="18"/>
                <w:lang w:eastAsia="en-GB"/>
              </w:rPr>
            </w:pPr>
            <w:r w:rsidRPr="00105D11">
              <w:rPr>
                <w:sz w:val="18"/>
                <w:szCs w:val="18"/>
              </w:rPr>
              <w:t>84,9</w:t>
            </w:r>
          </w:p>
        </w:tc>
        <w:tc>
          <w:tcPr>
            <w:tcW w:w="953" w:type="dxa"/>
            <w:noWrap/>
            <w:tcMar>
              <w:top w:w="0" w:type="dxa"/>
              <w:left w:w="108" w:type="dxa"/>
              <w:bottom w:w="0" w:type="dxa"/>
              <w:right w:w="108" w:type="dxa"/>
            </w:tcMar>
          </w:tcPr>
          <w:p w14:paraId="00874266" w14:textId="77777777" w:rsidR="00D73008" w:rsidRDefault="00D73008" w:rsidP="00387AE5">
            <w:pPr>
              <w:ind w:left="138" w:hanging="138"/>
              <w:jc w:val="center"/>
              <w:rPr>
                <w:color w:val="000000"/>
                <w:sz w:val="18"/>
                <w:szCs w:val="18"/>
                <w:lang w:eastAsia="en-GB"/>
              </w:rPr>
            </w:pPr>
            <w:r w:rsidRPr="00105D11">
              <w:rPr>
                <w:sz w:val="18"/>
                <w:szCs w:val="18"/>
              </w:rPr>
              <w:t>101,2</w:t>
            </w:r>
          </w:p>
        </w:tc>
        <w:tc>
          <w:tcPr>
            <w:tcW w:w="953" w:type="dxa"/>
            <w:gridSpan w:val="2"/>
            <w:noWrap/>
            <w:tcMar>
              <w:top w:w="0" w:type="dxa"/>
              <w:left w:w="108" w:type="dxa"/>
              <w:bottom w:w="0" w:type="dxa"/>
              <w:right w:w="108" w:type="dxa"/>
            </w:tcMar>
          </w:tcPr>
          <w:p w14:paraId="600AF63B" w14:textId="77777777" w:rsidR="00D73008" w:rsidRDefault="00D73008" w:rsidP="00387AE5">
            <w:pPr>
              <w:ind w:left="138" w:hanging="138"/>
              <w:jc w:val="center"/>
              <w:rPr>
                <w:color w:val="000000"/>
                <w:sz w:val="18"/>
                <w:szCs w:val="18"/>
                <w:lang w:eastAsia="en-GB"/>
              </w:rPr>
            </w:pPr>
            <w:r w:rsidRPr="00105D11">
              <w:rPr>
                <w:sz w:val="18"/>
                <w:szCs w:val="18"/>
              </w:rPr>
              <w:t>106,0</w:t>
            </w:r>
          </w:p>
        </w:tc>
        <w:tc>
          <w:tcPr>
            <w:tcW w:w="953" w:type="dxa"/>
            <w:gridSpan w:val="2"/>
          </w:tcPr>
          <w:p w14:paraId="1F951199" w14:textId="77777777" w:rsidR="00D73008" w:rsidRDefault="00D73008" w:rsidP="00387AE5">
            <w:pPr>
              <w:ind w:left="138" w:hanging="138"/>
              <w:jc w:val="center"/>
              <w:rPr>
                <w:color w:val="000000"/>
                <w:sz w:val="18"/>
                <w:szCs w:val="18"/>
                <w:lang w:eastAsia="en-GB"/>
              </w:rPr>
            </w:pPr>
            <w:r w:rsidRPr="00105D11">
              <w:rPr>
                <w:sz w:val="18"/>
                <w:szCs w:val="18"/>
              </w:rPr>
              <w:t>110,5</w:t>
            </w:r>
          </w:p>
        </w:tc>
      </w:tr>
      <w:tr w:rsidR="00D73008" w:rsidRPr="004622CB" w14:paraId="702DD078" w14:textId="77777777" w:rsidTr="00387AE5">
        <w:trPr>
          <w:trHeight w:val="245"/>
        </w:trPr>
        <w:tc>
          <w:tcPr>
            <w:tcW w:w="5381" w:type="dxa"/>
            <w:gridSpan w:val="2"/>
            <w:noWrap/>
            <w:tcMar>
              <w:top w:w="0" w:type="dxa"/>
              <w:left w:w="108" w:type="dxa"/>
              <w:bottom w:w="0" w:type="dxa"/>
              <w:right w:w="108" w:type="dxa"/>
            </w:tcMar>
            <w:vAlign w:val="center"/>
          </w:tcPr>
          <w:p w14:paraId="4D9CD7A8" w14:textId="78FA1BE4" w:rsidR="00D73008" w:rsidRPr="002C4DD8" w:rsidRDefault="00D73008" w:rsidP="00387AE5">
            <w:pPr>
              <w:ind w:left="138" w:hanging="138"/>
              <w:rPr>
                <w:color w:val="000000"/>
                <w:sz w:val="18"/>
                <w:szCs w:val="18"/>
                <w:lang w:eastAsia="en-GB"/>
              </w:rPr>
            </w:pPr>
            <w:r>
              <w:rPr>
                <w:color w:val="000000"/>
                <w:sz w:val="18"/>
                <w:szCs w:val="18"/>
                <w:lang w:eastAsia="en-GB"/>
              </w:rPr>
              <w:t>Valorizácia miezd o 10 % v roku 2019 a o ďalších 10 % v roku 2020</w:t>
            </w:r>
            <w:r w:rsidR="00070E0E">
              <w:rPr>
                <w:color w:val="000000"/>
                <w:sz w:val="18"/>
                <w:szCs w:val="18"/>
                <w:lang w:eastAsia="en-GB"/>
              </w:rPr>
              <w:t xml:space="preserve">, </w:t>
            </w:r>
            <w:r w:rsidR="00193396">
              <w:rPr>
                <w:color w:val="000000"/>
                <w:sz w:val="18"/>
                <w:szCs w:val="18"/>
                <w:lang w:eastAsia="en-GB"/>
              </w:rPr>
              <w:t xml:space="preserve">Valorizácia miezd o 10 % </w:t>
            </w:r>
            <w:r w:rsidR="00070E0E" w:rsidRPr="00070E0E">
              <w:rPr>
                <w:color w:val="000000"/>
                <w:sz w:val="18"/>
                <w:szCs w:val="18"/>
                <w:lang w:eastAsia="en-GB"/>
              </w:rPr>
              <w:t>v roku 2019 a o ďalších 10 % v roku 2020, resp. 2 % v roku 2021, vrátane rezerv súvisiacich s novou legislatívou v odmeňovaní</w:t>
            </w:r>
            <w:r>
              <w:rPr>
                <w:color w:val="000000"/>
                <w:sz w:val="18"/>
                <w:szCs w:val="18"/>
                <w:lang w:eastAsia="en-GB"/>
              </w:rPr>
              <w:t xml:space="preserve"> (vplyv oproti nulovému rastu)</w:t>
            </w:r>
          </w:p>
        </w:tc>
        <w:tc>
          <w:tcPr>
            <w:tcW w:w="952" w:type="dxa"/>
            <w:gridSpan w:val="2"/>
            <w:noWrap/>
            <w:tcMar>
              <w:top w:w="0" w:type="dxa"/>
              <w:left w:w="108" w:type="dxa"/>
              <w:bottom w:w="0" w:type="dxa"/>
              <w:right w:w="108" w:type="dxa"/>
            </w:tcMar>
            <w:vAlign w:val="center"/>
          </w:tcPr>
          <w:p w14:paraId="150A3787" w14:textId="77777777" w:rsidR="00D73008" w:rsidRDefault="00D73008" w:rsidP="00387AE5">
            <w:pPr>
              <w:ind w:left="138" w:hanging="138"/>
              <w:jc w:val="center"/>
              <w:rPr>
                <w:color w:val="000000"/>
                <w:sz w:val="18"/>
                <w:szCs w:val="18"/>
                <w:lang w:eastAsia="en-GB"/>
              </w:rPr>
            </w:pPr>
            <w:r>
              <w:rPr>
                <w:color w:val="000000"/>
                <w:sz w:val="18"/>
                <w:szCs w:val="18"/>
                <w:lang w:eastAsia="en-GB"/>
              </w:rPr>
              <w:t>592,2</w:t>
            </w:r>
          </w:p>
        </w:tc>
        <w:tc>
          <w:tcPr>
            <w:tcW w:w="953" w:type="dxa"/>
            <w:noWrap/>
            <w:tcMar>
              <w:top w:w="0" w:type="dxa"/>
              <w:left w:w="108" w:type="dxa"/>
              <w:bottom w:w="0" w:type="dxa"/>
              <w:right w:w="108" w:type="dxa"/>
            </w:tcMar>
            <w:vAlign w:val="center"/>
          </w:tcPr>
          <w:p w14:paraId="4400F44F" w14:textId="77777777" w:rsidR="00D73008" w:rsidRDefault="00D73008" w:rsidP="00387AE5">
            <w:pPr>
              <w:ind w:left="138" w:hanging="138"/>
              <w:jc w:val="center"/>
              <w:rPr>
                <w:color w:val="000000"/>
                <w:sz w:val="18"/>
                <w:szCs w:val="18"/>
                <w:lang w:eastAsia="en-GB"/>
              </w:rPr>
            </w:pPr>
            <w:r>
              <w:rPr>
                <w:color w:val="000000"/>
                <w:sz w:val="18"/>
                <w:szCs w:val="18"/>
                <w:lang w:eastAsia="en-GB"/>
              </w:rPr>
              <w:t>1137,7</w:t>
            </w:r>
          </w:p>
        </w:tc>
        <w:tc>
          <w:tcPr>
            <w:tcW w:w="953" w:type="dxa"/>
            <w:gridSpan w:val="2"/>
            <w:noWrap/>
            <w:tcMar>
              <w:top w:w="0" w:type="dxa"/>
              <w:left w:w="108" w:type="dxa"/>
              <w:bottom w:w="0" w:type="dxa"/>
              <w:right w:w="108" w:type="dxa"/>
            </w:tcMar>
            <w:vAlign w:val="center"/>
          </w:tcPr>
          <w:p w14:paraId="73A9525D" w14:textId="77777777" w:rsidR="00D73008" w:rsidRDefault="00D73008" w:rsidP="00387AE5">
            <w:pPr>
              <w:ind w:left="138" w:hanging="138"/>
              <w:jc w:val="center"/>
              <w:rPr>
                <w:color w:val="000000"/>
                <w:sz w:val="18"/>
                <w:szCs w:val="18"/>
                <w:lang w:eastAsia="en-GB"/>
              </w:rPr>
            </w:pPr>
            <w:r>
              <w:rPr>
                <w:color w:val="000000"/>
                <w:sz w:val="18"/>
                <w:szCs w:val="18"/>
                <w:lang w:eastAsia="en-GB"/>
              </w:rPr>
              <w:t>1265,5</w:t>
            </w:r>
          </w:p>
        </w:tc>
        <w:tc>
          <w:tcPr>
            <w:tcW w:w="953" w:type="dxa"/>
            <w:gridSpan w:val="2"/>
            <w:vAlign w:val="center"/>
          </w:tcPr>
          <w:p w14:paraId="41C9A78E" w14:textId="77777777" w:rsidR="00D73008" w:rsidRDefault="00D73008" w:rsidP="00387AE5">
            <w:pPr>
              <w:ind w:left="138" w:hanging="138"/>
              <w:jc w:val="center"/>
              <w:rPr>
                <w:color w:val="000000"/>
                <w:sz w:val="18"/>
                <w:szCs w:val="18"/>
                <w:lang w:eastAsia="en-GB"/>
              </w:rPr>
            </w:pPr>
            <w:r>
              <w:rPr>
                <w:color w:val="000000"/>
                <w:sz w:val="18"/>
                <w:szCs w:val="18"/>
                <w:lang w:eastAsia="en-GB"/>
              </w:rPr>
              <w:t>1290,81</w:t>
            </w:r>
          </w:p>
        </w:tc>
      </w:tr>
      <w:tr w:rsidR="00E37246" w:rsidRPr="004622CB" w14:paraId="0622D9A4" w14:textId="77777777" w:rsidTr="00387AE5">
        <w:trPr>
          <w:trHeight w:val="245"/>
        </w:trPr>
        <w:tc>
          <w:tcPr>
            <w:tcW w:w="5381" w:type="dxa"/>
            <w:gridSpan w:val="2"/>
            <w:noWrap/>
            <w:tcMar>
              <w:top w:w="0" w:type="dxa"/>
              <w:left w:w="108" w:type="dxa"/>
              <w:bottom w:w="0" w:type="dxa"/>
              <w:right w:w="108" w:type="dxa"/>
            </w:tcMar>
            <w:vAlign w:val="center"/>
          </w:tcPr>
          <w:p w14:paraId="4E24EC56" w14:textId="1F032EFC" w:rsidR="00E37246" w:rsidRDefault="00E37246" w:rsidP="00E37246">
            <w:pPr>
              <w:ind w:left="138" w:hanging="138"/>
              <w:rPr>
                <w:color w:val="000000"/>
                <w:sz w:val="18"/>
                <w:szCs w:val="18"/>
                <w:lang w:eastAsia="en-GB"/>
              </w:rPr>
            </w:pPr>
            <w:r>
              <w:rPr>
                <w:color w:val="000000"/>
                <w:sz w:val="18"/>
                <w:szCs w:val="18"/>
                <w:lang w:eastAsia="en-GB"/>
              </w:rPr>
              <w:t>Vytvorené</w:t>
            </w:r>
            <w:r w:rsidRPr="00AD2D30">
              <w:rPr>
                <w:color w:val="000000"/>
                <w:sz w:val="18"/>
                <w:szCs w:val="18"/>
                <w:lang w:eastAsia="en-GB"/>
              </w:rPr>
              <w:t xml:space="preserve"> rezervy</w:t>
            </w:r>
            <w:r>
              <w:rPr>
                <w:color w:val="000000"/>
                <w:sz w:val="18"/>
                <w:szCs w:val="18"/>
                <w:lang w:eastAsia="en-GB"/>
              </w:rPr>
              <w:t xml:space="preserve"> (vývoj ekonomického cyklu)</w:t>
            </w:r>
          </w:p>
        </w:tc>
        <w:tc>
          <w:tcPr>
            <w:tcW w:w="952" w:type="dxa"/>
            <w:gridSpan w:val="2"/>
            <w:noWrap/>
            <w:tcMar>
              <w:top w:w="0" w:type="dxa"/>
              <w:left w:w="108" w:type="dxa"/>
              <w:bottom w:w="0" w:type="dxa"/>
              <w:right w:w="108" w:type="dxa"/>
            </w:tcMar>
            <w:vAlign w:val="center"/>
          </w:tcPr>
          <w:p w14:paraId="798B7D59" w14:textId="582E2C32" w:rsidR="00E37246" w:rsidRDefault="00E37246" w:rsidP="00E37246">
            <w:pPr>
              <w:ind w:left="138" w:hanging="138"/>
              <w:jc w:val="center"/>
              <w:rPr>
                <w:color w:val="000000"/>
                <w:sz w:val="18"/>
                <w:szCs w:val="18"/>
                <w:lang w:eastAsia="en-GB"/>
              </w:rPr>
            </w:pPr>
            <w:r>
              <w:rPr>
                <w:color w:val="000000"/>
                <w:sz w:val="18"/>
                <w:szCs w:val="18"/>
                <w:lang w:eastAsia="en-GB"/>
              </w:rPr>
              <w:t>-</w:t>
            </w:r>
          </w:p>
        </w:tc>
        <w:tc>
          <w:tcPr>
            <w:tcW w:w="953" w:type="dxa"/>
            <w:noWrap/>
            <w:tcMar>
              <w:top w:w="0" w:type="dxa"/>
              <w:left w:w="108" w:type="dxa"/>
              <w:bottom w:w="0" w:type="dxa"/>
              <w:right w:w="108" w:type="dxa"/>
            </w:tcMar>
            <w:vAlign w:val="center"/>
          </w:tcPr>
          <w:p w14:paraId="7754C4ED" w14:textId="7E627245" w:rsidR="00E37246" w:rsidRDefault="00E37246" w:rsidP="00E37246">
            <w:pPr>
              <w:ind w:left="138" w:hanging="138"/>
              <w:jc w:val="center"/>
              <w:rPr>
                <w:color w:val="000000"/>
                <w:sz w:val="18"/>
                <w:szCs w:val="18"/>
                <w:lang w:eastAsia="en-GB"/>
              </w:rPr>
            </w:pPr>
            <w:r w:rsidRPr="00862465">
              <w:rPr>
                <w:color w:val="000000"/>
                <w:sz w:val="18"/>
                <w:szCs w:val="18"/>
                <w:lang w:eastAsia="en-GB"/>
              </w:rPr>
              <w:t>270</w:t>
            </w:r>
          </w:p>
        </w:tc>
        <w:tc>
          <w:tcPr>
            <w:tcW w:w="953" w:type="dxa"/>
            <w:gridSpan w:val="2"/>
            <w:noWrap/>
            <w:tcMar>
              <w:top w:w="0" w:type="dxa"/>
              <w:left w:w="108" w:type="dxa"/>
              <w:bottom w:w="0" w:type="dxa"/>
              <w:right w:w="108" w:type="dxa"/>
            </w:tcMar>
            <w:vAlign w:val="center"/>
          </w:tcPr>
          <w:p w14:paraId="0A13B335" w14:textId="21C6C7CA" w:rsidR="00E37246" w:rsidRDefault="00E37246" w:rsidP="00E37246">
            <w:pPr>
              <w:ind w:left="138" w:hanging="138"/>
              <w:jc w:val="center"/>
              <w:rPr>
                <w:color w:val="000000"/>
                <w:sz w:val="18"/>
                <w:szCs w:val="18"/>
                <w:lang w:eastAsia="en-GB"/>
              </w:rPr>
            </w:pPr>
            <w:r w:rsidRPr="00862465">
              <w:rPr>
                <w:color w:val="000000"/>
                <w:sz w:val="18"/>
                <w:szCs w:val="18"/>
                <w:lang w:eastAsia="en-GB"/>
              </w:rPr>
              <w:t>295</w:t>
            </w:r>
          </w:p>
        </w:tc>
        <w:tc>
          <w:tcPr>
            <w:tcW w:w="953" w:type="dxa"/>
            <w:gridSpan w:val="2"/>
            <w:vAlign w:val="center"/>
          </w:tcPr>
          <w:p w14:paraId="30CEBC84" w14:textId="61EB5AA3" w:rsidR="00E37246" w:rsidRDefault="00E37246" w:rsidP="00E37246">
            <w:pPr>
              <w:ind w:left="138" w:hanging="138"/>
              <w:jc w:val="center"/>
              <w:rPr>
                <w:color w:val="000000"/>
                <w:sz w:val="18"/>
                <w:szCs w:val="18"/>
                <w:lang w:eastAsia="en-GB"/>
              </w:rPr>
            </w:pPr>
            <w:r w:rsidRPr="00862465">
              <w:rPr>
                <w:color w:val="000000"/>
                <w:sz w:val="18"/>
                <w:szCs w:val="18"/>
                <w:lang w:eastAsia="en-GB"/>
              </w:rPr>
              <w:t>225</w:t>
            </w:r>
          </w:p>
        </w:tc>
      </w:tr>
      <w:tr w:rsidR="00E37246" w:rsidRPr="004622CB" w14:paraId="41B355BA" w14:textId="77777777" w:rsidTr="00387AE5">
        <w:trPr>
          <w:trHeight w:val="245"/>
        </w:trPr>
        <w:tc>
          <w:tcPr>
            <w:tcW w:w="5381" w:type="dxa"/>
            <w:gridSpan w:val="2"/>
            <w:noWrap/>
            <w:tcMar>
              <w:top w:w="0" w:type="dxa"/>
              <w:left w:w="108" w:type="dxa"/>
              <w:bottom w:w="0" w:type="dxa"/>
              <w:right w:w="108" w:type="dxa"/>
            </w:tcMar>
            <w:vAlign w:val="center"/>
          </w:tcPr>
          <w:p w14:paraId="0A9AFA3F" w14:textId="1D00F948" w:rsidR="00E37246" w:rsidRDefault="00E37246" w:rsidP="00E37246">
            <w:pPr>
              <w:ind w:left="138" w:hanging="138"/>
              <w:rPr>
                <w:color w:val="000000"/>
                <w:sz w:val="18"/>
                <w:szCs w:val="18"/>
                <w:lang w:eastAsia="en-GB"/>
              </w:rPr>
            </w:pPr>
            <w:r>
              <w:rPr>
                <w:color w:val="000000"/>
                <w:sz w:val="18"/>
                <w:szCs w:val="18"/>
                <w:lang w:eastAsia="en-GB"/>
              </w:rPr>
              <w:t>Vytvorené</w:t>
            </w:r>
            <w:r w:rsidRPr="00AD2D30">
              <w:rPr>
                <w:color w:val="000000"/>
                <w:sz w:val="18"/>
                <w:szCs w:val="18"/>
                <w:lang w:eastAsia="en-GB"/>
              </w:rPr>
              <w:t xml:space="preserve"> rezervy</w:t>
            </w:r>
            <w:r>
              <w:rPr>
                <w:color w:val="000000"/>
                <w:sz w:val="18"/>
                <w:szCs w:val="18"/>
                <w:lang w:eastAsia="en-GB"/>
              </w:rPr>
              <w:t xml:space="preserve"> (rý</w:t>
            </w:r>
            <w:r w:rsidRPr="00862465">
              <w:rPr>
                <w:color w:val="000000"/>
                <w:sz w:val="18"/>
                <w:szCs w:val="18"/>
                <w:lang w:eastAsia="en-GB"/>
              </w:rPr>
              <w:t>chlejšia realizácia a väčší počet projektov</w:t>
            </w:r>
            <w:r>
              <w:rPr>
                <w:color w:val="000000"/>
                <w:sz w:val="18"/>
                <w:szCs w:val="18"/>
                <w:lang w:eastAsia="en-GB"/>
              </w:rPr>
              <w:t>)</w:t>
            </w:r>
          </w:p>
        </w:tc>
        <w:tc>
          <w:tcPr>
            <w:tcW w:w="952" w:type="dxa"/>
            <w:gridSpan w:val="2"/>
            <w:noWrap/>
            <w:tcMar>
              <w:top w:w="0" w:type="dxa"/>
              <w:left w:w="108" w:type="dxa"/>
              <w:bottom w:w="0" w:type="dxa"/>
              <w:right w:w="108" w:type="dxa"/>
            </w:tcMar>
            <w:vAlign w:val="center"/>
          </w:tcPr>
          <w:p w14:paraId="767F0B57" w14:textId="4967FF5F" w:rsidR="00E37246" w:rsidRDefault="00E37246" w:rsidP="00E37246">
            <w:pPr>
              <w:ind w:left="138" w:hanging="138"/>
              <w:jc w:val="center"/>
              <w:rPr>
                <w:color w:val="000000"/>
                <w:sz w:val="18"/>
                <w:szCs w:val="18"/>
                <w:lang w:eastAsia="en-GB"/>
              </w:rPr>
            </w:pPr>
            <w:r w:rsidRPr="00862465">
              <w:rPr>
                <w:color w:val="000000"/>
                <w:sz w:val="18"/>
                <w:szCs w:val="18"/>
                <w:lang w:eastAsia="en-GB"/>
              </w:rPr>
              <w:t>213</w:t>
            </w:r>
          </w:p>
        </w:tc>
        <w:tc>
          <w:tcPr>
            <w:tcW w:w="953" w:type="dxa"/>
            <w:noWrap/>
            <w:tcMar>
              <w:top w:w="0" w:type="dxa"/>
              <w:left w:w="108" w:type="dxa"/>
              <w:bottom w:w="0" w:type="dxa"/>
              <w:right w:w="108" w:type="dxa"/>
            </w:tcMar>
            <w:vAlign w:val="center"/>
          </w:tcPr>
          <w:p w14:paraId="02E2FB40" w14:textId="35BCAC8A" w:rsidR="00E37246" w:rsidRDefault="00E37246" w:rsidP="00E37246">
            <w:pPr>
              <w:ind w:left="138" w:hanging="138"/>
              <w:jc w:val="center"/>
              <w:rPr>
                <w:color w:val="000000"/>
                <w:sz w:val="18"/>
                <w:szCs w:val="18"/>
                <w:lang w:eastAsia="en-GB"/>
              </w:rPr>
            </w:pPr>
            <w:r>
              <w:rPr>
                <w:color w:val="000000"/>
                <w:sz w:val="18"/>
                <w:szCs w:val="18"/>
                <w:lang w:eastAsia="en-GB"/>
              </w:rPr>
              <w:t>383</w:t>
            </w:r>
          </w:p>
        </w:tc>
        <w:tc>
          <w:tcPr>
            <w:tcW w:w="953" w:type="dxa"/>
            <w:gridSpan w:val="2"/>
            <w:noWrap/>
            <w:tcMar>
              <w:top w:w="0" w:type="dxa"/>
              <w:left w:w="108" w:type="dxa"/>
              <w:bottom w:w="0" w:type="dxa"/>
              <w:right w:w="108" w:type="dxa"/>
            </w:tcMar>
            <w:vAlign w:val="center"/>
          </w:tcPr>
          <w:p w14:paraId="58CD766D" w14:textId="2233F97C" w:rsidR="00E37246" w:rsidRDefault="00E37246" w:rsidP="00E37246">
            <w:pPr>
              <w:ind w:left="138" w:hanging="138"/>
              <w:jc w:val="center"/>
              <w:rPr>
                <w:color w:val="000000"/>
                <w:sz w:val="18"/>
                <w:szCs w:val="18"/>
                <w:lang w:eastAsia="en-GB"/>
              </w:rPr>
            </w:pPr>
            <w:r>
              <w:rPr>
                <w:color w:val="000000"/>
                <w:sz w:val="18"/>
                <w:szCs w:val="18"/>
                <w:lang w:eastAsia="en-GB"/>
              </w:rPr>
              <w:t>433</w:t>
            </w:r>
          </w:p>
        </w:tc>
        <w:tc>
          <w:tcPr>
            <w:tcW w:w="953" w:type="dxa"/>
            <w:gridSpan w:val="2"/>
            <w:vAlign w:val="center"/>
          </w:tcPr>
          <w:p w14:paraId="5D452BEF" w14:textId="3EF6CB3C" w:rsidR="00E37246" w:rsidRDefault="00E37246" w:rsidP="00E37246">
            <w:pPr>
              <w:ind w:left="138" w:hanging="138"/>
              <w:jc w:val="center"/>
              <w:rPr>
                <w:color w:val="000000"/>
                <w:sz w:val="18"/>
                <w:szCs w:val="18"/>
                <w:lang w:eastAsia="en-GB"/>
              </w:rPr>
            </w:pPr>
            <w:r>
              <w:rPr>
                <w:color w:val="000000"/>
                <w:sz w:val="18"/>
                <w:szCs w:val="18"/>
                <w:lang w:eastAsia="en-GB"/>
              </w:rPr>
              <w:t>164</w:t>
            </w:r>
          </w:p>
        </w:tc>
      </w:tr>
      <w:tr w:rsidR="00E37246" w:rsidRPr="00C92662" w14:paraId="043D1488" w14:textId="77777777" w:rsidTr="00387AE5">
        <w:trPr>
          <w:gridAfter w:val="1"/>
          <w:wAfter w:w="46" w:type="dxa"/>
          <w:trHeight w:val="245"/>
        </w:trPr>
        <w:tc>
          <w:tcPr>
            <w:tcW w:w="5251" w:type="dxa"/>
            <w:tcBorders>
              <w:top w:val="single" w:sz="4" w:space="0" w:color="auto"/>
              <w:left w:val="nil"/>
              <w:right w:val="nil"/>
            </w:tcBorders>
            <w:noWrap/>
            <w:tcMar>
              <w:top w:w="0" w:type="dxa"/>
              <w:left w:w="108" w:type="dxa"/>
              <w:bottom w:w="0" w:type="dxa"/>
              <w:right w:w="108" w:type="dxa"/>
            </w:tcMar>
            <w:vAlign w:val="center"/>
          </w:tcPr>
          <w:p w14:paraId="3CFA611B" w14:textId="77777777" w:rsidR="00E37246" w:rsidRPr="004622CB" w:rsidRDefault="00E37246" w:rsidP="00E37246">
            <w:pPr>
              <w:rPr>
                <w:color w:val="000000"/>
                <w:sz w:val="18"/>
                <w:szCs w:val="18"/>
                <w:lang w:eastAsia="en-GB"/>
              </w:rPr>
            </w:pPr>
          </w:p>
        </w:tc>
        <w:tc>
          <w:tcPr>
            <w:tcW w:w="877" w:type="dxa"/>
            <w:gridSpan w:val="2"/>
            <w:tcBorders>
              <w:top w:val="single" w:sz="4" w:space="0" w:color="auto"/>
              <w:left w:val="nil"/>
              <w:right w:val="nil"/>
            </w:tcBorders>
            <w:noWrap/>
            <w:tcMar>
              <w:top w:w="0" w:type="dxa"/>
              <w:left w:w="108" w:type="dxa"/>
              <w:bottom w:w="0" w:type="dxa"/>
              <w:right w:w="108" w:type="dxa"/>
            </w:tcMar>
            <w:vAlign w:val="center"/>
          </w:tcPr>
          <w:p w14:paraId="6C6C2126" w14:textId="77777777" w:rsidR="00E37246" w:rsidRPr="004622CB" w:rsidRDefault="00E37246" w:rsidP="00E37246">
            <w:pPr>
              <w:jc w:val="right"/>
              <w:rPr>
                <w:color w:val="000000"/>
                <w:sz w:val="18"/>
                <w:szCs w:val="18"/>
                <w:lang w:eastAsia="en-GB"/>
              </w:rPr>
            </w:pPr>
          </w:p>
        </w:tc>
        <w:tc>
          <w:tcPr>
            <w:tcW w:w="1937" w:type="dxa"/>
            <w:gridSpan w:val="3"/>
            <w:tcBorders>
              <w:top w:val="single" w:sz="4" w:space="0" w:color="auto"/>
              <w:left w:val="nil"/>
              <w:right w:val="nil"/>
            </w:tcBorders>
            <w:noWrap/>
            <w:tcMar>
              <w:top w:w="0" w:type="dxa"/>
              <w:left w:w="108" w:type="dxa"/>
              <w:bottom w:w="0" w:type="dxa"/>
              <w:right w:w="108" w:type="dxa"/>
            </w:tcMar>
            <w:vAlign w:val="center"/>
          </w:tcPr>
          <w:p w14:paraId="0B408E91" w14:textId="77777777" w:rsidR="00E37246" w:rsidRPr="00E1227D" w:rsidRDefault="00E37246" w:rsidP="00E37246">
            <w:pPr>
              <w:jc w:val="right"/>
              <w:rPr>
                <w:i/>
                <w:color w:val="000000"/>
                <w:sz w:val="16"/>
                <w:szCs w:val="16"/>
                <w:lang w:eastAsia="en-GB"/>
              </w:rPr>
            </w:pPr>
          </w:p>
        </w:tc>
        <w:tc>
          <w:tcPr>
            <w:tcW w:w="1081" w:type="dxa"/>
            <w:gridSpan w:val="2"/>
            <w:tcBorders>
              <w:top w:val="single" w:sz="4" w:space="0" w:color="auto"/>
              <w:left w:val="nil"/>
              <w:right w:val="nil"/>
            </w:tcBorders>
          </w:tcPr>
          <w:p w14:paraId="46AA098C" w14:textId="77777777" w:rsidR="00E37246" w:rsidRPr="004622CB" w:rsidRDefault="00E37246" w:rsidP="00E37246">
            <w:pPr>
              <w:jc w:val="right"/>
              <w:rPr>
                <w:i/>
                <w:color w:val="000000"/>
                <w:sz w:val="16"/>
                <w:szCs w:val="16"/>
                <w:lang w:eastAsia="en-GB"/>
              </w:rPr>
            </w:pPr>
          </w:p>
        </w:tc>
      </w:tr>
      <w:bookmarkEnd w:id="0"/>
      <w:bookmarkEnd w:id="12"/>
      <w:bookmarkEnd w:id="13"/>
    </w:tbl>
    <w:p w14:paraId="0D2AF969" w14:textId="0446CF35" w:rsidR="0005066C" w:rsidRDefault="0005066C" w:rsidP="00D73008">
      <w:pPr>
        <w:spacing w:after="240"/>
        <w:jc w:val="both"/>
      </w:pPr>
    </w:p>
    <w:p w14:paraId="2B87D70F" w14:textId="77777777" w:rsidR="0005066C" w:rsidRDefault="0005066C">
      <w:r>
        <w:br w:type="page"/>
      </w:r>
    </w:p>
    <w:p w14:paraId="155213C6" w14:textId="4D15C0B1" w:rsidR="0005066C" w:rsidRPr="00684201" w:rsidRDefault="0005066C" w:rsidP="00684201">
      <w:pPr>
        <w:pStyle w:val="Nadpis3"/>
        <w:spacing w:after="120"/>
        <w:rPr>
          <w:color w:val="2C9ADC" w:themeColor="accent1"/>
          <w:sz w:val="24"/>
          <w:szCs w:val="24"/>
        </w:rPr>
      </w:pPr>
      <w:bookmarkStart w:id="294" w:name="_Ref6313819"/>
      <w:r w:rsidRPr="00684201">
        <w:rPr>
          <w:color w:val="2C9ADC" w:themeColor="accent1"/>
          <w:sz w:val="24"/>
          <w:szCs w:val="24"/>
        </w:rPr>
        <w:t xml:space="preserve">Príloha 8 - Mandát na revíziu výdavkov </w:t>
      </w:r>
      <w:r w:rsidR="001E5764" w:rsidRPr="00684201">
        <w:rPr>
          <w:color w:val="2C9ADC" w:themeColor="accent1"/>
          <w:sz w:val="24"/>
          <w:szCs w:val="24"/>
        </w:rPr>
        <w:t>na obranu</w:t>
      </w:r>
      <w:bookmarkEnd w:id="294"/>
    </w:p>
    <w:p w14:paraId="1B93C066" w14:textId="77777777" w:rsidR="003C0B41" w:rsidRPr="00F17E66" w:rsidRDefault="003C0B41" w:rsidP="00E37246">
      <w:pPr>
        <w:jc w:val="both"/>
        <w:rPr>
          <w:b/>
        </w:rPr>
      </w:pPr>
      <w:r>
        <w:rPr>
          <w:b/>
        </w:rPr>
        <w:t>Revízia výdavkov na obranu posúdi výdavky v ročnom objeme 1,7 % HDP. Cieľom</w:t>
      </w:r>
      <w:r w:rsidRPr="00F17E66">
        <w:rPr>
          <w:b/>
        </w:rPr>
        <w:t xml:space="preserve"> revízie je </w:t>
      </w:r>
      <w:r>
        <w:rPr>
          <w:b/>
        </w:rPr>
        <w:t xml:space="preserve">analýza výdavkov a návrh opatrení zameraných na zlepšenie efektívnosti všetkých výdavkov na </w:t>
      </w:r>
      <w:r w:rsidRPr="00F17E66">
        <w:rPr>
          <w:b/>
        </w:rPr>
        <w:t>obran</w:t>
      </w:r>
      <w:r>
        <w:rPr>
          <w:b/>
        </w:rPr>
        <w:t xml:space="preserve">u, vrátane nárastu investičných výdavkov v súlade s rozpočtom verejnej správy. </w:t>
      </w:r>
    </w:p>
    <w:p w14:paraId="40257102" w14:textId="77777777" w:rsidR="0005066C" w:rsidRPr="002014D7" w:rsidRDefault="0005066C" w:rsidP="00152128">
      <w:pPr>
        <w:spacing w:before="240" w:after="120"/>
        <w:jc w:val="both"/>
        <w:rPr>
          <w:b/>
          <w:color w:val="2C9ADC" w:themeColor="accent1"/>
        </w:rPr>
      </w:pPr>
      <w:r w:rsidRPr="002014D7">
        <w:rPr>
          <w:b/>
          <w:color w:val="2C9ADC" w:themeColor="accent1"/>
        </w:rPr>
        <w:t>Výsledky</w:t>
      </w:r>
    </w:p>
    <w:p w14:paraId="5C463C32" w14:textId="77777777" w:rsidR="003C0B41" w:rsidRPr="003C0B41" w:rsidRDefault="003C0B41" w:rsidP="003C0B41">
      <w:pPr>
        <w:spacing w:before="240" w:after="120"/>
        <w:jc w:val="both"/>
      </w:pPr>
      <w:r w:rsidRPr="003C0B41">
        <w:t xml:space="preserve">Základným cieľom obrannej politiky SR je zachovanie zvrchovanosti, územnej celistvosti a nedotknuteľnosti hraníc, ktoré sú nevyhnutnou podmienkou na zachovanie bezpečnosti štátu a jeho obyvateľov. Obranná stratégia SR vyzýva na strategickú adaptáciu obrany štátu v zhoršenom bezpečnostnom prostredí prostredníctvom zvyšovania vlastnej obranyschopnosti a prispievania k zvyšovaniu akcieschopnosti NATO a EÚ v oblasti obrany. </w:t>
      </w:r>
    </w:p>
    <w:p w14:paraId="0D802AFA" w14:textId="77777777" w:rsidR="003C0B41" w:rsidRPr="003C0B41" w:rsidRDefault="003C0B41" w:rsidP="003C0B41">
      <w:pPr>
        <w:spacing w:before="240" w:after="120"/>
        <w:jc w:val="both"/>
      </w:pPr>
      <w:r w:rsidRPr="003C0B41">
        <w:t>Podľa Bielej knihy o obrane SR bude hlavným cieľom úspechu Ozbrojených síl SR (OS SR) nárast ich bojových spôsobilostí. K dosiahnutiu cieľa prispeje plnenie ukazovateľov, z ktorých medzi hlavné patria operačná pripravenosť OS SR, nasaditeľnosť a udržateľnosť pozemných a vzdušných síl a počet vojakov nasadených v operáciách medzinárodného krízového manažmentu. Revízia navrhne ďalšie ukazovatele, ktoré budú lepšie informovať o výsledkoch rezortu.</w:t>
      </w:r>
    </w:p>
    <w:p w14:paraId="041FDADA" w14:textId="77777777" w:rsidR="002014D7" w:rsidRDefault="002014D7" w:rsidP="002014D7">
      <w:pPr>
        <w:jc w:val="both"/>
      </w:pPr>
    </w:p>
    <w:p w14:paraId="44D9A398" w14:textId="6366068E" w:rsidR="0005066C" w:rsidRPr="002014D7" w:rsidRDefault="002014D7" w:rsidP="0005066C">
      <w:pPr>
        <w:pStyle w:val="Popis"/>
        <w:spacing w:after="0"/>
        <w:rPr>
          <w:sz w:val="20"/>
        </w:rPr>
      </w:pPr>
      <w:bookmarkStart w:id="295" w:name="_Toc6314242"/>
      <w:r w:rsidRPr="002014D7">
        <w:rPr>
          <w:rFonts w:eastAsiaTheme="minorHAnsi"/>
          <w:color w:val="2C9ADC"/>
          <w:sz w:val="20"/>
          <w:szCs w:val="20"/>
          <w:lang w:eastAsia="en-US"/>
        </w:rPr>
        <w:t xml:space="preserve">TABUĽKA </w:t>
      </w:r>
      <w:r w:rsidRPr="002014D7">
        <w:rPr>
          <w:rFonts w:eastAsiaTheme="minorHAnsi"/>
          <w:color w:val="2C9ADC"/>
          <w:sz w:val="20"/>
          <w:szCs w:val="20"/>
          <w:lang w:eastAsia="en-US"/>
        </w:rPr>
        <w:fldChar w:fldCharType="begin"/>
      </w:r>
      <w:r w:rsidRPr="002014D7">
        <w:rPr>
          <w:rFonts w:eastAsiaTheme="minorHAnsi"/>
          <w:color w:val="2C9ADC"/>
          <w:sz w:val="20"/>
          <w:szCs w:val="20"/>
          <w:lang w:eastAsia="en-US"/>
        </w:rPr>
        <w:instrText xml:space="preserve"> SEQ TABUĽKA \* ARABIC </w:instrText>
      </w:r>
      <w:r w:rsidRPr="002014D7">
        <w:rPr>
          <w:rFonts w:eastAsiaTheme="minorHAnsi"/>
          <w:color w:val="2C9ADC"/>
          <w:sz w:val="20"/>
          <w:szCs w:val="20"/>
          <w:lang w:eastAsia="en-US"/>
        </w:rPr>
        <w:fldChar w:fldCharType="separate"/>
      </w:r>
      <w:r w:rsidR="00D5739E">
        <w:rPr>
          <w:rFonts w:eastAsiaTheme="minorHAnsi"/>
          <w:noProof/>
          <w:color w:val="2C9ADC"/>
          <w:sz w:val="20"/>
          <w:szCs w:val="20"/>
          <w:lang w:eastAsia="en-US"/>
        </w:rPr>
        <w:t>43</w:t>
      </w:r>
      <w:r w:rsidRPr="002014D7">
        <w:rPr>
          <w:rFonts w:eastAsiaTheme="minorHAnsi"/>
          <w:color w:val="2C9ADC"/>
          <w:sz w:val="20"/>
          <w:szCs w:val="20"/>
          <w:lang w:eastAsia="en-US"/>
        </w:rPr>
        <w:fldChar w:fldCharType="end"/>
      </w:r>
      <w:r w:rsidRPr="002014D7">
        <w:rPr>
          <w:rFonts w:eastAsiaTheme="minorHAnsi"/>
          <w:color w:val="2C9ADC"/>
          <w:sz w:val="20"/>
          <w:szCs w:val="20"/>
          <w:lang w:eastAsia="en-US"/>
        </w:rPr>
        <w:t xml:space="preserve"> -</w:t>
      </w:r>
      <w:r w:rsidR="0005066C" w:rsidRPr="002014D7">
        <w:rPr>
          <w:sz w:val="20"/>
        </w:rPr>
        <w:t xml:space="preserve"> Výdavky na obranu</w:t>
      </w:r>
      <w:bookmarkEnd w:id="295"/>
    </w:p>
    <w:tbl>
      <w:tblPr>
        <w:tblpPr w:leftFromText="142" w:rightFromText="142" w:vertAnchor="text" w:horzAnchor="margin" w:tblpY="1"/>
        <w:tblOverlap w:val="never"/>
        <w:tblW w:w="9072" w:type="dxa"/>
        <w:tblLayout w:type="fixed"/>
        <w:tblCellMar>
          <w:left w:w="0" w:type="dxa"/>
          <w:right w:w="0" w:type="dxa"/>
        </w:tblCellMar>
        <w:tblLook w:val="04A0" w:firstRow="1" w:lastRow="0" w:firstColumn="1" w:lastColumn="0" w:noHBand="0" w:noVBand="1"/>
      </w:tblPr>
      <w:tblGrid>
        <w:gridCol w:w="2694"/>
        <w:gridCol w:w="567"/>
        <w:gridCol w:w="484"/>
        <w:gridCol w:w="484"/>
        <w:gridCol w:w="484"/>
        <w:gridCol w:w="485"/>
        <w:gridCol w:w="484"/>
        <w:gridCol w:w="484"/>
        <w:gridCol w:w="484"/>
        <w:gridCol w:w="485"/>
        <w:gridCol w:w="484"/>
        <w:gridCol w:w="484"/>
        <w:gridCol w:w="484"/>
        <w:gridCol w:w="485"/>
      </w:tblGrid>
      <w:tr w:rsidR="0005066C" w:rsidRPr="00C85548" w14:paraId="53913644" w14:textId="77777777" w:rsidTr="004F1515">
        <w:trPr>
          <w:trHeight w:val="281"/>
        </w:trPr>
        <w:tc>
          <w:tcPr>
            <w:tcW w:w="269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C65D788" w14:textId="77777777" w:rsidR="0005066C" w:rsidRPr="00C85548" w:rsidRDefault="0005066C" w:rsidP="004F1515">
            <w:pPr>
              <w:keepNext/>
              <w:rPr>
                <w:rFonts w:cs="Times New Roman"/>
                <w:b/>
                <w:bCs/>
                <w:sz w:val="18"/>
                <w:szCs w:val="18"/>
              </w:rPr>
            </w:pPr>
          </w:p>
        </w:tc>
        <w:tc>
          <w:tcPr>
            <w:tcW w:w="56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A0A6A07" w14:textId="77777777" w:rsidR="0005066C" w:rsidRPr="00C85548" w:rsidRDefault="0005066C" w:rsidP="004F1515">
            <w:pPr>
              <w:keepNext/>
              <w:jc w:val="center"/>
              <w:rPr>
                <w:rFonts w:cs="Times New Roman"/>
                <w:b/>
                <w:bCs/>
                <w:sz w:val="18"/>
                <w:szCs w:val="18"/>
              </w:rPr>
            </w:pPr>
          </w:p>
        </w:tc>
        <w:tc>
          <w:tcPr>
            <w:tcW w:w="484" w:type="dxa"/>
            <w:tcBorders>
              <w:top w:val="single" w:sz="4" w:space="0" w:color="auto"/>
              <w:left w:val="nil"/>
              <w:bottom w:val="single" w:sz="4" w:space="0" w:color="auto"/>
              <w:right w:val="nil"/>
            </w:tcBorders>
            <w:vAlign w:val="center"/>
          </w:tcPr>
          <w:p w14:paraId="1C925E7E"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Cieľ</w:t>
            </w:r>
          </w:p>
        </w:tc>
        <w:tc>
          <w:tcPr>
            <w:tcW w:w="48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63FDA58"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2011</w:t>
            </w:r>
          </w:p>
        </w:tc>
        <w:tc>
          <w:tcPr>
            <w:tcW w:w="48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AA84240"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2012</w:t>
            </w:r>
          </w:p>
        </w:tc>
        <w:tc>
          <w:tcPr>
            <w:tcW w:w="48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4027AC0"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2013</w:t>
            </w:r>
          </w:p>
        </w:tc>
        <w:tc>
          <w:tcPr>
            <w:tcW w:w="48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E2BE7FF"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2014</w:t>
            </w:r>
          </w:p>
        </w:tc>
        <w:tc>
          <w:tcPr>
            <w:tcW w:w="48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5701014"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2015</w:t>
            </w:r>
          </w:p>
        </w:tc>
        <w:tc>
          <w:tcPr>
            <w:tcW w:w="48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725C56D"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2016</w:t>
            </w:r>
          </w:p>
        </w:tc>
        <w:tc>
          <w:tcPr>
            <w:tcW w:w="485" w:type="dxa"/>
            <w:tcBorders>
              <w:top w:val="single" w:sz="4" w:space="0" w:color="auto"/>
              <w:left w:val="nil"/>
              <w:bottom w:val="single" w:sz="4" w:space="0" w:color="auto"/>
              <w:right w:val="nil"/>
            </w:tcBorders>
            <w:vAlign w:val="center"/>
          </w:tcPr>
          <w:p w14:paraId="0F13D199"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2017</w:t>
            </w:r>
          </w:p>
        </w:tc>
        <w:tc>
          <w:tcPr>
            <w:tcW w:w="484" w:type="dxa"/>
            <w:tcBorders>
              <w:top w:val="single" w:sz="4" w:space="0" w:color="auto"/>
              <w:left w:val="nil"/>
              <w:bottom w:val="single" w:sz="4" w:space="0" w:color="auto"/>
              <w:right w:val="nil"/>
            </w:tcBorders>
            <w:vAlign w:val="center"/>
          </w:tcPr>
          <w:p w14:paraId="065C9CBF"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2018</w:t>
            </w:r>
          </w:p>
        </w:tc>
        <w:tc>
          <w:tcPr>
            <w:tcW w:w="484" w:type="dxa"/>
            <w:tcBorders>
              <w:top w:val="single" w:sz="4" w:space="0" w:color="auto"/>
              <w:left w:val="nil"/>
              <w:bottom w:val="single" w:sz="4" w:space="0" w:color="auto"/>
              <w:right w:val="nil"/>
            </w:tcBorders>
            <w:vAlign w:val="center"/>
          </w:tcPr>
          <w:p w14:paraId="29F60DC6" w14:textId="77777777" w:rsidR="0005066C" w:rsidRPr="00C85548" w:rsidRDefault="0005066C" w:rsidP="004F1515">
            <w:pPr>
              <w:keepNext/>
              <w:jc w:val="center"/>
              <w:rPr>
                <w:rFonts w:cs="Times New Roman"/>
                <w:b/>
                <w:bCs/>
                <w:sz w:val="18"/>
                <w:szCs w:val="18"/>
              </w:rPr>
            </w:pPr>
            <w:r>
              <w:rPr>
                <w:rFonts w:cs="Times New Roman"/>
                <w:b/>
                <w:bCs/>
                <w:sz w:val="18"/>
                <w:szCs w:val="18"/>
              </w:rPr>
              <w:t>2019</w:t>
            </w:r>
          </w:p>
        </w:tc>
        <w:tc>
          <w:tcPr>
            <w:tcW w:w="484" w:type="dxa"/>
            <w:tcBorders>
              <w:top w:val="single" w:sz="4" w:space="0" w:color="auto"/>
              <w:left w:val="nil"/>
              <w:bottom w:val="single" w:sz="4" w:space="0" w:color="auto"/>
              <w:right w:val="nil"/>
            </w:tcBorders>
            <w:vAlign w:val="center"/>
          </w:tcPr>
          <w:p w14:paraId="5F7B3C38" w14:textId="77777777" w:rsidR="0005066C" w:rsidRPr="00C85548" w:rsidRDefault="0005066C" w:rsidP="004F1515">
            <w:pPr>
              <w:keepNext/>
              <w:jc w:val="center"/>
              <w:rPr>
                <w:rFonts w:cs="Times New Roman"/>
                <w:b/>
                <w:bCs/>
                <w:sz w:val="18"/>
                <w:szCs w:val="18"/>
              </w:rPr>
            </w:pPr>
            <w:r>
              <w:rPr>
                <w:rFonts w:cs="Times New Roman"/>
                <w:b/>
                <w:bCs/>
                <w:sz w:val="18"/>
                <w:szCs w:val="18"/>
              </w:rPr>
              <w:t>2020</w:t>
            </w:r>
          </w:p>
        </w:tc>
        <w:tc>
          <w:tcPr>
            <w:tcW w:w="485" w:type="dxa"/>
            <w:tcBorders>
              <w:top w:val="single" w:sz="4" w:space="0" w:color="auto"/>
              <w:left w:val="nil"/>
              <w:bottom w:val="single" w:sz="4" w:space="0" w:color="auto"/>
              <w:right w:val="nil"/>
            </w:tcBorders>
            <w:vAlign w:val="center"/>
          </w:tcPr>
          <w:p w14:paraId="15C221A3" w14:textId="77777777" w:rsidR="0005066C" w:rsidRPr="00C85548" w:rsidRDefault="0005066C" w:rsidP="004F1515">
            <w:pPr>
              <w:keepNext/>
              <w:jc w:val="center"/>
              <w:rPr>
                <w:rFonts w:cs="Times New Roman"/>
                <w:b/>
                <w:bCs/>
                <w:sz w:val="18"/>
                <w:szCs w:val="18"/>
              </w:rPr>
            </w:pPr>
            <w:r>
              <w:rPr>
                <w:rFonts w:cs="Times New Roman"/>
                <w:b/>
                <w:bCs/>
                <w:sz w:val="18"/>
                <w:szCs w:val="18"/>
              </w:rPr>
              <w:t>2021</w:t>
            </w:r>
          </w:p>
        </w:tc>
      </w:tr>
      <w:tr w:rsidR="0005066C" w:rsidRPr="00C85548" w14:paraId="7B69F8E7" w14:textId="77777777" w:rsidTr="004F1515">
        <w:trPr>
          <w:trHeight w:val="52"/>
        </w:trPr>
        <w:tc>
          <w:tcPr>
            <w:tcW w:w="2694" w:type="dxa"/>
            <w:tcBorders>
              <w:top w:val="nil"/>
              <w:left w:val="nil"/>
              <w:right w:val="nil"/>
            </w:tcBorders>
            <w:shd w:val="clear" w:color="000000" w:fill="FFFFFF"/>
            <w:noWrap/>
            <w:tcMar>
              <w:top w:w="15" w:type="dxa"/>
              <w:left w:w="15" w:type="dxa"/>
              <w:bottom w:w="0" w:type="dxa"/>
              <w:right w:w="15" w:type="dxa"/>
            </w:tcMar>
            <w:vAlign w:val="center"/>
          </w:tcPr>
          <w:p w14:paraId="04DBB68F" w14:textId="77777777" w:rsidR="0005066C" w:rsidRPr="00C85548" w:rsidRDefault="0005066C" w:rsidP="004F1515">
            <w:pPr>
              <w:keepNext/>
              <w:rPr>
                <w:b/>
                <w:bCs/>
                <w:sz w:val="18"/>
                <w:szCs w:val="18"/>
              </w:rPr>
            </w:pPr>
            <w:r w:rsidRPr="00C85548">
              <w:rPr>
                <w:b/>
                <w:bCs/>
                <w:sz w:val="18"/>
                <w:szCs w:val="18"/>
              </w:rPr>
              <w:t>Podiel obranných výdavkov na HDP</w:t>
            </w:r>
          </w:p>
        </w:tc>
        <w:tc>
          <w:tcPr>
            <w:tcW w:w="567" w:type="dxa"/>
            <w:tcBorders>
              <w:top w:val="nil"/>
              <w:left w:val="nil"/>
              <w:right w:val="nil"/>
            </w:tcBorders>
            <w:shd w:val="clear" w:color="000000" w:fill="FFFFFF"/>
            <w:noWrap/>
            <w:tcMar>
              <w:top w:w="15" w:type="dxa"/>
              <w:left w:w="15" w:type="dxa"/>
              <w:bottom w:w="0" w:type="dxa"/>
              <w:right w:w="15" w:type="dxa"/>
            </w:tcMar>
            <w:vAlign w:val="center"/>
          </w:tcPr>
          <w:p w14:paraId="7BF735FB"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SK</w:t>
            </w:r>
          </w:p>
        </w:tc>
        <w:tc>
          <w:tcPr>
            <w:tcW w:w="484" w:type="dxa"/>
            <w:tcBorders>
              <w:top w:val="nil"/>
              <w:left w:val="nil"/>
              <w:right w:val="nil"/>
            </w:tcBorders>
            <w:shd w:val="clear" w:color="000000" w:fill="FFFFFF"/>
            <w:vAlign w:val="center"/>
          </w:tcPr>
          <w:p w14:paraId="55DEDA90" w14:textId="77777777" w:rsidR="0005066C" w:rsidRPr="00C85548" w:rsidRDefault="0005066C" w:rsidP="004F1515">
            <w:pPr>
              <w:keepNext/>
              <w:jc w:val="center"/>
              <w:rPr>
                <w:sz w:val="18"/>
                <w:szCs w:val="18"/>
              </w:rPr>
            </w:pPr>
            <w:r w:rsidRPr="00C85548">
              <w:rPr>
                <w:sz w:val="18"/>
                <w:szCs w:val="18"/>
              </w:rPr>
              <w:t>2</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6173B43B" w14:textId="77777777" w:rsidR="0005066C" w:rsidRPr="00C85548" w:rsidRDefault="0005066C" w:rsidP="004F1515">
            <w:pPr>
              <w:keepNext/>
              <w:jc w:val="center"/>
              <w:rPr>
                <w:sz w:val="18"/>
                <w:szCs w:val="18"/>
              </w:rPr>
            </w:pPr>
            <w:r w:rsidRPr="00C85548">
              <w:rPr>
                <w:sz w:val="18"/>
                <w:szCs w:val="18"/>
              </w:rPr>
              <w:t>1,09</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2ED6272F" w14:textId="77777777" w:rsidR="0005066C" w:rsidRPr="00C85548" w:rsidRDefault="0005066C" w:rsidP="004F1515">
            <w:pPr>
              <w:keepNext/>
              <w:jc w:val="center"/>
              <w:rPr>
                <w:sz w:val="18"/>
                <w:szCs w:val="18"/>
              </w:rPr>
            </w:pPr>
            <w:r w:rsidRPr="00C85548">
              <w:rPr>
                <w:sz w:val="18"/>
                <w:szCs w:val="18"/>
              </w:rPr>
              <w:t>1,09</w:t>
            </w:r>
          </w:p>
        </w:tc>
        <w:tc>
          <w:tcPr>
            <w:tcW w:w="485" w:type="dxa"/>
            <w:tcBorders>
              <w:top w:val="nil"/>
              <w:left w:val="nil"/>
              <w:right w:val="nil"/>
            </w:tcBorders>
            <w:shd w:val="clear" w:color="000000" w:fill="FFFFFF"/>
            <w:tcMar>
              <w:top w:w="28" w:type="dxa"/>
              <w:left w:w="15" w:type="dxa"/>
              <w:bottom w:w="28" w:type="dxa"/>
              <w:right w:w="15" w:type="dxa"/>
            </w:tcMar>
            <w:vAlign w:val="center"/>
          </w:tcPr>
          <w:p w14:paraId="68A9F131" w14:textId="77777777" w:rsidR="0005066C" w:rsidRPr="00C85548" w:rsidRDefault="0005066C" w:rsidP="004F1515">
            <w:pPr>
              <w:keepNext/>
              <w:jc w:val="center"/>
              <w:rPr>
                <w:sz w:val="18"/>
                <w:szCs w:val="18"/>
              </w:rPr>
            </w:pPr>
            <w:r w:rsidRPr="00C85548">
              <w:rPr>
                <w:sz w:val="18"/>
                <w:szCs w:val="18"/>
              </w:rPr>
              <w:t>0,98</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5A96CAB4" w14:textId="77777777" w:rsidR="0005066C" w:rsidRPr="00C85548" w:rsidRDefault="0005066C" w:rsidP="004F1515">
            <w:pPr>
              <w:keepNext/>
              <w:jc w:val="center"/>
              <w:rPr>
                <w:sz w:val="18"/>
                <w:szCs w:val="18"/>
              </w:rPr>
            </w:pPr>
            <w:r w:rsidRPr="00C85548">
              <w:rPr>
                <w:sz w:val="18"/>
                <w:szCs w:val="18"/>
              </w:rPr>
              <w:t>0,99</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65EB366D" w14:textId="77777777" w:rsidR="0005066C" w:rsidRPr="00C85548" w:rsidRDefault="0005066C" w:rsidP="004F1515">
            <w:pPr>
              <w:keepNext/>
              <w:jc w:val="center"/>
              <w:rPr>
                <w:sz w:val="18"/>
                <w:szCs w:val="18"/>
              </w:rPr>
            </w:pPr>
            <w:r w:rsidRPr="00C85548">
              <w:rPr>
                <w:sz w:val="18"/>
                <w:szCs w:val="18"/>
              </w:rPr>
              <w:t>1,13</w:t>
            </w:r>
          </w:p>
        </w:tc>
        <w:tc>
          <w:tcPr>
            <w:tcW w:w="484" w:type="dxa"/>
            <w:tcBorders>
              <w:top w:val="nil"/>
              <w:left w:val="nil"/>
              <w:right w:val="nil"/>
            </w:tcBorders>
            <w:shd w:val="clear" w:color="000000" w:fill="FFFFFF"/>
            <w:tcMar>
              <w:top w:w="15" w:type="dxa"/>
              <w:left w:w="15" w:type="dxa"/>
              <w:bottom w:w="0" w:type="dxa"/>
              <w:right w:w="15" w:type="dxa"/>
            </w:tcMar>
            <w:vAlign w:val="center"/>
          </w:tcPr>
          <w:p w14:paraId="0B93E80A" w14:textId="77777777" w:rsidR="0005066C" w:rsidRPr="00C85548" w:rsidRDefault="0005066C" w:rsidP="004F1515">
            <w:pPr>
              <w:keepNext/>
              <w:jc w:val="center"/>
              <w:rPr>
                <w:sz w:val="18"/>
                <w:szCs w:val="18"/>
              </w:rPr>
            </w:pPr>
            <w:r w:rsidRPr="00C85548">
              <w:rPr>
                <w:sz w:val="18"/>
                <w:szCs w:val="18"/>
              </w:rPr>
              <w:t>1,12</w:t>
            </w:r>
          </w:p>
        </w:tc>
        <w:tc>
          <w:tcPr>
            <w:tcW w:w="485" w:type="dxa"/>
            <w:tcBorders>
              <w:top w:val="nil"/>
              <w:left w:val="nil"/>
              <w:right w:val="nil"/>
            </w:tcBorders>
            <w:shd w:val="clear" w:color="000000" w:fill="FFFFFF"/>
            <w:vAlign w:val="center"/>
          </w:tcPr>
          <w:p w14:paraId="44398573" w14:textId="77777777" w:rsidR="0005066C" w:rsidRPr="00C85548" w:rsidRDefault="0005066C" w:rsidP="004F1515">
            <w:pPr>
              <w:keepNext/>
              <w:jc w:val="center"/>
              <w:rPr>
                <w:sz w:val="18"/>
                <w:szCs w:val="18"/>
              </w:rPr>
            </w:pPr>
            <w:r w:rsidRPr="00C85548">
              <w:rPr>
                <w:sz w:val="18"/>
                <w:szCs w:val="18"/>
              </w:rPr>
              <w:t>1,10</w:t>
            </w:r>
          </w:p>
        </w:tc>
        <w:tc>
          <w:tcPr>
            <w:tcW w:w="484" w:type="dxa"/>
            <w:tcBorders>
              <w:top w:val="nil"/>
              <w:left w:val="nil"/>
              <w:right w:val="nil"/>
            </w:tcBorders>
            <w:shd w:val="clear" w:color="000000" w:fill="FFFFFF"/>
            <w:vAlign w:val="center"/>
          </w:tcPr>
          <w:p w14:paraId="6DC160FF" w14:textId="77777777" w:rsidR="0005066C" w:rsidRPr="00C85548" w:rsidRDefault="0005066C" w:rsidP="004F1515">
            <w:pPr>
              <w:keepNext/>
              <w:jc w:val="center"/>
              <w:rPr>
                <w:sz w:val="18"/>
                <w:szCs w:val="18"/>
              </w:rPr>
            </w:pPr>
            <w:r w:rsidRPr="00C85548">
              <w:rPr>
                <w:sz w:val="18"/>
                <w:szCs w:val="18"/>
              </w:rPr>
              <w:t>1,21*</w:t>
            </w:r>
          </w:p>
        </w:tc>
        <w:tc>
          <w:tcPr>
            <w:tcW w:w="484" w:type="dxa"/>
            <w:tcBorders>
              <w:top w:val="nil"/>
              <w:left w:val="nil"/>
              <w:right w:val="nil"/>
            </w:tcBorders>
            <w:shd w:val="clear" w:color="000000" w:fill="FFFFFF"/>
            <w:vAlign w:val="center"/>
          </w:tcPr>
          <w:p w14:paraId="2EB2F6C5" w14:textId="77777777" w:rsidR="0005066C" w:rsidRPr="00C85548" w:rsidRDefault="0005066C" w:rsidP="004F1515">
            <w:pPr>
              <w:keepNext/>
              <w:jc w:val="center"/>
              <w:rPr>
                <w:sz w:val="18"/>
                <w:szCs w:val="18"/>
              </w:rPr>
            </w:pPr>
            <w:r>
              <w:rPr>
                <w:sz w:val="18"/>
                <w:szCs w:val="18"/>
              </w:rPr>
              <w:t>1,73**</w:t>
            </w:r>
          </w:p>
        </w:tc>
        <w:tc>
          <w:tcPr>
            <w:tcW w:w="484" w:type="dxa"/>
            <w:tcBorders>
              <w:top w:val="nil"/>
              <w:left w:val="nil"/>
              <w:right w:val="nil"/>
            </w:tcBorders>
            <w:shd w:val="clear" w:color="000000" w:fill="FFFFFF"/>
            <w:vAlign w:val="center"/>
          </w:tcPr>
          <w:p w14:paraId="22B1BF35" w14:textId="77777777" w:rsidR="0005066C" w:rsidRPr="00C85548" w:rsidRDefault="0005066C" w:rsidP="004F1515">
            <w:pPr>
              <w:keepNext/>
              <w:jc w:val="center"/>
              <w:rPr>
                <w:sz w:val="18"/>
                <w:szCs w:val="18"/>
              </w:rPr>
            </w:pPr>
            <w:r>
              <w:rPr>
                <w:sz w:val="18"/>
                <w:szCs w:val="18"/>
              </w:rPr>
              <w:t>1,81**</w:t>
            </w:r>
          </w:p>
        </w:tc>
        <w:tc>
          <w:tcPr>
            <w:tcW w:w="485" w:type="dxa"/>
            <w:tcBorders>
              <w:top w:val="nil"/>
              <w:left w:val="nil"/>
              <w:right w:val="nil"/>
            </w:tcBorders>
            <w:shd w:val="clear" w:color="000000" w:fill="FFFFFF"/>
            <w:vAlign w:val="center"/>
          </w:tcPr>
          <w:p w14:paraId="18010D5A" w14:textId="77777777" w:rsidR="0005066C" w:rsidRPr="00C85548" w:rsidRDefault="0005066C" w:rsidP="004F1515">
            <w:pPr>
              <w:keepNext/>
              <w:jc w:val="center"/>
              <w:rPr>
                <w:sz w:val="18"/>
                <w:szCs w:val="18"/>
              </w:rPr>
            </w:pPr>
            <w:r>
              <w:rPr>
                <w:sz w:val="18"/>
                <w:szCs w:val="18"/>
              </w:rPr>
              <w:t>1,91**</w:t>
            </w:r>
          </w:p>
        </w:tc>
      </w:tr>
      <w:tr w:rsidR="0005066C" w:rsidRPr="00C85548" w14:paraId="4CDF0DE1" w14:textId="77777777" w:rsidTr="004F1515">
        <w:trPr>
          <w:trHeight w:val="52"/>
        </w:trPr>
        <w:tc>
          <w:tcPr>
            <w:tcW w:w="2694"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14:paraId="2B7EB380" w14:textId="77777777" w:rsidR="0005066C" w:rsidRPr="00C85548" w:rsidRDefault="0005066C" w:rsidP="004F1515">
            <w:pPr>
              <w:keepNext/>
              <w:rPr>
                <w:bCs/>
                <w:sz w:val="18"/>
                <w:szCs w:val="18"/>
              </w:rPr>
            </w:pPr>
            <w:r w:rsidRPr="00C85548">
              <w:rPr>
                <w:bCs/>
                <w:sz w:val="18"/>
                <w:szCs w:val="18"/>
              </w:rPr>
              <w:t>(v %, stále ceny 2010)</w:t>
            </w:r>
          </w:p>
        </w:tc>
        <w:tc>
          <w:tcPr>
            <w:tcW w:w="567"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14:paraId="36B8F976"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NATO</w:t>
            </w:r>
          </w:p>
        </w:tc>
        <w:tc>
          <w:tcPr>
            <w:tcW w:w="484" w:type="dxa"/>
            <w:tcBorders>
              <w:top w:val="nil"/>
              <w:left w:val="nil"/>
              <w:bottom w:val="single" w:sz="4" w:space="0" w:color="auto"/>
              <w:right w:val="nil"/>
            </w:tcBorders>
            <w:shd w:val="clear" w:color="000000" w:fill="FFFFFF"/>
            <w:vAlign w:val="center"/>
          </w:tcPr>
          <w:p w14:paraId="7146F40A" w14:textId="77777777" w:rsidR="0005066C" w:rsidRPr="00C85548" w:rsidRDefault="0005066C" w:rsidP="004F1515">
            <w:pPr>
              <w:keepNext/>
              <w:jc w:val="center"/>
              <w:rPr>
                <w:sz w:val="18"/>
                <w:szCs w:val="18"/>
              </w:rPr>
            </w:pPr>
            <w:r w:rsidRPr="00C85548">
              <w:rPr>
                <w:sz w:val="18"/>
                <w:szCs w:val="18"/>
              </w:rPr>
              <w:t>2</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4A0D0B1C" w14:textId="77777777" w:rsidR="0005066C" w:rsidRPr="00C85548" w:rsidRDefault="0005066C" w:rsidP="004F1515">
            <w:pPr>
              <w:keepNext/>
              <w:jc w:val="center"/>
              <w:rPr>
                <w:sz w:val="18"/>
                <w:szCs w:val="18"/>
              </w:rPr>
            </w:pPr>
            <w:r w:rsidRPr="00C85548">
              <w:rPr>
                <w:sz w:val="18"/>
                <w:szCs w:val="18"/>
              </w:rPr>
              <w:t>2,97</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7170052A" w14:textId="77777777" w:rsidR="0005066C" w:rsidRPr="00C85548" w:rsidRDefault="0005066C" w:rsidP="004F1515">
            <w:pPr>
              <w:keepNext/>
              <w:jc w:val="center"/>
              <w:rPr>
                <w:sz w:val="18"/>
                <w:szCs w:val="18"/>
              </w:rPr>
            </w:pPr>
            <w:r w:rsidRPr="00C85548">
              <w:rPr>
                <w:sz w:val="18"/>
                <w:szCs w:val="18"/>
              </w:rPr>
              <w:t>2,81</w:t>
            </w:r>
          </w:p>
        </w:tc>
        <w:tc>
          <w:tcPr>
            <w:tcW w:w="485"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71830DD9" w14:textId="77777777" w:rsidR="0005066C" w:rsidRPr="00C85548" w:rsidRDefault="0005066C" w:rsidP="004F1515">
            <w:pPr>
              <w:keepNext/>
              <w:jc w:val="center"/>
              <w:rPr>
                <w:sz w:val="18"/>
                <w:szCs w:val="18"/>
              </w:rPr>
            </w:pPr>
            <w:r w:rsidRPr="00C85548">
              <w:rPr>
                <w:sz w:val="18"/>
                <w:szCs w:val="18"/>
              </w:rPr>
              <w:t>2,64</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4BB725C2" w14:textId="77777777" w:rsidR="0005066C" w:rsidRPr="00C85548" w:rsidRDefault="0005066C" w:rsidP="004F1515">
            <w:pPr>
              <w:keepNext/>
              <w:jc w:val="center"/>
              <w:rPr>
                <w:sz w:val="18"/>
                <w:szCs w:val="18"/>
              </w:rPr>
            </w:pPr>
            <w:r w:rsidRPr="00C85548">
              <w:rPr>
                <w:sz w:val="18"/>
                <w:szCs w:val="18"/>
              </w:rPr>
              <w:t>2,48</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4C305AEB" w14:textId="77777777" w:rsidR="0005066C" w:rsidRPr="00C85548" w:rsidRDefault="0005066C" w:rsidP="004F1515">
            <w:pPr>
              <w:keepNext/>
              <w:jc w:val="center"/>
              <w:rPr>
                <w:sz w:val="18"/>
                <w:szCs w:val="18"/>
              </w:rPr>
            </w:pPr>
            <w:r w:rsidRPr="00C85548">
              <w:rPr>
                <w:sz w:val="18"/>
                <w:szCs w:val="18"/>
              </w:rPr>
              <w:t>2,39</w:t>
            </w:r>
          </w:p>
        </w:tc>
        <w:tc>
          <w:tcPr>
            <w:tcW w:w="484" w:type="dxa"/>
            <w:tcBorders>
              <w:top w:val="nil"/>
              <w:left w:val="nil"/>
              <w:bottom w:val="single" w:sz="4" w:space="0" w:color="auto"/>
              <w:right w:val="nil"/>
            </w:tcBorders>
            <w:shd w:val="clear" w:color="000000" w:fill="FFFFFF"/>
            <w:tcMar>
              <w:top w:w="15" w:type="dxa"/>
              <w:left w:w="15" w:type="dxa"/>
              <w:bottom w:w="0" w:type="dxa"/>
              <w:right w:w="15" w:type="dxa"/>
            </w:tcMar>
            <w:vAlign w:val="center"/>
          </w:tcPr>
          <w:p w14:paraId="761CC23C" w14:textId="77777777" w:rsidR="0005066C" w:rsidRPr="00C85548" w:rsidRDefault="0005066C" w:rsidP="004F1515">
            <w:pPr>
              <w:keepNext/>
              <w:jc w:val="center"/>
              <w:rPr>
                <w:sz w:val="18"/>
                <w:szCs w:val="18"/>
              </w:rPr>
            </w:pPr>
            <w:r w:rsidRPr="00C85548">
              <w:rPr>
                <w:sz w:val="18"/>
                <w:szCs w:val="18"/>
              </w:rPr>
              <w:t>2,39</w:t>
            </w:r>
          </w:p>
        </w:tc>
        <w:tc>
          <w:tcPr>
            <w:tcW w:w="485" w:type="dxa"/>
            <w:tcBorders>
              <w:top w:val="nil"/>
              <w:left w:val="nil"/>
              <w:bottom w:val="single" w:sz="4" w:space="0" w:color="auto"/>
              <w:right w:val="nil"/>
            </w:tcBorders>
            <w:shd w:val="clear" w:color="000000" w:fill="FFFFFF"/>
            <w:vAlign w:val="center"/>
          </w:tcPr>
          <w:p w14:paraId="485461F8" w14:textId="77777777" w:rsidR="0005066C" w:rsidRPr="00C85548" w:rsidRDefault="0005066C" w:rsidP="004F1515">
            <w:pPr>
              <w:keepNext/>
              <w:jc w:val="center"/>
              <w:rPr>
                <w:sz w:val="18"/>
                <w:szCs w:val="18"/>
              </w:rPr>
            </w:pPr>
            <w:r w:rsidRPr="00C85548">
              <w:rPr>
                <w:sz w:val="18"/>
                <w:szCs w:val="18"/>
              </w:rPr>
              <w:t>2,32</w:t>
            </w:r>
          </w:p>
        </w:tc>
        <w:tc>
          <w:tcPr>
            <w:tcW w:w="484" w:type="dxa"/>
            <w:tcBorders>
              <w:top w:val="nil"/>
              <w:left w:val="nil"/>
              <w:bottom w:val="single" w:sz="4" w:space="0" w:color="auto"/>
              <w:right w:val="nil"/>
            </w:tcBorders>
            <w:shd w:val="clear" w:color="000000" w:fill="FFFFFF"/>
            <w:vAlign w:val="center"/>
          </w:tcPr>
          <w:p w14:paraId="683F4FC4" w14:textId="77777777" w:rsidR="0005066C" w:rsidRPr="00C85548" w:rsidRDefault="0005066C" w:rsidP="004F1515">
            <w:pPr>
              <w:keepNext/>
              <w:jc w:val="center"/>
              <w:rPr>
                <w:sz w:val="18"/>
                <w:szCs w:val="18"/>
              </w:rPr>
            </w:pPr>
            <w:r w:rsidRPr="00C85548">
              <w:rPr>
                <w:sz w:val="18"/>
                <w:szCs w:val="18"/>
              </w:rPr>
              <w:t>2,36*</w:t>
            </w:r>
          </w:p>
        </w:tc>
        <w:tc>
          <w:tcPr>
            <w:tcW w:w="484" w:type="dxa"/>
            <w:tcBorders>
              <w:top w:val="nil"/>
              <w:left w:val="nil"/>
              <w:bottom w:val="single" w:sz="4" w:space="0" w:color="auto"/>
              <w:right w:val="nil"/>
            </w:tcBorders>
            <w:shd w:val="clear" w:color="000000" w:fill="FFFFFF"/>
          </w:tcPr>
          <w:p w14:paraId="5FE408E3" w14:textId="77777777" w:rsidR="0005066C" w:rsidRPr="00C85548" w:rsidRDefault="0005066C" w:rsidP="004F1515">
            <w:pPr>
              <w:keepNext/>
              <w:jc w:val="center"/>
              <w:rPr>
                <w:sz w:val="18"/>
                <w:szCs w:val="18"/>
              </w:rPr>
            </w:pPr>
          </w:p>
        </w:tc>
        <w:tc>
          <w:tcPr>
            <w:tcW w:w="484" w:type="dxa"/>
            <w:tcBorders>
              <w:top w:val="nil"/>
              <w:left w:val="nil"/>
              <w:bottom w:val="single" w:sz="4" w:space="0" w:color="auto"/>
              <w:right w:val="nil"/>
            </w:tcBorders>
            <w:shd w:val="clear" w:color="000000" w:fill="FFFFFF"/>
          </w:tcPr>
          <w:p w14:paraId="4A35E1E1" w14:textId="77777777" w:rsidR="0005066C" w:rsidRPr="00C85548" w:rsidRDefault="0005066C" w:rsidP="004F1515">
            <w:pPr>
              <w:keepNext/>
              <w:jc w:val="center"/>
              <w:rPr>
                <w:sz w:val="18"/>
                <w:szCs w:val="18"/>
              </w:rPr>
            </w:pPr>
          </w:p>
        </w:tc>
        <w:tc>
          <w:tcPr>
            <w:tcW w:w="485" w:type="dxa"/>
            <w:tcBorders>
              <w:top w:val="nil"/>
              <w:left w:val="nil"/>
              <w:bottom w:val="single" w:sz="4" w:space="0" w:color="auto"/>
              <w:right w:val="nil"/>
            </w:tcBorders>
            <w:shd w:val="clear" w:color="000000" w:fill="FFFFFF"/>
          </w:tcPr>
          <w:p w14:paraId="1027406B" w14:textId="77777777" w:rsidR="0005066C" w:rsidRPr="00C85548" w:rsidRDefault="0005066C" w:rsidP="004F1515">
            <w:pPr>
              <w:keepNext/>
              <w:jc w:val="center"/>
              <w:rPr>
                <w:sz w:val="18"/>
                <w:szCs w:val="18"/>
              </w:rPr>
            </w:pPr>
          </w:p>
        </w:tc>
      </w:tr>
      <w:tr w:rsidR="0005066C" w:rsidRPr="00C85548" w14:paraId="21E1E22D" w14:textId="77777777" w:rsidTr="004F1515">
        <w:trPr>
          <w:trHeight w:val="52"/>
        </w:trPr>
        <w:tc>
          <w:tcPr>
            <w:tcW w:w="2694" w:type="dxa"/>
            <w:tcBorders>
              <w:top w:val="nil"/>
              <w:left w:val="nil"/>
              <w:right w:val="nil"/>
            </w:tcBorders>
            <w:shd w:val="clear" w:color="000000" w:fill="FFFFFF"/>
            <w:noWrap/>
            <w:tcMar>
              <w:top w:w="15" w:type="dxa"/>
              <w:left w:w="15" w:type="dxa"/>
              <w:bottom w:w="0" w:type="dxa"/>
              <w:right w:w="15" w:type="dxa"/>
            </w:tcMar>
            <w:vAlign w:val="center"/>
          </w:tcPr>
          <w:p w14:paraId="242455BE" w14:textId="77777777" w:rsidR="0005066C" w:rsidRPr="00C85548" w:rsidRDefault="0005066C" w:rsidP="004F1515">
            <w:pPr>
              <w:keepNext/>
              <w:rPr>
                <w:b/>
                <w:bCs/>
                <w:sz w:val="18"/>
                <w:szCs w:val="18"/>
              </w:rPr>
            </w:pPr>
            <w:r w:rsidRPr="00C85548">
              <w:rPr>
                <w:b/>
                <w:bCs/>
                <w:sz w:val="18"/>
                <w:szCs w:val="18"/>
              </w:rPr>
              <w:t>Podiel hlavnej výzbroje a súvisiaceho výskumu na obranných výdavkoch</w:t>
            </w:r>
          </w:p>
        </w:tc>
        <w:tc>
          <w:tcPr>
            <w:tcW w:w="567" w:type="dxa"/>
            <w:tcBorders>
              <w:top w:val="nil"/>
              <w:left w:val="nil"/>
              <w:right w:val="nil"/>
            </w:tcBorders>
            <w:shd w:val="clear" w:color="000000" w:fill="FFFFFF"/>
            <w:noWrap/>
            <w:tcMar>
              <w:top w:w="15" w:type="dxa"/>
              <w:left w:w="15" w:type="dxa"/>
              <w:bottom w:w="0" w:type="dxa"/>
              <w:right w:w="15" w:type="dxa"/>
            </w:tcMar>
            <w:vAlign w:val="center"/>
          </w:tcPr>
          <w:p w14:paraId="20FA2E2C"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SK</w:t>
            </w:r>
          </w:p>
        </w:tc>
        <w:tc>
          <w:tcPr>
            <w:tcW w:w="484" w:type="dxa"/>
            <w:tcBorders>
              <w:top w:val="nil"/>
              <w:left w:val="nil"/>
              <w:right w:val="nil"/>
            </w:tcBorders>
            <w:shd w:val="clear" w:color="000000" w:fill="FFFFFF"/>
            <w:vAlign w:val="center"/>
          </w:tcPr>
          <w:p w14:paraId="38CA00C9" w14:textId="77777777" w:rsidR="0005066C" w:rsidRPr="00C85548" w:rsidRDefault="0005066C" w:rsidP="004F1515">
            <w:pPr>
              <w:keepNext/>
              <w:jc w:val="center"/>
              <w:rPr>
                <w:sz w:val="18"/>
                <w:szCs w:val="18"/>
              </w:rPr>
            </w:pPr>
            <w:r w:rsidRPr="00C85548">
              <w:rPr>
                <w:sz w:val="18"/>
                <w:szCs w:val="18"/>
              </w:rPr>
              <w:t>20</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388CFEB4" w14:textId="77777777" w:rsidR="0005066C" w:rsidRPr="00C85548" w:rsidRDefault="0005066C" w:rsidP="004F1515">
            <w:pPr>
              <w:keepNext/>
              <w:jc w:val="center"/>
              <w:rPr>
                <w:sz w:val="18"/>
                <w:szCs w:val="18"/>
              </w:rPr>
            </w:pPr>
            <w:r w:rsidRPr="00C85548">
              <w:rPr>
                <w:sz w:val="18"/>
                <w:szCs w:val="18"/>
              </w:rPr>
              <w:t>7,15</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14141782" w14:textId="77777777" w:rsidR="0005066C" w:rsidRPr="00C85548" w:rsidRDefault="0005066C" w:rsidP="004F1515">
            <w:pPr>
              <w:keepNext/>
              <w:jc w:val="center"/>
              <w:rPr>
                <w:sz w:val="18"/>
                <w:szCs w:val="18"/>
              </w:rPr>
            </w:pPr>
            <w:r w:rsidRPr="00C85548">
              <w:rPr>
                <w:sz w:val="18"/>
                <w:szCs w:val="18"/>
              </w:rPr>
              <w:t>9,56</w:t>
            </w:r>
          </w:p>
        </w:tc>
        <w:tc>
          <w:tcPr>
            <w:tcW w:w="485" w:type="dxa"/>
            <w:tcBorders>
              <w:top w:val="nil"/>
              <w:left w:val="nil"/>
              <w:right w:val="nil"/>
            </w:tcBorders>
            <w:shd w:val="clear" w:color="000000" w:fill="FFFFFF"/>
            <w:tcMar>
              <w:top w:w="28" w:type="dxa"/>
              <w:left w:w="15" w:type="dxa"/>
              <w:bottom w:w="28" w:type="dxa"/>
              <w:right w:w="15" w:type="dxa"/>
            </w:tcMar>
            <w:vAlign w:val="center"/>
          </w:tcPr>
          <w:p w14:paraId="61D6A114" w14:textId="77777777" w:rsidR="0005066C" w:rsidRPr="00C85548" w:rsidRDefault="0005066C" w:rsidP="004F1515">
            <w:pPr>
              <w:keepNext/>
              <w:jc w:val="center"/>
              <w:rPr>
                <w:sz w:val="18"/>
                <w:szCs w:val="18"/>
              </w:rPr>
            </w:pPr>
            <w:r w:rsidRPr="00C85548">
              <w:rPr>
                <w:sz w:val="18"/>
                <w:szCs w:val="18"/>
              </w:rPr>
              <w:t>7,39</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01EE67B8" w14:textId="77777777" w:rsidR="0005066C" w:rsidRPr="00C85548" w:rsidRDefault="0005066C" w:rsidP="004F1515">
            <w:pPr>
              <w:keepNext/>
              <w:jc w:val="center"/>
              <w:rPr>
                <w:sz w:val="18"/>
                <w:szCs w:val="18"/>
              </w:rPr>
            </w:pPr>
            <w:r w:rsidRPr="00C85548">
              <w:rPr>
                <w:sz w:val="18"/>
                <w:szCs w:val="18"/>
              </w:rPr>
              <w:t>11,12</w:t>
            </w:r>
          </w:p>
        </w:tc>
        <w:tc>
          <w:tcPr>
            <w:tcW w:w="484" w:type="dxa"/>
            <w:tcBorders>
              <w:top w:val="nil"/>
              <w:left w:val="nil"/>
              <w:right w:val="nil"/>
            </w:tcBorders>
            <w:shd w:val="clear" w:color="000000" w:fill="FFFFFF"/>
            <w:tcMar>
              <w:top w:w="28" w:type="dxa"/>
              <w:left w:w="15" w:type="dxa"/>
              <w:bottom w:w="28" w:type="dxa"/>
              <w:right w:w="15" w:type="dxa"/>
            </w:tcMar>
            <w:vAlign w:val="center"/>
          </w:tcPr>
          <w:p w14:paraId="320D9D17" w14:textId="77777777" w:rsidR="0005066C" w:rsidRPr="00C85548" w:rsidRDefault="0005066C" w:rsidP="004F1515">
            <w:pPr>
              <w:keepNext/>
              <w:jc w:val="center"/>
              <w:rPr>
                <w:sz w:val="18"/>
                <w:szCs w:val="18"/>
              </w:rPr>
            </w:pPr>
            <w:r w:rsidRPr="00C85548">
              <w:rPr>
                <w:sz w:val="18"/>
                <w:szCs w:val="18"/>
              </w:rPr>
              <w:t>18,28</w:t>
            </w:r>
          </w:p>
        </w:tc>
        <w:tc>
          <w:tcPr>
            <w:tcW w:w="484" w:type="dxa"/>
            <w:tcBorders>
              <w:top w:val="nil"/>
              <w:left w:val="nil"/>
              <w:right w:val="nil"/>
            </w:tcBorders>
            <w:shd w:val="clear" w:color="000000" w:fill="FFFFFF"/>
            <w:tcMar>
              <w:top w:w="15" w:type="dxa"/>
              <w:left w:w="15" w:type="dxa"/>
              <w:bottom w:w="0" w:type="dxa"/>
              <w:right w:w="15" w:type="dxa"/>
            </w:tcMar>
            <w:vAlign w:val="center"/>
          </w:tcPr>
          <w:p w14:paraId="4F504B61" w14:textId="77777777" w:rsidR="0005066C" w:rsidRPr="00C85548" w:rsidRDefault="0005066C" w:rsidP="004F1515">
            <w:pPr>
              <w:keepNext/>
              <w:jc w:val="center"/>
              <w:rPr>
                <w:sz w:val="18"/>
                <w:szCs w:val="18"/>
              </w:rPr>
            </w:pPr>
            <w:r w:rsidRPr="00C85548">
              <w:rPr>
                <w:sz w:val="18"/>
                <w:szCs w:val="18"/>
              </w:rPr>
              <w:t>15,32</w:t>
            </w:r>
          </w:p>
        </w:tc>
        <w:tc>
          <w:tcPr>
            <w:tcW w:w="485" w:type="dxa"/>
            <w:tcBorders>
              <w:top w:val="nil"/>
              <w:left w:val="nil"/>
              <w:right w:val="nil"/>
            </w:tcBorders>
            <w:shd w:val="clear" w:color="000000" w:fill="FFFFFF"/>
            <w:vAlign w:val="center"/>
          </w:tcPr>
          <w:p w14:paraId="5668B8C8" w14:textId="77777777" w:rsidR="0005066C" w:rsidRPr="00C85548" w:rsidRDefault="0005066C" w:rsidP="004F1515">
            <w:pPr>
              <w:keepNext/>
              <w:jc w:val="center"/>
              <w:rPr>
                <w:sz w:val="18"/>
                <w:szCs w:val="18"/>
              </w:rPr>
            </w:pPr>
            <w:r w:rsidRPr="00C85548">
              <w:rPr>
                <w:sz w:val="18"/>
                <w:szCs w:val="18"/>
              </w:rPr>
              <w:t>17,74</w:t>
            </w:r>
          </w:p>
        </w:tc>
        <w:tc>
          <w:tcPr>
            <w:tcW w:w="484" w:type="dxa"/>
            <w:tcBorders>
              <w:top w:val="nil"/>
              <w:left w:val="nil"/>
              <w:right w:val="nil"/>
            </w:tcBorders>
            <w:shd w:val="clear" w:color="000000" w:fill="FFFFFF"/>
            <w:vAlign w:val="center"/>
          </w:tcPr>
          <w:p w14:paraId="0A85A3C1" w14:textId="77777777" w:rsidR="0005066C" w:rsidRPr="00C85548" w:rsidRDefault="0005066C" w:rsidP="004F1515">
            <w:pPr>
              <w:keepNext/>
              <w:jc w:val="center"/>
              <w:rPr>
                <w:sz w:val="18"/>
                <w:szCs w:val="18"/>
              </w:rPr>
            </w:pPr>
            <w:r w:rsidRPr="00C85548">
              <w:rPr>
                <w:sz w:val="18"/>
                <w:szCs w:val="18"/>
              </w:rPr>
              <w:t>22,27*</w:t>
            </w:r>
          </w:p>
        </w:tc>
        <w:tc>
          <w:tcPr>
            <w:tcW w:w="484" w:type="dxa"/>
            <w:tcBorders>
              <w:top w:val="nil"/>
              <w:left w:val="nil"/>
              <w:right w:val="nil"/>
            </w:tcBorders>
            <w:shd w:val="clear" w:color="000000" w:fill="FFFFFF"/>
            <w:vAlign w:val="center"/>
          </w:tcPr>
          <w:p w14:paraId="43E7E773" w14:textId="77777777" w:rsidR="0005066C" w:rsidRPr="00C85548" w:rsidRDefault="0005066C" w:rsidP="004F1515">
            <w:pPr>
              <w:keepNext/>
              <w:jc w:val="center"/>
              <w:rPr>
                <w:sz w:val="18"/>
                <w:szCs w:val="18"/>
              </w:rPr>
            </w:pPr>
          </w:p>
        </w:tc>
        <w:tc>
          <w:tcPr>
            <w:tcW w:w="484" w:type="dxa"/>
            <w:tcBorders>
              <w:top w:val="nil"/>
              <w:left w:val="nil"/>
              <w:right w:val="nil"/>
            </w:tcBorders>
            <w:shd w:val="clear" w:color="000000" w:fill="FFFFFF"/>
            <w:vAlign w:val="center"/>
          </w:tcPr>
          <w:p w14:paraId="32A6F36E" w14:textId="77777777" w:rsidR="0005066C" w:rsidRPr="00C85548" w:rsidRDefault="0005066C" w:rsidP="004F1515">
            <w:pPr>
              <w:keepNext/>
              <w:jc w:val="center"/>
              <w:rPr>
                <w:sz w:val="18"/>
                <w:szCs w:val="18"/>
              </w:rPr>
            </w:pPr>
          </w:p>
        </w:tc>
        <w:tc>
          <w:tcPr>
            <w:tcW w:w="485" w:type="dxa"/>
            <w:tcBorders>
              <w:top w:val="nil"/>
              <w:left w:val="nil"/>
              <w:right w:val="nil"/>
            </w:tcBorders>
            <w:shd w:val="clear" w:color="000000" w:fill="FFFFFF"/>
            <w:vAlign w:val="center"/>
          </w:tcPr>
          <w:p w14:paraId="49D595D5" w14:textId="77777777" w:rsidR="0005066C" w:rsidRPr="00C85548" w:rsidRDefault="0005066C" w:rsidP="004F1515">
            <w:pPr>
              <w:keepNext/>
              <w:jc w:val="center"/>
              <w:rPr>
                <w:sz w:val="18"/>
                <w:szCs w:val="18"/>
              </w:rPr>
            </w:pPr>
          </w:p>
        </w:tc>
      </w:tr>
      <w:tr w:rsidR="0005066C" w:rsidRPr="00C85548" w14:paraId="7FC88417" w14:textId="77777777" w:rsidTr="004F1515">
        <w:trPr>
          <w:trHeight w:val="52"/>
        </w:trPr>
        <w:tc>
          <w:tcPr>
            <w:tcW w:w="2694"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14:paraId="71AE8AFF" w14:textId="77777777" w:rsidR="0005066C" w:rsidRPr="00C85548" w:rsidRDefault="0005066C" w:rsidP="004F1515">
            <w:pPr>
              <w:keepNext/>
              <w:rPr>
                <w:bCs/>
                <w:sz w:val="18"/>
                <w:szCs w:val="18"/>
              </w:rPr>
            </w:pPr>
            <w:r w:rsidRPr="00C85548">
              <w:rPr>
                <w:bCs/>
                <w:sz w:val="18"/>
                <w:szCs w:val="18"/>
              </w:rPr>
              <w:t>(v %, stále ceny 2010)</w:t>
            </w:r>
          </w:p>
        </w:tc>
        <w:tc>
          <w:tcPr>
            <w:tcW w:w="567"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14:paraId="501750BF" w14:textId="77777777" w:rsidR="0005066C" w:rsidRPr="00C85548" w:rsidRDefault="0005066C" w:rsidP="004F1515">
            <w:pPr>
              <w:keepNext/>
              <w:jc w:val="center"/>
              <w:rPr>
                <w:rFonts w:cs="Times New Roman"/>
                <w:b/>
                <w:bCs/>
                <w:sz w:val="18"/>
                <w:szCs w:val="18"/>
              </w:rPr>
            </w:pPr>
            <w:r w:rsidRPr="00C85548">
              <w:rPr>
                <w:rFonts w:cs="Times New Roman"/>
                <w:b/>
                <w:bCs/>
                <w:sz w:val="18"/>
                <w:szCs w:val="18"/>
              </w:rPr>
              <w:t>NATO</w:t>
            </w:r>
          </w:p>
        </w:tc>
        <w:tc>
          <w:tcPr>
            <w:tcW w:w="484" w:type="dxa"/>
            <w:tcBorders>
              <w:top w:val="nil"/>
              <w:left w:val="nil"/>
              <w:bottom w:val="single" w:sz="4" w:space="0" w:color="auto"/>
              <w:right w:val="nil"/>
            </w:tcBorders>
            <w:shd w:val="clear" w:color="000000" w:fill="FFFFFF"/>
            <w:vAlign w:val="center"/>
          </w:tcPr>
          <w:p w14:paraId="29818FD2" w14:textId="77777777" w:rsidR="0005066C" w:rsidRPr="00C85548" w:rsidRDefault="0005066C" w:rsidP="004F1515">
            <w:pPr>
              <w:keepNext/>
              <w:jc w:val="center"/>
              <w:rPr>
                <w:sz w:val="18"/>
                <w:szCs w:val="18"/>
              </w:rPr>
            </w:pPr>
            <w:r w:rsidRPr="00C85548">
              <w:rPr>
                <w:sz w:val="18"/>
                <w:szCs w:val="18"/>
              </w:rPr>
              <w:t>20</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6A773C5C" w14:textId="77777777" w:rsidR="0005066C" w:rsidRPr="00C85548" w:rsidRDefault="0005066C" w:rsidP="004F1515">
            <w:pPr>
              <w:keepNext/>
              <w:jc w:val="center"/>
              <w:rPr>
                <w:sz w:val="18"/>
                <w:szCs w:val="18"/>
              </w:rPr>
            </w:pPr>
            <w:r w:rsidRPr="00C85548">
              <w:rPr>
                <w:sz w:val="18"/>
                <w:szCs w:val="18"/>
              </w:rPr>
              <w:t>24,39</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7B5383CA" w14:textId="77777777" w:rsidR="0005066C" w:rsidRPr="00C85548" w:rsidRDefault="0005066C" w:rsidP="004F1515">
            <w:pPr>
              <w:keepNext/>
              <w:jc w:val="center"/>
              <w:rPr>
                <w:sz w:val="18"/>
                <w:szCs w:val="18"/>
              </w:rPr>
            </w:pPr>
            <w:r w:rsidRPr="00C85548">
              <w:rPr>
                <w:sz w:val="18"/>
                <w:szCs w:val="18"/>
              </w:rPr>
              <w:t>24,36</w:t>
            </w:r>
          </w:p>
        </w:tc>
        <w:tc>
          <w:tcPr>
            <w:tcW w:w="485"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4DF3CB93" w14:textId="77777777" w:rsidR="0005066C" w:rsidRPr="00C85548" w:rsidRDefault="0005066C" w:rsidP="004F1515">
            <w:pPr>
              <w:keepNext/>
              <w:jc w:val="center"/>
              <w:rPr>
                <w:sz w:val="18"/>
                <w:szCs w:val="18"/>
              </w:rPr>
            </w:pPr>
            <w:r w:rsidRPr="00C85548">
              <w:rPr>
                <w:sz w:val="18"/>
                <w:szCs w:val="18"/>
              </w:rPr>
              <w:t>23,50</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1CD5B586" w14:textId="77777777" w:rsidR="0005066C" w:rsidRPr="00C85548" w:rsidRDefault="0005066C" w:rsidP="004F1515">
            <w:pPr>
              <w:keepNext/>
              <w:jc w:val="center"/>
              <w:rPr>
                <w:sz w:val="18"/>
                <w:szCs w:val="18"/>
              </w:rPr>
            </w:pPr>
            <w:r w:rsidRPr="00C85548">
              <w:rPr>
                <w:sz w:val="18"/>
                <w:szCs w:val="18"/>
              </w:rPr>
              <w:t>23,39</w:t>
            </w:r>
          </w:p>
        </w:tc>
        <w:tc>
          <w:tcPr>
            <w:tcW w:w="484" w:type="dxa"/>
            <w:tcBorders>
              <w:top w:val="nil"/>
              <w:left w:val="nil"/>
              <w:bottom w:val="single" w:sz="4" w:space="0" w:color="auto"/>
              <w:right w:val="nil"/>
            </w:tcBorders>
            <w:shd w:val="clear" w:color="000000" w:fill="FFFFFF"/>
            <w:tcMar>
              <w:top w:w="28" w:type="dxa"/>
              <w:left w:w="15" w:type="dxa"/>
              <w:bottom w:w="28" w:type="dxa"/>
              <w:right w:w="15" w:type="dxa"/>
            </w:tcMar>
            <w:vAlign w:val="center"/>
          </w:tcPr>
          <w:p w14:paraId="4DA19777" w14:textId="77777777" w:rsidR="0005066C" w:rsidRPr="00C85548" w:rsidRDefault="0005066C" w:rsidP="004F1515">
            <w:pPr>
              <w:keepNext/>
              <w:jc w:val="center"/>
              <w:rPr>
                <w:sz w:val="18"/>
                <w:szCs w:val="18"/>
              </w:rPr>
            </w:pPr>
            <w:r w:rsidRPr="00C85548">
              <w:rPr>
                <w:sz w:val="18"/>
                <w:szCs w:val="18"/>
              </w:rPr>
              <w:t>23,00</w:t>
            </w:r>
          </w:p>
        </w:tc>
        <w:tc>
          <w:tcPr>
            <w:tcW w:w="484" w:type="dxa"/>
            <w:tcBorders>
              <w:top w:val="nil"/>
              <w:left w:val="nil"/>
              <w:bottom w:val="single" w:sz="4" w:space="0" w:color="auto"/>
              <w:right w:val="nil"/>
            </w:tcBorders>
            <w:shd w:val="clear" w:color="000000" w:fill="FFFFFF"/>
            <w:tcMar>
              <w:top w:w="15" w:type="dxa"/>
              <w:left w:w="15" w:type="dxa"/>
              <w:bottom w:w="0" w:type="dxa"/>
              <w:right w:w="15" w:type="dxa"/>
            </w:tcMar>
            <w:vAlign w:val="center"/>
          </w:tcPr>
          <w:p w14:paraId="4B3C9C80" w14:textId="77777777" w:rsidR="0005066C" w:rsidRPr="00C85548" w:rsidRDefault="0005066C" w:rsidP="004F1515">
            <w:pPr>
              <w:keepNext/>
              <w:jc w:val="center"/>
              <w:rPr>
                <w:sz w:val="18"/>
                <w:szCs w:val="18"/>
              </w:rPr>
            </w:pPr>
            <w:r w:rsidRPr="00C85548">
              <w:rPr>
                <w:sz w:val="18"/>
                <w:szCs w:val="18"/>
              </w:rPr>
              <w:t>22,77</w:t>
            </w:r>
          </w:p>
        </w:tc>
        <w:tc>
          <w:tcPr>
            <w:tcW w:w="485" w:type="dxa"/>
            <w:tcBorders>
              <w:top w:val="nil"/>
              <w:left w:val="nil"/>
              <w:bottom w:val="single" w:sz="4" w:space="0" w:color="auto"/>
              <w:right w:val="nil"/>
            </w:tcBorders>
            <w:shd w:val="clear" w:color="000000" w:fill="FFFFFF"/>
            <w:vAlign w:val="center"/>
          </w:tcPr>
          <w:p w14:paraId="6F4CC665" w14:textId="77777777" w:rsidR="0005066C" w:rsidRPr="00C85548" w:rsidRDefault="0005066C" w:rsidP="004F1515">
            <w:pPr>
              <w:keepNext/>
              <w:jc w:val="center"/>
              <w:rPr>
                <w:sz w:val="18"/>
                <w:szCs w:val="18"/>
                <w:highlight w:val="yellow"/>
              </w:rPr>
            </w:pPr>
            <w:r w:rsidRPr="00C85548">
              <w:rPr>
                <w:sz w:val="18"/>
                <w:szCs w:val="18"/>
              </w:rPr>
              <w:t>23,64</w:t>
            </w:r>
          </w:p>
        </w:tc>
        <w:tc>
          <w:tcPr>
            <w:tcW w:w="484" w:type="dxa"/>
            <w:tcBorders>
              <w:top w:val="nil"/>
              <w:left w:val="nil"/>
              <w:bottom w:val="single" w:sz="4" w:space="0" w:color="auto"/>
              <w:right w:val="nil"/>
            </w:tcBorders>
            <w:shd w:val="clear" w:color="000000" w:fill="FFFFFF"/>
            <w:vAlign w:val="center"/>
          </w:tcPr>
          <w:p w14:paraId="6F64001B" w14:textId="77777777" w:rsidR="0005066C" w:rsidRPr="00C85548" w:rsidRDefault="0005066C" w:rsidP="004F1515">
            <w:pPr>
              <w:keepNext/>
              <w:jc w:val="center"/>
              <w:rPr>
                <w:sz w:val="18"/>
                <w:szCs w:val="18"/>
                <w:highlight w:val="yellow"/>
              </w:rPr>
            </w:pPr>
            <w:r w:rsidRPr="00C85548">
              <w:rPr>
                <w:sz w:val="18"/>
                <w:szCs w:val="18"/>
              </w:rPr>
              <w:t>23,92*</w:t>
            </w:r>
          </w:p>
        </w:tc>
        <w:tc>
          <w:tcPr>
            <w:tcW w:w="484" w:type="dxa"/>
            <w:tcBorders>
              <w:top w:val="nil"/>
              <w:left w:val="nil"/>
              <w:bottom w:val="single" w:sz="4" w:space="0" w:color="auto"/>
              <w:right w:val="nil"/>
            </w:tcBorders>
            <w:shd w:val="clear" w:color="000000" w:fill="FFFFFF"/>
          </w:tcPr>
          <w:p w14:paraId="6A650FE8" w14:textId="77777777" w:rsidR="0005066C" w:rsidRPr="00C85548" w:rsidRDefault="0005066C" w:rsidP="004F1515">
            <w:pPr>
              <w:keepNext/>
              <w:jc w:val="center"/>
              <w:rPr>
                <w:sz w:val="18"/>
                <w:szCs w:val="18"/>
              </w:rPr>
            </w:pPr>
          </w:p>
        </w:tc>
        <w:tc>
          <w:tcPr>
            <w:tcW w:w="484" w:type="dxa"/>
            <w:tcBorders>
              <w:top w:val="nil"/>
              <w:left w:val="nil"/>
              <w:bottom w:val="single" w:sz="4" w:space="0" w:color="auto"/>
              <w:right w:val="nil"/>
            </w:tcBorders>
            <w:shd w:val="clear" w:color="000000" w:fill="FFFFFF"/>
          </w:tcPr>
          <w:p w14:paraId="42201A1D" w14:textId="77777777" w:rsidR="0005066C" w:rsidRPr="00C85548" w:rsidRDefault="0005066C" w:rsidP="004F1515">
            <w:pPr>
              <w:keepNext/>
              <w:jc w:val="center"/>
              <w:rPr>
                <w:sz w:val="18"/>
                <w:szCs w:val="18"/>
              </w:rPr>
            </w:pPr>
          </w:p>
        </w:tc>
        <w:tc>
          <w:tcPr>
            <w:tcW w:w="485" w:type="dxa"/>
            <w:tcBorders>
              <w:top w:val="nil"/>
              <w:left w:val="nil"/>
              <w:bottom w:val="single" w:sz="4" w:space="0" w:color="auto"/>
              <w:right w:val="nil"/>
            </w:tcBorders>
            <w:shd w:val="clear" w:color="000000" w:fill="FFFFFF"/>
          </w:tcPr>
          <w:p w14:paraId="6496946A" w14:textId="77777777" w:rsidR="0005066C" w:rsidRPr="00C85548" w:rsidRDefault="0005066C" w:rsidP="004F1515">
            <w:pPr>
              <w:keepNext/>
              <w:jc w:val="center"/>
              <w:rPr>
                <w:sz w:val="18"/>
                <w:szCs w:val="18"/>
              </w:rPr>
            </w:pPr>
          </w:p>
        </w:tc>
      </w:tr>
    </w:tbl>
    <w:tbl>
      <w:tblPr>
        <w:tblW w:w="5000" w:type="pct"/>
        <w:tblLayout w:type="fixed"/>
        <w:tblCellMar>
          <w:left w:w="70" w:type="dxa"/>
          <w:right w:w="70" w:type="dxa"/>
        </w:tblCellMar>
        <w:tblLook w:val="04A0" w:firstRow="1" w:lastRow="0" w:firstColumn="1" w:lastColumn="0" w:noHBand="0" w:noVBand="1"/>
      </w:tblPr>
      <w:tblGrid>
        <w:gridCol w:w="3686"/>
        <w:gridCol w:w="5384"/>
      </w:tblGrid>
      <w:tr w:rsidR="0005066C" w:rsidRPr="00C2270A" w14:paraId="139FEF7B" w14:textId="77777777" w:rsidTr="004F1515">
        <w:trPr>
          <w:trHeight w:val="255"/>
        </w:trPr>
        <w:tc>
          <w:tcPr>
            <w:tcW w:w="2032" w:type="pct"/>
            <w:tcBorders>
              <w:top w:val="nil"/>
              <w:left w:val="nil"/>
              <w:bottom w:val="nil"/>
              <w:right w:val="nil"/>
            </w:tcBorders>
            <w:shd w:val="clear" w:color="auto" w:fill="auto"/>
            <w:noWrap/>
            <w:vAlign w:val="bottom"/>
            <w:hideMark/>
          </w:tcPr>
          <w:p w14:paraId="4A80618A" w14:textId="77777777" w:rsidR="0005066C" w:rsidRPr="00191BE2" w:rsidRDefault="0005066C" w:rsidP="004F1515">
            <w:pPr>
              <w:rPr>
                <w:rFonts w:cs="Times New Roman"/>
                <w:i/>
                <w:iCs/>
                <w:color w:val="000000"/>
                <w:sz w:val="18"/>
                <w:szCs w:val="20"/>
              </w:rPr>
            </w:pPr>
            <w:r w:rsidRPr="00191BE2">
              <w:rPr>
                <w:rFonts w:cs="Times New Roman"/>
                <w:i/>
                <w:iCs/>
                <w:color w:val="000000"/>
                <w:sz w:val="18"/>
                <w:szCs w:val="20"/>
              </w:rPr>
              <w:t>* odhad</w:t>
            </w:r>
            <w:r>
              <w:rPr>
                <w:rFonts w:cs="Times New Roman"/>
                <w:i/>
                <w:iCs/>
                <w:color w:val="000000"/>
                <w:sz w:val="18"/>
                <w:szCs w:val="20"/>
              </w:rPr>
              <w:t xml:space="preserve"> ** údaje podľa RVS 2019-2021 </w:t>
            </w:r>
          </w:p>
        </w:tc>
        <w:tc>
          <w:tcPr>
            <w:tcW w:w="2968" w:type="pct"/>
            <w:tcBorders>
              <w:top w:val="nil"/>
              <w:left w:val="nil"/>
              <w:bottom w:val="nil"/>
              <w:right w:val="nil"/>
            </w:tcBorders>
            <w:shd w:val="clear" w:color="auto" w:fill="auto"/>
            <w:vAlign w:val="bottom"/>
          </w:tcPr>
          <w:p w14:paraId="3A2AB649" w14:textId="77777777" w:rsidR="0005066C" w:rsidRPr="00191BE2" w:rsidRDefault="0005066C" w:rsidP="004F1515">
            <w:pPr>
              <w:jc w:val="right"/>
              <w:rPr>
                <w:rFonts w:cs="Times New Roman"/>
                <w:i/>
                <w:iCs/>
                <w:color w:val="000000"/>
                <w:sz w:val="18"/>
                <w:szCs w:val="20"/>
              </w:rPr>
            </w:pPr>
            <w:r w:rsidRPr="000D00FC">
              <w:rPr>
                <w:rFonts w:cs="Times New Roman"/>
                <w:i/>
                <w:iCs/>
                <w:color w:val="000000"/>
                <w:sz w:val="18"/>
                <w:szCs w:val="20"/>
              </w:rPr>
              <w:t>Zdroj: NATO</w:t>
            </w:r>
            <w:r>
              <w:rPr>
                <w:rFonts w:cs="Times New Roman"/>
                <w:i/>
                <w:iCs/>
                <w:color w:val="000000"/>
                <w:sz w:val="18"/>
                <w:szCs w:val="20"/>
              </w:rPr>
              <w:t>, Rozpočet verejnej správy 2019-2021. Spracovanie: ÚHP</w:t>
            </w:r>
          </w:p>
        </w:tc>
      </w:tr>
    </w:tbl>
    <w:p w14:paraId="79B2F6CE" w14:textId="77777777" w:rsidR="0005066C" w:rsidRPr="002014D7" w:rsidRDefault="0005066C" w:rsidP="00152128">
      <w:pPr>
        <w:spacing w:before="240" w:after="120"/>
        <w:jc w:val="both"/>
        <w:rPr>
          <w:b/>
          <w:color w:val="2C9ADC" w:themeColor="accent1"/>
        </w:rPr>
      </w:pPr>
      <w:r w:rsidRPr="002014D7">
        <w:rPr>
          <w:b/>
          <w:color w:val="2C9ADC" w:themeColor="accent1"/>
        </w:rPr>
        <w:t>Fiškálne ciele a oblasti revízie</w:t>
      </w:r>
    </w:p>
    <w:p w14:paraId="09F2E04B" w14:textId="77777777" w:rsidR="003C0B41" w:rsidRPr="003C0B41" w:rsidRDefault="003C0B41" w:rsidP="003C0B41">
      <w:pPr>
        <w:spacing w:before="240" w:after="120"/>
        <w:jc w:val="both"/>
      </w:pPr>
      <w:r w:rsidRPr="003C0B41">
        <w:t>Úlohou revízie bude posúdenie výdavkov MO SR a s obranou súvisiacich medzirezortných programov</w:t>
      </w:r>
      <w:r w:rsidRPr="003C0B41">
        <w:rPr>
          <w:vertAlign w:val="superscript"/>
        </w:rPr>
        <w:footnoteReference w:id="89"/>
      </w:r>
      <w:r w:rsidRPr="003C0B41">
        <w:t xml:space="preserve"> s dôrazom na vyššiu efektívnosť plánovaných investícií a bežných výdavkov. Dôležitým predpokladom je súlad so schválenou úrovňou obranných výdavkov v pomere k HDP a záväzkami prijatými členskými krajinami NATO. Revízia navrhne opatrenia na zvýšenie efektívnosti výdavkov ich realokáciou. Prvým predpokladom je identifikácia úsporných opatrení. Na druhej strane, revízia ponúkne opatrenia na zlepšenie výsledkov rezortu. Revízia tiež zhodnotí plánované investície MO SR. </w:t>
      </w:r>
    </w:p>
    <w:p w14:paraId="45935751" w14:textId="77777777" w:rsidR="003C0B41" w:rsidRPr="003C0B41" w:rsidRDefault="003C0B41" w:rsidP="003C0B41">
      <w:pPr>
        <w:spacing w:before="240" w:after="120"/>
        <w:jc w:val="both"/>
      </w:pPr>
      <w:r w:rsidRPr="003C0B41">
        <w:t>Revízia preskúma efektívnosť všetkých výdavkov na obranu, t.j. Ministerstva obrany SR a OS SR a ich podriadených organizácií a súvisiacich medzirezortných programov. Zameria sa na posúdenie plánovaných investícií v rámci zvyšujúcich sa výdavkov na obranu aj na prevádzkové výdavky. Osobitný dôraz bude kladený na systém odmeňovania civilného a vojenského personálu MO SR.</w:t>
      </w:r>
    </w:p>
    <w:p w14:paraId="4B8DF1DD" w14:textId="77777777" w:rsidR="0005066C" w:rsidRPr="002014D7" w:rsidRDefault="0005066C" w:rsidP="00152128">
      <w:pPr>
        <w:spacing w:before="240" w:after="120"/>
        <w:jc w:val="both"/>
        <w:rPr>
          <w:b/>
          <w:color w:val="2C9ADC" w:themeColor="accent1"/>
        </w:rPr>
      </w:pPr>
      <w:r w:rsidRPr="002014D7">
        <w:rPr>
          <w:b/>
          <w:color w:val="2C9ADC" w:themeColor="accent1"/>
        </w:rPr>
        <w:t>Zodpovednosť a termíny</w:t>
      </w:r>
    </w:p>
    <w:p w14:paraId="4768385B" w14:textId="5E3791E4" w:rsidR="002014D7" w:rsidRDefault="003C0B41">
      <w:r w:rsidRPr="003C0B41">
        <w:t xml:space="preserve">Za záverečnú správu je zodpovedné MF SR, ktoré ju vypracuje v spolupráci s MO SR. Pre potreby vypracovania analýz sa MO SR a MF SR zaväzujú k súčinnosti pri včasnom poskytovaní kompletných a detailných údajov a informácií s osobitným zreteľom na citlivé a utajované informácie. Analytická fáza revízie začne v druhom polroku 2019, dovtedy bude prebiehať zber dát a konceptualizácia revízie. Revízia výdavkov bude vypracovaná a zverejnená do konca apríla 2020. </w:t>
      </w:r>
      <w:r w:rsidR="002014D7">
        <w:br w:type="page"/>
      </w:r>
    </w:p>
    <w:p w14:paraId="74A8FA35" w14:textId="25E91E21" w:rsidR="002014D7" w:rsidRPr="00684201" w:rsidRDefault="00236514" w:rsidP="00684201">
      <w:pPr>
        <w:pStyle w:val="Nadpis3"/>
        <w:spacing w:after="120"/>
        <w:rPr>
          <w:color w:val="2C9ADC" w:themeColor="accent1"/>
          <w:sz w:val="24"/>
          <w:szCs w:val="24"/>
        </w:rPr>
      </w:pPr>
      <w:bookmarkStart w:id="296" w:name="_Ref6313827"/>
      <w:r w:rsidRPr="00684201">
        <w:rPr>
          <w:color w:val="2C9ADC" w:themeColor="accent1"/>
          <w:sz w:val="24"/>
          <w:szCs w:val="24"/>
        </w:rPr>
        <w:t>Príloha 9</w:t>
      </w:r>
      <w:r w:rsidR="002014D7" w:rsidRPr="00684201">
        <w:rPr>
          <w:color w:val="2C9ADC" w:themeColor="accent1"/>
          <w:sz w:val="24"/>
          <w:szCs w:val="24"/>
        </w:rPr>
        <w:t xml:space="preserve"> - Mandát na revíziu výdavkov Ministerstva vnútra Slovenskej republiky</w:t>
      </w:r>
      <w:bookmarkEnd w:id="296"/>
    </w:p>
    <w:p w14:paraId="5E77C363" w14:textId="77777777" w:rsidR="00257D27" w:rsidRDefault="00257D27" w:rsidP="00E37246">
      <w:pPr>
        <w:jc w:val="both"/>
        <w:rPr>
          <w:b/>
        </w:rPr>
      </w:pPr>
      <w:r>
        <w:rPr>
          <w:b/>
        </w:rPr>
        <w:t xml:space="preserve">Efektívna a spoľahlivá verejná správa a bezpečnosť občanov sú hlavné činnosti Ministerstva vnútra Slovenskej republiky. Tieto činnosti vykonávajú úradníci, príslušníci policajného a hasičského a záchranného zboru. Revízia výdavkov ministerstva vnútra sa zameria na výdavky v hodnote 1,3 mld. eur (1,4 % HDP), ktorými sa zabezpečuje výkon verejnej správy, ochrana verejného poriadku, ochrana hraníc a záchrana života a zdravia. </w:t>
      </w:r>
    </w:p>
    <w:p w14:paraId="72FC128E" w14:textId="77777777" w:rsidR="002014D7" w:rsidRPr="002014D7" w:rsidRDefault="002014D7" w:rsidP="00152128">
      <w:pPr>
        <w:spacing w:before="240" w:after="120"/>
        <w:jc w:val="both"/>
        <w:rPr>
          <w:b/>
          <w:color w:val="2C9ADC" w:themeColor="accent1"/>
        </w:rPr>
      </w:pPr>
      <w:r w:rsidRPr="002014D7">
        <w:rPr>
          <w:b/>
          <w:color w:val="2C9ADC" w:themeColor="accent1"/>
        </w:rPr>
        <w:t xml:space="preserve">Výsledky </w:t>
      </w:r>
    </w:p>
    <w:p w14:paraId="490F8A61" w14:textId="77777777" w:rsidR="00257D27" w:rsidRPr="00257D27" w:rsidRDefault="00257D27" w:rsidP="00257D27">
      <w:pPr>
        <w:spacing w:before="240" w:after="120"/>
        <w:jc w:val="both"/>
      </w:pPr>
      <w:r w:rsidRPr="00257D27">
        <w:t xml:space="preserve">Ministerstvo vnútra Slovenskej republiky (MV SR) zabezpečuje agendu vnútornej správy prostredníctvom klientskych centier a okresných úradov. Cieľom MV SR v tejto oblasti je zabezpečovanie kvalitných a dostupných služieb verejnej správy pre občana. MV SR ďalej zabezpečuje bezpečnosť a ochranu verejného poriadku, ochranu hraníc a záchranu života a zdravia. Činnosti vykonávajú príslušníci Policajného zboru a Hasičského a záchranného zboru. </w:t>
      </w:r>
    </w:p>
    <w:p w14:paraId="743C8B98" w14:textId="77777777" w:rsidR="00257D27" w:rsidRPr="00257D27" w:rsidRDefault="00257D27" w:rsidP="00257D27">
      <w:pPr>
        <w:spacing w:before="240" w:after="120"/>
        <w:jc w:val="both"/>
      </w:pPr>
      <w:r w:rsidRPr="00257D27">
        <w:t>Revízia zanalyzuje výsledkové ukazovatele hlavných činnosti MV SR. Slovenskej polícii nedôveruje až 51 % populácie, priemer EÚ je 24 % (dáta Eurobarometra). V ďalších výsledkových ukazovateľoch ministerstva vnútra ako počet krádeží, úmyselných zabití alebo obetí dopravných nehôd je medzinárodné porovnanie priaznivejšie. Kvalita služieb vnútornej správy pre občanov bude hodnotená cez ukazovatele ako čas strávený na úradoch a potrebný počet návštev úradov ročne. Revízia navrhne ďalšie ukazovatele, ktoré budú lepšie informovať o výsledkoch rezortu.</w:t>
      </w:r>
    </w:p>
    <w:p w14:paraId="51C436AF" w14:textId="77777777" w:rsidR="00257D27" w:rsidRPr="00257D27" w:rsidRDefault="00257D27" w:rsidP="00257D27">
      <w:pPr>
        <w:spacing w:before="240" w:after="120"/>
        <w:jc w:val="both"/>
      </w:pPr>
      <w:r w:rsidRPr="00257D27">
        <w:t xml:space="preserve">Revízia výdavkov MV SR sa zameria na efektívne využívanie finančných zdrojov a zamestnanosti pri poskytovaní služieb verejnej správy občanom. Pri činnostiach zabezpečujúcich uniformovanými zamestnancami MV SR sa revízia výdavkov zameria na prehodnotenie vykonávaných činností, dosahované výsledky, počet príslušníkov a efektivitu vynakladaných finančných zdrojov. </w:t>
      </w:r>
    </w:p>
    <w:p w14:paraId="173FAE9E" w14:textId="77777777" w:rsidR="002014D7" w:rsidRPr="002014D7" w:rsidRDefault="002014D7" w:rsidP="00152128">
      <w:pPr>
        <w:spacing w:before="240" w:after="120"/>
        <w:jc w:val="both"/>
        <w:rPr>
          <w:b/>
          <w:color w:val="2C9ADC" w:themeColor="accent1"/>
        </w:rPr>
      </w:pPr>
      <w:r w:rsidRPr="002014D7">
        <w:rPr>
          <w:b/>
          <w:color w:val="2C9ADC" w:themeColor="accent1"/>
        </w:rPr>
        <w:t>Fiškálne ciele a oblasti revízie</w:t>
      </w:r>
    </w:p>
    <w:p w14:paraId="593BAAA5" w14:textId="77777777" w:rsidR="00257D27" w:rsidRPr="00257D27" w:rsidRDefault="00257D27" w:rsidP="00257D27">
      <w:pPr>
        <w:spacing w:before="240" w:after="120"/>
        <w:jc w:val="both"/>
      </w:pPr>
      <w:r w:rsidRPr="00257D27">
        <w:t xml:space="preserve">MV SR zabezpečuje svoju činnosť s rozpočtom 2,7 mld. eur, z ktorých 52 % smeruje na výkon verejnej správy, políciu a záchranné zložky. Revízia výdavkov bude analyzovať všetky výdavky MV SR okrem transferov na vzdelávanie (program Výchova a vzdelávanie mládeže). Zameria sa na dve hlavné činnosti MV SR - služby verejnej správy prostredníctvom okresných úradov a klientskych centier a na bezpečnosť a ochranu verejného poriadku a záchranu života a zdravia. </w:t>
      </w:r>
    </w:p>
    <w:p w14:paraId="610E6B22" w14:textId="77777777" w:rsidR="00257D27" w:rsidRPr="00257D27" w:rsidRDefault="00257D27" w:rsidP="00257D27">
      <w:pPr>
        <w:spacing w:before="240" w:after="120"/>
        <w:jc w:val="both"/>
      </w:pPr>
      <w:r w:rsidRPr="00257D27">
        <w:t xml:space="preserve">Úlohou revízie výdavkov MV SR je návrh opatrení zameraných na zlepšenie efektívnosti výdavkov. Prvým predpokladom je identifikácia úsporných opatrení. Na druhej strane, revízia ponúkne opatrenia na zlepšenie výsledkov rezortu. Revízia tiež zhodnotí plánované investície MV SR. </w:t>
      </w:r>
    </w:p>
    <w:p w14:paraId="0130E679" w14:textId="77777777" w:rsidR="00257D27" w:rsidRPr="00257D27" w:rsidRDefault="00257D27" w:rsidP="00257D27">
      <w:pPr>
        <w:spacing w:before="240" w:after="120"/>
        <w:jc w:val="both"/>
      </w:pPr>
      <w:r w:rsidRPr="00257D27">
        <w:t xml:space="preserve">Pri silových zložkách MV SR bude revízia klásť dôraz na efektivitu vynakladaných finančných zdrojov pri ochrane verejného poriadku a záchrany života a zdravia. Pozornosť bude smerovať aj na rozmiestnenie kapacít na území Slovenskej republiky s ohľadom na možnosti efektívneho zásahu príslušníkov policajného a hasičského zboru. Revízia si kladie za cieľ aj preskúmanie nákladovej a časovej efektívnosti správnych konaní vykonávaných policajným zborom. </w:t>
      </w:r>
    </w:p>
    <w:p w14:paraId="35AE3571" w14:textId="2B329713" w:rsidR="002014D7" w:rsidRDefault="00257D27" w:rsidP="002014D7">
      <w:pPr>
        <w:jc w:val="both"/>
      </w:pPr>
      <w:r w:rsidRPr="00257D27">
        <w:t>Na úseku verejnej správy sa revízia výdavkov zameria na inštitúcie v gescii MV SR, ktoré plnia prierezové úlohy verejnej správy. Okrem vyhodnotenia poskytovania služieb úradmi verejnej správy sa revízia výdavkov zameria aj na kompetencie jednotlivých zložiek, pričom cieľom by mala byť optimalizácia procesov v rámci verej</w:t>
      </w:r>
      <w:r w:rsidR="00E12695">
        <w:t>nej správy a spokojnosť občana.</w:t>
      </w:r>
      <w:r w:rsidR="002014D7">
        <w:br w:type="page"/>
      </w:r>
    </w:p>
    <w:tbl>
      <w:tblPr>
        <w:tblW w:w="9192" w:type="dxa"/>
        <w:tblCellMar>
          <w:left w:w="70" w:type="dxa"/>
          <w:right w:w="70" w:type="dxa"/>
        </w:tblCellMar>
        <w:tblLook w:val="04A0" w:firstRow="1" w:lastRow="0" w:firstColumn="1" w:lastColumn="0" w:noHBand="0" w:noVBand="1"/>
      </w:tblPr>
      <w:tblGrid>
        <w:gridCol w:w="4122"/>
        <w:gridCol w:w="1282"/>
        <w:gridCol w:w="946"/>
        <w:gridCol w:w="946"/>
        <w:gridCol w:w="946"/>
        <w:gridCol w:w="950"/>
      </w:tblGrid>
      <w:tr w:rsidR="002014D7" w:rsidRPr="002014D7" w14:paraId="2CD5F5CE" w14:textId="77777777" w:rsidTr="002E54AA">
        <w:trPr>
          <w:trHeight w:val="261"/>
        </w:trPr>
        <w:tc>
          <w:tcPr>
            <w:tcW w:w="9192" w:type="dxa"/>
            <w:gridSpan w:val="6"/>
            <w:tcBorders>
              <w:top w:val="nil"/>
              <w:left w:val="nil"/>
              <w:bottom w:val="single" w:sz="4" w:space="0" w:color="auto"/>
              <w:right w:val="nil"/>
            </w:tcBorders>
            <w:shd w:val="clear" w:color="auto" w:fill="auto"/>
            <w:noWrap/>
            <w:vAlign w:val="bottom"/>
            <w:hideMark/>
          </w:tcPr>
          <w:p w14:paraId="7744FE1F" w14:textId="487B3BF7" w:rsidR="002014D7" w:rsidRPr="002014D7" w:rsidRDefault="002014D7" w:rsidP="004F1515">
            <w:pPr>
              <w:rPr>
                <w:rFonts w:cs="Times New Roman"/>
                <w:b/>
                <w:color w:val="2C9ADC" w:themeColor="accent1"/>
                <w:sz w:val="20"/>
                <w:szCs w:val="20"/>
              </w:rPr>
            </w:pPr>
            <w:bookmarkStart w:id="297" w:name="_Toc6314243"/>
            <w:r w:rsidRPr="00392121">
              <w:rPr>
                <w:rFonts w:eastAsiaTheme="minorHAnsi"/>
                <w:b/>
                <w:color w:val="2C9ADC"/>
                <w:sz w:val="20"/>
                <w:szCs w:val="20"/>
                <w:lang w:eastAsia="en-US"/>
              </w:rPr>
              <w:t xml:space="preserve">TABUĽKA </w:t>
            </w:r>
            <w:r w:rsidRPr="00392121">
              <w:rPr>
                <w:rFonts w:eastAsiaTheme="minorHAnsi"/>
                <w:b/>
                <w:color w:val="2C9ADC"/>
                <w:sz w:val="20"/>
                <w:szCs w:val="20"/>
                <w:lang w:eastAsia="en-US"/>
              </w:rPr>
              <w:fldChar w:fldCharType="begin"/>
            </w:r>
            <w:r w:rsidRPr="00392121">
              <w:rPr>
                <w:rFonts w:eastAsiaTheme="minorHAnsi"/>
                <w:b/>
                <w:color w:val="2C9ADC"/>
                <w:sz w:val="20"/>
                <w:szCs w:val="20"/>
                <w:lang w:eastAsia="en-US"/>
              </w:rPr>
              <w:instrText xml:space="preserve"> SEQ TABUĽKA \* ARABIC </w:instrText>
            </w:r>
            <w:r w:rsidRPr="00392121">
              <w:rPr>
                <w:rFonts w:eastAsiaTheme="minorHAnsi"/>
                <w:b/>
                <w:color w:val="2C9ADC"/>
                <w:sz w:val="20"/>
                <w:szCs w:val="20"/>
                <w:lang w:eastAsia="en-US"/>
              </w:rPr>
              <w:fldChar w:fldCharType="separate"/>
            </w:r>
            <w:r w:rsidR="00D5739E">
              <w:rPr>
                <w:rFonts w:eastAsiaTheme="minorHAnsi"/>
                <w:b/>
                <w:noProof/>
                <w:color w:val="2C9ADC"/>
                <w:sz w:val="20"/>
                <w:szCs w:val="20"/>
                <w:lang w:eastAsia="en-US"/>
              </w:rPr>
              <w:t>44</w:t>
            </w:r>
            <w:r w:rsidRPr="00392121">
              <w:rPr>
                <w:rFonts w:eastAsiaTheme="minorHAnsi"/>
                <w:b/>
                <w:color w:val="2C9ADC"/>
                <w:sz w:val="20"/>
                <w:szCs w:val="20"/>
                <w:lang w:eastAsia="en-US"/>
              </w:rPr>
              <w:fldChar w:fldCharType="end"/>
            </w:r>
            <w:r>
              <w:rPr>
                <w:rFonts w:eastAsiaTheme="minorHAnsi"/>
                <w:b/>
                <w:color w:val="2C9ADC"/>
                <w:sz w:val="20"/>
                <w:szCs w:val="20"/>
                <w:lang w:eastAsia="en-US"/>
              </w:rPr>
              <w:t xml:space="preserve"> - </w:t>
            </w:r>
            <w:r w:rsidRPr="002014D7">
              <w:rPr>
                <w:rFonts w:cs="Times New Roman"/>
                <w:b/>
                <w:color w:val="2C9ADC" w:themeColor="accent1"/>
                <w:sz w:val="20"/>
                <w:szCs w:val="20"/>
              </w:rPr>
              <w:t>Rozpočet MV SR okrem transferov na vzdelávanie</w:t>
            </w:r>
            <w:bookmarkEnd w:id="297"/>
          </w:p>
        </w:tc>
      </w:tr>
      <w:tr w:rsidR="002014D7" w:rsidRPr="002014D7" w14:paraId="4A7A7EEA" w14:textId="77777777" w:rsidTr="002E54AA">
        <w:trPr>
          <w:trHeight w:val="261"/>
        </w:trPr>
        <w:tc>
          <w:tcPr>
            <w:tcW w:w="4122" w:type="dxa"/>
            <w:tcBorders>
              <w:top w:val="nil"/>
              <w:left w:val="nil"/>
              <w:bottom w:val="single" w:sz="4" w:space="0" w:color="auto"/>
              <w:right w:val="nil"/>
            </w:tcBorders>
            <w:shd w:val="clear" w:color="auto" w:fill="auto"/>
            <w:noWrap/>
            <w:vAlign w:val="bottom"/>
            <w:hideMark/>
          </w:tcPr>
          <w:p w14:paraId="2743B422" w14:textId="77777777" w:rsidR="002014D7" w:rsidRPr="002014D7" w:rsidRDefault="002014D7" w:rsidP="004F1515">
            <w:pPr>
              <w:rPr>
                <w:rFonts w:cs="Times New Roman"/>
                <w:color w:val="000000"/>
                <w:sz w:val="20"/>
                <w:szCs w:val="20"/>
              </w:rPr>
            </w:pPr>
            <w:r w:rsidRPr="002014D7">
              <w:rPr>
                <w:rFonts w:cs="Times New Roman"/>
                <w:color w:val="000000"/>
                <w:sz w:val="20"/>
                <w:szCs w:val="20"/>
              </w:rPr>
              <w:t> </w:t>
            </w:r>
          </w:p>
        </w:tc>
        <w:tc>
          <w:tcPr>
            <w:tcW w:w="1282" w:type="dxa"/>
            <w:tcBorders>
              <w:top w:val="nil"/>
              <w:left w:val="nil"/>
              <w:bottom w:val="single" w:sz="4" w:space="0" w:color="auto"/>
              <w:right w:val="nil"/>
            </w:tcBorders>
            <w:shd w:val="clear" w:color="auto" w:fill="auto"/>
            <w:noWrap/>
            <w:vAlign w:val="bottom"/>
            <w:hideMark/>
          </w:tcPr>
          <w:p w14:paraId="6B623D16"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2017</w:t>
            </w:r>
          </w:p>
        </w:tc>
        <w:tc>
          <w:tcPr>
            <w:tcW w:w="946" w:type="dxa"/>
            <w:tcBorders>
              <w:top w:val="nil"/>
              <w:left w:val="nil"/>
              <w:bottom w:val="single" w:sz="4" w:space="0" w:color="auto"/>
              <w:right w:val="nil"/>
            </w:tcBorders>
            <w:shd w:val="clear" w:color="auto" w:fill="auto"/>
            <w:noWrap/>
            <w:vAlign w:val="bottom"/>
            <w:hideMark/>
          </w:tcPr>
          <w:p w14:paraId="32CE72CC"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2018</w:t>
            </w:r>
          </w:p>
        </w:tc>
        <w:tc>
          <w:tcPr>
            <w:tcW w:w="946" w:type="dxa"/>
            <w:tcBorders>
              <w:top w:val="nil"/>
              <w:left w:val="nil"/>
              <w:bottom w:val="single" w:sz="4" w:space="0" w:color="auto"/>
              <w:right w:val="nil"/>
            </w:tcBorders>
            <w:shd w:val="clear" w:color="auto" w:fill="auto"/>
            <w:noWrap/>
            <w:vAlign w:val="bottom"/>
            <w:hideMark/>
          </w:tcPr>
          <w:p w14:paraId="3516D50D"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2019 R</w:t>
            </w:r>
          </w:p>
        </w:tc>
        <w:tc>
          <w:tcPr>
            <w:tcW w:w="946" w:type="dxa"/>
            <w:tcBorders>
              <w:top w:val="nil"/>
              <w:left w:val="nil"/>
              <w:bottom w:val="single" w:sz="4" w:space="0" w:color="auto"/>
              <w:right w:val="nil"/>
            </w:tcBorders>
            <w:shd w:val="clear" w:color="auto" w:fill="auto"/>
            <w:noWrap/>
            <w:vAlign w:val="bottom"/>
            <w:hideMark/>
          </w:tcPr>
          <w:p w14:paraId="47F81E80"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2020 R</w:t>
            </w:r>
          </w:p>
        </w:tc>
        <w:tc>
          <w:tcPr>
            <w:tcW w:w="946" w:type="dxa"/>
            <w:tcBorders>
              <w:top w:val="nil"/>
              <w:left w:val="nil"/>
              <w:bottom w:val="single" w:sz="4" w:space="0" w:color="auto"/>
              <w:right w:val="nil"/>
            </w:tcBorders>
            <w:shd w:val="clear" w:color="auto" w:fill="auto"/>
            <w:noWrap/>
            <w:vAlign w:val="bottom"/>
            <w:hideMark/>
          </w:tcPr>
          <w:p w14:paraId="14B6F8FB"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2021 R</w:t>
            </w:r>
          </w:p>
        </w:tc>
      </w:tr>
      <w:tr w:rsidR="002014D7" w:rsidRPr="002014D7" w14:paraId="63ADEEC1" w14:textId="77777777" w:rsidTr="002E54AA">
        <w:trPr>
          <w:trHeight w:val="261"/>
        </w:trPr>
        <w:tc>
          <w:tcPr>
            <w:tcW w:w="4122" w:type="dxa"/>
            <w:tcBorders>
              <w:top w:val="single" w:sz="4" w:space="0" w:color="auto"/>
              <w:left w:val="nil"/>
              <w:bottom w:val="single" w:sz="4" w:space="0" w:color="auto"/>
              <w:right w:val="nil"/>
            </w:tcBorders>
            <w:shd w:val="clear" w:color="auto" w:fill="auto"/>
            <w:noWrap/>
            <w:vAlign w:val="bottom"/>
            <w:hideMark/>
          </w:tcPr>
          <w:p w14:paraId="5863A6A8" w14:textId="77777777" w:rsidR="002014D7" w:rsidRPr="002014D7" w:rsidRDefault="002014D7" w:rsidP="004F1515">
            <w:pPr>
              <w:rPr>
                <w:rFonts w:cs="Times New Roman"/>
                <w:b/>
                <w:bCs/>
                <w:color w:val="000000"/>
                <w:sz w:val="20"/>
                <w:szCs w:val="20"/>
              </w:rPr>
            </w:pPr>
            <w:r w:rsidRPr="002014D7">
              <w:rPr>
                <w:rFonts w:cs="Times New Roman"/>
                <w:b/>
                <w:bCs/>
                <w:color w:val="000000"/>
                <w:sz w:val="20"/>
                <w:szCs w:val="20"/>
              </w:rPr>
              <w:t>Spolu</w:t>
            </w:r>
          </w:p>
        </w:tc>
        <w:tc>
          <w:tcPr>
            <w:tcW w:w="1282" w:type="dxa"/>
            <w:tcBorders>
              <w:top w:val="single" w:sz="4" w:space="0" w:color="auto"/>
              <w:left w:val="nil"/>
              <w:bottom w:val="single" w:sz="4" w:space="0" w:color="auto"/>
              <w:right w:val="nil"/>
            </w:tcBorders>
            <w:shd w:val="clear" w:color="auto" w:fill="auto"/>
            <w:noWrap/>
            <w:vAlign w:val="bottom"/>
            <w:hideMark/>
          </w:tcPr>
          <w:p w14:paraId="01FD5819"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1 263</w:t>
            </w:r>
          </w:p>
        </w:tc>
        <w:tc>
          <w:tcPr>
            <w:tcW w:w="946" w:type="dxa"/>
            <w:tcBorders>
              <w:top w:val="single" w:sz="4" w:space="0" w:color="auto"/>
              <w:left w:val="nil"/>
              <w:bottom w:val="single" w:sz="4" w:space="0" w:color="auto"/>
              <w:right w:val="nil"/>
            </w:tcBorders>
            <w:shd w:val="clear" w:color="auto" w:fill="auto"/>
            <w:noWrap/>
            <w:vAlign w:val="bottom"/>
            <w:hideMark/>
          </w:tcPr>
          <w:p w14:paraId="6F295B1F"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1 469</w:t>
            </w:r>
          </w:p>
        </w:tc>
        <w:tc>
          <w:tcPr>
            <w:tcW w:w="946" w:type="dxa"/>
            <w:tcBorders>
              <w:top w:val="single" w:sz="4" w:space="0" w:color="auto"/>
              <w:left w:val="nil"/>
              <w:bottom w:val="single" w:sz="4" w:space="0" w:color="auto"/>
              <w:right w:val="nil"/>
            </w:tcBorders>
            <w:shd w:val="clear" w:color="auto" w:fill="auto"/>
            <w:noWrap/>
            <w:vAlign w:val="bottom"/>
            <w:hideMark/>
          </w:tcPr>
          <w:p w14:paraId="20999C44"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1 285</w:t>
            </w:r>
          </w:p>
        </w:tc>
        <w:tc>
          <w:tcPr>
            <w:tcW w:w="946" w:type="dxa"/>
            <w:tcBorders>
              <w:top w:val="single" w:sz="4" w:space="0" w:color="auto"/>
              <w:left w:val="nil"/>
              <w:bottom w:val="single" w:sz="4" w:space="0" w:color="auto"/>
              <w:right w:val="nil"/>
            </w:tcBorders>
            <w:shd w:val="clear" w:color="auto" w:fill="auto"/>
            <w:noWrap/>
            <w:vAlign w:val="bottom"/>
            <w:hideMark/>
          </w:tcPr>
          <w:p w14:paraId="400CABC1"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1 375</w:t>
            </w:r>
          </w:p>
        </w:tc>
        <w:tc>
          <w:tcPr>
            <w:tcW w:w="946" w:type="dxa"/>
            <w:tcBorders>
              <w:top w:val="single" w:sz="4" w:space="0" w:color="auto"/>
              <w:left w:val="nil"/>
              <w:bottom w:val="single" w:sz="4" w:space="0" w:color="auto"/>
              <w:right w:val="nil"/>
            </w:tcBorders>
            <w:shd w:val="clear" w:color="auto" w:fill="auto"/>
            <w:noWrap/>
            <w:vAlign w:val="bottom"/>
            <w:hideMark/>
          </w:tcPr>
          <w:p w14:paraId="4125D6CB"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1 375</w:t>
            </w:r>
          </w:p>
        </w:tc>
      </w:tr>
      <w:tr w:rsidR="002014D7" w:rsidRPr="002014D7" w14:paraId="0EE49A7F" w14:textId="77777777" w:rsidTr="002E54AA">
        <w:trPr>
          <w:trHeight w:val="261"/>
        </w:trPr>
        <w:tc>
          <w:tcPr>
            <w:tcW w:w="4122" w:type="dxa"/>
            <w:tcBorders>
              <w:top w:val="single" w:sz="4" w:space="0" w:color="auto"/>
              <w:left w:val="nil"/>
              <w:bottom w:val="nil"/>
              <w:right w:val="nil"/>
            </w:tcBorders>
            <w:shd w:val="clear" w:color="auto" w:fill="auto"/>
            <w:noWrap/>
            <w:vAlign w:val="bottom"/>
            <w:hideMark/>
          </w:tcPr>
          <w:p w14:paraId="22AD471E" w14:textId="77777777" w:rsidR="002014D7" w:rsidRPr="002014D7" w:rsidRDefault="002014D7" w:rsidP="004F1515">
            <w:pPr>
              <w:rPr>
                <w:rFonts w:cs="Times New Roman"/>
                <w:b/>
                <w:bCs/>
                <w:color w:val="000000"/>
                <w:sz w:val="20"/>
                <w:szCs w:val="20"/>
              </w:rPr>
            </w:pPr>
            <w:r w:rsidRPr="002014D7">
              <w:rPr>
                <w:rFonts w:cs="Times New Roman"/>
                <w:b/>
                <w:bCs/>
                <w:color w:val="000000"/>
                <w:sz w:val="20"/>
                <w:szCs w:val="20"/>
              </w:rPr>
              <w:t>Efektívna a spoľahlivá štátna správa</w:t>
            </w:r>
          </w:p>
        </w:tc>
        <w:tc>
          <w:tcPr>
            <w:tcW w:w="1282" w:type="dxa"/>
            <w:tcBorders>
              <w:top w:val="single" w:sz="4" w:space="0" w:color="auto"/>
              <w:left w:val="nil"/>
              <w:bottom w:val="nil"/>
              <w:right w:val="nil"/>
            </w:tcBorders>
            <w:shd w:val="clear" w:color="auto" w:fill="auto"/>
            <w:noWrap/>
            <w:vAlign w:val="bottom"/>
            <w:hideMark/>
          </w:tcPr>
          <w:p w14:paraId="6C8E1E0A"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1 189</w:t>
            </w:r>
          </w:p>
        </w:tc>
        <w:tc>
          <w:tcPr>
            <w:tcW w:w="946" w:type="dxa"/>
            <w:tcBorders>
              <w:top w:val="single" w:sz="4" w:space="0" w:color="auto"/>
              <w:left w:val="nil"/>
              <w:bottom w:val="nil"/>
              <w:right w:val="nil"/>
            </w:tcBorders>
            <w:shd w:val="clear" w:color="auto" w:fill="auto"/>
            <w:noWrap/>
            <w:vAlign w:val="bottom"/>
            <w:hideMark/>
          </w:tcPr>
          <w:p w14:paraId="2323652A"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1 359</w:t>
            </w:r>
          </w:p>
        </w:tc>
        <w:tc>
          <w:tcPr>
            <w:tcW w:w="946" w:type="dxa"/>
            <w:tcBorders>
              <w:top w:val="single" w:sz="4" w:space="0" w:color="auto"/>
              <w:left w:val="nil"/>
              <w:bottom w:val="nil"/>
              <w:right w:val="nil"/>
            </w:tcBorders>
            <w:shd w:val="clear" w:color="auto" w:fill="auto"/>
            <w:noWrap/>
            <w:vAlign w:val="bottom"/>
            <w:hideMark/>
          </w:tcPr>
          <w:p w14:paraId="1FECB5BB"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1 217</w:t>
            </w:r>
          </w:p>
        </w:tc>
        <w:tc>
          <w:tcPr>
            <w:tcW w:w="946" w:type="dxa"/>
            <w:tcBorders>
              <w:top w:val="single" w:sz="4" w:space="0" w:color="auto"/>
              <w:left w:val="nil"/>
              <w:bottom w:val="nil"/>
              <w:right w:val="nil"/>
            </w:tcBorders>
            <w:shd w:val="clear" w:color="auto" w:fill="auto"/>
            <w:noWrap/>
            <w:vAlign w:val="bottom"/>
            <w:hideMark/>
          </w:tcPr>
          <w:p w14:paraId="5704869F"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1 205</w:t>
            </w:r>
          </w:p>
        </w:tc>
        <w:tc>
          <w:tcPr>
            <w:tcW w:w="946" w:type="dxa"/>
            <w:tcBorders>
              <w:top w:val="single" w:sz="4" w:space="0" w:color="auto"/>
              <w:left w:val="nil"/>
              <w:bottom w:val="nil"/>
              <w:right w:val="nil"/>
            </w:tcBorders>
            <w:shd w:val="clear" w:color="auto" w:fill="auto"/>
            <w:noWrap/>
            <w:vAlign w:val="bottom"/>
            <w:hideMark/>
          </w:tcPr>
          <w:p w14:paraId="63AD6ABC"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1 196</w:t>
            </w:r>
          </w:p>
        </w:tc>
      </w:tr>
      <w:tr w:rsidR="002014D7" w:rsidRPr="002014D7" w14:paraId="2877320C" w14:textId="77777777" w:rsidTr="002E54AA">
        <w:trPr>
          <w:trHeight w:val="261"/>
        </w:trPr>
        <w:tc>
          <w:tcPr>
            <w:tcW w:w="4122" w:type="dxa"/>
            <w:tcBorders>
              <w:top w:val="nil"/>
              <w:left w:val="nil"/>
              <w:bottom w:val="nil"/>
              <w:right w:val="nil"/>
            </w:tcBorders>
            <w:shd w:val="clear" w:color="auto" w:fill="auto"/>
            <w:noWrap/>
            <w:vAlign w:val="bottom"/>
            <w:hideMark/>
          </w:tcPr>
          <w:p w14:paraId="7307B8B3" w14:textId="77777777" w:rsidR="002014D7" w:rsidRPr="002014D7" w:rsidRDefault="002014D7" w:rsidP="004F1515">
            <w:pPr>
              <w:rPr>
                <w:rFonts w:cs="Times New Roman"/>
                <w:color w:val="000000"/>
                <w:sz w:val="20"/>
                <w:szCs w:val="20"/>
              </w:rPr>
            </w:pPr>
            <w:r w:rsidRPr="002014D7">
              <w:rPr>
                <w:rFonts w:cs="Times New Roman"/>
                <w:color w:val="000000"/>
                <w:sz w:val="20"/>
                <w:szCs w:val="20"/>
              </w:rPr>
              <w:t xml:space="preserve">  Ochrana verejného poriadku a bezpečnosti</w:t>
            </w:r>
          </w:p>
        </w:tc>
        <w:tc>
          <w:tcPr>
            <w:tcW w:w="1282" w:type="dxa"/>
            <w:tcBorders>
              <w:top w:val="nil"/>
              <w:left w:val="nil"/>
              <w:bottom w:val="nil"/>
              <w:right w:val="nil"/>
            </w:tcBorders>
            <w:shd w:val="clear" w:color="auto" w:fill="auto"/>
            <w:noWrap/>
            <w:vAlign w:val="bottom"/>
            <w:hideMark/>
          </w:tcPr>
          <w:p w14:paraId="0A459E92"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657</w:t>
            </w:r>
          </w:p>
        </w:tc>
        <w:tc>
          <w:tcPr>
            <w:tcW w:w="946" w:type="dxa"/>
            <w:tcBorders>
              <w:top w:val="nil"/>
              <w:left w:val="nil"/>
              <w:bottom w:val="nil"/>
              <w:right w:val="nil"/>
            </w:tcBorders>
            <w:shd w:val="clear" w:color="auto" w:fill="auto"/>
            <w:noWrap/>
            <w:vAlign w:val="bottom"/>
            <w:hideMark/>
          </w:tcPr>
          <w:p w14:paraId="2BE0FE1D"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730</w:t>
            </w:r>
          </w:p>
        </w:tc>
        <w:tc>
          <w:tcPr>
            <w:tcW w:w="946" w:type="dxa"/>
            <w:tcBorders>
              <w:top w:val="nil"/>
              <w:left w:val="nil"/>
              <w:bottom w:val="nil"/>
              <w:right w:val="nil"/>
            </w:tcBorders>
            <w:shd w:val="clear" w:color="auto" w:fill="auto"/>
            <w:noWrap/>
            <w:vAlign w:val="bottom"/>
            <w:hideMark/>
          </w:tcPr>
          <w:p w14:paraId="7181656A"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744</w:t>
            </w:r>
          </w:p>
        </w:tc>
        <w:tc>
          <w:tcPr>
            <w:tcW w:w="946" w:type="dxa"/>
            <w:tcBorders>
              <w:top w:val="nil"/>
              <w:left w:val="nil"/>
              <w:bottom w:val="nil"/>
              <w:right w:val="nil"/>
            </w:tcBorders>
            <w:shd w:val="clear" w:color="auto" w:fill="auto"/>
            <w:noWrap/>
            <w:vAlign w:val="bottom"/>
            <w:hideMark/>
          </w:tcPr>
          <w:p w14:paraId="0C1C8D45"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744</w:t>
            </w:r>
          </w:p>
        </w:tc>
        <w:tc>
          <w:tcPr>
            <w:tcW w:w="946" w:type="dxa"/>
            <w:tcBorders>
              <w:top w:val="nil"/>
              <w:left w:val="nil"/>
              <w:bottom w:val="nil"/>
              <w:right w:val="nil"/>
            </w:tcBorders>
            <w:shd w:val="clear" w:color="auto" w:fill="auto"/>
            <w:noWrap/>
            <w:vAlign w:val="bottom"/>
            <w:hideMark/>
          </w:tcPr>
          <w:p w14:paraId="3E6449FD"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744</w:t>
            </w:r>
          </w:p>
        </w:tc>
      </w:tr>
      <w:tr w:rsidR="002014D7" w:rsidRPr="002014D7" w14:paraId="50E06831" w14:textId="77777777" w:rsidTr="002E54AA">
        <w:trPr>
          <w:trHeight w:val="261"/>
        </w:trPr>
        <w:tc>
          <w:tcPr>
            <w:tcW w:w="4122" w:type="dxa"/>
            <w:tcBorders>
              <w:top w:val="nil"/>
              <w:left w:val="nil"/>
              <w:bottom w:val="nil"/>
              <w:right w:val="nil"/>
            </w:tcBorders>
            <w:shd w:val="clear" w:color="auto" w:fill="auto"/>
            <w:noWrap/>
            <w:vAlign w:val="bottom"/>
            <w:hideMark/>
          </w:tcPr>
          <w:p w14:paraId="7FC7C69B" w14:textId="77777777" w:rsidR="002014D7" w:rsidRPr="002014D7" w:rsidRDefault="002014D7" w:rsidP="004F1515">
            <w:pPr>
              <w:rPr>
                <w:rFonts w:cs="Times New Roman"/>
                <w:color w:val="000000"/>
                <w:sz w:val="20"/>
                <w:szCs w:val="20"/>
              </w:rPr>
            </w:pPr>
            <w:r w:rsidRPr="002014D7">
              <w:rPr>
                <w:rFonts w:cs="Times New Roman"/>
                <w:color w:val="000000"/>
                <w:sz w:val="20"/>
                <w:szCs w:val="20"/>
              </w:rPr>
              <w:t xml:space="preserve">  Záchrana života a zdravia - záchranné zložky</w:t>
            </w:r>
          </w:p>
        </w:tc>
        <w:tc>
          <w:tcPr>
            <w:tcW w:w="1282" w:type="dxa"/>
            <w:tcBorders>
              <w:top w:val="nil"/>
              <w:left w:val="nil"/>
              <w:bottom w:val="nil"/>
              <w:right w:val="nil"/>
            </w:tcBorders>
            <w:shd w:val="clear" w:color="auto" w:fill="auto"/>
            <w:noWrap/>
            <w:vAlign w:val="bottom"/>
            <w:hideMark/>
          </w:tcPr>
          <w:p w14:paraId="2E1B16C1"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127</w:t>
            </w:r>
          </w:p>
        </w:tc>
        <w:tc>
          <w:tcPr>
            <w:tcW w:w="946" w:type="dxa"/>
            <w:tcBorders>
              <w:top w:val="nil"/>
              <w:left w:val="nil"/>
              <w:bottom w:val="nil"/>
              <w:right w:val="nil"/>
            </w:tcBorders>
            <w:shd w:val="clear" w:color="auto" w:fill="auto"/>
            <w:noWrap/>
            <w:vAlign w:val="bottom"/>
            <w:hideMark/>
          </w:tcPr>
          <w:p w14:paraId="6044BA0F"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174</w:t>
            </w:r>
          </w:p>
        </w:tc>
        <w:tc>
          <w:tcPr>
            <w:tcW w:w="946" w:type="dxa"/>
            <w:tcBorders>
              <w:top w:val="nil"/>
              <w:left w:val="nil"/>
              <w:bottom w:val="nil"/>
              <w:right w:val="nil"/>
            </w:tcBorders>
            <w:shd w:val="clear" w:color="auto" w:fill="auto"/>
            <w:noWrap/>
            <w:vAlign w:val="bottom"/>
            <w:hideMark/>
          </w:tcPr>
          <w:p w14:paraId="47A2CA62"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114</w:t>
            </w:r>
          </w:p>
        </w:tc>
        <w:tc>
          <w:tcPr>
            <w:tcW w:w="946" w:type="dxa"/>
            <w:tcBorders>
              <w:top w:val="nil"/>
              <w:left w:val="nil"/>
              <w:bottom w:val="nil"/>
              <w:right w:val="nil"/>
            </w:tcBorders>
            <w:shd w:val="clear" w:color="auto" w:fill="auto"/>
            <w:noWrap/>
            <w:vAlign w:val="bottom"/>
            <w:hideMark/>
          </w:tcPr>
          <w:p w14:paraId="4B3AF1E2"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114</w:t>
            </w:r>
          </w:p>
        </w:tc>
        <w:tc>
          <w:tcPr>
            <w:tcW w:w="946" w:type="dxa"/>
            <w:tcBorders>
              <w:top w:val="nil"/>
              <w:left w:val="nil"/>
              <w:bottom w:val="nil"/>
              <w:right w:val="nil"/>
            </w:tcBorders>
            <w:shd w:val="clear" w:color="auto" w:fill="auto"/>
            <w:noWrap/>
            <w:vAlign w:val="bottom"/>
            <w:hideMark/>
          </w:tcPr>
          <w:p w14:paraId="2F5E549A"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114</w:t>
            </w:r>
          </w:p>
        </w:tc>
      </w:tr>
      <w:tr w:rsidR="002014D7" w:rsidRPr="002014D7" w14:paraId="4D2013BD" w14:textId="77777777" w:rsidTr="002E54AA">
        <w:trPr>
          <w:trHeight w:val="261"/>
        </w:trPr>
        <w:tc>
          <w:tcPr>
            <w:tcW w:w="4122" w:type="dxa"/>
            <w:tcBorders>
              <w:top w:val="nil"/>
              <w:left w:val="nil"/>
              <w:bottom w:val="nil"/>
              <w:right w:val="nil"/>
            </w:tcBorders>
            <w:shd w:val="clear" w:color="auto" w:fill="auto"/>
            <w:noWrap/>
            <w:vAlign w:val="bottom"/>
            <w:hideMark/>
          </w:tcPr>
          <w:p w14:paraId="4C0A0E3F" w14:textId="77777777" w:rsidR="002014D7" w:rsidRPr="002014D7" w:rsidRDefault="002014D7" w:rsidP="004F1515">
            <w:pPr>
              <w:rPr>
                <w:rFonts w:cs="Times New Roman"/>
                <w:color w:val="000000"/>
                <w:sz w:val="20"/>
                <w:szCs w:val="20"/>
              </w:rPr>
            </w:pPr>
            <w:r w:rsidRPr="002014D7">
              <w:rPr>
                <w:rFonts w:cs="Times New Roman"/>
                <w:color w:val="000000"/>
                <w:sz w:val="20"/>
                <w:szCs w:val="20"/>
              </w:rPr>
              <w:t xml:space="preserve">  Okresné úrady</w:t>
            </w:r>
          </w:p>
        </w:tc>
        <w:tc>
          <w:tcPr>
            <w:tcW w:w="1282" w:type="dxa"/>
            <w:tcBorders>
              <w:top w:val="nil"/>
              <w:left w:val="nil"/>
              <w:bottom w:val="nil"/>
              <w:right w:val="nil"/>
            </w:tcBorders>
            <w:shd w:val="clear" w:color="auto" w:fill="auto"/>
            <w:noWrap/>
            <w:vAlign w:val="bottom"/>
            <w:hideMark/>
          </w:tcPr>
          <w:p w14:paraId="38D156B0"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123</w:t>
            </w:r>
          </w:p>
        </w:tc>
        <w:tc>
          <w:tcPr>
            <w:tcW w:w="946" w:type="dxa"/>
            <w:tcBorders>
              <w:top w:val="nil"/>
              <w:left w:val="nil"/>
              <w:bottom w:val="nil"/>
              <w:right w:val="nil"/>
            </w:tcBorders>
            <w:shd w:val="clear" w:color="auto" w:fill="auto"/>
            <w:noWrap/>
            <w:vAlign w:val="bottom"/>
            <w:hideMark/>
          </w:tcPr>
          <w:p w14:paraId="51F76292"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129</w:t>
            </w:r>
          </w:p>
        </w:tc>
        <w:tc>
          <w:tcPr>
            <w:tcW w:w="946" w:type="dxa"/>
            <w:tcBorders>
              <w:top w:val="nil"/>
              <w:left w:val="nil"/>
              <w:bottom w:val="nil"/>
              <w:right w:val="nil"/>
            </w:tcBorders>
            <w:shd w:val="clear" w:color="auto" w:fill="auto"/>
            <w:noWrap/>
            <w:vAlign w:val="bottom"/>
            <w:hideMark/>
          </w:tcPr>
          <w:p w14:paraId="1A8D6391"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107</w:t>
            </w:r>
          </w:p>
        </w:tc>
        <w:tc>
          <w:tcPr>
            <w:tcW w:w="946" w:type="dxa"/>
            <w:tcBorders>
              <w:top w:val="nil"/>
              <w:left w:val="nil"/>
              <w:bottom w:val="nil"/>
              <w:right w:val="nil"/>
            </w:tcBorders>
            <w:shd w:val="clear" w:color="auto" w:fill="auto"/>
            <w:noWrap/>
            <w:vAlign w:val="bottom"/>
            <w:hideMark/>
          </w:tcPr>
          <w:p w14:paraId="3D317410"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108</w:t>
            </w:r>
          </w:p>
        </w:tc>
        <w:tc>
          <w:tcPr>
            <w:tcW w:w="946" w:type="dxa"/>
            <w:tcBorders>
              <w:top w:val="nil"/>
              <w:left w:val="nil"/>
              <w:bottom w:val="nil"/>
              <w:right w:val="nil"/>
            </w:tcBorders>
            <w:shd w:val="clear" w:color="auto" w:fill="auto"/>
            <w:noWrap/>
            <w:vAlign w:val="bottom"/>
            <w:hideMark/>
          </w:tcPr>
          <w:p w14:paraId="2D3E611B"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108</w:t>
            </w:r>
          </w:p>
        </w:tc>
      </w:tr>
      <w:tr w:rsidR="002014D7" w:rsidRPr="002014D7" w14:paraId="2B612388" w14:textId="77777777" w:rsidTr="002E54AA">
        <w:trPr>
          <w:trHeight w:val="261"/>
        </w:trPr>
        <w:tc>
          <w:tcPr>
            <w:tcW w:w="4122" w:type="dxa"/>
            <w:tcBorders>
              <w:top w:val="nil"/>
              <w:left w:val="nil"/>
              <w:bottom w:val="nil"/>
              <w:right w:val="nil"/>
            </w:tcBorders>
            <w:shd w:val="clear" w:color="auto" w:fill="auto"/>
            <w:noWrap/>
            <w:vAlign w:val="bottom"/>
            <w:hideMark/>
          </w:tcPr>
          <w:p w14:paraId="62A205B6" w14:textId="77777777" w:rsidR="002014D7" w:rsidRPr="002014D7" w:rsidRDefault="002014D7" w:rsidP="004F1515">
            <w:pPr>
              <w:rPr>
                <w:rFonts w:cs="Times New Roman"/>
                <w:color w:val="000000"/>
                <w:sz w:val="20"/>
                <w:szCs w:val="20"/>
              </w:rPr>
            </w:pPr>
            <w:r w:rsidRPr="002014D7">
              <w:rPr>
                <w:rFonts w:cs="Times New Roman"/>
                <w:color w:val="000000"/>
                <w:sz w:val="20"/>
                <w:szCs w:val="20"/>
              </w:rPr>
              <w:t xml:space="preserve">  Centrálna podpora</w:t>
            </w:r>
          </w:p>
        </w:tc>
        <w:tc>
          <w:tcPr>
            <w:tcW w:w="1282" w:type="dxa"/>
            <w:tcBorders>
              <w:top w:val="nil"/>
              <w:left w:val="nil"/>
              <w:bottom w:val="nil"/>
              <w:right w:val="nil"/>
            </w:tcBorders>
            <w:shd w:val="clear" w:color="auto" w:fill="auto"/>
            <w:noWrap/>
            <w:vAlign w:val="bottom"/>
            <w:hideMark/>
          </w:tcPr>
          <w:p w14:paraId="7CC1FEF7"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209</w:t>
            </w:r>
          </w:p>
        </w:tc>
        <w:tc>
          <w:tcPr>
            <w:tcW w:w="946" w:type="dxa"/>
            <w:tcBorders>
              <w:top w:val="nil"/>
              <w:left w:val="nil"/>
              <w:bottom w:val="nil"/>
              <w:right w:val="nil"/>
            </w:tcBorders>
            <w:shd w:val="clear" w:color="auto" w:fill="auto"/>
            <w:noWrap/>
            <w:vAlign w:val="bottom"/>
            <w:hideMark/>
          </w:tcPr>
          <w:p w14:paraId="395F407E"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247</w:t>
            </w:r>
          </w:p>
        </w:tc>
        <w:tc>
          <w:tcPr>
            <w:tcW w:w="946" w:type="dxa"/>
            <w:tcBorders>
              <w:top w:val="nil"/>
              <w:left w:val="nil"/>
              <w:bottom w:val="nil"/>
              <w:right w:val="nil"/>
            </w:tcBorders>
            <w:shd w:val="clear" w:color="auto" w:fill="auto"/>
            <w:noWrap/>
            <w:vAlign w:val="bottom"/>
            <w:hideMark/>
          </w:tcPr>
          <w:p w14:paraId="1639F7DE"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168</w:t>
            </w:r>
          </w:p>
        </w:tc>
        <w:tc>
          <w:tcPr>
            <w:tcW w:w="946" w:type="dxa"/>
            <w:tcBorders>
              <w:top w:val="nil"/>
              <w:left w:val="nil"/>
              <w:bottom w:val="nil"/>
              <w:right w:val="nil"/>
            </w:tcBorders>
            <w:shd w:val="clear" w:color="auto" w:fill="auto"/>
            <w:noWrap/>
            <w:vAlign w:val="bottom"/>
            <w:hideMark/>
          </w:tcPr>
          <w:p w14:paraId="48E6CE2C"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168</w:t>
            </w:r>
          </w:p>
        </w:tc>
        <w:tc>
          <w:tcPr>
            <w:tcW w:w="946" w:type="dxa"/>
            <w:tcBorders>
              <w:top w:val="nil"/>
              <w:left w:val="nil"/>
              <w:bottom w:val="nil"/>
              <w:right w:val="nil"/>
            </w:tcBorders>
            <w:shd w:val="clear" w:color="auto" w:fill="auto"/>
            <w:noWrap/>
            <w:vAlign w:val="bottom"/>
            <w:hideMark/>
          </w:tcPr>
          <w:p w14:paraId="5980559C"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168</w:t>
            </w:r>
          </w:p>
        </w:tc>
      </w:tr>
      <w:tr w:rsidR="002014D7" w:rsidRPr="002014D7" w14:paraId="7C7222EC" w14:textId="77777777" w:rsidTr="002E54AA">
        <w:trPr>
          <w:trHeight w:val="261"/>
        </w:trPr>
        <w:tc>
          <w:tcPr>
            <w:tcW w:w="4122" w:type="dxa"/>
            <w:tcBorders>
              <w:top w:val="nil"/>
              <w:left w:val="nil"/>
              <w:bottom w:val="nil"/>
              <w:right w:val="nil"/>
            </w:tcBorders>
            <w:shd w:val="clear" w:color="auto" w:fill="auto"/>
            <w:noWrap/>
            <w:vAlign w:val="bottom"/>
            <w:hideMark/>
          </w:tcPr>
          <w:p w14:paraId="489CD46C" w14:textId="77777777" w:rsidR="002014D7" w:rsidRPr="002014D7" w:rsidRDefault="002014D7" w:rsidP="004F1515">
            <w:pPr>
              <w:rPr>
                <w:rFonts w:cs="Times New Roman"/>
                <w:color w:val="000000"/>
                <w:sz w:val="20"/>
                <w:szCs w:val="20"/>
              </w:rPr>
            </w:pPr>
            <w:r w:rsidRPr="002014D7">
              <w:rPr>
                <w:rFonts w:cs="Times New Roman"/>
                <w:color w:val="000000"/>
                <w:sz w:val="20"/>
                <w:szCs w:val="20"/>
              </w:rPr>
              <w:t xml:space="preserve">  Riadenie a kontrola</w:t>
            </w:r>
          </w:p>
        </w:tc>
        <w:tc>
          <w:tcPr>
            <w:tcW w:w="1282" w:type="dxa"/>
            <w:tcBorders>
              <w:top w:val="nil"/>
              <w:left w:val="nil"/>
              <w:bottom w:val="nil"/>
              <w:right w:val="nil"/>
            </w:tcBorders>
            <w:shd w:val="clear" w:color="auto" w:fill="auto"/>
            <w:noWrap/>
            <w:vAlign w:val="bottom"/>
            <w:hideMark/>
          </w:tcPr>
          <w:p w14:paraId="438E2008"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55</w:t>
            </w:r>
          </w:p>
        </w:tc>
        <w:tc>
          <w:tcPr>
            <w:tcW w:w="946" w:type="dxa"/>
            <w:tcBorders>
              <w:top w:val="nil"/>
              <w:left w:val="nil"/>
              <w:bottom w:val="nil"/>
              <w:right w:val="nil"/>
            </w:tcBorders>
            <w:shd w:val="clear" w:color="auto" w:fill="auto"/>
            <w:noWrap/>
            <w:vAlign w:val="bottom"/>
            <w:hideMark/>
          </w:tcPr>
          <w:p w14:paraId="3E6FA2DB"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62</w:t>
            </w:r>
          </w:p>
        </w:tc>
        <w:tc>
          <w:tcPr>
            <w:tcW w:w="946" w:type="dxa"/>
            <w:tcBorders>
              <w:top w:val="nil"/>
              <w:left w:val="nil"/>
              <w:bottom w:val="nil"/>
              <w:right w:val="nil"/>
            </w:tcBorders>
            <w:shd w:val="clear" w:color="auto" w:fill="auto"/>
            <w:noWrap/>
            <w:vAlign w:val="bottom"/>
            <w:hideMark/>
          </w:tcPr>
          <w:p w14:paraId="5BC77E21"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53</w:t>
            </w:r>
          </w:p>
        </w:tc>
        <w:tc>
          <w:tcPr>
            <w:tcW w:w="946" w:type="dxa"/>
            <w:tcBorders>
              <w:top w:val="nil"/>
              <w:left w:val="nil"/>
              <w:bottom w:val="nil"/>
              <w:right w:val="nil"/>
            </w:tcBorders>
            <w:shd w:val="clear" w:color="auto" w:fill="auto"/>
            <w:noWrap/>
            <w:vAlign w:val="bottom"/>
            <w:hideMark/>
          </w:tcPr>
          <w:p w14:paraId="0F3E9846"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53</w:t>
            </w:r>
          </w:p>
        </w:tc>
        <w:tc>
          <w:tcPr>
            <w:tcW w:w="946" w:type="dxa"/>
            <w:tcBorders>
              <w:top w:val="nil"/>
              <w:left w:val="nil"/>
              <w:bottom w:val="nil"/>
              <w:right w:val="nil"/>
            </w:tcBorders>
            <w:shd w:val="clear" w:color="auto" w:fill="auto"/>
            <w:noWrap/>
            <w:vAlign w:val="bottom"/>
            <w:hideMark/>
          </w:tcPr>
          <w:p w14:paraId="6F647890"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53</w:t>
            </w:r>
          </w:p>
        </w:tc>
      </w:tr>
      <w:tr w:rsidR="002014D7" w:rsidRPr="002014D7" w14:paraId="734D7D48" w14:textId="77777777" w:rsidTr="002E54AA">
        <w:trPr>
          <w:trHeight w:val="261"/>
        </w:trPr>
        <w:tc>
          <w:tcPr>
            <w:tcW w:w="4122" w:type="dxa"/>
            <w:tcBorders>
              <w:top w:val="nil"/>
              <w:left w:val="nil"/>
              <w:bottom w:val="nil"/>
              <w:right w:val="nil"/>
            </w:tcBorders>
            <w:shd w:val="clear" w:color="auto" w:fill="auto"/>
            <w:noWrap/>
            <w:vAlign w:val="bottom"/>
            <w:hideMark/>
          </w:tcPr>
          <w:p w14:paraId="41B2A641" w14:textId="77777777" w:rsidR="002014D7" w:rsidRPr="002014D7" w:rsidRDefault="002014D7" w:rsidP="004F1515">
            <w:pPr>
              <w:rPr>
                <w:rFonts w:cs="Times New Roman"/>
                <w:color w:val="000000"/>
                <w:sz w:val="20"/>
                <w:szCs w:val="20"/>
              </w:rPr>
            </w:pPr>
            <w:r w:rsidRPr="002014D7">
              <w:rPr>
                <w:rFonts w:cs="Times New Roman"/>
                <w:color w:val="000000"/>
                <w:sz w:val="20"/>
                <w:szCs w:val="20"/>
              </w:rPr>
              <w:t xml:space="preserve">  Iné</w:t>
            </w:r>
            <w:r w:rsidRPr="002014D7">
              <w:rPr>
                <w:rStyle w:val="Odkaznapoznmkupodiarou"/>
                <w:rFonts w:cs="Times New Roman"/>
                <w:color w:val="000000"/>
                <w:sz w:val="20"/>
                <w:szCs w:val="20"/>
              </w:rPr>
              <w:footnoteReference w:id="90"/>
            </w:r>
          </w:p>
        </w:tc>
        <w:tc>
          <w:tcPr>
            <w:tcW w:w="1282" w:type="dxa"/>
            <w:tcBorders>
              <w:top w:val="nil"/>
              <w:left w:val="nil"/>
              <w:bottom w:val="nil"/>
              <w:right w:val="nil"/>
            </w:tcBorders>
            <w:shd w:val="clear" w:color="auto" w:fill="auto"/>
            <w:noWrap/>
            <w:vAlign w:val="bottom"/>
            <w:hideMark/>
          </w:tcPr>
          <w:p w14:paraId="7DA0E274"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19</w:t>
            </w:r>
          </w:p>
        </w:tc>
        <w:tc>
          <w:tcPr>
            <w:tcW w:w="946" w:type="dxa"/>
            <w:tcBorders>
              <w:top w:val="nil"/>
              <w:left w:val="nil"/>
              <w:bottom w:val="nil"/>
              <w:right w:val="nil"/>
            </w:tcBorders>
            <w:shd w:val="clear" w:color="auto" w:fill="auto"/>
            <w:noWrap/>
            <w:vAlign w:val="bottom"/>
            <w:hideMark/>
          </w:tcPr>
          <w:p w14:paraId="201C69FD"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17</w:t>
            </w:r>
          </w:p>
        </w:tc>
        <w:tc>
          <w:tcPr>
            <w:tcW w:w="946" w:type="dxa"/>
            <w:tcBorders>
              <w:top w:val="nil"/>
              <w:left w:val="nil"/>
              <w:bottom w:val="nil"/>
              <w:right w:val="nil"/>
            </w:tcBorders>
            <w:shd w:val="clear" w:color="auto" w:fill="auto"/>
            <w:noWrap/>
            <w:vAlign w:val="bottom"/>
            <w:hideMark/>
          </w:tcPr>
          <w:p w14:paraId="7D1ACD79"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30</w:t>
            </w:r>
          </w:p>
        </w:tc>
        <w:tc>
          <w:tcPr>
            <w:tcW w:w="946" w:type="dxa"/>
            <w:tcBorders>
              <w:top w:val="nil"/>
              <w:left w:val="nil"/>
              <w:bottom w:val="nil"/>
              <w:right w:val="nil"/>
            </w:tcBorders>
            <w:shd w:val="clear" w:color="auto" w:fill="auto"/>
            <w:noWrap/>
            <w:vAlign w:val="bottom"/>
            <w:hideMark/>
          </w:tcPr>
          <w:p w14:paraId="08498E80"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18</w:t>
            </w:r>
          </w:p>
        </w:tc>
        <w:tc>
          <w:tcPr>
            <w:tcW w:w="946" w:type="dxa"/>
            <w:tcBorders>
              <w:top w:val="nil"/>
              <w:left w:val="nil"/>
              <w:bottom w:val="nil"/>
              <w:right w:val="nil"/>
            </w:tcBorders>
            <w:shd w:val="clear" w:color="auto" w:fill="auto"/>
            <w:noWrap/>
            <w:vAlign w:val="bottom"/>
            <w:hideMark/>
          </w:tcPr>
          <w:p w14:paraId="08EC7B93" w14:textId="77777777" w:rsidR="002014D7" w:rsidRPr="002014D7" w:rsidRDefault="002014D7" w:rsidP="004F1515">
            <w:pPr>
              <w:jc w:val="right"/>
              <w:rPr>
                <w:rFonts w:cs="Times New Roman"/>
                <w:color w:val="000000"/>
                <w:sz w:val="20"/>
                <w:szCs w:val="20"/>
              </w:rPr>
            </w:pPr>
            <w:r w:rsidRPr="002014D7">
              <w:rPr>
                <w:rFonts w:cs="Times New Roman"/>
                <w:color w:val="000000"/>
                <w:sz w:val="20"/>
                <w:szCs w:val="20"/>
              </w:rPr>
              <w:t>9</w:t>
            </w:r>
          </w:p>
        </w:tc>
      </w:tr>
      <w:tr w:rsidR="002014D7" w:rsidRPr="002014D7" w14:paraId="6FA5A96C" w14:textId="77777777" w:rsidTr="002E54AA">
        <w:trPr>
          <w:trHeight w:val="261"/>
        </w:trPr>
        <w:tc>
          <w:tcPr>
            <w:tcW w:w="4122" w:type="dxa"/>
            <w:tcBorders>
              <w:top w:val="nil"/>
              <w:left w:val="nil"/>
              <w:bottom w:val="single" w:sz="4" w:space="0" w:color="auto"/>
              <w:right w:val="nil"/>
            </w:tcBorders>
            <w:shd w:val="clear" w:color="auto" w:fill="auto"/>
            <w:noWrap/>
            <w:vAlign w:val="bottom"/>
            <w:hideMark/>
          </w:tcPr>
          <w:p w14:paraId="7ECC2CE9" w14:textId="77777777" w:rsidR="002014D7" w:rsidRPr="002014D7" w:rsidRDefault="002014D7" w:rsidP="004F1515">
            <w:pPr>
              <w:rPr>
                <w:rFonts w:cs="Times New Roman"/>
                <w:b/>
                <w:bCs/>
                <w:color w:val="000000"/>
                <w:sz w:val="20"/>
                <w:szCs w:val="20"/>
              </w:rPr>
            </w:pPr>
            <w:r w:rsidRPr="002014D7">
              <w:rPr>
                <w:rFonts w:cs="Times New Roman"/>
                <w:b/>
                <w:bCs/>
                <w:color w:val="000000"/>
                <w:sz w:val="20"/>
                <w:szCs w:val="20"/>
              </w:rPr>
              <w:t>Ostatné programy</w:t>
            </w:r>
            <w:r w:rsidRPr="002014D7">
              <w:rPr>
                <w:rStyle w:val="Odkaznapoznmkupodiarou"/>
                <w:rFonts w:cs="Times New Roman"/>
                <w:color w:val="000000"/>
                <w:sz w:val="20"/>
                <w:szCs w:val="20"/>
              </w:rPr>
              <w:footnoteReference w:id="91"/>
            </w:r>
          </w:p>
        </w:tc>
        <w:tc>
          <w:tcPr>
            <w:tcW w:w="1282" w:type="dxa"/>
            <w:tcBorders>
              <w:top w:val="nil"/>
              <w:left w:val="nil"/>
              <w:bottom w:val="single" w:sz="4" w:space="0" w:color="auto"/>
              <w:right w:val="nil"/>
            </w:tcBorders>
            <w:shd w:val="clear" w:color="auto" w:fill="auto"/>
            <w:noWrap/>
            <w:vAlign w:val="bottom"/>
            <w:hideMark/>
          </w:tcPr>
          <w:p w14:paraId="79E3ED4A"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73</w:t>
            </w:r>
          </w:p>
        </w:tc>
        <w:tc>
          <w:tcPr>
            <w:tcW w:w="946" w:type="dxa"/>
            <w:tcBorders>
              <w:top w:val="nil"/>
              <w:left w:val="nil"/>
              <w:bottom w:val="single" w:sz="4" w:space="0" w:color="auto"/>
              <w:right w:val="nil"/>
            </w:tcBorders>
            <w:shd w:val="clear" w:color="auto" w:fill="auto"/>
            <w:noWrap/>
            <w:vAlign w:val="bottom"/>
            <w:hideMark/>
          </w:tcPr>
          <w:p w14:paraId="38131975"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110</w:t>
            </w:r>
          </w:p>
        </w:tc>
        <w:tc>
          <w:tcPr>
            <w:tcW w:w="946" w:type="dxa"/>
            <w:tcBorders>
              <w:top w:val="nil"/>
              <w:left w:val="nil"/>
              <w:bottom w:val="single" w:sz="4" w:space="0" w:color="auto"/>
              <w:right w:val="nil"/>
            </w:tcBorders>
            <w:shd w:val="clear" w:color="auto" w:fill="auto"/>
            <w:noWrap/>
            <w:vAlign w:val="bottom"/>
            <w:hideMark/>
          </w:tcPr>
          <w:p w14:paraId="4FC474CB"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67</w:t>
            </w:r>
          </w:p>
        </w:tc>
        <w:tc>
          <w:tcPr>
            <w:tcW w:w="946" w:type="dxa"/>
            <w:tcBorders>
              <w:top w:val="nil"/>
              <w:left w:val="nil"/>
              <w:bottom w:val="single" w:sz="4" w:space="0" w:color="auto"/>
              <w:right w:val="nil"/>
            </w:tcBorders>
            <w:shd w:val="clear" w:color="auto" w:fill="auto"/>
            <w:noWrap/>
            <w:vAlign w:val="bottom"/>
            <w:hideMark/>
          </w:tcPr>
          <w:p w14:paraId="3EC1810A"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170</w:t>
            </w:r>
          </w:p>
        </w:tc>
        <w:tc>
          <w:tcPr>
            <w:tcW w:w="946" w:type="dxa"/>
            <w:tcBorders>
              <w:top w:val="nil"/>
              <w:left w:val="nil"/>
              <w:bottom w:val="single" w:sz="4" w:space="0" w:color="auto"/>
              <w:right w:val="nil"/>
            </w:tcBorders>
            <w:shd w:val="clear" w:color="auto" w:fill="auto"/>
            <w:noWrap/>
            <w:vAlign w:val="bottom"/>
            <w:hideMark/>
          </w:tcPr>
          <w:p w14:paraId="208028B0" w14:textId="77777777" w:rsidR="002014D7" w:rsidRPr="002014D7" w:rsidRDefault="002014D7" w:rsidP="004F1515">
            <w:pPr>
              <w:jc w:val="right"/>
              <w:rPr>
                <w:rFonts w:cs="Times New Roman"/>
                <w:b/>
                <w:bCs/>
                <w:color w:val="000000"/>
                <w:sz w:val="20"/>
                <w:szCs w:val="20"/>
              </w:rPr>
            </w:pPr>
            <w:r w:rsidRPr="002014D7">
              <w:rPr>
                <w:rFonts w:cs="Times New Roman"/>
                <w:b/>
                <w:bCs/>
                <w:color w:val="000000"/>
                <w:sz w:val="20"/>
                <w:szCs w:val="20"/>
              </w:rPr>
              <w:t>178</w:t>
            </w:r>
          </w:p>
        </w:tc>
      </w:tr>
      <w:tr w:rsidR="002014D7" w:rsidRPr="00152128" w14:paraId="695536A0" w14:textId="77777777" w:rsidTr="002E54AA">
        <w:trPr>
          <w:trHeight w:val="261"/>
        </w:trPr>
        <w:tc>
          <w:tcPr>
            <w:tcW w:w="4122" w:type="dxa"/>
            <w:tcBorders>
              <w:top w:val="nil"/>
              <w:left w:val="nil"/>
              <w:bottom w:val="nil"/>
              <w:right w:val="nil"/>
            </w:tcBorders>
            <w:shd w:val="clear" w:color="auto" w:fill="auto"/>
            <w:noWrap/>
            <w:vAlign w:val="bottom"/>
            <w:hideMark/>
          </w:tcPr>
          <w:p w14:paraId="41618AFF" w14:textId="77777777" w:rsidR="002014D7" w:rsidRPr="00152128" w:rsidRDefault="002014D7" w:rsidP="00152128">
            <w:pPr>
              <w:rPr>
                <w:rFonts w:cs="Times New Roman"/>
                <w:b/>
                <w:bCs/>
                <w:color w:val="000000"/>
                <w:sz w:val="16"/>
                <w:szCs w:val="16"/>
              </w:rPr>
            </w:pPr>
          </w:p>
        </w:tc>
        <w:tc>
          <w:tcPr>
            <w:tcW w:w="1282" w:type="dxa"/>
            <w:tcBorders>
              <w:top w:val="nil"/>
              <w:left w:val="nil"/>
              <w:bottom w:val="nil"/>
              <w:right w:val="nil"/>
            </w:tcBorders>
            <w:shd w:val="clear" w:color="auto" w:fill="auto"/>
            <w:noWrap/>
            <w:vAlign w:val="bottom"/>
            <w:hideMark/>
          </w:tcPr>
          <w:p w14:paraId="561E2EBA" w14:textId="77777777" w:rsidR="002014D7" w:rsidRPr="00152128" w:rsidRDefault="002014D7" w:rsidP="004F1515">
            <w:pPr>
              <w:rPr>
                <w:rFonts w:cs="Times New Roman"/>
                <w:sz w:val="16"/>
                <w:szCs w:val="16"/>
              </w:rPr>
            </w:pPr>
          </w:p>
        </w:tc>
        <w:tc>
          <w:tcPr>
            <w:tcW w:w="946" w:type="dxa"/>
            <w:tcBorders>
              <w:top w:val="nil"/>
              <w:left w:val="nil"/>
              <w:bottom w:val="nil"/>
              <w:right w:val="nil"/>
            </w:tcBorders>
            <w:shd w:val="clear" w:color="auto" w:fill="auto"/>
            <w:noWrap/>
            <w:vAlign w:val="bottom"/>
            <w:hideMark/>
          </w:tcPr>
          <w:p w14:paraId="5EF38A75" w14:textId="77777777" w:rsidR="002014D7" w:rsidRPr="00152128" w:rsidRDefault="002014D7" w:rsidP="004F1515">
            <w:pPr>
              <w:rPr>
                <w:rFonts w:cs="Times New Roman"/>
                <w:sz w:val="16"/>
                <w:szCs w:val="16"/>
              </w:rPr>
            </w:pPr>
          </w:p>
        </w:tc>
        <w:tc>
          <w:tcPr>
            <w:tcW w:w="946" w:type="dxa"/>
            <w:tcBorders>
              <w:top w:val="nil"/>
              <w:left w:val="nil"/>
              <w:bottom w:val="nil"/>
              <w:right w:val="nil"/>
            </w:tcBorders>
            <w:shd w:val="clear" w:color="auto" w:fill="auto"/>
            <w:noWrap/>
            <w:vAlign w:val="bottom"/>
            <w:hideMark/>
          </w:tcPr>
          <w:p w14:paraId="40139221" w14:textId="77777777" w:rsidR="002014D7" w:rsidRPr="00152128" w:rsidRDefault="002014D7" w:rsidP="004F1515">
            <w:pPr>
              <w:rPr>
                <w:rFonts w:cs="Times New Roman"/>
                <w:sz w:val="16"/>
                <w:szCs w:val="16"/>
              </w:rPr>
            </w:pPr>
          </w:p>
        </w:tc>
        <w:tc>
          <w:tcPr>
            <w:tcW w:w="946" w:type="dxa"/>
            <w:tcBorders>
              <w:top w:val="nil"/>
              <w:left w:val="nil"/>
              <w:bottom w:val="nil"/>
              <w:right w:val="nil"/>
            </w:tcBorders>
            <w:shd w:val="clear" w:color="auto" w:fill="auto"/>
            <w:noWrap/>
            <w:vAlign w:val="bottom"/>
            <w:hideMark/>
          </w:tcPr>
          <w:p w14:paraId="49D9DDD8" w14:textId="77777777" w:rsidR="002014D7" w:rsidRPr="00152128" w:rsidRDefault="002014D7" w:rsidP="004F1515">
            <w:pPr>
              <w:rPr>
                <w:rFonts w:cs="Times New Roman"/>
                <w:sz w:val="16"/>
                <w:szCs w:val="16"/>
              </w:rPr>
            </w:pPr>
          </w:p>
        </w:tc>
        <w:tc>
          <w:tcPr>
            <w:tcW w:w="946" w:type="dxa"/>
            <w:tcBorders>
              <w:top w:val="nil"/>
              <w:left w:val="nil"/>
              <w:bottom w:val="nil"/>
              <w:right w:val="nil"/>
            </w:tcBorders>
            <w:shd w:val="clear" w:color="auto" w:fill="auto"/>
            <w:noWrap/>
            <w:hideMark/>
          </w:tcPr>
          <w:p w14:paraId="462089D9" w14:textId="77777777" w:rsidR="002014D7" w:rsidRPr="00152128" w:rsidRDefault="002014D7" w:rsidP="004F1515">
            <w:pPr>
              <w:jc w:val="right"/>
              <w:rPr>
                <w:rFonts w:cs="Times New Roman"/>
                <w:color w:val="000000"/>
                <w:sz w:val="16"/>
                <w:szCs w:val="16"/>
              </w:rPr>
            </w:pPr>
            <w:r w:rsidRPr="00152128">
              <w:rPr>
                <w:rFonts w:cs="Times New Roman"/>
                <w:color w:val="000000"/>
                <w:sz w:val="16"/>
                <w:szCs w:val="16"/>
              </w:rPr>
              <w:t>Zdroj: RIS</w:t>
            </w:r>
          </w:p>
        </w:tc>
      </w:tr>
    </w:tbl>
    <w:p w14:paraId="773A2532" w14:textId="23D8F8FE" w:rsidR="002014D7" w:rsidRPr="00152128" w:rsidRDefault="00152128" w:rsidP="00152128">
      <w:pPr>
        <w:spacing w:before="240" w:after="120"/>
        <w:jc w:val="both"/>
        <w:rPr>
          <w:b/>
          <w:color w:val="2C9ADC" w:themeColor="accent1"/>
        </w:rPr>
      </w:pPr>
      <w:r>
        <w:rPr>
          <w:b/>
          <w:color w:val="2C9ADC" w:themeColor="accent1"/>
        </w:rPr>
        <w:t>Zodpovednosť a termíny</w:t>
      </w:r>
    </w:p>
    <w:p w14:paraId="49A6F5B0" w14:textId="77777777" w:rsidR="00257D27" w:rsidRPr="00257D27" w:rsidRDefault="00257D27" w:rsidP="00257D27">
      <w:pPr>
        <w:spacing w:before="240" w:after="120"/>
        <w:jc w:val="both"/>
      </w:pPr>
      <w:r w:rsidRPr="00257D27">
        <w:t>Za revíziu je zodpovedné MF SR, ktoré ju vypracuje v spolupráci s MV SR. Pre potreby vypracovania analýz vyššie zmienených oblastí sa MV SR a MF SR zaväzujú k súčinnosti pri poskytovaní kompletných a detailných údajov a informácií. Revízia výdavkov Ministerstva vnútra SR bude vypracovaná a zverejnená do konca apríla 2020.</w:t>
      </w:r>
    </w:p>
    <w:p w14:paraId="28779C0A" w14:textId="77777777" w:rsidR="00206B5F" w:rsidRDefault="00206B5F">
      <w:r>
        <w:br w:type="page"/>
      </w:r>
    </w:p>
    <w:p w14:paraId="6DFD9788" w14:textId="4E3166B3" w:rsidR="001A095A" w:rsidRPr="00684201" w:rsidRDefault="00206B5F" w:rsidP="00684201">
      <w:pPr>
        <w:pStyle w:val="Nadpis3"/>
        <w:spacing w:after="120"/>
        <w:rPr>
          <w:color w:val="2C9ADC" w:themeColor="accent1"/>
          <w:sz w:val="24"/>
          <w:szCs w:val="24"/>
        </w:rPr>
      </w:pPr>
      <w:r w:rsidRPr="00684201">
        <w:rPr>
          <w:color w:val="2C9ADC" w:themeColor="accent1"/>
          <w:sz w:val="24"/>
          <w:szCs w:val="24"/>
        </w:rPr>
        <w:t>Externá príloha</w:t>
      </w:r>
      <w:r w:rsidR="00E37246" w:rsidRPr="00684201">
        <w:rPr>
          <w:color w:val="2C9ADC" w:themeColor="accent1"/>
          <w:sz w:val="24"/>
          <w:szCs w:val="24"/>
        </w:rPr>
        <w:t xml:space="preserve"> 1</w:t>
      </w:r>
      <w:r w:rsidRPr="00684201">
        <w:rPr>
          <w:color w:val="2C9ADC" w:themeColor="accent1"/>
          <w:sz w:val="24"/>
          <w:szCs w:val="24"/>
        </w:rPr>
        <w:t xml:space="preserve"> - SÚHRNNÁ IMPLEMENTAČNÁ SPRÁVA ZA ROK 2018 (Zdravotníctvo, doprava, informatizácia, vzdelávanie, životné prostredie, trh práce a sociálne politiky)</w:t>
      </w:r>
    </w:p>
    <w:p w14:paraId="5223E2F0" w14:textId="45998E5D" w:rsidR="00206B5F" w:rsidRDefault="00206B5F" w:rsidP="00DD462A">
      <w:pPr>
        <w:jc w:val="both"/>
      </w:pPr>
      <w:r>
        <w:t xml:space="preserve">Materiál je </w:t>
      </w:r>
      <w:r w:rsidR="00326266">
        <w:t xml:space="preserve">externou prílohou </w:t>
      </w:r>
      <w:r w:rsidR="008A63E4">
        <w:t>Programu stability Slovenskej republiky na roky 2019-2022</w:t>
      </w:r>
    </w:p>
    <w:sectPr w:rsidR="00206B5F" w:rsidSect="0090687F">
      <w:headerReference w:type="default" r:id="rId50"/>
      <w:footerReference w:type="default" r:id="rId51"/>
      <w:headerReference w:type="first" r:id="rId52"/>
      <w:type w:val="continuous"/>
      <w:pgSz w:w="11906" w:h="16838" w:code="9"/>
      <w:pgMar w:top="1276" w:right="1418" w:bottom="1418" w:left="1418"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18469" w14:textId="77777777" w:rsidR="00CF7F90" w:rsidRDefault="00CF7F90" w:rsidP="001543E7">
      <w:r>
        <w:separator/>
      </w:r>
    </w:p>
  </w:endnote>
  <w:endnote w:type="continuationSeparator" w:id="0">
    <w:p w14:paraId="7FE22D8F" w14:textId="77777777" w:rsidR="00CF7F90" w:rsidRDefault="00CF7F90" w:rsidP="001543E7">
      <w:r>
        <w:continuationSeparator/>
      </w:r>
    </w:p>
  </w:endnote>
  <w:endnote w:type="continuationNotice" w:id="1">
    <w:p w14:paraId="079D841B" w14:textId="77777777" w:rsidR="00CF7F90" w:rsidRDefault="00CF7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Book Antiqua">
    <w:altName w:val="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eueHaasGroteskText W02">
    <w:panose1 w:val="020B0504020202020204"/>
    <w:charset w:val="EE"/>
    <w:family w:val="swiss"/>
    <w:pitch w:val="variable"/>
    <w:sig w:usb0="800000AF" w:usb1="4000204A" w:usb2="00000000" w:usb3="00000000" w:csb0="00000093"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39428"/>
      <w:docPartObj>
        <w:docPartGallery w:val="Page Numbers (Bottom of Page)"/>
        <w:docPartUnique/>
      </w:docPartObj>
    </w:sdtPr>
    <w:sdtEndPr/>
    <w:sdtContent>
      <w:p w14:paraId="6F4C93DD" w14:textId="144F97ED" w:rsidR="00D52A81" w:rsidRDefault="00D52A81">
        <w:pPr>
          <w:pStyle w:val="Pta"/>
          <w:jc w:val="center"/>
        </w:pPr>
        <w:r>
          <w:fldChar w:fldCharType="begin"/>
        </w:r>
        <w:r>
          <w:instrText>PAGE   \* MERGEFORMAT</w:instrText>
        </w:r>
        <w:r>
          <w:fldChar w:fldCharType="separate"/>
        </w:r>
        <w:r w:rsidR="003A4E18">
          <w:rPr>
            <w:noProof/>
          </w:rPr>
          <w:t>54</w:t>
        </w:r>
        <w:r>
          <w:fldChar w:fldCharType="end"/>
        </w:r>
      </w:p>
    </w:sdtContent>
  </w:sdt>
  <w:p w14:paraId="67D16664" w14:textId="77777777" w:rsidR="00D52A81" w:rsidRPr="008D4615" w:rsidRDefault="00D52A81" w:rsidP="008D4615">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9E48C" w14:textId="77777777" w:rsidR="00CF7F90" w:rsidRDefault="00CF7F90" w:rsidP="001543E7">
      <w:r>
        <w:separator/>
      </w:r>
    </w:p>
  </w:footnote>
  <w:footnote w:type="continuationSeparator" w:id="0">
    <w:p w14:paraId="40DC7E38" w14:textId="77777777" w:rsidR="00CF7F90" w:rsidRDefault="00CF7F90" w:rsidP="001543E7">
      <w:r>
        <w:continuationSeparator/>
      </w:r>
    </w:p>
  </w:footnote>
  <w:footnote w:type="continuationNotice" w:id="1">
    <w:p w14:paraId="4E4191FB" w14:textId="77777777" w:rsidR="00CF7F90" w:rsidRDefault="00CF7F90"/>
  </w:footnote>
  <w:footnote w:id="2">
    <w:p w14:paraId="689CF572" w14:textId="77777777" w:rsidR="00D52A81" w:rsidRPr="00B64B02" w:rsidRDefault="00D52A81" w:rsidP="001A095A">
      <w:pPr>
        <w:pStyle w:val="Textpoznmkypodiarou"/>
        <w:rPr>
          <w:sz w:val="16"/>
          <w:szCs w:val="16"/>
        </w:rPr>
      </w:pPr>
      <w:r w:rsidRPr="00B64B02">
        <w:rPr>
          <w:rStyle w:val="Odkaznapoznmkupodiarou"/>
          <w:sz w:val="16"/>
          <w:szCs w:val="16"/>
        </w:rPr>
        <w:footnoteRef/>
      </w:r>
      <w:r w:rsidRPr="00B64B02">
        <w:rPr>
          <w:sz w:val="16"/>
          <w:szCs w:val="16"/>
        </w:rPr>
        <w:t xml:space="preserve"> </w:t>
      </w:r>
      <w:hyperlink r:id="rId1" w:history="1">
        <w:r w:rsidRPr="00684201">
          <w:rPr>
            <w:rStyle w:val="Hypertextovprepojenie"/>
            <w:rFonts w:cs="Book Antiqua"/>
            <w:color w:val="2C9ADC" w:themeColor="accent1"/>
            <w:sz w:val="16"/>
            <w:szCs w:val="16"/>
          </w:rPr>
          <w:t>Prognóza Výboru pre makroekonomické prognózy.</w:t>
        </w:r>
      </w:hyperlink>
    </w:p>
  </w:footnote>
  <w:footnote w:id="3">
    <w:p w14:paraId="6881156A" w14:textId="77777777" w:rsidR="00D52A81" w:rsidRPr="00A4622D" w:rsidRDefault="00D52A81" w:rsidP="001A095A">
      <w:pPr>
        <w:ind w:left="170" w:hanging="170"/>
        <w:jc w:val="both"/>
        <w:rPr>
          <w:sz w:val="16"/>
          <w:szCs w:val="16"/>
        </w:rPr>
      </w:pPr>
      <w:r w:rsidRPr="00A4622D">
        <w:rPr>
          <w:rStyle w:val="Odkaznapoznmkupodiarou"/>
          <w:i/>
          <w:sz w:val="16"/>
          <w:szCs w:val="16"/>
        </w:rPr>
        <w:footnoteRef/>
      </w:r>
      <w:r w:rsidRPr="00A4622D">
        <w:rPr>
          <w:i/>
          <w:sz w:val="16"/>
          <w:szCs w:val="16"/>
        </w:rPr>
        <w:t xml:space="preserve"> </w:t>
      </w:r>
      <w:r>
        <w:rPr>
          <w:sz w:val="16"/>
          <w:szCs w:val="16"/>
        </w:rPr>
        <w:t>Prognóza pre roky 2019 až 2022</w:t>
      </w:r>
      <w:r w:rsidRPr="00A4622D">
        <w:rPr>
          <w:sz w:val="16"/>
          <w:szCs w:val="16"/>
        </w:rPr>
        <w:t xml:space="preserve"> bola schválená Výborom pre makroekonomické prognózy v</w:t>
      </w:r>
      <w:r>
        <w:rPr>
          <w:sz w:val="16"/>
          <w:szCs w:val="16"/>
        </w:rPr>
        <w:t> </w:t>
      </w:r>
      <w:r w:rsidRPr="00A4622D">
        <w:rPr>
          <w:sz w:val="16"/>
          <w:szCs w:val="16"/>
        </w:rPr>
        <w:t>januári</w:t>
      </w:r>
      <w:r>
        <w:rPr>
          <w:sz w:val="16"/>
          <w:szCs w:val="16"/>
        </w:rPr>
        <w:t xml:space="preserve"> 2019 a oficiálne zverejnená vo februári 2019.</w:t>
      </w:r>
    </w:p>
  </w:footnote>
  <w:footnote w:id="4">
    <w:p w14:paraId="3B1F7F24" w14:textId="77777777" w:rsidR="00D52A81" w:rsidRPr="00A4622D" w:rsidRDefault="00D52A81" w:rsidP="001A095A">
      <w:pPr>
        <w:ind w:left="170" w:hanging="170"/>
        <w:jc w:val="both"/>
        <w:rPr>
          <w:sz w:val="16"/>
          <w:szCs w:val="16"/>
        </w:rPr>
      </w:pPr>
      <w:r w:rsidRPr="00A4622D">
        <w:rPr>
          <w:rStyle w:val="Odkaznapoznmkupodiarou"/>
          <w:i/>
          <w:sz w:val="16"/>
          <w:szCs w:val="16"/>
        </w:rPr>
        <w:footnoteRef/>
      </w:r>
      <w:r w:rsidRPr="00A4622D">
        <w:rPr>
          <w:i/>
          <w:sz w:val="16"/>
          <w:szCs w:val="16"/>
        </w:rPr>
        <w:t xml:space="preserve"> </w:t>
      </w:r>
      <w:r w:rsidRPr="00A4622D">
        <w:rPr>
          <w:sz w:val="16"/>
          <w:szCs w:val="16"/>
        </w:rPr>
        <w:t>V nasledujúcom texte budeme pod spotrebou domácností rozumieť spotrebu domácností a neziskových inštitúcií slúžiacim domácnostiam (NISD).</w:t>
      </w:r>
    </w:p>
  </w:footnote>
  <w:footnote w:id="5">
    <w:p w14:paraId="425D56AE" w14:textId="77777777" w:rsidR="00D52A81" w:rsidRPr="00B6270A" w:rsidRDefault="00D52A81" w:rsidP="001A095A">
      <w:pPr>
        <w:rPr>
          <w:sz w:val="16"/>
          <w:szCs w:val="16"/>
        </w:rPr>
      </w:pPr>
      <w:r w:rsidRPr="00B6270A">
        <w:rPr>
          <w:rStyle w:val="Odkaznapoznmkupodiarou"/>
          <w:sz w:val="16"/>
          <w:szCs w:val="16"/>
        </w:rPr>
        <w:footnoteRef/>
      </w:r>
      <w:r w:rsidRPr="00B6270A">
        <w:rPr>
          <w:sz w:val="16"/>
          <w:szCs w:val="16"/>
        </w:rPr>
        <w:t xml:space="preserve"> </w:t>
      </w:r>
      <w:r w:rsidRPr="009D181A">
        <w:rPr>
          <w:iCs/>
          <w:color w:val="000000" w:themeColor="text1"/>
          <w:sz w:val="16"/>
          <w:szCs w:val="16"/>
        </w:rPr>
        <w:t>Parlament 3. apríla 2019 schválil zrušenie osobitného odvodu obchodných reťazcov. Program stability 2019 vychádza z februárovej makroekonomickej prognózy, ktorá túto zmenu legislatívy ešte nezohľadňovala.</w:t>
      </w:r>
    </w:p>
  </w:footnote>
  <w:footnote w:id="6">
    <w:p w14:paraId="11D31972" w14:textId="77777777" w:rsidR="00D52A81" w:rsidRPr="009D181A" w:rsidRDefault="00D52A81" w:rsidP="001A095A">
      <w:pPr>
        <w:pStyle w:val="Textpoznmkypodiarou"/>
        <w:jc w:val="both"/>
        <w:rPr>
          <w:sz w:val="16"/>
          <w:szCs w:val="16"/>
        </w:rPr>
      </w:pPr>
      <w:r w:rsidRPr="009D181A">
        <w:rPr>
          <w:rStyle w:val="Odkaznapoznmkupodiarou"/>
          <w:sz w:val="16"/>
          <w:szCs w:val="16"/>
        </w:rPr>
        <w:footnoteRef/>
      </w:r>
      <w:r w:rsidRPr="009D181A">
        <w:rPr>
          <w:sz w:val="16"/>
          <w:szCs w:val="16"/>
        </w:rPr>
        <w:t xml:space="preserve"> Niektoré rizikové scenáre obsahuje Kapitola </w:t>
      </w:r>
      <w:r w:rsidRPr="009D181A">
        <w:rPr>
          <w:rFonts w:cs="Times New Roman"/>
          <w:sz w:val="16"/>
          <w:szCs w:val="16"/>
        </w:rPr>
        <w:t>3.1</w:t>
      </w:r>
      <w:r w:rsidRPr="009D181A">
        <w:rPr>
          <w:sz w:val="16"/>
          <w:szCs w:val="16"/>
        </w:rPr>
        <w:t>.</w:t>
      </w:r>
    </w:p>
  </w:footnote>
  <w:footnote w:id="7">
    <w:p w14:paraId="6A83E1C9" w14:textId="77777777" w:rsidR="00D52A81" w:rsidRDefault="00D52A81" w:rsidP="001A095A">
      <w:pPr>
        <w:pStyle w:val="Textpoznmkypodiarou"/>
        <w:jc w:val="both"/>
      </w:pPr>
      <w:r w:rsidRPr="00E7476A">
        <w:rPr>
          <w:rStyle w:val="Odkaznapoznmkupodiarou"/>
          <w:sz w:val="16"/>
        </w:rPr>
        <w:footnoteRef/>
      </w:r>
      <w:r w:rsidRPr="00E7476A">
        <w:rPr>
          <w:sz w:val="16"/>
        </w:rPr>
        <w:t xml:space="preserve"> </w:t>
      </w:r>
      <w:r w:rsidRPr="009217CB">
        <w:rPr>
          <w:sz w:val="16"/>
        </w:rPr>
        <w:t>Makroekonomická prognóza na ktorej je postavený Program stability 2019 bola schválená výborom pre makroekonomické prognózy 4. februára 2019. Program stability 2019 vychádza z dodatočných údajov dostupných k aprílu 2019, ako aj rozhodnutí vlády na základe aktualizácie makroekonomického vývoja a aktuálneho výberu daní a odvodov. Makroekonomická prognóza predpokladá vyššie čerpanie EU fondov vzhľadom na to, že vychádza z historických trendov ako aj objemu nevyčerpaných výdavkov prenesených z minulých rokov. Výdavky financované z EÚ fondov, ktoré boli ro</w:t>
      </w:r>
      <w:r>
        <w:rPr>
          <w:sz w:val="16"/>
        </w:rPr>
        <w:t>zpočtované v minulých rokoch a</w:t>
      </w:r>
      <w:r w:rsidRPr="009217CB">
        <w:rPr>
          <w:sz w:val="16"/>
        </w:rPr>
        <w:t xml:space="preserve"> neboli vyčerpané, je možné preniesť do nasledujúceho obdobia. V roku 2019 predstavovali prenesené výdavky financované z </w:t>
      </w:r>
      <w:r w:rsidRPr="00BF6088">
        <w:rPr>
          <w:sz w:val="16"/>
        </w:rPr>
        <w:t>EÚ fondov 2,96</w:t>
      </w:r>
      <w:r>
        <w:rPr>
          <w:sz w:val="16"/>
        </w:rPr>
        <w:t xml:space="preserve"> </w:t>
      </w:r>
      <w:r w:rsidRPr="00BF6088">
        <w:rPr>
          <w:sz w:val="16"/>
        </w:rPr>
        <w:t xml:space="preserve">mld. </w:t>
      </w:r>
      <w:r>
        <w:rPr>
          <w:sz w:val="16"/>
        </w:rPr>
        <w:t>e</w:t>
      </w:r>
      <w:r w:rsidRPr="00BF6088">
        <w:rPr>
          <w:sz w:val="16"/>
        </w:rPr>
        <w:t>ur</w:t>
      </w:r>
      <w:r w:rsidRPr="009217CB">
        <w:rPr>
          <w:sz w:val="16"/>
        </w:rPr>
        <w:t>. Tieto zdroje je možné čerpať v nasledujúcom období aj keď nie sú súčasťou pripravovaného rozpočtu na roky 2020 až 2022. Program stability 2019 uvažuje s rezervou na náklady na kofinancovanie z titulu rýchlejšieho čerpania EU fondov.</w:t>
      </w:r>
    </w:p>
  </w:footnote>
  <w:footnote w:id="8">
    <w:p w14:paraId="1ED64342" w14:textId="49AF9040" w:rsidR="00284902" w:rsidRPr="00284902" w:rsidRDefault="00284902">
      <w:pPr>
        <w:pStyle w:val="Textpoznmkypodiarou"/>
        <w:rPr>
          <w:sz w:val="16"/>
          <w:szCs w:val="16"/>
        </w:rPr>
      </w:pPr>
      <w:r w:rsidRPr="00284902">
        <w:rPr>
          <w:rStyle w:val="Odkaznapoznmkupodiarou"/>
          <w:sz w:val="16"/>
          <w:szCs w:val="16"/>
        </w:rPr>
        <w:footnoteRef/>
      </w:r>
      <w:r w:rsidRPr="00284902">
        <w:rPr>
          <w:sz w:val="16"/>
          <w:szCs w:val="16"/>
        </w:rPr>
        <w:t xml:space="preserve"> Tento vývoj sa zopakoval aj v 4. </w:t>
      </w:r>
      <w:r w:rsidR="00684201">
        <w:rPr>
          <w:sz w:val="16"/>
          <w:szCs w:val="16"/>
        </w:rPr>
        <w:t>kvartáli</w:t>
      </w:r>
      <w:r w:rsidRPr="00284902">
        <w:rPr>
          <w:sz w:val="16"/>
          <w:szCs w:val="16"/>
        </w:rPr>
        <w:t xml:space="preserve"> (po uzávierke predpokladov prognózy Výboru).</w:t>
      </w:r>
    </w:p>
  </w:footnote>
  <w:footnote w:id="9">
    <w:p w14:paraId="67977485" w14:textId="36339411" w:rsidR="00D315A5" w:rsidRPr="00D315A5" w:rsidRDefault="00D315A5">
      <w:pPr>
        <w:pStyle w:val="Textpoznmkypodiarou"/>
        <w:rPr>
          <w:sz w:val="16"/>
          <w:szCs w:val="16"/>
        </w:rPr>
      </w:pPr>
      <w:r w:rsidRPr="00D315A5">
        <w:rPr>
          <w:rStyle w:val="Odkaznapoznmkupodiarou"/>
          <w:sz w:val="16"/>
          <w:szCs w:val="16"/>
        </w:rPr>
        <w:footnoteRef/>
      </w:r>
      <w:r w:rsidRPr="00D315A5">
        <w:rPr>
          <w:sz w:val="16"/>
          <w:szCs w:val="16"/>
        </w:rPr>
        <w:t xml:space="preserve"> Údaje za 4. kvartál neboli v čase januárovej prognózy ešte dostupné.</w:t>
      </w:r>
    </w:p>
  </w:footnote>
  <w:footnote w:id="10">
    <w:p w14:paraId="53B18EBB" w14:textId="77777777" w:rsidR="00D52A81" w:rsidRPr="00265FD8" w:rsidRDefault="00D52A81" w:rsidP="00BD53AF">
      <w:pPr>
        <w:pStyle w:val="Textpoznmkypodiarou"/>
        <w:rPr>
          <w:sz w:val="16"/>
          <w:szCs w:val="16"/>
        </w:rPr>
      </w:pPr>
      <w:r w:rsidRPr="00265FD8">
        <w:rPr>
          <w:rStyle w:val="Odkaznapoznmkupodiarou"/>
          <w:sz w:val="16"/>
          <w:szCs w:val="16"/>
        </w:rPr>
        <w:footnoteRef/>
      </w:r>
      <w:r w:rsidRPr="00265FD8">
        <w:rPr>
          <w:sz w:val="16"/>
          <w:szCs w:val="16"/>
        </w:rPr>
        <w:t xml:space="preserve"> Prognóza Výboru pre daňové prognózy z 8.2.2019.</w:t>
      </w:r>
    </w:p>
  </w:footnote>
  <w:footnote w:id="11">
    <w:p w14:paraId="5DBD7938" w14:textId="77777777" w:rsidR="00D52A81" w:rsidRPr="00265FD8" w:rsidRDefault="00D52A81" w:rsidP="00BD53AF">
      <w:pPr>
        <w:pStyle w:val="Textpoznmkypodiarou"/>
        <w:rPr>
          <w:sz w:val="16"/>
          <w:szCs w:val="16"/>
        </w:rPr>
      </w:pPr>
      <w:r w:rsidRPr="00265FD8">
        <w:rPr>
          <w:rStyle w:val="Odkaznapoznmkupodiarou"/>
          <w:sz w:val="16"/>
          <w:szCs w:val="16"/>
        </w:rPr>
        <w:footnoteRef/>
      </w:r>
      <w:r w:rsidRPr="00265FD8">
        <w:rPr>
          <w:sz w:val="16"/>
          <w:szCs w:val="16"/>
        </w:rPr>
        <w:t xml:space="preserve"> Rozpočet uvažoval s tržbami EOSA na položke daňových príjmov ale notifikácia ich zaraďuje na nedaňové príjmy. </w:t>
      </w:r>
    </w:p>
  </w:footnote>
  <w:footnote w:id="12">
    <w:p w14:paraId="48E038A7" w14:textId="77777777" w:rsidR="00D52A81" w:rsidRPr="004A47E1" w:rsidRDefault="00D52A81" w:rsidP="00BD53AF">
      <w:pPr>
        <w:pStyle w:val="Textpoznmkypodiarou"/>
        <w:rPr>
          <w:sz w:val="16"/>
          <w:szCs w:val="16"/>
        </w:rPr>
      </w:pPr>
      <w:r w:rsidRPr="004A47E1">
        <w:rPr>
          <w:rStyle w:val="Odkaznapoznmkupodiarou"/>
          <w:sz w:val="16"/>
          <w:szCs w:val="16"/>
        </w:rPr>
        <w:footnoteRef/>
      </w:r>
      <w:r w:rsidRPr="004A47E1">
        <w:rPr>
          <w:sz w:val="16"/>
          <w:szCs w:val="16"/>
        </w:rPr>
        <w:t xml:space="preserve"> V dosiahnutých príjmoch nie sú zaznamenané jednorazovo vyššie príjmy sociálnej poisťovne v súvislosti s oddlžením zdravotníckych zariadení (na rozdiel od popisu očakávanej skutočnosti v Návrhu rozpočtového plánu na rok 2019)</w:t>
      </w:r>
      <w:r>
        <w:rPr>
          <w:sz w:val="16"/>
          <w:szCs w:val="16"/>
        </w:rPr>
        <w:t>.</w:t>
      </w:r>
    </w:p>
  </w:footnote>
  <w:footnote w:id="13">
    <w:p w14:paraId="20CBA1CC" w14:textId="77777777" w:rsidR="00D52A81" w:rsidRPr="00265FD8" w:rsidRDefault="00D52A81" w:rsidP="00BD53AF">
      <w:pPr>
        <w:pStyle w:val="Textpoznmkypodiarou"/>
        <w:rPr>
          <w:sz w:val="16"/>
          <w:szCs w:val="16"/>
        </w:rPr>
      </w:pPr>
      <w:r w:rsidRPr="00265FD8">
        <w:rPr>
          <w:rStyle w:val="Odkaznapoznmkupodiarou"/>
          <w:sz w:val="16"/>
          <w:szCs w:val="16"/>
        </w:rPr>
        <w:footnoteRef/>
      </w:r>
      <w:r w:rsidRPr="00265FD8">
        <w:rPr>
          <w:sz w:val="16"/>
          <w:szCs w:val="16"/>
        </w:rPr>
        <w:t xml:space="preserve"> </w:t>
      </w:r>
      <w:r w:rsidRPr="00265FD8">
        <w:rPr>
          <w:rFonts w:eastAsiaTheme="minorHAnsi" w:cstheme="minorBidi"/>
          <w:sz w:val="16"/>
          <w:szCs w:val="16"/>
        </w:rPr>
        <w:t>Tento vplyv zohľadňuje aj úspešnosť výberu, existujúce výnimky, oslobodenia a zmenu správania sa daňových subjektov ale aj chybu prognózy.</w:t>
      </w:r>
    </w:p>
  </w:footnote>
  <w:footnote w:id="14">
    <w:p w14:paraId="35F429B6" w14:textId="06BC4035" w:rsidR="00D52A81" w:rsidRDefault="00D52A81">
      <w:pPr>
        <w:pStyle w:val="Textpoznmkypodiarou"/>
      </w:pPr>
      <w:r w:rsidRPr="00B66D6A">
        <w:rPr>
          <w:rStyle w:val="Odkaznapoznmkupodiarou"/>
          <w:sz w:val="16"/>
          <w:szCs w:val="16"/>
        </w:rPr>
        <w:footnoteRef/>
      </w:r>
      <w:r w:rsidRPr="00B66D6A">
        <w:rPr>
          <w:sz w:val="16"/>
          <w:szCs w:val="16"/>
        </w:rPr>
        <w:t xml:space="preserve"> </w:t>
      </w:r>
      <w:r w:rsidRPr="00B66D6A">
        <w:rPr>
          <w:rFonts w:eastAsiaTheme="minorHAnsi" w:cstheme="minorBidi"/>
          <w:sz w:val="16"/>
          <w:szCs w:val="16"/>
        </w:rPr>
        <w:t>Schválený rozpočet daňových a odvodových príjmov podľa EKRK neobsahoval výnos z odvodu časti poistného z povinného zmluvného poistenia zodpovednosti za škodu spôsobenú prevádzkou motorového vozidla. Tento výnos vo výške 23 mil. eur bol rozpočtovaný ako nedaňový príjem podľa EKRK. Odvod bol preklasifikovaný na daňový a v aktuálnom odhade daňových príjmov je tento odvod už započítaný (26,7 mil. eur). Z tohto dôvodu je vplyv na deficit len 3,7 mil. eur.</w:t>
      </w:r>
    </w:p>
  </w:footnote>
  <w:footnote w:id="15">
    <w:p w14:paraId="3F0AD252" w14:textId="77777777" w:rsidR="00D52A81" w:rsidRPr="006833F6" w:rsidRDefault="00D52A81" w:rsidP="00BD53AF">
      <w:pPr>
        <w:pStyle w:val="Textpoznmkypodiarou"/>
        <w:rPr>
          <w:sz w:val="16"/>
          <w:szCs w:val="16"/>
        </w:rPr>
      </w:pPr>
      <w:r w:rsidRPr="006833F6">
        <w:rPr>
          <w:rStyle w:val="Odkaznapoznmkupodiarou"/>
          <w:sz w:val="16"/>
          <w:szCs w:val="16"/>
        </w:rPr>
        <w:footnoteRef/>
      </w:r>
      <w:r w:rsidRPr="006833F6">
        <w:rPr>
          <w:sz w:val="16"/>
          <w:szCs w:val="16"/>
        </w:rPr>
        <w:t xml:space="preserve"> </w:t>
      </w:r>
      <w:r w:rsidRPr="00265FD8">
        <w:rPr>
          <w:sz w:val="16"/>
          <w:szCs w:val="16"/>
        </w:rPr>
        <w:t>Agentúra pre riadenie dlhu a likvidity rozpočtuje čistý vplyv úrokov len na výdavkovej strane zatiaľ čo notifikované údaje Eurostatom uvažujú s príjmami aj výdavkami.</w:t>
      </w:r>
    </w:p>
  </w:footnote>
  <w:footnote w:id="16">
    <w:p w14:paraId="1D336B02" w14:textId="77777777" w:rsidR="00D52A81" w:rsidRPr="003B2575" w:rsidRDefault="00D52A81" w:rsidP="00BD53AF">
      <w:pPr>
        <w:pStyle w:val="Textpoznmkypodiarou"/>
        <w:rPr>
          <w:sz w:val="16"/>
          <w:szCs w:val="16"/>
        </w:rPr>
      </w:pPr>
      <w:r w:rsidRPr="003B2575">
        <w:rPr>
          <w:rStyle w:val="Odkaznapoznmkupodiarou"/>
          <w:sz w:val="16"/>
          <w:szCs w:val="16"/>
        </w:rPr>
        <w:footnoteRef/>
      </w:r>
      <w:r w:rsidRPr="003B2575">
        <w:rPr>
          <w:sz w:val="16"/>
          <w:szCs w:val="16"/>
        </w:rPr>
        <w:t xml:space="preserve"> Tieto príjmy sa nerozpočtujú v zmysle zákona o vysokých školách.</w:t>
      </w:r>
    </w:p>
  </w:footnote>
  <w:footnote w:id="17">
    <w:p w14:paraId="793FE7EE" w14:textId="72B8337A" w:rsidR="00D52A81" w:rsidRPr="00D52A81" w:rsidRDefault="00D52A81">
      <w:pPr>
        <w:pStyle w:val="Textpoznmkypodiarou"/>
        <w:rPr>
          <w:sz w:val="16"/>
          <w:szCs w:val="16"/>
        </w:rPr>
      </w:pPr>
      <w:r w:rsidRPr="00D52A81">
        <w:rPr>
          <w:rStyle w:val="Odkaznapoznmkupodiarou"/>
          <w:sz w:val="16"/>
          <w:szCs w:val="16"/>
        </w:rPr>
        <w:footnoteRef/>
      </w:r>
      <w:r w:rsidRPr="00D52A81">
        <w:rPr>
          <w:sz w:val="16"/>
          <w:szCs w:val="16"/>
        </w:rPr>
        <w:t xml:space="preserve"> Rozpočet uvažoval na tejto položke s transferom silovým zložkám, ktorý je v údajoch vykázaných za skutočnosť vykonsolidovaný.</w:t>
      </w:r>
    </w:p>
  </w:footnote>
  <w:footnote w:id="18">
    <w:p w14:paraId="589CEFAF" w14:textId="63C7EEC2" w:rsidR="00D52A81" w:rsidRPr="00265FD8" w:rsidRDefault="00D52A81" w:rsidP="00BD53AF">
      <w:pPr>
        <w:pStyle w:val="Textpoznmkypodiarou"/>
        <w:jc w:val="both"/>
        <w:rPr>
          <w:color w:val="000000" w:themeColor="text1"/>
          <w:sz w:val="16"/>
          <w:szCs w:val="16"/>
        </w:rPr>
      </w:pPr>
      <w:r w:rsidRPr="00265FD8">
        <w:rPr>
          <w:rStyle w:val="Odkaznapoznmkupodiarou"/>
          <w:sz w:val="16"/>
          <w:szCs w:val="16"/>
        </w:rPr>
        <w:footnoteRef/>
      </w:r>
      <w:r>
        <w:rPr>
          <w:sz w:val="16"/>
          <w:szCs w:val="16"/>
        </w:rPr>
        <w:t xml:space="preserve"> </w:t>
      </w:r>
      <w:r w:rsidRPr="00AA4243">
        <w:rPr>
          <w:sz w:val="16"/>
          <w:szCs w:val="16"/>
        </w:rPr>
        <w:t xml:space="preserve">O rozpočtových dopadoch opatrení informoval </w:t>
      </w:r>
      <w:hyperlink r:id="rId2" w:history="1">
        <w:r w:rsidRPr="004D51D3">
          <w:rPr>
            <w:rStyle w:val="Hypertextovprepojenie"/>
            <w:rFonts w:cs="Book Antiqua"/>
            <w:color w:val="2C9ADC" w:themeColor="accent1"/>
            <w:sz w:val="16"/>
            <w:szCs w:val="16"/>
          </w:rPr>
          <w:t>Výbor pre daňové prognózy v decembri 2018</w:t>
        </w:r>
      </w:hyperlink>
      <w:r>
        <w:rPr>
          <w:sz w:val="16"/>
          <w:szCs w:val="16"/>
        </w:rPr>
        <w:t>.</w:t>
      </w:r>
    </w:p>
  </w:footnote>
  <w:footnote w:id="19">
    <w:p w14:paraId="17A4031D" w14:textId="3D0FF87A" w:rsidR="00D52A81" w:rsidRPr="00265FD8" w:rsidRDefault="00D52A81" w:rsidP="00BD53AF">
      <w:pPr>
        <w:jc w:val="both"/>
        <w:rPr>
          <w:rFonts w:cs="Times New Roman"/>
          <w:color w:val="000000" w:themeColor="text1"/>
          <w:sz w:val="16"/>
          <w:szCs w:val="16"/>
        </w:rPr>
      </w:pPr>
      <w:r w:rsidRPr="00265FD8">
        <w:rPr>
          <w:rStyle w:val="Odkaznapoznmkupodiarou"/>
          <w:color w:val="000000" w:themeColor="text1"/>
          <w:sz w:val="16"/>
          <w:szCs w:val="16"/>
        </w:rPr>
        <w:footnoteRef/>
      </w:r>
      <w:r w:rsidRPr="00265FD8">
        <w:rPr>
          <w:color w:val="000000" w:themeColor="text1"/>
          <w:sz w:val="16"/>
          <w:szCs w:val="16"/>
        </w:rPr>
        <w:t xml:space="preserve"> </w:t>
      </w:r>
      <w:r w:rsidRPr="00265FD8">
        <w:rPr>
          <w:iCs/>
          <w:color w:val="000000" w:themeColor="text1"/>
          <w:sz w:val="16"/>
          <w:szCs w:val="16"/>
        </w:rPr>
        <w:t xml:space="preserve">Parlament 3. apríla 2019 schválil zrušenie osobitného odvodu obchodných reťazcov. Rozhodnutie bude mať vplyv na rozpočtovaný výnos odvodu ako aj DPPO. Na pozastavenie účinnosti zákona bude v záujme dodržania deficitu potrebné v priebehu roka reagovať aj na výdavkovej strane. </w:t>
      </w:r>
      <w:r>
        <w:rPr>
          <w:iCs/>
          <w:color w:val="000000" w:themeColor="text1"/>
          <w:sz w:val="16"/>
          <w:szCs w:val="16"/>
        </w:rPr>
        <w:t>Program stability 2019 vychádza z februárovej daňovej prognózy, ktorá túto zmenu legislatívy ešte nezohľadňovala.</w:t>
      </w:r>
    </w:p>
  </w:footnote>
  <w:footnote w:id="20">
    <w:p w14:paraId="0A1830A7" w14:textId="77777777" w:rsidR="00D52A81" w:rsidRPr="00265FD8" w:rsidRDefault="00D52A81" w:rsidP="00BD53AF">
      <w:pPr>
        <w:pStyle w:val="Textpoznmkypodiarou"/>
        <w:ind w:left="113" w:hanging="113"/>
        <w:jc w:val="both"/>
        <w:rPr>
          <w:sz w:val="16"/>
          <w:szCs w:val="16"/>
        </w:rPr>
      </w:pPr>
      <w:r w:rsidRPr="00265FD8">
        <w:rPr>
          <w:rStyle w:val="Odkaznapoznmkupodiarou"/>
          <w:color w:val="000000" w:themeColor="text1"/>
          <w:sz w:val="16"/>
          <w:szCs w:val="16"/>
        </w:rPr>
        <w:footnoteRef/>
      </w:r>
      <w:r w:rsidRPr="00265FD8">
        <w:rPr>
          <w:color w:val="000000" w:themeColor="text1"/>
          <w:sz w:val="16"/>
          <w:szCs w:val="16"/>
        </w:rPr>
        <w:t xml:space="preserve"> Rekreačné poukazy, nižšia DPH na ubytovacie služby, osobitný odvod pre obchodné reťazce a zvýšenie daňového bonusu na dieťa do 6 rokov.</w:t>
      </w:r>
    </w:p>
  </w:footnote>
  <w:footnote w:id="21">
    <w:p w14:paraId="5D0F2439" w14:textId="77777777" w:rsidR="00D52A81" w:rsidRPr="00265FD8" w:rsidRDefault="00D52A81" w:rsidP="00BD53AF">
      <w:pPr>
        <w:pStyle w:val="Textpoznmkypodiarou"/>
        <w:jc w:val="both"/>
        <w:rPr>
          <w:sz w:val="16"/>
          <w:szCs w:val="16"/>
          <w:lang w:eastAsia="sk-SK"/>
        </w:rPr>
      </w:pPr>
      <w:r w:rsidRPr="00265FD8">
        <w:rPr>
          <w:sz w:val="16"/>
          <w:szCs w:val="16"/>
          <w:vertAlign w:val="superscript"/>
          <w:lang w:eastAsia="sk-SK"/>
        </w:rPr>
        <w:footnoteRef/>
      </w:r>
      <w:r w:rsidRPr="00265FD8">
        <w:rPr>
          <w:sz w:val="16"/>
          <w:szCs w:val="16"/>
          <w:vertAlign w:val="superscript"/>
          <w:lang w:eastAsia="sk-SK"/>
        </w:rPr>
        <w:t xml:space="preserve"> </w:t>
      </w:r>
      <w:r w:rsidRPr="00265FD8">
        <w:rPr>
          <w:sz w:val="16"/>
          <w:szCs w:val="16"/>
          <w:lang w:eastAsia="sk-SK"/>
        </w:rPr>
        <w:t>V kontexte legislatívnych požiadaviek Európskeho semestra sa takto stanovený fiškálny rámec Programu stability považuje za národný strednodobý rozpočtový rámec (ďalej len fiškálny rámec). Požiadavka zverejniť národný strednodobý rozpočtový rámec vyplýva z nariadenia Európskeho parlamentu a Rady (EÚ) č. 473/2013. z 21. mája 2013, čl. 4.</w:t>
      </w:r>
    </w:p>
  </w:footnote>
  <w:footnote w:id="22">
    <w:p w14:paraId="3BBA4790" w14:textId="77777777"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V </w:t>
      </w:r>
      <w:r w:rsidRPr="009B73FF">
        <w:rPr>
          <w:sz w:val="16"/>
          <w:szCs w:val="16"/>
        </w:rPr>
        <w:t>skutočnosti je dosiahnuté konsolidačné úsilie v priemere za dva roky 0,5 p. b. HDP, čo znamená hospodárenie bez akejkoľvek odchýlky. Nevýrazná odchýlka vzniká kvôli metodickému „zmrazeniu“ hodnôt podľa údajov z jarnej notifikácie Eurostatu 2018, podľa ktorej deficit v roku 2017 dosiahol 1,04 % HDP, hoci na základe najaktuálnejších údajov dosiahol deficit 0,79 % HDP (t.j. zlepšenie oproti rozpočtovému</w:t>
      </w:r>
      <w:r>
        <w:rPr>
          <w:sz w:val="16"/>
          <w:szCs w:val="16"/>
        </w:rPr>
        <w:t xml:space="preserve"> cieľu o 0,5 p.b.)</w:t>
      </w:r>
    </w:p>
  </w:footnote>
  <w:footnote w:id="23">
    <w:p w14:paraId="6C38D555" w14:textId="361510F1" w:rsidR="00D52A81" w:rsidRPr="00415590" w:rsidRDefault="00D52A81">
      <w:pPr>
        <w:pStyle w:val="Textpoznmkypodiarou"/>
        <w:rPr>
          <w:sz w:val="16"/>
          <w:szCs w:val="16"/>
        </w:rPr>
      </w:pPr>
      <w:r w:rsidRPr="00415590">
        <w:rPr>
          <w:rStyle w:val="Odkaznapoznmkupodiarou"/>
          <w:sz w:val="16"/>
          <w:szCs w:val="16"/>
        </w:rPr>
        <w:footnoteRef/>
      </w:r>
      <w:r w:rsidRPr="00415590">
        <w:rPr>
          <w:sz w:val="16"/>
          <w:szCs w:val="16"/>
        </w:rPr>
        <w:t xml:space="preserve"> </w:t>
      </w:r>
      <w:r>
        <w:rPr>
          <w:sz w:val="16"/>
          <w:szCs w:val="16"/>
        </w:rPr>
        <w:t>Podrobnejšia informácia</w:t>
      </w:r>
      <w:r w:rsidRPr="00415590">
        <w:rPr>
          <w:sz w:val="16"/>
          <w:szCs w:val="16"/>
        </w:rPr>
        <w:t xml:space="preserve"> vo </w:t>
      </w:r>
      <w:hyperlink r:id="rId3" w:history="1">
        <w:r w:rsidRPr="00C725D2">
          <w:rPr>
            <w:rStyle w:val="Hypertextovprepojenie"/>
            <w:rFonts w:cs="Book Antiqua"/>
            <w:color w:val="2C9ADC" w:themeColor="accent1"/>
            <w:sz w:val="16"/>
            <w:szCs w:val="16"/>
          </w:rPr>
          <w:t>Vademecum on Stabilty and Growth Pact</w:t>
        </w:r>
      </w:hyperlink>
      <w:r w:rsidRPr="00C725D2">
        <w:rPr>
          <w:rStyle w:val="Hypertextovprepojenie"/>
          <w:rFonts w:cs="Book Antiqua"/>
          <w:color w:val="2C9ADC" w:themeColor="accent1"/>
          <w:sz w:val="16"/>
          <w:szCs w:val="16"/>
        </w:rPr>
        <w:t>.</w:t>
      </w:r>
    </w:p>
  </w:footnote>
  <w:footnote w:id="24">
    <w:p w14:paraId="7458364D" w14:textId="5109CAC8" w:rsidR="00D52A81" w:rsidRPr="00265FD8" w:rsidRDefault="00D52A81" w:rsidP="00BD53AF">
      <w:pPr>
        <w:pStyle w:val="Textpoznmkypodiarou"/>
        <w:ind w:left="170" w:hanging="170"/>
        <w:jc w:val="both"/>
        <w:rPr>
          <w:sz w:val="16"/>
          <w:szCs w:val="16"/>
        </w:rPr>
      </w:pPr>
      <w:r w:rsidRPr="00265FD8">
        <w:rPr>
          <w:rStyle w:val="Odkaznapoznmkupodiarou"/>
          <w:sz w:val="16"/>
          <w:szCs w:val="16"/>
        </w:rPr>
        <w:footnoteRef/>
      </w:r>
      <w:r w:rsidRPr="00265FD8">
        <w:rPr>
          <w:sz w:val="16"/>
          <w:szCs w:val="16"/>
        </w:rPr>
        <w:t xml:space="preserve"> Tzv. diskrečné príjmové opatrenia predstavujú dodatočné medziročné </w:t>
      </w:r>
      <w:r>
        <w:rPr>
          <w:sz w:val="16"/>
          <w:szCs w:val="16"/>
        </w:rPr>
        <w:t xml:space="preserve">rozpočtové </w:t>
      </w:r>
      <w:r w:rsidRPr="00265FD8">
        <w:rPr>
          <w:sz w:val="16"/>
          <w:szCs w:val="16"/>
        </w:rPr>
        <w:t xml:space="preserve">vplyvy </w:t>
      </w:r>
      <w:r>
        <w:rPr>
          <w:sz w:val="16"/>
          <w:szCs w:val="16"/>
        </w:rPr>
        <w:t>príjmových</w:t>
      </w:r>
      <w:r w:rsidRPr="00265FD8">
        <w:rPr>
          <w:sz w:val="16"/>
          <w:szCs w:val="16"/>
        </w:rPr>
        <w:t xml:space="preserve"> opatrení (</w:t>
      </w:r>
      <w:r w:rsidRPr="009B73FF">
        <w:rPr>
          <w:sz w:val="16"/>
          <w:szCs w:val="16"/>
        </w:rPr>
        <w:t>viac v</w:t>
      </w:r>
      <w:r w:rsidR="003828C3">
        <w:rPr>
          <w:sz w:val="16"/>
          <w:szCs w:val="16"/>
        </w:rPr>
        <w:t> </w:t>
      </w:r>
      <w:r w:rsidR="003828C3" w:rsidRPr="003828C3">
        <w:rPr>
          <w:color w:val="2C9ADC" w:themeColor="accent1"/>
          <w:sz w:val="16"/>
          <w:szCs w:val="16"/>
        </w:rPr>
        <w:t>Prílohe 3</w:t>
      </w:r>
      <w:r w:rsidR="00600C31">
        <w:rPr>
          <w:sz w:val="16"/>
          <w:szCs w:val="16"/>
        </w:rPr>
        <w:t>)</w:t>
      </w:r>
    </w:p>
  </w:footnote>
  <w:footnote w:id="25">
    <w:p w14:paraId="772823C0" w14:textId="77777777"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Potenciál ekonomiky sa vyjadruje referenčnou miero</w:t>
      </w:r>
      <w:r>
        <w:rPr>
          <w:sz w:val="16"/>
          <w:szCs w:val="16"/>
        </w:rPr>
        <w:t>u</w:t>
      </w:r>
      <w:r w:rsidRPr="00265FD8">
        <w:rPr>
          <w:sz w:val="16"/>
          <w:szCs w:val="16"/>
        </w:rPr>
        <w:t xml:space="preserve"> rastu výdavkov, vypočítaný ako 10-ročný priemer </w:t>
      </w:r>
      <w:r w:rsidRPr="009B1FA2">
        <w:rPr>
          <w:sz w:val="16"/>
          <w:szCs w:val="16"/>
        </w:rPr>
        <w:t>potenciálneho rastu (v rokoch t-5 až t+4).</w:t>
      </w:r>
    </w:p>
  </w:footnote>
  <w:footnote w:id="26">
    <w:p w14:paraId="0CAAC21E" w14:textId="2027A650" w:rsidR="00D52A81" w:rsidRPr="00AC4475" w:rsidRDefault="00D52A81" w:rsidP="00243BEF">
      <w:pPr>
        <w:pStyle w:val="Textpoznmkypodiarou"/>
        <w:rPr>
          <w:sz w:val="16"/>
          <w:szCs w:val="16"/>
        </w:rPr>
      </w:pPr>
      <w:r w:rsidRPr="00AC4475">
        <w:rPr>
          <w:rStyle w:val="Odkaznapoznmkupodiarou"/>
          <w:sz w:val="16"/>
          <w:szCs w:val="16"/>
        </w:rPr>
        <w:footnoteRef/>
      </w:r>
      <w:r w:rsidRPr="00AC4475">
        <w:rPr>
          <w:sz w:val="16"/>
          <w:szCs w:val="16"/>
        </w:rPr>
        <w:t xml:space="preserve"> </w:t>
      </w:r>
      <w:r>
        <w:rPr>
          <w:sz w:val="16"/>
          <w:szCs w:val="16"/>
        </w:rPr>
        <w:t>Princíp zafixovania výdavkov v roku 2017 na základe jarnej notifikácie Eurostatu n</w:t>
      </w:r>
      <w:r w:rsidRPr="00AC4475">
        <w:rPr>
          <w:sz w:val="16"/>
          <w:szCs w:val="16"/>
        </w:rPr>
        <w:t>avyšuje odchýlku na dvojročnom horizonte o ďalších 0,2 % HDP</w:t>
      </w:r>
      <w:r>
        <w:rPr>
          <w:sz w:val="16"/>
          <w:szCs w:val="16"/>
        </w:rPr>
        <w:t>.</w:t>
      </w:r>
    </w:p>
  </w:footnote>
  <w:footnote w:id="27">
    <w:p w14:paraId="7FDC9062" w14:textId="77777777" w:rsidR="00D52A81" w:rsidRPr="00AC4475" w:rsidRDefault="00D52A81" w:rsidP="00BD53AF">
      <w:pPr>
        <w:pStyle w:val="Textpoznmkypodiarou"/>
        <w:jc w:val="both"/>
        <w:rPr>
          <w:sz w:val="16"/>
          <w:szCs w:val="16"/>
        </w:rPr>
      </w:pPr>
      <w:r w:rsidRPr="00AC4475">
        <w:rPr>
          <w:rStyle w:val="Odkaznapoznmkupodiarou"/>
          <w:sz w:val="16"/>
          <w:szCs w:val="16"/>
        </w:rPr>
        <w:footnoteRef/>
      </w:r>
      <w:r w:rsidRPr="00AC4475">
        <w:rPr>
          <w:sz w:val="16"/>
          <w:szCs w:val="16"/>
        </w:rPr>
        <w:t xml:space="preserve"> Od dosiahnutia MTO je povolený rast výdavkov v súlade s potenciálnym rastom slovenskej ekonomiky okolo 3 %.</w:t>
      </w:r>
    </w:p>
  </w:footnote>
  <w:footnote w:id="28">
    <w:p w14:paraId="4B9BFDB5" w14:textId="16B06168" w:rsidR="00D52A81" w:rsidRPr="00AC4475" w:rsidRDefault="00D52A81" w:rsidP="00BD53AF">
      <w:pPr>
        <w:pStyle w:val="Textpoznmkypodiarou"/>
        <w:jc w:val="both"/>
        <w:rPr>
          <w:sz w:val="16"/>
          <w:szCs w:val="16"/>
        </w:rPr>
      </w:pPr>
      <w:r w:rsidRPr="00AC4475">
        <w:rPr>
          <w:rStyle w:val="Odkaznapoznmkupodiarou"/>
          <w:sz w:val="16"/>
          <w:szCs w:val="16"/>
        </w:rPr>
        <w:footnoteRef/>
      </w:r>
      <w:r w:rsidRPr="00AC4475">
        <w:rPr>
          <w:sz w:val="16"/>
          <w:szCs w:val="16"/>
        </w:rPr>
        <w:t xml:space="preserve"> Všetky opatrenia, bez ohľadu na dátum schválenia</w:t>
      </w:r>
      <w:r w:rsidRPr="005527D7">
        <w:rPr>
          <w:sz w:val="16"/>
          <w:szCs w:val="16"/>
        </w:rPr>
        <w:t xml:space="preserve">, sú uvedené </w:t>
      </w:r>
      <w:r w:rsidRPr="00415590">
        <w:rPr>
          <w:sz w:val="16"/>
          <w:szCs w:val="16"/>
        </w:rPr>
        <w:t>v</w:t>
      </w:r>
      <w:r w:rsidR="00BA4D62">
        <w:rPr>
          <w:sz w:val="16"/>
          <w:szCs w:val="16"/>
        </w:rPr>
        <w:t> </w:t>
      </w:r>
      <w:r w:rsidR="00BA4D62" w:rsidRPr="00BA4D62">
        <w:rPr>
          <w:color w:val="2C9ADC" w:themeColor="accent1"/>
          <w:sz w:val="16"/>
          <w:szCs w:val="16"/>
        </w:rPr>
        <w:t>Prílohe 7</w:t>
      </w:r>
      <w:r w:rsidRPr="00600C31">
        <w:rPr>
          <w:sz w:val="16"/>
          <w:szCs w:val="16"/>
        </w:rPr>
        <w:t>.</w:t>
      </w:r>
    </w:p>
  </w:footnote>
  <w:footnote w:id="29">
    <w:p w14:paraId="3A60D734" w14:textId="4ABC727B" w:rsidR="00D52A81" w:rsidRPr="004A47E1" w:rsidRDefault="00D52A81" w:rsidP="00BD53AF">
      <w:pPr>
        <w:pStyle w:val="Textpoznmkypodiarou"/>
        <w:jc w:val="both"/>
        <w:rPr>
          <w:sz w:val="16"/>
          <w:szCs w:val="16"/>
        </w:rPr>
      </w:pPr>
      <w:r w:rsidRPr="006E468E">
        <w:rPr>
          <w:sz w:val="16"/>
          <w:szCs w:val="16"/>
          <w:vertAlign w:val="superscript"/>
        </w:rPr>
        <w:footnoteRef/>
      </w:r>
      <w:r w:rsidRPr="006E468E">
        <w:rPr>
          <w:sz w:val="16"/>
          <w:szCs w:val="16"/>
          <w:vertAlign w:val="superscript"/>
        </w:rPr>
        <w:t xml:space="preserve"> </w:t>
      </w:r>
      <w:r w:rsidRPr="00AC4475">
        <w:rPr>
          <w:sz w:val="16"/>
          <w:szCs w:val="16"/>
          <w:vertAlign w:val="superscript"/>
        </w:rPr>
        <w:t xml:space="preserve"> </w:t>
      </w:r>
      <w:r w:rsidRPr="004A47E1">
        <w:rPr>
          <w:sz w:val="16"/>
          <w:szCs w:val="16"/>
        </w:rPr>
        <w:t>Pre určenie</w:t>
      </w:r>
      <w:r w:rsidRPr="00AC4475">
        <w:rPr>
          <w:sz w:val="16"/>
          <w:szCs w:val="16"/>
        </w:rPr>
        <w:t xml:space="preserve"> scenára nezmenených politík na roky 2020-2022 je z východiskovej bázy roka 2019 vylúčená rezerva pre rok 2019 v hodnote 53 mil</w:t>
      </w:r>
      <w:r>
        <w:rPr>
          <w:sz w:val="16"/>
          <w:szCs w:val="16"/>
        </w:rPr>
        <w:t>.</w:t>
      </w:r>
      <w:r w:rsidRPr="00AC4475">
        <w:rPr>
          <w:sz w:val="16"/>
          <w:szCs w:val="16"/>
        </w:rPr>
        <w:t xml:space="preserve"> eur</w:t>
      </w:r>
      <w:r>
        <w:rPr>
          <w:sz w:val="16"/>
          <w:szCs w:val="16"/>
        </w:rPr>
        <w:t>.</w:t>
      </w:r>
    </w:p>
  </w:footnote>
  <w:footnote w:id="30">
    <w:p w14:paraId="302CC68D" w14:textId="77777777" w:rsidR="00D52A81" w:rsidRPr="00AC4475" w:rsidRDefault="00D52A81" w:rsidP="00BD53AF">
      <w:pPr>
        <w:pStyle w:val="Textpoznmkypodiarou"/>
        <w:jc w:val="both"/>
        <w:rPr>
          <w:sz w:val="16"/>
          <w:szCs w:val="16"/>
        </w:rPr>
      </w:pPr>
      <w:r w:rsidRPr="00AC4475">
        <w:rPr>
          <w:rStyle w:val="Odkaznapoznmkupodiarou"/>
          <w:sz w:val="16"/>
          <w:szCs w:val="16"/>
        </w:rPr>
        <w:footnoteRef/>
      </w:r>
      <w:r w:rsidRPr="00AC4475">
        <w:rPr>
          <w:sz w:val="16"/>
          <w:szCs w:val="16"/>
        </w:rPr>
        <w:t xml:space="preserve"> Napr. medzispotreba vo verejnej správe tak v NPC scenári rastie podľa očakávanej miery inflácie, v súlade s najnovšou makroekonomickou prognózou. Podrobnejšie sú predpoklady NPC scenára uvedené v</w:t>
      </w:r>
      <w:r w:rsidRPr="00684201">
        <w:rPr>
          <w:color w:val="2C9ADC" w:themeColor="accent1"/>
          <w:sz w:val="16"/>
          <w:szCs w:val="16"/>
        </w:rPr>
        <w:t> </w:t>
      </w:r>
      <w:hyperlink r:id="rId4" w:history="1">
        <w:r w:rsidRPr="00684201">
          <w:rPr>
            <w:rStyle w:val="Hypertextovprepojenie"/>
            <w:rFonts w:cs="Book Antiqua"/>
            <w:color w:val="2C9ADC" w:themeColor="accent1"/>
            <w:sz w:val="16"/>
            <w:szCs w:val="16"/>
          </w:rPr>
          <w:t>Metodike zostavenia scenára nezmenených politík</w:t>
        </w:r>
      </w:hyperlink>
      <w:r w:rsidRPr="00684201">
        <w:rPr>
          <w:color w:val="2C9ADC" w:themeColor="accent1"/>
          <w:sz w:val="16"/>
          <w:szCs w:val="16"/>
        </w:rPr>
        <w:t>.</w:t>
      </w:r>
    </w:p>
  </w:footnote>
  <w:footnote w:id="31">
    <w:p w14:paraId="40C9CED6" w14:textId="77777777"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Ak bol zamestnancovi vyplatený 13. plat, bude mať oslobodený aj 14. plat od dane z príjmov najviac do výšky 500 €. Zároveň vyplatené peňažné plnenie najviac do výšky 500 € je oslobodené aj od zdravotných odvodov.</w:t>
      </w:r>
    </w:p>
  </w:footnote>
  <w:footnote w:id="32">
    <w:p w14:paraId="1910C9C0" w14:textId="77777777" w:rsidR="00D52A81" w:rsidRPr="00265FD8" w:rsidRDefault="00D52A81" w:rsidP="00BD53AF">
      <w:pPr>
        <w:jc w:val="both"/>
        <w:rPr>
          <w:rFonts w:cs="Times New Roman"/>
          <w:sz w:val="16"/>
          <w:szCs w:val="16"/>
        </w:rPr>
      </w:pPr>
      <w:r w:rsidRPr="00265FD8">
        <w:rPr>
          <w:rStyle w:val="Odkaznapoznmkupodiarou"/>
          <w:sz w:val="16"/>
          <w:szCs w:val="16"/>
        </w:rPr>
        <w:footnoteRef/>
      </w:r>
      <w:r w:rsidRPr="00265FD8">
        <w:rPr>
          <w:sz w:val="16"/>
          <w:szCs w:val="16"/>
        </w:rPr>
        <w:t xml:space="preserve"> </w:t>
      </w:r>
      <w:r w:rsidRPr="00265FD8">
        <w:rPr>
          <w:rFonts w:cs="Times New Roman"/>
          <w:sz w:val="16"/>
          <w:szCs w:val="16"/>
        </w:rPr>
        <w:t>Prezentovaná prognóza hrubého dlhu uvažuje aj so spätnou revíziu HDP za rok 2018 (podľa očakávanej jarnej notifikácie Eurostatu). Reťazením nominálnych medziročných rastov HDP pre roky 2019 až 2022 z poslednej prognózy Výboru pre makroekonomické prognózy je zostavený revidovaný časový rad očakávaných úrovní HDP. Tieto predpoklady sú použité aj pri iných ukazovateľov v pomere na HDP.</w:t>
      </w:r>
    </w:p>
  </w:footnote>
  <w:footnote w:id="33">
    <w:p w14:paraId="3FFA39E1" w14:textId="77777777" w:rsidR="00D52A81" w:rsidRPr="00265FD8" w:rsidRDefault="00D52A81" w:rsidP="009F722B">
      <w:pPr>
        <w:pStyle w:val="Textpoznmkypodiarou"/>
        <w:jc w:val="both"/>
        <w:rPr>
          <w:sz w:val="16"/>
          <w:szCs w:val="16"/>
        </w:rPr>
      </w:pPr>
      <w:r w:rsidRPr="00265FD8">
        <w:rPr>
          <w:rStyle w:val="Odkaznapoznmkupodiarou"/>
          <w:sz w:val="16"/>
          <w:szCs w:val="16"/>
        </w:rPr>
        <w:footnoteRef/>
      </w:r>
      <w:r w:rsidRPr="00265FD8">
        <w:rPr>
          <w:sz w:val="16"/>
          <w:szCs w:val="16"/>
        </w:rPr>
        <w:t xml:space="preserve"> Z pohľadu vyhodnotenia výšky zadlženia VS podľa ústavného zákona o rozpočtovej zodpovednosti je rozhodujúcou hodnota hrubého dlhu potvrdená Eurostatom počas jesennej notifikácie.</w:t>
      </w:r>
    </w:p>
  </w:footnote>
  <w:footnote w:id="34">
    <w:p w14:paraId="2E0DA1F2" w14:textId="77777777" w:rsidR="00D52A81" w:rsidRPr="00265FD8" w:rsidRDefault="00D52A81" w:rsidP="00BD53AF">
      <w:pPr>
        <w:pStyle w:val="Textpoznmkypodiarou"/>
        <w:rPr>
          <w:sz w:val="16"/>
          <w:szCs w:val="16"/>
        </w:rPr>
      </w:pPr>
      <w:r w:rsidRPr="00265FD8">
        <w:rPr>
          <w:rStyle w:val="Odkaznapoznmkupodiarou"/>
          <w:sz w:val="16"/>
          <w:szCs w:val="16"/>
        </w:rPr>
        <w:footnoteRef/>
      </w:r>
      <w:r w:rsidRPr="00265FD8">
        <w:rPr>
          <w:sz w:val="16"/>
          <w:szCs w:val="16"/>
        </w:rPr>
        <w:t xml:space="preserve"> V roku 2006 dosiahol medziročný pokles hrubého dlhu hodnotu 3 p. b.</w:t>
      </w:r>
      <w:r>
        <w:rPr>
          <w:sz w:val="16"/>
          <w:szCs w:val="16"/>
        </w:rPr>
        <w:t>.</w:t>
      </w:r>
    </w:p>
  </w:footnote>
  <w:footnote w:id="35">
    <w:p w14:paraId="5C0A919C" w14:textId="77777777" w:rsidR="00D52A81" w:rsidRPr="00265FD8" w:rsidRDefault="00D52A81" w:rsidP="00BD53AF">
      <w:pPr>
        <w:pStyle w:val="Textpoznmkypodiarou"/>
        <w:jc w:val="both"/>
        <w:rPr>
          <w:sz w:val="16"/>
          <w:szCs w:val="16"/>
        </w:rPr>
      </w:pPr>
      <w:r w:rsidRPr="00265FD8">
        <w:rPr>
          <w:rStyle w:val="Odkaznapoznmkupodiarou"/>
          <w:rFonts w:eastAsia="Arial Narrow"/>
          <w:sz w:val="16"/>
          <w:szCs w:val="16"/>
        </w:rPr>
        <w:footnoteRef/>
      </w:r>
      <w:r w:rsidRPr="00265FD8">
        <w:rPr>
          <w:sz w:val="16"/>
          <w:szCs w:val="16"/>
        </w:rPr>
        <w:t xml:space="preserve"> Primárne saldo predstavuje saldo verejnej správy očistené o úrokové náklady.</w:t>
      </w:r>
    </w:p>
  </w:footnote>
  <w:footnote w:id="36">
    <w:p w14:paraId="1C80FF91" w14:textId="77777777"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Tento efekt vyplýva najmä z dôvodu otvárania medzery medzi pretrvávajúcim hotovostným deficitom VS a plánovaným dosiahnutím vyrovnanej bilancie VS v akruálnom vyjadrení. Pridruženým faktorom je aj nedostatočné využívanie rastúcich voľných prostriedkov Štátnej pokladnice s pozitívnym vplyvom na výšku hotovostnej rezervy štátu.</w:t>
      </w:r>
    </w:p>
  </w:footnote>
  <w:footnote w:id="37">
    <w:p w14:paraId="48DED5A1" w14:textId="215F0DB2" w:rsidR="0008307D" w:rsidRPr="0008307D" w:rsidRDefault="0008307D">
      <w:pPr>
        <w:pStyle w:val="Textpoznmkypodiarou"/>
        <w:rPr>
          <w:sz w:val="16"/>
          <w:szCs w:val="16"/>
        </w:rPr>
      </w:pPr>
      <w:r w:rsidRPr="0008307D">
        <w:rPr>
          <w:rStyle w:val="Odkaznapoznmkupodiarou"/>
          <w:sz w:val="16"/>
          <w:szCs w:val="16"/>
        </w:rPr>
        <w:footnoteRef/>
      </w:r>
      <w:r w:rsidRPr="0008307D">
        <w:rPr>
          <w:sz w:val="16"/>
          <w:szCs w:val="16"/>
        </w:rPr>
        <w:t xml:space="preserve"> Od roku 2018 sa sankčné pásma dlhovej brzdy každoročne znižujú o 1 p.b. až do roku 2027.</w:t>
      </w:r>
    </w:p>
  </w:footnote>
  <w:footnote w:id="38">
    <w:p w14:paraId="1BD914C0" w14:textId="77777777" w:rsidR="00D52A81" w:rsidRPr="00265FD8" w:rsidRDefault="00D52A81" w:rsidP="00BD53AF">
      <w:pPr>
        <w:pStyle w:val="Textpoznmkypodiarou"/>
        <w:rPr>
          <w:sz w:val="16"/>
          <w:szCs w:val="16"/>
          <w:lang w:val="en-US"/>
        </w:rPr>
      </w:pPr>
      <w:r w:rsidRPr="00265FD8">
        <w:rPr>
          <w:rStyle w:val="Odkaznapoznmkupodiarou"/>
          <w:sz w:val="16"/>
          <w:szCs w:val="16"/>
        </w:rPr>
        <w:footnoteRef/>
      </w:r>
      <w:r w:rsidRPr="00265FD8">
        <w:rPr>
          <w:sz w:val="16"/>
          <w:szCs w:val="16"/>
        </w:rPr>
        <w:t xml:space="preserve"> </w:t>
      </w:r>
      <w:r>
        <w:rPr>
          <w:rFonts w:cs="Times New Roman"/>
          <w:sz w:val="16"/>
          <w:szCs w:val="16"/>
        </w:rPr>
        <w:t>D</w:t>
      </w:r>
      <w:r w:rsidRPr="00265FD8">
        <w:rPr>
          <w:rFonts w:cs="Times New Roman"/>
          <w:sz w:val="16"/>
          <w:szCs w:val="16"/>
        </w:rPr>
        <w:t>efinovaná ako rozdiel medzi rastom ekonomiky a úrokovými nákladmi.</w:t>
      </w:r>
    </w:p>
  </w:footnote>
  <w:footnote w:id="39">
    <w:p w14:paraId="71FDD0A1" w14:textId="77777777"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Z hotovostného pohľadu sú tieto výdavky započítané v salde podľa splátkového kalendára rozloženého v rokoch 2020 až 2021. Vplyv na akruálne vyjadrenie sa prejaví až po dodaní vojenskej techniky v roku 2022.</w:t>
      </w:r>
    </w:p>
  </w:footnote>
  <w:footnote w:id="40">
    <w:p w14:paraId="3139AA3F" w14:textId="04A69A13"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V</w:t>
      </w:r>
      <w:r>
        <w:rPr>
          <w:sz w:val="16"/>
          <w:szCs w:val="16"/>
        </w:rPr>
        <w:t> </w:t>
      </w:r>
      <w:r w:rsidRPr="00265FD8">
        <w:rPr>
          <w:sz w:val="16"/>
          <w:szCs w:val="16"/>
        </w:rPr>
        <w:t>roku</w:t>
      </w:r>
      <w:r>
        <w:rPr>
          <w:sz w:val="16"/>
          <w:szCs w:val="16"/>
        </w:rPr>
        <w:t xml:space="preserve"> 2020</w:t>
      </w:r>
      <w:r w:rsidRPr="00265FD8">
        <w:rPr>
          <w:sz w:val="16"/>
          <w:szCs w:val="16"/>
        </w:rPr>
        <w:t xml:space="preserve"> predpokladá hotovostný fiškálny rámec jednorazový vklad do Európskeho stabilizačného mechanizmu (0,1 % HDP) z dôvodu ukončenia prechodnej výnimky, ktorá pre Slovensko dočasne upravovala výšku splateného vkladu do ESM. Výnimka bola určená pre štáty, ktorých HDP nedosahovalo 75 </w:t>
      </w:r>
      <w:r w:rsidRPr="00265FD8">
        <w:rPr>
          <w:sz w:val="16"/>
          <w:szCs w:val="16"/>
          <w:lang w:val="en-US"/>
        </w:rPr>
        <w:t xml:space="preserve">% </w:t>
      </w:r>
      <w:r w:rsidRPr="00265FD8">
        <w:rPr>
          <w:sz w:val="16"/>
          <w:szCs w:val="16"/>
        </w:rPr>
        <w:t>priemeru</w:t>
      </w:r>
      <w:r w:rsidRPr="00265FD8">
        <w:rPr>
          <w:sz w:val="16"/>
          <w:szCs w:val="16"/>
          <w:lang w:val="en-US"/>
        </w:rPr>
        <w:t xml:space="preserve"> EÚ </w:t>
      </w:r>
      <w:r w:rsidRPr="00265FD8">
        <w:rPr>
          <w:sz w:val="16"/>
          <w:szCs w:val="16"/>
        </w:rPr>
        <w:t>na 12 rokov počnúc ich vstupu do EMÚ. Počas tohto obdobia mali tieto štáty upravený kľuč, na základe ktorého sa vypočítava výška hotovostného príspevku do ESM.</w:t>
      </w:r>
    </w:p>
  </w:footnote>
  <w:footnote w:id="41">
    <w:p w14:paraId="0C45132C" w14:textId="77777777" w:rsidR="00D52A81" w:rsidRPr="00265FD8" w:rsidRDefault="00D52A81" w:rsidP="00BD53AF">
      <w:pPr>
        <w:pStyle w:val="Textpoznmkypodiarou"/>
        <w:jc w:val="both"/>
        <w:rPr>
          <w:sz w:val="16"/>
          <w:szCs w:val="16"/>
        </w:rPr>
      </w:pPr>
      <w:r w:rsidRPr="00265FD8">
        <w:rPr>
          <w:rStyle w:val="Odkaznapoznmkupodiarou"/>
          <w:sz w:val="16"/>
          <w:szCs w:val="16"/>
        </w:rPr>
        <w:footnoteRef/>
      </w:r>
      <w:r w:rsidRPr="00265FD8">
        <w:rPr>
          <w:sz w:val="16"/>
          <w:szCs w:val="16"/>
        </w:rPr>
        <w:t xml:space="preserve"> </w:t>
      </w:r>
      <w:r w:rsidRPr="00265FD8">
        <w:rPr>
          <w:rFonts w:cs="Arial Narrow"/>
          <w:sz w:val="16"/>
          <w:szCs w:val="16"/>
        </w:rPr>
        <w:t>MF SR kvantifikuje čistý dlh ako hodnotu hrubého dlhu očisteného o likvidné finančné aktíva</w:t>
      </w:r>
      <w:r w:rsidRPr="00265FD8">
        <w:rPr>
          <w:rStyle w:val="Odkaznapoznmkupodiarou"/>
          <w:sz w:val="16"/>
          <w:szCs w:val="16"/>
        </w:rPr>
        <w:footnoteRef/>
      </w:r>
      <w:r w:rsidRPr="00265FD8">
        <w:rPr>
          <w:rFonts w:cs="Arial Narrow"/>
          <w:sz w:val="16"/>
          <w:szCs w:val="16"/>
        </w:rPr>
        <w:t>, ktoré verejná správa historicky naakumulovala</w:t>
      </w:r>
      <w:r w:rsidRPr="00265FD8">
        <w:rPr>
          <w:sz w:val="16"/>
          <w:szCs w:val="16"/>
        </w:rPr>
        <w:t xml:space="preserve">. Týmto spôsobom vypočítaný čistý finančný dlh berie do úvahy hotovosť na účtoch všetkých subjektov verejnej správy. V súčasnosti verejná správa nemá na účtoch zaznamenané žiadne kótované akcie, ani zlato a SDR.V súčasnosti neexistuje štandardizovaná metodika, ktorá by jednoznačne definovala kvantifikáciu čistého dlhu. V rámci Programu stability je použitý koncept očisťovania výšky hrubého dlhu o likvidné finančné aktíva (LFA), </w:t>
      </w:r>
      <w:r w:rsidRPr="00265FD8">
        <w:rPr>
          <w:rFonts w:cs="Arial Narrow"/>
          <w:sz w:val="16"/>
          <w:szCs w:val="16"/>
        </w:rPr>
        <w:t>najmä o vklady na účtoch jednotlivých subjektov VS.</w:t>
      </w:r>
    </w:p>
  </w:footnote>
  <w:footnote w:id="42">
    <w:p w14:paraId="10C6F73A" w14:textId="77777777" w:rsidR="00D52A81" w:rsidRPr="00C64340" w:rsidRDefault="00D52A81" w:rsidP="00BD53AF">
      <w:pPr>
        <w:pStyle w:val="Textpoznmkypodiarou"/>
        <w:rPr>
          <w:sz w:val="18"/>
        </w:rPr>
      </w:pPr>
      <w:r w:rsidRPr="00C64340">
        <w:rPr>
          <w:rStyle w:val="Odkaznapoznmkupodiarou"/>
          <w:sz w:val="16"/>
        </w:rPr>
        <w:footnoteRef/>
      </w:r>
      <w:r w:rsidRPr="00C64340">
        <w:rPr>
          <w:sz w:val="16"/>
        </w:rPr>
        <w:t xml:space="preserve"> Podrobnosti v Boxe v Makroekonomickej prognóze MF SR z februára 2019.</w:t>
      </w:r>
    </w:p>
  </w:footnote>
  <w:footnote w:id="43">
    <w:p w14:paraId="3C072577" w14:textId="77777777" w:rsidR="00D52A81" w:rsidRPr="008F043E" w:rsidRDefault="00D52A81" w:rsidP="00BD53AF">
      <w:pPr>
        <w:pStyle w:val="Textpoznmkypodiarou"/>
        <w:jc w:val="both"/>
      </w:pPr>
      <w:r w:rsidRPr="008F043E">
        <w:rPr>
          <w:rStyle w:val="Odkaznapoznmkupodiarou"/>
          <w:sz w:val="18"/>
        </w:rPr>
        <w:footnoteRef/>
      </w:r>
      <w:r w:rsidRPr="008F043E">
        <w:rPr>
          <w:sz w:val="18"/>
        </w:rPr>
        <w:t xml:space="preserve"> </w:t>
      </w:r>
      <w:r w:rsidRPr="00FD63F1">
        <w:rPr>
          <w:sz w:val="16"/>
          <w:szCs w:val="16"/>
        </w:rPr>
        <w:t>Spojené kráľovstvo je destináciou pre 6 % slovenského exportu (4,7 % ak očistíme o účtovné operácie so zemným plynom) a je 8. najväčším exportným trhom Slovenska.</w:t>
      </w:r>
    </w:p>
  </w:footnote>
  <w:footnote w:id="44">
    <w:p w14:paraId="7F3308E0" w14:textId="77777777" w:rsidR="00D52A81" w:rsidRPr="00A4622D" w:rsidRDefault="00D52A81" w:rsidP="00BD53AF">
      <w:pPr>
        <w:pStyle w:val="Textpoznmkypodiarou"/>
        <w:ind w:left="113" w:hanging="113"/>
        <w:jc w:val="both"/>
        <w:rPr>
          <w:sz w:val="16"/>
          <w:szCs w:val="16"/>
        </w:rPr>
      </w:pPr>
      <w:r w:rsidRPr="00A4622D">
        <w:rPr>
          <w:rStyle w:val="Odkaznapoznmkupodiarou"/>
          <w:sz w:val="16"/>
          <w:szCs w:val="16"/>
        </w:rPr>
        <w:footnoteRef/>
      </w:r>
      <w:r w:rsidRPr="00A4622D">
        <w:rPr>
          <w:sz w:val="16"/>
          <w:szCs w:val="16"/>
        </w:rPr>
        <w:t xml:space="preserve"> Škály rizikovosti pre S1: nízke riziko (</w:t>
      </w:r>
      <w:r w:rsidRPr="00A4622D">
        <w:rPr>
          <w:sz w:val="16"/>
          <w:szCs w:val="16"/>
          <w:lang w:val="en-US"/>
        </w:rPr>
        <w:t>&lt;0</w:t>
      </w:r>
      <w:r w:rsidRPr="00A4622D">
        <w:rPr>
          <w:sz w:val="16"/>
          <w:szCs w:val="16"/>
        </w:rPr>
        <w:t>), stredné riziko (0 až 2,5) a vysoké riziko (</w:t>
      </w:r>
      <w:r w:rsidRPr="00A4622D">
        <w:rPr>
          <w:sz w:val="16"/>
          <w:szCs w:val="16"/>
          <w:lang w:val="en-US"/>
        </w:rPr>
        <w:t>&gt;</w:t>
      </w:r>
      <w:r w:rsidRPr="00A4622D">
        <w:rPr>
          <w:sz w:val="16"/>
          <w:szCs w:val="16"/>
        </w:rPr>
        <w:t>2,5). Negatívna hodnota indikátora ukazuje, že pri zachovaní súčasných politík nedôjde na horizonte do cieľového roku k prekročeniu výšky dlhu 60 % HDP.</w:t>
      </w:r>
    </w:p>
  </w:footnote>
  <w:footnote w:id="45">
    <w:p w14:paraId="63E86F16" w14:textId="77777777" w:rsidR="00D52A81" w:rsidRPr="00A4622D" w:rsidRDefault="00D52A81" w:rsidP="00BD53AF">
      <w:pPr>
        <w:pStyle w:val="Textpoznmkypodiarou"/>
        <w:ind w:left="113" w:hanging="113"/>
        <w:jc w:val="both"/>
        <w:rPr>
          <w:sz w:val="16"/>
          <w:szCs w:val="16"/>
        </w:rPr>
      </w:pPr>
      <w:r w:rsidRPr="00A4622D">
        <w:rPr>
          <w:rStyle w:val="Odkaznapoznmkupodiarou"/>
          <w:sz w:val="16"/>
          <w:szCs w:val="16"/>
        </w:rPr>
        <w:footnoteRef/>
      </w:r>
      <w:r w:rsidRPr="00A4622D">
        <w:rPr>
          <w:sz w:val="16"/>
          <w:szCs w:val="16"/>
        </w:rPr>
        <w:t xml:space="preserve"> Celkový vplyv príjmov do II. piliera na hodnotenie udržateľnosti je do roku 2032 mierne negatívny, pričom v celom dlhodobom horizonte sa prejavuje mierne pozitívne. MF SR považuje tento prístup za ekonomicky správnejší, keďže v prípade kapitalizačných systémov majú jeho zmeny vplyv nielen na výdavky, ale aj na príjmy dôchodkového systému.</w:t>
      </w:r>
    </w:p>
  </w:footnote>
  <w:footnote w:id="46">
    <w:p w14:paraId="66FA869E" w14:textId="77777777" w:rsidR="00D52A81" w:rsidRPr="00A4622D" w:rsidRDefault="00D52A81" w:rsidP="00BD53AF">
      <w:pPr>
        <w:pStyle w:val="Textpoznmkypodiarou"/>
        <w:jc w:val="both"/>
        <w:rPr>
          <w:sz w:val="16"/>
          <w:szCs w:val="16"/>
        </w:rPr>
      </w:pPr>
      <w:r w:rsidRPr="00A4622D">
        <w:rPr>
          <w:rStyle w:val="Odkaznapoznmkupodiarou"/>
          <w:sz w:val="16"/>
          <w:szCs w:val="16"/>
        </w:rPr>
        <w:footnoteRef/>
      </w:r>
      <w:r w:rsidRPr="00A4622D">
        <w:rPr>
          <w:sz w:val="16"/>
          <w:szCs w:val="16"/>
        </w:rPr>
        <w:t xml:space="preserve"> Škály rizikovosti pre S2: nízke riziko (&lt;2), stredné riziko (2 až 6) a vysoké riziko (&gt;6). </w:t>
      </w:r>
    </w:p>
  </w:footnote>
  <w:footnote w:id="47">
    <w:p w14:paraId="340B3D41" w14:textId="77777777" w:rsidR="00D52A81" w:rsidRPr="00146A41" w:rsidRDefault="00D52A81" w:rsidP="00BD53AF">
      <w:pPr>
        <w:pStyle w:val="Textpoznmkypodiarou"/>
        <w:jc w:val="both"/>
        <w:rPr>
          <w:sz w:val="16"/>
          <w:szCs w:val="16"/>
        </w:rPr>
      </w:pPr>
      <w:r w:rsidRPr="00146A41">
        <w:rPr>
          <w:rStyle w:val="Odkaznapoznmkupodiarou"/>
          <w:sz w:val="16"/>
          <w:szCs w:val="16"/>
        </w:rPr>
        <w:footnoteRef/>
      </w:r>
      <w:r w:rsidRPr="00146A41">
        <w:rPr>
          <w:sz w:val="16"/>
          <w:szCs w:val="16"/>
        </w:rPr>
        <w:t xml:space="preserve"> Na základe jesenne</w:t>
      </w:r>
      <w:r>
        <w:rPr>
          <w:sz w:val="16"/>
          <w:szCs w:val="16"/>
        </w:rPr>
        <w:t>j</w:t>
      </w:r>
      <w:r w:rsidRPr="00146A41">
        <w:rPr>
          <w:sz w:val="16"/>
          <w:szCs w:val="16"/>
        </w:rPr>
        <w:t xml:space="preserve"> prognózy EK z roku 2018 na rok 2020</w:t>
      </w:r>
      <w:r>
        <w:rPr>
          <w:sz w:val="16"/>
          <w:szCs w:val="16"/>
        </w:rPr>
        <w:t>.</w:t>
      </w:r>
    </w:p>
  </w:footnote>
  <w:footnote w:id="48">
    <w:p w14:paraId="2E39C8FF" w14:textId="77777777" w:rsidR="00D52A81" w:rsidRPr="007571C8" w:rsidRDefault="00D52A81" w:rsidP="00BD53AF">
      <w:pPr>
        <w:pStyle w:val="Textpoznmkypodiarou"/>
        <w:jc w:val="both"/>
        <w:rPr>
          <w:sz w:val="16"/>
          <w:szCs w:val="16"/>
        </w:rPr>
      </w:pPr>
      <w:r w:rsidRPr="007571C8">
        <w:rPr>
          <w:rStyle w:val="Odkaznapoznmkupodiarou"/>
          <w:sz w:val="16"/>
          <w:szCs w:val="16"/>
        </w:rPr>
        <w:footnoteRef/>
      </w:r>
      <w:r w:rsidRPr="007571C8">
        <w:rPr>
          <w:sz w:val="16"/>
          <w:szCs w:val="16"/>
        </w:rPr>
        <w:t xml:space="preserve"> </w:t>
      </w:r>
      <w:hyperlink r:id="rId5" w:history="1">
        <w:r w:rsidRPr="00684201">
          <w:rPr>
            <w:rStyle w:val="Hypertextovprepojenie"/>
            <w:rFonts w:cs="Book Antiqua"/>
            <w:color w:val="2C9ADC" w:themeColor="accent1"/>
            <w:sz w:val="16"/>
            <w:szCs w:val="16"/>
          </w:rPr>
          <w:t>Komentár IFP 2013/4 - Starnutie zvýši výdavky, dôchodková reforma pomohla</w:t>
        </w:r>
      </w:hyperlink>
    </w:p>
  </w:footnote>
  <w:footnote w:id="49">
    <w:p w14:paraId="79E0A511" w14:textId="77777777" w:rsidR="00D52A81" w:rsidRPr="00B11ECA" w:rsidRDefault="00D52A81" w:rsidP="00BD53AF">
      <w:pPr>
        <w:pStyle w:val="Textpoznmkypodiarou"/>
        <w:jc w:val="both"/>
        <w:rPr>
          <w:sz w:val="16"/>
          <w:szCs w:val="16"/>
        </w:rPr>
      </w:pPr>
      <w:r w:rsidRPr="00B11ECA">
        <w:rPr>
          <w:rStyle w:val="Odkaznapoznmkupodiarou"/>
          <w:sz w:val="16"/>
          <w:szCs w:val="16"/>
        </w:rPr>
        <w:footnoteRef/>
      </w:r>
      <w:r w:rsidRPr="00B11ECA">
        <w:rPr>
          <w:sz w:val="16"/>
          <w:szCs w:val="16"/>
        </w:rPr>
        <w:t xml:space="preserve"> </w:t>
      </w:r>
      <w:r>
        <w:rPr>
          <w:sz w:val="16"/>
          <w:szCs w:val="16"/>
        </w:rPr>
        <w:t>Technickým predpokladom je že fiškálny priestor sa v</w:t>
      </w:r>
      <w:r w:rsidRPr="00B11ECA">
        <w:rPr>
          <w:sz w:val="16"/>
          <w:szCs w:val="16"/>
        </w:rPr>
        <w:t>yuži</w:t>
      </w:r>
      <w:r>
        <w:rPr>
          <w:sz w:val="16"/>
          <w:szCs w:val="16"/>
        </w:rPr>
        <w:t>je</w:t>
      </w:r>
      <w:r w:rsidRPr="00B11ECA">
        <w:rPr>
          <w:sz w:val="16"/>
          <w:szCs w:val="16"/>
        </w:rPr>
        <w:t xml:space="preserve"> priebežne počas piatich rokoch</w:t>
      </w:r>
      <w:r>
        <w:rPr>
          <w:sz w:val="16"/>
          <w:szCs w:val="16"/>
        </w:rPr>
        <w:t>.</w:t>
      </w:r>
    </w:p>
  </w:footnote>
  <w:footnote w:id="50">
    <w:p w14:paraId="3A29737D" w14:textId="77777777" w:rsidR="00D52A81" w:rsidRPr="00E738A4" w:rsidRDefault="00D52A81" w:rsidP="00BD53AF">
      <w:pPr>
        <w:pStyle w:val="Textpoznmkypodiarou"/>
        <w:jc w:val="both"/>
        <w:rPr>
          <w:sz w:val="16"/>
          <w:szCs w:val="16"/>
        </w:rPr>
      </w:pPr>
      <w:r w:rsidRPr="00E738A4">
        <w:rPr>
          <w:rStyle w:val="Odkaznapoznmkupodiarou"/>
          <w:sz w:val="16"/>
          <w:szCs w:val="16"/>
        </w:rPr>
        <w:footnoteRef/>
      </w:r>
      <w:r>
        <w:rPr>
          <w:sz w:val="16"/>
          <w:szCs w:val="16"/>
        </w:rPr>
        <w:t xml:space="preserve"> Ide o tzv. „AWG rizikový</w:t>
      </w:r>
      <w:r w:rsidRPr="00E738A4">
        <w:rPr>
          <w:sz w:val="16"/>
          <w:szCs w:val="16"/>
        </w:rPr>
        <w:t xml:space="preserve"> scen</w:t>
      </w:r>
      <w:r>
        <w:rPr>
          <w:sz w:val="16"/>
          <w:szCs w:val="16"/>
        </w:rPr>
        <w:t>ár</w:t>
      </w:r>
      <w:r w:rsidRPr="00E738A4">
        <w:rPr>
          <w:sz w:val="16"/>
          <w:szCs w:val="16"/>
        </w:rPr>
        <w:t xml:space="preserve">“, pri ktorom EK kvantifikuje riziká </w:t>
      </w:r>
      <w:r>
        <w:rPr>
          <w:sz w:val="16"/>
          <w:szCs w:val="16"/>
        </w:rPr>
        <w:t xml:space="preserve">nárastu </w:t>
      </w:r>
      <w:r w:rsidRPr="00E738A4">
        <w:rPr>
          <w:sz w:val="16"/>
          <w:szCs w:val="16"/>
        </w:rPr>
        <w:t>výdavkov na zdravotnú a dlhodobú starostlivosť</w:t>
      </w:r>
      <w:r>
        <w:rPr>
          <w:sz w:val="16"/>
          <w:szCs w:val="16"/>
        </w:rPr>
        <w:t xml:space="preserve"> vyplývajúce</w:t>
      </w:r>
      <w:r w:rsidRPr="00E738A4">
        <w:rPr>
          <w:sz w:val="16"/>
          <w:szCs w:val="16"/>
        </w:rPr>
        <w:t xml:space="preserve"> </w:t>
      </w:r>
      <w:r>
        <w:rPr>
          <w:sz w:val="16"/>
          <w:szCs w:val="16"/>
        </w:rPr>
        <w:t xml:space="preserve">z </w:t>
      </w:r>
      <w:r w:rsidRPr="00E738A4">
        <w:rPr>
          <w:sz w:val="16"/>
          <w:szCs w:val="16"/>
        </w:rPr>
        <w:t>nedemografických faktorov. Citlivosť výdavkov súvisiacich so starnutím na nedemografické faktory zvýrazňujú náklady na zdravotnú a dlhodobú starostlivosť nad rámec očakávaní z</w:t>
      </w:r>
      <w:r>
        <w:rPr>
          <w:sz w:val="16"/>
          <w:szCs w:val="16"/>
        </w:rPr>
        <w:t xml:space="preserve"> čisto </w:t>
      </w:r>
      <w:r w:rsidRPr="00E738A4">
        <w:rPr>
          <w:sz w:val="16"/>
          <w:szCs w:val="16"/>
        </w:rPr>
        <w:t xml:space="preserve">demografických </w:t>
      </w:r>
      <w:r>
        <w:rPr>
          <w:sz w:val="16"/>
          <w:szCs w:val="16"/>
        </w:rPr>
        <w:t>dôvodov</w:t>
      </w:r>
      <w:r w:rsidRPr="00E738A4">
        <w:rPr>
          <w:sz w:val="16"/>
          <w:szCs w:val="16"/>
        </w:rPr>
        <w:t>. Tlak na rast týchto výdavkov je zvyčajne spojený s technologickými zmenami (</w:t>
      </w:r>
      <w:r>
        <w:rPr>
          <w:sz w:val="16"/>
          <w:szCs w:val="16"/>
        </w:rPr>
        <w:t xml:space="preserve">napr. </w:t>
      </w:r>
      <w:r w:rsidRPr="00E738A4">
        <w:rPr>
          <w:sz w:val="16"/>
          <w:szCs w:val="16"/>
        </w:rPr>
        <w:t>vývojom nových liekov a liečebných postupov) a inštitucionálnymi faktormi (</w:t>
      </w:r>
      <w:r>
        <w:rPr>
          <w:sz w:val="16"/>
          <w:szCs w:val="16"/>
        </w:rPr>
        <w:t xml:space="preserve">napr. </w:t>
      </w:r>
      <w:r w:rsidRPr="00E738A4">
        <w:rPr>
          <w:sz w:val="16"/>
          <w:szCs w:val="16"/>
        </w:rPr>
        <w:t>rozšírenie pokrytia zdravotnou starostlivosťou).</w:t>
      </w:r>
    </w:p>
  </w:footnote>
  <w:footnote w:id="51">
    <w:p w14:paraId="6340550E" w14:textId="77777777" w:rsidR="00D52A81" w:rsidRPr="00085A3A" w:rsidRDefault="00D52A81" w:rsidP="00BD53AF">
      <w:pPr>
        <w:pStyle w:val="Textpoznmkypodiarou"/>
        <w:jc w:val="both"/>
        <w:rPr>
          <w:sz w:val="16"/>
          <w:szCs w:val="16"/>
        </w:rPr>
      </w:pPr>
      <w:r w:rsidRPr="00085A3A">
        <w:rPr>
          <w:rStyle w:val="Odkaznapoznmkupodiarou"/>
          <w:sz w:val="16"/>
          <w:szCs w:val="16"/>
        </w:rPr>
        <w:footnoteRef/>
      </w:r>
      <w:r w:rsidRPr="00085A3A">
        <w:rPr>
          <w:sz w:val="16"/>
          <w:szCs w:val="16"/>
        </w:rPr>
        <w:t xml:space="preserve"> </w:t>
      </w:r>
      <w:r>
        <w:rPr>
          <w:sz w:val="16"/>
          <w:szCs w:val="16"/>
        </w:rPr>
        <w:t>Oproti</w:t>
      </w:r>
      <w:r w:rsidRPr="00085A3A">
        <w:rPr>
          <w:sz w:val="16"/>
          <w:szCs w:val="16"/>
        </w:rPr>
        <w:t xml:space="preserve"> predpokladu udržania hrubého dlhu pod 60 % HDP na celom strednodobom horizonte</w:t>
      </w:r>
      <w:r>
        <w:rPr>
          <w:sz w:val="16"/>
          <w:szCs w:val="16"/>
        </w:rPr>
        <w:t>.</w:t>
      </w:r>
    </w:p>
  </w:footnote>
  <w:footnote w:id="52">
    <w:p w14:paraId="360BE157" w14:textId="77777777" w:rsidR="00D52A81" w:rsidRPr="00E13042" w:rsidRDefault="00D52A81" w:rsidP="00BD53AF">
      <w:pPr>
        <w:pStyle w:val="Textpoznmkypodiarou"/>
        <w:jc w:val="both"/>
        <w:rPr>
          <w:sz w:val="16"/>
          <w:szCs w:val="16"/>
        </w:rPr>
      </w:pPr>
      <w:r w:rsidRPr="00E13042">
        <w:rPr>
          <w:rStyle w:val="Odkaznapoznmkupodiarou"/>
          <w:sz w:val="16"/>
          <w:szCs w:val="16"/>
        </w:rPr>
        <w:footnoteRef/>
      </w:r>
      <w:r w:rsidRPr="00E13042">
        <w:rPr>
          <w:sz w:val="16"/>
          <w:szCs w:val="16"/>
        </w:rPr>
        <w:t xml:space="preserve"> Pri prepočte </w:t>
      </w:r>
      <w:r>
        <w:rPr>
          <w:sz w:val="16"/>
          <w:szCs w:val="16"/>
        </w:rPr>
        <w:t xml:space="preserve">indikátora S2 </w:t>
      </w:r>
      <w:r w:rsidRPr="00E13042">
        <w:rPr>
          <w:sz w:val="16"/>
          <w:szCs w:val="16"/>
        </w:rPr>
        <w:t xml:space="preserve">abstrahujeme od </w:t>
      </w:r>
      <w:r>
        <w:rPr>
          <w:sz w:val="16"/>
          <w:szCs w:val="16"/>
        </w:rPr>
        <w:t>efektu nižšieho budúceho HDP zo zavedenia dôchodkového stropu na ostatné výdavkové položky (napr. školstvo).</w:t>
      </w:r>
    </w:p>
  </w:footnote>
  <w:footnote w:id="53">
    <w:p w14:paraId="00D085A0" w14:textId="77777777" w:rsidR="00D52A81" w:rsidRPr="002A3816" w:rsidRDefault="00D52A81" w:rsidP="00BD53AF">
      <w:pPr>
        <w:pStyle w:val="Textpoznmkypodiarou"/>
        <w:jc w:val="both"/>
        <w:rPr>
          <w:sz w:val="16"/>
          <w:szCs w:val="16"/>
        </w:rPr>
      </w:pPr>
      <w:r w:rsidRPr="002A3816">
        <w:rPr>
          <w:rStyle w:val="Odkaznapoznmkupodiarou"/>
          <w:sz w:val="16"/>
          <w:szCs w:val="16"/>
        </w:rPr>
        <w:footnoteRef/>
      </w:r>
      <w:r w:rsidRPr="002A3816">
        <w:rPr>
          <w:sz w:val="16"/>
          <w:szCs w:val="16"/>
        </w:rPr>
        <w:t xml:space="preserve"> </w:t>
      </w:r>
      <w:r>
        <w:rPr>
          <w:sz w:val="16"/>
          <w:szCs w:val="16"/>
        </w:rPr>
        <w:t>Udržanie vyrovnaného rozpočtu až do roku 2022 zodpovedá pri uzatváraní kladnej produkčnej medzery dodatočnému zlepšeniu štrukturálneho deficitu o 0,2 p.b. (z 0,4 % HDP v roku 2020 na 0,2 % HDP v roku 2022).</w:t>
      </w:r>
    </w:p>
  </w:footnote>
  <w:footnote w:id="54">
    <w:p w14:paraId="5AA2F562" w14:textId="11DB8894" w:rsidR="00D52A81" w:rsidRPr="00581834" w:rsidRDefault="00D52A81" w:rsidP="00BD53AF">
      <w:pPr>
        <w:pStyle w:val="Textpoznmkypodiarou"/>
        <w:rPr>
          <w:sz w:val="16"/>
          <w:szCs w:val="16"/>
        </w:rPr>
      </w:pPr>
      <w:r w:rsidRPr="00581834">
        <w:rPr>
          <w:rStyle w:val="Odkaznapoznmkupodiarou"/>
          <w:sz w:val="16"/>
          <w:szCs w:val="16"/>
        </w:rPr>
        <w:footnoteRef/>
      </w:r>
      <w:r w:rsidRPr="00581834">
        <w:rPr>
          <w:sz w:val="16"/>
          <w:szCs w:val="16"/>
        </w:rPr>
        <w:t xml:space="preserve"> </w:t>
      </w:r>
      <w:r w:rsidRPr="00581834">
        <w:rPr>
          <w:rFonts w:cs="Arial"/>
          <w:color w:val="000000"/>
          <w:sz w:val="16"/>
          <w:szCs w:val="16"/>
        </w:rPr>
        <w:t>Strop 64 rokov pre mužov a bezdetné ženy + znížený strop na úrovni 63,5/63/62,5 pre matky s 1/2/3</w:t>
      </w:r>
      <w:r w:rsidR="002300C8">
        <w:rPr>
          <w:rFonts w:cs="Arial"/>
          <w:color w:val="000000"/>
          <w:sz w:val="16"/>
          <w:szCs w:val="16"/>
        </w:rPr>
        <w:t xml:space="preserve"> a viac</w:t>
      </w:r>
      <w:r w:rsidRPr="00581834">
        <w:rPr>
          <w:rFonts w:cs="Arial"/>
          <w:color w:val="000000"/>
          <w:sz w:val="16"/>
          <w:szCs w:val="16"/>
        </w:rPr>
        <w:t xml:space="preserve"> deťmi</w:t>
      </w:r>
      <w:r>
        <w:rPr>
          <w:rFonts w:cs="Arial"/>
          <w:color w:val="000000"/>
          <w:sz w:val="16"/>
          <w:szCs w:val="16"/>
        </w:rPr>
        <w:t>.</w:t>
      </w:r>
    </w:p>
  </w:footnote>
  <w:footnote w:id="55">
    <w:p w14:paraId="31776434" w14:textId="77777777" w:rsidR="00D52A81" w:rsidRPr="006F0B84" w:rsidRDefault="00D52A81" w:rsidP="00841C05">
      <w:pPr>
        <w:pStyle w:val="Textpoznmkypodiarou"/>
        <w:jc w:val="both"/>
        <w:rPr>
          <w:sz w:val="16"/>
          <w:szCs w:val="16"/>
        </w:rPr>
      </w:pPr>
      <w:r w:rsidRPr="006F0B84">
        <w:rPr>
          <w:rStyle w:val="Odkaznapoznmkupodiarou"/>
          <w:sz w:val="16"/>
          <w:szCs w:val="16"/>
        </w:rPr>
        <w:footnoteRef/>
      </w:r>
      <w:r w:rsidRPr="006F0B84">
        <w:rPr>
          <w:sz w:val="16"/>
          <w:szCs w:val="16"/>
        </w:rPr>
        <w:t xml:space="preserve"> Ďalej v texte len daňových príjmov, zodpovedá súčtu ESA položiek (D.2REC+D.5REC+D61.REC+D.92REC).</w:t>
      </w:r>
    </w:p>
  </w:footnote>
  <w:footnote w:id="56">
    <w:p w14:paraId="4C4BF1B0" w14:textId="77777777" w:rsidR="00D52A81" w:rsidRPr="006F0B84" w:rsidRDefault="00D52A81" w:rsidP="00841C05">
      <w:pPr>
        <w:pStyle w:val="Textpoznmkypodiarou"/>
        <w:rPr>
          <w:sz w:val="16"/>
          <w:szCs w:val="16"/>
        </w:rPr>
      </w:pPr>
      <w:r w:rsidRPr="006F0B84">
        <w:rPr>
          <w:rStyle w:val="Odkaznapoznmkupodiarou"/>
          <w:sz w:val="16"/>
          <w:szCs w:val="16"/>
        </w:rPr>
        <w:footnoteRef/>
      </w:r>
      <w:r w:rsidRPr="006F0B84">
        <w:rPr>
          <w:sz w:val="16"/>
          <w:szCs w:val="16"/>
        </w:rPr>
        <w:t xml:space="preserve"> Porovnanie daňových príjmov voči výkonu ekonomiky zastiera rozdielne daňové príjmy ale aj fakt, že veľká časť HDP sa nezdaňuje (napr. investície).</w:t>
      </w:r>
    </w:p>
  </w:footnote>
  <w:footnote w:id="57">
    <w:p w14:paraId="1883BBC4" w14:textId="6F3DB6E5" w:rsidR="00D52A81" w:rsidRPr="006F0B84" w:rsidRDefault="00D52A81" w:rsidP="00841C05">
      <w:pPr>
        <w:pStyle w:val="Textpoznmkypodiarou"/>
        <w:rPr>
          <w:sz w:val="16"/>
          <w:szCs w:val="16"/>
        </w:rPr>
      </w:pPr>
      <w:r w:rsidRPr="006F0B84">
        <w:rPr>
          <w:rStyle w:val="Odkaznapoznmkupodiarou"/>
          <w:sz w:val="16"/>
          <w:szCs w:val="16"/>
        </w:rPr>
        <w:footnoteRef/>
      </w:r>
      <w:r w:rsidRPr="006F0B84">
        <w:rPr>
          <w:sz w:val="16"/>
          <w:szCs w:val="16"/>
        </w:rPr>
        <w:t>Taxation Trends 2019, pripravovaná publikácia.</w:t>
      </w:r>
    </w:p>
  </w:footnote>
  <w:footnote w:id="58">
    <w:p w14:paraId="10C704FB" w14:textId="77777777" w:rsidR="00D52A81" w:rsidRPr="006F0B84" w:rsidRDefault="00D52A81" w:rsidP="00841C05">
      <w:pPr>
        <w:pStyle w:val="Textpoznmkypodiarou"/>
        <w:ind w:left="113" w:hanging="113"/>
        <w:jc w:val="both"/>
        <w:rPr>
          <w:sz w:val="16"/>
          <w:szCs w:val="16"/>
        </w:rPr>
      </w:pPr>
      <w:r w:rsidRPr="006F0B84">
        <w:rPr>
          <w:rStyle w:val="Odkaznapoznmkupodiarou"/>
          <w:sz w:val="16"/>
          <w:szCs w:val="16"/>
        </w:rPr>
        <w:footnoteRef/>
      </w:r>
      <w:r w:rsidRPr="006F0B84">
        <w:rPr>
          <w:sz w:val="16"/>
          <w:szCs w:val="16"/>
        </w:rPr>
        <w:t xml:space="preserve"> Pozitívny vplyv na výnos má rýchlejší rast miezd v porovnaní s nezdaniteľnými časťami dane a odvodovej odpočítateľnej položky. Tento efekt sa nazýva v odbornej literatúre fiscal drag. Aktuálne odhadujeme, že v roku 2018 boli z tohto titulu príjmy na DPFO vyššie o100 mil. eur a na zdravotných odvodoch 50 mil. eur. </w:t>
      </w:r>
    </w:p>
  </w:footnote>
  <w:footnote w:id="59">
    <w:p w14:paraId="24E10B77" w14:textId="287F55D4" w:rsidR="00D52A81" w:rsidRPr="005E6AD2" w:rsidRDefault="00D52A81" w:rsidP="005E6AD2">
      <w:pPr>
        <w:pStyle w:val="Textpoznmkypodiarou"/>
        <w:rPr>
          <w:sz w:val="16"/>
          <w:szCs w:val="16"/>
        </w:rPr>
      </w:pPr>
      <w:r w:rsidRPr="005E6AD2">
        <w:rPr>
          <w:rStyle w:val="Odkaznapoznmkupodiarou"/>
          <w:sz w:val="16"/>
          <w:szCs w:val="16"/>
        </w:rPr>
        <w:footnoteRef/>
      </w:r>
      <w:r w:rsidRPr="005E6AD2">
        <w:rPr>
          <w:sz w:val="16"/>
          <w:szCs w:val="16"/>
        </w:rPr>
        <w:t xml:space="preserve"> </w:t>
      </w:r>
      <w:r w:rsidRPr="005E6AD2">
        <w:rPr>
          <w:rFonts w:cs="Arial"/>
          <w:bCs/>
          <w:color w:val="222222"/>
          <w:sz w:val="16"/>
          <w:szCs w:val="16"/>
          <w:shd w:val="clear" w:color="auto" w:fill="FFFFFF"/>
        </w:rPr>
        <w:t>ATAD – z angl. Anti-Tax Avoidance Directive</w:t>
      </w:r>
      <w:r>
        <w:rPr>
          <w:rFonts w:cs="Arial"/>
          <w:bCs/>
          <w:color w:val="222222"/>
          <w:sz w:val="16"/>
          <w:szCs w:val="16"/>
          <w:shd w:val="clear" w:color="auto" w:fill="FFFFFF"/>
        </w:rPr>
        <w:t>.</w:t>
      </w:r>
    </w:p>
  </w:footnote>
  <w:footnote w:id="60">
    <w:p w14:paraId="3E16BC31" w14:textId="77777777" w:rsidR="00D52A81" w:rsidRDefault="00D52A81" w:rsidP="00841C05">
      <w:pPr>
        <w:pStyle w:val="Textpoznmkypodiarou"/>
      </w:pPr>
      <w:r w:rsidRPr="00B027E2">
        <w:rPr>
          <w:rStyle w:val="Odkaznapoznmkupodiarou"/>
          <w:sz w:val="16"/>
        </w:rPr>
        <w:footnoteRef/>
      </w:r>
      <w:r w:rsidRPr="00B027E2">
        <w:rPr>
          <w:sz w:val="16"/>
        </w:rPr>
        <w:t xml:space="preserve"> Tvorba hrubého fixného kapitálu</w:t>
      </w:r>
    </w:p>
  </w:footnote>
  <w:footnote w:id="61">
    <w:p w14:paraId="093E87AF" w14:textId="0564A5C6" w:rsidR="00D52A81" w:rsidRPr="00A4622D" w:rsidRDefault="00D52A81" w:rsidP="00841C05">
      <w:pPr>
        <w:pStyle w:val="Textpoznmkypodiarou"/>
        <w:ind w:left="113" w:hanging="113"/>
        <w:jc w:val="both"/>
        <w:rPr>
          <w:sz w:val="16"/>
          <w:szCs w:val="16"/>
        </w:rPr>
      </w:pPr>
      <w:r w:rsidRPr="00A4622D">
        <w:rPr>
          <w:rStyle w:val="Odkaznapoznmkupodiarou"/>
          <w:sz w:val="16"/>
          <w:szCs w:val="16"/>
        </w:rPr>
        <w:footnoteRef/>
      </w:r>
      <w:r>
        <w:rPr>
          <w:sz w:val="16"/>
          <w:szCs w:val="16"/>
        </w:rPr>
        <w:t xml:space="preserve"> </w:t>
      </w:r>
      <w:r w:rsidRPr="00A4622D">
        <w:rPr>
          <w:sz w:val="16"/>
          <w:szCs w:val="16"/>
        </w:rPr>
        <w:t xml:space="preserve">Metodika zaznamenávania výdavkov podľa funkčnej klasifikácie sa môže medzi jednotlivými krajinami líšiť. Toto môže spôsobiť, že v rámci rovnakej položky vystupujú v rôznych krajinách odlišné dáta (napr. zdaňované a nezdaňované dôchodky). </w:t>
      </w:r>
    </w:p>
  </w:footnote>
  <w:footnote w:id="62">
    <w:p w14:paraId="3EE7FCEC" w14:textId="77777777" w:rsidR="00D52A81" w:rsidRPr="00A4622D" w:rsidRDefault="00D52A81" w:rsidP="00841C05">
      <w:pPr>
        <w:pStyle w:val="Textpoznmkypodiarou"/>
        <w:jc w:val="both"/>
        <w:rPr>
          <w:sz w:val="16"/>
          <w:szCs w:val="16"/>
        </w:rPr>
      </w:pPr>
      <w:r w:rsidRPr="00A4622D">
        <w:rPr>
          <w:rStyle w:val="Odkaznapoznmkupodiarou"/>
          <w:sz w:val="16"/>
          <w:szCs w:val="16"/>
        </w:rPr>
        <w:footnoteRef/>
      </w:r>
      <w:r w:rsidRPr="00A4622D">
        <w:rPr>
          <w:sz w:val="16"/>
          <w:szCs w:val="16"/>
        </w:rPr>
        <w:t xml:space="preserve"> Posledné dostupné údaje za klasifikáciu COFOG sú z roku 201</w:t>
      </w:r>
      <w:r>
        <w:rPr>
          <w:sz w:val="16"/>
          <w:szCs w:val="16"/>
        </w:rPr>
        <w:t>7</w:t>
      </w:r>
      <w:r w:rsidRPr="00A4622D">
        <w:rPr>
          <w:sz w:val="16"/>
          <w:szCs w:val="16"/>
        </w:rPr>
        <w:t>.</w:t>
      </w:r>
    </w:p>
  </w:footnote>
  <w:footnote w:id="63">
    <w:p w14:paraId="64DEB3FD" w14:textId="77777777" w:rsidR="00D52A81" w:rsidRPr="00A4622D" w:rsidRDefault="00D52A81" w:rsidP="00841C05">
      <w:pPr>
        <w:pStyle w:val="Textpoznmkypodiarou"/>
        <w:jc w:val="both"/>
        <w:rPr>
          <w:sz w:val="16"/>
          <w:szCs w:val="16"/>
        </w:rPr>
      </w:pPr>
      <w:r w:rsidRPr="00A4622D">
        <w:rPr>
          <w:rStyle w:val="Odkaznapoznmkupodiarou"/>
          <w:sz w:val="16"/>
          <w:szCs w:val="16"/>
        </w:rPr>
        <w:footnoteRef/>
      </w:r>
      <w:r w:rsidRPr="00A4622D">
        <w:rPr>
          <w:sz w:val="16"/>
          <w:szCs w:val="16"/>
        </w:rPr>
        <w:t xml:space="preserve"> Napríklad starostlivosť o deti, ľudí v kríze.</w:t>
      </w:r>
    </w:p>
  </w:footnote>
  <w:footnote w:id="64">
    <w:p w14:paraId="4EABCAF9" w14:textId="77777777" w:rsidR="00D52A81" w:rsidRPr="00272E05" w:rsidRDefault="00D52A81" w:rsidP="00841C05">
      <w:pPr>
        <w:pStyle w:val="Textpoznmkypodiarou"/>
        <w:jc w:val="both"/>
        <w:rPr>
          <w:sz w:val="16"/>
          <w:szCs w:val="16"/>
        </w:rPr>
      </w:pPr>
      <w:r w:rsidRPr="005164E0">
        <w:rPr>
          <w:rStyle w:val="Odkaznapoznmkupodiarou"/>
          <w:sz w:val="16"/>
        </w:rPr>
        <w:footnoteRef/>
      </w:r>
      <w:r w:rsidRPr="005164E0">
        <w:rPr>
          <w:sz w:val="16"/>
        </w:rPr>
        <w:t xml:space="preserve"> </w:t>
      </w:r>
      <w:r w:rsidRPr="00272E05">
        <w:rPr>
          <w:sz w:val="16"/>
          <w:szCs w:val="16"/>
        </w:rPr>
        <w:t>Rozpočtované hotovostné výdavky na kapitolu ministerstva obrany predstavujú 2 % HDP v roku 2022, avšak v metodike ESA 2010 časť týchto výdavkov nie je zohľadnená.</w:t>
      </w:r>
    </w:p>
  </w:footnote>
  <w:footnote w:id="65">
    <w:p w14:paraId="2F969909" w14:textId="77777777" w:rsidR="00D52A81" w:rsidRPr="004434B7" w:rsidRDefault="00D52A81" w:rsidP="00841C05">
      <w:pPr>
        <w:pStyle w:val="Textpoznmkypodiarou"/>
        <w:jc w:val="both"/>
      </w:pPr>
      <w:r w:rsidRPr="004434B7">
        <w:rPr>
          <w:rStyle w:val="Odkaznapoznmkupodiarou"/>
          <w:sz w:val="16"/>
        </w:rPr>
        <w:footnoteRef/>
      </w:r>
      <w:r w:rsidRPr="004434B7">
        <w:rPr>
          <w:sz w:val="16"/>
        </w:rPr>
        <w:t xml:space="preserve"> Údaj o verejných výdavkoch na zdravotníctvo vo výške</w:t>
      </w:r>
      <w:r>
        <w:rPr>
          <w:sz w:val="16"/>
        </w:rPr>
        <w:t xml:space="preserve"> 7,1 % HDP </w:t>
      </w:r>
      <w:r w:rsidRPr="004434B7">
        <w:rPr>
          <w:sz w:val="16"/>
        </w:rPr>
        <w:t>vychádza z</w:t>
      </w:r>
      <w:r>
        <w:rPr>
          <w:sz w:val="16"/>
        </w:rPr>
        <w:t> </w:t>
      </w:r>
      <w:r w:rsidRPr="004434B7">
        <w:rPr>
          <w:sz w:val="16"/>
        </w:rPr>
        <w:t>metodiky</w:t>
      </w:r>
      <w:r>
        <w:rPr>
          <w:sz w:val="16"/>
        </w:rPr>
        <w:t xml:space="preserve"> </w:t>
      </w:r>
      <w:r w:rsidRPr="004434B7">
        <w:rPr>
          <w:sz w:val="16"/>
        </w:rPr>
        <w:t>COFOG a ESA 2010</w:t>
      </w:r>
      <w:r>
        <w:rPr>
          <w:sz w:val="16"/>
        </w:rPr>
        <w:t>. Podľa</w:t>
      </w:r>
      <w:r w:rsidRPr="004434B7">
        <w:rPr>
          <w:sz w:val="16"/>
        </w:rPr>
        <w:t xml:space="preserve"> metodiky SHA (System of Health Accounts)</w:t>
      </w:r>
      <w:r>
        <w:rPr>
          <w:sz w:val="16"/>
        </w:rPr>
        <w:t xml:space="preserve"> výdavky na zdravotníctvo predstavujú 5,7 % HDP. COFOG a ESA 2010</w:t>
      </w:r>
      <w:r w:rsidRPr="004434B7">
        <w:rPr>
          <w:sz w:val="16"/>
        </w:rPr>
        <w:t xml:space="preserve"> dvakrát započítavajú výdavky verejných nemocníc.</w:t>
      </w:r>
    </w:p>
  </w:footnote>
  <w:footnote w:id="66">
    <w:p w14:paraId="3F79BB4C" w14:textId="77777777" w:rsidR="00D52A81" w:rsidRPr="00272E05" w:rsidRDefault="00D52A81" w:rsidP="00841C05">
      <w:pPr>
        <w:pStyle w:val="Textpoznmkypodiarou"/>
        <w:jc w:val="both"/>
        <w:rPr>
          <w:sz w:val="16"/>
          <w:szCs w:val="16"/>
        </w:rPr>
      </w:pPr>
      <w:r w:rsidRPr="00272E05">
        <w:rPr>
          <w:rStyle w:val="Odkaznapoznmkupodiarou"/>
          <w:sz w:val="16"/>
          <w:szCs w:val="16"/>
        </w:rPr>
        <w:footnoteRef/>
      </w:r>
      <w:r w:rsidRPr="00272E05">
        <w:rPr>
          <w:sz w:val="16"/>
          <w:szCs w:val="16"/>
        </w:rPr>
        <w:t xml:space="preserve"> Objem revidovaných výdavkov – revízie 2016 a revízie 2017 skutočnosť daného roku, revízie v priebehu 2018 očakávaná skutočnosť daného roku, nerevidované návrh rozpočtu.</w:t>
      </w:r>
    </w:p>
  </w:footnote>
  <w:footnote w:id="67">
    <w:p w14:paraId="5DEC1BF8" w14:textId="79DC0A63" w:rsidR="00D52A81" w:rsidRPr="005E510A" w:rsidRDefault="00D52A81" w:rsidP="00D73008">
      <w:pPr>
        <w:pStyle w:val="Textpoznmkypodiarou"/>
        <w:jc w:val="both"/>
        <w:rPr>
          <w:color w:val="2C9ADC" w:themeColor="accent1"/>
          <w:sz w:val="16"/>
          <w:szCs w:val="16"/>
        </w:rPr>
      </w:pPr>
      <w:r w:rsidRPr="005E510A">
        <w:rPr>
          <w:rStyle w:val="Odkaznapoznmkupodiarou"/>
          <w:sz w:val="16"/>
          <w:szCs w:val="16"/>
        </w:rPr>
        <w:footnoteRef/>
      </w:r>
      <w:r w:rsidRPr="005E510A">
        <w:rPr>
          <w:sz w:val="16"/>
          <w:szCs w:val="16"/>
        </w:rPr>
        <w:t xml:space="preserve"> Národné fiškálne pravidlá vychádzajú aj z noriem z európskej úrovne (najmä </w:t>
      </w:r>
      <w:hyperlink r:id="rId6" w:history="1">
        <w:r w:rsidRPr="005E510A">
          <w:rPr>
            <w:rStyle w:val="Hypertextovprepojenie"/>
            <w:color w:val="2C9ADC" w:themeColor="accent1"/>
            <w:sz w:val="16"/>
            <w:szCs w:val="16"/>
          </w:rPr>
          <w:t>Vade Mecum on the Stability and Growth Pact</w:t>
        </w:r>
      </w:hyperlink>
      <w:r w:rsidRPr="005E510A">
        <w:rPr>
          <w:color w:val="2C9ADC" w:themeColor="accent1"/>
          <w:sz w:val="16"/>
          <w:szCs w:val="16"/>
        </w:rPr>
        <w:t xml:space="preserve">). </w:t>
      </w:r>
      <w:r w:rsidRPr="005E510A">
        <w:rPr>
          <w:sz w:val="16"/>
          <w:szCs w:val="16"/>
        </w:rPr>
        <w:t xml:space="preserve">Medzi hlavné národné numerické fiškálne pravidlá na SR patrí </w:t>
      </w:r>
      <w:hyperlink r:id="rId7" w:history="1">
        <w:r w:rsidRPr="005E510A">
          <w:rPr>
            <w:rStyle w:val="Hypertextovprepojenie"/>
            <w:color w:val="2C9ADC" w:themeColor="accent1"/>
            <w:sz w:val="16"/>
            <w:szCs w:val="16"/>
          </w:rPr>
          <w:t>Ústavný zákon o rozpočtovej zodpovednosti</w:t>
        </w:r>
      </w:hyperlink>
      <w:r w:rsidRPr="005E510A">
        <w:rPr>
          <w:sz w:val="16"/>
          <w:szCs w:val="16"/>
        </w:rPr>
        <w:t xml:space="preserve"> a </w:t>
      </w:r>
      <w:hyperlink r:id="rId8" w:history="1">
        <w:r w:rsidRPr="005E510A">
          <w:rPr>
            <w:rStyle w:val="Hypertextovprepojenie"/>
            <w:color w:val="2C9ADC" w:themeColor="accent1"/>
            <w:sz w:val="16"/>
            <w:szCs w:val="16"/>
          </w:rPr>
          <w:t>Zákon o rozpočtových pravidlách verejnej správy (§ 30a)</w:t>
        </w:r>
      </w:hyperlink>
      <w:r w:rsidRPr="005E510A">
        <w:rPr>
          <w:sz w:val="16"/>
          <w:szCs w:val="16"/>
        </w:rPr>
        <w:t xml:space="preserve">, ktoré určujú numerické pravidlá pre hrubý dlh a saldo hospodárenia VS. Bližšie sú všetky rozpočtové pravidlá popísané aj v dokumentoch Rady pre Rozpočtovú zodpovednosť, ktorá hodnotí ich dodržiavanie (napr. </w:t>
      </w:r>
      <w:hyperlink r:id="rId9" w:history="1">
        <w:r w:rsidRPr="005E510A">
          <w:rPr>
            <w:rStyle w:val="Hypertextovprepojenie"/>
            <w:color w:val="2C9ADC" w:themeColor="accent1"/>
            <w:sz w:val="16"/>
            <w:szCs w:val="16"/>
          </w:rPr>
          <w:t>Správa o hodnotení plnenia pravidiel rozpočtovej zodpovednosti a pravidiel rozpočtovej transparentnosti za rok 2017</w:t>
        </w:r>
      </w:hyperlink>
      <w:r w:rsidRPr="005E510A">
        <w:rPr>
          <w:color w:val="2C9ADC" w:themeColor="accent1"/>
          <w:sz w:val="16"/>
          <w:szCs w:val="16"/>
        </w:rPr>
        <w:t>).</w:t>
      </w:r>
    </w:p>
  </w:footnote>
  <w:footnote w:id="68">
    <w:p w14:paraId="45F9ED28" w14:textId="77777777" w:rsidR="00D52A81" w:rsidRPr="005E510A" w:rsidRDefault="00D52A81" w:rsidP="00D73008">
      <w:pPr>
        <w:pStyle w:val="Textpoznmkypodiarou"/>
        <w:jc w:val="both"/>
        <w:rPr>
          <w:sz w:val="16"/>
          <w:szCs w:val="16"/>
        </w:rPr>
      </w:pPr>
      <w:r w:rsidRPr="005E510A">
        <w:rPr>
          <w:rStyle w:val="Odkaznapoznmkupodiarou"/>
          <w:sz w:val="16"/>
          <w:szCs w:val="16"/>
        </w:rPr>
        <w:footnoteRef/>
      </w:r>
      <w:r w:rsidRPr="005E510A">
        <w:rPr>
          <w:sz w:val="16"/>
          <w:szCs w:val="16"/>
        </w:rPr>
        <w:t xml:space="preserve"> Ministerstvo financií publikovalo v októbri 2018 </w:t>
      </w:r>
      <w:hyperlink r:id="rId10" w:history="1">
        <w:r w:rsidRPr="005E510A">
          <w:rPr>
            <w:rStyle w:val="Hypertextovprepojenie"/>
            <w:color w:val="2C9ADC" w:themeColor="accent1"/>
            <w:sz w:val="16"/>
            <w:szCs w:val="16"/>
          </w:rPr>
          <w:t>diskusnú štúdiu</w:t>
        </w:r>
      </w:hyperlink>
      <w:r w:rsidRPr="005E510A">
        <w:rPr>
          <w:sz w:val="16"/>
          <w:szCs w:val="16"/>
        </w:rPr>
        <w:t>, ktorá otvorila verejnú debatu o možnej podobe výdavkových stropov na Slovensku</w:t>
      </w:r>
    </w:p>
  </w:footnote>
  <w:footnote w:id="69">
    <w:p w14:paraId="074B6343" w14:textId="03311499" w:rsidR="00D52A81" w:rsidRPr="005E510A" w:rsidRDefault="00D52A81" w:rsidP="000837BD">
      <w:pPr>
        <w:jc w:val="both"/>
        <w:rPr>
          <w:sz w:val="16"/>
          <w:szCs w:val="16"/>
        </w:rPr>
      </w:pPr>
      <w:r w:rsidRPr="005E510A">
        <w:rPr>
          <w:rStyle w:val="Odkaznapoznmkupodiarou"/>
          <w:sz w:val="16"/>
          <w:szCs w:val="16"/>
        </w:rPr>
        <w:footnoteRef/>
      </w:r>
      <w:r w:rsidRPr="005E510A">
        <w:rPr>
          <w:sz w:val="16"/>
          <w:szCs w:val="16"/>
        </w:rPr>
        <w:t xml:space="preserve"> Ministerstvo financií SR v spolupráci so Zastúpením Európskej komisie na Slovensku organizovalo 21. februára 2019 workshop k implementácii výdavkových stropov. Viac na </w:t>
      </w:r>
      <w:hyperlink r:id="rId11" w:history="1">
        <w:r w:rsidRPr="005E510A">
          <w:rPr>
            <w:rStyle w:val="Hypertextovprepojenie"/>
            <w:color w:val="2C9ADC" w:themeColor="accent1"/>
            <w:sz w:val="16"/>
            <w:szCs w:val="16"/>
          </w:rPr>
          <w:t>webe MF SR</w:t>
        </w:r>
      </w:hyperlink>
      <w:r w:rsidRPr="005E510A">
        <w:rPr>
          <w:color w:val="2C9ADC" w:themeColor="accent1"/>
          <w:sz w:val="16"/>
          <w:szCs w:val="16"/>
        </w:rPr>
        <w:t>.</w:t>
      </w:r>
    </w:p>
  </w:footnote>
  <w:footnote w:id="70">
    <w:p w14:paraId="3F510EA2" w14:textId="1DC35D27" w:rsidR="00D52A81" w:rsidRPr="005E510A" w:rsidRDefault="00D52A81" w:rsidP="006F5F4E">
      <w:pPr>
        <w:pStyle w:val="Textpoznmkypodiarou"/>
        <w:jc w:val="both"/>
        <w:rPr>
          <w:sz w:val="16"/>
          <w:szCs w:val="16"/>
        </w:rPr>
      </w:pPr>
      <w:r w:rsidRPr="005E510A">
        <w:rPr>
          <w:rStyle w:val="Odkaznapoznmkupodiarou"/>
          <w:sz w:val="16"/>
          <w:szCs w:val="16"/>
        </w:rPr>
        <w:footnoteRef/>
      </w:r>
      <w:r w:rsidRPr="005E510A">
        <w:rPr>
          <w:sz w:val="16"/>
          <w:szCs w:val="16"/>
        </w:rPr>
        <w:t xml:space="preserve"> Legislatívne hodnota investície nie je explicitne určená v zákone, ale podľa § 19a ods. 3 zákona č. 523/2004 Z. z. ju ustanoví vláda nariadením. Hodnoty 40 mil. eur pri investíciách a koncesiách a 10 mil. eur pri investíciách v informatizácií sú štandardom, ktorý určuje hraničnú hodnotu investície už v súčasnosti podľa uznesenia vlády č. 453/2018.</w:t>
      </w:r>
    </w:p>
  </w:footnote>
  <w:footnote w:id="71">
    <w:p w14:paraId="5898C9A9" w14:textId="5CBD2D83" w:rsidR="00D52A81" w:rsidRPr="00912B6D" w:rsidRDefault="00D52A81">
      <w:pPr>
        <w:pStyle w:val="Textpoznmkypodiarou"/>
        <w:rPr>
          <w:sz w:val="16"/>
          <w:szCs w:val="16"/>
        </w:rPr>
      </w:pPr>
      <w:r w:rsidRPr="00912B6D">
        <w:rPr>
          <w:rStyle w:val="Odkaznapoznmkupodiarou"/>
          <w:sz w:val="16"/>
          <w:szCs w:val="16"/>
        </w:rPr>
        <w:footnoteRef/>
      </w:r>
      <w:r w:rsidRPr="00912B6D">
        <w:rPr>
          <w:sz w:val="16"/>
          <w:szCs w:val="16"/>
        </w:rPr>
        <w:t xml:space="preserve"> v rozsahu najmenej 50 % výdavkov verejnej správy zverejnených Európskou komisiou v apríli za rok predchádzajúci roku, v ktorom bolo schválené programové vyhlásenie vlády</w:t>
      </w:r>
    </w:p>
  </w:footnote>
  <w:footnote w:id="72">
    <w:p w14:paraId="722BB93C" w14:textId="09876032" w:rsidR="00D52A81" w:rsidRPr="00912B6D" w:rsidRDefault="00D52A81" w:rsidP="00D73008">
      <w:pPr>
        <w:pStyle w:val="Textpoznmkypodiarou"/>
        <w:rPr>
          <w:sz w:val="16"/>
          <w:szCs w:val="16"/>
        </w:rPr>
      </w:pPr>
      <w:r w:rsidRPr="00912B6D">
        <w:rPr>
          <w:rStyle w:val="Odkaznapoznmkupodiarou"/>
          <w:sz w:val="16"/>
          <w:szCs w:val="16"/>
        </w:rPr>
        <w:footnoteRef/>
      </w:r>
      <w:r w:rsidRPr="00912B6D">
        <w:rPr>
          <w:sz w:val="16"/>
          <w:szCs w:val="16"/>
        </w:rPr>
        <w:t xml:space="preserve"> S výnimkou obcí a VÚC resp. nimi zriadená rozpočtová a príspevková organizácia.</w:t>
      </w:r>
    </w:p>
  </w:footnote>
  <w:footnote w:id="73">
    <w:p w14:paraId="126E1FF8" w14:textId="77777777" w:rsidR="00D52A81" w:rsidRPr="00912B6D" w:rsidRDefault="00D52A81" w:rsidP="00D73008">
      <w:pPr>
        <w:pStyle w:val="Textpoznmkypodiarou"/>
        <w:rPr>
          <w:sz w:val="16"/>
          <w:szCs w:val="16"/>
        </w:rPr>
      </w:pPr>
      <w:r w:rsidRPr="00912B6D">
        <w:rPr>
          <w:rStyle w:val="Odkaznapoznmkupodiarou"/>
          <w:sz w:val="16"/>
          <w:szCs w:val="16"/>
        </w:rPr>
        <w:footnoteRef/>
      </w:r>
      <w:r w:rsidRPr="00912B6D">
        <w:rPr>
          <w:sz w:val="16"/>
          <w:szCs w:val="16"/>
        </w:rPr>
        <w:t xml:space="preserve"> Neplatí v prípade utajovanej skutočnosti, kedy je štúdia uskutočniteľnosti posielaná priamo ministerstvu financií.</w:t>
      </w:r>
    </w:p>
  </w:footnote>
  <w:footnote w:id="74">
    <w:p w14:paraId="25CD3999" w14:textId="77777777" w:rsidR="00D52A81" w:rsidRPr="00912B6D" w:rsidRDefault="00D52A81" w:rsidP="00D73008">
      <w:pPr>
        <w:pStyle w:val="Default"/>
        <w:jc w:val="both"/>
        <w:rPr>
          <w:sz w:val="16"/>
          <w:szCs w:val="16"/>
        </w:rPr>
      </w:pPr>
      <w:r w:rsidRPr="00912B6D">
        <w:rPr>
          <w:rStyle w:val="Odkaznapoznmkupodiarou"/>
          <w:sz w:val="16"/>
          <w:szCs w:val="16"/>
        </w:rPr>
        <w:footnoteRef/>
      </w:r>
      <w:r w:rsidRPr="00912B6D">
        <w:rPr>
          <w:sz w:val="16"/>
          <w:szCs w:val="16"/>
        </w:rPr>
        <w:t xml:space="preserve"> </w:t>
      </w:r>
      <w:r w:rsidRPr="00912B6D">
        <w:rPr>
          <w:rFonts w:ascii="Arial Narrow" w:hAnsi="Arial Narrow"/>
          <w:sz w:val="16"/>
          <w:szCs w:val="16"/>
          <w:lang w:val="sk-SK"/>
        </w:rPr>
        <w:t>Investíciou sa rozumejú výdavky na obstaranie hmotného majetku a nehmotného majetku (aj ak je vylúčený z odpisovania, vrátane výdavkov na nájom veci s právom kúpy prenajatej veci, výdavky na operatívny lízing. Hodnotu investície a koncesie, pri ktorých sa vypracovávajú a zverejňujú štúdie uskutočniteľnosti a podmienky ich vypracovania ustanoví vláda nariadením.</w:t>
      </w:r>
    </w:p>
  </w:footnote>
  <w:footnote w:id="75">
    <w:p w14:paraId="4D276784" w14:textId="77777777" w:rsidR="00D52A81" w:rsidRPr="00912B6D" w:rsidRDefault="00D52A81" w:rsidP="00D73008">
      <w:pPr>
        <w:pStyle w:val="Textpoznmkypodiarou"/>
        <w:rPr>
          <w:sz w:val="16"/>
          <w:szCs w:val="16"/>
        </w:rPr>
      </w:pPr>
      <w:r w:rsidRPr="00912B6D">
        <w:rPr>
          <w:rStyle w:val="Odkaznapoznmkupodiarou"/>
          <w:sz w:val="16"/>
          <w:szCs w:val="16"/>
        </w:rPr>
        <w:footnoteRef/>
      </w:r>
      <w:r w:rsidRPr="00912B6D">
        <w:rPr>
          <w:sz w:val="16"/>
          <w:szCs w:val="16"/>
        </w:rPr>
        <w:t xml:space="preserve"> Zákon o zdravotnom poistení 580/2004 Z. z..</w:t>
      </w:r>
    </w:p>
  </w:footnote>
  <w:footnote w:id="76">
    <w:p w14:paraId="5BCFE713" w14:textId="77777777" w:rsidR="00D52A81" w:rsidRPr="00505B01" w:rsidRDefault="00D52A81" w:rsidP="00D73008">
      <w:pPr>
        <w:pStyle w:val="Textpoznmkypodiarou"/>
        <w:rPr>
          <w:sz w:val="16"/>
          <w:szCs w:val="16"/>
        </w:rPr>
      </w:pPr>
      <w:r w:rsidRPr="00505B01">
        <w:rPr>
          <w:rStyle w:val="Odkaznapoznmkupodiarou"/>
          <w:sz w:val="16"/>
          <w:szCs w:val="16"/>
        </w:rPr>
        <w:footnoteRef/>
      </w:r>
      <w:r w:rsidRPr="00505B01">
        <w:rPr>
          <w:sz w:val="16"/>
          <w:szCs w:val="16"/>
        </w:rPr>
        <w:t xml:space="preserve"> Podľa konceptu národných účtov (ESA).</w:t>
      </w:r>
    </w:p>
  </w:footnote>
  <w:footnote w:id="77">
    <w:p w14:paraId="141D75FD" w14:textId="77777777" w:rsidR="00236514" w:rsidRDefault="00236514" w:rsidP="00236514">
      <w:pPr>
        <w:pStyle w:val="Textpoznmkypodiarou"/>
      </w:pPr>
      <w:r w:rsidRPr="006B325C">
        <w:rPr>
          <w:rStyle w:val="Odkaznapoznmkupodiarou"/>
          <w:sz w:val="16"/>
          <w:szCs w:val="16"/>
        </w:rPr>
        <w:footnoteRef/>
      </w:r>
      <w:r w:rsidRPr="006B325C">
        <w:rPr>
          <w:sz w:val="16"/>
          <w:szCs w:val="16"/>
        </w:rPr>
        <w:t xml:space="preserve"> Schválený parlamentom v apríli 2019.</w:t>
      </w:r>
    </w:p>
  </w:footnote>
  <w:footnote w:id="78">
    <w:p w14:paraId="3A134260" w14:textId="77777777" w:rsidR="00D52A81" w:rsidRPr="00381915" w:rsidRDefault="00D52A81" w:rsidP="00D73008">
      <w:pPr>
        <w:jc w:val="both"/>
        <w:rPr>
          <w:sz w:val="16"/>
          <w:szCs w:val="16"/>
        </w:rPr>
      </w:pPr>
      <w:r w:rsidRPr="00381915">
        <w:rPr>
          <w:rStyle w:val="Odkaznapoznmkupodiarou"/>
          <w:sz w:val="16"/>
          <w:szCs w:val="16"/>
        </w:rPr>
        <w:footnoteRef/>
      </w:r>
      <w:r w:rsidRPr="00381915">
        <w:rPr>
          <w:sz w:val="16"/>
          <w:szCs w:val="16"/>
        </w:rPr>
        <w:t xml:space="preserve"> </w:t>
      </w:r>
      <w:r w:rsidRPr="00381915">
        <w:rPr>
          <w:rFonts w:cs="Arial"/>
          <w:color w:val="000000" w:themeColor="text1"/>
          <w:sz w:val="16"/>
          <w:szCs w:val="16"/>
        </w:rPr>
        <w:t>Pakt stability a rastu vychádza z premisy, že členské štáty by mali dosiahnuť symetrický prístup k fiškálnej politike v súlade s cyklickým vývojom ekonomiky.</w:t>
      </w:r>
    </w:p>
  </w:footnote>
  <w:footnote w:id="79">
    <w:p w14:paraId="0FE62B2E" w14:textId="77777777" w:rsidR="00D52A81" w:rsidRPr="00381915" w:rsidRDefault="00D52A81" w:rsidP="00D73008">
      <w:pPr>
        <w:pStyle w:val="Textpoznmkypodiarou"/>
        <w:jc w:val="both"/>
        <w:rPr>
          <w:sz w:val="16"/>
          <w:szCs w:val="16"/>
        </w:rPr>
      </w:pPr>
      <w:r w:rsidRPr="00381915">
        <w:rPr>
          <w:rStyle w:val="Odkaznapoznmkupodiarou"/>
          <w:sz w:val="16"/>
          <w:szCs w:val="16"/>
        </w:rPr>
        <w:footnoteRef/>
      </w:r>
      <w:r w:rsidRPr="00381915">
        <w:rPr>
          <w:sz w:val="16"/>
          <w:szCs w:val="16"/>
        </w:rPr>
        <w:t xml:space="preserve"> Odhadovaných pomocou produkčnej medzery ako rozdiel medzi skutočnou a potenciálnou úrovňou HDP.</w:t>
      </w:r>
    </w:p>
  </w:footnote>
  <w:footnote w:id="80">
    <w:p w14:paraId="0C133012" w14:textId="77777777" w:rsidR="00D52A81" w:rsidRPr="00851B85" w:rsidRDefault="00D52A81" w:rsidP="00D73008">
      <w:pPr>
        <w:jc w:val="both"/>
        <w:rPr>
          <w:sz w:val="16"/>
          <w:szCs w:val="16"/>
        </w:rPr>
      </w:pPr>
      <w:r w:rsidRPr="00851B85">
        <w:rPr>
          <w:sz w:val="16"/>
          <w:szCs w:val="16"/>
          <w:vertAlign w:val="superscript"/>
        </w:rPr>
        <w:footnoteRef/>
      </w:r>
      <w:r w:rsidRPr="00851B85">
        <w:rPr>
          <w:sz w:val="16"/>
          <w:szCs w:val="16"/>
        </w:rPr>
        <w:t xml:space="preserve"> Pôvodná metodika bola prezentovaná v Girouard, N., André, Ch. (2005): Measuring cyclically-adjusted budget balances for OECD countries. V roku 2014</w:t>
      </w:r>
      <w:r>
        <w:rPr>
          <w:sz w:val="16"/>
          <w:szCs w:val="16"/>
        </w:rPr>
        <w:t xml:space="preserve"> </w:t>
      </w:r>
      <w:r w:rsidRPr="00851B85">
        <w:rPr>
          <w:sz w:val="16"/>
          <w:szCs w:val="16"/>
        </w:rPr>
        <w:t>prebehol proces aktualizácie metodiky a zahrnutia nových údajov pre výpočet elasticít. Metodika bola schválená členskými štátmi v septembri 2014.</w:t>
      </w:r>
    </w:p>
  </w:footnote>
  <w:footnote w:id="81">
    <w:p w14:paraId="5727EA65" w14:textId="77777777" w:rsidR="00D52A81" w:rsidRPr="00605148" w:rsidRDefault="00D52A81" w:rsidP="00D73008">
      <w:pPr>
        <w:jc w:val="both"/>
        <w:rPr>
          <w:sz w:val="16"/>
          <w:szCs w:val="16"/>
        </w:rPr>
      </w:pPr>
      <w:r w:rsidRPr="00605148">
        <w:rPr>
          <w:rStyle w:val="Odkaznapoznmkupodiarou"/>
          <w:sz w:val="16"/>
          <w:szCs w:val="16"/>
        </w:rPr>
        <w:footnoteRef/>
      </w:r>
      <w:r w:rsidRPr="00605148">
        <w:rPr>
          <w:sz w:val="16"/>
          <w:szCs w:val="16"/>
        </w:rPr>
        <w:t xml:space="preserve"> </w:t>
      </w:r>
      <w:r w:rsidRPr="00605148">
        <w:rPr>
          <w:rFonts w:cs="Times New Roman"/>
          <w:sz w:val="16"/>
          <w:szCs w:val="16"/>
        </w:rPr>
        <w:t>Metodika Európskej komisie (EK)</w:t>
      </w:r>
      <w:r w:rsidRPr="00605148">
        <w:rPr>
          <w:rStyle w:val="Odkaznapoznmkupodiarou"/>
          <w:sz w:val="16"/>
          <w:szCs w:val="16"/>
        </w:rPr>
        <w:t xml:space="preserve"> </w:t>
      </w:r>
      <w:r w:rsidRPr="00605148">
        <w:rPr>
          <w:rFonts w:cs="Times New Roman"/>
          <w:sz w:val="16"/>
          <w:szCs w:val="16"/>
        </w:rPr>
        <w:t xml:space="preserve">charakterizuje jednorazové opatrenie ako dočasné opatrenie, ktoré nemá trvalý charakter a vzniklo nezávisle od vládnych rozhodnutí. EK vytvorila direktíva postupu klasifikácie jednorazových opatrení - </w:t>
      </w:r>
      <w:hyperlink r:id="rId12" w:history="1">
        <w:r w:rsidRPr="00605148">
          <w:rPr>
            <w:rStyle w:val="Hypertextovprepojenie"/>
            <w:color w:val="2C9ADC" w:themeColor="accent1"/>
            <w:sz w:val="16"/>
            <w:szCs w:val="16"/>
          </w:rPr>
          <w:t>Vade Mecum on the Stability and Growth Pact – 2018 Edition – Guiding principles str.28</w:t>
        </w:r>
      </w:hyperlink>
      <w:r w:rsidRPr="00605148">
        <w:rPr>
          <w:rStyle w:val="Hypertextovprepojenie"/>
          <w:color w:val="2C9ADC" w:themeColor="accent1"/>
          <w:sz w:val="16"/>
          <w:szCs w:val="16"/>
        </w:rPr>
        <w:t>.</w:t>
      </w:r>
    </w:p>
  </w:footnote>
  <w:footnote w:id="82">
    <w:p w14:paraId="315805F3" w14:textId="77777777" w:rsidR="00D52A81" w:rsidRPr="00381915" w:rsidRDefault="00D52A81" w:rsidP="00D73008">
      <w:pPr>
        <w:pStyle w:val="Textpoznmkypodiarou"/>
        <w:jc w:val="both"/>
        <w:rPr>
          <w:sz w:val="16"/>
          <w:szCs w:val="16"/>
        </w:rPr>
      </w:pPr>
      <w:r w:rsidRPr="00381915">
        <w:rPr>
          <w:rStyle w:val="Odkaznapoznmkupodiarou"/>
          <w:sz w:val="16"/>
          <w:szCs w:val="16"/>
        </w:rPr>
        <w:footnoteRef/>
      </w:r>
      <w:r w:rsidRPr="00381915">
        <w:rPr>
          <w:sz w:val="16"/>
          <w:szCs w:val="16"/>
        </w:rPr>
        <w:t xml:space="preserve"> </w:t>
      </w:r>
      <w:r w:rsidRPr="00381915">
        <w:rPr>
          <w:rFonts w:cs="Times New Roman"/>
          <w:sz w:val="16"/>
          <w:szCs w:val="16"/>
        </w:rPr>
        <w:t>Všetky typické jednorazové opatrenia sú popísané v 2015 Report of Public Finances in EMU</w:t>
      </w:r>
      <w:r w:rsidRPr="00381915">
        <w:rPr>
          <w:rStyle w:val="Odkaznapoznmkupodiarou"/>
          <w:sz w:val="16"/>
          <w:szCs w:val="16"/>
        </w:rPr>
        <w:footnoteRef/>
      </w:r>
      <w:r w:rsidRPr="00381915">
        <w:rPr>
          <w:rFonts w:cs="Times New Roman"/>
          <w:sz w:val="16"/>
          <w:szCs w:val="16"/>
        </w:rPr>
        <w:t>, kapitola 3.3. EK navyše určila špecifické výnimky a postupy k nim, kedy sa za jednorazové opatrenie môže považovať aj vplyv, ktorý narušuje vyššie uvedené princípy, tieto prípady sú rovnako uvedené v danej kapitole.</w:t>
      </w:r>
    </w:p>
  </w:footnote>
  <w:footnote w:id="83">
    <w:p w14:paraId="18E90C47" w14:textId="77777777" w:rsidR="00D52A81" w:rsidRPr="00A4622D" w:rsidRDefault="00D52A81" w:rsidP="00D73008">
      <w:pPr>
        <w:ind w:left="170" w:hanging="170"/>
        <w:jc w:val="both"/>
        <w:rPr>
          <w:sz w:val="16"/>
          <w:szCs w:val="16"/>
        </w:rPr>
      </w:pPr>
      <w:r w:rsidRPr="00A4622D">
        <w:rPr>
          <w:sz w:val="16"/>
          <w:szCs w:val="16"/>
          <w:vertAlign w:val="superscript"/>
        </w:rPr>
        <w:footnoteRef/>
      </w:r>
      <w:r w:rsidRPr="00A4622D">
        <w:rPr>
          <w:sz w:val="16"/>
          <w:szCs w:val="16"/>
        </w:rPr>
        <w:t xml:space="preserve"> Pozitívne cyklické príjmy v čase konjunktúry (nerealizované skrz diskrečné opatrenia) umožňujú nárast výdavkov nad potenciál ekonomiky. Výdavkové pravidlo monitoruje tento neželaný fiškálny vplyv, nakoľko dočasné zvýšenie príjmov z nerealizovaných opatrení by sa malo využívať na dosiahnutie MTO.</w:t>
      </w:r>
    </w:p>
  </w:footnote>
  <w:footnote w:id="84">
    <w:p w14:paraId="3F88C0D5" w14:textId="77777777" w:rsidR="00D52A81" w:rsidRPr="00A4622D" w:rsidRDefault="00D52A81" w:rsidP="00D73008">
      <w:pPr>
        <w:jc w:val="both"/>
        <w:rPr>
          <w:sz w:val="16"/>
          <w:szCs w:val="16"/>
        </w:rPr>
      </w:pPr>
      <w:r w:rsidRPr="00A4622D">
        <w:rPr>
          <w:sz w:val="16"/>
          <w:szCs w:val="16"/>
          <w:vertAlign w:val="superscript"/>
        </w:rPr>
        <w:footnoteRef/>
      </w:r>
      <w:r w:rsidRPr="00A4622D">
        <w:rPr>
          <w:sz w:val="16"/>
          <w:szCs w:val="16"/>
        </w:rPr>
        <w:t xml:space="preserve"> </w:t>
      </w:r>
      <w:hyperlink r:id="rId13">
        <w:r w:rsidRPr="00777EE7">
          <w:rPr>
            <w:color w:val="2C9ADC"/>
            <w:sz w:val="16"/>
            <w:szCs w:val="16"/>
            <w:u w:val="single"/>
          </w:rPr>
          <w:t>Vade Mecum on Stability and Growth Pact</w:t>
        </w:r>
      </w:hyperlink>
      <w:r w:rsidRPr="00552505">
        <w:rPr>
          <w:sz w:val="16"/>
          <w:szCs w:val="16"/>
        </w:rPr>
        <w:t>,</w:t>
      </w:r>
      <w:r w:rsidRPr="00A4622D">
        <w:rPr>
          <w:sz w:val="16"/>
          <w:szCs w:val="16"/>
        </w:rPr>
        <w:t xml:space="preserve"> str. 30.</w:t>
      </w:r>
    </w:p>
  </w:footnote>
  <w:footnote w:id="85">
    <w:p w14:paraId="7C5A7854" w14:textId="77777777" w:rsidR="00D52A81" w:rsidRPr="00986BBB" w:rsidRDefault="00D52A81" w:rsidP="00D73008">
      <w:pPr>
        <w:pStyle w:val="Textpoznmkypodiarou"/>
        <w:rPr>
          <w:sz w:val="16"/>
          <w:szCs w:val="16"/>
        </w:rPr>
      </w:pPr>
      <w:r w:rsidRPr="00986BBB">
        <w:rPr>
          <w:rStyle w:val="Odkaznapoznmkupodiarou"/>
          <w:sz w:val="16"/>
          <w:szCs w:val="16"/>
        </w:rPr>
        <w:footnoteRef/>
      </w:r>
      <w:r w:rsidRPr="00986BBB">
        <w:rPr>
          <w:sz w:val="16"/>
          <w:szCs w:val="16"/>
        </w:rPr>
        <w:t xml:space="preserve"> Nasledovný príklad ilustruje vplyv marginálnych zmien. Celkový vplyv opatrenia je 200. Keďže je zavedené v polovici roka ma vplyv v danom roku 100. V ďalšom roku narastie vplyv na celú sumu 200, ale marginálne sa zaznamená len rozdiel týchto dvoch vplyvov, t.j. 100. Kumulatívne je celkový vplyv 200, len je rozložený do dvoch rokov.</w:t>
      </w:r>
    </w:p>
  </w:footnote>
  <w:footnote w:id="86">
    <w:p w14:paraId="35C71D43" w14:textId="77777777" w:rsidR="00D52A81" w:rsidRPr="00B06A16" w:rsidRDefault="00D52A81" w:rsidP="00D73008">
      <w:pPr>
        <w:pStyle w:val="Textpoznmkypodiarou"/>
        <w:rPr>
          <w:sz w:val="16"/>
          <w:szCs w:val="16"/>
        </w:rPr>
      </w:pPr>
      <w:r w:rsidRPr="00B06A16">
        <w:rPr>
          <w:rStyle w:val="Odkaznapoznmkupodiarou"/>
          <w:sz w:val="16"/>
          <w:szCs w:val="16"/>
        </w:rPr>
        <w:footnoteRef/>
      </w:r>
      <w:r w:rsidRPr="00B06A16">
        <w:rPr>
          <w:sz w:val="16"/>
          <w:szCs w:val="16"/>
        </w:rPr>
        <w:t xml:space="preserve"> </w:t>
      </w:r>
      <w:r>
        <w:rPr>
          <w:sz w:val="16"/>
          <w:szCs w:val="16"/>
        </w:rPr>
        <w:t>S</w:t>
      </w:r>
      <w:r w:rsidRPr="00B06A16">
        <w:rPr>
          <w:sz w:val="16"/>
          <w:szCs w:val="16"/>
        </w:rPr>
        <w:t xml:space="preserve"> </w:t>
      </w:r>
      <w:r w:rsidRPr="00986BBB">
        <w:rPr>
          <w:sz w:val="16"/>
          <w:szCs w:val="16"/>
        </w:rPr>
        <w:t>aplikáciou</w:t>
      </w:r>
      <w:r w:rsidRPr="00B06A16">
        <w:rPr>
          <w:sz w:val="16"/>
          <w:szCs w:val="16"/>
        </w:rPr>
        <w:t xml:space="preserve"> od roku 2019 </w:t>
      </w:r>
      <w:r>
        <w:rPr>
          <w:sz w:val="16"/>
          <w:szCs w:val="16"/>
        </w:rPr>
        <w:t>vykazuje</w:t>
      </w:r>
      <w:r w:rsidRPr="00B06A16">
        <w:rPr>
          <w:sz w:val="16"/>
          <w:szCs w:val="16"/>
        </w:rPr>
        <w:t xml:space="preserve"> MFSR len </w:t>
      </w:r>
      <w:r w:rsidRPr="00986BBB">
        <w:rPr>
          <w:sz w:val="16"/>
          <w:szCs w:val="16"/>
        </w:rPr>
        <w:t>inkrementálne</w:t>
      </w:r>
      <w:r w:rsidRPr="00B06A16">
        <w:rPr>
          <w:sz w:val="16"/>
          <w:szCs w:val="16"/>
        </w:rPr>
        <w:t xml:space="preserve"> vplyvy priamo </w:t>
      </w:r>
      <w:r w:rsidRPr="00986BBB">
        <w:rPr>
          <w:sz w:val="16"/>
          <w:szCs w:val="16"/>
        </w:rPr>
        <w:t>súvisiace</w:t>
      </w:r>
      <w:r w:rsidRPr="00B06A16">
        <w:rPr>
          <w:sz w:val="16"/>
          <w:szCs w:val="16"/>
        </w:rPr>
        <w:t xml:space="preserve"> s </w:t>
      </w:r>
      <w:r w:rsidRPr="00986BBB">
        <w:rPr>
          <w:sz w:val="16"/>
          <w:szCs w:val="16"/>
        </w:rPr>
        <w:t>legislatívnym</w:t>
      </w:r>
      <w:r w:rsidRPr="00B06A16">
        <w:rPr>
          <w:sz w:val="16"/>
          <w:szCs w:val="16"/>
        </w:rPr>
        <w:t xml:space="preserve"> </w:t>
      </w:r>
      <w:r w:rsidRPr="00986BBB">
        <w:rPr>
          <w:sz w:val="16"/>
          <w:szCs w:val="16"/>
        </w:rPr>
        <w:t>opatrením</w:t>
      </w:r>
      <w:r w:rsidRPr="00B06A16">
        <w:rPr>
          <w:sz w:val="16"/>
          <w:szCs w:val="16"/>
        </w:rPr>
        <w:t xml:space="preserve">. Do roku 2018 sa </w:t>
      </w:r>
      <w:r w:rsidRPr="00986BBB">
        <w:rPr>
          <w:sz w:val="16"/>
          <w:szCs w:val="16"/>
        </w:rPr>
        <w:t>objavujú</w:t>
      </w:r>
      <w:r w:rsidRPr="00B06A16">
        <w:rPr>
          <w:sz w:val="16"/>
          <w:szCs w:val="16"/>
        </w:rPr>
        <w:t xml:space="preserve"> pri </w:t>
      </w:r>
      <w:r w:rsidRPr="00986BBB">
        <w:rPr>
          <w:sz w:val="16"/>
          <w:szCs w:val="16"/>
        </w:rPr>
        <w:t>jednotlivých</w:t>
      </w:r>
      <w:r w:rsidRPr="00B06A16">
        <w:rPr>
          <w:sz w:val="16"/>
          <w:szCs w:val="16"/>
        </w:rPr>
        <w:t xml:space="preserve"> DRM aj </w:t>
      </w:r>
      <w:r w:rsidRPr="00986BBB">
        <w:rPr>
          <w:sz w:val="16"/>
          <w:szCs w:val="16"/>
        </w:rPr>
        <w:t>inkrementálne</w:t>
      </w:r>
      <w:r w:rsidRPr="00B06A16">
        <w:rPr>
          <w:sz w:val="16"/>
          <w:szCs w:val="16"/>
        </w:rPr>
        <w:t xml:space="preserve"> vplyvy </w:t>
      </w:r>
      <w:r w:rsidRPr="00986BBB">
        <w:rPr>
          <w:sz w:val="16"/>
          <w:szCs w:val="16"/>
        </w:rPr>
        <w:t>legislatívy</w:t>
      </w:r>
      <w:r w:rsidRPr="00B06A16">
        <w:rPr>
          <w:sz w:val="16"/>
          <w:szCs w:val="16"/>
        </w:rPr>
        <w:t xml:space="preserve"> </w:t>
      </w:r>
      <w:r w:rsidRPr="00986BBB">
        <w:rPr>
          <w:sz w:val="16"/>
          <w:szCs w:val="16"/>
        </w:rPr>
        <w:t>voči</w:t>
      </w:r>
      <w:r w:rsidRPr="00B06A16">
        <w:rPr>
          <w:sz w:val="16"/>
          <w:szCs w:val="16"/>
        </w:rPr>
        <w:t xml:space="preserve"> makroekonomickej </w:t>
      </w:r>
      <w:r w:rsidRPr="00986BBB">
        <w:rPr>
          <w:sz w:val="16"/>
          <w:szCs w:val="16"/>
        </w:rPr>
        <w:t>základni</w:t>
      </w:r>
      <w:r w:rsidRPr="00B06A16">
        <w:rPr>
          <w:sz w:val="16"/>
          <w:szCs w:val="16"/>
        </w:rPr>
        <w:t xml:space="preserve"> (napr. pri OOP sa aj </w:t>
      </w:r>
      <w:r w:rsidRPr="00986BBB">
        <w:rPr>
          <w:sz w:val="16"/>
          <w:szCs w:val="16"/>
        </w:rPr>
        <w:t>inkrementálny</w:t>
      </w:r>
      <w:r w:rsidRPr="00B06A16">
        <w:rPr>
          <w:sz w:val="16"/>
          <w:szCs w:val="16"/>
        </w:rPr>
        <w:t xml:space="preserve"> vplyv </w:t>
      </w:r>
      <w:r w:rsidRPr="00986BBB">
        <w:rPr>
          <w:sz w:val="16"/>
          <w:szCs w:val="16"/>
        </w:rPr>
        <w:t>legislatívy</w:t>
      </w:r>
      <w:r w:rsidRPr="00B06A16">
        <w:rPr>
          <w:sz w:val="16"/>
          <w:szCs w:val="16"/>
        </w:rPr>
        <w:t xml:space="preserve">, </w:t>
      </w:r>
      <w:r w:rsidRPr="00986BBB">
        <w:rPr>
          <w:sz w:val="16"/>
          <w:szCs w:val="16"/>
        </w:rPr>
        <w:t>ktorý</w:t>
      </w:r>
      <w:r w:rsidRPr="00B06A16">
        <w:rPr>
          <w:sz w:val="16"/>
          <w:szCs w:val="16"/>
        </w:rPr>
        <w:t xml:space="preserve"> </w:t>
      </w:r>
      <w:r w:rsidRPr="00986BBB">
        <w:rPr>
          <w:sz w:val="16"/>
          <w:szCs w:val="16"/>
        </w:rPr>
        <w:t>súvisí</w:t>
      </w:r>
      <w:r w:rsidRPr="00B06A16">
        <w:rPr>
          <w:sz w:val="16"/>
          <w:szCs w:val="16"/>
        </w:rPr>
        <w:t xml:space="preserve"> s </w:t>
      </w:r>
      <w:r w:rsidRPr="00986BBB">
        <w:rPr>
          <w:sz w:val="16"/>
          <w:szCs w:val="16"/>
        </w:rPr>
        <w:t>postupným</w:t>
      </w:r>
      <w:r w:rsidRPr="00B06A16">
        <w:rPr>
          <w:sz w:val="16"/>
          <w:szCs w:val="16"/>
        </w:rPr>
        <w:t xml:space="preserve"> </w:t>
      </w:r>
      <w:r>
        <w:rPr>
          <w:sz w:val="16"/>
          <w:szCs w:val="16"/>
        </w:rPr>
        <w:t xml:space="preserve">vyklesavaním negatívneho vplyvu </w:t>
      </w:r>
      <w:r w:rsidRPr="00B06A16">
        <w:rPr>
          <w:sz w:val="16"/>
          <w:szCs w:val="16"/>
        </w:rPr>
        <w:t>OOP medzi rokmi 2015</w:t>
      </w:r>
      <w:r>
        <w:rPr>
          <w:sz w:val="16"/>
          <w:szCs w:val="16"/>
        </w:rPr>
        <w:t xml:space="preserve"> a 2021, prezentuje len v roku 2017</w:t>
      </w:r>
      <w:r w:rsidRPr="00B06A16">
        <w:rPr>
          <w:sz w:val="16"/>
          <w:szCs w:val="16"/>
        </w:rPr>
        <w:t>)</w:t>
      </w:r>
      <w:r>
        <w:rPr>
          <w:sz w:val="16"/>
          <w:szCs w:val="16"/>
        </w:rPr>
        <w:t>.</w:t>
      </w:r>
    </w:p>
  </w:footnote>
  <w:footnote w:id="87">
    <w:p w14:paraId="32BA58CD" w14:textId="77777777" w:rsidR="00D52A81" w:rsidRPr="00874145" w:rsidRDefault="00D52A81" w:rsidP="00D73008">
      <w:pPr>
        <w:pStyle w:val="Textpoznmkypodiarou"/>
        <w:rPr>
          <w:sz w:val="16"/>
          <w:szCs w:val="16"/>
        </w:rPr>
      </w:pPr>
      <w:r w:rsidRPr="00874145">
        <w:rPr>
          <w:rStyle w:val="Odkaznapoznmkupodiarou"/>
          <w:sz w:val="16"/>
          <w:szCs w:val="16"/>
        </w:rPr>
        <w:footnoteRef/>
      </w:r>
      <w:r w:rsidRPr="00874145">
        <w:rPr>
          <w:sz w:val="16"/>
          <w:szCs w:val="16"/>
        </w:rPr>
        <w:t xml:space="preserve"> Celkový vplyv príjmov do II. piliera na hodnotenie udržateľnosti je do roku 2032 mierne negatívny. V dlhodobom horizonte sa prejavuje mierne pozitívne. MF SR považuje tento prístup za správnejší, pretože zmeny kapitalizačných systémov majú vplyv nielen na výdavky aj príjmy dôchodkového systému.</w:t>
      </w:r>
    </w:p>
  </w:footnote>
  <w:footnote w:id="88">
    <w:p w14:paraId="31ED7290" w14:textId="77777777" w:rsidR="00D52A81" w:rsidRPr="00BC6931" w:rsidRDefault="00D52A81" w:rsidP="00D73008">
      <w:pPr>
        <w:pStyle w:val="Textpoznmkypodiarou"/>
        <w:rPr>
          <w:sz w:val="16"/>
          <w:szCs w:val="16"/>
        </w:rPr>
      </w:pPr>
      <w:r w:rsidRPr="00BC6931">
        <w:rPr>
          <w:rStyle w:val="Odkaznapoznmkupodiarou"/>
          <w:sz w:val="16"/>
          <w:szCs w:val="16"/>
        </w:rPr>
        <w:footnoteRef/>
      </w:r>
      <w:r w:rsidRPr="00BC6931">
        <w:rPr>
          <w:sz w:val="16"/>
          <w:szCs w:val="16"/>
        </w:rPr>
        <w:t xml:space="preserve"> Výbor pre makroekonomické</w:t>
      </w:r>
      <w:r>
        <w:rPr>
          <w:sz w:val="16"/>
          <w:szCs w:val="16"/>
        </w:rPr>
        <w:t xml:space="preserve"> prognózy zasadal v januári 2019</w:t>
      </w:r>
      <w:r w:rsidRPr="00BC6931">
        <w:rPr>
          <w:sz w:val="16"/>
          <w:szCs w:val="16"/>
        </w:rPr>
        <w:t>, zatiaľ čo samotná progn</w:t>
      </w:r>
      <w:r w:rsidRPr="00EE3C6E">
        <w:rPr>
          <w:sz w:val="16"/>
          <w:szCs w:val="16"/>
        </w:rPr>
        <w:t>óza bola</w:t>
      </w:r>
      <w:r>
        <w:rPr>
          <w:sz w:val="16"/>
          <w:szCs w:val="16"/>
        </w:rPr>
        <w:t xml:space="preserve"> oficiálne</w:t>
      </w:r>
      <w:r w:rsidRPr="00EE3C6E">
        <w:rPr>
          <w:sz w:val="16"/>
          <w:szCs w:val="16"/>
        </w:rPr>
        <w:t xml:space="preserve"> zverejnen</w:t>
      </w:r>
      <w:r w:rsidRPr="00BC6931">
        <w:rPr>
          <w:sz w:val="16"/>
          <w:szCs w:val="16"/>
        </w:rPr>
        <w:t>á vo febr</w:t>
      </w:r>
      <w:r>
        <w:rPr>
          <w:sz w:val="16"/>
          <w:szCs w:val="16"/>
        </w:rPr>
        <w:t>u</w:t>
      </w:r>
      <w:r w:rsidRPr="00BC6931">
        <w:rPr>
          <w:sz w:val="16"/>
          <w:szCs w:val="16"/>
        </w:rPr>
        <w:t>ári 201</w:t>
      </w:r>
      <w:r>
        <w:rPr>
          <w:sz w:val="16"/>
          <w:szCs w:val="16"/>
        </w:rPr>
        <w:t>9</w:t>
      </w:r>
      <w:r w:rsidRPr="00BC6931">
        <w:rPr>
          <w:sz w:val="16"/>
          <w:szCs w:val="16"/>
        </w:rPr>
        <w:t>.</w:t>
      </w:r>
    </w:p>
  </w:footnote>
  <w:footnote w:id="89">
    <w:p w14:paraId="40898F80" w14:textId="77777777" w:rsidR="00D52A81" w:rsidRDefault="00D52A81" w:rsidP="003C0B41">
      <w:pPr>
        <w:pStyle w:val="Textpoznmkypodiarou"/>
      </w:pPr>
      <w:r>
        <w:rPr>
          <w:rStyle w:val="Odkaznapoznmkupodiarou"/>
        </w:rPr>
        <w:footnoteRef/>
      </w:r>
      <w:r>
        <w:t xml:space="preserve"> </w:t>
      </w:r>
      <w:r w:rsidRPr="00FE29A8">
        <w:t>06E Podpora obrany, 06H Hospodárska mobilizácia, 0AU Vysielanie civilných expertov do aktivít krízového manažmentu mimo územia SR</w:t>
      </w:r>
    </w:p>
  </w:footnote>
  <w:footnote w:id="90">
    <w:p w14:paraId="21E49143" w14:textId="77777777" w:rsidR="00D52A81" w:rsidRPr="002014D7" w:rsidRDefault="00D52A81" w:rsidP="002014D7">
      <w:pPr>
        <w:pStyle w:val="Textpoznmkypodiarou"/>
        <w:rPr>
          <w:sz w:val="16"/>
          <w:szCs w:val="16"/>
        </w:rPr>
      </w:pPr>
      <w:r w:rsidRPr="002014D7">
        <w:rPr>
          <w:rStyle w:val="Odkaznapoznmkupodiarou"/>
          <w:sz w:val="16"/>
          <w:szCs w:val="16"/>
        </w:rPr>
        <w:footnoteRef/>
      </w:r>
      <w:r w:rsidRPr="002014D7">
        <w:rPr>
          <w:sz w:val="16"/>
          <w:szCs w:val="16"/>
        </w:rPr>
        <w:t xml:space="preserve"> Zahŕňa podprogramy 0D604 Archívnictvo, 0D605 Azylová politika, 0D609 Voľby, 0D60A Projekty Európskej únie, 0D60B Technická pomoc, 0D60C Operačný program Kvalita životného prostredia</w:t>
      </w:r>
    </w:p>
  </w:footnote>
  <w:footnote w:id="91">
    <w:p w14:paraId="58A57A79" w14:textId="77777777" w:rsidR="00D52A81" w:rsidRPr="002014D7" w:rsidRDefault="00D52A81" w:rsidP="002014D7">
      <w:pPr>
        <w:pStyle w:val="Textpoznmkypodiarou"/>
        <w:rPr>
          <w:sz w:val="16"/>
          <w:szCs w:val="16"/>
        </w:rPr>
      </w:pPr>
      <w:r w:rsidRPr="002014D7">
        <w:rPr>
          <w:rStyle w:val="Odkaznapoznmkupodiarou"/>
          <w:sz w:val="16"/>
          <w:szCs w:val="16"/>
        </w:rPr>
        <w:footnoteRef/>
      </w:r>
      <w:r w:rsidRPr="002014D7">
        <w:rPr>
          <w:sz w:val="16"/>
          <w:szCs w:val="16"/>
        </w:rPr>
        <w:t xml:space="preserve"> Programy 002 Civilné núdzové plánovanie v Slovenskej republike, 05T Rozvojová spolupráca, 06E Podpora obrany, 06G Ľudské zdroje, 06H Hospodárska mobilizácia, 097 Príspevky Slovenskej republiky do medzinárodných organizácií, 0AR MPRV SR - Protidrogová politika, 0AS Ochrana kritickej infraštruktúry v Slovenskej republike,0DB Realizácia II. etapy implementácie Medzinárodných zdravotných predpisov Svetovej zdravotníckej organizácie v SR, 0E9 Operačný program Efektívna verejná správa, 0EJ Medzirezortný program Informačná spoločnosť 2014 - 2020, 0EK Informačné technológie financované zo štátneho rozpočtu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C97CB" w14:textId="77777777" w:rsidR="00D52A81" w:rsidRDefault="00D52A81" w:rsidP="00CA5604">
    <w:pPr>
      <w:pStyle w:val="Hlavika"/>
      <w:tabs>
        <w:tab w:val="clear" w:pos="9072"/>
        <w:tab w:val="right" w:pos="9540"/>
      </w:tabs>
      <w:rPr>
        <w:rFonts w:cs="Arial Narrow"/>
        <w:b/>
        <w:bCs/>
      </w:rPr>
    </w:pPr>
  </w:p>
  <w:p w14:paraId="586818A4" w14:textId="77777777" w:rsidR="00D52A81" w:rsidRPr="009C03E3" w:rsidRDefault="00D52A81" w:rsidP="00CA5604">
    <w:pPr>
      <w:pStyle w:val="Hlavika"/>
      <w:tabs>
        <w:tab w:val="clear" w:pos="9072"/>
        <w:tab w:val="right" w:pos="9540"/>
      </w:tabs>
      <w:rPr>
        <w:rFonts w:cs="Arial Narrow"/>
        <w:b/>
        <w:bCs/>
      </w:rPr>
    </w:pPr>
  </w:p>
  <w:p w14:paraId="2C8639E0" w14:textId="77777777" w:rsidR="00D52A81" w:rsidRPr="00F46CC1" w:rsidRDefault="00D52A81" w:rsidP="00CA5604">
    <w:pPr>
      <w:pStyle w:val="Hlavika"/>
      <w:tabs>
        <w:tab w:val="clear" w:pos="9072"/>
        <w:tab w:val="left" w:pos="567"/>
        <w:tab w:val="left" w:pos="6660"/>
      </w:tabs>
      <w:rPr>
        <w:rFonts w:cs="Arial Narrow"/>
        <w:b/>
        <w:bCs/>
        <w:color w:val="7F7F7F" w:themeColor="text1" w:themeTint="80"/>
      </w:rPr>
    </w:pPr>
    <w:r w:rsidRPr="003A6131">
      <w:rPr>
        <w:rFonts w:cs="Arial Narrow"/>
        <w:b/>
        <w:bCs/>
        <w:color w:val="7F7F7F" w:themeColor="text1" w:themeTint="80"/>
      </w:rPr>
      <w:t xml:space="preserve">      </w:t>
    </w:r>
    <w:r w:rsidRPr="003A6131">
      <w:rPr>
        <w:noProof/>
        <w:color w:val="7F7F7F" w:themeColor="text1" w:themeTint="80"/>
        <w:lang w:eastAsia="sk-SK"/>
      </w:rPr>
      <w:drawing>
        <wp:anchor distT="0" distB="0" distL="114300" distR="114300" simplePos="0" relativeHeight="251649024" behindDoc="0" locked="1" layoutInCell="1" allowOverlap="0" wp14:anchorId="0E5369C2" wp14:editId="310CF512">
          <wp:simplePos x="0" y="0"/>
          <wp:positionH relativeFrom="column">
            <wp:posOffset>-8255</wp:posOffset>
          </wp:positionH>
          <wp:positionV relativeFrom="paragraph">
            <wp:posOffset>-10160</wp:posOffset>
          </wp:positionV>
          <wp:extent cx="318770" cy="375285"/>
          <wp:effectExtent l="0" t="0" r="5080" b="5715"/>
          <wp:wrapNone/>
          <wp:docPr id="3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
                  <a:srcRect/>
                  <a:stretch>
                    <a:fillRect/>
                  </a:stretch>
                </pic:blipFill>
                <pic:spPr bwMode="auto">
                  <a:xfrm>
                    <a:off x="0" y="0"/>
                    <a:ext cx="318770" cy="375285"/>
                  </a:xfrm>
                  <a:prstGeom prst="rect">
                    <a:avLst/>
                  </a:prstGeom>
                  <a:noFill/>
                  <a:ln w="9525">
                    <a:noFill/>
                    <a:miter lim="800000"/>
                    <a:headEnd/>
                    <a:tailEnd/>
                  </a:ln>
                </pic:spPr>
              </pic:pic>
            </a:graphicData>
          </a:graphic>
        </wp:anchor>
      </w:drawing>
    </w:r>
    <w:r w:rsidRPr="003A6131">
      <w:rPr>
        <w:rFonts w:cs="Arial Narrow"/>
        <w:b/>
        <w:bCs/>
        <w:color w:val="7F7F7F" w:themeColor="text1" w:themeTint="80"/>
      </w:rPr>
      <w:t xml:space="preserve">      </w:t>
    </w:r>
    <w:r w:rsidRPr="00F46CC1">
      <w:rPr>
        <w:rFonts w:cs="Arial Narrow"/>
        <w:b/>
        <w:bCs/>
        <w:color w:val="7F7F7F" w:themeColor="text1" w:themeTint="80"/>
        <w:spacing w:val="6"/>
      </w:rPr>
      <w:t>Ministerstvo financií</w:t>
    </w:r>
  </w:p>
  <w:p w14:paraId="3467083D" w14:textId="77777777" w:rsidR="00D52A81" w:rsidRPr="00F46CC1" w:rsidRDefault="00D52A81" w:rsidP="00CA5604">
    <w:pPr>
      <w:pStyle w:val="Hlavika"/>
      <w:tabs>
        <w:tab w:val="clear" w:pos="9072"/>
        <w:tab w:val="left" w:pos="567"/>
        <w:tab w:val="left" w:pos="6660"/>
      </w:tabs>
      <w:rPr>
        <w:rFonts w:cs="Arial Narrow"/>
        <w:b/>
        <w:bCs/>
        <w:color w:val="7F7F7F" w:themeColor="text1" w:themeTint="80"/>
      </w:rPr>
    </w:pPr>
    <w:r w:rsidRPr="00F46CC1">
      <w:rPr>
        <w:rFonts w:cs="Arial Narrow"/>
        <w:b/>
        <w:bCs/>
        <w:color w:val="7F7F7F" w:themeColor="text1" w:themeTint="80"/>
      </w:rPr>
      <w:t xml:space="preserve">            Slovenskej republiky</w:t>
    </w:r>
  </w:p>
  <w:p w14:paraId="6FB3D909" w14:textId="77777777" w:rsidR="00D52A81" w:rsidRPr="009C03E3" w:rsidRDefault="00D52A81" w:rsidP="00CA5604">
    <w:pPr>
      <w:pStyle w:val="Hlavika"/>
      <w:rPr>
        <w:rFonts w:cs="Arial Narrow"/>
      </w:rPr>
    </w:pPr>
    <w:r>
      <w:rPr>
        <w:noProof/>
        <w:lang w:eastAsia="sk-SK"/>
      </w:rPr>
      <mc:AlternateContent>
        <mc:Choice Requires="wps">
          <w:drawing>
            <wp:anchor distT="4294967291" distB="4294967291" distL="114300" distR="114300" simplePos="0" relativeHeight="251657216" behindDoc="0" locked="1" layoutInCell="1" allowOverlap="1" wp14:anchorId="592272DA" wp14:editId="199D01B2">
              <wp:simplePos x="0" y="0"/>
              <wp:positionH relativeFrom="column">
                <wp:posOffset>0</wp:posOffset>
              </wp:positionH>
              <wp:positionV relativeFrom="paragraph">
                <wp:posOffset>108584</wp:posOffset>
              </wp:positionV>
              <wp:extent cx="5715000" cy="0"/>
              <wp:effectExtent l="0" t="0" r="19050" b="19050"/>
              <wp:wrapNone/>
              <wp:docPr id="6"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03833A" id="Rovná spojnica 11"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55pt" to="45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" strokecolor="gray [1629]">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0FC65" w14:textId="77777777" w:rsidR="00D52A81" w:rsidRPr="009C03E3" w:rsidRDefault="00D52A81" w:rsidP="00663B80">
    <w:pPr>
      <w:pStyle w:val="Hlavika"/>
      <w:tabs>
        <w:tab w:val="clear" w:pos="9072"/>
        <w:tab w:val="right" w:pos="9540"/>
      </w:tabs>
      <w:rPr>
        <w:rFonts w:cs="Arial Narrow"/>
        <w:b/>
        <w:bCs/>
      </w:rPr>
    </w:pPr>
  </w:p>
  <w:p w14:paraId="16DF7AE5" w14:textId="77777777" w:rsidR="00D52A81" w:rsidRPr="009C03E3" w:rsidRDefault="00D52A81" w:rsidP="00663B80">
    <w:pPr>
      <w:pStyle w:val="Hlavika"/>
      <w:tabs>
        <w:tab w:val="clear" w:pos="9072"/>
        <w:tab w:val="right" w:pos="9540"/>
      </w:tabs>
      <w:rPr>
        <w:rFonts w:cs="Arial Narrow"/>
        <w:b/>
        <w:bCs/>
      </w:rPr>
    </w:pPr>
  </w:p>
  <w:p w14:paraId="167A729E" w14:textId="77777777" w:rsidR="00D52A81" w:rsidRPr="009C03E3" w:rsidRDefault="00D52A81" w:rsidP="00CA5604">
    <w:pPr>
      <w:pStyle w:val="Hlavika"/>
      <w:tabs>
        <w:tab w:val="clear" w:pos="9072"/>
        <w:tab w:val="left" w:pos="567"/>
        <w:tab w:val="left" w:pos="6660"/>
      </w:tabs>
      <w:rPr>
        <w:rFonts w:cs="Arial Narrow"/>
        <w:b/>
        <w:bCs/>
      </w:rPr>
    </w:pPr>
    <w:r w:rsidRPr="009C03E3">
      <w:rPr>
        <w:rFonts w:cs="Arial Narrow"/>
        <w:b/>
        <w:bCs/>
      </w:rPr>
      <w:t xml:space="preserve">            </w:t>
    </w:r>
  </w:p>
  <w:p w14:paraId="728BDF8D" w14:textId="77777777" w:rsidR="00D52A81" w:rsidRPr="009C03E3" w:rsidRDefault="00D52A81" w:rsidP="00663B80">
    <w:pPr>
      <w:pStyle w:val="Hlavika"/>
      <w:rPr>
        <w:rFonts w:cs="Arial Narr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6B8"/>
    <w:multiLevelType w:val="hybridMultilevel"/>
    <w:tmpl w:val="0B2C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B5C57"/>
    <w:multiLevelType w:val="hybridMultilevel"/>
    <w:tmpl w:val="8140D874"/>
    <w:lvl w:ilvl="0" w:tplc="AA60D832">
      <w:start w:val="1"/>
      <w:numFmt w:val="bullet"/>
      <w:lvlText w:val=""/>
      <w:lvlJc w:val="left"/>
      <w:pPr>
        <w:ind w:left="720" w:hanging="360"/>
      </w:pPr>
      <w:rPr>
        <w:rFonts w:ascii="Symbol" w:hAnsi="Symbol" w:hint="default"/>
        <w:color w:val="2C9ADC"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A597AA8"/>
    <w:multiLevelType w:val="hybridMultilevel"/>
    <w:tmpl w:val="BCBCFFC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273D7C33"/>
    <w:multiLevelType w:val="hybridMultilevel"/>
    <w:tmpl w:val="350C6802"/>
    <w:lvl w:ilvl="0" w:tplc="AA60D832">
      <w:start w:val="1"/>
      <w:numFmt w:val="bullet"/>
      <w:lvlText w:val=""/>
      <w:lvlJc w:val="left"/>
      <w:pPr>
        <w:ind w:left="720" w:hanging="360"/>
      </w:pPr>
      <w:rPr>
        <w:rFonts w:ascii="Symbol" w:hAnsi="Symbol" w:hint="default"/>
        <w:color w:val="2C9ADC"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4D2112F"/>
    <w:multiLevelType w:val="hybridMultilevel"/>
    <w:tmpl w:val="13A401CE"/>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C81587C"/>
    <w:multiLevelType w:val="hybridMultilevel"/>
    <w:tmpl w:val="B332FB02"/>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21858C8"/>
    <w:multiLevelType w:val="hybridMultilevel"/>
    <w:tmpl w:val="AD5E77AE"/>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43137D84"/>
    <w:multiLevelType w:val="hybridMultilevel"/>
    <w:tmpl w:val="C2AE1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184EDD"/>
    <w:multiLevelType w:val="multilevel"/>
    <w:tmpl w:val="94C4D012"/>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pStyle w:val="NRP2uroven"/>
      <w:lvlText w:val="%1.%2."/>
      <w:lvlJc w:val="left"/>
      <w:pPr>
        <w:tabs>
          <w:tab w:val="num" w:pos="567"/>
        </w:tabs>
        <w:ind w:left="1304" w:hanging="1304"/>
      </w:pPr>
      <w:rPr>
        <w:rFonts w:ascii="Arial Narrow" w:hAnsi="Arial Narrow" w:cs="Arial Narrow" w:hint="default"/>
        <w:b/>
        <w:bCs/>
        <w:i w:val="0"/>
        <w:iCs w:val="0"/>
        <w:sz w:val="24"/>
        <w:szCs w:val="24"/>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4BAF4829"/>
    <w:multiLevelType w:val="hybridMultilevel"/>
    <w:tmpl w:val="3F809E52"/>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4BCC1150"/>
    <w:multiLevelType w:val="hybridMultilevel"/>
    <w:tmpl w:val="98FC6524"/>
    <w:lvl w:ilvl="0" w:tplc="540E1290">
      <w:start w:val="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BF82AEA"/>
    <w:multiLevelType w:val="hybridMultilevel"/>
    <w:tmpl w:val="0D36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4342D3"/>
    <w:multiLevelType w:val="multilevel"/>
    <w:tmpl w:val="611A84CA"/>
    <w:lvl w:ilvl="0">
      <w:start w:val="1"/>
      <w:numFmt w:val="decimal"/>
      <w:lvlText w:val="%1"/>
      <w:lvlJc w:val="left"/>
      <w:pPr>
        <w:ind w:left="720" w:hanging="720"/>
      </w:pPr>
      <w:rPr>
        <w:rFonts w:hint="default"/>
        <w:color w:val="2C9ADC"/>
      </w:rPr>
    </w:lvl>
    <w:lvl w:ilvl="1">
      <w:start w:val="1"/>
      <w:numFmt w:val="decimal"/>
      <w:lvlText w:val="%1.%2"/>
      <w:lvlJc w:val="left"/>
      <w:pPr>
        <w:ind w:left="720" w:hanging="720"/>
      </w:pPr>
      <w:rPr>
        <w:rFonts w:ascii="Arial Narrow" w:hAnsi="Arial Narrow" w:hint="default"/>
        <w:i w:val="0"/>
        <w:color w:val="2C9ADC"/>
        <w:sz w:val="24"/>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5B30C2E"/>
    <w:multiLevelType w:val="hybridMultilevel"/>
    <w:tmpl w:val="1452162E"/>
    <w:lvl w:ilvl="0" w:tplc="381AC794">
      <w:start w:val="1"/>
      <w:numFmt w:val="bullet"/>
      <w:lvlText w:val=""/>
      <w:lvlJc w:val="left"/>
      <w:pPr>
        <w:ind w:left="720" w:hanging="360"/>
      </w:pPr>
      <w:rPr>
        <w:rFonts w:ascii="Wingdings" w:hAnsi="Wingdings" w:hint="default"/>
        <w:color w:val="2C9AD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33C05"/>
    <w:multiLevelType w:val="hybridMultilevel"/>
    <w:tmpl w:val="ACE43A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E3824A6"/>
    <w:multiLevelType w:val="hybridMultilevel"/>
    <w:tmpl w:val="EB56EF0A"/>
    <w:lvl w:ilvl="0" w:tplc="381AC794">
      <w:start w:val="1"/>
      <w:numFmt w:val="bullet"/>
      <w:lvlText w:val=""/>
      <w:lvlJc w:val="left"/>
      <w:pPr>
        <w:ind w:left="72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F3B4F47"/>
    <w:multiLevelType w:val="hybridMultilevel"/>
    <w:tmpl w:val="417A412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2"/>
  </w:num>
  <w:num w:numId="4">
    <w:abstractNumId w:val="0"/>
  </w:num>
  <w:num w:numId="5">
    <w:abstractNumId w:val="16"/>
  </w:num>
  <w:num w:numId="6">
    <w:abstractNumId w:val="11"/>
  </w:num>
  <w:num w:numId="7">
    <w:abstractNumId w:val="7"/>
  </w:num>
  <w:num w:numId="8">
    <w:abstractNumId w:val="3"/>
  </w:num>
  <w:num w:numId="9">
    <w:abstractNumId w:val="9"/>
  </w:num>
  <w:num w:numId="10">
    <w:abstractNumId w:val="4"/>
  </w:num>
  <w:num w:numId="11">
    <w:abstractNumId w:val="10"/>
  </w:num>
  <w:num w:numId="12">
    <w:abstractNumId w:val="6"/>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4"/>
  </w:num>
  <w:num w:numId="17">
    <w:abstractNumId w:val="1"/>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style="mso-position-horizontal:left" o:allowincell="f" fillcolor="none [2412]">
      <v:fill color="none [2412]"/>
      <v:stroke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6B"/>
    <w:rsid w:val="000003DC"/>
    <w:rsid w:val="00000453"/>
    <w:rsid w:val="00000A02"/>
    <w:rsid w:val="000013EC"/>
    <w:rsid w:val="000014D4"/>
    <w:rsid w:val="000017C7"/>
    <w:rsid w:val="0000187A"/>
    <w:rsid w:val="000018A9"/>
    <w:rsid w:val="000024ED"/>
    <w:rsid w:val="00002683"/>
    <w:rsid w:val="00002C25"/>
    <w:rsid w:val="00002CBB"/>
    <w:rsid w:val="00002F29"/>
    <w:rsid w:val="000031AC"/>
    <w:rsid w:val="000032FE"/>
    <w:rsid w:val="00004574"/>
    <w:rsid w:val="0000525F"/>
    <w:rsid w:val="00005C4D"/>
    <w:rsid w:val="00005ECA"/>
    <w:rsid w:val="00006440"/>
    <w:rsid w:val="00006534"/>
    <w:rsid w:val="000068C5"/>
    <w:rsid w:val="000078C0"/>
    <w:rsid w:val="00007C33"/>
    <w:rsid w:val="000102B0"/>
    <w:rsid w:val="00010736"/>
    <w:rsid w:val="0001101C"/>
    <w:rsid w:val="000112F6"/>
    <w:rsid w:val="000114A5"/>
    <w:rsid w:val="00011642"/>
    <w:rsid w:val="00011EE3"/>
    <w:rsid w:val="00011FCE"/>
    <w:rsid w:val="0001239C"/>
    <w:rsid w:val="0001272B"/>
    <w:rsid w:val="000127E0"/>
    <w:rsid w:val="00012D77"/>
    <w:rsid w:val="000130F4"/>
    <w:rsid w:val="00013F59"/>
    <w:rsid w:val="00014EFF"/>
    <w:rsid w:val="00014F36"/>
    <w:rsid w:val="0001520C"/>
    <w:rsid w:val="000154B1"/>
    <w:rsid w:val="00015C0D"/>
    <w:rsid w:val="00015DEB"/>
    <w:rsid w:val="00016421"/>
    <w:rsid w:val="00016615"/>
    <w:rsid w:val="0001668E"/>
    <w:rsid w:val="000168CD"/>
    <w:rsid w:val="000171A7"/>
    <w:rsid w:val="000177E8"/>
    <w:rsid w:val="000178C5"/>
    <w:rsid w:val="00017B27"/>
    <w:rsid w:val="00017BFC"/>
    <w:rsid w:val="00020059"/>
    <w:rsid w:val="000200E7"/>
    <w:rsid w:val="0002101F"/>
    <w:rsid w:val="0002104D"/>
    <w:rsid w:val="0002139A"/>
    <w:rsid w:val="00021BDE"/>
    <w:rsid w:val="000223A8"/>
    <w:rsid w:val="00022450"/>
    <w:rsid w:val="000224CF"/>
    <w:rsid w:val="00022C73"/>
    <w:rsid w:val="000231C4"/>
    <w:rsid w:val="00023675"/>
    <w:rsid w:val="00023F48"/>
    <w:rsid w:val="00023F63"/>
    <w:rsid w:val="000241E8"/>
    <w:rsid w:val="00024BC4"/>
    <w:rsid w:val="000254B2"/>
    <w:rsid w:val="00025C07"/>
    <w:rsid w:val="00025C45"/>
    <w:rsid w:val="000264CA"/>
    <w:rsid w:val="000265D7"/>
    <w:rsid w:val="00027424"/>
    <w:rsid w:val="000274A8"/>
    <w:rsid w:val="000274C1"/>
    <w:rsid w:val="000278DD"/>
    <w:rsid w:val="0003017A"/>
    <w:rsid w:val="000301E3"/>
    <w:rsid w:val="00030553"/>
    <w:rsid w:val="00030690"/>
    <w:rsid w:val="00030E7D"/>
    <w:rsid w:val="0003177D"/>
    <w:rsid w:val="00031F31"/>
    <w:rsid w:val="0003217E"/>
    <w:rsid w:val="000323CA"/>
    <w:rsid w:val="00032977"/>
    <w:rsid w:val="000329B4"/>
    <w:rsid w:val="00032AC7"/>
    <w:rsid w:val="00032EAE"/>
    <w:rsid w:val="0003311A"/>
    <w:rsid w:val="000336AB"/>
    <w:rsid w:val="0003435D"/>
    <w:rsid w:val="00034471"/>
    <w:rsid w:val="000344F1"/>
    <w:rsid w:val="00034CCB"/>
    <w:rsid w:val="00035482"/>
    <w:rsid w:val="00035552"/>
    <w:rsid w:val="00035BE2"/>
    <w:rsid w:val="00036668"/>
    <w:rsid w:val="0003740D"/>
    <w:rsid w:val="0003766E"/>
    <w:rsid w:val="0004029A"/>
    <w:rsid w:val="00040614"/>
    <w:rsid w:val="00040829"/>
    <w:rsid w:val="00040A72"/>
    <w:rsid w:val="00041422"/>
    <w:rsid w:val="0004167D"/>
    <w:rsid w:val="00041976"/>
    <w:rsid w:val="00041C92"/>
    <w:rsid w:val="00041DAA"/>
    <w:rsid w:val="00042258"/>
    <w:rsid w:val="00042548"/>
    <w:rsid w:val="000429DA"/>
    <w:rsid w:val="00042BD7"/>
    <w:rsid w:val="00042D39"/>
    <w:rsid w:val="000430C5"/>
    <w:rsid w:val="00043F90"/>
    <w:rsid w:val="00044464"/>
    <w:rsid w:val="000449FC"/>
    <w:rsid w:val="00044BEC"/>
    <w:rsid w:val="00045296"/>
    <w:rsid w:val="0004532B"/>
    <w:rsid w:val="0004541D"/>
    <w:rsid w:val="0004569B"/>
    <w:rsid w:val="00045AF4"/>
    <w:rsid w:val="00045E2A"/>
    <w:rsid w:val="00045ED0"/>
    <w:rsid w:val="00045FCD"/>
    <w:rsid w:val="000464F6"/>
    <w:rsid w:val="00046831"/>
    <w:rsid w:val="00046E3B"/>
    <w:rsid w:val="00047328"/>
    <w:rsid w:val="00047419"/>
    <w:rsid w:val="00047761"/>
    <w:rsid w:val="00047BE6"/>
    <w:rsid w:val="00047CC6"/>
    <w:rsid w:val="000502EB"/>
    <w:rsid w:val="0005039F"/>
    <w:rsid w:val="0005066C"/>
    <w:rsid w:val="00050894"/>
    <w:rsid w:val="00050B0E"/>
    <w:rsid w:val="00050BA1"/>
    <w:rsid w:val="000511A2"/>
    <w:rsid w:val="000512EC"/>
    <w:rsid w:val="00051358"/>
    <w:rsid w:val="00051536"/>
    <w:rsid w:val="0005164E"/>
    <w:rsid w:val="00051824"/>
    <w:rsid w:val="00051D1F"/>
    <w:rsid w:val="00051E32"/>
    <w:rsid w:val="00051ED5"/>
    <w:rsid w:val="00052113"/>
    <w:rsid w:val="000521C2"/>
    <w:rsid w:val="00052398"/>
    <w:rsid w:val="000527E6"/>
    <w:rsid w:val="00052800"/>
    <w:rsid w:val="000528B0"/>
    <w:rsid w:val="00052E39"/>
    <w:rsid w:val="00053393"/>
    <w:rsid w:val="00053566"/>
    <w:rsid w:val="000536C6"/>
    <w:rsid w:val="000538AC"/>
    <w:rsid w:val="00053D16"/>
    <w:rsid w:val="0005445E"/>
    <w:rsid w:val="00054586"/>
    <w:rsid w:val="0005491D"/>
    <w:rsid w:val="00054F1E"/>
    <w:rsid w:val="000556BA"/>
    <w:rsid w:val="00055F09"/>
    <w:rsid w:val="00055FC2"/>
    <w:rsid w:val="000577CC"/>
    <w:rsid w:val="0005796F"/>
    <w:rsid w:val="00057A38"/>
    <w:rsid w:val="00057E11"/>
    <w:rsid w:val="0006112C"/>
    <w:rsid w:val="00061395"/>
    <w:rsid w:val="00061405"/>
    <w:rsid w:val="00062314"/>
    <w:rsid w:val="00062D4E"/>
    <w:rsid w:val="000630E3"/>
    <w:rsid w:val="0006352E"/>
    <w:rsid w:val="0006355D"/>
    <w:rsid w:val="00063F5F"/>
    <w:rsid w:val="000641ED"/>
    <w:rsid w:val="00064497"/>
    <w:rsid w:val="00064536"/>
    <w:rsid w:val="00064977"/>
    <w:rsid w:val="00064D75"/>
    <w:rsid w:val="000650AD"/>
    <w:rsid w:val="00065A6B"/>
    <w:rsid w:val="000660BB"/>
    <w:rsid w:val="000661A7"/>
    <w:rsid w:val="00066423"/>
    <w:rsid w:val="00066453"/>
    <w:rsid w:val="00066606"/>
    <w:rsid w:val="00066C3C"/>
    <w:rsid w:val="00066D0E"/>
    <w:rsid w:val="00066D10"/>
    <w:rsid w:val="00066DC5"/>
    <w:rsid w:val="00066FCC"/>
    <w:rsid w:val="0006760C"/>
    <w:rsid w:val="00067B6D"/>
    <w:rsid w:val="00067B86"/>
    <w:rsid w:val="000700FC"/>
    <w:rsid w:val="000701AD"/>
    <w:rsid w:val="000705AA"/>
    <w:rsid w:val="0007085C"/>
    <w:rsid w:val="0007095B"/>
    <w:rsid w:val="00070E0E"/>
    <w:rsid w:val="00071260"/>
    <w:rsid w:val="000717F5"/>
    <w:rsid w:val="0007218E"/>
    <w:rsid w:val="00072B81"/>
    <w:rsid w:val="00072C3F"/>
    <w:rsid w:val="00072C62"/>
    <w:rsid w:val="00073289"/>
    <w:rsid w:val="00073E3E"/>
    <w:rsid w:val="000741B8"/>
    <w:rsid w:val="0007429D"/>
    <w:rsid w:val="00075544"/>
    <w:rsid w:val="000759E8"/>
    <w:rsid w:val="0007738F"/>
    <w:rsid w:val="00077674"/>
    <w:rsid w:val="0008239F"/>
    <w:rsid w:val="0008307D"/>
    <w:rsid w:val="0008350D"/>
    <w:rsid w:val="000837BD"/>
    <w:rsid w:val="00084456"/>
    <w:rsid w:val="00084D85"/>
    <w:rsid w:val="000850DF"/>
    <w:rsid w:val="00085178"/>
    <w:rsid w:val="000855BC"/>
    <w:rsid w:val="00086829"/>
    <w:rsid w:val="000868E2"/>
    <w:rsid w:val="000875C5"/>
    <w:rsid w:val="00087673"/>
    <w:rsid w:val="00087B5E"/>
    <w:rsid w:val="00087C70"/>
    <w:rsid w:val="00087CDA"/>
    <w:rsid w:val="000910F5"/>
    <w:rsid w:val="0009185B"/>
    <w:rsid w:val="0009350E"/>
    <w:rsid w:val="00093662"/>
    <w:rsid w:val="0009411B"/>
    <w:rsid w:val="000948FF"/>
    <w:rsid w:val="00094910"/>
    <w:rsid w:val="00094FA3"/>
    <w:rsid w:val="000957AA"/>
    <w:rsid w:val="000958FB"/>
    <w:rsid w:val="00096699"/>
    <w:rsid w:val="00096BA1"/>
    <w:rsid w:val="0009701E"/>
    <w:rsid w:val="00097504"/>
    <w:rsid w:val="0009759D"/>
    <w:rsid w:val="0009793B"/>
    <w:rsid w:val="00097CF2"/>
    <w:rsid w:val="000A014E"/>
    <w:rsid w:val="000A02CE"/>
    <w:rsid w:val="000A0376"/>
    <w:rsid w:val="000A04BD"/>
    <w:rsid w:val="000A1036"/>
    <w:rsid w:val="000A1C7D"/>
    <w:rsid w:val="000A2093"/>
    <w:rsid w:val="000A2293"/>
    <w:rsid w:val="000A273E"/>
    <w:rsid w:val="000A2C7B"/>
    <w:rsid w:val="000A383E"/>
    <w:rsid w:val="000A384E"/>
    <w:rsid w:val="000A3B47"/>
    <w:rsid w:val="000A4124"/>
    <w:rsid w:val="000A45CC"/>
    <w:rsid w:val="000A48E6"/>
    <w:rsid w:val="000A4BF3"/>
    <w:rsid w:val="000A4C31"/>
    <w:rsid w:val="000A4F47"/>
    <w:rsid w:val="000A5663"/>
    <w:rsid w:val="000A5A49"/>
    <w:rsid w:val="000A5D5A"/>
    <w:rsid w:val="000A5DAD"/>
    <w:rsid w:val="000A5E6A"/>
    <w:rsid w:val="000A5E76"/>
    <w:rsid w:val="000A632A"/>
    <w:rsid w:val="000A638F"/>
    <w:rsid w:val="000A67C4"/>
    <w:rsid w:val="000A68AD"/>
    <w:rsid w:val="000A6902"/>
    <w:rsid w:val="000A6CF3"/>
    <w:rsid w:val="000A70C2"/>
    <w:rsid w:val="000A7752"/>
    <w:rsid w:val="000B00DC"/>
    <w:rsid w:val="000B049E"/>
    <w:rsid w:val="000B0877"/>
    <w:rsid w:val="000B0903"/>
    <w:rsid w:val="000B0D5A"/>
    <w:rsid w:val="000B0E26"/>
    <w:rsid w:val="000B1633"/>
    <w:rsid w:val="000B1660"/>
    <w:rsid w:val="000B1880"/>
    <w:rsid w:val="000B19D8"/>
    <w:rsid w:val="000B1C5A"/>
    <w:rsid w:val="000B1ECF"/>
    <w:rsid w:val="000B222D"/>
    <w:rsid w:val="000B261F"/>
    <w:rsid w:val="000B2B1E"/>
    <w:rsid w:val="000B3539"/>
    <w:rsid w:val="000B35A2"/>
    <w:rsid w:val="000B381C"/>
    <w:rsid w:val="000B3BAA"/>
    <w:rsid w:val="000B3FD6"/>
    <w:rsid w:val="000B4467"/>
    <w:rsid w:val="000B4E0D"/>
    <w:rsid w:val="000B5236"/>
    <w:rsid w:val="000B572D"/>
    <w:rsid w:val="000B57C2"/>
    <w:rsid w:val="000B57D6"/>
    <w:rsid w:val="000B5819"/>
    <w:rsid w:val="000B5EE7"/>
    <w:rsid w:val="000B65C8"/>
    <w:rsid w:val="000B6DCF"/>
    <w:rsid w:val="000B723A"/>
    <w:rsid w:val="000B7480"/>
    <w:rsid w:val="000B7757"/>
    <w:rsid w:val="000B7E0D"/>
    <w:rsid w:val="000C02F6"/>
    <w:rsid w:val="000C0873"/>
    <w:rsid w:val="000C1C0B"/>
    <w:rsid w:val="000C1F20"/>
    <w:rsid w:val="000C24AD"/>
    <w:rsid w:val="000C281F"/>
    <w:rsid w:val="000C30AE"/>
    <w:rsid w:val="000C337B"/>
    <w:rsid w:val="000C3420"/>
    <w:rsid w:val="000C35B2"/>
    <w:rsid w:val="000C3D96"/>
    <w:rsid w:val="000C45AA"/>
    <w:rsid w:val="000C4864"/>
    <w:rsid w:val="000C4BE9"/>
    <w:rsid w:val="000C4C6B"/>
    <w:rsid w:val="000C5115"/>
    <w:rsid w:val="000C5B15"/>
    <w:rsid w:val="000C5CBA"/>
    <w:rsid w:val="000C67AF"/>
    <w:rsid w:val="000C6842"/>
    <w:rsid w:val="000C6E47"/>
    <w:rsid w:val="000C6EBD"/>
    <w:rsid w:val="000C7234"/>
    <w:rsid w:val="000C7523"/>
    <w:rsid w:val="000D0E2B"/>
    <w:rsid w:val="000D1010"/>
    <w:rsid w:val="000D1242"/>
    <w:rsid w:val="000D1718"/>
    <w:rsid w:val="000D1952"/>
    <w:rsid w:val="000D1BC4"/>
    <w:rsid w:val="000D1CB9"/>
    <w:rsid w:val="000D1E96"/>
    <w:rsid w:val="000D1F76"/>
    <w:rsid w:val="000D2178"/>
    <w:rsid w:val="000D2910"/>
    <w:rsid w:val="000D29B5"/>
    <w:rsid w:val="000D2B08"/>
    <w:rsid w:val="000D310B"/>
    <w:rsid w:val="000D38A7"/>
    <w:rsid w:val="000D39F4"/>
    <w:rsid w:val="000D4A52"/>
    <w:rsid w:val="000D4DFB"/>
    <w:rsid w:val="000D5095"/>
    <w:rsid w:val="000D51FD"/>
    <w:rsid w:val="000D57C9"/>
    <w:rsid w:val="000D5E25"/>
    <w:rsid w:val="000D60A1"/>
    <w:rsid w:val="000E0634"/>
    <w:rsid w:val="000E0691"/>
    <w:rsid w:val="000E0902"/>
    <w:rsid w:val="000E0CDC"/>
    <w:rsid w:val="000E0F36"/>
    <w:rsid w:val="000E10A1"/>
    <w:rsid w:val="000E10A6"/>
    <w:rsid w:val="000E10AF"/>
    <w:rsid w:val="000E1B0A"/>
    <w:rsid w:val="000E1CD3"/>
    <w:rsid w:val="000E2A1A"/>
    <w:rsid w:val="000E2BC1"/>
    <w:rsid w:val="000E2D70"/>
    <w:rsid w:val="000E323D"/>
    <w:rsid w:val="000E38E1"/>
    <w:rsid w:val="000E424F"/>
    <w:rsid w:val="000E4269"/>
    <w:rsid w:val="000E432A"/>
    <w:rsid w:val="000E4745"/>
    <w:rsid w:val="000E4C83"/>
    <w:rsid w:val="000E50AF"/>
    <w:rsid w:val="000E5317"/>
    <w:rsid w:val="000E5D3E"/>
    <w:rsid w:val="000E5E77"/>
    <w:rsid w:val="000E64AC"/>
    <w:rsid w:val="000E64DB"/>
    <w:rsid w:val="000E6592"/>
    <w:rsid w:val="000E6721"/>
    <w:rsid w:val="000E6741"/>
    <w:rsid w:val="000E6A2B"/>
    <w:rsid w:val="000E6A30"/>
    <w:rsid w:val="000E6D10"/>
    <w:rsid w:val="000E78D4"/>
    <w:rsid w:val="000E793C"/>
    <w:rsid w:val="000F0338"/>
    <w:rsid w:val="000F06B9"/>
    <w:rsid w:val="000F0786"/>
    <w:rsid w:val="000F14F5"/>
    <w:rsid w:val="000F1C73"/>
    <w:rsid w:val="000F1C79"/>
    <w:rsid w:val="000F1EF9"/>
    <w:rsid w:val="000F2260"/>
    <w:rsid w:val="000F23AA"/>
    <w:rsid w:val="000F2969"/>
    <w:rsid w:val="000F29D2"/>
    <w:rsid w:val="000F2B04"/>
    <w:rsid w:val="000F3195"/>
    <w:rsid w:val="000F3470"/>
    <w:rsid w:val="000F39BC"/>
    <w:rsid w:val="000F3F2F"/>
    <w:rsid w:val="000F4E65"/>
    <w:rsid w:val="000F4F48"/>
    <w:rsid w:val="000F5850"/>
    <w:rsid w:val="000F5A90"/>
    <w:rsid w:val="000F5CC6"/>
    <w:rsid w:val="000F5F21"/>
    <w:rsid w:val="000F5FF6"/>
    <w:rsid w:val="000F662E"/>
    <w:rsid w:val="000F673B"/>
    <w:rsid w:val="000F6A93"/>
    <w:rsid w:val="000F6DED"/>
    <w:rsid w:val="000F7E8C"/>
    <w:rsid w:val="001003B7"/>
    <w:rsid w:val="00100520"/>
    <w:rsid w:val="00100B0E"/>
    <w:rsid w:val="00101D4E"/>
    <w:rsid w:val="00102026"/>
    <w:rsid w:val="001024A9"/>
    <w:rsid w:val="0010351A"/>
    <w:rsid w:val="00103557"/>
    <w:rsid w:val="00103BA3"/>
    <w:rsid w:val="00104216"/>
    <w:rsid w:val="00104CCB"/>
    <w:rsid w:val="00104E95"/>
    <w:rsid w:val="00104F4E"/>
    <w:rsid w:val="00104FE9"/>
    <w:rsid w:val="00105DD2"/>
    <w:rsid w:val="001063B1"/>
    <w:rsid w:val="00106714"/>
    <w:rsid w:val="0010713E"/>
    <w:rsid w:val="0010744C"/>
    <w:rsid w:val="00107585"/>
    <w:rsid w:val="00107C58"/>
    <w:rsid w:val="00110ABB"/>
    <w:rsid w:val="0011107F"/>
    <w:rsid w:val="001114F4"/>
    <w:rsid w:val="0011179D"/>
    <w:rsid w:val="0011193E"/>
    <w:rsid w:val="00111979"/>
    <w:rsid w:val="00112865"/>
    <w:rsid w:val="001132BE"/>
    <w:rsid w:val="00114151"/>
    <w:rsid w:val="00114A07"/>
    <w:rsid w:val="00114B26"/>
    <w:rsid w:val="00114BB7"/>
    <w:rsid w:val="00114E4B"/>
    <w:rsid w:val="001150E1"/>
    <w:rsid w:val="0011545C"/>
    <w:rsid w:val="00116390"/>
    <w:rsid w:val="00116517"/>
    <w:rsid w:val="0011667B"/>
    <w:rsid w:val="001166F8"/>
    <w:rsid w:val="00117F08"/>
    <w:rsid w:val="00121065"/>
    <w:rsid w:val="001218D8"/>
    <w:rsid w:val="00121C9C"/>
    <w:rsid w:val="00121F42"/>
    <w:rsid w:val="00122479"/>
    <w:rsid w:val="001238A4"/>
    <w:rsid w:val="00123D0F"/>
    <w:rsid w:val="00123D90"/>
    <w:rsid w:val="001241C5"/>
    <w:rsid w:val="0012445C"/>
    <w:rsid w:val="001247CF"/>
    <w:rsid w:val="00124DB0"/>
    <w:rsid w:val="00124F57"/>
    <w:rsid w:val="0012574E"/>
    <w:rsid w:val="0012584E"/>
    <w:rsid w:val="00125ECB"/>
    <w:rsid w:val="001263C4"/>
    <w:rsid w:val="0012650A"/>
    <w:rsid w:val="0012664C"/>
    <w:rsid w:val="00126A27"/>
    <w:rsid w:val="00126D8A"/>
    <w:rsid w:val="0012742C"/>
    <w:rsid w:val="00127A2B"/>
    <w:rsid w:val="00127DBD"/>
    <w:rsid w:val="00127DE7"/>
    <w:rsid w:val="0013026B"/>
    <w:rsid w:val="00130325"/>
    <w:rsid w:val="00130A96"/>
    <w:rsid w:val="00130BCB"/>
    <w:rsid w:val="0013156E"/>
    <w:rsid w:val="001316F2"/>
    <w:rsid w:val="00132474"/>
    <w:rsid w:val="00132773"/>
    <w:rsid w:val="00133236"/>
    <w:rsid w:val="001334DD"/>
    <w:rsid w:val="0013378E"/>
    <w:rsid w:val="00133865"/>
    <w:rsid w:val="001344C4"/>
    <w:rsid w:val="00135081"/>
    <w:rsid w:val="00135EC2"/>
    <w:rsid w:val="00135EFB"/>
    <w:rsid w:val="001366C4"/>
    <w:rsid w:val="00136CB3"/>
    <w:rsid w:val="00137F4F"/>
    <w:rsid w:val="00137F60"/>
    <w:rsid w:val="001400B4"/>
    <w:rsid w:val="00140163"/>
    <w:rsid w:val="001401C5"/>
    <w:rsid w:val="00140D94"/>
    <w:rsid w:val="001412F4"/>
    <w:rsid w:val="00141398"/>
    <w:rsid w:val="001413A6"/>
    <w:rsid w:val="00141931"/>
    <w:rsid w:val="001426C0"/>
    <w:rsid w:val="00142807"/>
    <w:rsid w:val="00142AC7"/>
    <w:rsid w:val="0014375E"/>
    <w:rsid w:val="00143812"/>
    <w:rsid w:val="00143A58"/>
    <w:rsid w:val="0014436A"/>
    <w:rsid w:val="00144753"/>
    <w:rsid w:val="00144D15"/>
    <w:rsid w:val="00145689"/>
    <w:rsid w:val="00145736"/>
    <w:rsid w:val="00145A68"/>
    <w:rsid w:val="00146176"/>
    <w:rsid w:val="0014625B"/>
    <w:rsid w:val="00146A9C"/>
    <w:rsid w:val="001473B9"/>
    <w:rsid w:val="00147693"/>
    <w:rsid w:val="00147749"/>
    <w:rsid w:val="00147CA9"/>
    <w:rsid w:val="00150A5F"/>
    <w:rsid w:val="00150EFE"/>
    <w:rsid w:val="001510B8"/>
    <w:rsid w:val="0015185C"/>
    <w:rsid w:val="00151A78"/>
    <w:rsid w:val="00152128"/>
    <w:rsid w:val="0015214D"/>
    <w:rsid w:val="00152D03"/>
    <w:rsid w:val="00152F99"/>
    <w:rsid w:val="00153288"/>
    <w:rsid w:val="001542D6"/>
    <w:rsid w:val="001543DE"/>
    <w:rsid w:val="001543E7"/>
    <w:rsid w:val="00155393"/>
    <w:rsid w:val="00155525"/>
    <w:rsid w:val="00155AD0"/>
    <w:rsid w:val="0015688E"/>
    <w:rsid w:val="00156C7D"/>
    <w:rsid w:val="0015712D"/>
    <w:rsid w:val="001575B9"/>
    <w:rsid w:val="001577FB"/>
    <w:rsid w:val="001579B8"/>
    <w:rsid w:val="00160A9C"/>
    <w:rsid w:val="00160B43"/>
    <w:rsid w:val="00160C87"/>
    <w:rsid w:val="00160FD4"/>
    <w:rsid w:val="0016124F"/>
    <w:rsid w:val="001612F4"/>
    <w:rsid w:val="00161701"/>
    <w:rsid w:val="001621C8"/>
    <w:rsid w:val="001627D1"/>
    <w:rsid w:val="00162878"/>
    <w:rsid w:val="00162C6C"/>
    <w:rsid w:val="00162FCC"/>
    <w:rsid w:val="00163767"/>
    <w:rsid w:val="00163949"/>
    <w:rsid w:val="00163B99"/>
    <w:rsid w:val="00164D8A"/>
    <w:rsid w:val="00165094"/>
    <w:rsid w:val="00165884"/>
    <w:rsid w:val="00165DE0"/>
    <w:rsid w:val="00165DFB"/>
    <w:rsid w:val="00166684"/>
    <w:rsid w:val="001673A6"/>
    <w:rsid w:val="0017006D"/>
    <w:rsid w:val="001701C0"/>
    <w:rsid w:val="0017049D"/>
    <w:rsid w:val="00170F33"/>
    <w:rsid w:val="00171121"/>
    <w:rsid w:val="001711C1"/>
    <w:rsid w:val="0017128E"/>
    <w:rsid w:val="00171AEB"/>
    <w:rsid w:val="00171E14"/>
    <w:rsid w:val="0017204B"/>
    <w:rsid w:val="00172077"/>
    <w:rsid w:val="00172DC9"/>
    <w:rsid w:val="00172F63"/>
    <w:rsid w:val="00173522"/>
    <w:rsid w:val="00173C8A"/>
    <w:rsid w:val="00174C8D"/>
    <w:rsid w:val="00174EA1"/>
    <w:rsid w:val="0017520B"/>
    <w:rsid w:val="0017528B"/>
    <w:rsid w:val="001756A8"/>
    <w:rsid w:val="00175708"/>
    <w:rsid w:val="0017580D"/>
    <w:rsid w:val="00176E72"/>
    <w:rsid w:val="001777A7"/>
    <w:rsid w:val="00177F14"/>
    <w:rsid w:val="001805C8"/>
    <w:rsid w:val="00180E14"/>
    <w:rsid w:val="001817C9"/>
    <w:rsid w:val="00181E95"/>
    <w:rsid w:val="00182272"/>
    <w:rsid w:val="00183124"/>
    <w:rsid w:val="00183976"/>
    <w:rsid w:val="00183B79"/>
    <w:rsid w:val="00183F96"/>
    <w:rsid w:val="00183FF9"/>
    <w:rsid w:val="001844E1"/>
    <w:rsid w:val="0018454F"/>
    <w:rsid w:val="001849D1"/>
    <w:rsid w:val="00184A1B"/>
    <w:rsid w:val="00184E84"/>
    <w:rsid w:val="00185B7E"/>
    <w:rsid w:val="00186006"/>
    <w:rsid w:val="001867E4"/>
    <w:rsid w:val="00187831"/>
    <w:rsid w:val="00187A84"/>
    <w:rsid w:val="00190E7D"/>
    <w:rsid w:val="00191833"/>
    <w:rsid w:val="00191AAC"/>
    <w:rsid w:val="00191D59"/>
    <w:rsid w:val="00192233"/>
    <w:rsid w:val="001922FA"/>
    <w:rsid w:val="00192BD0"/>
    <w:rsid w:val="00192EC5"/>
    <w:rsid w:val="001930D5"/>
    <w:rsid w:val="001931D0"/>
    <w:rsid w:val="00193396"/>
    <w:rsid w:val="00193449"/>
    <w:rsid w:val="00193AD4"/>
    <w:rsid w:val="00193C25"/>
    <w:rsid w:val="00194168"/>
    <w:rsid w:val="00194A4D"/>
    <w:rsid w:val="001953B4"/>
    <w:rsid w:val="00195E7E"/>
    <w:rsid w:val="00197C3F"/>
    <w:rsid w:val="00197C9C"/>
    <w:rsid w:val="00197D1F"/>
    <w:rsid w:val="00197F2C"/>
    <w:rsid w:val="001A095A"/>
    <w:rsid w:val="001A10DC"/>
    <w:rsid w:val="001A1165"/>
    <w:rsid w:val="001A12B1"/>
    <w:rsid w:val="001A1EAC"/>
    <w:rsid w:val="001A25D0"/>
    <w:rsid w:val="001A299F"/>
    <w:rsid w:val="001A3F49"/>
    <w:rsid w:val="001A4173"/>
    <w:rsid w:val="001A4E7E"/>
    <w:rsid w:val="001A54E6"/>
    <w:rsid w:val="001A558D"/>
    <w:rsid w:val="001A5749"/>
    <w:rsid w:val="001A5CBE"/>
    <w:rsid w:val="001A6A04"/>
    <w:rsid w:val="001A6CE7"/>
    <w:rsid w:val="001A79C3"/>
    <w:rsid w:val="001B006E"/>
    <w:rsid w:val="001B02ED"/>
    <w:rsid w:val="001B088F"/>
    <w:rsid w:val="001B0C68"/>
    <w:rsid w:val="001B0D34"/>
    <w:rsid w:val="001B1D8C"/>
    <w:rsid w:val="001B22B6"/>
    <w:rsid w:val="001B25F8"/>
    <w:rsid w:val="001B286B"/>
    <w:rsid w:val="001B2E67"/>
    <w:rsid w:val="001B30F6"/>
    <w:rsid w:val="001B3B82"/>
    <w:rsid w:val="001B3DA7"/>
    <w:rsid w:val="001B435D"/>
    <w:rsid w:val="001B4885"/>
    <w:rsid w:val="001B4E1C"/>
    <w:rsid w:val="001B4F3E"/>
    <w:rsid w:val="001B5063"/>
    <w:rsid w:val="001B5239"/>
    <w:rsid w:val="001B5416"/>
    <w:rsid w:val="001B5800"/>
    <w:rsid w:val="001B58A7"/>
    <w:rsid w:val="001B5E5E"/>
    <w:rsid w:val="001B6851"/>
    <w:rsid w:val="001B6948"/>
    <w:rsid w:val="001B6953"/>
    <w:rsid w:val="001B6E09"/>
    <w:rsid w:val="001B76D5"/>
    <w:rsid w:val="001B78F8"/>
    <w:rsid w:val="001B7DA7"/>
    <w:rsid w:val="001C0B6E"/>
    <w:rsid w:val="001C0C51"/>
    <w:rsid w:val="001C0DAB"/>
    <w:rsid w:val="001C0DD1"/>
    <w:rsid w:val="001C13E4"/>
    <w:rsid w:val="001C175D"/>
    <w:rsid w:val="001C1D46"/>
    <w:rsid w:val="001C1D48"/>
    <w:rsid w:val="001C2A1B"/>
    <w:rsid w:val="001C2CBF"/>
    <w:rsid w:val="001C2E1D"/>
    <w:rsid w:val="001C300F"/>
    <w:rsid w:val="001C3440"/>
    <w:rsid w:val="001C36D4"/>
    <w:rsid w:val="001C36E8"/>
    <w:rsid w:val="001C3B0D"/>
    <w:rsid w:val="001C421B"/>
    <w:rsid w:val="001C441D"/>
    <w:rsid w:val="001C4944"/>
    <w:rsid w:val="001C52B8"/>
    <w:rsid w:val="001C54A9"/>
    <w:rsid w:val="001C58EA"/>
    <w:rsid w:val="001C5F4F"/>
    <w:rsid w:val="001C618B"/>
    <w:rsid w:val="001C6547"/>
    <w:rsid w:val="001C6640"/>
    <w:rsid w:val="001C6D5C"/>
    <w:rsid w:val="001C6D92"/>
    <w:rsid w:val="001C6E56"/>
    <w:rsid w:val="001C6E86"/>
    <w:rsid w:val="001C72AE"/>
    <w:rsid w:val="001D0C06"/>
    <w:rsid w:val="001D102F"/>
    <w:rsid w:val="001D1F49"/>
    <w:rsid w:val="001D299B"/>
    <w:rsid w:val="001D34B9"/>
    <w:rsid w:val="001D3A24"/>
    <w:rsid w:val="001D3BFF"/>
    <w:rsid w:val="001D3C7A"/>
    <w:rsid w:val="001D430C"/>
    <w:rsid w:val="001D454D"/>
    <w:rsid w:val="001D47BC"/>
    <w:rsid w:val="001D4B43"/>
    <w:rsid w:val="001D5457"/>
    <w:rsid w:val="001D5A1C"/>
    <w:rsid w:val="001D5CE1"/>
    <w:rsid w:val="001D6068"/>
    <w:rsid w:val="001D6B4C"/>
    <w:rsid w:val="001D6E89"/>
    <w:rsid w:val="001D7BF3"/>
    <w:rsid w:val="001D7C2A"/>
    <w:rsid w:val="001D7E96"/>
    <w:rsid w:val="001E012C"/>
    <w:rsid w:val="001E05A8"/>
    <w:rsid w:val="001E0802"/>
    <w:rsid w:val="001E0E57"/>
    <w:rsid w:val="001E1347"/>
    <w:rsid w:val="001E1530"/>
    <w:rsid w:val="001E163B"/>
    <w:rsid w:val="001E16FB"/>
    <w:rsid w:val="001E1780"/>
    <w:rsid w:val="001E21FF"/>
    <w:rsid w:val="001E2596"/>
    <w:rsid w:val="001E259B"/>
    <w:rsid w:val="001E2847"/>
    <w:rsid w:val="001E2B42"/>
    <w:rsid w:val="001E3018"/>
    <w:rsid w:val="001E3C9E"/>
    <w:rsid w:val="001E3D5D"/>
    <w:rsid w:val="001E3E78"/>
    <w:rsid w:val="001E41B8"/>
    <w:rsid w:val="001E4A94"/>
    <w:rsid w:val="001E4B2D"/>
    <w:rsid w:val="001E54F7"/>
    <w:rsid w:val="001E56F9"/>
    <w:rsid w:val="001E5764"/>
    <w:rsid w:val="001E5778"/>
    <w:rsid w:val="001E5A4F"/>
    <w:rsid w:val="001E5FCA"/>
    <w:rsid w:val="001E63A7"/>
    <w:rsid w:val="001E63B4"/>
    <w:rsid w:val="001E7720"/>
    <w:rsid w:val="001E7C68"/>
    <w:rsid w:val="001F01C5"/>
    <w:rsid w:val="001F0318"/>
    <w:rsid w:val="001F13D7"/>
    <w:rsid w:val="001F1563"/>
    <w:rsid w:val="001F1948"/>
    <w:rsid w:val="001F20CF"/>
    <w:rsid w:val="001F2EA3"/>
    <w:rsid w:val="001F2F3D"/>
    <w:rsid w:val="001F313F"/>
    <w:rsid w:val="001F3740"/>
    <w:rsid w:val="001F383F"/>
    <w:rsid w:val="001F3AD5"/>
    <w:rsid w:val="001F444E"/>
    <w:rsid w:val="001F445E"/>
    <w:rsid w:val="001F481A"/>
    <w:rsid w:val="001F4AFB"/>
    <w:rsid w:val="001F4C2A"/>
    <w:rsid w:val="001F50B3"/>
    <w:rsid w:val="001F5110"/>
    <w:rsid w:val="001F54FD"/>
    <w:rsid w:val="001F5514"/>
    <w:rsid w:val="001F68FE"/>
    <w:rsid w:val="001F6992"/>
    <w:rsid w:val="001F6B19"/>
    <w:rsid w:val="001F6CC6"/>
    <w:rsid w:val="001F6DAA"/>
    <w:rsid w:val="001F6E46"/>
    <w:rsid w:val="001F727C"/>
    <w:rsid w:val="001F7417"/>
    <w:rsid w:val="001F7B1C"/>
    <w:rsid w:val="002004FB"/>
    <w:rsid w:val="00200A6F"/>
    <w:rsid w:val="002014D7"/>
    <w:rsid w:val="002017D9"/>
    <w:rsid w:val="00201D89"/>
    <w:rsid w:val="00201F56"/>
    <w:rsid w:val="0020220B"/>
    <w:rsid w:val="002022DE"/>
    <w:rsid w:val="00203045"/>
    <w:rsid w:val="00203AF9"/>
    <w:rsid w:val="00203DE3"/>
    <w:rsid w:val="002040D7"/>
    <w:rsid w:val="002041C8"/>
    <w:rsid w:val="0020446D"/>
    <w:rsid w:val="00204772"/>
    <w:rsid w:val="002052BE"/>
    <w:rsid w:val="0020532F"/>
    <w:rsid w:val="0020547D"/>
    <w:rsid w:val="00205B3A"/>
    <w:rsid w:val="00205D39"/>
    <w:rsid w:val="00205F13"/>
    <w:rsid w:val="002062C9"/>
    <w:rsid w:val="00206585"/>
    <w:rsid w:val="00206B5F"/>
    <w:rsid w:val="00206F61"/>
    <w:rsid w:val="00206F75"/>
    <w:rsid w:val="0020768E"/>
    <w:rsid w:val="00207797"/>
    <w:rsid w:val="00207B31"/>
    <w:rsid w:val="00207F33"/>
    <w:rsid w:val="00210935"/>
    <w:rsid w:val="00210A62"/>
    <w:rsid w:val="00210F79"/>
    <w:rsid w:val="00211158"/>
    <w:rsid w:val="00211F7F"/>
    <w:rsid w:val="00212658"/>
    <w:rsid w:val="00212DA5"/>
    <w:rsid w:val="00213012"/>
    <w:rsid w:val="00213B72"/>
    <w:rsid w:val="00213F27"/>
    <w:rsid w:val="00213F38"/>
    <w:rsid w:val="00214226"/>
    <w:rsid w:val="0021455A"/>
    <w:rsid w:val="002149A1"/>
    <w:rsid w:val="00216D9B"/>
    <w:rsid w:val="00216E22"/>
    <w:rsid w:val="00217F3F"/>
    <w:rsid w:val="00220650"/>
    <w:rsid w:val="00220701"/>
    <w:rsid w:val="00220783"/>
    <w:rsid w:val="002207C2"/>
    <w:rsid w:val="00220A22"/>
    <w:rsid w:val="00220DEF"/>
    <w:rsid w:val="00221916"/>
    <w:rsid w:val="0022198F"/>
    <w:rsid w:val="002223EF"/>
    <w:rsid w:val="00222AFA"/>
    <w:rsid w:val="0022316F"/>
    <w:rsid w:val="00223A81"/>
    <w:rsid w:val="00223C88"/>
    <w:rsid w:val="00223D5E"/>
    <w:rsid w:val="00224524"/>
    <w:rsid w:val="00224607"/>
    <w:rsid w:val="0022477F"/>
    <w:rsid w:val="0022487A"/>
    <w:rsid w:val="002255D3"/>
    <w:rsid w:val="00225DD7"/>
    <w:rsid w:val="00225FFE"/>
    <w:rsid w:val="00226461"/>
    <w:rsid w:val="00226494"/>
    <w:rsid w:val="002275B4"/>
    <w:rsid w:val="00227A0F"/>
    <w:rsid w:val="00227A5A"/>
    <w:rsid w:val="002300C8"/>
    <w:rsid w:val="00230582"/>
    <w:rsid w:val="00231115"/>
    <w:rsid w:val="00231394"/>
    <w:rsid w:val="00231CC6"/>
    <w:rsid w:val="00232839"/>
    <w:rsid w:val="00232F25"/>
    <w:rsid w:val="002338CF"/>
    <w:rsid w:val="00233C89"/>
    <w:rsid w:val="00233DB5"/>
    <w:rsid w:val="002341E3"/>
    <w:rsid w:val="00234A05"/>
    <w:rsid w:val="00234E0F"/>
    <w:rsid w:val="00235031"/>
    <w:rsid w:val="00235179"/>
    <w:rsid w:val="0023540F"/>
    <w:rsid w:val="002354BA"/>
    <w:rsid w:val="00235575"/>
    <w:rsid w:val="00235BFE"/>
    <w:rsid w:val="00235E70"/>
    <w:rsid w:val="00236133"/>
    <w:rsid w:val="00236378"/>
    <w:rsid w:val="0023643C"/>
    <w:rsid w:val="002364BA"/>
    <w:rsid w:val="00236514"/>
    <w:rsid w:val="0023687A"/>
    <w:rsid w:val="00237AA9"/>
    <w:rsid w:val="0024132F"/>
    <w:rsid w:val="00241896"/>
    <w:rsid w:val="00241904"/>
    <w:rsid w:val="00241944"/>
    <w:rsid w:val="00242586"/>
    <w:rsid w:val="00243015"/>
    <w:rsid w:val="002430EB"/>
    <w:rsid w:val="0024315F"/>
    <w:rsid w:val="002433ED"/>
    <w:rsid w:val="002436F3"/>
    <w:rsid w:val="00243BEF"/>
    <w:rsid w:val="00243EF7"/>
    <w:rsid w:val="00244F0B"/>
    <w:rsid w:val="00244F42"/>
    <w:rsid w:val="00245198"/>
    <w:rsid w:val="0024549C"/>
    <w:rsid w:val="0024553B"/>
    <w:rsid w:val="00245E03"/>
    <w:rsid w:val="00245F3D"/>
    <w:rsid w:val="002462A9"/>
    <w:rsid w:val="002467A4"/>
    <w:rsid w:val="002467B5"/>
    <w:rsid w:val="002475E6"/>
    <w:rsid w:val="00247B70"/>
    <w:rsid w:val="00247BDD"/>
    <w:rsid w:val="00247E78"/>
    <w:rsid w:val="0025011D"/>
    <w:rsid w:val="0025018C"/>
    <w:rsid w:val="00250856"/>
    <w:rsid w:val="00250A56"/>
    <w:rsid w:val="00250D4A"/>
    <w:rsid w:val="002510EC"/>
    <w:rsid w:val="00251528"/>
    <w:rsid w:val="00251534"/>
    <w:rsid w:val="002524E4"/>
    <w:rsid w:val="002525D9"/>
    <w:rsid w:val="00252C62"/>
    <w:rsid w:val="00252CAA"/>
    <w:rsid w:val="00253CF1"/>
    <w:rsid w:val="00253E92"/>
    <w:rsid w:val="0025409E"/>
    <w:rsid w:val="0025471C"/>
    <w:rsid w:val="002547D5"/>
    <w:rsid w:val="00254966"/>
    <w:rsid w:val="00254ABB"/>
    <w:rsid w:val="002553D7"/>
    <w:rsid w:val="00255686"/>
    <w:rsid w:val="00255FC9"/>
    <w:rsid w:val="00256606"/>
    <w:rsid w:val="002566E4"/>
    <w:rsid w:val="00256977"/>
    <w:rsid w:val="00256C3F"/>
    <w:rsid w:val="002572A7"/>
    <w:rsid w:val="002578F6"/>
    <w:rsid w:val="00257D27"/>
    <w:rsid w:val="00257E31"/>
    <w:rsid w:val="00257F6A"/>
    <w:rsid w:val="00260045"/>
    <w:rsid w:val="0026053A"/>
    <w:rsid w:val="00261175"/>
    <w:rsid w:val="002614BD"/>
    <w:rsid w:val="0026192E"/>
    <w:rsid w:val="0026231F"/>
    <w:rsid w:val="0026414D"/>
    <w:rsid w:val="002641B6"/>
    <w:rsid w:val="002642CA"/>
    <w:rsid w:val="00265C2A"/>
    <w:rsid w:val="00265D7B"/>
    <w:rsid w:val="00266192"/>
    <w:rsid w:val="00267351"/>
    <w:rsid w:val="00267367"/>
    <w:rsid w:val="002675AA"/>
    <w:rsid w:val="002675C1"/>
    <w:rsid w:val="002675D6"/>
    <w:rsid w:val="00267749"/>
    <w:rsid w:val="00267C3F"/>
    <w:rsid w:val="00270191"/>
    <w:rsid w:val="00270B16"/>
    <w:rsid w:val="00270B8C"/>
    <w:rsid w:val="00270F92"/>
    <w:rsid w:val="00271DDB"/>
    <w:rsid w:val="00271E6C"/>
    <w:rsid w:val="0027218C"/>
    <w:rsid w:val="002721A8"/>
    <w:rsid w:val="0027220C"/>
    <w:rsid w:val="00272740"/>
    <w:rsid w:val="00272E95"/>
    <w:rsid w:val="0027304B"/>
    <w:rsid w:val="0027321C"/>
    <w:rsid w:val="002732FA"/>
    <w:rsid w:val="00274181"/>
    <w:rsid w:val="0027450B"/>
    <w:rsid w:val="00274545"/>
    <w:rsid w:val="00274FFC"/>
    <w:rsid w:val="002760A1"/>
    <w:rsid w:val="002762C1"/>
    <w:rsid w:val="00276413"/>
    <w:rsid w:val="002765B0"/>
    <w:rsid w:val="0027668A"/>
    <w:rsid w:val="00276828"/>
    <w:rsid w:val="00276C35"/>
    <w:rsid w:val="00276CB2"/>
    <w:rsid w:val="00276DD8"/>
    <w:rsid w:val="00277988"/>
    <w:rsid w:val="00277EB5"/>
    <w:rsid w:val="002801CE"/>
    <w:rsid w:val="002806D3"/>
    <w:rsid w:val="002807EA"/>
    <w:rsid w:val="00281529"/>
    <w:rsid w:val="002819BA"/>
    <w:rsid w:val="00281A04"/>
    <w:rsid w:val="0028256A"/>
    <w:rsid w:val="0028263C"/>
    <w:rsid w:val="00282E78"/>
    <w:rsid w:val="00282FF0"/>
    <w:rsid w:val="0028377F"/>
    <w:rsid w:val="00283879"/>
    <w:rsid w:val="00283A36"/>
    <w:rsid w:val="00283BF6"/>
    <w:rsid w:val="00283D3C"/>
    <w:rsid w:val="00283FDC"/>
    <w:rsid w:val="0028429A"/>
    <w:rsid w:val="00284436"/>
    <w:rsid w:val="00284902"/>
    <w:rsid w:val="00285464"/>
    <w:rsid w:val="00285AAF"/>
    <w:rsid w:val="00285AB1"/>
    <w:rsid w:val="00285DEC"/>
    <w:rsid w:val="00285F28"/>
    <w:rsid w:val="00286A52"/>
    <w:rsid w:val="00287582"/>
    <w:rsid w:val="00287A79"/>
    <w:rsid w:val="002901BB"/>
    <w:rsid w:val="00290A26"/>
    <w:rsid w:val="00290B39"/>
    <w:rsid w:val="0029127C"/>
    <w:rsid w:val="00291423"/>
    <w:rsid w:val="00291470"/>
    <w:rsid w:val="00291C1E"/>
    <w:rsid w:val="00291C31"/>
    <w:rsid w:val="0029255E"/>
    <w:rsid w:val="00292606"/>
    <w:rsid w:val="00292A22"/>
    <w:rsid w:val="00292C02"/>
    <w:rsid w:val="0029326B"/>
    <w:rsid w:val="00293640"/>
    <w:rsid w:val="00293B20"/>
    <w:rsid w:val="00293EA7"/>
    <w:rsid w:val="0029404A"/>
    <w:rsid w:val="002940E0"/>
    <w:rsid w:val="00294390"/>
    <w:rsid w:val="002948DB"/>
    <w:rsid w:val="00294C29"/>
    <w:rsid w:val="00294F84"/>
    <w:rsid w:val="002952FF"/>
    <w:rsid w:val="002954A7"/>
    <w:rsid w:val="002958C3"/>
    <w:rsid w:val="00295A0E"/>
    <w:rsid w:val="00295D3D"/>
    <w:rsid w:val="00296AE6"/>
    <w:rsid w:val="00297004"/>
    <w:rsid w:val="002978AE"/>
    <w:rsid w:val="00297F0C"/>
    <w:rsid w:val="002A0223"/>
    <w:rsid w:val="002A0487"/>
    <w:rsid w:val="002A05B1"/>
    <w:rsid w:val="002A0874"/>
    <w:rsid w:val="002A087D"/>
    <w:rsid w:val="002A19D9"/>
    <w:rsid w:val="002A1BF1"/>
    <w:rsid w:val="002A250F"/>
    <w:rsid w:val="002A288A"/>
    <w:rsid w:val="002A28C2"/>
    <w:rsid w:val="002A2A64"/>
    <w:rsid w:val="002A39A0"/>
    <w:rsid w:val="002A3C1C"/>
    <w:rsid w:val="002A4B0C"/>
    <w:rsid w:val="002A4DB3"/>
    <w:rsid w:val="002A4FA3"/>
    <w:rsid w:val="002A50D0"/>
    <w:rsid w:val="002A5303"/>
    <w:rsid w:val="002A5E6D"/>
    <w:rsid w:val="002A64DB"/>
    <w:rsid w:val="002A6B6F"/>
    <w:rsid w:val="002A6DD8"/>
    <w:rsid w:val="002A7A7D"/>
    <w:rsid w:val="002A7B65"/>
    <w:rsid w:val="002A7DFB"/>
    <w:rsid w:val="002B04A5"/>
    <w:rsid w:val="002B05F1"/>
    <w:rsid w:val="002B09AA"/>
    <w:rsid w:val="002B0B8B"/>
    <w:rsid w:val="002B0DC9"/>
    <w:rsid w:val="002B0FBF"/>
    <w:rsid w:val="002B1722"/>
    <w:rsid w:val="002B1960"/>
    <w:rsid w:val="002B196F"/>
    <w:rsid w:val="002B199A"/>
    <w:rsid w:val="002B1C4F"/>
    <w:rsid w:val="002B28D7"/>
    <w:rsid w:val="002B2A64"/>
    <w:rsid w:val="002B2F43"/>
    <w:rsid w:val="002B3448"/>
    <w:rsid w:val="002B3752"/>
    <w:rsid w:val="002B38A3"/>
    <w:rsid w:val="002B3C64"/>
    <w:rsid w:val="002B563A"/>
    <w:rsid w:val="002B59E4"/>
    <w:rsid w:val="002B663C"/>
    <w:rsid w:val="002B71FB"/>
    <w:rsid w:val="002B77E7"/>
    <w:rsid w:val="002B7B45"/>
    <w:rsid w:val="002C0050"/>
    <w:rsid w:val="002C0296"/>
    <w:rsid w:val="002C0624"/>
    <w:rsid w:val="002C068D"/>
    <w:rsid w:val="002C0B29"/>
    <w:rsid w:val="002C0B91"/>
    <w:rsid w:val="002C0EB2"/>
    <w:rsid w:val="002C192F"/>
    <w:rsid w:val="002C20D5"/>
    <w:rsid w:val="002C2866"/>
    <w:rsid w:val="002C330D"/>
    <w:rsid w:val="002C3A3C"/>
    <w:rsid w:val="002C3B13"/>
    <w:rsid w:val="002C3BC8"/>
    <w:rsid w:val="002C4247"/>
    <w:rsid w:val="002C49E9"/>
    <w:rsid w:val="002C600B"/>
    <w:rsid w:val="002C613B"/>
    <w:rsid w:val="002C6455"/>
    <w:rsid w:val="002C6EA3"/>
    <w:rsid w:val="002C71A9"/>
    <w:rsid w:val="002C79D3"/>
    <w:rsid w:val="002C7E7E"/>
    <w:rsid w:val="002D08DB"/>
    <w:rsid w:val="002D0D17"/>
    <w:rsid w:val="002D0D60"/>
    <w:rsid w:val="002D2069"/>
    <w:rsid w:val="002D2580"/>
    <w:rsid w:val="002D290C"/>
    <w:rsid w:val="002D4227"/>
    <w:rsid w:val="002D4C40"/>
    <w:rsid w:val="002D5538"/>
    <w:rsid w:val="002D556B"/>
    <w:rsid w:val="002D5CB8"/>
    <w:rsid w:val="002D6080"/>
    <w:rsid w:val="002D688C"/>
    <w:rsid w:val="002D75F7"/>
    <w:rsid w:val="002E057A"/>
    <w:rsid w:val="002E05CA"/>
    <w:rsid w:val="002E0912"/>
    <w:rsid w:val="002E1007"/>
    <w:rsid w:val="002E1257"/>
    <w:rsid w:val="002E1CAA"/>
    <w:rsid w:val="002E2C6D"/>
    <w:rsid w:val="002E47E3"/>
    <w:rsid w:val="002E4A95"/>
    <w:rsid w:val="002E54AA"/>
    <w:rsid w:val="002E5846"/>
    <w:rsid w:val="002E5E56"/>
    <w:rsid w:val="002E5F4D"/>
    <w:rsid w:val="002E5F9B"/>
    <w:rsid w:val="002E6849"/>
    <w:rsid w:val="002E6984"/>
    <w:rsid w:val="002E69F1"/>
    <w:rsid w:val="002E72BE"/>
    <w:rsid w:val="002E753B"/>
    <w:rsid w:val="002E7A05"/>
    <w:rsid w:val="002E7A52"/>
    <w:rsid w:val="002E7A87"/>
    <w:rsid w:val="002E7C13"/>
    <w:rsid w:val="002F099A"/>
    <w:rsid w:val="002F0B8C"/>
    <w:rsid w:val="002F0BCC"/>
    <w:rsid w:val="002F1409"/>
    <w:rsid w:val="002F15A2"/>
    <w:rsid w:val="002F1618"/>
    <w:rsid w:val="002F1987"/>
    <w:rsid w:val="002F1E47"/>
    <w:rsid w:val="002F1EF8"/>
    <w:rsid w:val="002F2A33"/>
    <w:rsid w:val="002F2AAE"/>
    <w:rsid w:val="002F2C9C"/>
    <w:rsid w:val="002F2EFD"/>
    <w:rsid w:val="002F3ADF"/>
    <w:rsid w:val="002F3D51"/>
    <w:rsid w:val="002F3F07"/>
    <w:rsid w:val="002F467A"/>
    <w:rsid w:val="002F4E7F"/>
    <w:rsid w:val="002F4FA3"/>
    <w:rsid w:val="002F51D7"/>
    <w:rsid w:val="002F52C1"/>
    <w:rsid w:val="002F5B41"/>
    <w:rsid w:val="002F626F"/>
    <w:rsid w:val="002F66E7"/>
    <w:rsid w:val="002F75B0"/>
    <w:rsid w:val="002F7624"/>
    <w:rsid w:val="002F77AF"/>
    <w:rsid w:val="003009B6"/>
    <w:rsid w:val="00300FCB"/>
    <w:rsid w:val="0030100B"/>
    <w:rsid w:val="00301296"/>
    <w:rsid w:val="00301C4B"/>
    <w:rsid w:val="0030249E"/>
    <w:rsid w:val="00302827"/>
    <w:rsid w:val="003029D5"/>
    <w:rsid w:val="003030A3"/>
    <w:rsid w:val="0030352A"/>
    <w:rsid w:val="00303FA8"/>
    <w:rsid w:val="00304A2F"/>
    <w:rsid w:val="00304C90"/>
    <w:rsid w:val="00304FED"/>
    <w:rsid w:val="003050D4"/>
    <w:rsid w:val="00305258"/>
    <w:rsid w:val="003054FE"/>
    <w:rsid w:val="00305756"/>
    <w:rsid w:val="00305E4E"/>
    <w:rsid w:val="0030675A"/>
    <w:rsid w:val="00306A57"/>
    <w:rsid w:val="00306BD8"/>
    <w:rsid w:val="00306BE2"/>
    <w:rsid w:val="00307921"/>
    <w:rsid w:val="00310392"/>
    <w:rsid w:val="00311344"/>
    <w:rsid w:val="00311368"/>
    <w:rsid w:val="00311D97"/>
    <w:rsid w:val="0031204E"/>
    <w:rsid w:val="003120BA"/>
    <w:rsid w:val="00312130"/>
    <w:rsid w:val="00312F8F"/>
    <w:rsid w:val="0031304F"/>
    <w:rsid w:val="0031358B"/>
    <w:rsid w:val="003137B3"/>
    <w:rsid w:val="00313F77"/>
    <w:rsid w:val="0031444B"/>
    <w:rsid w:val="003144BE"/>
    <w:rsid w:val="003144EA"/>
    <w:rsid w:val="00314A46"/>
    <w:rsid w:val="0031522C"/>
    <w:rsid w:val="00316431"/>
    <w:rsid w:val="003166E2"/>
    <w:rsid w:val="00316AF1"/>
    <w:rsid w:val="0032040F"/>
    <w:rsid w:val="00320E7C"/>
    <w:rsid w:val="00320F17"/>
    <w:rsid w:val="00322802"/>
    <w:rsid w:val="00322960"/>
    <w:rsid w:val="00322FE3"/>
    <w:rsid w:val="00323647"/>
    <w:rsid w:val="0032398C"/>
    <w:rsid w:val="003239A6"/>
    <w:rsid w:val="003241C5"/>
    <w:rsid w:val="0032473E"/>
    <w:rsid w:val="00324A75"/>
    <w:rsid w:val="00324E49"/>
    <w:rsid w:val="003251AB"/>
    <w:rsid w:val="00325586"/>
    <w:rsid w:val="00326076"/>
    <w:rsid w:val="00326266"/>
    <w:rsid w:val="00326B99"/>
    <w:rsid w:val="00326D46"/>
    <w:rsid w:val="00326E19"/>
    <w:rsid w:val="0032756B"/>
    <w:rsid w:val="0033025F"/>
    <w:rsid w:val="003302B2"/>
    <w:rsid w:val="003303C0"/>
    <w:rsid w:val="00330475"/>
    <w:rsid w:val="00331658"/>
    <w:rsid w:val="003319A5"/>
    <w:rsid w:val="003328DC"/>
    <w:rsid w:val="00333BF6"/>
    <w:rsid w:val="00334323"/>
    <w:rsid w:val="003344ED"/>
    <w:rsid w:val="00334778"/>
    <w:rsid w:val="003356B5"/>
    <w:rsid w:val="00335856"/>
    <w:rsid w:val="00335D0A"/>
    <w:rsid w:val="00335FF6"/>
    <w:rsid w:val="0033634F"/>
    <w:rsid w:val="00336581"/>
    <w:rsid w:val="003365E8"/>
    <w:rsid w:val="003368E5"/>
    <w:rsid w:val="00336BE7"/>
    <w:rsid w:val="0033757F"/>
    <w:rsid w:val="00337781"/>
    <w:rsid w:val="003377BB"/>
    <w:rsid w:val="00337DA8"/>
    <w:rsid w:val="003402B8"/>
    <w:rsid w:val="003402FC"/>
    <w:rsid w:val="003403BA"/>
    <w:rsid w:val="00340A89"/>
    <w:rsid w:val="00340DE5"/>
    <w:rsid w:val="003410F9"/>
    <w:rsid w:val="003415F3"/>
    <w:rsid w:val="00341EB7"/>
    <w:rsid w:val="003420EA"/>
    <w:rsid w:val="00342B48"/>
    <w:rsid w:val="00343699"/>
    <w:rsid w:val="00343BB3"/>
    <w:rsid w:val="00344585"/>
    <w:rsid w:val="0034461A"/>
    <w:rsid w:val="00344701"/>
    <w:rsid w:val="003455ED"/>
    <w:rsid w:val="003456C2"/>
    <w:rsid w:val="00345E6F"/>
    <w:rsid w:val="0034601E"/>
    <w:rsid w:val="00346558"/>
    <w:rsid w:val="00346698"/>
    <w:rsid w:val="00347F45"/>
    <w:rsid w:val="00350A20"/>
    <w:rsid w:val="00351F06"/>
    <w:rsid w:val="00352285"/>
    <w:rsid w:val="00352D3A"/>
    <w:rsid w:val="003530F1"/>
    <w:rsid w:val="00353DA0"/>
    <w:rsid w:val="00353DB9"/>
    <w:rsid w:val="0035422D"/>
    <w:rsid w:val="003549C4"/>
    <w:rsid w:val="00354D39"/>
    <w:rsid w:val="0035542E"/>
    <w:rsid w:val="00355650"/>
    <w:rsid w:val="00355C28"/>
    <w:rsid w:val="00356A29"/>
    <w:rsid w:val="0035765F"/>
    <w:rsid w:val="0035772F"/>
    <w:rsid w:val="00357754"/>
    <w:rsid w:val="00357C00"/>
    <w:rsid w:val="00357DFA"/>
    <w:rsid w:val="0036022F"/>
    <w:rsid w:val="0036032B"/>
    <w:rsid w:val="00360464"/>
    <w:rsid w:val="003605C8"/>
    <w:rsid w:val="003605D8"/>
    <w:rsid w:val="00360CE2"/>
    <w:rsid w:val="00360E18"/>
    <w:rsid w:val="00360E5B"/>
    <w:rsid w:val="00361587"/>
    <w:rsid w:val="00362349"/>
    <w:rsid w:val="00363251"/>
    <w:rsid w:val="00363A9A"/>
    <w:rsid w:val="00363BE6"/>
    <w:rsid w:val="0036431C"/>
    <w:rsid w:val="003646DA"/>
    <w:rsid w:val="0036535B"/>
    <w:rsid w:val="003659E8"/>
    <w:rsid w:val="00366142"/>
    <w:rsid w:val="00366645"/>
    <w:rsid w:val="00366C3A"/>
    <w:rsid w:val="00367186"/>
    <w:rsid w:val="003700CF"/>
    <w:rsid w:val="0037070F"/>
    <w:rsid w:val="00370E23"/>
    <w:rsid w:val="003711A1"/>
    <w:rsid w:val="0037164A"/>
    <w:rsid w:val="00371CB6"/>
    <w:rsid w:val="00371ECE"/>
    <w:rsid w:val="00371F43"/>
    <w:rsid w:val="0037204D"/>
    <w:rsid w:val="0037253B"/>
    <w:rsid w:val="00372A8E"/>
    <w:rsid w:val="00372D4E"/>
    <w:rsid w:val="00372E0D"/>
    <w:rsid w:val="003732D9"/>
    <w:rsid w:val="00373C43"/>
    <w:rsid w:val="00373F06"/>
    <w:rsid w:val="0037402F"/>
    <w:rsid w:val="00374A9B"/>
    <w:rsid w:val="00374CF9"/>
    <w:rsid w:val="003750E7"/>
    <w:rsid w:val="0037538C"/>
    <w:rsid w:val="00375AD3"/>
    <w:rsid w:val="00375BBB"/>
    <w:rsid w:val="00375E99"/>
    <w:rsid w:val="00376132"/>
    <w:rsid w:val="0037639D"/>
    <w:rsid w:val="003765A3"/>
    <w:rsid w:val="00376B6A"/>
    <w:rsid w:val="00376C88"/>
    <w:rsid w:val="00376DF7"/>
    <w:rsid w:val="00377AF5"/>
    <w:rsid w:val="00377C98"/>
    <w:rsid w:val="003808C8"/>
    <w:rsid w:val="00380BFD"/>
    <w:rsid w:val="00380D80"/>
    <w:rsid w:val="003814CD"/>
    <w:rsid w:val="00382231"/>
    <w:rsid w:val="003827D2"/>
    <w:rsid w:val="003827F4"/>
    <w:rsid w:val="003828C3"/>
    <w:rsid w:val="003829D4"/>
    <w:rsid w:val="00382DDD"/>
    <w:rsid w:val="003830B7"/>
    <w:rsid w:val="00383439"/>
    <w:rsid w:val="00383AC4"/>
    <w:rsid w:val="00383CD9"/>
    <w:rsid w:val="00383D2A"/>
    <w:rsid w:val="00384581"/>
    <w:rsid w:val="0038476A"/>
    <w:rsid w:val="00384908"/>
    <w:rsid w:val="00384A0D"/>
    <w:rsid w:val="00384B79"/>
    <w:rsid w:val="00384DA5"/>
    <w:rsid w:val="00385B7F"/>
    <w:rsid w:val="003860AA"/>
    <w:rsid w:val="003861FF"/>
    <w:rsid w:val="00386E07"/>
    <w:rsid w:val="003870C8"/>
    <w:rsid w:val="003873FF"/>
    <w:rsid w:val="003877A2"/>
    <w:rsid w:val="003877C8"/>
    <w:rsid w:val="00387971"/>
    <w:rsid w:val="00387AE5"/>
    <w:rsid w:val="00387CE0"/>
    <w:rsid w:val="0039046A"/>
    <w:rsid w:val="003905FA"/>
    <w:rsid w:val="003909F3"/>
    <w:rsid w:val="00390DB7"/>
    <w:rsid w:val="0039100C"/>
    <w:rsid w:val="00391416"/>
    <w:rsid w:val="003917E3"/>
    <w:rsid w:val="00391A0C"/>
    <w:rsid w:val="00391D4E"/>
    <w:rsid w:val="00392363"/>
    <w:rsid w:val="00392903"/>
    <w:rsid w:val="0039386F"/>
    <w:rsid w:val="00393A41"/>
    <w:rsid w:val="00393A9E"/>
    <w:rsid w:val="00393CB5"/>
    <w:rsid w:val="00393EB8"/>
    <w:rsid w:val="0039420C"/>
    <w:rsid w:val="00394BEF"/>
    <w:rsid w:val="00394D92"/>
    <w:rsid w:val="00395929"/>
    <w:rsid w:val="00395C82"/>
    <w:rsid w:val="003963DB"/>
    <w:rsid w:val="003964DC"/>
    <w:rsid w:val="0039675F"/>
    <w:rsid w:val="00396FC3"/>
    <w:rsid w:val="003974CD"/>
    <w:rsid w:val="0039780F"/>
    <w:rsid w:val="00397CBC"/>
    <w:rsid w:val="00397EE5"/>
    <w:rsid w:val="00397EEB"/>
    <w:rsid w:val="003A05A4"/>
    <w:rsid w:val="003A0A5D"/>
    <w:rsid w:val="003A0AB9"/>
    <w:rsid w:val="003A151D"/>
    <w:rsid w:val="003A1822"/>
    <w:rsid w:val="003A1A7A"/>
    <w:rsid w:val="003A1C0B"/>
    <w:rsid w:val="003A1D14"/>
    <w:rsid w:val="003A2336"/>
    <w:rsid w:val="003A2732"/>
    <w:rsid w:val="003A2754"/>
    <w:rsid w:val="003A27E7"/>
    <w:rsid w:val="003A284D"/>
    <w:rsid w:val="003A2F9D"/>
    <w:rsid w:val="003A30BA"/>
    <w:rsid w:val="003A34A2"/>
    <w:rsid w:val="003A3CB5"/>
    <w:rsid w:val="003A4037"/>
    <w:rsid w:val="003A4E18"/>
    <w:rsid w:val="003A5190"/>
    <w:rsid w:val="003A5325"/>
    <w:rsid w:val="003A5665"/>
    <w:rsid w:val="003A6131"/>
    <w:rsid w:val="003A6293"/>
    <w:rsid w:val="003A64DA"/>
    <w:rsid w:val="003A67CD"/>
    <w:rsid w:val="003A77AD"/>
    <w:rsid w:val="003B0E5B"/>
    <w:rsid w:val="003B12FF"/>
    <w:rsid w:val="003B1434"/>
    <w:rsid w:val="003B1BEE"/>
    <w:rsid w:val="003B2575"/>
    <w:rsid w:val="003B28A5"/>
    <w:rsid w:val="003B2A44"/>
    <w:rsid w:val="003B310A"/>
    <w:rsid w:val="003B35DF"/>
    <w:rsid w:val="003B3C8C"/>
    <w:rsid w:val="003B3F92"/>
    <w:rsid w:val="003B4136"/>
    <w:rsid w:val="003B4473"/>
    <w:rsid w:val="003B4A61"/>
    <w:rsid w:val="003B4A9A"/>
    <w:rsid w:val="003B4BA8"/>
    <w:rsid w:val="003B577B"/>
    <w:rsid w:val="003B5E88"/>
    <w:rsid w:val="003B5FBB"/>
    <w:rsid w:val="003B5FF1"/>
    <w:rsid w:val="003B6041"/>
    <w:rsid w:val="003B60E3"/>
    <w:rsid w:val="003B6482"/>
    <w:rsid w:val="003B6682"/>
    <w:rsid w:val="003B700A"/>
    <w:rsid w:val="003B73D8"/>
    <w:rsid w:val="003B7457"/>
    <w:rsid w:val="003B7B6E"/>
    <w:rsid w:val="003B7DF9"/>
    <w:rsid w:val="003C0168"/>
    <w:rsid w:val="003C0909"/>
    <w:rsid w:val="003C0ACA"/>
    <w:rsid w:val="003C0B41"/>
    <w:rsid w:val="003C0BFB"/>
    <w:rsid w:val="003C0CAE"/>
    <w:rsid w:val="003C0CE8"/>
    <w:rsid w:val="003C10D0"/>
    <w:rsid w:val="003C1EA6"/>
    <w:rsid w:val="003C1EB1"/>
    <w:rsid w:val="003C2194"/>
    <w:rsid w:val="003C3089"/>
    <w:rsid w:val="003C31E0"/>
    <w:rsid w:val="003C32C5"/>
    <w:rsid w:val="003C3EA8"/>
    <w:rsid w:val="003C41C7"/>
    <w:rsid w:val="003C4229"/>
    <w:rsid w:val="003C4443"/>
    <w:rsid w:val="003C4D04"/>
    <w:rsid w:val="003C56C7"/>
    <w:rsid w:val="003C5A0A"/>
    <w:rsid w:val="003C655A"/>
    <w:rsid w:val="003C66E6"/>
    <w:rsid w:val="003C7848"/>
    <w:rsid w:val="003C7ACA"/>
    <w:rsid w:val="003C7D2F"/>
    <w:rsid w:val="003D0FCE"/>
    <w:rsid w:val="003D11E1"/>
    <w:rsid w:val="003D1AB1"/>
    <w:rsid w:val="003D2388"/>
    <w:rsid w:val="003D2795"/>
    <w:rsid w:val="003D2CE3"/>
    <w:rsid w:val="003D2F7A"/>
    <w:rsid w:val="003D34B8"/>
    <w:rsid w:val="003D37A4"/>
    <w:rsid w:val="003D3AEF"/>
    <w:rsid w:val="003D3AF9"/>
    <w:rsid w:val="003D40F1"/>
    <w:rsid w:val="003D4530"/>
    <w:rsid w:val="003D50E6"/>
    <w:rsid w:val="003D5210"/>
    <w:rsid w:val="003D5224"/>
    <w:rsid w:val="003D554E"/>
    <w:rsid w:val="003D5F1C"/>
    <w:rsid w:val="003D650A"/>
    <w:rsid w:val="003D66A0"/>
    <w:rsid w:val="003D6EE9"/>
    <w:rsid w:val="003D6F2E"/>
    <w:rsid w:val="003D72B1"/>
    <w:rsid w:val="003D7330"/>
    <w:rsid w:val="003D7C84"/>
    <w:rsid w:val="003E041C"/>
    <w:rsid w:val="003E0539"/>
    <w:rsid w:val="003E098C"/>
    <w:rsid w:val="003E0D24"/>
    <w:rsid w:val="003E1737"/>
    <w:rsid w:val="003E18D7"/>
    <w:rsid w:val="003E1C5A"/>
    <w:rsid w:val="003E1DB5"/>
    <w:rsid w:val="003E290C"/>
    <w:rsid w:val="003E29BF"/>
    <w:rsid w:val="003E39BD"/>
    <w:rsid w:val="003E39CB"/>
    <w:rsid w:val="003E3D2B"/>
    <w:rsid w:val="003E3E07"/>
    <w:rsid w:val="003E3F79"/>
    <w:rsid w:val="003E41FF"/>
    <w:rsid w:val="003E44BC"/>
    <w:rsid w:val="003E4B82"/>
    <w:rsid w:val="003E503F"/>
    <w:rsid w:val="003E5204"/>
    <w:rsid w:val="003E5D12"/>
    <w:rsid w:val="003E6597"/>
    <w:rsid w:val="003F022F"/>
    <w:rsid w:val="003F02A8"/>
    <w:rsid w:val="003F07EC"/>
    <w:rsid w:val="003F0A1E"/>
    <w:rsid w:val="003F0ECB"/>
    <w:rsid w:val="003F1038"/>
    <w:rsid w:val="003F1A0F"/>
    <w:rsid w:val="003F1D13"/>
    <w:rsid w:val="003F25A2"/>
    <w:rsid w:val="003F2614"/>
    <w:rsid w:val="003F2B19"/>
    <w:rsid w:val="003F392E"/>
    <w:rsid w:val="003F3A5A"/>
    <w:rsid w:val="003F3B25"/>
    <w:rsid w:val="003F3DC4"/>
    <w:rsid w:val="003F3EDB"/>
    <w:rsid w:val="003F484C"/>
    <w:rsid w:val="003F51AB"/>
    <w:rsid w:val="003F5219"/>
    <w:rsid w:val="003F58A7"/>
    <w:rsid w:val="003F6502"/>
    <w:rsid w:val="003F6F72"/>
    <w:rsid w:val="003F7321"/>
    <w:rsid w:val="003F736F"/>
    <w:rsid w:val="003F7908"/>
    <w:rsid w:val="003F7AC9"/>
    <w:rsid w:val="003F7CDF"/>
    <w:rsid w:val="0040019B"/>
    <w:rsid w:val="004003E6"/>
    <w:rsid w:val="0040139E"/>
    <w:rsid w:val="00402AE8"/>
    <w:rsid w:val="00402EA1"/>
    <w:rsid w:val="004032C8"/>
    <w:rsid w:val="004034BC"/>
    <w:rsid w:val="00403816"/>
    <w:rsid w:val="00403970"/>
    <w:rsid w:val="00403A82"/>
    <w:rsid w:val="00403E79"/>
    <w:rsid w:val="00403E7B"/>
    <w:rsid w:val="00403E7C"/>
    <w:rsid w:val="00404283"/>
    <w:rsid w:val="004042D3"/>
    <w:rsid w:val="00404418"/>
    <w:rsid w:val="00404447"/>
    <w:rsid w:val="00404BF7"/>
    <w:rsid w:val="00404DCA"/>
    <w:rsid w:val="00404F09"/>
    <w:rsid w:val="004054E4"/>
    <w:rsid w:val="00405D97"/>
    <w:rsid w:val="00405F88"/>
    <w:rsid w:val="00406887"/>
    <w:rsid w:val="0040695C"/>
    <w:rsid w:val="00406A40"/>
    <w:rsid w:val="00406E41"/>
    <w:rsid w:val="00406EA1"/>
    <w:rsid w:val="00407612"/>
    <w:rsid w:val="00410C1A"/>
    <w:rsid w:val="00410FD5"/>
    <w:rsid w:val="00411153"/>
    <w:rsid w:val="004119A4"/>
    <w:rsid w:val="00411CC5"/>
    <w:rsid w:val="00411D9B"/>
    <w:rsid w:val="004120FF"/>
    <w:rsid w:val="00412A89"/>
    <w:rsid w:val="00412CE0"/>
    <w:rsid w:val="00412F79"/>
    <w:rsid w:val="00413529"/>
    <w:rsid w:val="004136A9"/>
    <w:rsid w:val="0041378E"/>
    <w:rsid w:val="00414E84"/>
    <w:rsid w:val="00414ECD"/>
    <w:rsid w:val="00415590"/>
    <w:rsid w:val="0041566A"/>
    <w:rsid w:val="00415947"/>
    <w:rsid w:val="00415B35"/>
    <w:rsid w:val="00415E8A"/>
    <w:rsid w:val="00416281"/>
    <w:rsid w:val="004166A0"/>
    <w:rsid w:val="004173B1"/>
    <w:rsid w:val="004173CE"/>
    <w:rsid w:val="004176F4"/>
    <w:rsid w:val="0042039C"/>
    <w:rsid w:val="00421466"/>
    <w:rsid w:val="00421A42"/>
    <w:rsid w:val="00421EA2"/>
    <w:rsid w:val="0042261E"/>
    <w:rsid w:val="0042311F"/>
    <w:rsid w:val="0042317F"/>
    <w:rsid w:val="00423314"/>
    <w:rsid w:val="0042371D"/>
    <w:rsid w:val="0042374F"/>
    <w:rsid w:val="00423786"/>
    <w:rsid w:val="00424350"/>
    <w:rsid w:val="00424393"/>
    <w:rsid w:val="004243AE"/>
    <w:rsid w:val="004246B9"/>
    <w:rsid w:val="00424FD1"/>
    <w:rsid w:val="0042544F"/>
    <w:rsid w:val="00425844"/>
    <w:rsid w:val="004262A5"/>
    <w:rsid w:val="004262EF"/>
    <w:rsid w:val="004264C5"/>
    <w:rsid w:val="0042674B"/>
    <w:rsid w:val="00426790"/>
    <w:rsid w:val="00426AA4"/>
    <w:rsid w:val="00427013"/>
    <w:rsid w:val="0042782E"/>
    <w:rsid w:val="004301AF"/>
    <w:rsid w:val="00430955"/>
    <w:rsid w:val="004327B6"/>
    <w:rsid w:val="00432DB1"/>
    <w:rsid w:val="004336CA"/>
    <w:rsid w:val="00433754"/>
    <w:rsid w:val="00434EDF"/>
    <w:rsid w:val="0043531A"/>
    <w:rsid w:val="0043561A"/>
    <w:rsid w:val="004359AA"/>
    <w:rsid w:val="00435D70"/>
    <w:rsid w:val="00435EA0"/>
    <w:rsid w:val="00436069"/>
    <w:rsid w:val="0043644C"/>
    <w:rsid w:val="00436459"/>
    <w:rsid w:val="0043670E"/>
    <w:rsid w:val="00436805"/>
    <w:rsid w:val="00436959"/>
    <w:rsid w:val="00436A01"/>
    <w:rsid w:val="004374CC"/>
    <w:rsid w:val="00437609"/>
    <w:rsid w:val="0043764A"/>
    <w:rsid w:val="004376D8"/>
    <w:rsid w:val="00437BA8"/>
    <w:rsid w:val="00437EB4"/>
    <w:rsid w:val="0044050D"/>
    <w:rsid w:val="0044133B"/>
    <w:rsid w:val="0044156B"/>
    <w:rsid w:val="00441A47"/>
    <w:rsid w:val="0044271C"/>
    <w:rsid w:val="00442F31"/>
    <w:rsid w:val="0044322A"/>
    <w:rsid w:val="004433C8"/>
    <w:rsid w:val="004434E9"/>
    <w:rsid w:val="004439A4"/>
    <w:rsid w:val="00443B14"/>
    <w:rsid w:val="00443DF8"/>
    <w:rsid w:val="00443F27"/>
    <w:rsid w:val="00444013"/>
    <w:rsid w:val="004440E1"/>
    <w:rsid w:val="004443DD"/>
    <w:rsid w:val="004443E9"/>
    <w:rsid w:val="00444544"/>
    <w:rsid w:val="00444800"/>
    <w:rsid w:val="00444997"/>
    <w:rsid w:val="00444BCC"/>
    <w:rsid w:val="004450F6"/>
    <w:rsid w:val="004451D2"/>
    <w:rsid w:val="004455AF"/>
    <w:rsid w:val="0044608F"/>
    <w:rsid w:val="00446427"/>
    <w:rsid w:val="004465AA"/>
    <w:rsid w:val="00446788"/>
    <w:rsid w:val="00446A29"/>
    <w:rsid w:val="00446E18"/>
    <w:rsid w:val="00447EAA"/>
    <w:rsid w:val="0045018E"/>
    <w:rsid w:val="004502BA"/>
    <w:rsid w:val="004505A2"/>
    <w:rsid w:val="004509A2"/>
    <w:rsid w:val="00450AEB"/>
    <w:rsid w:val="00450BCC"/>
    <w:rsid w:val="0045105C"/>
    <w:rsid w:val="00451B72"/>
    <w:rsid w:val="00451BFF"/>
    <w:rsid w:val="00452365"/>
    <w:rsid w:val="004527B5"/>
    <w:rsid w:val="004529E0"/>
    <w:rsid w:val="00452A5B"/>
    <w:rsid w:val="00452E2A"/>
    <w:rsid w:val="0045306C"/>
    <w:rsid w:val="0045395F"/>
    <w:rsid w:val="004539FC"/>
    <w:rsid w:val="00453CFB"/>
    <w:rsid w:val="00454088"/>
    <w:rsid w:val="0045496C"/>
    <w:rsid w:val="00455124"/>
    <w:rsid w:val="0045526C"/>
    <w:rsid w:val="00455272"/>
    <w:rsid w:val="00455382"/>
    <w:rsid w:val="00455655"/>
    <w:rsid w:val="00455DF6"/>
    <w:rsid w:val="00455E7B"/>
    <w:rsid w:val="004562DC"/>
    <w:rsid w:val="00456526"/>
    <w:rsid w:val="004575BA"/>
    <w:rsid w:val="00460C4D"/>
    <w:rsid w:val="00460DD4"/>
    <w:rsid w:val="00461405"/>
    <w:rsid w:val="00461788"/>
    <w:rsid w:val="00461E32"/>
    <w:rsid w:val="00462823"/>
    <w:rsid w:val="00462C64"/>
    <w:rsid w:val="0046395C"/>
    <w:rsid w:val="00463ACB"/>
    <w:rsid w:val="00463BE2"/>
    <w:rsid w:val="0046434E"/>
    <w:rsid w:val="0046517F"/>
    <w:rsid w:val="00466102"/>
    <w:rsid w:val="00466299"/>
    <w:rsid w:val="004665B9"/>
    <w:rsid w:val="00466C1A"/>
    <w:rsid w:val="004670A1"/>
    <w:rsid w:val="004679C3"/>
    <w:rsid w:val="00467EC9"/>
    <w:rsid w:val="004701BF"/>
    <w:rsid w:val="004703D6"/>
    <w:rsid w:val="00470419"/>
    <w:rsid w:val="004707EC"/>
    <w:rsid w:val="00470F14"/>
    <w:rsid w:val="00470F81"/>
    <w:rsid w:val="0047148B"/>
    <w:rsid w:val="00471AE7"/>
    <w:rsid w:val="004724BF"/>
    <w:rsid w:val="00472F9F"/>
    <w:rsid w:val="00473767"/>
    <w:rsid w:val="00473789"/>
    <w:rsid w:val="00473C4A"/>
    <w:rsid w:val="00473C59"/>
    <w:rsid w:val="00474109"/>
    <w:rsid w:val="004750DB"/>
    <w:rsid w:val="004755E2"/>
    <w:rsid w:val="0047575E"/>
    <w:rsid w:val="00475EE1"/>
    <w:rsid w:val="00476215"/>
    <w:rsid w:val="004763A3"/>
    <w:rsid w:val="0047737E"/>
    <w:rsid w:val="0047749D"/>
    <w:rsid w:val="004776B7"/>
    <w:rsid w:val="0047794C"/>
    <w:rsid w:val="00477A16"/>
    <w:rsid w:val="00480C9F"/>
    <w:rsid w:val="00481843"/>
    <w:rsid w:val="00481B55"/>
    <w:rsid w:val="00481FE9"/>
    <w:rsid w:val="004826AE"/>
    <w:rsid w:val="00482812"/>
    <w:rsid w:val="00483444"/>
    <w:rsid w:val="00483451"/>
    <w:rsid w:val="00483721"/>
    <w:rsid w:val="0048377E"/>
    <w:rsid w:val="00484140"/>
    <w:rsid w:val="004842DD"/>
    <w:rsid w:val="0048487F"/>
    <w:rsid w:val="00484DD9"/>
    <w:rsid w:val="004853D8"/>
    <w:rsid w:val="00485721"/>
    <w:rsid w:val="00485D45"/>
    <w:rsid w:val="00485E23"/>
    <w:rsid w:val="00486152"/>
    <w:rsid w:val="004865C4"/>
    <w:rsid w:val="00486869"/>
    <w:rsid w:val="00486AD4"/>
    <w:rsid w:val="00486C19"/>
    <w:rsid w:val="00486C88"/>
    <w:rsid w:val="00487007"/>
    <w:rsid w:val="00490337"/>
    <w:rsid w:val="004903FB"/>
    <w:rsid w:val="0049044D"/>
    <w:rsid w:val="00491108"/>
    <w:rsid w:val="004913B7"/>
    <w:rsid w:val="004915F7"/>
    <w:rsid w:val="00492269"/>
    <w:rsid w:val="00492645"/>
    <w:rsid w:val="0049271C"/>
    <w:rsid w:val="00492D34"/>
    <w:rsid w:val="00492F5C"/>
    <w:rsid w:val="00493599"/>
    <w:rsid w:val="0049430E"/>
    <w:rsid w:val="004948DA"/>
    <w:rsid w:val="00494D51"/>
    <w:rsid w:val="00495B69"/>
    <w:rsid w:val="004963DB"/>
    <w:rsid w:val="00496AEB"/>
    <w:rsid w:val="00497717"/>
    <w:rsid w:val="00497E92"/>
    <w:rsid w:val="00497F9F"/>
    <w:rsid w:val="004A032B"/>
    <w:rsid w:val="004A118B"/>
    <w:rsid w:val="004A1272"/>
    <w:rsid w:val="004A15EB"/>
    <w:rsid w:val="004A1C5C"/>
    <w:rsid w:val="004A20AB"/>
    <w:rsid w:val="004A23B3"/>
    <w:rsid w:val="004A2909"/>
    <w:rsid w:val="004A2AFD"/>
    <w:rsid w:val="004A2BF8"/>
    <w:rsid w:val="004A336D"/>
    <w:rsid w:val="004A3920"/>
    <w:rsid w:val="004A3D9D"/>
    <w:rsid w:val="004A4182"/>
    <w:rsid w:val="004A522E"/>
    <w:rsid w:val="004A5729"/>
    <w:rsid w:val="004A5826"/>
    <w:rsid w:val="004A596F"/>
    <w:rsid w:val="004A5D62"/>
    <w:rsid w:val="004A5E99"/>
    <w:rsid w:val="004A6293"/>
    <w:rsid w:val="004A70A7"/>
    <w:rsid w:val="004A7A9B"/>
    <w:rsid w:val="004A7ABF"/>
    <w:rsid w:val="004A7AD0"/>
    <w:rsid w:val="004A7AEE"/>
    <w:rsid w:val="004A7FAA"/>
    <w:rsid w:val="004B03E4"/>
    <w:rsid w:val="004B09EC"/>
    <w:rsid w:val="004B1092"/>
    <w:rsid w:val="004B154B"/>
    <w:rsid w:val="004B1666"/>
    <w:rsid w:val="004B16A0"/>
    <w:rsid w:val="004B173E"/>
    <w:rsid w:val="004B1B8F"/>
    <w:rsid w:val="004B1BFE"/>
    <w:rsid w:val="004B1C76"/>
    <w:rsid w:val="004B21DE"/>
    <w:rsid w:val="004B2330"/>
    <w:rsid w:val="004B242B"/>
    <w:rsid w:val="004B2522"/>
    <w:rsid w:val="004B28F4"/>
    <w:rsid w:val="004B334B"/>
    <w:rsid w:val="004B4276"/>
    <w:rsid w:val="004B4732"/>
    <w:rsid w:val="004B4E24"/>
    <w:rsid w:val="004B54D3"/>
    <w:rsid w:val="004B5672"/>
    <w:rsid w:val="004B5E1C"/>
    <w:rsid w:val="004B606D"/>
    <w:rsid w:val="004B6496"/>
    <w:rsid w:val="004B6577"/>
    <w:rsid w:val="004B6E4E"/>
    <w:rsid w:val="004B7466"/>
    <w:rsid w:val="004B7885"/>
    <w:rsid w:val="004B794A"/>
    <w:rsid w:val="004C0F6E"/>
    <w:rsid w:val="004C117A"/>
    <w:rsid w:val="004C13F5"/>
    <w:rsid w:val="004C188A"/>
    <w:rsid w:val="004C246A"/>
    <w:rsid w:val="004C24CC"/>
    <w:rsid w:val="004C2623"/>
    <w:rsid w:val="004C2848"/>
    <w:rsid w:val="004C2F98"/>
    <w:rsid w:val="004C306B"/>
    <w:rsid w:val="004C3287"/>
    <w:rsid w:val="004C32C2"/>
    <w:rsid w:val="004C354D"/>
    <w:rsid w:val="004C3660"/>
    <w:rsid w:val="004C3680"/>
    <w:rsid w:val="004C375C"/>
    <w:rsid w:val="004C3832"/>
    <w:rsid w:val="004C39A2"/>
    <w:rsid w:val="004C4219"/>
    <w:rsid w:val="004C4564"/>
    <w:rsid w:val="004C45E2"/>
    <w:rsid w:val="004C4B17"/>
    <w:rsid w:val="004C5085"/>
    <w:rsid w:val="004C537C"/>
    <w:rsid w:val="004C6F4C"/>
    <w:rsid w:val="004C73BC"/>
    <w:rsid w:val="004C74F8"/>
    <w:rsid w:val="004C77AF"/>
    <w:rsid w:val="004C790B"/>
    <w:rsid w:val="004C79BF"/>
    <w:rsid w:val="004D0135"/>
    <w:rsid w:val="004D0948"/>
    <w:rsid w:val="004D0994"/>
    <w:rsid w:val="004D09F8"/>
    <w:rsid w:val="004D0A22"/>
    <w:rsid w:val="004D0A4E"/>
    <w:rsid w:val="004D0E7E"/>
    <w:rsid w:val="004D11E1"/>
    <w:rsid w:val="004D190E"/>
    <w:rsid w:val="004D19D6"/>
    <w:rsid w:val="004D1F6B"/>
    <w:rsid w:val="004D221A"/>
    <w:rsid w:val="004D2260"/>
    <w:rsid w:val="004D25A6"/>
    <w:rsid w:val="004D2F6B"/>
    <w:rsid w:val="004D3A4D"/>
    <w:rsid w:val="004D42CE"/>
    <w:rsid w:val="004D4A04"/>
    <w:rsid w:val="004D4BE7"/>
    <w:rsid w:val="004D4C48"/>
    <w:rsid w:val="004D51D3"/>
    <w:rsid w:val="004D5A3B"/>
    <w:rsid w:val="004D5BE7"/>
    <w:rsid w:val="004D5D2D"/>
    <w:rsid w:val="004D6A21"/>
    <w:rsid w:val="004D707E"/>
    <w:rsid w:val="004D76D2"/>
    <w:rsid w:val="004D7BFD"/>
    <w:rsid w:val="004D7F30"/>
    <w:rsid w:val="004E014F"/>
    <w:rsid w:val="004E0B12"/>
    <w:rsid w:val="004E0D33"/>
    <w:rsid w:val="004E12D7"/>
    <w:rsid w:val="004E1827"/>
    <w:rsid w:val="004E2089"/>
    <w:rsid w:val="004E20B5"/>
    <w:rsid w:val="004E2B7A"/>
    <w:rsid w:val="004E2C2C"/>
    <w:rsid w:val="004E2EAA"/>
    <w:rsid w:val="004E2EED"/>
    <w:rsid w:val="004E3F4B"/>
    <w:rsid w:val="004E43BE"/>
    <w:rsid w:val="004E53E9"/>
    <w:rsid w:val="004E5CAB"/>
    <w:rsid w:val="004E5FD8"/>
    <w:rsid w:val="004E63D4"/>
    <w:rsid w:val="004E6524"/>
    <w:rsid w:val="004E65FF"/>
    <w:rsid w:val="004E6808"/>
    <w:rsid w:val="004E690A"/>
    <w:rsid w:val="004E6955"/>
    <w:rsid w:val="004E7266"/>
    <w:rsid w:val="004E7292"/>
    <w:rsid w:val="004E78AE"/>
    <w:rsid w:val="004F0790"/>
    <w:rsid w:val="004F0995"/>
    <w:rsid w:val="004F0BE7"/>
    <w:rsid w:val="004F0E77"/>
    <w:rsid w:val="004F1265"/>
    <w:rsid w:val="004F1515"/>
    <w:rsid w:val="004F154B"/>
    <w:rsid w:val="004F1613"/>
    <w:rsid w:val="004F1932"/>
    <w:rsid w:val="004F1F18"/>
    <w:rsid w:val="004F282D"/>
    <w:rsid w:val="004F2A0E"/>
    <w:rsid w:val="004F2B75"/>
    <w:rsid w:val="004F2DB0"/>
    <w:rsid w:val="004F2EDE"/>
    <w:rsid w:val="004F2F62"/>
    <w:rsid w:val="004F338C"/>
    <w:rsid w:val="004F386D"/>
    <w:rsid w:val="004F38FB"/>
    <w:rsid w:val="004F4180"/>
    <w:rsid w:val="004F4952"/>
    <w:rsid w:val="004F4B58"/>
    <w:rsid w:val="004F4C8D"/>
    <w:rsid w:val="004F556E"/>
    <w:rsid w:val="004F719B"/>
    <w:rsid w:val="004F7604"/>
    <w:rsid w:val="005000C7"/>
    <w:rsid w:val="00500776"/>
    <w:rsid w:val="00500A98"/>
    <w:rsid w:val="00501A8F"/>
    <w:rsid w:val="00501BBE"/>
    <w:rsid w:val="00501D97"/>
    <w:rsid w:val="00501F6F"/>
    <w:rsid w:val="00502490"/>
    <w:rsid w:val="00502686"/>
    <w:rsid w:val="00502930"/>
    <w:rsid w:val="00502E09"/>
    <w:rsid w:val="0050347B"/>
    <w:rsid w:val="00503562"/>
    <w:rsid w:val="00503C33"/>
    <w:rsid w:val="00503F2B"/>
    <w:rsid w:val="00504AA5"/>
    <w:rsid w:val="00504BBE"/>
    <w:rsid w:val="00504CF7"/>
    <w:rsid w:val="0050508A"/>
    <w:rsid w:val="005051D6"/>
    <w:rsid w:val="00505C34"/>
    <w:rsid w:val="00506651"/>
    <w:rsid w:val="0050679D"/>
    <w:rsid w:val="005069E6"/>
    <w:rsid w:val="00506F8A"/>
    <w:rsid w:val="0050716A"/>
    <w:rsid w:val="005071F0"/>
    <w:rsid w:val="00507CF5"/>
    <w:rsid w:val="00507E62"/>
    <w:rsid w:val="00510638"/>
    <w:rsid w:val="00510916"/>
    <w:rsid w:val="00510CB8"/>
    <w:rsid w:val="0051133A"/>
    <w:rsid w:val="005118D5"/>
    <w:rsid w:val="005120D7"/>
    <w:rsid w:val="00512334"/>
    <w:rsid w:val="0051257F"/>
    <w:rsid w:val="0051276D"/>
    <w:rsid w:val="0051298D"/>
    <w:rsid w:val="00513212"/>
    <w:rsid w:val="005133C6"/>
    <w:rsid w:val="005136C5"/>
    <w:rsid w:val="00513DC0"/>
    <w:rsid w:val="0051404E"/>
    <w:rsid w:val="005143C5"/>
    <w:rsid w:val="005145E8"/>
    <w:rsid w:val="00514799"/>
    <w:rsid w:val="005147C0"/>
    <w:rsid w:val="00514D8E"/>
    <w:rsid w:val="00515E91"/>
    <w:rsid w:val="00515F6C"/>
    <w:rsid w:val="00516EA8"/>
    <w:rsid w:val="00517918"/>
    <w:rsid w:val="005205BE"/>
    <w:rsid w:val="00520AC6"/>
    <w:rsid w:val="00520EC8"/>
    <w:rsid w:val="0052126B"/>
    <w:rsid w:val="00521464"/>
    <w:rsid w:val="00521A1D"/>
    <w:rsid w:val="005225B2"/>
    <w:rsid w:val="0052263C"/>
    <w:rsid w:val="00522F29"/>
    <w:rsid w:val="00522F4F"/>
    <w:rsid w:val="0052327F"/>
    <w:rsid w:val="0052388A"/>
    <w:rsid w:val="00523A14"/>
    <w:rsid w:val="00523BB6"/>
    <w:rsid w:val="00523E78"/>
    <w:rsid w:val="0052439D"/>
    <w:rsid w:val="00524B23"/>
    <w:rsid w:val="0052546C"/>
    <w:rsid w:val="005258AC"/>
    <w:rsid w:val="00525C0C"/>
    <w:rsid w:val="00525CEF"/>
    <w:rsid w:val="00525DB1"/>
    <w:rsid w:val="0052655A"/>
    <w:rsid w:val="00526691"/>
    <w:rsid w:val="005269C6"/>
    <w:rsid w:val="0052786B"/>
    <w:rsid w:val="00527E4B"/>
    <w:rsid w:val="00530438"/>
    <w:rsid w:val="005304DD"/>
    <w:rsid w:val="00530B31"/>
    <w:rsid w:val="00531D81"/>
    <w:rsid w:val="00531DC4"/>
    <w:rsid w:val="00531F6C"/>
    <w:rsid w:val="00532510"/>
    <w:rsid w:val="00532B3E"/>
    <w:rsid w:val="0053321F"/>
    <w:rsid w:val="00533259"/>
    <w:rsid w:val="005337D0"/>
    <w:rsid w:val="00533B0C"/>
    <w:rsid w:val="0053574D"/>
    <w:rsid w:val="00535BAF"/>
    <w:rsid w:val="00535D1B"/>
    <w:rsid w:val="00535D5D"/>
    <w:rsid w:val="00535EAE"/>
    <w:rsid w:val="0053605D"/>
    <w:rsid w:val="005362F2"/>
    <w:rsid w:val="00536AFD"/>
    <w:rsid w:val="00536DEE"/>
    <w:rsid w:val="00536EC6"/>
    <w:rsid w:val="00537205"/>
    <w:rsid w:val="00537A7F"/>
    <w:rsid w:val="00537B26"/>
    <w:rsid w:val="00540108"/>
    <w:rsid w:val="00540247"/>
    <w:rsid w:val="005405A9"/>
    <w:rsid w:val="005408CC"/>
    <w:rsid w:val="00541438"/>
    <w:rsid w:val="00541498"/>
    <w:rsid w:val="00541638"/>
    <w:rsid w:val="0054166C"/>
    <w:rsid w:val="00541825"/>
    <w:rsid w:val="0054190E"/>
    <w:rsid w:val="005420B7"/>
    <w:rsid w:val="005420F7"/>
    <w:rsid w:val="00542B62"/>
    <w:rsid w:val="00542D14"/>
    <w:rsid w:val="005434D9"/>
    <w:rsid w:val="00543A24"/>
    <w:rsid w:val="0054439B"/>
    <w:rsid w:val="00544993"/>
    <w:rsid w:val="005449B5"/>
    <w:rsid w:val="00544B02"/>
    <w:rsid w:val="0054513C"/>
    <w:rsid w:val="005456C9"/>
    <w:rsid w:val="005461D6"/>
    <w:rsid w:val="005466EE"/>
    <w:rsid w:val="00546EC4"/>
    <w:rsid w:val="00547567"/>
    <w:rsid w:val="00547D7A"/>
    <w:rsid w:val="0055078B"/>
    <w:rsid w:val="00550D5A"/>
    <w:rsid w:val="00550D91"/>
    <w:rsid w:val="00552505"/>
    <w:rsid w:val="005527B4"/>
    <w:rsid w:val="005527D7"/>
    <w:rsid w:val="00552CDE"/>
    <w:rsid w:val="00552DC3"/>
    <w:rsid w:val="00552E24"/>
    <w:rsid w:val="00553235"/>
    <w:rsid w:val="005558B6"/>
    <w:rsid w:val="00555997"/>
    <w:rsid w:val="00555BFE"/>
    <w:rsid w:val="005561D4"/>
    <w:rsid w:val="00556371"/>
    <w:rsid w:val="005563E0"/>
    <w:rsid w:val="005568F6"/>
    <w:rsid w:val="00556B0C"/>
    <w:rsid w:val="00557985"/>
    <w:rsid w:val="00557D57"/>
    <w:rsid w:val="00557D8A"/>
    <w:rsid w:val="00560039"/>
    <w:rsid w:val="0056012E"/>
    <w:rsid w:val="0056016D"/>
    <w:rsid w:val="00560462"/>
    <w:rsid w:val="005607F2"/>
    <w:rsid w:val="00560E6E"/>
    <w:rsid w:val="00560FA0"/>
    <w:rsid w:val="0056136E"/>
    <w:rsid w:val="00561BC4"/>
    <w:rsid w:val="0056237F"/>
    <w:rsid w:val="0056329C"/>
    <w:rsid w:val="00563828"/>
    <w:rsid w:val="00563E3E"/>
    <w:rsid w:val="0056415C"/>
    <w:rsid w:val="0056423A"/>
    <w:rsid w:val="00564C52"/>
    <w:rsid w:val="00564F1E"/>
    <w:rsid w:val="005654B4"/>
    <w:rsid w:val="005659C9"/>
    <w:rsid w:val="00565DCE"/>
    <w:rsid w:val="005662B3"/>
    <w:rsid w:val="00566BC7"/>
    <w:rsid w:val="00567153"/>
    <w:rsid w:val="00567305"/>
    <w:rsid w:val="00567B70"/>
    <w:rsid w:val="005700F3"/>
    <w:rsid w:val="0057020A"/>
    <w:rsid w:val="00571760"/>
    <w:rsid w:val="00571E70"/>
    <w:rsid w:val="00573B2A"/>
    <w:rsid w:val="00574699"/>
    <w:rsid w:val="00574ADA"/>
    <w:rsid w:val="00574B6A"/>
    <w:rsid w:val="00575273"/>
    <w:rsid w:val="00575E63"/>
    <w:rsid w:val="00575F49"/>
    <w:rsid w:val="00575F91"/>
    <w:rsid w:val="00576328"/>
    <w:rsid w:val="005765F0"/>
    <w:rsid w:val="005767C9"/>
    <w:rsid w:val="0057683B"/>
    <w:rsid w:val="00576AD1"/>
    <w:rsid w:val="00577160"/>
    <w:rsid w:val="00577D5F"/>
    <w:rsid w:val="0058083A"/>
    <w:rsid w:val="00581648"/>
    <w:rsid w:val="005823E0"/>
    <w:rsid w:val="005838A4"/>
    <w:rsid w:val="00583E12"/>
    <w:rsid w:val="00583FE2"/>
    <w:rsid w:val="005844E8"/>
    <w:rsid w:val="005848A0"/>
    <w:rsid w:val="005856DB"/>
    <w:rsid w:val="00586237"/>
    <w:rsid w:val="00586B87"/>
    <w:rsid w:val="00586DAD"/>
    <w:rsid w:val="00586DF0"/>
    <w:rsid w:val="00586FB6"/>
    <w:rsid w:val="0058708D"/>
    <w:rsid w:val="00587564"/>
    <w:rsid w:val="0058773B"/>
    <w:rsid w:val="00587A07"/>
    <w:rsid w:val="00587E92"/>
    <w:rsid w:val="00590425"/>
    <w:rsid w:val="00590BB4"/>
    <w:rsid w:val="00590C93"/>
    <w:rsid w:val="00590D6A"/>
    <w:rsid w:val="00591623"/>
    <w:rsid w:val="00591AEA"/>
    <w:rsid w:val="00592550"/>
    <w:rsid w:val="00592642"/>
    <w:rsid w:val="005927E3"/>
    <w:rsid w:val="00592ABA"/>
    <w:rsid w:val="00592FB8"/>
    <w:rsid w:val="005932CB"/>
    <w:rsid w:val="00594AF4"/>
    <w:rsid w:val="00594CE5"/>
    <w:rsid w:val="0059533A"/>
    <w:rsid w:val="005965F0"/>
    <w:rsid w:val="00596775"/>
    <w:rsid w:val="005975D7"/>
    <w:rsid w:val="005977F0"/>
    <w:rsid w:val="00597E29"/>
    <w:rsid w:val="005A04DC"/>
    <w:rsid w:val="005A0918"/>
    <w:rsid w:val="005A1F04"/>
    <w:rsid w:val="005A25FC"/>
    <w:rsid w:val="005A27D5"/>
    <w:rsid w:val="005A2980"/>
    <w:rsid w:val="005A2B25"/>
    <w:rsid w:val="005A355C"/>
    <w:rsid w:val="005A38D9"/>
    <w:rsid w:val="005A3DDF"/>
    <w:rsid w:val="005A4B8A"/>
    <w:rsid w:val="005A4DDF"/>
    <w:rsid w:val="005A4F5D"/>
    <w:rsid w:val="005A5F94"/>
    <w:rsid w:val="005A6057"/>
    <w:rsid w:val="005A7F5C"/>
    <w:rsid w:val="005B0624"/>
    <w:rsid w:val="005B08ED"/>
    <w:rsid w:val="005B0C77"/>
    <w:rsid w:val="005B0E50"/>
    <w:rsid w:val="005B167E"/>
    <w:rsid w:val="005B1748"/>
    <w:rsid w:val="005B20C5"/>
    <w:rsid w:val="005B23C7"/>
    <w:rsid w:val="005B2414"/>
    <w:rsid w:val="005B24CC"/>
    <w:rsid w:val="005B27C4"/>
    <w:rsid w:val="005B2C0F"/>
    <w:rsid w:val="005B345A"/>
    <w:rsid w:val="005B3ED9"/>
    <w:rsid w:val="005B3F73"/>
    <w:rsid w:val="005B4786"/>
    <w:rsid w:val="005B4E0D"/>
    <w:rsid w:val="005B540E"/>
    <w:rsid w:val="005B5432"/>
    <w:rsid w:val="005B56CB"/>
    <w:rsid w:val="005B59A4"/>
    <w:rsid w:val="005B6231"/>
    <w:rsid w:val="005B6462"/>
    <w:rsid w:val="005B6C19"/>
    <w:rsid w:val="005B6C5E"/>
    <w:rsid w:val="005B6D40"/>
    <w:rsid w:val="005B73EF"/>
    <w:rsid w:val="005B76B3"/>
    <w:rsid w:val="005B7A52"/>
    <w:rsid w:val="005B7EC6"/>
    <w:rsid w:val="005C0331"/>
    <w:rsid w:val="005C076A"/>
    <w:rsid w:val="005C0ECA"/>
    <w:rsid w:val="005C0EE1"/>
    <w:rsid w:val="005C12AA"/>
    <w:rsid w:val="005C13A9"/>
    <w:rsid w:val="005C18FD"/>
    <w:rsid w:val="005C197B"/>
    <w:rsid w:val="005C21F8"/>
    <w:rsid w:val="005C2DAF"/>
    <w:rsid w:val="005C3871"/>
    <w:rsid w:val="005C3C39"/>
    <w:rsid w:val="005C3DF0"/>
    <w:rsid w:val="005C4045"/>
    <w:rsid w:val="005C4291"/>
    <w:rsid w:val="005C4303"/>
    <w:rsid w:val="005C45D9"/>
    <w:rsid w:val="005C4E45"/>
    <w:rsid w:val="005C55BD"/>
    <w:rsid w:val="005C59C5"/>
    <w:rsid w:val="005C5B90"/>
    <w:rsid w:val="005C6279"/>
    <w:rsid w:val="005C6ED8"/>
    <w:rsid w:val="005C7540"/>
    <w:rsid w:val="005C772B"/>
    <w:rsid w:val="005C7BE7"/>
    <w:rsid w:val="005D00F7"/>
    <w:rsid w:val="005D0A0F"/>
    <w:rsid w:val="005D0AF2"/>
    <w:rsid w:val="005D1601"/>
    <w:rsid w:val="005D1D02"/>
    <w:rsid w:val="005D215E"/>
    <w:rsid w:val="005D2792"/>
    <w:rsid w:val="005D2996"/>
    <w:rsid w:val="005D2ADA"/>
    <w:rsid w:val="005D2DB9"/>
    <w:rsid w:val="005D2E8C"/>
    <w:rsid w:val="005D4491"/>
    <w:rsid w:val="005D4635"/>
    <w:rsid w:val="005D4689"/>
    <w:rsid w:val="005D46C6"/>
    <w:rsid w:val="005D501F"/>
    <w:rsid w:val="005D50DF"/>
    <w:rsid w:val="005D599F"/>
    <w:rsid w:val="005D59F3"/>
    <w:rsid w:val="005D5C65"/>
    <w:rsid w:val="005D620B"/>
    <w:rsid w:val="005D62A0"/>
    <w:rsid w:val="005D69BD"/>
    <w:rsid w:val="005D6F57"/>
    <w:rsid w:val="005D7F11"/>
    <w:rsid w:val="005E050E"/>
    <w:rsid w:val="005E0A01"/>
    <w:rsid w:val="005E1209"/>
    <w:rsid w:val="005E13DA"/>
    <w:rsid w:val="005E175A"/>
    <w:rsid w:val="005E1A92"/>
    <w:rsid w:val="005E2A65"/>
    <w:rsid w:val="005E2E46"/>
    <w:rsid w:val="005E31AD"/>
    <w:rsid w:val="005E4442"/>
    <w:rsid w:val="005E510A"/>
    <w:rsid w:val="005E569F"/>
    <w:rsid w:val="005E56CC"/>
    <w:rsid w:val="005E59A4"/>
    <w:rsid w:val="005E5EBD"/>
    <w:rsid w:val="005E60F5"/>
    <w:rsid w:val="005E61B2"/>
    <w:rsid w:val="005E64D7"/>
    <w:rsid w:val="005E6AD2"/>
    <w:rsid w:val="005E6C74"/>
    <w:rsid w:val="005E7E26"/>
    <w:rsid w:val="005E7F80"/>
    <w:rsid w:val="005F0049"/>
    <w:rsid w:val="005F014D"/>
    <w:rsid w:val="005F0583"/>
    <w:rsid w:val="005F06C3"/>
    <w:rsid w:val="005F074C"/>
    <w:rsid w:val="005F0BB4"/>
    <w:rsid w:val="005F0D5B"/>
    <w:rsid w:val="005F0EFF"/>
    <w:rsid w:val="005F10C2"/>
    <w:rsid w:val="005F138D"/>
    <w:rsid w:val="005F1A38"/>
    <w:rsid w:val="005F2085"/>
    <w:rsid w:val="005F30AD"/>
    <w:rsid w:val="005F3949"/>
    <w:rsid w:val="005F3F86"/>
    <w:rsid w:val="005F3F92"/>
    <w:rsid w:val="005F4FB0"/>
    <w:rsid w:val="005F511F"/>
    <w:rsid w:val="005F5973"/>
    <w:rsid w:val="005F5A11"/>
    <w:rsid w:val="005F5CCB"/>
    <w:rsid w:val="005F5FF8"/>
    <w:rsid w:val="005F6638"/>
    <w:rsid w:val="005F6C3E"/>
    <w:rsid w:val="005F6CF5"/>
    <w:rsid w:val="005F6E67"/>
    <w:rsid w:val="005F6E8D"/>
    <w:rsid w:val="005F6F16"/>
    <w:rsid w:val="005F74DF"/>
    <w:rsid w:val="005F7B7E"/>
    <w:rsid w:val="005F7C4F"/>
    <w:rsid w:val="005F7CE8"/>
    <w:rsid w:val="00600088"/>
    <w:rsid w:val="00600917"/>
    <w:rsid w:val="006009DC"/>
    <w:rsid w:val="00600C31"/>
    <w:rsid w:val="00601BB6"/>
    <w:rsid w:val="00601DC6"/>
    <w:rsid w:val="00601DD4"/>
    <w:rsid w:val="00602898"/>
    <w:rsid w:val="00602B9F"/>
    <w:rsid w:val="00602BBA"/>
    <w:rsid w:val="00602E1A"/>
    <w:rsid w:val="006035E4"/>
    <w:rsid w:val="006049EC"/>
    <w:rsid w:val="00604A61"/>
    <w:rsid w:val="00605257"/>
    <w:rsid w:val="00605FB4"/>
    <w:rsid w:val="00606D8C"/>
    <w:rsid w:val="006073A9"/>
    <w:rsid w:val="00607546"/>
    <w:rsid w:val="00607555"/>
    <w:rsid w:val="00607E10"/>
    <w:rsid w:val="00610E77"/>
    <w:rsid w:val="006110C0"/>
    <w:rsid w:val="0061175C"/>
    <w:rsid w:val="00611D53"/>
    <w:rsid w:val="0061261F"/>
    <w:rsid w:val="006131AE"/>
    <w:rsid w:val="00613281"/>
    <w:rsid w:val="006138BF"/>
    <w:rsid w:val="0061438B"/>
    <w:rsid w:val="006143DC"/>
    <w:rsid w:val="0061501D"/>
    <w:rsid w:val="006158BB"/>
    <w:rsid w:val="0061592F"/>
    <w:rsid w:val="00615B1A"/>
    <w:rsid w:val="00615D61"/>
    <w:rsid w:val="00616654"/>
    <w:rsid w:val="00616702"/>
    <w:rsid w:val="00616CA3"/>
    <w:rsid w:val="00617248"/>
    <w:rsid w:val="006178BB"/>
    <w:rsid w:val="00617AA9"/>
    <w:rsid w:val="00617B5E"/>
    <w:rsid w:val="0062037F"/>
    <w:rsid w:val="00620579"/>
    <w:rsid w:val="006207FF"/>
    <w:rsid w:val="00620A19"/>
    <w:rsid w:val="00620C1F"/>
    <w:rsid w:val="00621451"/>
    <w:rsid w:val="00621CA3"/>
    <w:rsid w:val="00622051"/>
    <w:rsid w:val="006224A8"/>
    <w:rsid w:val="00622714"/>
    <w:rsid w:val="00623087"/>
    <w:rsid w:val="00623BE5"/>
    <w:rsid w:val="00623CBF"/>
    <w:rsid w:val="0062504F"/>
    <w:rsid w:val="006253C4"/>
    <w:rsid w:val="00625EAC"/>
    <w:rsid w:val="00626676"/>
    <w:rsid w:val="00626CAA"/>
    <w:rsid w:val="0062710F"/>
    <w:rsid w:val="00627C4F"/>
    <w:rsid w:val="00627EFB"/>
    <w:rsid w:val="0063024E"/>
    <w:rsid w:val="006306A1"/>
    <w:rsid w:val="0063075E"/>
    <w:rsid w:val="0063080C"/>
    <w:rsid w:val="00630817"/>
    <w:rsid w:val="0063099C"/>
    <w:rsid w:val="00630A44"/>
    <w:rsid w:val="00630AE8"/>
    <w:rsid w:val="0063118F"/>
    <w:rsid w:val="00631238"/>
    <w:rsid w:val="0063125B"/>
    <w:rsid w:val="0063159D"/>
    <w:rsid w:val="00631A47"/>
    <w:rsid w:val="00632179"/>
    <w:rsid w:val="006328EE"/>
    <w:rsid w:val="006329E7"/>
    <w:rsid w:val="00632FBD"/>
    <w:rsid w:val="00633537"/>
    <w:rsid w:val="00633977"/>
    <w:rsid w:val="00634538"/>
    <w:rsid w:val="00634942"/>
    <w:rsid w:val="00634B2B"/>
    <w:rsid w:val="00635055"/>
    <w:rsid w:val="006358DB"/>
    <w:rsid w:val="00635936"/>
    <w:rsid w:val="00635A9E"/>
    <w:rsid w:val="00635FBD"/>
    <w:rsid w:val="00636950"/>
    <w:rsid w:val="00636E8B"/>
    <w:rsid w:val="0063725A"/>
    <w:rsid w:val="006373A9"/>
    <w:rsid w:val="00637512"/>
    <w:rsid w:val="0063765E"/>
    <w:rsid w:val="00637734"/>
    <w:rsid w:val="00637FE0"/>
    <w:rsid w:val="006401F2"/>
    <w:rsid w:val="00640433"/>
    <w:rsid w:val="00640C46"/>
    <w:rsid w:val="00640D9B"/>
    <w:rsid w:val="00640F5F"/>
    <w:rsid w:val="00642E56"/>
    <w:rsid w:val="00642EE9"/>
    <w:rsid w:val="0064313F"/>
    <w:rsid w:val="0064344B"/>
    <w:rsid w:val="0064347A"/>
    <w:rsid w:val="006435ED"/>
    <w:rsid w:val="0064398E"/>
    <w:rsid w:val="00644166"/>
    <w:rsid w:val="006442A1"/>
    <w:rsid w:val="006443A4"/>
    <w:rsid w:val="00644437"/>
    <w:rsid w:val="00645610"/>
    <w:rsid w:val="00645799"/>
    <w:rsid w:val="00645849"/>
    <w:rsid w:val="00645943"/>
    <w:rsid w:val="0064601B"/>
    <w:rsid w:val="006464A8"/>
    <w:rsid w:val="006465A5"/>
    <w:rsid w:val="00646730"/>
    <w:rsid w:val="006468BF"/>
    <w:rsid w:val="006469BC"/>
    <w:rsid w:val="00647197"/>
    <w:rsid w:val="00647CBE"/>
    <w:rsid w:val="00650637"/>
    <w:rsid w:val="00650781"/>
    <w:rsid w:val="00650D36"/>
    <w:rsid w:val="006513C7"/>
    <w:rsid w:val="0065158D"/>
    <w:rsid w:val="00651760"/>
    <w:rsid w:val="006517CC"/>
    <w:rsid w:val="00652202"/>
    <w:rsid w:val="0065241A"/>
    <w:rsid w:val="00653199"/>
    <w:rsid w:val="006532C5"/>
    <w:rsid w:val="00653369"/>
    <w:rsid w:val="0065360C"/>
    <w:rsid w:val="00653A23"/>
    <w:rsid w:val="006552DE"/>
    <w:rsid w:val="0065577E"/>
    <w:rsid w:val="0065615F"/>
    <w:rsid w:val="0065629A"/>
    <w:rsid w:val="0065634A"/>
    <w:rsid w:val="00656680"/>
    <w:rsid w:val="00656C16"/>
    <w:rsid w:val="00656C6B"/>
    <w:rsid w:val="00656D35"/>
    <w:rsid w:val="00656DD7"/>
    <w:rsid w:val="00656E01"/>
    <w:rsid w:val="00657097"/>
    <w:rsid w:val="00657101"/>
    <w:rsid w:val="0065730A"/>
    <w:rsid w:val="00657EA3"/>
    <w:rsid w:val="006606B7"/>
    <w:rsid w:val="00660F7B"/>
    <w:rsid w:val="006613E1"/>
    <w:rsid w:val="006616C1"/>
    <w:rsid w:val="00662CD1"/>
    <w:rsid w:val="00662D22"/>
    <w:rsid w:val="00662D59"/>
    <w:rsid w:val="00662F75"/>
    <w:rsid w:val="006632CA"/>
    <w:rsid w:val="006634B7"/>
    <w:rsid w:val="0066390A"/>
    <w:rsid w:val="00663B80"/>
    <w:rsid w:val="00664344"/>
    <w:rsid w:val="00664607"/>
    <w:rsid w:val="00664805"/>
    <w:rsid w:val="00664DEC"/>
    <w:rsid w:val="006652B8"/>
    <w:rsid w:val="0066544C"/>
    <w:rsid w:val="00665678"/>
    <w:rsid w:val="006660D8"/>
    <w:rsid w:val="006660F9"/>
    <w:rsid w:val="00666498"/>
    <w:rsid w:val="00666643"/>
    <w:rsid w:val="0066667B"/>
    <w:rsid w:val="00666F82"/>
    <w:rsid w:val="006674C9"/>
    <w:rsid w:val="006677CE"/>
    <w:rsid w:val="00667D3D"/>
    <w:rsid w:val="0067004F"/>
    <w:rsid w:val="006703FF"/>
    <w:rsid w:val="00670975"/>
    <w:rsid w:val="006709E2"/>
    <w:rsid w:val="00670D57"/>
    <w:rsid w:val="00671053"/>
    <w:rsid w:val="006711A7"/>
    <w:rsid w:val="00671246"/>
    <w:rsid w:val="006714EE"/>
    <w:rsid w:val="00671A33"/>
    <w:rsid w:val="00671CA3"/>
    <w:rsid w:val="00671DF9"/>
    <w:rsid w:val="00672534"/>
    <w:rsid w:val="00672740"/>
    <w:rsid w:val="006727AC"/>
    <w:rsid w:val="0067295A"/>
    <w:rsid w:val="00672ABA"/>
    <w:rsid w:val="00672D59"/>
    <w:rsid w:val="00673339"/>
    <w:rsid w:val="00673EA8"/>
    <w:rsid w:val="0067418B"/>
    <w:rsid w:val="006741B9"/>
    <w:rsid w:val="006756C2"/>
    <w:rsid w:val="006758FA"/>
    <w:rsid w:val="00675FBC"/>
    <w:rsid w:val="00676062"/>
    <w:rsid w:val="00676486"/>
    <w:rsid w:val="00676533"/>
    <w:rsid w:val="006767B9"/>
    <w:rsid w:val="0067697B"/>
    <w:rsid w:val="00676A98"/>
    <w:rsid w:val="00676CBB"/>
    <w:rsid w:val="006770B2"/>
    <w:rsid w:val="00677134"/>
    <w:rsid w:val="00677B24"/>
    <w:rsid w:val="006803C2"/>
    <w:rsid w:val="006804D2"/>
    <w:rsid w:val="00680731"/>
    <w:rsid w:val="00680AB7"/>
    <w:rsid w:val="006817B8"/>
    <w:rsid w:val="00681EB2"/>
    <w:rsid w:val="006825F1"/>
    <w:rsid w:val="0068272F"/>
    <w:rsid w:val="0068308B"/>
    <w:rsid w:val="00683573"/>
    <w:rsid w:val="00683A2D"/>
    <w:rsid w:val="00684201"/>
    <w:rsid w:val="006842AE"/>
    <w:rsid w:val="006844D2"/>
    <w:rsid w:val="00684652"/>
    <w:rsid w:val="0068465B"/>
    <w:rsid w:val="006855B1"/>
    <w:rsid w:val="0068608B"/>
    <w:rsid w:val="00686F7B"/>
    <w:rsid w:val="00687BD8"/>
    <w:rsid w:val="00687E27"/>
    <w:rsid w:val="00690E84"/>
    <w:rsid w:val="00691425"/>
    <w:rsid w:val="00691C3A"/>
    <w:rsid w:val="00691F67"/>
    <w:rsid w:val="006926EE"/>
    <w:rsid w:val="0069300E"/>
    <w:rsid w:val="006935BE"/>
    <w:rsid w:val="00693FE8"/>
    <w:rsid w:val="006944DB"/>
    <w:rsid w:val="0069526E"/>
    <w:rsid w:val="0069548C"/>
    <w:rsid w:val="00695590"/>
    <w:rsid w:val="00695956"/>
    <w:rsid w:val="00695A3E"/>
    <w:rsid w:val="00695DC9"/>
    <w:rsid w:val="00695E63"/>
    <w:rsid w:val="00695EEB"/>
    <w:rsid w:val="00696BD9"/>
    <w:rsid w:val="00696E64"/>
    <w:rsid w:val="006971B6"/>
    <w:rsid w:val="00697321"/>
    <w:rsid w:val="00697D6B"/>
    <w:rsid w:val="006A0502"/>
    <w:rsid w:val="006A0651"/>
    <w:rsid w:val="006A121A"/>
    <w:rsid w:val="006A1434"/>
    <w:rsid w:val="006A1B64"/>
    <w:rsid w:val="006A1F88"/>
    <w:rsid w:val="006A1FFD"/>
    <w:rsid w:val="006A25E6"/>
    <w:rsid w:val="006A2823"/>
    <w:rsid w:val="006A2879"/>
    <w:rsid w:val="006A2A80"/>
    <w:rsid w:val="006A2D14"/>
    <w:rsid w:val="006A3068"/>
    <w:rsid w:val="006A3763"/>
    <w:rsid w:val="006A3CB1"/>
    <w:rsid w:val="006A49F8"/>
    <w:rsid w:val="006A50F5"/>
    <w:rsid w:val="006A5148"/>
    <w:rsid w:val="006A5863"/>
    <w:rsid w:val="006A58DF"/>
    <w:rsid w:val="006A5F82"/>
    <w:rsid w:val="006A62F0"/>
    <w:rsid w:val="006A6D7D"/>
    <w:rsid w:val="006A715B"/>
    <w:rsid w:val="006A7223"/>
    <w:rsid w:val="006B0159"/>
    <w:rsid w:val="006B05B3"/>
    <w:rsid w:val="006B071E"/>
    <w:rsid w:val="006B0B12"/>
    <w:rsid w:val="006B0D0C"/>
    <w:rsid w:val="006B0F6D"/>
    <w:rsid w:val="006B164B"/>
    <w:rsid w:val="006B1D92"/>
    <w:rsid w:val="006B1FA9"/>
    <w:rsid w:val="006B2135"/>
    <w:rsid w:val="006B32E0"/>
    <w:rsid w:val="006B349A"/>
    <w:rsid w:val="006B3C1D"/>
    <w:rsid w:val="006B4462"/>
    <w:rsid w:val="006B4625"/>
    <w:rsid w:val="006B46D2"/>
    <w:rsid w:val="006B4870"/>
    <w:rsid w:val="006B4ABF"/>
    <w:rsid w:val="006B4C28"/>
    <w:rsid w:val="006B4E23"/>
    <w:rsid w:val="006B553D"/>
    <w:rsid w:val="006B69CA"/>
    <w:rsid w:val="006B748D"/>
    <w:rsid w:val="006B76B2"/>
    <w:rsid w:val="006B7730"/>
    <w:rsid w:val="006B7A9F"/>
    <w:rsid w:val="006B7B07"/>
    <w:rsid w:val="006B7DEE"/>
    <w:rsid w:val="006B7F44"/>
    <w:rsid w:val="006B7FC7"/>
    <w:rsid w:val="006C0F1E"/>
    <w:rsid w:val="006C164D"/>
    <w:rsid w:val="006C27FA"/>
    <w:rsid w:val="006C2E06"/>
    <w:rsid w:val="006C3E99"/>
    <w:rsid w:val="006C4303"/>
    <w:rsid w:val="006C4861"/>
    <w:rsid w:val="006C4C9E"/>
    <w:rsid w:val="006C52F5"/>
    <w:rsid w:val="006C5BBB"/>
    <w:rsid w:val="006C6BBD"/>
    <w:rsid w:val="006C7B59"/>
    <w:rsid w:val="006C7CDF"/>
    <w:rsid w:val="006D04A2"/>
    <w:rsid w:val="006D07E1"/>
    <w:rsid w:val="006D1417"/>
    <w:rsid w:val="006D182B"/>
    <w:rsid w:val="006D1E34"/>
    <w:rsid w:val="006D1F20"/>
    <w:rsid w:val="006D245D"/>
    <w:rsid w:val="006D284F"/>
    <w:rsid w:val="006D2B7A"/>
    <w:rsid w:val="006D2E0E"/>
    <w:rsid w:val="006D333B"/>
    <w:rsid w:val="006D3EB9"/>
    <w:rsid w:val="006D5059"/>
    <w:rsid w:val="006D5C5C"/>
    <w:rsid w:val="006D6550"/>
    <w:rsid w:val="006D6F9A"/>
    <w:rsid w:val="006D7148"/>
    <w:rsid w:val="006E0CB7"/>
    <w:rsid w:val="006E0E91"/>
    <w:rsid w:val="006E1216"/>
    <w:rsid w:val="006E1234"/>
    <w:rsid w:val="006E15C7"/>
    <w:rsid w:val="006E1868"/>
    <w:rsid w:val="006E1A31"/>
    <w:rsid w:val="006E1D04"/>
    <w:rsid w:val="006E1FA4"/>
    <w:rsid w:val="006E2277"/>
    <w:rsid w:val="006E2988"/>
    <w:rsid w:val="006E2CD7"/>
    <w:rsid w:val="006E2DF6"/>
    <w:rsid w:val="006E38DA"/>
    <w:rsid w:val="006E3E6B"/>
    <w:rsid w:val="006E45FF"/>
    <w:rsid w:val="006E4C4A"/>
    <w:rsid w:val="006E4DDE"/>
    <w:rsid w:val="006E5053"/>
    <w:rsid w:val="006E56E0"/>
    <w:rsid w:val="006E5C1C"/>
    <w:rsid w:val="006E5ED2"/>
    <w:rsid w:val="006E69B7"/>
    <w:rsid w:val="006E7688"/>
    <w:rsid w:val="006E7721"/>
    <w:rsid w:val="006F0019"/>
    <w:rsid w:val="006F01D7"/>
    <w:rsid w:val="006F0B84"/>
    <w:rsid w:val="006F0D7A"/>
    <w:rsid w:val="006F160D"/>
    <w:rsid w:val="006F1C0A"/>
    <w:rsid w:val="006F1E01"/>
    <w:rsid w:val="006F292B"/>
    <w:rsid w:val="006F29CE"/>
    <w:rsid w:val="006F2ABE"/>
    <w:rsid w:val="006F3597"/>
    <w:rsid w:val="006F35B1"/>
    <w:rsid w:val="006F35E6"/>
    <w:rsid w:val="006F399F"/>
    <w:rsid w:val="006F3DFE"/>
    <w:rsid w:val="006F4141"/>
    <w:rsid w:val="006F4175"/>
    <w:rsid w:val="006F46F1"/>
    <w:rsid w:val="006F4966"/>
    <w:rsid w:val="006F4A24"/>
    <w:rsid w:val="006F4AF1"/>
    <w:rsid w:val="006F4BDA"/>
    <w:rsid w:val="006F4D4F"/>
    <w:rsid w:val="006F54E3"/>
    <w:rsid w:val="006F5763"/>
    <w:rsid w:val="006F5818"/>
    <w:rsid w:val="006F5AB9"/>
    <w:rsid w:val="006F5F4E"/>
    <w:rsid w:val="006F6B76"/>
    <w:rsid w:val="006F70D4"/>
    <w:rsid w:val="006F7367"/>
    <w:rsid w:val="006F743C"/>
    <w:rsid w:val="006F76BA"/>
    <w:rsid w:val="00700D41"/>
    <w:rsid w:val="007013A5"/>
    <w:rsid w:val="007013F3"/>
    <w:rsid w:val="007019E3"/>
    <w:rsid w:val="007023B5"/>
    <w:rsid w:val="00702594"/>
    <w:rsid w:val="00703292"/>
    <w:rsid w:val="00703572"/>
    <w:rsid w:val="007035BB"/>
    <w:rsid w:val="007035DF"/>
    <w:rsid w:val="00703A44"/>
    <w:rsid w:val="00703ACC"/>
    <w:rsid w:val="0070405B"/>
    <w:rsid w:val="0070406C"/>
    <w:rsid w:val="007043C9"/>
    <w:rsid w:val="0070488B"/>
    <w:rsid w:val="00704917"/>
    <w:rsid w:val="00704BD7"/>
    <w:rsid w:val="00705BE0"/>
    <w:rsid w:val="00706166"/>
    <w:rsid w:val="00706EBA"/>
    <w:rsid w:val="00706EC2"/>
    <w:rsid w:val="00707415"/>
    <w:rsid w:val="007078D0"/>
    <w:rsid w:val="007079AE"/>
    <w:rsid w:val="00710209"/>
    <w:rsid w:val="0071083C"/>
    <w:rsid w:val="00712149"/>
    <w:rsid w:val="00712314"/>
    <w:rsid w:val="00712339"/>
    <w:rsid w:val="00712897"/>
    <w:rsid w:val="00712EF5"/>
    <w:rsid w:val="0071317D"/>
    <w:rsid w:val="007132C9"/>
    <w:rsid w:val="00713A33"/>
    <w:rsid w:val="0071402F"/>
    <w:rsid w:val="007142E7"/>
    <w:rsid w:val="007145DA"/>
    <w:rsid w:val="00714951"/>
    <w:rsid w:val="00714A19"/>
    <w:rsid w:val="00714AED"/>
    <w:rsid w:val="00714D68"/>
    <w:rsid w:val="007152E1"/>
    <w:rsid w:val="00715BBE"/>
    <w:rsid w:val="00715D4E"/>
    <w:rsid w:val="00715E1A"/>
    <w:rsid w:val="00715EB3"/>
    <w:rsid w:val="007162BD"/>
    <w:rsid w:val="00716B3C"/>
    <w:rsid w:val="00717425"/>
    <w:rsid w:val="00717DA7"/>
    <w:rsid w:val="00717E12"/>
    <w:rsid w:val="00720327"/>
    <w:rsid w:val="0072034A"/>
    <w:rsid w:val="007205AB"/>
    <w:rsid w:val="00720DBB"/>
    <w:rsid w:val="00721435"/>
    <w:rsid w:val="0072174E"/>
    <w:rsid w:val="007217DE"/>
    <w:rsid w:val="007218C4"/>
    <w:rsid w:val="007219C7"/>
    <w:rsid w:val="00721A7C"/>
    <w:rsid w:val="00721EA3"/>
    <w:rsid w:val="007222E2"/>
    <w:rsid w:val="00722317"/>
    <w:rsid w:val="00723536"/>
    <w:rsid w:val="0072379C"/>
    <w:rsid w:val="00723836"/>
    <w:rsid w:val="00723B0A"/>
    <w:rsid w:val="00723BB9"/>
    <w:rsid w:val="00723C4E"/>
    <w:rsid w:val="0072417E"/>
    <w:rsid w:val="00724606"/>
    <w:rsid w:val="00724772"/>
    <w:rsid w:val="00724BB8"/>
    <w:rsid w:val="00724DA3"/>
    <w:rsid w:val="0072534E"/>
    <w:rsid w:val="007253E8"/>
    <w:rsid w:val="007254C3"/>
    <w:rsid w:val="00725751"/>
    <w:rsid w:val="007258B0"/>
    <w:rsid w:val="007258C7"/>
    <w:rsid w:val="007261E1"/>
    <w:rsid w:val="00726CB0"/>
    <w:rsid w:val="00726F14"/>
    <w:rsid w:val="0072792F"/>
    <w:rsid w:val="007304FF"/>
    <w:rsid w:val="00730735"/>
    <w:rsid w:val="007318E1"/>
    <w:rsid w:val="00731BBD"/>
    <w:rsid w:val="0073254E"/>
    <w:rsid w:val="00732DD0"/>
    <w:rsid w:val="00732FEC"/>
    <w:rsid w:val="0073300B"/>
    <w:rsid w:val="00733124"/>
    <w:rsid w:val="00733161"/>
    <w:rsid w:val="007337DE"/>
    <w:rsid w:val="007338D4"/>
    <w:rsid w:val="00733C94"/>
    <w:rsid w:val="00733DC1"/>
    <w:rsid w:val="00734A3F"/>
    <w:rsid w:val="00735168"/>
    <w:rsid w:val="0073538C"/>
    <w:rsid w:val="0073551B"/>
    <w:rsid w:val="00735A18"/>
    <w:rsid w:val="007364DC"/>
    <w:rsid w:val="007369EE"/>
    <w:rsid w:val="00736D44"/>
    <w:rsid w:val="007373D6"/>
    <w:rsid w:val="007373FD"/>
    <w:rsid w:val="0073764B"/>
    <w:rsid w:val="00737F21"/>
    <w:rsid w:val="00740018"/>
    <w:rsid w:val="007404B3"/>
    <w:rsid w:val="007405DE"/>
    <w:rsid w:val="00740EAA"/>
    <w:rsid w:val="00741B20"/>
    <w:rsid w:val="00741D49"/>
    <w:rsid w:val="00741DDF"/>
    <w:rsid w:val="00742CC3"/>
    <w:rsid w:val="0074302A"/>
    <w:rsid w:val="007433D7"/>
    <w:rsid w:val="00743A72"/>
    <w:rsid w:val="00743F0F"/>
    <w:rsid w:val="0074420F"/>
    <w:rsid w:val="00744D1F"/>
    <w:rsid w:val="00745041"/>
    <w:rsid w:val="00745AF4"/>
    <w:rsid w:val="00746603"/>
    <w:rsid w:val="00746BA9"/>
    <w:rsid w:val="00746D97"/>
    <w:rsid w:val="0074703C"/>
    <w:rsid w:val="00747636"/>
    <w:rsid w:val="007479E6"/>
    <w:rsid w:val="00747C45"/>
    <w:rsid w:val="00750937"/>
    <w:rsid w:val="0075188B"/>
    <w:rsid w:val="00751CC5"/>
    <w:rsid w:val="00752E9C"/>
    <w:rsid w:val="007533DD"/>
    <w:rsid w:val="007538BE"/>
    <w:rsid w:val="007540C0"/>
    <w:rsid w:val="007540D6"/>
    <w:rsid w:val="007557B3"/>
    <w:rsid w:val="00755A23"/>
    <w:rsid w:val="00755B55"/>
    <w:rsid w:val="00755EB2"/>
    <w:rsid w:val="0075671C"/>
    <w:rsid w:val="00756A74"/>
    <w:rsid w:val="00756AB1"/>
    <w:rsid w:val="00757D0C"/>
    <w:rsid w:val="00757ED3"/>
    <w:rsid w:val="007610A6"/>
    <w:rsid w:val="00761441"/>
    <w:rsid w:val="0076146B"/>
    <w:rsid w:val="007617B9"/>
    <w:rsid w:val="00761B5B"/>
    <w:rsid w:val="00761BBD"/>
    <w:rsid w:val="00761F5F"/>
    <w:rsid w:val="00763BA1"/>
    <w:rsid w:val="00763FF3"/>
    <w:rsid w:val="00764196"/>
    <w:rsid w:val="00764576"/>
    <w:rsid w:val="00764758"/>
    <w:rsid w:val="00764AFB"/>
    <w:rsid w:val="0076524C"/>
    <w:rsid w:val="00765303"/>
    <w:rsid w:val="007658FF"/>
    <w:rsid w:val="00765BF7"/>
    <w:rsid w:val="00766132"/>
    <w:rsid w:val="00766473"/>
    <w:rsid w:val="00766C6F"/>
    <w:rsid w:val="007670EE"/>
    <w:rsid w:val="00767443"/>
    <w:rsid w:val="007676AA"/>
    <w:rsid w:val="00767F19"/>
    <w:rsid w:val="00770060"/>
    <w:rsid w:val="007701AB"/>
    <w:rsid w:val="0077111E"/>
    <w:rsid w:val="00771307"/>
    <w:rsid w:val="00771336"/>
    <w:rsid w:val="00771A0D"/>
    <w:rsid w:val="00772223"/>
    <w:rsid w:val="00772A43"/>
    <w:rsid w:val="00772F7B"/>
    <w:rsid w:val="00773576"/>
    <w:rsid w:val="007737B7"/>
    <w:rsid w:val="007739D7"/>
    <w:rsid w:val="00773A3D"/>
    <w:rsid w:val="00773AF7"/>
    <w:rsid w:val="007740F0"/>
    <w:rsid w:val="00774CC1"/>
    <w:rsid w:val="007756BF"/>
    <w:rsid w:val="007757FB"/>
    <w:rsid w:val="00775EEC"/>
    <w:rsid w:val="007762E6"/>
    <w:rsid w:val="0077645D"/>
    <w:rsid w:val="0077739C"/>
    <w:rsid w:val="00777B36"/>
    <w:rsid w:val="00777EE7"/>
    <w:rsid w:val="007807D6"/>
    <w:rsid w:val="00780938"/>
    <w:rsid w:val="00781C0A"/>
    <w:rsid w:val="007820D5"/>
    <w:rsid w:val="00782A57"/>
    <w:rsid w:val="00783033"/>
    <w:rsid w:val="00783A5A"/>
    <w:rsid w:val="007847FD"/>
    <w:rsid w:val="00784A40"/>
    <w:rsid w:val="00785C65"/>
    <w:rsid w:val="00786B3C"/>
    <w:rsid w:val="007871C1"/>
    <w:rsid w:val="0078747C"/>
    <w:rsid w:val="00787D4D"/>
    <w:rsid w:val="00787EA3"/>
    <w:rsid w:val="00790BA0"/>
    <w:rsid w:val="00791792"/>
    <w:rsid w:val="00791CC0"/>
    <w:rsid w:val="00791D8B"/>
    <w:rsid w:val="00791E8B"/>
    <w:rsid w:val="00793002"/>
    <w:rsid w:val="007932D2"/>
    <w:rsid w:val="007934AF"/>
    <w:rsid w:val="007935B8"/>
    <w:rsid w:val="007935F1"/>
    <w:rsid w:val="00795021"/>
    <w:rsid w:val="0079518F"/>
    <w:rsid w:val="00795E53"/>
    <w:rsid w:val="007964DB"/>
    <w:rsid w:val="00796604"/>
    <w:rsid w:val="00796A22"/>
    <w:rsid w:val="00796FDC"/>
    <w:rsid w:val="007971ED"/>
    <w:rsid w:val="007974E4"/>
    <w:rsid w:val="0079762D"/>
    <w:rsid w:val="0079784E"/>
    <w:rsid w:val="00797B53"/>
    <w:rsid w:val="00797DAD"/>
    <w:rsid w:val="007A0893"/>
    <w:rsid w:val="007A0EB7"/>
    <w:rsid w:val="007A1DD6"/>
    <w:rsid w:val="007A1E6F"/>
    <w:rsid w:val="007A24E4"/>
    <w:rsid w:val="007A2AB3"/>
    <w:rsid w:val="007A31F5"/>
    <w:rsid w:val="007A3557"/>
    <w:rsid w:val="007A3710"/>
    <w:rsid w:val="007A3CB3"/>
    <w:rsid w:val="007A3EAA"/>
    <w:rsid w:val="007A4486"/>
    <w:rsid w:val="007A45C4"/>
    <w:rsid w:val="007A4966"/>
    <w:rsid w:val="007A4A9A"/>
    <w:rsid w:val="007A4B7F"/>
    <w:rsid w:val="007A4EB2"/>
    <w:rsid w:val="007A51F0"/>
    <w:rsid w:val="007A5214"/>
    <w:rsid w:val="007A5626"/>
    <w:rsid w:val="007A5628"/>
    <w:rsid w:val="007A64E9"/>
    <w:rsid w:val="007A6769"/>
    <w:rsid w:val="007A7242"/>
    <w:rsid w:val="007A756F"/>
    <w:rsid w:val="007A7AF7"/>
    <w:rsid w:val="007A7B91"/>
    <w:rsid w:val="007A7CF3"/>
    <w:rsid w:val="007B01DD"/>
    <w:rsid w:val="007B0C56"/>
    <w:rsid w:val="007B1878"/>
    <w:rsid w:val="007B1903"/>
    <w:rsid w:val="007B1906"/>
    <w:rsid w:val="007B19A3"/>
    <w:rsid w:val="007B1F44"/>
    <w:rsid w:val="007B1F73"/>
    <w:rsid w:val="007B1F74"/>
    <w:rsid w:val="007B1FCB"/>
    <w:rsid w:val="007B2066"/>
    <w:rsid w:val="007B232E"/>
    <w:rsid w:val="007B244C"/>
    <w:rsid w:val="007B2CDA"/>
    <w:rsid w:val="007B40C5"/>
    <w:rsid w:val="007B4945"/>
    <w:rsid w:val="007B52CA"/>
    <w:rsid w:val="007B576B"/>
    <w:rsid w:val="007B61AF"/>
    <w:rsid w:val="007B6441"/>
    <w:rsid w:val="007B645E"/>
    <w:rsid w:val="007B671A"/>
    <w:rsid w:val="007B67E2"/>
    <w:rsid w:val="007B70F1"/>
    <w:rsid w:val="007B7500"/>
    <w:rsid w:val="007B7575"/>
    <w:rsid w:val="007C02A2"/>
    <w:rsid w:val="007C0508"/>
    <w:rsid w:val="007C07BD"/>
    <w:rsid w:val="007C0997"/>
    <w:rsid w:val="007C10EE"/>
    <w:rsid w:val="007C133A"/>
    <w:rsid w:val="007C15DA"/>
    <w:rsid w:val="007C169A"/>
    <w:rsid w:val="007C1AF4"/>
    <w:rsid w:val="007C1B27"/>
    <w:rsid w:val="007C1FD8"/>
    <w:rsid w:val="007C2060"/>
    <w:rsid w:val="007C24EB"/>
    <w:rsid w:val="007C2D24"/>
    <w:rsid w:val="007C2E92"/>
    <w:rsid w:val="007C2EB5"/>
    <w:rsid w:val="007C37D5"/>
    <w:rsid w:val="007C3F8F"/>
    <w:rsid w:val="007C4192"/>
    <w:rsid w:val="007C4281"/>
    <w:rsid w:val="007C44B4"/>
    <w:rsid w:val="007C4508"/>
    <w:rsid w:val="007C48D6"/>
    <w:rsid w:val="007C4BB5"/>
    <w:rsid w:val="007C4C94"/>
    <w:rsid w:val="007C4D0C"/>
    <w:rsid w:val="007C50BF"/>
    <w:rsid w:val="007C53F9"/>
    <w:rsid w:val="007C542C"/>
    <w:rsid w:val="007C55AC"/>
    <w:rsid w:val="007C5B68"/>
    <w:rsid w:val="007C6DFC"/>
    <w:rsid w:val="007C70B0"/>
    <w:rsid w:val="007C70FB"/>
    <w:rsid w:val="007D0146"/>
    <w:rsid w:val="007D0FC0"/>
    <w:rsid w:val="007D1580"/>
    <w:rsid w:val="007D18D0"/>
    <w:rsid w:val="007D200A"/>
    <w:rsid w:val="007D201D"/>
    <w:rsid w:val="007D22B5"/>
    <w:rsid w:val="007D2353"/>
    <w:rsid w:val="007D259C"/>
    <w:rsid w:val="007D2A67"/>
    <w:rsid w:val="007D2C59"/>
    <w:rsid w:val="007D3571"/>
    <w:rsid w:val="007D37B5"/>
    <w:rsid w:val="007D3D70"/>
    <w:rsid w:val="007D3DE7"/>
    <w:rsid w:val="007D3F98"/>
    <w:rsid w:val="007D4D00"/>
    <w:rsid w:val="007D565F"/>
    <w:rsid w:val="007D5B13"/>
    <w:rsid w:val="007D5EC8"/>
    <w:rsid w:val="007D655D"/>
    <w:rsid w:val="007D7771"/>
    <w:rsid w:val="007D787E"/>
    <w:rsid w:val="007E0097"/>
    <w:rsid w:val="007E101D"/>
    <w:rsid w:val="007E106C"/>
    <w:rsid w:val="007E1849"/>
    <w:rsid w:val="007E22E7"/>
    <w:rsid w:val="007E2786"/>
    <w:rsid w:val="007E38CE"/>
    <w:rsid w:val="007E44A2"/>
    <w:rsid w:val="007E4FA9"/>
    <w:rsid w:val="007E5756"/>
    <w:rsid w:val="007E5FC9"/>
    <w:rsid w:val="007E614C"/>
    <w:rsid w:val="007E6221"/>
    <w:rsid w:val="007E6695"/>
    <w:rsid w:val="007E69BB"/>
    <w:rsid w:val="007E6F3C"/>
    <w:rsid w:val="007E772D"/>
    <w:rsid w:val="007E7933"/>
    <w:rsid w:val="007E7A94"/>
    <w:rsid w:val="007E7B46"/>
    <w:rsid w:val="007E7E5C"/>
    <w:rsid w:val="007E7FE8"/>
    <w:rsid w:val="007F0446"/>
    <w:rsid w:val="007F056D"/>
    <w:rsid w:val="007F0616"/>
    <w:rsid w:val="007F0881"/>
    <w:rsid w:val="007F0F94"/>
    <w:rsid w:val="007F12D0"/>
    <w:rsid w:val="007F15E3"/>
    <w:rsid w:val="007F1D8A"/>
    <w:rsid w:val="007F1D8E"/>
    <w:rsid w:val="007F33BD"/>
    <w:rsid w:val="007F3AE1"/>
    <w:rsid w:val="007F4352"/>
    <w:rsid w:val="007F449D"/>
    <w:rsid w:val="007F470E"/>
    <w:rsid w:val="007F4822"/>
    <w:rsid w:val="007F4E43"/>
    <w:rsid w:val="007F4F7F"/>
    <w:rsid w:val="007F594C"/>
    <w:rsid w:val="007F5B77"/>
    <w:rsid w:val="007F5C2F"/>
    <w:rsid w:val="007F65CA"/>
    <w:rsid w:val="007F6D80"/>
    <w:rsid w:val="007F701F"/>
    <w:rsid w:val="007F70B0"/>
    <w:rsid w:val="0080008D"/>
    <w:rsid w:val="00800B17"/>
    <w:rsid w:val="008013D1"/>
    <w:rsid w:val="00801CF2"/>
    <w:rsid w:val="0080233D"/>
    <w:rsid w:val="0080239B"/>
    <w:rsid w:val="00802635"/>
    <w:rsid w:val="00802FB4"/>
    <w:rsid w:val="008033E9"/>
    <w:rsid w:val="00803816"/>
    <w:rsid w:val="00803924"/>
    <w:rsid w:val="00803B62"/>
    <w:rsid w:val="00803BED"/>
    <w:rsid w:val="00803CAB"/>
    <w:rsid w:val="00803F27"/>
    <w:rsid w:val="00804C60"/>
    <w:rsid w:val="008052A1"/>
    <w:rsid w:val="00805792"/>
    <w:rsid w:val="00805794"/>
    <w:rsid w:val="0080582B"/>
    <w:rsid w:val="008062D2"/>
    <w:rsid w:val="00806A3C"/>
    <w:rsid w:val="00806DFD"/>
    <w:rsid w:val="0080798D"/>
    <w:rsid w:val="00807B5B"/>
    <w:rsid w:val="008101D9"/>
    <w:rsid w:val="00810EF5"/>
    <w:rsid w:val="00810F85"/>
    <w:rsid w:val="008111FB"/>
    <w:rsid w:val="00811372"/>
    <w:rsid w:val="008115EC"/>
    <w:rsid w:val="00811AEF"/>
    <w:rsid w:val="00811C00"/>
    <w:rsid w:val="00811C2F"/>
    <w:rsid w:val="008120BF"/>
    <w:rsid w:val="00813BF5"/>
    <w:rsid w:val="00813C17"/>
    <w:rsid w:val="0081538E"/>
    <w:rsid w:val="00815DE6"/>
    <w:rsid w:val="0081608A"/>
    <w:rsid w:val="00816492"/>
    <w:rsid w:val="00816646"/>
    <w:rsid w:val="008171DA"/>
    <w:rsid w:val="00820D00"/>
    <w:rsid w:val="00820E57"/>
    <w:rsid w:val="008218CF"/>
    <w:rsid w:val="008221EC"/>
    <w:rsid w:val="00822916"/>
    <w:rsid w:val="00823A83"/>
    <w:rsid w:val="00823CE1"/>
    <w:rsid w:val="00824238"/>
    <w:rsid w:val="00824E8A"/>
    <w:rsid w:val="00825074"/>
    <w:rsid w:val="00825805"/>
    <w:rsid w:val="00826A94"/>
    <w:rsid w:val="00826BB2"/>
    <w:rsid w:val="00826C76"/>
    <w:rsid w:val="008278A6"/>
    <w:rsid w:val="008279AA"/>
    <w:rsid w:val="008304B6"/>
    <w:rsid w:val="00830A33"/>
    <w:rsid w:val="0083123E"/>
    <w:rsid w:val="0083155F"/>
    <w:rsid w:val="00831AA8"/>
    <w:rsid w:val="00832F4C"/>
    <w:rsid w:val="00832F7D"/>
    <w:rsid w:val="0083361C"/>
    <w:rsid w:val="0083387E"/>
    <w:rsid w:val="00833FBE"/>
    <w:rsid w:val="00834151"/>
    <w:rsid w:val="00834225"/>
    <w:rsid w:val="0083481A"/>
    <w:rsid w:val="00834DD8"/>
    <w:rsid w:val="00835D28"/>
    <w:rsid w:val="008364BA"/>
    <w:rsid w:val="00836539"/>
    <w:rsid w:val="0083679C"/>
    <w:rsid w:val="008367EB"/>
    <w:rsid w:val="00836DB1"/>
    <w:rsid w:val="00837254"/>
    <w:rsid w:val="00837257"/>
    <w:rsid w:val="0083753D"/>
    <w:rsid w:val="00840B73"/>
    <w:rsid w:val="0084130E"/>
    <w:rsid w:val="00841964"/>
    <w:rsid w:val="00841B3D"/>
    <w:rsid w:val="00841BEB"/>
    <w:rsid w:val="00841C05"/>
    <w:rsid w:val="00841ECB"/>
    <w:rsid w:val="0084256A"/>
    <w:rsid w:val="00842A91"/>
    <w:rsid w:val="00842C89"/>
    <w:rsid w:val="00843893"/>
    <w:rsid w:val="00843D8F"/>
    <w:rsid w:val="008441F5"/>
    <w:rsid w:val="00844931"/>
    <w:rsid w:val="0084499D"/>
    <w:rsid w:val="00844E83"/>
    <w:rsid w:val="0084664D"/>
    <w:rsid w:val="00846666"/>
    <w:rsid w:val="00846CAA"/>
    <w:rsid w:val="00846CF5"/>
    <w:rsid w:val="00850339"/>
    <w:rsid w:val="00850499"/>
    <w:rsid w:val="00850A9F"/>
    <w:rsid w:val="008510E2"/>
    <w:rsid w:val="008519CF"/>
    <w:rsid w:val="0085303B"/>
    <w:rsid w:val="00853134"/>
    <w:rsid w:val="00853437"/>
    <w:rsid w:val="008538D1"/>
    <w:rsid w:val="00854068"/>
    <w:rsid w:val="00854E72"/>
    <w:rsid w:val="0085509A"/>
    <w:rsid w:val="008555ED"/>
    <w:rsid w:val="00855861"/>
    <w:rsid w:val="00855B02"/>
    <w:rsid w:val="00855CFF"/>
    <w:rsid w:val="00856DEE"/>
    <w:rsid w:val="00856F35"/>
    <w:rsid w:val="00857522"/>
    <w:rsid w:val="0085752C"/>
    <w:rsid w:val="008576EC"/>
    <w:rsid w:val="00857E5B"/>
    <w:rsid w:val="0086003A"/>
    <w:rsid w:val="008603B2"/>
    <w:rsid w:val="008603BE"/>
    <w:rsid w:val="00860B06"/>
    <w:rsid w:val="00860B32"/>
    <w:rsid w:val="008613BD"/>
    <w:rsid w:val="008614A2"/>
    <w:rsid w:val="00861A20"/>
    <w:rsid w:val="00861BDD"/>
    <w:rsid w:val="0086216E"/>
    <w:rsid w:val="0086383A"/>
    <w:rsid w:val="00863DF2"/>
    <w:rsid w:val="0086449E"/>
    <w:rsid w:val="00864FC0"/>
    <w:rsid w:val="008652C4"/>
    <w:rsid w:val="008656DC"/>
    <w:rsid w:val="00865CA3"/>
    <w:rsid w:val="008700C6"/>
    <w:rsid w:val="008704D7"/>
    <w:rsid w:val="00870BE1"/>
    <w:rsid w:val="00870DCA"/>
    <w:rsid w:val="00872A64"/>
    <w:rsid w:val="00872DD4"/>
    <w:rsid w:val="008731DF"/>
    <w:rsid w:val="00873346"/>
    <w:rsid w:val="00873943"/>
    <w:rsid w:val="008740F5"/>
    <w:rsid w:val="008742EC"/>
    <w:rsid w:val="008743FC"/>
    <w:rsid w:val="00874AED"/>
    <w:rsid w:val="00874ED0"/>
    <w:rsid w:val="0087502C"/>
    <w:rsid w:val="008750C3"/>
    <w:rsid w:val="00875171"/>
    <w:rsid w:val="008752CD"/>
    <w:rsid w:val="0087537A"/>
    <w:rsid w:val="0087580F"/>
    <w:rsid w:val="00876129"/>
    <w:rsid w:val="008765A0"/>
    <w:rsid w:val="0087685E"/>
    <w:rsid w:val="008769B5"/>
    <w:rsid w:val="00876CDA"/>
    <w:rsid w:val="00877ACC"/>
    <w:rsid w:val="00877C62"/>
    <w:rsid w:val="00877D6D"/>
    <w:rsid w:val="00877D86"/>
    <w:rsid w:val="00877E97"/>
    <w:rsid w:val="0088024E"/>
    <w:rsid w:val="00880941"/>
    <w:rsid w:val="00880CCB"/>
    <w:rsid w:val="008816DA"/>
    <w:rsid w:val="00881BA3"/>
    <w:rsid w:val="00881D64"/>
    <w:rsid w:val="00881FE8"/>
    <w:rsid w:val="008822AD"/>
    <w:rsid w:val="00882EA4"/>
    <w:rsid w:val="00882FEA"/>
    <w:rsid w:val="008834DD"/>
    <w:rsid w:val="008837A9"/>
    <w:rsid w:val="0088409B"/>
    <w:rsid w:val="0088417A"/>
    <w:rsid w:val="00884250"/>
    <w:rsid w:val="008845AD"/>
    <w:rsid w:val="008845BA"/>
    <w:rsid w:val="00884611"/>
    <w:rsid w:val="00885217"/>
    <w:rsid w:val="00885221"/>
    <w:rsid w:val="00885966"/>
    <w:rsid w:val="00885E0A"/>
    <w:rsid w:val="0088681B"/>
    <w:rsid w:val="00886C1A"/>
    <w:rsid w:val="00887159"/>
    <w:rsid w:val="008872EB"/>
    <w:rsid w:val="0088744D"/>
    <w:rsid w:val="0088750F"/>
    <w:rsid w:val="008876A1"/>
    <w:rsid w:val="00887F25"/>
    <w:rsid w:val="008902CB"/>
    <w:rsid w:val="008907E7"/>
    <w:rsid w:val="00891050"/>
    <w:rsid w:val="0089108C"/>
    <w:rsid w:val="00891F0A"/>
    <w:rsid w:val="00892491"/>
    <w:rsid w:val="00893439"/>
    <w:rsid w:val="0089358A"/>
    <w:rsid w:val="008935C2"/>
    <w:rsid w:val="0089385D"/>
    <w:rsid w:val="00893F86"/>
    <w:rsid w:val="0089406A"/>
    <w:rsid w:val="008943C2"/>
    <w:rsid w:val="00894944"/>
    <w:rsid w:val="00894D75"/>
    <w:rsid w:val="008950B5"/>
    <w:rsid w:val="008958E8"/>
    <w:rsid w:val="00895E4D"/>
    <w:rsid w:val="00896620"/>
    <w:rsid w:val="00896804"/>
    <w:rsid w:val="0089689C"/>
    <w:rsid w:val="0089692D"/>
    <w:rsid w:val="00896DD9"/>
    <w:rsid w:val="00896ED5"/>
    <w:rsid w:val="008970AE"/>
    <w:rsid w:val="00897EF7"/>
    <w:rsid w:val="008A0D7F"/>
    <w:rsid w:val="008A13DD"/>
    <w:rsid w:val="008A16B1"/>
    <w:rsid w:val="008A1D71"/>
    <w:rsid w:val="008A283C"/>
    <w:rsid w:val="008A33ED"/>
    <w:rsid w:val="008A3E7B"/>
    <w:rsid w:val="008A4CEC"/>
    <w:rsid w:val="008A54F6"/>
    <w:rsid w:val="008A5C8C"/>
    <w:rsid w:val="008A63E4"/>
    <w:rsid w:val="008A645F"/>
    <w:rsid w:val="008A65A9"/>
    <w:rsid w:val="008A6618"/>
    <w:rsid w:val="008A671F"/>
    <w:rsid w:val="008A69D0"/>
    <w:rsid w:val="008A6B1D"/>
    <w:rsid w:val="008A6E8B"/>
    <w:rsid w:val="008A746D"/>
    <w:rsid w:val="008A7D35"/>
    <w:rsid w:val="008A7DE7"/>
    <w:rsid w:val="008A7E28"/>
    <w:rsid w:val="008B08C6"/>
    <w:rsid w:val="008B125F"/>
    <w:rsid w:val="008B18DE"/>
    <w:rsid w:val="008B1917"/>
    <w:rsid w:val="008B2D01"/>
    <w:rsid w:val="008B2DBE"/>
    <w:rsid w:val="008B34C9"/>
    <w:rsid w:val="008B3F4C"/>
    <w:rsid w:val="008B4D15"/>
    <w:rsid w:val="008B4E58"/>
    <w:rsid w:val="008B4EEA"/>
    <w:rsid w:val="008B5C8A"/>
    <w:rsid w:val="008B6008"/>
    <w:rsid w:val="008B65DD"/>
    <w:rsid w:val="008B6CF7"/>
    <w:rsid w:val="008C0C3E"/>
    <w:rsid w:val="008C1190"/>
    <w:rsid w:val="008C1407"/>
    <w:rsid w:val="008C16BA"/>
    <w:rsid w:val="008C178F"/>
    <w:rsid w:val="008C1925"/>
    <w:rsid w:val="008C19A9"/>
    <w:rsid w:val="008C1C96"/>
    <w:rsid w:val="008C290F"/>
    <w:rsid w:val="008C36A2"/>
    <w:rsid w:val="008C3961"/>
    <w:rsid w:val="008C4B1E"/>
    <w:rsid w:val="008C4C9B"/>
    <w:rsid w:val="008C4D64"/>
    <w:rsid w:val="008C5195"/>
    <w:rsid w:val="008C5897"/>
    <w:rsid w:val="008C58D5"/>
    <w:rsid w:val="008C5CEF"/>
    <w:rsid w:val="008C5DC5"/>
    <w:rsid w:val="008C6405"/>
    <w:rsid w:val="008C6DD3"/>
    <w:rsid w:val="008C6F49"/>
    <w:rsid w:val="008C74A3"/>
    <w:rsid w:val="008C7FF7"/>
    <w:rsid w:val="008D0177"/>
    <w:rsid w:val="008D03B9"/>
    <w:rsid w:val="008D05E3"/>
    <w:rsid w:val="008D0AC1"/>
    <w:rsid w:val="008D1008"/>
    <w:rsid w:val="008D146A"/>
    <w:rsid w:val="008D1C5C"/>
    <w:rsid w:val="008D1C69"/>
    <w:rsid w:val="008D1C7B"/>
    <w:rsid w:val="008D1E39"/>
    <w:rsid w:val="008D21EB"/>
    <w:rsid w:val="008D2684"/>
    <w:rsid w:val="008D2935"/>
    <w:rsid w:val="008D29BA"/>
    <w:rsid w:val="008D2A5D"/>
    <w:rsid w:val="008D2D6A"/>
    <w:rsid w:val="008D2DDC"/>
    <w:rsid w:val="008D2F25"/>
    <w:rsid w:val="008D2FED"/>
    <w:rsid w:val="008D3202"/>
    <w:rsid w:val="008D378C"/>
    <w:rsid w:val="008D38A5"/>
    <w:rsid w:val="008D4269"/>
    <w:rsid w:val="008D452A"/>
    <w:rsid w:val="008D4615"/>
    <w:rsid w:val="008D4AB9"/>
    <w:rsid w:val="008D513B"/>
    <w:rsid w:val="008D5398"/>
    <w:rsid w:val="008D567B"/>
    <w:rsid w:val="008D6511"/>
    <w:rsid w:val="008D765A"/>
    <w:rsid w:val="008D7779"/>
    <w:rsid w:val="008D7FE8"/>
    <w:rsid w:val="008E028D"/>
    <w:rsid w:val="008E06C7"/>
    <w:rsid w:val="008E0909"/>
    <w:rsid w:val="008E0B09"/>
    <w:rsid w:val="008E0DF3"/>
    <w:rsid w:val="008E11B7"/>
    <w:rsid w:val="008E154B"/>
    <w:rsid w:val="008E1B5E"/>
    <w:rsid w:val="008E2338"/>
    <w:rsid w:val="008E2646"/>
    <w:rsid w:val="008E28DA"/>
    <w:rsid w:val="008E324C"/>
    <w:rsid w:val="008E32DE"/>
    <w:rsid w:val="008E333E"/>
    <w:rsid w:val="008E35AD"/>
    <w:rsid w:val="008E36B2"/>
    <w:rsid w:val="008E3BC6"/>
    <w:rsid w:val="008E3C0C"/>
    <w:rsid w:val="008E44C5"/>
    <w:rsid w:val="008E465E"/>
    <w:rsid w:val="008E4899"/>
    <w:rsid w:val="008E4E35"/>
    <w:rsid w:val="008E5062"/>
    <w:rsid w:val="008E5994"/>
    <w:rsid w:val="008E5ADC"/>
    <w:rsid w:val="008E618F"/>
    <w:rsid w:val="008E67B6"/>
    <w:rsid w:val="008E6BAF"/>
    <w:rsid w:val="008E7140"/>
    <w:rsid w:val="008F0154"/>
    <w:rsid w:val="008F07C4"/>
    <w:rsid w:val="008F10A5"/>
    <w:rsid w:val="008F185C"/>
    <w:rsid w:val="008F2773"/>
    <w:rsid w:val="008F28DE"/>
    <w:rsid w:val="008F2ABA"/>
    <w:rsid w:val="008F2B9C"/>
    <w:rsid w:val="008F2C32"/>
    <w:rsid w:val="008F318F"/>
    <w:rsid w:val="008F33EB"/>
    <w:rsid w:val="008F3928"/>
    <w:rsid w:val="008F3BDD"/>
    <w:rsid w:val="008F3D32"/>
    <w:rsid w:val="008F42BF"/>
    <w:rsid w:val="008F4A09"/>
    <w:rsid w:val="008F4BE1"/>
    <w:rsid w:val="008F51D4"/>
    <w:rsid w:val="008F51EB"/>
    <w:rsid w:val="008F523C"/>
    <w:rsid w:val="008F59DE"/>
    <w:rsid w:val="008F5D87"/>
    <w:rsid w:val="008F631A"/>
    <w:rsid w:val="008F674A"/>
    <w:rsid w:val="008F6B2A"/>
    <w:rsid w:val="008F6CD8"/>
    <w:rsid w:val="00900160"/>
    <w:rsid w:val="009003C1"/>
    <w:rsid w:val="00900B28"/>
    <w:rsid w:val="00900FE6"/>
    <w:rsid w:val="0090118F"/>
    <w:rsid w:val="00901689"/>
    <w:rsid w:val="00901F76"/>
    <w:rsid w:val="0090237B"/>
    <w:rsid w:val="00902DC1"/>
    <w:rsid w:val="00902DDA"/>
    <w:rsid w:val="009034C9"/>
    <w:rsid w:val="0090351A"/>
    <w:rsid w:val="009038E7"/>
    <w:rsid w:val="00904012"/>
    <w:rsid w:val="009045E7"/>
    <w:rsid w:val="00904607"/>
    <w:rsid w:val="00904A84"/>
    <w:rsid w:val="00905370"/>
    <w:rsid w:val="00905468"/>
    <w:rsid w:val="00905D91"/>
    <w:rsid w:val="0090604D"/>
    <w:rsid w:val="0090678A"/>
    <w:rsid w:val="009067DB"/>
    <w:rsid w:val="0090687F"/>
    <w:rsid w:val="00906CF5"/>
    <w:rsid w:val="0090766A"/>
    <w:rsid w:val="00910088"/>
    <w:rsid w:val="00910290"/>
    <w:rsid w:val="00910FAD"/>
    <w:rsid w:val="0091161C"/>
    <w:rsid w:val="00911BA4"/>
    <w:rsid w:val="009121E2"/>
    <w:rsid w:val="0091229B"/>
    <w:rsid w:val="00912B6D"/>
    <w:rsid w:val="00912C9A"/>
    <w:rsid w:val="00912D40"/>
    <w:rsid w:val="009135C7"/>
    <w:rsid w:val="009136D8"/>
    <w:rsid w:val="00914329"/>
    <w:rsid w:val="009144D1"/>
    <w:rsid w:val="00914642"/>
    <w:rsid w:val="009148AF"/>
    <w:rsid w:val="0091491F"/>
    <w:rsid w:val="00914E09"/>
    <w:rsid w:val="00914E35"/>
    <w:rsid w:val="00914E62"/>
    <w:rsid w:val="00915095"/>
    <w:rsid w:val="00915805"/>
    <w:rsid w:val="00915AD7"/>
    <w:rsid w:val="00915F03"/>
    <w:rsid w:val="00915F23"/>
    <w:rsid w:val="00915F88"/>
    <w:rsid w:val="00916546"/>
    <w:rsid w:val="00916887"/>
    <w:rsid w:val="00916ED5"/>
    <w:rsid w:val="0091739C"/>
    <w:rsid w:val="009201B1"/>
    <w:rsid w:val="009207D4"/>
    <w:rsid w:val="00920806"/>
    <w:rsid w:val="00920DC0"/>
    <w:rsid w:val="009210B0"/>
    <w:rsid w:val="00921194"/>
    <w:rsid w:val="009213FA"/>
    <w:rsid w:val="00921696"/>
    <w:rsid w:val="00921D2E"/>
    <w:rsid w:val="00921DC9"/>
    <w:rsid w:val="009227DF"/>
    <w:rsid w:val="00922ED9"/>
    <w:rsid w:val="00923735"/>
    <w:rsid w:val="009238E8"/>
    <w:rsid w:val="00923A41"/>
    <w:rsid w:val="00923CD1"/>
    <w:rsid w:val="00924BC3"/>
    <w:rsid w:val="00924F0B"/>
    <w:rsid w:val="009255A1"/>
    <w:rsid w:val="0092581D"/>
    <w:rsid w:val="00926A89"/>
    <w:rsid w:val="00927631"/>
    <w:rsid w:val="00927E59"/>
    <w:rsid w:val="00930B0B"/>
    <w:rsid w:val="009317EC"/>
    <w:rsid w:val="00932060"/>
    <w:rsid w:val="0093244E"/>
    <w:rsid w:val="00932F2E"/>
    <w:rsid w:val="009335A3"/>
    <w:rsid w:val="009335D0"/>
    <w:rsid w:val="0093380A"/>
    <w:rsid w:val="00933AA3"/>
    <w:rsid w:val="00933C8D"/>
    <w:rsid w:val="00933DA9"/>
    <w:rsid w:val="00934029"/>
    <w:rsid w:val="00934EBD"/>
    <w:rsid w:val="00935821"/>
    <w:rsid w:val="00935F60"/>
    <w:rsid w:val="009360EA"/>
    <w:rsid w:val="00936605"/>
    <w:rsid w:val="00936704"/>
    <w:rsid w:val="00936742"/>
    <w:rsid w:val="0093682E"/>
    <w:rsid w:val="009369CA"/>
    <w:rsid w:val="009369ED"/>
    <w:rsid w:val="00936B5E"/>
    <w:rsid w:val="00940824"/>
    <w:rsid w:val="00940F00"/>
    <w:rsid w:val="009414CE"/>
    <w:rsid w:val="00941910"/>
    <w:rsid w:val="00941CF9"/>
    <w:rsid w:val="00942B80"/>
    <w:rsid w:val="00942D55"/>
    <w:rsid w:val="00942E63"/>
    <w:rsid w:val="009433D4"/>
    <w:rsid w:val="00943697"/>
    <w:rsid w:val="00944112"/>
    <w:rsid w:val="009441FC"/>
    <w:rsid w:val="009446C5"/>
    <w:rsid w:val="009449CD"/>
    <w:rsid w:val="00944C8F"/>
    <w:rsid w:val="00944D30"/>
    <w:rsid w:val="00945A48"/>
    <w:rsid w:val="009460D9"/>
    <w:rsid w:val="00946225"/>
    <w:rsid w:val="0094625C"/>
    <w:rsid w:val="0094632C"/>
    <w:rsid w:val="009465C0"/>
    <w:rsid w:val="00946638"/>
    <w:rsid w:val="00946842"/>
    <w:rsid w:val="009475E0"/>
    <w:rsid w:val="00947C9A"/>
    <w:rsid w:val="00950987"/>
    <w:rsid w:val="00950DF1"/>
    <w:rsid w:val="00950ED8"/>
    <w:rsid w:val="00951697"/>
    <w:rsid w:val="00951767"/>
    <w:rsid w:val="00951A5F"/>
    <w:rsid w:val="00951A69"/>
    <w:rsid w:val="00951DB5"/>
    <w:rsid w:val="0095203B"/>
    <w:rsid w:val="00952809"/>
    <w:rsid w:val="00952D64"/>
    <w:rsid w:val="00953965"/>
    <w:rsid w:val="00953983"/>
    <w:rsid w:val="00953B4F"/>
    <w:rsid w:val="00953B99"/>
    <w:rsid w:val="00953BBB"/>
    <w:rsid w:val="009541E1"/>
    <w:rsid w:val="009546F1"/>
    <w:rsid w:val="00955274"/>
    <w:rsid w:val="009554A6"/>
    <w:rsid w:val="00955628"/>
    <w:rsid w:val="0095588B"/>
    <w:rsid w:val="00955C8E"/>
    <w:rsid w:val="00956060"/>
    <w:rsid w:val="00956C1A"/>
    <w:rsid w:val="00956F4A"/>
    <w:rsid w:val="009570F3"/>
    <w:rsid w:val="00957A31"/>
    <w:rsid w:val="00957AF2"/>
    <w:rsid w:val="00957F20"/>
    <w:rsid w:val="009602D3"/>
    <w:rsid w:val="0096068D"/>
    <w:rsid w:val="00960959"/>
    <w:rsid w:val="00961035"/>
    <w:rsid w:val="009613A2"/>
    <w:rsid w:val="009614B9"/>
    <w:rsid w:val="00962685"/>
    <w:rsid w:val="00962C0D"/>
    <w:rsid w:val="009631BA"/>
    <w:rsid w:val="009634B6"/>
    <w:rsid w:val="009638B7"/>
    <w:rsid w:val="00963B6E"/>
    <w:rsid w:val="00963C4F"/>
    <w:rsid w:val="00964047"/>
    <w:rsid w:val="00964188"/>
    <w:rsid w:val="00964191"/>
    <w:rsid w:val="009641ED"/>
    <w:rsid w:val="00964819"/>
    <w:rsid w:val="00965535"/>
    <w:rsid w:val="009656F9"/>
    <w:rsid w:val="00965DE8"/>
    <w:rsid w:val="0096600B"/>
    <w:rsid w:val="00966202"/>
    <w:rsid w:val="00966B05"/>
    <w:rsid w:val="00966C59"/>
    <w:rsid w:val="009674E0"/>
    <w:rsid w:val="00967E7D"/>
    <w:rsid w:val="00967F69"/>
    <w:rsid w:val="00967FB3"/>
    <w:rsid w:val="009704D0"/>
    <w:rsid w:val="009725E5"/>
    <w:rsid w:val="00972E77"/>
    <w:rsid w:val="00973671"/>
    <w:rsid w:val="009736C7"/>
    <w:rsid w:val="00973C7F"/>
    <w:rsid w:val="00973FE4"/>
    <w:rsid w:val="00974192"/>
    <w:rsid w:val="009743E5"/>
    <w:rsid w:val="00974905"/>
    <w:rsid w:val="00974AFE"/>
    <w:rsid w:val="00975133"/>
    <w:rsid w:val="0097529D"/>
    <w:rsid w:val="0097531E"/>
    <w:rsid w:val="0097533F"/>
    <w:rsid w:val="00975599"/>
    <w:rsid w:val="00975C07"/>
    <w:rsid w:val="00976068"/>
    <w:rsid w:val="00976181"/>
    <w:rsid w:val="009761FE"/>
    <w:rsid w:val="0097689E"/>
    <w:rsid w:val="009769F6"/>
    <w:rsid w:val="009772E4"/>
    <w:rsid w:val="009776EC"/>
    <w:rsid w:val="00977D1D"/>
    <w:rsid w:val="009810CE"/>
    <w:rsid w:val="00981372"/>
    <w:rsid w:val="00981B4E"/>
    <w:rsid w:val="00981E2A"/>
    <w:rsid w:val="009821F7"/>
    <w:rsid w:val="0098262B"/>
    <w:rsid w:val="0098265F"/>
    <w:rsid w:val="00982B48"/>
    <w:rsid w:val="0098315B"/>
    <w:rsid w:val="009838BB"/>
    <w:rsid w:val="00983BDE"/>
    <w:rsid w:val="00984905"/>
    <w:rsid w:val="0098499C"/>
    <w:rsid w:val="00984A05"/>
    <w:rsid w:val="009851C0"/>
    <w:rsid w:val="009852D8"/>
    <w:rsid w:val="009858A7"/>
    <w:rsid w:val="00985B6E"/>
    <w:rsid w:val="00985BF9"/>
    <w:rsid w:val="00985C35"/>
    <w:rsid w:val="00985E97"/>
    <w:rsid w:val="00986CD2"/>
    <w:rsid w:val="00987179"/>
    <w:rsid w:val="00987791"/>
    <w:rsid w:val="00987963"/>
    <w:rsid w:val="00987E4C"/>
    <w:rsid w:val="00987FE0"/>
    <w:rsid w:val="00990085"/>
    <w:rsid w:val="00990287"/>
    <w:rsid w:val="009904B1"/>
    <w:rsid w:val="00990736"/>
    <w:rsid w:val="00990DFC"/>
    <w:rsid w:val="00990F54"/>
    <w:rsid w:val="0099121F"/>
    <w:rsid w:val="00991D35"/>
    <w:rsid w:val="00991D3F"/>
    <w:rsid w:val="00991F8B"/>
    <w:rsid w:val="00992001"/>
    <w:rsid w:val="00992382"/>
    <w:rsid w:val="009924E8"/>
    <w:rsid w:val="009924E9"/>
    <w:rsid w:val="00992655"/>
    <w:rsid w:val="009929C0"/>
    <w:rsid w:val="00992A45"/>
    <w:rsid w:val="00992B8B"/>
    <w:rsid w:val="00992C69"/>
    <w:rsid w:val="00992E22"/>
    <w:rsid w:val="0099301A"/>
    <w:rsid w:val="00993453"/>
    <w:rsid w:val="00993848"/>
    <w:rsid w:val="009942AB"/>
    <w:rsid w:val="00994BC7"/>
    <w:rsid w:val="0099523C"/>
    <w:rsid w:val="0099533A"/>
    <w:rsid w:val="00995537"/>
    <w:rsid w:val="009956A8"/>
    <w:rsid w:val="0099590A"/>
    <w:rsid w:val="00995C15"/>
    <w:rsid w:val="00996A5B"/>
    <w:rsid w:val="00996ACB"/>
    <w:rsid w:val="00997CD7"/>
    <w:rsid w:val="00997D9A"/>
    <w:rsid w:val="009A06ED"/>
    <w:rsid w:val="009A08EF"/>
    <w:rsid w:val="009A0B1E"/>
    <w:rsid w:val="009A0C73"/>
    <w:rsid w:val="009A0DDF"/>
    <w:rsid w:val="009A0F86"/>
    <w:rsid w:val="009A1439"/>
    <w:rsid w:val="009A1972"/>
    <w:rsid w:val="009A1FC2"/>
    <w:rsid w:val="009A22D7"/>
    <w:rsid w:val="009A26AF"/>
    <w:rsid w:val="009A2AC5"/>
    <w:rsid w:val="009A3AD2"/>
    <w:rsid w:val="009A4A2F"/>
    <w:rsid w:val="009A4A9B"/>
    <w:rsid w:val="009A4E97"/>
    <w:rsid w:val="009A50E4"/>
    <w:rsid w:val="009A5423"/>
    <w:rsid w:val="009A5980"/>
    <w:rsid w:val="009A5A95"/>
    <w:rsid w:val="009A66F4"/>
    <w:rsid w:val="009A683E"/>
    <w:rsid w:val="009A6981"/>
    <w:rsid w:val="009A7031"/>
    <w:rsid w:val="009A75D2"/>
    <w:rsid w:val="009A7BF2"/>
    <w:rsid w:val="009A7E24"/>
    <w:rsid w:val="009A7EAD"/>
    <w:rsid w:val="009B0522"/>
    <w:rsid w:val="009B0D99"/>
    <w:rsid w:val="009B0F0E"/>
    <w:rsid w:val="009B0F74"/>
    <w:rsid w:val="009B1212"/>
    <w:rsid w:val="009B1D5C"/>
    <w:rsid w:val="009B20D7"/>
    <w:rsid w:val="009B2327"/>
    <w:rsid w:val="009B2487"/>
    <w:rsid w:val="009B2905"/>
    <w:rsid w:val="009B2DA8"/>
    <w:rsid w:val="009B34B0"/>
    <w:rsid w:val="009B3948"/>
    <w:rsid w:val="009B3F2F"/>
    <w:rsid w:val="009B406F"/>
    <w:rsid w:val="009B44C2"/>
    <w:rsid w:val="009B496B"/>
    <w:rsid w:val="009B55C2"/>
    <w:rsid w:val="009B6390"/>
    <w:rsid w:val="009B6647"/>
    <w:rsid w:val="009B7007"/>
    <w:rsid w:val="009B7139"/>
    <w:rsid w:val="009B73FF"/>
    <w:rsid w:val="009B782C"/>
    <w:rsid w:val="009B7985"/>
    <w:rsid w:val="009B798C"/>
    <w:rsid w:val="009B7CA2"/>
    <w:rsid w:val="009C0009"/>
    <w:rsid w:val="009C02E4"/>
    <w:rsid w:val="009C03E3"/>
    <w:rsid w:val="009C0E5D"/>
    <w:rsid w:val="009C1378"/>
    <w:rsid w:val="009C2150"/>
    <w:rsid w:val="009C338A"/>
    <w:rsid w:val="009C389A"/>
    <w:rsid w:val="009C40EE"/>
    <w:rsid w:val="009C4321"/>
    <w:rsid w:val="009C4CA6"/>
    <w:rsid w:val="009C4EDB"/>
    <w:rsid w:val="009C5BB2"/>
    <w:rsid w:val="009C5CEC"/>
    <w:rsid w:val="009C619B"/>
    <w:rsid w:val="009C6A69"/>
    <w:rsid w:val="009C6BFA"/>
    <w:rsid w:val="009C7432"/>
    <w:rsid w:val="009C7FEA"/>
    <w:rsid w:val="009D00E6"/>
    <w:rsid w:val="009D076B"/>
    <w:rsid w:val="009D0DCF"/>
    <w:rsid w:val="009D0E0F"/>
    <w:rsid w:val="009D1A0B"/>
    <w:rsid w:val="009D1A9E"/>
    <w:rsid w:val="009D1D91"/>
    <w:rsid w:val="009D2472"/>
    <w:rsid w:val="009D25D7"/>
    <w:rsid w:val="009D2860"/>
    <w:rsid w:val="009D2FB8"/>
    <w:rsid w:val="009D3244"/>
    <w:rsid w:val="009D35ED"/>
    <w:rsid w:val="009D368C"/>
    <w:rsid w:val="009D3756"/>
    <w:rsid w:val="009D3CD1"/>
    <w:rsid w:val="009D4050"/>
    <w:rsid w:val="009D4E40"/>
    <w:rsid w:val="009D6175"/>
    <w:rsid w:val="009D61E4"/>
    <w:rsid w:val="009D6490"/>
    <w:rsid w:val="009D7138"/>
    <w:rsid w:val="009D72E3"/>
    <w:rsid w:val="009D76F3"/>
    <w:rsid w:val="009D7881"/>
    <w:rsid w:val="009D78DF"/>
    <w:rsid w:val="009D7C53"/>
    <w:rsid w:val="009E1872"/>
    <w:rsid w:val="009E18C9"/>
    <w:rsid w:val="009E2A04"/>
    <w:rsid w:val="009E2E31"/>
    <w:rsid w:val="009E3406"/>
    <w:rsid w:val="009E3497"/>
    <w:rsid w:val="009E360B"/>
    <w:rsid w:val="009E36D5"/>
    <w:rsid w:val="009E3D5F"/>
    <w:rsid w:val="009E4163"/>
    <w:rsid w:val="009E4DCA"/>
    <w:rsid w:val="009E4F1B"/>
    <w:rsid w:val="009E54EC"/>
    <w:rsid w:val="009E55F9"/>
    <w:rsid w:val="009E5B08"/>
    <w:rsid w:val="009E604F"/>
    <w:rsid w:val="009E6788"/>
    <w:rsid w:val="009E6B31"/>
    <w:rsid w:val="009E71C2"/>
    <w:rsid w:val="009E7618"/>
    <w:rsid w:val="009E7F93"/>
    <w:rsid w:val="009F00C4"/>
    <w:rsid w:val="009F04B2"/>
    <w:rsid w:val="009F05D5"/>
    <w:rsid w:val="009F0D67"/>
    <w:rsid w:val="009F102C"/>
    <w:rsid w:val="009F109D"/>
    <w:rsid w:val="009F1EE4"/>
    <w:rsid w:val="009F295E"/>
    <w:rsid w:val="009F2A21"/>
    <w:rsid w:val="009F2C3B"/>
    <w:rsid w:val="009F39B4"/>
    <w:rsid w:val="009F3A6E"/>
    <w:rsid w:val="009F433B"/>
    <w:rsid w:val="009F4410"/>
    <w:rsid w:val="009F542F"/>
    <w:rsid w:val="009F55AA"/>
    <w:rsid w:val="009F67B1"/>
    <w:rsid w:val="009F6897"/>
    <w:rsid w:val="009F68B7"/>
    <w:rsid w:val="009F703E"/>
    <w:rsid w:val="009F722B"/>
    <w:rsid w:val="009F7352"/>
    <w:rsid w:val="009F7DBC"/>
    <w:rsid w:val="00A000D7"/>
    <w:rsid w:val="00A00225"/>
    <w:rsid w:val="00A00ED8"/>
    <w:rsid w:val="00A01A49"/>
    <w:rsid w:val="00A01E3D"/>
    <w:rsid w:val="00A02160"/>
    <w:rsid w:val="00A02633"/>
    <w:rsid w:val="00A02743"/>
    <w:rsid w:val="00A028EA"/>
    <w:rsid w:val="00A037AE"/>
    <w:rsid w:val="00A03B38"/>
    <w:rsid w:val="00A03C3D"/>
    <w:rsid w:val="00A03F1E"/>
    <w:rsid w:val="00A04F36"/>
    <w:rsid w:val="00A053E5"/>
    <w:rsid w:val="00A055F9"/>
    <w:rsid w:val="00A058F2"/>
    <w:rsid w:val="00A05CC6"/>
    <w:rsid w:val="00A05DF4"/>
    <w:rsid w:val="00A061AF"/>
    <w:rsid w:val="00A0649B"/>
    <w:rsid w:val="00A06CC7"/>
    <w:rsid w:val="00A06E16"/>
    <w:rsid w:val="00A07488"/>
    <w:rsid w:val="00A07EEB"/>
    <w:rsid w:val="00A10665"/>
    <w:rsid w:val="00A109EA"/>
    <w:rsid w:val="00A10DCE"/>
    <w:rsid w:val="00A10E69"/>
    <w:rsid w:val="00A11B82"/>
    <w:rsid w:val="00A11D48"/>
    <w:rsid w:val="00A11E38"/>
    <w:rsid w:val="00A11F7B"/>
    <w:rsid w:val="00A1416D"/>
    <w:rsid w:val="00A14C4F"/>
    <w:rsid w:val="00A14ED3"/>
    <w:rsid w:val="00A151EF"/>
    <w:rsid w:val="00A1530A"/>
    <w:rsid w:val="00A154EB"/>
    <w:rsid w:val="00A157EC"/>
    <w:rsid w:val="00A16D18"/>
    <w:rsid w:val="00A17634"/>
    <w:rsid w:val="00A17700"/>
    <w:rsid w:val="00A17CF2"/>
    <w:rsid w:val="00A20181"/>
    <w:rsid w:val="00A20A8D"/>
    <w:rsid w:val="00A21CEA"/>
    <w:rsid w:val="00A21F0A"/>
    <w:rsid w:val="00A2273F"/>
    <w:rsid w:val="00A23BC8"/>
    <w:rsid w:val="00A23FBC"/>
    <w:rsid w:val="00A24089"/>
    <w:rsid w:val="00A2464E"/>
    <w:rsid w:val="00A24ECB"/>
    <w:rsid w:val="00A25396"/>
    <w:rsid w:val="00A25606"/>
    <w:rsid w:val="00A25B45"/>
    <w:rsid w:val="00A25CAD"/>
    <w:rsid w:val="00A25D38"/>
    <w:rsid w:val="00A26048"/>
    <w:rsid w:val="00A26B45"/>
    <w:rsid w:val="00A26CFD"/>
    <w:rsid w:val="00A26F4E"/>
    <w:rsid w:val="00A2771A"/>
    <w:rsid w:val="00A279BC"/>
    <w:rsid w:val="00A3003B"/>
    <w:rsid w:val="00A30BE0"/>
    <w:rsid w:val="00A314D0"/>
    <w:rsid w:val="00A31DBB"/>
    <w:rsid w:val="00A31EA9"/>
    <w:rsid w:val="00A321AC"/>
    <w:rsid w:val="00A323B2"/>
    <w:rsid w:val="00A3274C"/>
    <w:rsid w:val="00A32A8C"/>
    <w:rsid w:val="00A32BA3"/>
    <w:rsid w:val="00A330C9"/>
    <w:rsid w:val="00A3383D"/>
    <w:rsid w:val="00A33A91"/>
    <w:rsid w:val="00A348F9"/>
    <w:rsid w:val="00A34B77"/>
    <w:rsid w:val="00A3517B"/>
    <w:rsid w:val="00A35486"/>
    <w:rsid w:val="00A35C8E"/>
    <w:rsid w:val="00A36211"/>
    <w:rsid w:val="00A36AB7"/>
    <w:rsid w:val="00A36B14"/>
    <w:rsid w:val="00A36BD2"/>
    <w:rsid w:val="00A37390"/>
    <w:rsid w:val="00A37526"/>
    <w:rsid w:val="00A37719"/>
    <w:rsid w:val="00A37D2A"/>
    <w:rsid w:val="00A37DDD"/>
    <w:rsid w:val="00A37FAF"/>
    <w:rsid w:val="00A40708"/>
    <w:rsid w:val="00A409F3"/>
    <w:rsid w:val="00A410D6"/>
    <w:rsid w:val="00A41180"/>
    <w:rsid w:val="00A418C3"/>
    <w:rsid w:val="00A41F96"/>
    <w:rsid w:val="00A423DC"/>
    <w:rsid w:val="00A4253E"/>
    <w:rsid w:val="00A4256C"/>
    <w:rsid w:val="00A4307E"/>
    <w:rsid w:val="00A43158"/>
    <w:rsid w:val="00A43574"/>
    <w:rsid w:val="00A43AE5"/>
    <w:rsid w:val="00A43E0D"/>
    <w:rsid w:val="00A44386"/>
    <w:rsid w:val="00A44418"/>
    <w:rsid w:val="00A4483B"/>
    <w:rsid w:val="00A448A1"/>
    <w:rsid w:val="00A44C19"/>
    <w:rsid w:val="00A45619"/>
    <w:rsid w:val="00A45989"/>
    <w:rsid w:val="00A4622D"/>
    <w:rsid w:val="00A46339"/>
    <w:rsid w:val="00A464C9"/>
    <w:rsid w:val="00A475D9"/>
    <w:rsid w:val="00A47EA8"/>
    <w:rsid w:val="00A50027"/>
    <w:rsid w:val="00A50230"/>
    <w:rsid w:val="00A50C77"/>
    <w:rsid w:val="00A50E3F"/>
    <w:rsid w:val="00A50EA3"/>
    <w:rsid w:val="00A51543"/>
    <w:rsid w:val="00A5155F"/>
    <w:rsid w:val="00A516E8"/>
    <w:rsid w:val="00A52373"/>
    <w:rsid w:val="00A526A8"/>
    <w:rsid w:val="00A52873"/>
    <w:rsid w:val="00A529ED"/>
    <w:rsid w:val="00A531FD"/>
    <w:rsid w:val="00A54433"/>
    <w:rsid w:val="00A54867"/>
    <w:rsid w:val="00A54BBD"/>
    <w:rsid w:val="00A54E2F"/>
    <w:rsid w:val="00A554AC"/>
    <w:rsid w:val="00A55641"/>
    <w:rsid w:val="00A55D09"/>
    <w:rsid w:val="00A562FD"/>
    <w:rsid w:val="00A56E5E"/>
    <w:rsid w:val="00A56F5B"/>
    <w:rsid w:val="00A574CF"/>
    <w:rsid w:val="00A575AE"/>
    <w:rsid w:val="00A5784B"/>
    <w:rsid w:val="00A57DFB"/>
    <w:rsid w:val="00A6001F"/>
    <w:rsid w:val="00A601F8"/>
    <w:rsid w:val="00A6023A"/>
    <w:rsid w:val="00A604FC"/>
    <w:rsid w:val="00A60912"/>
    <w:rsid w:val="00A60A5E"/>
    <w:rsid w:val="00A6102D"/>
    <w:rsid w:val="00A613CB"/>
    <w:rsid w:val="00A61721"/>
    <w:rsid w:val="00A61BE4"/>
    <w:rsid w:val="00A61F11"/>
    <w:rsid w:val="00A6203F"/>
    <w:rsid w:val="00A62C09"/>
    <w:rsid w:val="00A62DFB"/>
    <w:rsid w:val="00A63280"/>
    <w:rsid w:val="00A633EE"/>
    <w:rsid w:val="00A63BB3"/>
    <w:rsid w:val="00A65035"/>
    <w:rsid w:val="00A65068"/>
    <w:rsid w:val="00A65603"/>
    <w:rsid w:val="00A65B02"/>
    <w:rsid w:val="00A66950"/>
    <w:rsid w:val="00A66DF8"/>
    <w:rsid w:val="00A66FA5"/>
    <w:rsid w:val="00A6789D"/>
    <w:rsid w:val="00A678D1"/>
    <w:rsid w:val="00A67993"/>
    <w:rsid w:val="00A702DB"/>
    <w:rsid w:val="00A7072B"/>
    <w:rsid w:val="00A70E9F"/>
    <w:rsid w:val="00A7176B"/>
    <w:rsid w:val="00A71BA0"/>
    <w:rsid w:val="00A71FFC"/>
    <w:rsid w:val="00A72430"/>
    <w:rsid w:val="00A72893"/>
    <w:rsid w:val="00A72BDB"/>
    <w:rsid w:val="00A72E4E"/>
    <w:rsid w:val="00A731D8"/>
    <w:rsid w:val="00A73827"/>
    <w:rsid w:val="00A738FA"/>
    <w:rsid w:val="00A73AC5"/>
    <w:rsid w:val="00A73BF1"/>
    <w:rsid w:val="00A73CC9"/>
    <w:rsid w:val="00A73CE5"/>
    <w:rsid w:val="00A73D77"/>
    <w:rsid w:val="00A741F9"/>
    <w:rsid w:val="00A74E1A"/>
    <w:rsid w:val="00A75F0E"/>
    <w:rsid w:val="00A762F7"/>
    <w:rsid w:val="00A773F0"/>
    <w:rsid w:val="00A77464"/>
    <w:rsid w:val="00A77620"/>
    <w:rsid w:val="00A801B3"/>
    <w:rsid w:val="00A8105B"/>
    <w:rsid w:val="00A81097"/>
    <w:rsid w:val="00A81519"/>
    <w:rsid w:val="00A819B5"/>
    <w:rsid w:val="00A81C1E"/>
    <w:rsid w:val="00A825CD"/>
    <w:rsid w:val="00A8286B"/>
    <w:rsid w:val="00A8289E"/>
    <w:rsid w:val="00A828A3"/>
    <w:rsid w:val="00A82CC8"/>
    <w:rsid w:val="00A835FC"/>
    <w:rsid w:val="00A8360F"/>
    <w:rsid w:val="00A83638"/>
    <w:rsid w:val="00A83761"/>
    <w:rsid w:val="00A8379A"/>
    <w:rsid w:val="00A837F5"/>
    <w:rsid w:val="00A8397F"/>
    <w:rsid w:val="00A84947"/>
    <w:rsid w:val="00A849B3"/>
    <w:rsid w:val="00A84BE5"/>
    <w:rsid w:val="00A85041"/>
    <w:rsid w:val="00A85208"/>
    <w:rsid w:val="00A85A40"/>
    <w:rsid w:val="00A85CAA"/>
    <w:rsid w:val="00A86244"/>
    <w:rsid w:val="00A869FC"/>
    <w:rsid w:val="00A86BD6"/>
    <w:rsid w:val="00A86C40"/>
    <w:rsid w:val="00A86EA3"/>
    <w:rsid w:val="00A870A7"/>
    <w:rsid w:val="00A87135"/>
    <w:rsid w:val="00A87F5F"/>
    <w:rsid w:val="00A905FC"/>
    <w:rsid w:val="00A90BE6"/>
    <w:rsid w:val="00A90C1A"/>
    <w:rsid w:val="00A90D2F"/>
    <w:rsid w:val="00A9166A"/>
    <w:rsid w:val="00A91D7D"/>
    <w:rsid w:val="00A920F2"/>
    <w:rsid w:val="00A923C5"/>
    <w:rsid w:val="00A9282F"/>
    <w:rsid w:val="00A93D19"/>
    <w:rsid w:val="00A94C1D"/>
    <w:rsid w:val="00A94D99"/>
    <w:rsid w:val="00A9589D"/>
    <w:rsid w:val="00A95A16"/>
    <w:rsid w:val="00A95AC0"/>
    <w:rsid w:val="00A966D6"/>
    <w:rsid w:val="00A9770C"/>
    <w:rsid w:val="00A978B8"/>
    <w:rsid w:val="00A97A55"/>
    <w:rsid w:val="00A97DA0"/>
    <w:rsid w:val="00AA0438"/>
    <w:rsid w:val="00AA048F"/>
    <w:rsid w:val="00AA08AB"/>
    <w:rsid w:val="00AA11A9"/>
    <w:rsid w:val="00AA1689"/>
    <w:rsid w:val="00AA2840"/>
    <w:rsid w:val="00AA2CD8"/>
    <w:rsid w:val="00AA467A"/>
    <w:rsid w:val="00AA54E4"/>
    <w:rsid w:val="00AA555C"/>
    <w:rsid w:val="00AA56C5"/>
    <w:rsid w:val="00AA617E"/>
    <w:rsid w:val="00AA6664"/>
    <w:rsid w:val="00AA691A"/>
    <w:rsid w:val="00AA6B09"/>
    <w:rsid w:val="00AA76B9"/>
    <w:rsid w:val="00AB0095"/>
    <w:rsid w:val="00AB0341"/>
    <w:rsid w:val="00AB0947"/>
    <w:rsid w:val="00AB20D0"/>
    <w:rsid w:val="00AB2AEF"/>
    <w:rsid w:val="00AB2D32"/>
    <w:rsid w:val="00AB3735"/>
    <w:rsid w:val="00AB3F89"/>
    <w:rsid w:val="00AB4B44"/>
    <w:rsid w:val="00AB4CF3"/>
    <w:rsid w:val="00AB4D2D"/>
    <w:rsid w:val="00AB53B9"/>
    <w:rsid w:val="00AB58B2"/>
    <w:rsid w:val="00AB5A58"/>
    <w:rsid w:val="00AB603F"/>
    <w:rsid w:val="00AB6448"/>
    <w:rsid w:val="00AB6701"/>
    <w:rsid w:val="00AB67B4"/>
    <w:rsid w:val="00AB762C"/>
    <w:rsid w:val="00AB778F"/>
    <w:rsid w:val="00AB7BEF"/>
    <w:rsid w:val="00AB7CEF"/>
    <w:rsid w:val="00AC0561"/>
    <w:rsid w:val="00AC1773"/>
    <w:rsid w:val="00AC18D8"/>
    <w:rsid w:val="00AC19A7"/>
    <w:rsid w:val="00AC1BCE"/>
    <w:rsid w:val="00AC1EB3"/>
    <w:rsid w:val="00AC1FAC"/>
    <w:rsid w:val="00AC26B2"/>
    <w:rsid w:val="00AC28CB"/>
    <w:rsid w:val="00AC298F"/>
    <w:rsid w:val="00AC2D82"/>
    <w:rsid w:val="00AC2EB1"/>
    <w:rsid w:val="00AC31BD"/>
    <w:rsid w:val="00AC34C8"/>
    <w:rsid w:val="00AC35B1"/>
    <w:rsid w:val="00AC435D"/>
    <w:rsid w:val="00AC6226"/>
    <w:rsid w:val="00AC62C1"/>
    <w:rsid w:val="00AC70EC"/>
    <w:rsid w:val="00AC762E"/>
    <w:rsid w:val="00AC7DEF"/>
    <w:rsid w:val="00AC7F47"/>
    <w:rsid w:val="00AD0427"/>
    <w:rsid w:val="00AD074C"/>
    <w:rsid w:val="00AD154F"/>
    <w:rsid w:val="00AD1D1C"/>
    <w:rsid w:val="00AD1DA9"/>
    <w:rsid w:val="00AD1ECF"/>
    <w:rsid w:val="00AD2D76"/>
    <w:rsid w:val="00AD2FAC"/>
    <w:rsid w:val="00AD36FD"/>
    <w:rsid w:val="00AD382E"/>
    <w:rsid w:val="00AD383B"/>
    <w:rsid w:val="00AD4406"/>
    <w:rsid w:val="00AD5556"/>
    <w:rsid w:val="00AD577F"/>
    <w:rsid w:val="00AD5F9B"/>
    <w:rsid w:val="00AD615F"/>
    <w:rsid w:val="00AD6450"/>
    <w:rsid w:val="00AD65D2"/>
    <w:rsid w:val="00AD68C5"/>
    <w:rsid w:val="00AD6AC8"/>
    <w:rsid w:val="00AD6DDA"/>
    <w:rsid w:val="00AD6F4E"/>
    <w:rsid w:val="00AD7406"/>
    <w:rsid w:val="00AD74B8"/>
    <w:rsid w:val="00AD7533"/>
    <w:rsid w:val="00AD7CE8"/>
    <w:rsid w:val="00AD7DB5"/>
    <w:rsid w:val="00AE0102"/>
    <w:rsid w:val="00AE05AE"/>
    <w:rsid w:val="00AE0E24"/>
    <w:rsid w:val="00AE14C4"/>
    <w:rsid w:val="00AE14C6"/>
    <w:rsid w:val="00AE15E8"/>
    <w:rsid w:val="00AE16A3"/>
    <w:rsid w:val="00AE2709"/>
    <w:rsid w:val="00AE2A44"/>
    <w:rsid w:val="00AE2D19"/>
    <w:rsid w:val="00AE36BE"/>
    <w:rsid w:val="00AE400A"/>
    <w:rsid w:val="00AE45D2"/>
    <w:rsid w:val="00AE4870"/>
    <w:rsid w:val="00AE4C60"/>
    <w:rsid w:val="00AE51B9"/>
    <w:rsid w:val="00AE5CD5"/>
    <w:rsid w:val="00AE63EE"/>
    <w:rsid w:val="00AE6687"/>
    <w:rsid w:val="00AE6704"/>
    <w:rsid w:val="00AE670D"/>
    <w:rsid w:val="00AE6A59"/>
    <w:rsid w:val="00AE6AF0"/>
    <w:rsid w:val="00AE6F06"/>
    <w:rsid w:val="00AE7827"/>
    <w:rsid w:val="00AE7B1A"/>
    <w:rsid w:val="00AE7FE0"/>
    <w:rsid w:val="00AF0040"/>
    <w:rsid w:val="00AF0241"/>
    <w:rsid w:val="00AF0690"/>
    <w:rsid w:val="00AF0C42"/>
    <w:rsid w:val="00AF1622"/>
    <w:rsid w:val="00AF1B0C"/>
    <w:rsid w:val="00AF1B9A"/>
    <w:rsid w:val="00AF1C20"/>
    <w:rsid w:val="00AF2245"/>
    <w:rsid w:val="00AF2446"/>
    <w:rsid w:val="00AF24D8"/>
    <w:rsid w:val="00AF28CA"/>
    <w:rsid w:val="00AF2C2B"/>
    <w:rsid w:val="00AF2E10"/>
    <w:rsid w:val="00AF369B"/>
    <w:rsid w:val="00AF4692"/>
    <w:rsid w:val="00AF46ED"/>
    <w:rsid w:val="00AF474A"/>
    <w:rsid w:val="00AF54C5"/>
    <w:rsid w:val="00AF57B9"/>
    <w:rsid w:val="00AF5A08"/>
    <w:rsid w:val="00AF5A4F"/>
    <w:rsid w:val="00AF5B17"/>
    <w:rsid w:val="00AF623C"/>
    <w:rsid w:val="00AF7395"/>
    <w:rsid w:val="00AF73BC"/>
    <w:rsid w:val="00AF7770"/>
    <w:rsid w:val="00AF7E09"/>
    <w:rsid w:val="00B001B8"/>
    <w:rsid w:val="00B001EB"/>
    <w:rsid w:val="00B00289"/>
    <w:rsid w:val="00B00322"/>
    <w:rsid w:val="00B0040C"/>
    <w:rsid w:val="00B0084E"/>
    <w:rsid w:val="00B00F94"/>
    <w:rsid w:val="00B01198"/>
    <w:rsid w:val="00B0170C"/>
    <w:rsid w:val="00B01780"/>
    <w:rsid w:val="00B020F7"/>
    <w:rsid w:val="00B02AEE"/>
    <w:rsid w:val="00B02E05"/>
    <w:rsid w:val="00B04CC7"/>
    <w:rsid w:val="00B050FC"/>
    <w:rsid w:val="00B05A3F"/>
    <w:rsid w:val="00B05EB6"/>
    <w:rsid w:val="00B05FFD"/>
    <w:rsid w:val="00B070D5"/>
    <w:rsid w:val="00B0748C"/>
    <w:rsid w:val="00B07A28"/>
    <w:rsid w:val="00B101A2"/>
    <w:rsid w:val="00B10568"/>
    <w:rsid w:val="00B107C5"/>
    <w:rsid w:val="00B1299A"/>
    <w:rsid w:val="00B12DEA"/>
    <w:rsid w:val="00B13347"/>
    <w:rsid w:val="00B13566"/>
    <w:rsid w:val="00B13A03"/>
    <w:rsid w:val="00B13AF8"/>
    <w:rsid w:val="00B13BD6"/>
    <w:rsid w:val="00B14032"/>
    <w:rsid w:val="00B14B67"/>
    <w:rsid w:val="00B150B8"/>
    <w:rsid w:val="00B1516B"/>
    <w:rsid w:val="00B15175"/>
    <w:rsid w:val="00B154C1"/>
    <w:rsid w:val="00B15991"/>
    <w:rsid w:val="00B15F11"/>
    <w:rsid w:val="00B15FEA"/>
    <w:rsid w:val="00B1684E"/>
    <w:rsid w:val="00B16A39"/>
    <w:rsid w:val="00B172CE"/>
    <w:rsid w:val="00B17B00"/>
    <w:rsid w:val="00B17B01"/>
    <w:rsid w:val="00B20114"/>
    <w:rsid w:val="00B2073D"/>
    <w:rsid w:val="00B20B0F"/>
    <w:rsid w:val="00B215DB"/>
    <w:rsid w:val="00B21A03"/>
    <w:rsid w:val="00B220F0"/>
    <w:rsid w:val="00B224AC"/>
    <w:rsid w:val="00B2258F"/>
    <w:rsid w:val="00B2286D"/>
    <w:rsid w:val="00B22AE4"/>
    <w:rsid w:val="00B2370F"/>
    <w:rsid w:val="00B240FA"/>
    <w:rsid w:val="00B2478B"/>
    <w:rsid w:val="00B251F7"/>
    <w:rsid w:val="00B25447"/>
    <w:rsid w:val="00B2547A"/>
    <w:rsid w:val="00B255CF"/>
    <w:rsid w:val="00B257FF"/>
    <w:rsid w:val="00B25DC8"/>
    <w:rsid w:val="00B26840"/>
    <w:rsid w:val="00B2732F"/>
    <w:rsid w:val="00B27841"/>
    <w:rsid w:val="00B27B07"/>
    <w:rsid w:val="00B27D12"/>
    <w:rsid w:val="00B3005F"/>
    <w:rsid w:val="00B302AA"/>
    <w:rsid w:val="00B3089E"/>
    <w:rsid w:val="00B30D28"/>
    <w:rsid w:val="00B30FEF"/>
    <w:rsid w:val="00B31942"/>
    <w:rsid w:val="00B31BD4"/>
    <w:rsid w:val="00B31C9F"/>
    <w:rsid w:val="00B32C9F"/>
    <w:rsid w:val="00B32DDA"/>
    <w:rsid w:val="00B33877"/>
    <w:rsid w:val="00B338C4"/>
    <w:rsid w:val="00B3413A"/>
    <w:rsid w:val="00B342E7"/>
    <w:rsid w:val="00B34683"/>
    <w:rsid w:val="00B34F14"/>
    <w:rsid w:val="00B35963"/>
    <w:rsid w:val="00B36927"/>
    <w:rsid w:val="00B36AAD"/>
    <w:rsid w:val="00B37198"/>
    <w:rsid w:val="00B37555"/>
    <w:rsid w:val="00B3787A"/>
    <w:rsid w:val="00B37986"/>
    <w:rsid w:val="00B40D8E"/>
    <w:rsid w:val="00B40F9D"/>
    <w:rsid w:val="00B413D1"/>
    <w:rsid w:val="00B415E9"/>
    <w:rsid w:val="00B417AF"/>
    <w:rsid w:val="00B41802"/>
    <w:rsid w:val="00B41DAC"/>
    <w:rsid w:val="00B42949"/>
    <w:rsid w:val="00B429A3"/>
    <w:rsid w:val="00B42D38"/>
    <w:rsid w:val="00B42F27"/>
    <w:rsid w:val="00B436D2"/>
    <w:rsid w:val="00B44E94"/>
    <w:rsid w:val="00B4609C"/>
    <w:rsid w:val="00B461FB"/>
    <w:rsid w:val="00B46E40"/>
    <w:rsid w:val="00B4736D"/>
    <w:rsid w:val="00B47403"/>
    <w:rsid w:val="00B4772D"/>
    <w:rsid w:val="00B47A69"/>
    <w:rsid w:val="00B502AB"/>
    <w:rsid w:val="00B50618"/>
    <w:rsid w:val="00B50A42"/>
    <w:rsid w:val="00B513E3"/>
    <w:rsid w:val="00B513E9"/>
    <w:rsid w:val="00B52387"/>
    <w:rsid w:val="00B52C51"/>
    <w:rsid w:val="00B534AB"/>
    <w:rsid w:val="00B53BFB"/>
    <w:rsid w:val="00B53C93"/>
    <w:rsid w:val="00B54B90"/>
    <w:rsid w:val="00B55413"/>
    <w:rsid w:val="00B554A4"/>
    <w:rsid w:val="00B55543"/>
    <w:rsid w:val="00B55AF1"/>
    <w:rsid w:val="00B55CD5"/>
    <w:rsid w:val="00B55FA2"/>
    <w:rsid w:val="00B5678D"/>
    <w:rsid w:val="00B56D65"/>
    <w:rsid w:val="00B5760F"/>
    <w:rsid w:val="00B57F2E"/>
    <w:rsid w:val="00B57FF9"/>
    <w:rsid w:val="00B607BD"/>
    <w:rsid w:val="00B608EC"/>
    <w:rsid w:val="00B60BD1"/>
    <w:rsid w:val="00B60E4B"/>
    <w:rsid w:val="00B60ED4"/>
    <w:rsid w:val="00B618A5"/>
    <w:rsid w:val="00B61CA5"/>
    <w:rsid w:val="00B61FE7"/>
    <w:rsid w:val="00B62999"/>
    <w:rsid w:val="00B62D4C"/>
    <w:rsid w:val="00B640B1"/>
    <w:rsid w:val="00B648F0"/>
    <w:rsid w:val="00B648FC"/>
    <w:rsid w:val="00B64C78"/>
    <w:rsid w:val="00B64F5D"/>
    <w:rsid w:val="00B659CE"/>
    <w:rsid w:val="00B65C44"/>
    <w:rsid w:val="00B65C4D"/>
    <w:rsid w:val="00B66523"/>
    <w:rsid w:val="00B66D6A"/>
    <w:rsid w:val="00B66FF3"/>
    <w:rsid w:val="00B67190"/>
    <w:rsid w:val="00B674A7"/>
    <w:rsid w:val="00B677C8"/>
    <w:rsid w:val="00B678B2"/>
    <w:rsid w:val="00B70513"/>
    <w:rsid w:val="00B708DC"/>
    <w:rsid w:val="00B71232"/>
    <w:rsid w:val="00B71C32"/>
    <w:rsid w:val="00B71DC0"/>
    <w:rsid w:val="00B7277C"/>
    <w:rsid w:val="00B72B69"/>
    <w:rsid w:val="00B72D87"/>
    <w:rsid w:val="00B72E0A"/>
    <w:rsid w:val="00B72F36"/>
    <w:rsid w:val="00B7359D"/>
    <w:rsid w:val="00B737A6"/>
    <w:rsid w:val="00B73AAF"/>
    <w:rsid w:val="00B73C9B"/>
    <w:rsid w:val="00B740EC"/>
    <w:rsid w:val="00B74392"/>
    <w:rsid w:val="00B7466A"/>
    <w:rsid w:val="00B747C4"/>
    <w:rsid w:val="00B7494C"/>
    <w:rsid w:val="00B74AED"/>
    <w:rsid w:val="00B76112"/>
    <w:rsid w:val="00B7636B"/>
    <w:rsid w:val="00B768D5"/>
    <w:rsid w:val="00B77013"/>
    <w:rsid w:val="00B7714E"/>
    <w:rsid w:val="00B777F9"/>
    <w:rsid w:val="00B77F84"/>
    <w:rsid w:val="00B80038"/>
    <w:rsid w:val="00B802F5"/>
    <w:rsid w:val="00B806AD"/>
    <w:rsid w:val="00B80A0E"/>
    <w:rsid w:val="00B80F43"/>
    <w:rsid w:val="00B818FE"/>
    <w:rsid w:val="00B81C34"/>
    <w:rsid w:val="00B825CD"/>
    <w:rsid w:val="00B82629"/>
    <w:rsid w:val="00B82727"/>
    <w:rsid w:val="00B82FC0"/>
    <w:rsid w:val="00B83139"/>
    <w:rsid w:val="00B83140"/>
    <w:rsid w:val="00B83838"/>
    <w:rsid w:val="00B83A6E"/>
    <w:rsid w:val="00B83B45"/>
    <w:rsid w:val="00B83D9D"/>
    <w:rsid w:val="00B847B9"/>
    <w:rsid w:val="00B8506D"/>
    <w:rsid w:val="00B85283"/>
    <w:rsid w:val="00B85477"/>
    <w:rsid w:val="00B859C9"/>
    <w:rsid w:val="00B85C72"/>
    <w:rsid w:val="00B85DEE"/>
    <w:rsid w:val="00B85E49"/>
    <w:rsid w:val="00B86F18"/>
    <w:rsid w:val="00B87404"/>
    <w:rsid w:val="00B8759E"/>
    <w:rsid w:val="00B87704"/>
    <w:rsid w:val="00B878C4"/>
    <w:rsid w:val="00B9022E"/>
    <w:rsid w:val="00B905A7"/>
    <w:rsid w:val="00B90C2A"/>
    <w:rsid w:val="00B910C3"/>
    <w:rsid w:val="00B91499"/>
    <w:rsid w:val="00B914E0"/>
    <w:rsid w:val="00B9155B"/>
    <w:rsid w:val="00B915C7"/>
    <w:rsid w:val="00B91807"/>
    <w:rsid w:val="00B91B99"/>
    <w:rsid w:val="00B91E0C"/>
    <w:rsid w:val="00B920AD"/>
    <w:rsid w:val="00B921ED"/>
    <w:rsid w:val="00B92B7D"/>
    <w:rsid w:val="00B92C22"/>
    <w:rsid w:val="00B930A8"/>
    <w:rsid w:val="00B930D4"/>
    <w:rsid w:val="00B9310F"/>
    <w:rsid w:val="00B94718"/>
    <w:rsid w:val="00B94837"/>
    <w:rsid w:val="00B94A79"/>
    <w:rsid w:val="00B94C65"/>
    <w:rsid w:val="00B94E98"/>
    <w:rsid w:val="00B94F8D"/>
    <w:rsid w:val="00B9512E"/>
    <w:rsid w:val="00B9516E"/>
    <w:rsid w:val="00B95DC4"/>
    <w:rsid w:val="00B95EC8"/>
    <w:rsid w:val="00B96336"/>
    <w:rsid w:val="00B96C5A"/>
    <w:rsid w:val="00B9799D"/>
    <w:rsid w:val="00BA0E7A"/>
    <w:rsid w:val="00BA27D5"/>
    <w:rsid w:val="00BA349F"/>
    <w:rsid w:val="00BA3811"/>
    <w:rsid w:val="00BA4747"/>
    <w:rsid w:val="00BA4D62"/>
    <w:rsid w:val="00BA5616"/>
    <w:rsid w:val="00BA5A4F"/>
    <w:rsid w:val="00BA5E77"/>
    <w:rsid w:val="00BA5FF7"/>
    <w:rsid w:val="00BA6881"/>
    <w:rsid w:val="00BA6A14"/>
    <w:rsid w:val="00BA6DF2"/>
    <w:rsid w:val="00BA717F"/>
    <w:rsid w:val="00BA7388"/>
    <w:rsid w:val="00BA7B3B"/>
    <w:rsid w:val="00BA7CA1"/>
    <w:rsid w:val="00BA7D1D"/>
    <w:rsid w:val="00BB06A5"/>
    <w:rsid w:val="00BB10CE"/>
    <w:rsid w:val="00BB137D"/>
    <w:rsid w:val="00BB14A6"/>
    <w:rsid w:val="00BB18EA"/>
    <w:rsid w:val="00BB1EA7"/>
    <w:rsid w:val="00BB2A0C"/>
    <w:rsid w:val="00BB2A9D"/>
    <w:rsid w:val="00BB34BC"/>
    <w:rsid w:val="00BB3B1B"/>
    <w:rsid w:val="00BB3F13"/>
    <w:rsid w:val="00BB4107"/>
    <w:rsid w:val="00BB41D3"/>
    <w:rsid w:val="00BB4267"/>
    <w:rsid w:val="00BB4687"/>
    <w:rsid w:val="00BB4735"/>
    <w:rsid w:val="00BB4818"/>
    <w:rsid w:val="00BB49F7"/>
    <w:rsid w:val="00BB4F3C"/>
    <w:rsid w:val="00BB556E"/>
    <w:rsid w:val="00BB5837"/>
    <w:rsid w:val="00BB5E22"/>
    <w:rsid w:val="00BB6409"/>
    <w:rsid w:val="00BB658D"/>
    <w:rsid w:val="00BB6C23"/>
    <w:rsid w:val="00BB7118"/>
    <w:rsid w:val="00BC0124"/>
    <w:rsid w:val="00BC0484"/>
    <w:rsid w:val="00BC0FDF"/>
    <w:rsid w:val="00BC1070"/>
    <w:rsid w:val="00BC186B"/>
    <w:rsid w:val="00BC1973"/>
    <w:rsid w:val="00BC1EE4"/>
    <w:rsid w:val="00BC2628"/>
    <w:rsid w:val="00BC26CC"/>
    <w:rsid w:val="00BC2788"/>
    <w:rsid w:val="00BC29A2"/>
    <w:rsid w:val="00BC2F92"/>
    <w:rsid w:val="00BC3382"/>
    <w:rsid w:val="00BC363C"/>
    <w:rsid w:val="00BC3670"/>
    <w:rsid w:val="00BC39CA"/>
    <w:rsid w:val="00BC3AE9"/>
    <w:rsid w:val="00BC3D9B"/>
    <w:rsid w:val="00BC3DC5"/>
    <w:rsid w:val="00BC4169"/>
    <w:rsid w:val="00BC4B49"/>
    <w:rsid w:val="00BC53A4"/>
    <w:rsid w:val="00BC543A"/>
    <w:rsid w:val="00BC5677"/>
    <w:rsid w:val="00BC5D68"/>
    <w:rsid w:val="00BC614A"/>
    <w:rsid w:val="00BC614B"/>
    <w:rsid w:val="00BC6281"/>
    <w:rsid w:val="00BC65EA"/>
    <w:rsid w:val="00BC665F"/>
    <w:rsid w:val="00BC6931"/>
    <w:rsid w:val="00BC6991"/>
    <w:rsid w:val="00BC7214"/>
    <w:rsid w:val="00BC72DA"/>
    <w:rsid w:val="00BC7699"/>
    <w:rsid w:val="00BC7B7A"/>
    <w:rsid w:val="00BD00DE"/>
    <w:rsid w:val="00BD0229"/>
    <w:rsid w:val="00BD0483"/>
    <w:rsid w:val="00BD0CC6"/>
    <w:rsid w:val="00BD0D25"/>
    <w:rsid w:val="00BD1485"/>
    <w:rsid w:val="00BD1CBA"/>
    <w:rsid w:val="00BD24C4"/>
    <w:rsid w:val="00BD3A4F"/>
    <w:rsid w:val="00BD3D5E"/>
    <w:rsid w:val="00BD4704"/>
    <w:rsid w:val="00BD4C24"/>
    <w:rsid w:val="00BD53AF"/>
    <w:rsid w:val="00BD58F6"/>
    <w:rsid w:val="00BD5F90"/>
    <w:rsid w:val="00BD64A4"/>
    <w:rsid w:val="00BD67B8"/>
    <w:rsid w:val="00BD696D"/>
    <w:rsid w:val="00BD6EE9"/>
    <w:rsid w:val="00BD75C4"/>
    <w:rsid w:val="00BD7AAA"/>
    <w:rsid w:val="00BE0346"/>
    <w:rsid w:val="00BE12C8"/>
    <w:rsid w:val="00BE1BAB"/>
    <w:rsid w:val="00BE27FA"/>
    <w:rsid w:val="00BE36B9"/>
    <w:rsid w:val="00BE3C05"/>
    <w:rsid w:val="00BE3E83"/>
    <w:rsid w:val="00BE4434"/>
    <w:rsid w:val="00BE4649"/>
    <w:rsid w:val="00BE5392"/>
    <w:rsid w:val="00BE5BCE"/>
    <w:rsid w:val="00BE6389"/>
    <w:rsid w:val="00BE647E"/>
    <w:rsid w:val="00BE662C"/>
    <w:rsid w:val="00BE6AA7"/>
    <w:rsid w:val="00BE70C3"/>
    <w:rsid w:val="00BE716A"/>
    <w:rsid w:val="00BE746E"/>
    <w:rsid w:val="00BE7780"/>
    <w:rsid w:val="00BE791A"/>
    <w:rsid w:val="00BE7937"/>
    <w:rsid w:val="00BE7A5E"/>
    <w:rsid w:val="00BF0008"/>
    <w:rsid w:val="00BF0690"/>
    <w:rsid w:val="00BF0AAF"/>
    <w:rsid w:val="00BF10CB"/>
    <w:rsid w:val="00BF117F"/>
    <w:rsid w:val="00BF1615"/>
    <w:rsid w:val="00BF1820"/>
    <w:rsid w:val="00BF1FDD"/>
    <w:rsid w:val="00BF22D9"/>
    <w:rsid w:val="00BF310A"/>
    <w:rsid w:val="00BF315D"/>
    <w:rsid w:val="00BF331A"/>
    <w:rsid w:val="00BF38EF"/>
    <w:rsid w:val="00BF3A92"/>
    <w:rsid w:val="00BF3F51"/>
    <w:rsid w:val="00BF42D8"/>
    <w:rsid w:val="00BF441A"/>
    <w:rsid w:val="00BF46FB"/>
    <w:rsid w:val="00BF485E"/>
    <w:rsid w:val="00BF4AFD"/>
    <w:rsid w:val="00BF4F0D"/>
    <w:rsid w:val="00BF50E7"/>
    <w:rsid w:val="00BF5181"/>
    <w:rsid w:val="00BF51A5"/>
    <w:rsid w:val="00BF5D3B"/>
    <w:rsid w:val="00BF6574"/>
    <w:rsid w:val="00BF6656"/>
    <w:rsid w:val="00BF6E0A"/>
    <w:rsid w:val="00BF70E1"/>
    <w:rsid w:val="00BF725D"/>
    <w:rsid w:val="00BF728A"/>
    <w:rsid w:val="00BF79F9"/>
    <w:rsid w:val="00BF7AF5"/>
    <w:rsid w:val="00BF7F97"/>
    <w:rsid w:val="00C0002D"/>
    <w:rsid w:val="00C0005A"/>
    <w:rsid w:val="00C005D3"/>
    <w:rsid w:val="00C00695"/>
    <w:rsid w:val="00C013BC"/>
    <w:rsid w:val="00C015D3"/>
    <w:rsid w:val="00C02822"/>
    <w:rsid w:val="00C029ED"/>
    <w:rsid w:val="00C02F12"/>
    <w:rsid w:val="00C0383D"/>
    <w:rsid w:val="00C03876"/>
    <w:rsid w:val="00C0430A"/>
    <w:rsid w:val="00C0434F"/>
    <w:rsid w:val="00C044B7"/>
    <w:rsid w:val="00C04BA9"/>
    <w:rsid w:val="00C04E98"/>
    <w:rsid w:val="00C0510D"/>
    <w:rsid w:val="00C05B6E"/>
    <w:rsid w:val="00C05C1A"/>
    <w:rsid w:val="00C067E2"/>
    <w:rsid w:val="00C06845"/>
    <w:rsid w:val="00C070D8"/>
    <w:rsid w:val="00C071D6"/>
    <w:rsid w:val="00C07381"/>
    <w:rsid w:val="00C07386"/>
    <w:rsid w:val="00C0740A"/>
    <w:rsid w:val="00C07723"/>
    <w:rsid w:val="00C10351"/>
    <w:rsid w:val="00C10B7C"/>
    <w:rsid w:val="00C11E25"/>
    <w:rsid w:val="00C1228A"/>
    <w:rsid w:val="00C12340"/>
    <w:rsid w:val="00C124C0"/>
    <w:rsid w:val="00C12B9D"/>
    <w:rsid w:val="00C136B5"/>
    <w:rsid w:val="00C13D41"/>
    <w:rsid w:val="00C13D45"/>
    <w:rsid w:val="00C14095"/>
    <w:rsid w:val="00C14C52"/>
    <w:rsid w:val="00C150E4"/>
    <w:rsid w:val="00C1576B"/>
    <w:rsid w:val="00C15D7D"/>
    <w:rsid w:val="00C15DCB"/>
    <w:rsid w:val="00C15E54"/>
    <w:rsid w:val="00C16F86"/>
    <w:rsid w:val="00C17A8F"/>
    <w:rsid w:val="00C202FB"/>
    <w:rsid w:val="00C20857"/>
    <w:rsid w:val="00C20C16"/>
    <w:rsid w:val="00C21434"/>
    <w:rsid w:val="00C22224"/>
    <w:rsid w:val="00C22901"/>
    <w:rsid w:val="00C22BC0"/>
    <w:rsid w:val="00C22C9B"/>
    <w:rsid w:val="00C23C0C"/>
    <w:rsid w:val="00C23CC1"/>
    <w:rsid w:val="00C23D05"/>
    <w:rsid w:val="00C24049"/>
    <w:rsid w:val="00C24772"/>
    <w:rsid w:val="00C24E9C"/>
    <w:rsid w:val="00C25208"/>
    <w:rsid w:val="00C2533E"/>
    <w:rsid w:val="00C2540D"/>
    <w:rsid w:val="00C262B8"/>
    <w:rsid w:val="00C26AA0"/>
    <w:rsid w:val="00C26B1E"/>
    <w:rsid w:val="00C26D4E"/>
    <w:rsid w:val="00C27599"/>
    <w:rsid w:val="00C27A38"/>
    <w:rsid w:val="00C27B57"/>
    <w:rsid w:val="00C3011A"/>
    <w:rsid w:val="00C30661"/>
    <w:rsid w:val="00C30ADC"/>
    <w:rsid w:val="00C31EBE"/>
    <w:rsid w:val="00C32340"/>
    <w:rsid w:val="00C323E6"/>
    <w:rsid w:val="00C32722"/>
    <w:rsid w:val="00C32B5B"/>
    <w:rsid w:val="00C32D34"/>
    <w:rsid w:val="00C32F38"/>
    <w:rsid w:val="00C33330"/>
    <w:rsid w:val="00C334CA"/>
    <w:rsid w:val="00C33A6C"/>
    <w:rsid w:val="00C34019"/>
    <w:rsid w:val="00C3495F"/>
    <w:rsid w:val="00C3524D"/>
    <w:rsid w:val="00C35492"/>
    <w:rsid w:val="00C3585E"/>
    <w:rsid w:val="00C35F8F"/>
    <w:rsid w:val="00C360FE"/>
    <w:rsid w:val="00C361EE"/>
    <w:rsid w:val="00C36262"/>
    <w:rsid w:val="00C364DF"/>
    <w:rsid w:val="00C366DC"/>
    <w:rsid w:val="00C3685C"/>
    <w:rsid w:val="00C36940"/>
    <w:rsid w:val="00C36C4A"/>
    <w:rsid w:val="00C3741B"/>
    <w:rsid w:val="00C3744D"/>
    <w:rsid w:val="00C403B8"/>
    <w:rsid w:val="00C40C50"/>
    <w:rsid w:val="00C41357"/>
    <w:rsid w:val="00C413BB"/>
    <w:rsid w:val="00C416D1"/>
    <w:rsid w:val="00C41A21"/>
    <w:rsid w:val="00C4238D"/>
    <w:rsid w:val="00C426F8"/>
    <w:rsid w:val="00C43216"/>
    <w:rsid w:val="00C43646"/>
    <w:rsid w:val="00C43C74"/>
    <w:rsid w:val="00C43F86"/>
    <w:rsid w:val="00C43F9F"/>
    <w:rsid w:val="00C44226"/>
    <w:rsid w:val="00C44290"/>
    <w:rsid w:val="00C44552"/>
    <w:rsid w:val="00C448A4"/>
    <w:rsid w:val="00C44BCA"/>
    <w:rsid w:val="00C45330"/>
    <w:rsid w:val="00C454C0"/>
    <w:rsid w:val="00C455BE"/>
    <w:rsid w:val="00C459CD"/>
    <w:rsid w:val="00C45DAF"/>
    <w:rsid w:val="00C4614C"/>
    <w:rsid w:val="00C46275"/>
    <w:rsid w:val="00C46958"/>
    <w:rsid w:val="00C46BAC"/>
    <w:rsid w:val="00C46BBF"/>
    <w:rsid w:val="00C4781E"/>
    <w:rsid w:val="00C5004D"/>
    <w:rsid w:val="00C502B6"/>
    <w:rsid w:val="00C502CF"/>
    <w:rsid w:val="00C5031A"/>
    <w:rsid w:val="00C505C8"/>
    <w:rsid w:val="00C5097C"/>
    <w:rsid w:val="00C5160B"/>
    <w:rsid w:val="00C5198B"/>
    <w:rsid w:val="00C51CEF"/>
    <w:rsid w:val="00C51D02"/>
    <w:rsid w:val="00C5304F"/>
    <w:rsid w:val="00C53F43"/>
    <w:rsid w:val="00C54042"/>
    <w:rsid w:val="00C54B6D"/>
    <w:rsid w:val="00C54CCB"/>
    <w:rsid w:val="00C54E39"/>
    <w:rsid w:val="00C5582E"/>
    <w:rsid w:val="00C55E89"/>
    <w:rsid w:val="00C56017"/>
    <w:rsid w:val="00C56908"/>
    <w:rsid w:val="00C56CB0"/>
    <w:rsid w:val="00C56E49"/>
    <w:rsid w:val="00C56EAC"/>
    <w:rsid w:val="00C57369"/>
    <w:rsid w:val="00C601D9"/>
    <w:rsid w:val="00C60909"/>
    <w:rsid w:val="00C60BCC"/>
    <w:rsid w:val="00C60F0D"/>
    <w:rsid w:val="00C60FAE"/>
    <w:rsid w:val="00C61114"/>
    <w:rsid w:val="00C61C58"/>
    <w:rsid w:val="00C62DF4"/>
    <w:rsid w:val="00C631F2"/>
    <w:rsid w:val="00C63200"/>
    <w:rsid w:val="00C63932"/>
    <w:rsid w:val="00C63E27"/>
    <w:rsid w:val="00C6412B"/>
    <w:rsid w:val="00C64619"/>
    <w:rsid w:val="00C64F5F"/>
    <w:rsid w:val="00C64FA1"/>
    <w:rsid w:val="00C653EE"/>
    <w:rsid w:val="00C65B02"/>
    <w:rsid w:val="00C65BAC"/>
    <w:rsid w:val="00C65C63"/>
    <w:rsid w:val="00C65EA3"/>
    <w:rsid w:val="00C66371"/>
    <w:rsid w:val="00C6652E"/>
    <w:rsid w:val="00C66CF0"/>
    <w:rsid w:val="00C674EF"/>
    <w:rsid w:val="00C7033E"/>
    <w:rsid w:val="00C703B2"/>
    <w:rsid w:val="00C70730"/>
    <w:rsid w:val="00C70BAE"/>
    <w:rsid w:val="00C7105F"/>
    <w:rsid w:val="00C71423"/>
    <w:rsid w:val="00C714E4"/>
    <w:rsid w:val="00C717EB"/>
    <w:rsid w:val="00C72093"/>
    <w:rsid w:val="00C7213D"/>
    <w:rsid w:val="00C725D2"/>
    <w:rsid w:val="00C72762"/>
    <w:rsid w:val="00C72C25"/>
    <w:rsid w:val="00C72E25"/>
    <w:rsid w:val="00C73F3C"/>
    <w:rsid w:val="00C74112"/>
    <w:rsid w:val="00C748A7"/>
    <w:rsid w:val="00C74931"/>
    <w:rsid w:val="00C74C61"/>
    <w:rsid w:val="00C754B8"/>
    <w:rsid w:val="00C754C4"/>
    <w:rsid w:val="00C76234"/>
    <w:rsid w:val="00C76383"/>
    <w:rsid w:val="00C766EF"/>
    <w:rsid w:val="00C76A3B"/>
    <w:rsid w:val="00C76BB4"/>
    <w:rsid w:val="00C77390"/>
    <w:rsid w:val="00C774A3"/>
    <w:rsid w:val="00C80258"/>
    <w:rsid w:val="00C803D8"/>
    <w:rsid w:val="00C8092D"/>
    <w:rsid w:val="00C80F26"/>
    <w:rsid w:val="00C812AE"/>
    <w:rsid w:val="00C81337"/>
    <w:rsid w:val="00C81531"/>
    <w:rsid w:val="00C819EA"/>
    <w:rsid w:val="00C82A07"/>
    <w:rsid w:val="00C82AE1"/>
    <w:rsid w:val="00C8405E"/>
    <w:rsid w:val="00C84269"/>
    <w:rsid w:val="00C842BB"/>
    <w:rsid w:val="00C84D77"/>
    <w:rsid w:val="00C8509F"/>
    <w:rsid w:val="00C85173"/>
    <w:rsid w:val="00C8520A"/>
    <w:rsid w:val="00C85251"/>
    <w:rsid w:val="00C85798"/>
    <w:rsid w:val="00C8596A"/>
    <w:rsid w:val="00C85CFC"/>
    <w:rsid w:val="00C874BA"/>
    <w:rsid w:val="00C876C1"/>
    <w:rsid w:val="00C87C21"/>
    <w:rsid w:val="00C900DC"/>
    <w:rsid w:val="00C904EC"/>
    <w:rsid w:val="00C913ED"/>
    <w:rsid w:val="00C91561"/>
    <w:rsid w:val="00C91DB0"/>
    <w:rsid w:val="00C93072"/>
    <w:rsid w:val="00C9352E"/>
    <w:rsid w:val="00C94472"/>
    <w:rsid w:val="00C945F3"/>
    <w:rsid w:val="00C94D63"/>
    <w:rsid w:val="00C9560C"/>
    <w:rsid w:val="00C9565E"/>
    <w:rsid w:val="00C95B5A"/>
    <w:rsid w:val="00C96521"/>
    <w:rsid w:val="00C96682"/>
    <w:rsid w:val="00C96B91"/>
    <w:rsid w:val="00C973F4"/>
    <w:rsid w:val="00C9743F"/>
    <w:rsid w:val="00C9787D"/>
    <w:rsid w:val="00CA02BB"/>
    <w:rsid w:val="00CA0453"/>
    <w:rsid w:val="00CA050A"/>
    <w:rsid w:val="00CA0519"/>
    <w:rsid w:val="00CA0DCB"/>
    <w:rsid w:val="00CA109A"/>
    <w:rsid w:val="00CA139B"/>
    <w:rsid w:val="00CA1C70"/>
    <w:rsid w:val="00CA320E"/>
    <w:rsid w:val="00CA35A6"/>
    <w:rsid w:val="00CA3A89"/>
    <w:rsid w:val="00CA3AC6"/>
    <w:rsid w:val="00CA3C1C"/>
    <w:rsid w:val="00CA42A0"/>
    <w:rsid w:val="00CA42AC"/>
    <w:rsid w:val="00CA4686"/>
    <w:rsid w:val="00CA46EE"/>
    <w:rsid w:val="00CA4AA6"/>
    <w:rsid w:val="00CA4AC4"/>
    <w:rsid w:val="00CA4F7B"/>
    <w:rsid w:val="00CA54D1"/>
    <w:rsid w:val="00CA54D6"/>
    <w:rsid w:val="00CA5604"/>
    <w:rsid w:val="00CA5B54"/>
    <w:rsid w:val="00CA5C77"/>
    <w:rsid w:val="00CA5EE4"/>
    <w:rsid w:val="00CA651A"/>
    <w:rsid w:val="00CA7A09"/>
    <w:rsid w:val="00CB045D"/>
    <w:rsid w:val="00CB176F"/>
    <w:rsid w:val="00CB2947"/>
    <w:rsid w:val="00CB3BF1"/>
    <w:rsid w:val="00CB3EA3"/>
    <w:rsid w:val="00CB4225"/>
    <w:rsid w:val="00CB4563"/>
    <w:rsid w:val="00CB48A9"/>
    <w:rsid w:val="00CB5000"/>
    <w:rsid w:val="00CB584A"/>
    <w:rsid w:val="00CB5AC7"/>
    <w:rsid w:val="00CB5B82"/>
    <w:rsid w:val="00CB5C14"/>
    <w:rsid w:val="00CB677F"/>
    <w:rsid w:val="00CB6951"/>
    <w:rsid w:val="00CB69F3"/>
    <w:rsid w:val="00CB6F29"/>
    <w:rsid w:val="00CB7D9B"/>
    <w:rsid w:val="00CC103D"/>
    <w:rsid w:val="00CC14E4"/>
    <w:rsid w:val="00CC1B20"/>
    <w:rsid w:val="00CC1DBE"/>
    <w:rsid w:val="00CC1E7C"/>
    <w:rsid w:val="00CC2626"/>
    <w:rsid w:val="00CC2B4C"/>
    <w:rsid w:val="00CC2BF4"/>
    <w:rsid w:val="00CC331B"/>
    <w:rsid w:val="00CC3EA3"/>
    <w:rsid w:val="00CC4281"/>
    <w:rsid w:val="00CC43FB"/>
    <w:rsid w:val="00CC4F1A"/>
    <w:rsid w:val="00CC692A"/>
    <w:rsid w:val="00CC6A19"/>
    <w:rsid w:val="00CC6A49"/>
    <w:rsid w:val="00CC6B74"/>
    <w:rsid w:val="00CC7755"/>
    <w:rsid w:val="00CC7CE5"/>
    <w:rsid w:val="00CD0D70"/>
    <w:rsid w:val="00CD107A"/>
    <w:rsid w:val="00CD16DA"/>
    <w:rsid w:val="00CD17FD"/>
    <w:rsid w:val="00CD1FD6"/>
    <w:rsid w:val="00CD22BA"/>
    <w:rsid w:val="00CD2382"/>
    <w:rsid w:val="00CD24E4"/>
    <w:rsid w:val="00CD2541"/>
    <w:rsid w:val="00CD28CD"/>
    <w:rsid w:val="00CD28ED"/>
    <w:rsid w:val="00CD312C"/>
    <w:rsid w:val="00CD33EB"/>
    <w:rsid w:val="00CD3450"/>
    <w:rsid w:val="00CD36B2"/>
    <w:rsid w:val="00CD3839"/>
    <w:rsid w:val="00CD3F0A"/>
    <w:rsid w:val="00CD4EC0"/>
    <w:rsid w:val="00CD506B"/>
    <w:rsid w:val="00CD5280"/>
    <w:rsid w:val="00CD586F"/>
    <w:rsid w:val="00CD5C93"/>
    <w:rsid w:val="00CD5F58"/>
    <w:rsid w:val="00CD600A"/>
    <w:rsid w:val="00CD60D4"/>
    <w:rsid w:val="00CD61B1"/>
    <w:rsid w:val="00CD64B2"/>
    <w:rsid w:val="00CD6A13"/>
    <w:rsid w:val="00CD6E41"/>
    <w:rsid w:val="00CD6FD6"/>
    <w:rsid w:val="00CD7039"/>
    <w:rsid w:val="00CD75FB"/>
    <w:rsid w:val="00CD7749"/>
    <w:rsid w:val="00CE01E1"/>
    <w:rsid w:val="00CE0343"/>
    <w:rsid w:val="00CE1490"/>
    <w:rsid w:val="00CE2318"/>
    <w:rsid w:val="00CE28CC"/>
    <w:rsid w:val="00CE29F1"/>
    <w:rsid w:val="00CE3D4D"/>
    <w:rsid w:val="00CE3F90"/>
    <w:rsid w:val="00CE45EE"/>
    <w:rsid w:val="00CE4C4C"/>
    <w:rsid w:val="00CE4C56"/>
    <w:rsid w:val="00CE4E74"/>
    <w:rsid w:val="00CE4FE1"/>
    <w:rsid w:val="00CE55D9"/>
    <w:rsid w:val="00CE5B4F"/>
    <w:rsid w:val="00CE5C9A"/>
    <w:rsid w:val="00CE61B6"/>
    <w:rsid w:val="00CE6A43"/>
    <w:rsid w:val="00CE6C82"/>
    <w:rsid w:val="00CE6E92"/>
    <w:rsid w:val="00CE6E93"/>
    <w:rsid w:val="00CE72F9"/>
    <w:rsid w:val="00CF06BB"/>
    <w:rsid w:val="00CF071E"/>
    <w:rsid w:val="00CF0B44"/>
    <w:rsid w:val="00CF1346"/>
    <w:rsid w:val="00CF26D0"/>
    <w:rsid w:val="00CF31DA"/>
    <w:rsid w:val="00CF3C77"/>
    <w:rsid w:val="00CF3E12"/>
    <w:rsid w:val="00CF4277"/>
    <w:rsid w:val="00CF4525"/>
    <w:rsid w:val="00CF4A51"/>
    <w:rsid w:val="00CF4E53"/>
    <w:rsid w:val="00CF51C7"/>
    <w:rsid w:val="00CF576D"/>
    <w:rsid w:val="00CF5C63"/>
    <w:rsid w:val="00CF5E32"/>
    <w:rsid w:val="00CF6392"/>
    <w:rsid w:val="00CF6A06"/>
    <w:rsid w:val="00CF6BCC"/>
    <w:rsid w:val="00CF6EE1"/>
    <w:rsid w:val="00CF7F90"/>
    <w:rsid w:val="00D0015A"/>
    <w:rsid w:val="00D0074E"/>
    <w:rsid w:val="00D008A0"/>
    <w:rsid w:val="00D0096B"/>
    <w:rsid w:val="00D00EBC"/>
    <w:rsid w:val="00D012AE"/>
    <w:rsid w:val="00D015CE"/>
    <w:rsid w:val="00D01F53"/>
    <w:rsid w:val="00D02599"/>
    <w:rsid w:val="00D02A59"/>
    <w:rsid w:val="00D03278"/>
    <w:rsid w:val="00D034FD"/>
    <w:rsid w:val="00D04761"/>
    <w:rsid w:val="00D04910"/>
    <w:rsid w:val="00D04BDE"/>
    <w:rsid w:val="00D0556E"/>
    <w:rsid w:val="00D056DD"/>
    <w:rsid w:val="00D05800"/>
    <w:rsid w:val="00D059C3"/>
    <w:rsid w:val="00D05A24"/>
    <w:rsid w:val="00D06793"/>
    <w:rsid w:val="00D06B9A"/>
    <w:rsid w:val="00D074ED"/>
    <w:rsid w:val="00D07625"/>
    <w:rsid w:val="00D07FA6"/>
    <w:rsid w:val="00D07FC1"/>
    <w:rsid w:val="00D10979"/>
    <w:rsid w:val="00D11326"/>
    <w:rsid w:val="00D11A49"/>
    <w:rsid w:val="00D128DF"/>
    <w:rsid w:val="00D1364A"/>
    <w:rsid w:val="00D13AE5"/>
    <w:rsid w:val="00D13CC0"/>
    <w:rsid w:val="00D140E3"/>
    <w:rsid w:val="00D14737"/>
    <w:rsid w:val="00D14F87"/>
    <w:rsid w:val="00D152D4"/>
    <w:rsid w:val="00D15716"/>
    <w:rsid w:val="00D15AC9"/>
    <w:rsid w:val="00D15F4E"/>
    <w:rsid w:val="00D15F98"/>
    <w:rsid w:val="00D16122"/>
    <w:rsid w:val="00D1616C"/>
    <w:rsid w:val="00D16278"/>
    <w:rsid w:val="00D16398"/>
    <w:rsid w:val="00D17BAC"/>
    <w:rsid w:val="00D204B8"/>
    <w:rsid w:val="00D2121B"/>
    <w:rsid w:val="00D21853"/>
    <w:rsid w:val="00D22ACB"/>
    <w:rsid w:val="00D22E18"/>
    <w:rsid w:val="00D231A0"/>
    <w:rsid w:val="00D23339"/>
    <w:rsid w:val="00D237F6"/>
    <w:rsid w:val="00D24FE4"/>
    <w:rsid w:val="00D251CB"/>
    <w:rsid w:val="00D2548C"/>
    <w:rsid w:val="00D261A5"/>
    <w:rsid w:val="00D26588"/>
    <w:rsid w:val="00D26CC2"/>
    <w:rsid w:val="00D26F1B"/>
    <w:rsid w:val="00D2730E"/>
    <w:rsid w:val="00D27495"/>
    <w:rsid w:val="00D27A6F"/>
    <w:rsid w:val="00D305A4"/>
    <w:rsid w:val="00D30DF1"/>
    <w:rsid w:val="00D315A5"/>
    <w:rsid w:val="00D31CB8"/>
    <w:rsid w:val="00D32322"/>
    <w:rsid w:val="00D32863"/>
    <w:rsid w:val="00D32B9C"/>
    <w:rsid w:val="00D32E9D"/>
    <w:rsid w:val="00D32FD2"/>
    <w:rsid w:val="00D3308D"/>
    <w:rsid w:val="00D332CB"/>
    <w:rsid w:val="00D332E9"/>
    <w:rsid w:val="00D33769"/>
    <w:rsid w:val="00D338CD"/>
    <w:rsid w:val="00D33F3D"/>
    <w:rsid w:val="00D34616"/>
    <w:rsid w:val="00D34677"/>
    <w:rsid w:val="00D35637"/>
    <w:rsid w:val="00D35847"/>
    <w:rsid w:val="00D36511"/>
    <w:rsid w:val="00D3693C"/>
    <w:rsid w:val="00D369B6"/>
    <w:rsid w:val="00D36C74"/>
    <w:rsid w:val="00D373C2"/>
    <w:rsid w:val="00D37B9D"/>
    <w:rsid w:val="00D37FA5"/>
    <w:rsid w:val="00D4008D"/>
    <w:rsid w:val="00D4009E"/>
    <w:rsid w:val="00D4010E"/>
    <w:rsid w:val="00D40325"/>
    <w:rsid w:val="00D40748"/>
    <w:rsid w:val="00D407B7"/>
    <w:rsid w:val="00D40D63"/>
    <w:rsid w:val="00D41020"/>
    <w:rsid w:val="00D42422"/>
    <w:rsid w:val="00D43041"/>
    <w:rsid w:val="00D4308E"/>
    <w:rsid w:val="00D4374A"/>
    <w:rsid w:val="00D43DFA"/>
    <w:rsid w:val="00D43EFF"/>
    <w:rsid w:val="00D4421F"/>
    <w:rsid w:val="00D446D9"/>
    <w:rsid w:val="00D458CE"/>
    <w:rsid w:val="00D45BA0"/>
    <w:rsid w:val="00D4627F"/>
    <w:rsid w:val="00D46523"/>
    <w:rsid w:val="00D465E7"/>
    <w:rsid w:val="00D46731"/>
    <w:rsid w:val="00D47367"/>
    <w:rsid w:val="00D4744B"/>
    <w:rsid w:val="00D47977"/>
    <w:rsid w:val="00D47AFE"/>
    <w:rsid w:val="00D47C1A"/>
    <w:rsid w:val="00D50AD9"/>
    <w:rsid w:val="00D50B93"/>
    <w:rsid w:val="00D50F7F"/>
    <w:rsid w:val="00D51F44"/>
    <w:rsid w:val="00D5205B"/>
    <w:rsid w:val="00D522EC"/>
    <w:rsid w:val="00D524F8"/>
    <w:rsid w:val="00D52662"/>
    <w:rsid w:val="00D52A81"/>
    <w:rsid w:val="00D52CDC"/>
    <w:rsid w:val="00D534A7"/>
    <w:rsid w:val="00D53A0B"/>
    <w:rsid w:val="00D5431B"/>
    <w:rsid w:val="00D5440C"/>
    <w:rsid w:val="00D548D0"/>
    <w:rsid w:val="00D54AC0"/>
    <w:rsid w:val="00D54D81"/>
    <w:rsid w:val="00D55440"/>
    <w:rsid w:val="00D55496"/>
    <w:rsid w:val="00D55AC2"/>
    <w:rsid w:val="00D55D5B"/>
    <w:rsid w:val="00D562E9"/>
    <w:rsid w:val="00D5645F"/>
    <w:rsid w:val="00D5654B"/>
    <w:rsid w:val="00D56A21"/>
    <w:rsid w:val="00D56A7E"/>
    <w:rsid w:val="00D56DE1"/>
    <w:rsid w:val="00D5739E"/>
    <w:rsid w:val="00D57417"/>
    <w:rsid w:val="00D60696"/>
    <w:rsid w:val="00D60A99"/>
    <w:rsid w:val="00D620F3"/>
    <w:rsid w:val="00D62F86"/>
    <w:rsid w:val="00D63671"/>
    <w:rsid w:val="00D63713"/>
    <w:rsid w:val="00D637A4"/>
    <w:rsid w:val="00D638F6"/>
    <w:rsid w:val="00D63904"/>
    <w:rsid w:val="00D63D3A"/>
    <w:rsid w:val="00D6477E"/>
    <w:rsid w:val="00D64AC1"/>
    <w:rsid w:val="00D64D35"/>
    <w:rsid w:val="00D65715"/>
    <w:rsid w:val="00D67645"/>
    <w:rsid w:val="00D67C68"/>
    <w:rsid w:val="00D70191"/>
    <w:rsid w:val="00D70C29"/>
    <w:rsid w:val="00D70FDE"/>
    <w:rsid w:val="00D7155C"/>
    <w:rsid w:val="00D716A7"/>
    <w:rsid w:val="00D716E4"/>
    <w:rsid w:val="00D716F4"/>
    <w:rsid w:val="00D718E1"/>
    <w:rsid w:val="00D71A16"/>
    <w:rsid w:val="00D71A60"/>
    <w:rsid w:val="00D71AD1"/>
    <w:rsid w:val="00D71F30"/>
    <w:rsid w:val="00D71F3A"/>
    <w:rsid w:val="00D72DE6"/>
    <w:rsid w:val="00D73008"/>
    <w:rsid w:val="00D735C5"/>
    <w:rsid w:val="00D73BDA"/>
    <w:rsid w:val="00D73F75"/>
    <w:rsid w:val="00D74189"/>
    <w:rsid w:val="00D74251"/>
    <w:rsid w:val="00D744AE"/>
    <w:rsid w:val="00D74885"/>
    <w:rsid w:val="00D74A9D"/>
    <w:rsid w:val="00D74B30"/>
    <w:rsid w:val="00D7515A"/>
    <w:rsid w:val="00D75310"/>
    <w:rsid w:val="00D7587B"/>
    <w:rsid w:val="00D75DB9"/>
    <w:rsid w:val="00D75E3B"/>
    <w:rsid w:val="00D762AC"/>
    <w:rsid w:val="00D76539"/>
    <w:rsid w:val="00D76AC5"/>
    <w:rsid w:val="00D76E5F"/>
    <w:rsid w:val="00D77A97"/>
    <w:rsid w:val="00D80255"/>
    <w:rsid w:val="00D808A1"/>
    <w:rsid w:val="00D80B49"/>
    <w:rsid w:val="00D8101A"/>
    <w:rsid w:val="00D81518"/>
    <w:rsid w:val="00D81E57"/>
    <w:rsid w:val="00D81E63"/>
    <w:rsid w:val="00D81FD9"/>
    <w:rsid w:val="00D8249B"/>
    <w:rsid w:val="00D82BC8"/>
    <w:rsid w:val="00D8354C"/>
    <w:rsid w:val="00D8376D"/>
    <w:rsid w:val="00D83A92"/>
    <w:rsid w:val="00D83A98"/>
    <w:rsid w:val="00D84B1E"/>
    <w:rsid w:val="00D85A68"/>
    <w:rsid w:val="00D85F40"/>
    <w:rsid w:val="00D85F5F"/>
    <w:rsid w:val="00D8726E"/>
    <w:rsid w:val="00D87760"/>
    <w:rsid w:val="00D87E80"/>
    <w:rsid w:val="00D9047C"/>
    <w:rsid w:val="00D90CAF"/>
    <w:rsid w:val="00D91C74"/>
    <w:rsid w:val="00D92046"/>
    <w:rsid w:val="00D920FB"/>
    <w:rsid w:val="00D94287"/>
    <w:rsid w:val="00D945D8"/>
    <w:rsid w:val="00D94ADB"/>
    <w:rsid w:val="00D94F95"/>
    <w:rsid w:val="00D95054"/>
    <w:rsid w:val="00D9552F"/>
    <w:rsid w:val="00D956F9"/>
    <w:rsid w:val="00D95795"/>
    <w:rsid w:val="00D959C0"/>
    <w:rsid w:val="00D95FE9"/>
    <w:rsid w:val="00D96090"/>
    <w:rsid w:val="00D96162"/>
    <w:rsid w:val="00D96705"/>
    <w:rsid w:val="00D9685E"/>
    <w:rsid w:val="00D9692E"/>
    <w:rsid w:val="00D972B3"/>
    <w:rsid w:val="00DA07E7"/>
    <w:rsid w:val="00DA0B40"/>
    <w:rsid w:val="00DA1352"/>
    <w:rsid w:val="00DA1505"/>
    <w:rsid w:val="00DA15F3"/>
    <w:rsid w:val="00DA18E1"/>
    <w:rsid w:val="00DA2262"/>
    <w:rsid w:val="00DA242B"/>
    <w:rsid w:val="00DA2625"/>
    <w:rsid w:val="00DA2764"/>
    <w:rsid w:val="00DA27EF"/>
    <w:rsid w:val="00DA282F"/>
    <w:rsid w:val="00DA332D"/>
    <w:rsid w:val="00DA346C"/>
    <w:rsid w:val="00DA40F9"/>
    <w:rsid w:val="00DA47AC"/>
    <w:rsid w:val="00DA4D68"/>
    <w:rsid w:val="00DA54A1"/>
    <w:rsid w:val="00DA5F7F"/>
    <w:rsid w:val="00DA6264"/>
    <w:rsid w:val="00DA688F"/>
    <w:rsid w:val="00DA6911"/>
    <w:rsid w:val="00DA691F"/>
    <w:rsid w:val="00DA7168"/>
    <w:rsid w:val="00DA7BE8"/>
    <w:rsid w:val="00DA7D6E"/>
    <w:rsid w:val="00DB0262"/>
    <w:rsid w:val="00DB0A3B"/>
    <w:rsid w:val="00DB0FB4"/>
    <w:rsid w:val="00DB1A9E"/>
    <w:rsid w:val="00DB2DA3"/>
    <w:rsid w:val="00DB357D"/>
    <w:rsid w:val="00DB378F"/>
    <w:rsid w:val="00DB42D6"/>
    <w:rsid w:val="00DB4D1C"/>
    <w:rsid w:val="00DB4DA3"/>
    <w:rsid w:val="00DB536B"/>
    <w:rsid w:val="00DB553D"/>
    <w:rsid w:val="00DB5AAD"/>
    <w:rsid w:val="00DB5BBF"/>
    <w:rsid w:val="00DB5E96"/>
    <w:rsid w:val="00DB6047"/>
    <w:rsid w:val="00DB6566"/>
    <w:rsid w:val="00DB6761"/>
    <w:rsid w:val="00DB6998"/>
    <w:rsid w:val="00DB6AA6"/>
    <w:rsid w:val="00DB6BA2"/>
    <w:rsid w:val="00DB72A2"/>
    <w:rsid w:val="00DB72C8"/>
    <w:rsid w:val="00DC0A76"/>
    <w:rsid w:val="00DC0B2E"/>
    <w:rsid w:val="00DC12BC"/>
    <w:rsid w:val="00DC1819"/>
    <w:rsid w:val="00DC1867"/>
    <w:rsid w:val="00DC1E4A"/>
    <w:rsid w:val="00DC1EAE"/>
    <w:rsid w:val="00DC22BD"/>
    <w:rsid w:val="00DC258A"/>
    <w:rsid w:val="00DC26AC"/>
    <w:rsid w:val="00DC3696"/>
    <w:rsid w:val="00DC36D7"/>
    <w:rsid w:val="00DC4300"/>
    <w:rsid w:val="00DC556A"/>
    <w:rsid w:val="00DC55D9"/>
    <w:rsid w:val="00DC699B"/>
    <w:rsid w:val="00DC757B"/>
    <w:rsid w:val="00DC795A"/>
    <w:rsid w:val="00DD0DC8"/>
    <w:rsid w:val="00DD1388"/>
    <w:rsid w:val="00DD24B5"/>
    <w:rsid w:val="00DD2921"/>
    <w:rsid w:val="00DD2ABD"/>
    <w:rsid w:val="00DD2B53"/>
    <w:rsid w:val="00DD2F8D"/>
    <w:rsid w:val="00DD325D"/>
    <w:rsid w:val="00DD3ABE"/>
    <w:rsid w:val="00DD462A"/>
    <w:rsid w:val="00DD4BBA"/>
    <w:rsid w:val="00DD4C0D"/>
    <w:rsid w:val="00DD50C0"/>
    <w:rsid w:val="00DD5101"/>
    <w:rsid w:val="00DD57FC"/>
    <w:rsid w:val="00DD58AD"/>
    <w:rsid w:val="00DD63E5"/>
    <w:rsid w:val="00DD66A7"/>
    <w:rsid w:val="00DD7693"/>
    <w:rsid w:val="00DD79FA"/>
    <w:rsid w:val="00DD7D55"/>
    <w:rsid w:val="00DD7D86"/>
    <w:rsid w:val="00DE0800"/>
    <w:rsid w:val="00DE18E1"/>
    <w:rsid w:val="00DE1948"/>
    <w:rsid w:val="00DE2C5A"/>
    <w:rsid w:val="00DE2F10"/>
    <w:rsid w:val="00DE3608"/>
    <w:rsid w:val="00DE438F"/>
    <w:rsid w:val="00DE512F"/>
    <w:rsid w:val="00DE59CA"/>
    <w:rsid w:val="00DE6781"/>
    <w:rsid w:val="00DE6BE7"/>
    <w:rsid w:val="00DE6F97"/>
    <w:rsid w:val="00DE71F0"/>
    <w:rsid w:val="00DE7980"/>
    <w:rsid w:val="00DE7A29"/>
    <w:rsid w:val="00DE7DA6"/>
    <w:rsid w:val="00DF1054"/>
    <w:rsid w:val="00DF39C1"/>
    <w:rsid w:val="00DF4C18"/>
    <w:rsid w:val="00DF539E"/>
    <w:rsid w:val="00DF5924"/>
    <w:rsid w:val="00DF5C7B"/>
    <w:rsid w:val="00DF6342"/>
    <w:rsid w:val="00DF6419"/>
    <w:rsid w:val="00DF662D"/>
    <w:rsid w:val="00DF6A05"/>
    <w:rsid w:val="00DF6D7B"/>
    <w:rsid w:val="00DF6FF5"/>
    <w:rsid w:val="00DF725C"/>
    <w:rsid w:val="00DF72F9"/>
    <w:rsid w:val="00DF750D"/>
    <w:rsid w:val="00DF773D"/>
    <w:rsid w:val="00E0054A"/>
    <w:rsid w:val="00E0059F"/>
    <w:rsid w:val="00E00D20"/>
    <w:rsid w:val="00E00E9E"/>
    <w:rsid w:val="00E02D4B"/>
    <w:rsid w:val="00E02DA6"/>
    <w:rsid w:val="00E03653"/>
    <w:rsid w:val="00E037A0"/>
    <w:rsid w:val="00E04E24"/>
    <w:rsid w:val="00E04EA8"/>
    <w:rsid w:val="00E05A14"/>
    <w:rsid w:val="00E06489"/>
    <w:rsid w:val="00E06561"/>
    <w:rsid w:val="00E06A08"/>
    <w:rsid w:val="00E06D23"/>
    <w:rsid w:val="00E07453"/>
    <w:rsid w:val="00E10190"/>
    <w:rsid w:val="00E105DC"/>
    <w:rsid w:val="00E10898"/>
    <w:rsid w:val="00E109B7"/>
    <w:rsid w:val="00E109C5"/>
    <w:rsid w:val="00E10F28"/>
    <w:rsid w:val="00E12695"/>
    <w:rsid w:val="00E12D15"/>
    <w:rsid w:val="00E13520"/>
    <w:rsid w:val="00E137B5"/>
    <w:rsid w:val="00E138A9"/>
    <w:rsid w:val="00E13BC5"/>
    <w:rsid w:val="00E14193"/>
    <w:rsid w:val="00E14B11"/>
    <w:rsid w:val="00E14DAE"/>
    <w:rsid w:val="00E159CD"/>
    <w:rsid w:val="00E15A55"/>
    <w:rsid w:val="00E16A6F"/>
    <w:rsid w:val="00E16F53"/>
    <w:rsid w:val="00E17451"/>
    <w:rsid w:val="00E17978"/>
    <w:rsid w:val="00E17D9C"/>
    <w:rsid w:val="00E20230"/>
    <w:rsid w:val="00E20955"/>
    <w:rsid w:val="00E20B7C"/>
    <w:rsid w:val="00E21BF4"/>
    <w:rsid w:val="00E224D8"/>
    <w:rsid w:val="00E227A6"/>
    <w:rsid w:val="00E229B7"/>
    <w:rsid w:val="00E22F9C"/>
    <w:rsid w:val="00E22FA3"/>
    <w:rsid w:val="00E23308"/>
    <w:rsid w:val="00E237EF"/>
    <w:rsid w:val="00E23934"/>
    <w:rsid w:val="00E24784"/>
    <w:rsid w:val="00E249EC"/>
    <w:rsid w:val="00E24F91"/>
    <w:rsid w:val="00E252BE"/>
    <w:rsid w:val="00E2587C"/>
    <w:rsid w:val="00E25CEE"/>
    <w:rsid w:val="00E25E7B"/>
    <w:rsid w:val="00E262DC"/>
    <w:rsid w:val="00E263EE"/>
    <w:rsid w:val="00E265FA"/>
    <w:rsid w:val="00E26741"/>
    <w:rsid w:val="00E26C70"/>
    <w:rsid w:val="00E273C1"/>
    <w:rsid w:val="00E27711"/>
    <w:rsid w:val="00E300E4"/>
    <w:rsid w:val="00E3057D"/>
    <w:rsid w:val="00E305AC"/>
    <w:rsid w:val="00E30822"/>
    <w:rsid w:val="00E309AD"/>
    <w:rsid w:val="00E3109A"/>
    <w:rsid w:val="00E3136F"/>
    <w:rsid w:val="00E31831"/>
    <w:rsid w:val="00E32AA2"/>
    <w:rsid w:val="00E335D5"/>
    <w:rsid w:val="00E33664"/>
    <w:rsid w:val="00E33761"/>
    <w:rsid w:val="00E33B9A"/>
    <w:rsid w:val="00E33E6F"/>
    <w:rsid w:val="00E33F76"/>
    <w:rsid w:val="00E34782"/>
    <w:rsid w:val="00E34F3F"/>
    <w:rsid w:val="00E35039"/>
    <w:rsid w:val="00E3524E"/>
    <w:rsid w:val="00E3621F"/>
    <w:rsid w:val="00E36362"/>
    <w:rsid w:val="00E369DD"/>
    <w:rsid w:val="00E37246"/>
    <w:rsid w:val="00E3789D"/>
    <w:rsid w:val="00E37E66"/>
    <w:rsid w:val="00E37E79"/>
    <w:rsid w:val="00E400C0"/>
    <w:rsid w:val="00E403BE"/>
    <w:rsid w:val="00E40771"/>
    <w:rsid w:val="00E40AB7"/>
    <w:rsid w:val="00E40D81"/>
    <w:rsid w:val="00E418BB"/>
    <w:rsid w:val="00E41A3F"/>
    <w:rsid w:val="00E4248E"/>
    <w:rsid w:val="00E4254A"/>
    <w:rsid w:val="00E42756"/>
    <w:rsid w:val="00E42C5F"/>
    <w:rsid w:val="00E42DDC"/>
    <w:rsid w:val="00E4340A"/>
    <w:rsid w:val="00E43C9E"/>
    <w:rsid w:val="00E44215"/>
    <w:rsid w:val="00E445AA"/>
    <w:rsid w:val="00E44692"/>
    <w:rsid w:val="00E44A04"/>
    <w:rsid w:val="00E45654"/>
    <w:rsid w:val="00E459DD"/>
    <w:rsid w:val="00E465BC"/>
    <w:rsid w:val="00E46797"/>
    <w:rsid w:val="00E47322"/>
    <w:rsid w:val="00E47323"/>
    <w:rsid w:val="00E47658"/>
    <w:rsid w:val="00E503CA"/>
    <w:rsid w:val="00E50C2A"/>
    <w:rsid w:val="00E50F03"/>
    <w:rsid w:val="00E5204F"/>
    <w:rsid w:val="00E521BB"/>
    <w:rsid w:val="00E5230D"/>
    <w:rsid w:val="00E523C8"/>
    <w:rsid w:val="00E52698"/>
    <w:rsid w:val="00E52DC3"/>
    <w:rsid w:val="00E53065"/>
    <w:rsid w:val="00E53535"/>
    <w:rsid w:val="00E54AE6"/>
    <w:rsid w:val="00E55886"/>
    <w:rsid w:val="00E55BF8"/>
    <w:rsid w:val="00E55C7E"/>
    <w:rsid w:val="00E55C8E"/>
    <w:rsid w:val="00E56354"/>
    <w:rsid w:val="00E56A71"/>
    <w:rsid w:val="00E57271"/>
    <w:rsid w:val="00E57A7C"/>
    <w:rsid w:val="00E57DEB"/>
    <w:rsid w:val="00E57E56"/>
    <w:rsid w:val="00E606D7"/>
    <w:rsid w:val="00E60881"/>
    <w:rsid w:val="00E60D5C"/>
    <w:rsid w:val="00E61699"/>
    <w:rsid w:val="00E61885"/>
    <w:rsid w:val="00E618CD"/>
    <w:rsid w:val="00E61DA6"/>
    <w:rsid w:val="00E6213F"/>
    <w:rsid w:val="00E62803"/>
    <w:rsid w:val="00E62831"/>
    <w:rsid w:val="00E62C1F"/>
    <w:rsid w:val="00E63379"/>
    <w:rsid w:val="00E63723"/>
    <w:rsid w:val="00E6393C"/>
    <w:rsid w:val="00E63B02"/>
    <w:rsid w:val="00E63D97"/>
    <w:rsid w:val="00E63F8B"/>
    <w:rsid w:val="00E641B4"/>
    <w:rsid w:val="00E645CC"/>
    <w:rsid w:val="00E64617"/>
    <w:rsid w:val="00E64636"/>
    <w:rsid w:val="00E64B43"/>
    <w:rsid w:val="00E64FC9"/>
    <w:rsid w:val="00E66916"/>
    <w:rsid w:val="00E6699F"/>
    <w:rsid w:val="00E669EA"/>
    <w:rsid w:val="00E67118"/>
    <w:rsid w:val="00E672C3"/>
    <w:rsid w:val="00E675B7"/>
    <w:rsid w:val="00E678D9"/>
    <w:rsid w:val="00E67E47"/>
    <w:rsid w:val="00E67FCE"/>
    <w:rsid w:val="00E70615"/>
    <w:rsid w:val="00E708D5"/>
    <w:rsid w:val="00E70EEA"/>
    <w:rsid w:val="00E71070"/>
    <w:rsid w:val="00E711A1"/>
    <w:rsid w:val="00E71949"/>
    <w:rsid w:val="00E726FC"/>
    <w:rsid w:val="00E72797"/>
    <w:rsid w:val="00E72A05"/>
    <w:rsid w:val="00E72E45"/>
    <w:rsid w:val="00E72FEB"/>
    <w:rsid w:val="00E735BD"/>
    <w:rsid w:val="00E740BE"/>
    <w:rsid w:val="00E75281"/>
    <w:rsid w:val="00E757DE"/>
    <w:rsid w:val="00E75D0F"/>
    <w:rsid w:val="00E75EAE"/>
    <w:rsid w:val="00E7658A"/>
    <w:rsid w:val="00E76819"/>
    <w:rsid w:val="00E7691B"/>
    <w:rsid w:val="00E76F6C"/>
    <w:rsid w:val="00E7722C"/>
    <w:rsid w:val="00E77C56"/>
    <w:rsid w:val="00E77DD4"/>
    <w:rsid w:val="00E77E3A"/>
    <w:rsid w:val="00E77F85"/>
    <w:rsid w:val="00E80461"/>
    <w:rsid w:val="00E80527"/>
    <w:rsid w:val="00E806F9"/>
    <w:rsid w:val="00E80997"/>
    <w:rsid w:val="00E809FE"/>
    <w:rsid w:val="00E80B9F"/>
    <w:rsid w:val="00E80D86"/>
    <w:rsid w:val="00E80E64"/>
    <w:rsid w:val="00E8113A"/>
    <w:rsid w:val="00E820C0"/>
    <w:rsid w:val="00E82993"/>
    <w:rsid w:val="00E82FFC"/>
    <w:rsid w:val="00E834E2"/>
    <w:rsid w:val="00E835DE"/>
    <w:rsid w:val="00E839D4"/>
    <w:rsid w:val="00E839EF"/>
    <w:rsid w:val="00E84499"/>
    <w:rsid w:val="00E844DB"/>
    <w:rsid w:val="00E845A9"/>
    <w:rsid w:val="00E8461E"/>
    <w:rsid w:val="00E848AA"/>
    <w:rsid w:val="00E85213"/>
    <w:rsid w:val="00E854FF"/>
    <w:rsid w:val="00E8563A"/>
    <w:rsid w:val="00E86BF2"/>
    <w:rsid w:val="00E86C53"/>
    <w:rsid w:val="00E86FAF"/>
    <w:rsid w:val="00E8764B"/>
    <w:rsid w:val="00E8795D"/>
    <w:rsid w:val="00E905A0"/>
    <w:rsid w:val="00E907E8"/>
    <w:rsid w:val="00E90DBE"/>
    <w:rsid w:val="00E91305"/>
    <w:rsid w:val="00E916CC"/>
    <w:rsid w:val="00E92093"/>
    <w:rsid w:val="00E929CA"/>
    <w:rsid w:val="00E92A8F"/>
    <w:rsid w:val="00E92ADA"/>
    <w:rsid w:val="00E92C36"/>
    <w:rsid w:val="00E92C68"/>
    <w:rsid w:val="00E93167"/>
    <w:rsid w:val="00E93E86"/>
    <w:rsid w:val="00E96993"/>
    <w:rsid w:val="00E973B0"/>
    <w:rsid w:val="00E9743C"/>
    <w:rsid w:val="00E974FC"/>
    <w:rsid w:val="00EA0964"/>
    <w:rsid w:val="00EA0FED"/>
    <w:rsid w:val="00EA12AA"/>
    <w:rsid w:val="00EA1673"/>
    <w:rsid w:val="00EA278E"/>
    <w:rsid w:val="00EA2972"/>
    <w:rsid w:val="00EA2EA3"/>
    <w:rsid w:val="00EA325A"/>
    <w:rsid w:val="00EA41CC"/>
    <w:rsid w:val="00EA44B4"/>
    <w:rsid w:val="00EA460F"/>
    <w:rsid w:val="00EA59E1"/>
    <w:rsid w:val="00EA5D47"/>
    <w:rsid w:val="00EA60D5"/>
    <w:rsid w:val="00EA65E5"/>
    <w:rsid w:val="00EA666D"/>
    <w:rsid w:val="00EA6CA1"/>
    <w:rsid w:val="00EA7508"/>
    <w:rsid w:val="00EA7C1F"/>
    <w:rsid w:val="00EA7C43"/>
    <w:rsid w:val="00EA7C4F"/>
    <w:rsid w:val="00EB05FA"/>
    <w:rsid w:val="00EB0797"/>
    <w:rsid w:val="00EB0E3E"/>
    <w:rsid w:val="00EB0F2A"/>
    <w:rsid w:val="00EB12FB"/>
    <w:rsid w:val="00EB2156"/>
    <w:rsid w:val="00EB25F3"/>
    <w:rsid w:val="00EB3A9A"/>
    <w:rsid w:val="00EB436D"/>
    <w:rsid w:val="00EB4B6E"/>
    <w:rsid w:val="00EB5406"/>
    <w:rsid w:val="00EB5564"/>
    <w:rsid w:val="00EB5594"/>
    <w:rsid w:val="00EB5B57"/>
    <w:rsid w:val="00EB5B70"/>
    <w:rsid w:val="00EB5DD9"/>
    <w:rsid w:val="00EB651B"/>
    <w:rsid w:val="00EB6601"/>
    <w:rsid w:val="00EB68D3"/>
    <w:rsid w:val="00EB736F"/>
    <w:rsid w:val="00EB7C33"/>
    <w:rsid w:val="00EB7D5F"/>
    <w:rsid w:val="00EB7F14"/>
    <w:rsid w:val="00EB7F9C"/>
    <w:rsid w:val="00EC02E6"/>
    <w:rsid w:val="00EC05D5"/>
    <w:rsid w:val="00EC07AB"/>
    <w:rsid w:val="00EC0B7F"/>
    <w:rsid w:val="00EC1143"/>
    <w:rsid w:val="00EC155B"/>
    <w:rsid w:val="00EC16A9"/>
    <w:rsid w:val="00EC1783"/>
    <w:rsid w:val="00EC22DB"/>
    <w:rsid w:val="00EC25C8"/>
    <w:rsid w:val="00EC2B66"/>
    <w:rsid w:val="00EC32AD"/>
    <w:rsid w:val="00EC34C1"/>
    <w:rsid w:val="00EC3971"/>
    <w:rsid w:val="00EC3D9E"/>
    <w:rsid w:val="00EC3E3A"/>
    <w:rsid w:val="00EC4026"/>
    <w:rsid w:val="00EC40B3"/>
    <w:rsid w:val="00EC434E"/>
    <w:rsid w:val="00EC483D"/>
    <w:rsid w:val="00EC53A3"/>
    <w:rsid w:val="00EC542D"/>
    <w:rsid w:val="00EC61E9"/>
    <w:rsid w:val="00EC6278"/>
    <w:rsid w:val="00EC6552"/>
    <w:rsid w:val="00EC6F4E"/>
    <w:rsid w:val="00EC76AF"/>
    <w:rsid w:val="00EC78F9"/>
    <w:rsid w:val="00EC7A13"/>
    <w:rsid w:val="00EC7DCC"/>
    <w:rsid w:val="00EC7E01"/>
    <w:rsid w:val="00ED0479"/>
    <w:rsid w:val="00ED0953"/>
    <w:rsid w:val="00ED0B62"/>
    <w:rsid w:val="00ED1267"/>
    <w:rsid w:val="00ED149D"/>
    <w:rsid w:val="00ED16C1"/>
    <w:rsid w:val="00ED1E11"/>
    <w:rsid w:val="00ED265E"/>
    <w:rsid w:val="00ED2C97"/>
    <w:rsid w:val="00ED301D"/>
    <w:rsid w:val="00ED3A36"/>
    <w:rsid w:val="00ED3DBD"/>
    <w:rsid w:val="00ED421A"/>
    <w:rsid w:val="00ED521D"/>
    <w:rsid w:val="00ED5516"/>
    <w:rsid w:val="00ED5AF9"/>
    <w:rsid w:val="00ED6452"/>
    <w:rsid w:val="00ED6BF9"/>
    <w:rsid w:val="00ED6F11"/>
    <w:rsid w:val="00ED70A8"/>
    <w:rsid w:val="00ED7455"/>
    <w:rsid w:val="00ED7484"/>
    <w:rsid w:val="00ED7C17"/>
    <w:rsid w:val="00EE02CD"/>
    <w:rsid w:val="00EE0D99"/>
    <w:rsid w:val="00EE0DAE"/>
    <w:rsid w:val="00EE0FB2"/>
    <w:rsid w:val="00EE10AB"/>
    <w:rsid w:val="00EE1107"/>
    <w:rsid w:val="00EE110D"/>
    <w:rsid w:val="00EE130D"/>
    <w:rsid w:val="00EE1558"/>
    <w:rsid w:val="00EE1A20"/>
    <w:rsid w:val="00EE1AF4"/>
    <w:rsid w:val="00EE239A"/>
    <w:rsid w:val="00EE23C1"/>
    <w:rsid w:val="00EE3671"/>
    <w:rsid w:val="00EE3C6E"/>
    <w:rsid w:val="00EE3E09"/>
    <w:rsid w:val="00EE40C4"/>
    <w:rsid w:val="00EE4174"/>
    <w:rsid w:val="00EE46DD"/>
    <w:rsid w:val="00EE4AC7"/>
    <w:rsid w:val="00EE5B83"/>
    <w:rsid w:val="00EE5EAD"/>
    <w:rsid w:val="00EE6E5D"/>
    <w:rsid w:val="00EE726D"/>
    <w:rsid w:val="00EE76F3"/>
    <w:rsid w:val="00EE7F53"/>
    <w:rsid w:val="00EE7FA8"/>
    <w:rsid w:val="00EF009B"/>
    <w:rsid w:val="00EF056D"/>
    <w:rsid w:val="00EF0657"/>
    <w:rsid w:val="00EF0D59"/>
    <w:rsid w:val="00EF0F92"/>
    <w:rsid w:val="00EF0FAC"/>
    <w:rsid w:val="00EF184F"/>
    <w:rsid w:val="00EF1873"/>
    <w:rsid w:val="00EF1FF6"/>
    <w:rsid w:val="00EF2008"/>
    <w:rsid w:val="00EF282E"/>
    <w:rsid w:val="00EF2B83"/>
    <w:rsid w:val="00EF3046"/>
    <w:rsid w:val="00EF3572"/>
    <w:rsid w:val="00EF470A"/>
    <w:rsid w:val="00EF4BAF"/>
    <w:rsid w:val="00EF5749"/>
    <w:rsid w:val="00EF58D5"/>
    <w:rsid w:val="00EF6CEF"/>
    <w:rsid w:val="00EF70EF"/>
    <w:rsid w:val="00F00359"/>
    <w:rsid w:val="00F0045A"/>
    <w:rsid w:val="00F00691"/>
    <w:rsid w:val="00F0071B"/>
    <w:rsid w:val="00F0096C"/>
    <w:rsid w:val="00F00B45"/>
    <w:rsid w:val="00F016A7"/>
    <w:rsid w:val="00F01876"/>
    <w:rsid w:val="00F01B9F"/>
    <w:rsid w:val="00F01DF5"/>
    <w:rsid w:val="00F01F59"/>
    <w:rsid w:val="00F020D3"/>
    <w:rsid w:val="00F02592"/>
    <w:rsid w:val="00F0291C"/>
    <w:rsid w:val="00F02F57"/>
    <w:rsid w:val="00F02F7E"/>
    <w:rsid w:val="00F0316C"/>
    <w:rsid w:val="00F03749"/>
    <w:rsid w:val="00F03791"/>
    <w:rsid w:val="00F0472C"/>
    <w:rsid w:val="00F04DB8"/>
    <w:rsid w:val="00F056F3"/>
    <w:rsid w:val="00F05A35"/>
    <w:rsid w:val="00F05C64"/>
    <w:rsid w:val="00F061DA"/>
    <w:rsid w:val="00F062A0"/>
    <w:rsid w:val="00F07481"/>
    <w:rsid w:val="00F10714"/>
    <w:rsid w:val="00F115D4"/>
    <w:rsid w:val="00F116A5"/>
    <w:rsid w:val="00F11AF1"/>
    <w:rsid w:val="00F11C75"/>
    <w:rsid w:val="00F12A2D"/>
    <w:rsid w:val="00F12CFD"/>
    <w:rsid w:val="00F1309D"/>
    <w:rsid w:val="00F131B8"/>
    <w:rsid w:val="00F1323B"/>
    <w:rsid w:val="00F13376"/>
    <w:rsid w:val="00F138D6"/>
    <w:rsid w:val="00F13DBB"/>
    <w:rsid w:val="00F13F00"/>
    <w:rsid w:val="00F142D2"/>
    <w:rsid w:val="00F1443A"/>
    <w:rsid w:val="00F1443E"/>
    <w:rsid w:val="00F14B55"/>
    <w:rsid w:val="00F14E5E"/>
    <w:rsid w:val="00F152A4"/>
    <w:rsid w:val="00F1565C"/>
    <w:rsid w:val="00F15F17"/>
    <w:rsid w:val="00F16D62"/>
    <w:rsid w:val="00F16F7E"/>
    <w:rsid w:val="00F17504"/>
    <w:rsid w:val="00F1763D"/>
    <w:rsid w:val="00F1798A"/>
    <w:rsid w:val="00F17BC0"/>
    <w:rsid w:val="00F17CAC"/>
    <w:rsid w:val="00F17FE7"/>
    <w:rsid w:val="00F20503"/>
    <w:rsid w:val="00F20B51"/>
    <w:rsid w:val="00F210D8"/>
    <w:rsid w:val="00F21455"/>
    <w:rsid w:val="00F21D81"/>
    <w:rsid w:val="00F22154"/>
    <w:rsid w:val="00F221F4"/>
    <w:rsid w:val="00F2249A"/>
    <w:rsid w:val="00F22783"/>
    <w:rsid w:val="00F228B9"/>
    <w:rsid w:val="00F22A5A"/>
    <w:rsid w:val="00F22E57"/>
    <w:rsid w:val="00F236AB"/>
    <w:rsid w:val="00F237F1"/>
    <w:rsid w:val="00F23CF7"/>
    <w:rsid w:val="00F247B2"/>
    <w:rsid w:val="00F253EF"/>
    <w:rsid w:val="00F2622A"/>
    <w:rsid w:val="00F26B28"/>
    <w:rsid w:val="00F274F5"/>
    <w:rsid w:val="00F27A32"/>
    <w:rsid w:val="00F27A73"/>
    <w:rsid w:val="00F27F4A"/>
    <w:rsid w:val="00F30457"/>
    <w:rsid w:val="00F30775"/>
    <w:rsid w:val="00F30876"/>
    <w:rsid w:val="00F30BB1"/>
    <w:rsid w:val="00F3163C"/>
    <w:rsid w:val="00F3186A"/>
    <w:rsid w:val="00F31935"/>
    <w:rsid w:val="00F31C32"/>
    <w:rsid w:val="00F31E06"/>
    <w:rsid w:val="00F3242A"/>
    <w:rsid w:val="00F3242B"/>
    <w:rsid w:val="00F32497"/>
    <w:rsid w:val="00F3330E"/>
    <w:rsid w:val="00F33333"/>
    <w:rsid w:val="00F33373"/>
    <w:rsid w:val="00F33871"/>
    <w:rsid w:val="00F34029"/>
    <w:rsid w:val="00F341A9"/>
    <w:rsid w:val="00F3485D"/>
    <w:rsid w:val="00F35360"/>
    <w:rsid w:val="00F353D5"/>
    <w:rsid w:val="00F36B0A"/>
    <w:rsid w:val="00F37001"/>
    <w:rsid w:val="00F3770E"/>
    <w:rsid w:val="00F377D5"/>
    <w:rsid w:val="00F37855"/>
    <w:rsid w:val="00F4034A"/>
    <w:rsid w:val="00F40455"/>
    <w:rsid w:val="00F4052A"/>
    <w:rsid w:val="00F4066D"/>
    <w:rsid w:val="00F40B93"/>
    <w:rsid w:val="00F40FF2"/>
    <w:rsid w:val="00F4163D"/>
    <w:rsid w:val="00F41754"/>
    <w:rsid w:val="00F41C1A"/>
    <w:rsid w:val="00F41E18"/>
    <w:rsid w:val="00F42136"/>
    <w:rsid w:val="00F42E01"/>
    <w:rsid w:val="00F4314A"/>
    <w:rsid w:val="00F44143"/>
    <w:rsid w:val="00F441B5"/>
    <w:rsid w:val="00F44206"/>
    <w:rsid w:val="00F4465E"/>
    <w:rsid w:val="00F448B2"/>
    <w:rsid w:val="00F4542C"/>
    <w:rsid w:val="00F45FEC"/>
    <w:rsid w:val="00F46202"/>
    <w:rsid w:val="00F463BF"/>
    <w:rsid w:val="00F46CC1"/>
    <w:rsid w:val="00F47274"/>
    <w:rsid w:val="00F47393"/>
    <w:rsid w:val="00F473CC"/>
    <w:rsid w:val="00F47A34"/>
    <w:rsid w:val="00F47B40"/>
    <w:rsid w:val="00F47CF0"/>
    <w:rsid w:val="00F50305"/>
    <w:rsid w:val="00F50565"/>
    <w:rsid w:val="00F5056A"/>
    <w:rsid w:val="00F50E9A"/>
    <w:rsid w:val="00F5124E"/>
    <w:rsid w:val="00F514A4"/>
    <w:rsid w:val="00F518BC"/>
    <w:rsid w:val="00F51D1A"/>
    <w:rsid w:val="00F51E63"/>
    <w:rsid w:val="00F52285"/>
    <w:rsid w:val="00F523DF"/>
    <w:rsid w:val="00F52569"/>
    <w:rsid w:val="00F53852"/>
    <w:rsid w:val="00F5440D"/>
    <w:rsid w:val="00F54595"/>
    <w:rsid w:val="00F549BB"/>
    <w:rsid w:val="00F54C01"/>
    <w:rsid w:val="00F551D0"/>
    <w:rsid w:val="00F55201"/>
    <w:rsid w:val="00F55409"/>
    <w:rsid w:val="00F55418"/>
    <w:rsid w:val="00F55A9B"/>
    <w:rsid w:val="00F55C24"/>
    <w:rsid w:val="00F55FA8"/>
    <w:rsid w:val="00F5609D"/>
    <w:rsid w:val="00F5653A"/>
    <w:rsid w:val="00F567FF"/>
    <w:rsid w:val="00F57340"/>
    <w:rsid w:val="00F573E5"/>
    <w:rsid w:val="00F57638"/>
    <w:rsid w:val="00F57DC4"/>
    <w:rsid w:val="00F6017F"/>
    <w:rsid w:val="00F60972"/>
    <w:rsid w:val="00F60AC9"/>
    <w:rsid w:val="00F61000"/>
    <w:rsid w:val="00F63355"/>
    <w:rsid w:val="00F63558"/>
    <w:rsid w:val="00F63D27"/>
    <w:rsid w:val="00F64295"/>
    <w:rsid w:val="00F646D8"/>
    <w:rsid w:val="00F64B07"/>
    <w:rsid w:val="00F64C94"/>
    <w:rsid w:val="00F65435"/>
    <w:rsid w:val="00F65B2A"/>
    <w:rsid w:val="00F65EF2"/>
    <w:rsid w:val="00F66117"/>
    <w:rsid w:val="00F661A0"/>
    <w:rsid w:val="00F66F26"/>
    <w:rsid w:val="00F66F67"/>
    <w:rsid w:val="00F67198"/>
    <w:rsid w:val="00F67558"/>
    <w:rsid w:val="00F676FA"/>
    <w:rsid w:val="00F679AA"/>
    <w:rsid w:val="00F67F22"/>
    <w:rsid w:val="00F67FEA"/>
    <w:rsid w:val="00F70034"/>
    <w:rsid w:val="00F704AA"/>
    <w:rsid w:val="00F718E6"/>
    <w:rsid w:val="00F71CD7"/>
    <w:rsid w:val="00F72712"/>
    <w:rsid w:val="00F7311D"/>
    <w:rsid w:val="00F735D3"/>
    <w:rsid w:val="00F736FE"/>
    <w:rsid w:val="00F7380C"/>
    <w:rsid w:val="00F74E9B"/>
    <w:rsid w:val="00F75094"/>
    <w:rsid w:val="00F75109"/>
    <w:rsid w:val="00F75569"/>
    <w:rsid w:val="00F75D54"/>
    <w:rsid w:val="00F761CE"/>
    <w:rsid w:val="00F767E4"/>
    <w:rsid w:val="00F76C8B"/>
    <w:rsid w:val="00F771EC"/>
    <w:rsid w:val="00F772A4"/>
    <w:rsid w:val="00F77993"/>
    <w:rsid w:val="00F77998"/>
    <w:rsid w:val="00F77D8F"/>
    <w:rsid w:val="00F77DE0"/>
    <w:rsid w:val="00F8081E"/>
    <w:rsid w:val="00F80C61"/>
    <w:rsid w:val="00F81218"/>
    <w:rsid w:val="00F8130E"/>
    <w:rsid w:val="00F81423"/>
    <w:rsid w:val="00F815CA"/>
    <w:rsid w:val="00F818F7"/>
    <w:rsid w:val="00F81962"/>
    <w:rsid w:val="00F81A9A"/>
    <w:rsid w:val="00F81AFD"/>
    <w:rsid w:val="00F81CA4"/>
    <w:rsid w:val="00F81CF3"/>
    <w:rsid w:val="00F81E6C"/>
    <w:rsid w:val="00F82395"/>
    <w:rsid w:val="00F82AC3"/>
    <w:rsid w:val="00F82E80"/>
    <w:rsid w:val="00F82FE7"/>
    <w:rsid w:val="00F832C6"/>
    <w:rsid w:val="00F83523"/>
    <w:rsid w:val="00F83DB4"/>
    <w:rsid w:val="00F84160"/>
    <w:rsid w:val="00F8489A"/>
    <w:rsid w:val="00F84AD6"/>
    <w:rsid w:val="00F852EC"/>
    <w:rsid w:val="00F8532A"/>
    <w:rsid w:val="00F85B6B"/>
    <w:rsid w:val="00F87113"/>
    <w:rsid w:val="00F8738B"/>
    <w:rsid w:val="00F87449"/>
    <w:rsid w:val="00F9009A"/>
    <w:rsid w:val="00F90241"/>
    <w:rsid w:val="00F9024F"/>
    <w:rsid w:val="00F90355"/>
    <w:rsid w:val="00F9101B"/>
    <w:rsid w:val="00F914C6"/>
    <w:rsid w:val="00F9162C"/>
    <w:rsid w:val="00F91ABB"/>
    <w:rsid w:val="00F91AFF"/>
    <w:rsid w:val="00F92350"/>
    <w:rsid w:val="00F92BEB"/>
    <w:rsid w:val="00F930A4"/>
    <w:rsid w:val="00F932B2"/>
    <w:rsid w:val="00F93E20"/>
    <w:rsid w:val="00F94201"/>
    <w:rsid w:val="00F946BF"/>
    <w:rsid w:val="00F94B64"/>
    <w:rsid w:val="00F94BCF"/>
    <w:rsid w:val="00F94C65"/>
    <w:rsid w:val="00F94F1C"/>
    <w:rsid w:val="00F95284"/>
    <w:rsid w:val="00F95376"/>
    <w:rsid w:val="00F95686"/>
    <w:rsid w:val="00F956BF"/>
    <w:rsid w:val="00F957A3"/>
    <w:rsid w:val="00F95AC1"/>
    <w:rsid w:val="00F95C53"/>
    <w:rsid w:val="00F95EBA"/>
    <w:rsid w:val="00F961A8"/>
    <w:rsid w:val="00F967AF"/>
    <w:rsid w:val="00F97017"/>
    <w:rsid w:val="00F97445"/>
    <w:rsid w:val="00F97587"/>
    <w:rsid w:val="00F97D70"/>
    <w:rsid w:val="00F97E62"/>
    <w:rsid w:val="00FA0805"/>
    <w:rsid w:val="00FA0A52"/>
    <w:rsid w:val="00FA0B53"/>
    <w:rsid w:val="00FA14D1"/>
    <w:rsid w:val="00FA1F19"/>
    <w:rsid w:val="00FA202B"/>
    <w:rsid w:val="00FA2573"/>
    <w:rsid w:val="00FA26B0"/>
    <w:rsid w:val="00FA2AC6"/>
    <w:rsid w:val="00FA364A"/>
    <w:rsid w:val="00FA379D"/>
    <w:rsid w:val="00FA3B1C"/>
    <w:rsid w:val="00FA3B61"/>
    <w:rsid w:val="00FA43FD"/>
    <w:rsid w:val="00FA44D9"/>
    <w:rsid w:val="00FA46CA"/>
    <w:rsid w:val="00FA4750"/>
    <w:rsid w:val="00FA4A92"/>
    <w:rsid w:val="00FA4D78"/>
    <w:rsid w:val="00FA4FFA"/>
    <w:rsid w:val="00FA50C7"/>
    <w:rsid w:val="00FA5527"/>
    <w:rsid w:val="00FA5C8B"/>
    <w:rsid w:val="00FA5F7C"/>
    <w:rsid w:val="00FA66BD"/>
    <w:rsid w:val="00FA673A"/>
    <w:rsid w:val="00FA75CA"/>
    <w:rsid w:val="00FA7E51"/>
    <w:rsid w:val="00FB025F"/>
    <w:rsid w:val="00FB0550"/>
    <w:rsid w:val="00FB06D5"/>
    <w:rsid w:val="00FB0959"/>
    <w:rsid w:val="00FB0EF4"/>
    <w:rsid w:val="00FB1910"/>
    <w:rsid w:val="00FB1AAC"/>
    <w:rsid w:val="00FB2284"/>
    <w:rsid w:val="00FB2AE8"/>
    <w:rsid w:val="00FB2DA7"/>
    <w:rsid w:val="00FB2F86"/>
    <w:rsid w:val="00FB3DFD"/>
    <w:rsid w:val="00FB4171"/>
    <w:rsid w:val="00FB55E7"/>
    <w:rsid w:val="00FB596C"/>
    <w:rsid w:val="00FB59E5"/>
    <w:rsid w:val="00FB61A4"/>
    <w:rsid w:val="00FB64CC"/>
    <w:rsid w:val="00FB6580"/>
    <w:rsid w:val="00FB6AE9"/>
    <w:rsid w:val="00FB6B63"/>
    <w:rsid w:val="00FB75E1"/>
    <w:rsid w:val="00FB7EBA"/>
    <w:rsid w:val="00FC0724"/>
    <w:rsid w:val="00FC0728"/>
    <w:rsid w:val="00FC074D"/>
    <w:rsid w:val="00FC0BC9"/>
    <w:rsid w:val="00FC105D"/>
    <w:rsid w:val="00FC1195"/>
    <w:rsid w:val="00FC15AC"/>
    <w:rsid w:val="00FC1690"/>
    <w:rsid w:val="00FC1B75"/>
    <w:rsid w:val="00FC1F54"/>
    <w:rsid w:val="00FC20AC"/>
    <w:rsid w:val="00FC2DD0"/>
    <w:rsid w:val="00FC3760"/>
    <w:rsid w:val="00FC4634"/>
    <w:rsid w:val="00FC4D3E"/>
    <w:rsid w:val="00FC4DD1"/>
    <w:rsid w:val="00FC594A"/>
    <w:rsid w:val="00FC5FDA"/>
    <w:rsid w:val="00FC630F"/>
    <w:rsid w:val="00FC6896"/>
    <w:rsid w:val="00FC7178"/>
    <w:rsid w:val="00FC725C"/>
    <w:rsid w:val="00FC7CC1"/>
    <w:rsid w:val="00FD017F"/>
    <w:rsid w:val="00FD0823"/>
    <w:rsid w:val="00FD093B"/>
    <w:rsid w:val="00FD0C2A"/>
    <w:rsid w:val="00FD1422"/>
    <w:rsid w:val="00FD1433"/>
    <w:rsid w:val="00FD159D"/>
    <w:rsid w:val="00FD15C4"/>
    <w:rsid w:val="00FD1FE2"/>
    <w:rsid w:val="00FD253A"/>
    <w:rsid w:val="00FD2A48"/>
    <w:rsid w:val="00FD2E6B"/>
    <w:rsid w:val="00FD3BAA"/>
    <w:rsid w:val="00FD3FFC"/>
    <w:rsid w:val="00FD40EB"/>
    <w:rsid w:val="00FD4355"/>
    <w:rsid w:val="00FD46B8"/>
    <w:rsid w:val="00FD5533"/>
    <w:rsid w:val="00FD63E9"/>
    <w:rsid w:val="00FD6519"/>
    <w:rsid w:val="00FD73A0"/>
    <w:rsid w:val="00FD78E8"/>
    <w:rsid w:val="00FD7D6B"/>
    <w:rsid w:val="00FD7DBB"/>
    <w:rsid w:val="00FD7FFB"/>
    <w:rsid w:val="00FE04D2"/>
    <w:rsid w:val="00FE075E"/>
    <w:rsid w:val="00FE0E5D"/>
    <w:rsid w:val="00FE11C9"/>
    <w:rsid w:val="00FE1343"/>
    <w:rsid w:val="00FE1715"/>
    <w:rsid w:val="00FE1E6F"/>
    <w:rsid w:val="00FE2452"/>
    <w:rsid w:val="00FE2688"/>
    <w:rsid w:val="00FE26D0"/>
    <w:rsid w:val="00FE28D9"/>
    <w:rsid w:val="00FE29C2"/>
    <w:rsid w:val="00FE36FA"/>
    <w:rsid w:val="00FE3868"/>
    <w:rsid w:val="00FE43FF"/>
    <w:rsid w:val="00FE4445"/>
    <w:rsid w:val="00FE4928"/>
    <w:rsid w:val="00FE4A1E"/>
    <w:rsid w:val="00FE4F71"/>
    <w:rsid w:val="00FE55B1"/>
    <w:rsid w:val="00FE56DA"/>
    <w:rsid w:val="00FE5774"/>
    <w:rsid w:val="00FE5D5D"/>
    <w:rsid w:val="00FE5FEC"/>
    <w:rsid w:val="00FE6E1F"/>
    <w:rsid w:val="00FE7AA3"/>
    <w:rsid w:val="00FF10A5"/>
    <w:rsid w:val="00FF1348"/>
    <w:rsid w:val="00FF13C6"/>
    <w:rsid w:val="00FF16A2"/>
    <w:rsid w:val="00FF1A39"/>
    <w:rsid w:val="00FF1D3B"/>
    <w:rsid w:val="00FF1F8B"/>
    <w:rsid w:val="00FF20CF"/>
    <w:rsid w:val="00FF263E"/>
    <w:rsid w:val="00FF3383"/>
    <w:rsid w:val="00FF394D"/>
    <w:rsid w:val="00FF3E48"/>
    <w:rsid w:val="00FF48C7"/>
    <w:rsid w:val="00FF520C"/>
    <w:rsid w:val="00FF52C2"/>
    <w:rsid w:val="00FF5619"/>
    <w:rsid w:val="00FF59AB"/>
    <w:rsid w:val="00FF5F03"/>
    <w:rsid w:val="00FF66C4"/>
    <w:rsid w:val="00FF6A50"/>
    <w:rsid w:val="00FF6D5A"/>
    <w:rsid w:val="00FF7178"/>
    <w:rsid w:val="00FF7263"/>
    <w:rsid w:val="00FF760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left" o:allowincell="f" fillcolor="none [2412]">
      <v:fill color="none [2412]"/>
      <v:stroke weight=".5pt"/>
    </o:shapedefaults>
    <o:shapelayout v:ext="edit">
      <o:idmap v:ext="edit" data="1"/>
    </o:shapelayout>
  </w:shapeDefaults>
  <w:decimalSymbol w:val=","/>
  <w:listSeparator w:val=";"/>
  <w14:docId w14:val="13043923"/>
  <w15:docId w15:val="{BD0970CA-1A40-471A-ADFB-9F59AE5F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qFormat="1"/>
    <w:lsdException w:name="annotation text" w:semiHidden="1" w:unhideWhenUsed="1" w:qFormat="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A320E"/>
    <w:rPr>
      <w:rFonts w:ascii="Arial Narrow" w:hAnsi="Arial Narrow" w:cs="Book Antiqua"/>
    </w:rPr>
  </w:style>
  <w:style w:type="paragraph" w:styleId="Nadpis1">
    <w:name w:val="heading 1"/>
    <w:aliases w:val="Nadpis 1 IFP"/>
    <w:basedOn w:val="Normlny"/>
    <w:next w:val="Normlny"/>
    <w:link w:val="Nadpis1Char"/>
    <w:uiPriority w:val="99"/>
    <w:qFormat/>
    <w:rsid w:val="00583E12"/>
    <w:pPr>
      <w:keepNext/>
      <w:spacing w:after="120"/>
      <w:outlineLvl w:val="0"/>
    </w:pPr>
    <w:rPr>
      <w:b/>
      <w:bCs/>
      <w:color w:val="2C9ADC" w:themeColor="accent1"/>
      <w:sz w:val="28"/>
    </w:rPr>
  </w:style>
  <w:style w:type="paragraph" w:styleId="Nadpis2">
    <w:name w:val="heading 2"/>
    <w:aliases w:val="Nadpis 2 IFP"/>
    <w:next w:val="Normlny"/>
    <w:link w:val="Nadpis2Char"/>
    <w:uiPriority w:val="99"/>
    <w:qFormat/>
    <w:rsid w:val="00583E12"/>
    <w:pPr>
      <w:spacing w:before="120"/>
      <w:jc w:val="both"/>
      <w:outlineLvl w:val="1"/>
    </w:pPr>
    <w:rPr>
      <w:rFonts w:ascii="Arial Narrow" w:hAnsi="Arial Narrow" w:cs="Book Antiqua"/>
      <w:color w:val="2C9ADC" w:themeColor="accent1"/>
      <w:sz w:val="24"/>
    </w:rPr>
  </w:style>
  <w:style w:type="paragraph" w:styleId="Nadpis3">
    <w:name w:val="heading 3"/>
    <w:aliases w:val="Tab"/>
    <w:basedOn w:val="Normlny"/>
    <w:next w:val="Normlny"/>
    <w:link w:val="Nadpis3Char"/>
    <w:uiPriority w:val="9"/>
    <w:qFormat/>
    <w:rsid w:val="001543E7"/>
    <w:pPr>
      <w:keepNext/>
      <w:outlineLvl w:val="2"/>
    </w:pPr>
    <w:rPr>
      <w:rFonts w:cs="Arial"/>
      <w:b/>
      <w:bCs/>
      <w:sz w:val="20"/>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IFP Char"/>
    <w:basedOn w:val="Predvolenpsmoodseku"/>
    <w:link w:val="Nadpis1"/>
    <w:uiPriority w:val="99"/>
    <w:locked/>
    <w:rsid w:val="00583E12"/>
    <w:rPr>
      <w:rFonts w:ascii="Arial Narrow" w:hAnsi="Arial Narrow" w:cs="Book Antiqua"/>
      <w:b/>
      <w:bCs/>
      <w:color w:val="2C9ADC" w:themeColor="accent1"/>
      <w:sz w:val="28"/>
    </w:rPr>
  </w:style>
  <w:style w:type="character" w:customStyle="1" w:styleId="Nadpis2Char">
    <w:name w:val="Nadpis 2 Char"/>
    <w:aliases w:val="Nadpis 2 IFP Char"/>
    <w:basedOn w:val="Predvolenpsmoodseku"/>
    <w:link w:val="Nadpis2"/>
    <w:uiPriority w:val="99"/>
    <w:locked/>
    <w:rsid w:val="00583E12"/>
    <w:rPr>
      <w:rFonts w:ascii="Arial Narrow" w:hAnsi="Arial Narrow" w:cs="Book Antiqua"/>
      <w:color w:val="2C9ADC" w:themeColor="accent1"/>
      <w:sz w:val="24"/>
    </w:rPr>
  </w:style>
  <w:style w:type="character" w:customStyle="1" w:styleId="Nadpis3Char">
    <w:name w:val="Nadpis 3 Char"/>
    <w:aliases w:val="Tab Char"/>
    <w:basedOn w:val="Predvolenpsmoodseku"/>
    <w:link w:val="Nadpis3"/>
    <w:uiPriority w:val="9"/>
    <w:locked/>
    <w:rsid w:val="001543E7"/>
    <w:rPr>
      <w:rFonts w:ascii="Arial Narrow" w:hAnsi="Arial Narrow" w:cs="Arial"/>
      <w:b/>
      <w:bCs/>
      <w:sz w:val="26"/>
      <w:szCs w:val="26"/>
      <w:lang w:eastAsia="sk-SK"/>
    </w:rPr>
  </w:style>
  <w:style w:type="paragraph" w:styleId="Textbubliny">
    <w:name w:val="Balloon Text"/>
    <w:basedOn w:val="Normlny"/>
    <w:link w:val="TextbublinyChar"/>
    <w:uiPriority w:val="99"/>
    <w:semiHidden/>
    <w:rsid w:val="001543E7"/>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1543E7"/>
    <w:rPr>
      <w:rFonts w:ascii="Tahoma" w:hAnsi="Tahoma" w:cs="Tahoma"/>
      <w:sz w:val="16"/>
      <w:szCs w:val="16"/>
      <w:lang w:eastAsia="sk-SK"/>
    </w:rPr>
  </w:style>
  <w:style w:type="paragraph" w:styleId="Zkladntext">
    <w:name w:val="Body Text"/>
    <w:basedOn w:val="Normlny"/>
    <w:link w:val="ZkladntextChar"/>
    <w:uiPriority w:val="99"/>
    <w:rsid w:val="001543E7"/>
    <w:pPr>
      <w:widowControl w:val="0"/>
    </w:pPr>
    <w:rPr>
      <w:color w:val="000000"/>
      <w:sz w:val="24"/>
      <w:szCs w:val="24"/>
    </w:rPr>
  </w:style>
  <w:style w:type="character" w:customStyle="1" w:styleId="ZkladntextChar">
    <w:name w:val="Základný text Char"/>
    <w:basedOn w:val="Predvolenpsmoodseku"/>
    <w:link w:val="Zkladntext"/>
    <w:uiPriority w:val="99"/>
    <w:locked/>
    <w:rsid w:val="001543E7"/>
    <w:rPr>
      <w:rFonts w:ascii="Book Antiqua" w:hAnsi="Book Antiqua" w:cs="Book Antiqua"/>
      <w:color w:val="000000"/>
      <w:sz w:val="24"/>
      <w:szCs w:val="24"/>
      <w:lang w:eastAsia="sk-SK"/>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 Char Char Char Char Char,f,Plonk"/>
    <w:basedOn w:val="Normlny"/>
    <w:link w:val="TextpoznmkypodiarouChar"/>
    <w:uiPriority w:val="99"/>
    <w:qFormat/>
    <w:rsid w:val="001543E7"/>
    <w:rPr>
      <w:sz w:val="20"/>
      <w:szCs w:val="20"/>
      <w:lang w:eastAsia="en-US"/>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 Char,Plonk Char"/>
    <w:basedOn w:val="Predvolenpsmoodseku"/>
    <w:link w:val="Textpoznmkypodiarou"/>
    <w:uiPriority w:val="99"/>
    <w:locked/>
    <w:rsid w:val="001543E7"/>
    <w:rPr>
      <w:rFonts w:ascii="Book Antiqua" w:hAnsi="Book Antiqua" w:cs="Book Antiqua"/>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uiPriority w:val="99"/>
    <w:qFormat/>
    <w:rsid w:val="001543E7"/>
    <w:rPr>
      <w:rFonts w:ascii="Arial Narrow" w:hAnsi="Arial Narrow" w:cs="Arial Narrow"/>
      <w:vertAlign w:val="superscript"/>
      <w:lang w:val="en-US" w:eastAsia="en-US"/>
    </w:rPr>
  </w:style>
  <w:style w:type="paragraph" w:styleId="Hlavika">
    <w:name w:val="header"/>
    <w:basedOn w:val="Normlny"/>
    <w:link w:val="HlavikaChar"/>
    <w:uiPriority w:val="99"/>
    <w:rsid w:val="001543E7"/>
    <w:pPr>
      <w:tabs>
        <w:tab w:val="center" w:pos="4536"/>
        <w:tab w:val="right" w:pos="9072"/>
      </w:tabs>
      <w:jc w:val="both"/>
    </w:pPr>
    <w:rPr>
      <w:lang w:eastAsia="cs-CZ"/>
    </w:rPr>
  </w:style>
  <w:style w:type="character" w:customStyle="1" w:styleId="HlavikaChar">
    <w:name w:val="Hlavička Char"/>
    <w:basedOn w:val="Predvolenpsmoodseku"/>
    <w:link w:val="Hlavika"/>
    <w:uiPriority w:val="99"/>
    <w:locked/>
    <w:rsid w:val="001543E7"/>
    <w:rPr>
      <w:rFonts w:ascii="Book Antiqua" w:hAnsi="Book Antiqua" w:cs="Book Antiqua"/>
      <w:lang w:eastAsia="cs-CZ"/>
    </w:rPr>
  </w:style>
  <w:style w:type="paragraph" w:customStyle="1" w:styleId="NormalList">
    <w:name w:val="NormalList"/>
    <w:basedOn w:val="Normlny"/>
    <w:qFormat/>
    <w:rsid w:val="001543E7"/>
    <w:pPr>
      <w:jc w:val="both"/>
    </w:pPr>
    <w:rPr>
      <w:lang w:eastAsia="en-US"/>
    </w:rPr>
  </w:style>
  <w:style w:type="paragraph" w:customStyle="1" w:styleId="Normlny1">
    <w:name w:val="Normálny1"/>
    <w:basedOn w:val="Normlny"/>
    <w:next w:val="Normlny"/>
    <w:uiPriority w:val="99"/>
    <w:rsid w:val="001543E7"/>
    <w:pPr>
      <w:autoSpaceDE w:val="0"/>
      <w:autoSpaceDN w:val="0"/>
      <w:adjustRightInd w:val="0"/>
    </w:pPr>
    <w:rPr>
      <w:sz w:val="24"/>
      <w:szCs w:val="24"/>
      <w:lang w:val="cs-CZ" w:eastAsia="cs-CZ"/>
    </w:rPr>
  </w:style>
  <w:style w:type="paragraph" w:customStyle="1" w:styleId="Normlny4">
    <w:name w:val="Normálny4"/>
    <w:basedOn w:val="Normlny"/>
    <w:next w:val="Normlny"/>
    <w:uiPriority w:val="99"/>
    <w:rsid w:val="001543E7"/>
    <w:pPr>
      <w:autoSpaceDE w:val="0"/>
      <w:autoSpaceDN w:val="0"/>
      <w:adjustRightInd w:val="0"/>
    </w:pPr>
    <w:rPr>
      <w:sz w:val="24"/>
      <w:szCs w:val="24"/>
    </w:rPr>
  </w:style>
  <w:style w:type="paragraph" w:styleId="Odsekzoznamu">
    <w:name w:val="List Paragraph"/>
    <w:aliases w:val="body,Odsek zoznamu2,Dot pt,F5 List Paragraph,No Spacing1,List Paragraph Char Char Char,Indicator Text,Numbered Para 1,Colorful List - Accent 11,Bullet 1,Bullet Points,Párrafo de lista,MAIN CONTENT,Recommendation"/>
    <w:basedOn w:val="Normlny"/>
    <w:link w:val="OdsekzoznamuChar"/>
    <w:uiPriority w:val="34"/>
    <w:qFormat/>
    <w:rsid w:val="001543E7"/>
    <w:pPr>
      <w:ind w:left="720"/>
      <w:contextualSpacing/>
    </w:pPr>
  </w:style>
  <w:style w:type="character" w:customStyle="1" w:styleId="OdsekzoznamuChar">
    <w:name w:val="Odsek zoznamu Char"/>
    <w:aliases w:val="body Char,Odsek zoznamu2 Char,Dot pt Char,F5 List Paragraph Char,No Spacing1 Char,List Paragraph Char Char Char Char,Indicator Text Char,Numbered Para 1 Char,Colorful List - Accent 11 Char,Bullet 1 Char,Bullet Points Char"/>
    <w:link w:val="Odsekzoznamu"/>
    <w:uiPriority w:val="34"/>
    <w:locked/>
    <w:rsid w:val="00143A58"/>
    <w:rPr>
      <w:rFonts w:ascii="Arial Narrow" w:hAnsi="Arial Narrow" w:cs="Book Antiqua"/>
    </w:rPr>
  </w:style>
  <w:style w:type="character" w:styleId="Odkaznakomentr">
    <w:name w:val="annotation reference"/>
    <w:basedOn w:val="Predvolenpsmoodseku"/>
    <w:uiPriority w:val="99"/>
    <w:qFormat/>
    <w:rsid w:val="001543E7"/>
    <w:rPr>
      <w:rFonts w:cs="Times New Roman"/>
      <w:sz w:val="16"/>
      <w:szCs w:val="16"/>
    </w:rPr>
  </w:style>
  <w:style w:type="paragraph" w:styleId="Textkomentra">
    <w:name w:val="annotation text"/>
    <w:aliases w:val="Char Char Char"/>
    <w:basedOn w:val="Normlny"/>
    <w:link w:val="TextkomentraChar"/>
    <w:uiPriority w:val="99"/>
    <w:qFormat/>
    <w:rsid w:val="001543E7"/>
    <w:rPr>
      <w:sz w:val="20"/>
      <w:szCs w:val="20"/>
    </w:rPr>
  </w:style>
  <w:style w:type="character" w:customStyle="1" w:styleId="TextkomentraChar">
    <w:name w:val="Text komentára Char"/>
    <w:aliases w:val="Char Char Char Char"/>
    <w:basedOn w:val="Predvolenpsmoodseku"/>
    <w:link w:val="Textkomentra"/>
    <w:uiPriority w:val="99"/>
    <w:qFormat/>
    <w:locked/>
    <w:rsid w:val="001543E7"/>
    <w:rPr>
      <w:rFonts w:ascii="Book Antiqua" w:hAnsi="Book Antiqua" w:cs="Book Antiqua"/>
      <w:sz w:val="20"/>
      <w:szCs w:val="20"/>
      <w:lang w:eastAsia="sk-SK"/>
    </w:rPr>
  </w:style>
  <w:style w:type="paragraph" w:styleId="Predmetkomentra">
    <w:name w:val="annotation subject"/>
    <w:basedOn w:val="Textkomentra"/>
    <w:next w:val="Textkomentra"/>
    <w:link w:val="PredmetkomentraChar"/>
    <w:uiPriority w:val="99"/>
    <w:semiHidden/>
    <w:rsid w:val="001543E7"/>
    <w:rPr>
      <w:b/>
      <w:bCs/>
    </w:rPr>
  </w:style>
  <w:style w:type="character" w:customStyle="1" w:styleId="PredmetkomentraChar">
    <w:name w:val="Predmet komentára Char"/>
    <w:basedOn w:val="TextkomentraChar"/>
    <w:link w:val="Predmetkomentra"/>
    <w:uiPriority w:val="99"/>
    <w:semiHidden/>
    <w:locked/>
    <w:rsid w:val="001543E7"/>
    <w:rPr>
      <w:rFonts w:ascii="Book Antiqua" w:hAnsi="Book Antiqua" w:cs="Book Antiqua"/>
      <w:b/>
      <w:bCs/>
      <w:sz w:val="20"/>
      <w:szCs w:val="20"/>
      <w:lang w:eastAsia="sk-SK"/>
    </w:rPr>
  </w:style>
  <w:style w:type="paragraph" w:styleId="Pta">
    <w:name w:val="footer"/>
    <w:basedOn w:val="Normlny"/>
    <w:link w:val="PtaChar"/>
    <w:uiPriority w:val="99"/>
    <w:rsid w:val="001543E7"/>
    <w:pPr>
      <w:tabs>
        <w:tab w:val="center" w:pos="4536"/>
        <w:tab w:val="right" w:pos="9072"/>
      </w:tabs>
    </w:pPr>
  </w:style>
  <w:style w:type="character" w:customStyle="1" w:styleId="PtaChar">
    <w:name w:val="Päta Char"/>
    <w:basedOn w:val="Predvolenpsmoodseku"/>
    <w:link w:val="Pta"/>
    <w:uiPriority w:val="99"/>
    <w:locked/>
    <w:rsid w:val="001543E7"/>
    <w:rPr>
      <w:rFonts w:ascii="Book Antiqua" w:hAnsi="Book Antiqua" w:cs="Book Antiqua"/>
      <w:lang w:eastAsia="sk-SK"/>
    </w:rPr>
  </w:style>
  <w:style w:type="paragraph" w:styleId="Hlavikaobsahu">
    <w:name w:val="TOC Heading"/>
    <w:basedOn w:val="Nadpis1"/>
    <w:next w:val="Normlny"/>
    <w:uiPriority w:val="99"/>
    <w:qFormat/>
    <w:rsid w:val="001543E7"/>
    <w:pPr>
      <w:keepLines/>
      <w:spacing w:before="480" w:after="0" w:line="276" w:lineRule="auto"/>
      <w:outlineLvl w:val="9"/>
    </w:pPr>
    <w:rPr>
      <w:rFonts w:ascii="Cambria" w:hAnsi="Cambria" w:cs="Times New Roman"/>
      <w:color w:val="365F91"/>
      <w:szCs w:val="28"/>
    </w:rPr>
  </w:style>
  <w:style w:type="paragraph" w:styleId="Obsah1">
    <w:name w:val="toc 1"/>
    <w:basedOn w:val="Normlny"/>
    <w:next w:val="Normlny"/>
    <w:autoRedefine/>
    <w:uiPriority w:val="39"/>
    <w:rsid w:val="00D04761"/>
    <w:pPr>
      <w:tabs>
        <w:tab w:val="left" w:pos="440"/>
        <w:tab w:val="right" w:leader="dot" w:pos="9060"/>
      </w:tabs>
      <w:spacing w:after="100"/>
    </w:pPr>
    <w:rPr>
      <w:b/>
      <w:noProof/>
    </w:rPr>
  </w:style>
  <w:style w:type="paragraph" w:styleId="Obsah2">
    <w:name w:val="toc 2"/>
    <w:basedOn w:val="Normlny"/>
    <w:next w:val="Normlny"/>
    <w:autoRedefine/>
    <w:uiPriority w:val="39"/>
    <w:rsid w:val="001711C1"/>
    <w:pPr>
      <w:tabs>
        <w:tab w:val="left" w:pos="880"/>
        <w:tab w:val="right" w:leader="dot" w:pos="9060"/>
      </w:tabs>
      <w:spacing w:after="100"/>
      <w:ind w:left="220"/>
    </w:pPr>
    <w:rPr>
      <w:rFonts w:cs="Arial Narrow"/>
      <w:noProof/>
    </w:rPr>
  </w:style>
  <w:style w:type="paragraph" w:styleId="Obsah3">
    <w:name w:val="toc 3"/>
    <w:basedOn w:val="Normlny"/>
    <w:next w:val="Normlny"/>
    <w:autoRedefine/>
    <w:uiPriority w:val="39"/>
    <w:rsid w:val="00DC556A"/>
    <w:pPr>
      <w:tabs>
        <w:tab w:val="right" w:leader="dot" w:pos="9060"/>
      </w:tabs>
      <w:spacing w:after="100" w:line="276" w:lineRule="auto"/>
      <w:ind w:left="440"/>
    </w:pPr>
  </w:style>
  <w:style w:type="character" w:styleId="Hypertextovprepojenie">
    <w:name w:val="Hyperlink"/>
    <w:basedOn w:val="Predvolenpsmoodseku"/>
    <w:uiPriority w:val="99"/>
    <w:rsid w:val="001543E7"/>
    <w:rPr>
      <w:rFonts w:cs="Times New Roman"/>
      <w:color w:val="0000FF"/>
      <w:u w:val="single"/>
    </w:rPr>
  </w:style>
  <w:style w:type="paragraph" w:styleId="Normlnywebov">
    <w:name w:val="Normal (Web)"/>
    <w:basedOn w:val="Normlny"/>
    <w:uiPriority w:val="99"/>
    <w:rsid w:val="001E5FCA"/>
    <w:pPr>
      <w:spacing w:before="100" w:beforeAutospacing="1" w:after="100" w:afterAutospacing="1"/>
    </w:pPr>
    <w:rPr>
      <w:rFonts w:ascii="Times New Roman" w:hAnsi="Times New Roman" w:cs="Times New Roman"/>
      <w:sz w:val="24"/>
      <w:szCs w:val="24"/>
    </w:rPr>
  </w:style>
  <w:style w:type="paragraph" w:styleId="Zarkazkladnhotextu2">
    <w:name w:val="Body Text Indent 2"/>
    <w:basedOn w:val="Normlny"/>
    <w:link w:val="Zarkazkladnhotextu2Char"/>
    <w:uiPriority w:val="99"/>
    <w:semiHidden/>
    <w:rsid w:val="0009759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09759D"/>
    <w:rPr>
      <w:rFonts w:ascii="Arial Narrow" w:hAnsi="Arial Narrow" w:cs="Book Antiqua"/>
      <w:lang w:eastAsia="sk-SK"/>
    </w:rPr>
  </w:style>
  <w:style w:type="table" w:styleId="Mriekatabuky">
    <w:name w:val="Table Grid"/>
    <w:basedOn w:val="Normlnatabuka"/>
    <w:uiPriority w:val="39"/>
    <w:locked/>
    <w:rsid w:val="000C6EBD"/>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1F6B19"/>
    <w:rPr>
      <w:rFonts w:ascii="Arial Narrow" w:hAnsi="Arial Narrow" w:cs="Book Antiqua"/>
    </w:rPr>
  </w:style>
  <w:style w:type="character" w:styleId="PouitHypertextovPrepojenie">
    <w:name w:val="FollowedHyperlink"/>
    <w:basedOn w:val="Predvolenpsmoodseku"/>
    <w:uiPriority w:val="99"/>
    <w:semiHidden/>
    <w:unhideWhenUsed/>
    <w:rsid w:val="00921696"/>
    <w:rPr>
      <w:rFonts w:cs="Times New Roman"/>
      <w:color w:val="800080" w:themeColor="followedHyperlink"/>
      <w:u w:val="single"/>
    </w:rPr>
  </w:style>
  <w:style w:type="paragraph" w:customStyle="1" w:styleId="ListParagraph1">
    <w:name w:val="List Paragraph1"/>
    <w:basedOn w:val="Normlny"/>
    <w:rsid w:val="000F1C79"/>
    <w:pPr>
      <w:spacing w:after="200" w:line="276" w:lineRule="auto"/>
      <w:ind w:left="720"/>
    </w:pPr>
    <w:rPr>
      <w:rFonts w:ascii="Calibri" w:hAnsi="Calibri" w:cs="Times New Roman"/>
      <w:lang w:eastAsia="en-US"/>
    </w:rPr>
  </w:style>
  <w:style w:type="paragraph" w:customStyle="1" w:styleId="Odsekzoznamu1">
    <w:name w:val="Odsek zoznamu1"/>
    <w:basedOn w:val="Normlny"/>
    <w:rsid w:val="003A151D"/>
    <w:pPr>
      <w:ind w:left="720"/>
      <w:contextualSpacing/>
    </w:pPr>
  </w:style>
  <w:style w:type="paragraph" w:styleId="Obsah4">
    <w:name w:val="toc 4"/>
    <w:basedOn w:val="Normlny"/>
    <w:next w:val="Normlny"/>
    <w:autoRedefine/>
    <w:uiPriority w:val="39"/>
    <w:unhideWhenUsed/>
    <w:locked/>
    <w:rsid w:val="00A058F2"/>
    <w:pPr>
      <w:spacing w:after="100" w:line="276" w:lineRule="auto"/>
      <w:ind w:left="660"/>
    </w:pPr>
    <w:rPr>
      <w:rFonts w:asciiTheme="minorHAnsi" w:eastAsiaTheme="minorEastAsia" w:hAnsiTheme="minorHAnsi" w:cs="Times New Roman"/>
    </w:rPr>
  </w:style>
  <w:style w:type="paragraph" w:styleId="Obsah5">
    <w:name w:val="toc 5"/>
    <w:basedOn w:val="Normlny"/>
    <w:next w:val="Normlny"/>
    <w:autoRedefine/>
    <w:uiPriority w:val="39"/>
    <w:unhideWhenUsed/>
    <w:locked/>
    <w:rsid w:val="00A058F2"/>
    <w:pPr>
      <w:spacing w:after="100" w:line="276" w:lineRule="auto"/>
      <w:ind w:left="880"/>
    </w:pPr>
    <w:rPr>
      <w:rFonts w:asciiTheme="minorHAnsi" w:eastAsiaTheme="minorEastAsia" w:hAnsiTheme="minorHAnsi" w:cs="Times New Roman"/>
    </w:rPr>
  </w:style>
  <w:style w:type="paragraph" w:styleId="Obsah6">
    <w:name w:val="toc 6"/>
    <w:basedOn w:val="Normlny"/>
    <w:next w:val="Normlny"/>
    <w:autoRedefine/>
    <w:uiPriority w:val="39"/>
    <w:unhideWhenUsed/>
    <w:locked/>
    <w:rsid w:val="00A058F2"/>
    <w:pPr>
      <w:spacing w:after="100" w:line="276" w:lineRule="auto"/>
      <w:ind w:left="1100"/>
    </w:pPr>
    <w:rPr>
      <w:rFonts w:asciiTheme="minorHAnsi" w:eastAsiaTheme="minorEastAsia" w:hAnsiTheme="minorHAnsi" w:cs="Times New Roman"/>
    </w:rPr>
  </w:style>
  <w:style w:type="paragraph" w:styleId="Obsah7">
    <w:name w:val="toc 7"/>
    <w:basedOn w:val="Normlny"/>
    <w:next w:val="Normlny"/>
    <w:autoRedefine/>
    <w:uiPriority w:val="39"/>
    <w:unhideWhenUsed/>
    <w:locked/>
    <w:rsid w:val="00A058F2"/>
    <w:pPr>
      <w:spacing w:after="100" w:line="276" w:lineRule="auto"/>
      <w:ind w:left="1320"/>
    </w:pPr>
    <w:rPr>
      <w:rFonts w:asciiTheme="minorHAnsi" w:eastAsiaTheme="minorEastAsia" w:hAnsiTheme="minorHAnsi" w:cs="Times New Roman"/>
    </w:rPr>
  </w:style>
  <w:style w:type="paragraph" w:styleId="Obsah8">
    <w:name w:val="toc 8"/>
    <w:basedOn w:val="Normlny"/>
    <w:next w:val="Normlny"/>
    <w:autoRedefine/>
    <w:uiPriority w:val="39"/>
    <w:unhideWhenUsed/>
    <w:locked/>
    <w:rsid w:val="00A058F2"/>
    <w:pPr>
      <w:spacing w:after="100" w:line="276" w:lineRule="auto"/>
      <w:ind w:left="1540"/>
    </w:pPr>
    <w:rPr>
      <w:rFonts w:asciiTheme="minorHAnsi" w:eastAsiaTheme="minorEastAsia" w:hAnsiTheme="minorHAnsi" w:cs="Times New Roman"/>
    </w:rPr>
  </w:style>
  <w:style w:type="paragraph" w:styleId="Obsah9">
    <w:name w:val="toc 9"/>
    <w:basedOn w:val="Normlny"/>
    <w:next w:val="Normlny"/>
    <w:autoRedefine/>
    <w:uiPriority w:val="39"/>
    <w:unhideWhenUsed/>
    <w:locked/>
    <w:rsid w:val="00A058F2"/>
    <w:pPr>
      <w:spacing w:after="100" w:line="276" w:lineRule="auto"/>
      <w:ind w:left="1760"/>
    </w:pPr>
    <w:rPr>
      <w:rFonts w:asciiTheme="minorHAnsi" w:eastAsiaTheme="minorEastAsia" w:hAnsiTheme="minorHAnsi" w:cs="Times New Roman"/>
    </w:rPr>
  </w:style>
  <w:style w:type="paragraph" w:customStyle="1" w:styleId="Body1">
    <w:name w:val="Body 1"/>
    <w:rsid w:val="0064347A"/>
    <w:rPr>
      <w:rFonts w:ascii="Helvetica" w:eastAsia="Arial Unicode MS" w:hAnsi="Helvetica" w:cs="Times New Roman"/>
      <w:color w:val="000000"/>
      <w:sz w:val="24"/>
      <w:szCs w:val="20"/>
    </w:rPr>
  </w:style>
  <w:style w:type="paragraph" w:customStyle="1" w:styleId="Default">
    <w:name w:val="Default"/>
    <w:rsid w:val="0042374F"/>
    <w:pPr>
      <w:autoSpaceDE w:val="0"/>
      <w:autoSpaceDN w:val="0"/>
      <w:adjustRightInd w:val="0"/>
    </w:pPr>
    <w:rPr>
      <w:rFonts w:ascii="Times New Roman" w:hAnsi="Times New Roman" w:cs="Times New Roman"/>
      <w:color w:val="000000"/>
      <w:sz w:val="24"/>
      <w:szCs w:val="24"/>
      <w:lang w:val="en-US"/>
    </w:rPr>
  </w:style>
  <w:style w:type="paragraph" w:styleId="Obyajntext">
    <w:name w:val="Plain Text"/>
    <w:basedOn w:val="Normlny"/>
    <w:link w:val="ObyajntextChar"/>
    <w:uiPriority w:val="99"/>
    <w:unhideWhenUsed/>
    <w:rsid w:val="00F17CAC"/>
    <w:rPr>
      <w:rFonts w:eastAsiaTheme="minorHAnsi" w:cstheme="minorBidi"/>
      <w:szCs w:val="21"/>
      <w:lang w:val="en-US" w:eastAsia="en-US"/>
    </w:rPr>
  </w:style>
  <w:style w:type="character" w:customStyle="1" w:styleId="ObyajntextChar">
    <w:name w:val="Obyčajný text Char"/>
    <w:basedOn w:val="Predvolenpsmoodseku"/>
    <w:link w:val="Obyajntext"/>
    <w:uiPriority w:val="99"/>
    <w:rsid w:val="00F17CAC"/>
    <w:rPr>
      <w:rFonts w:ascii="Arial Narrow" w:eastAsiaTheme="minorHAnsi" w:hAnsi="Arial Narrow" w:cstheme="minorBidi"/>
      <w:szCs w:val="21"/>
      <w:lang w:val="en-US" w:eastAsia="en-US"/>
    </w:rPr>
  </w:style>
  <w:style w:type="table" w:customStyle="1" w:styleId="Mriekatabuky1">
    <w:name w:val="Mriežka tabuľky1"/>
    <w:basedOn w:val="Normlnatabuka"/>
    <w:next w:val="Mriekatabuky"/>
    <w:uiPriority w:val="59"/>
    <w:rsid w:val="00B55CD5"/>
    <w:rPr>
      <w:rFonts w:asciiTheme="minorHAnsi"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7C3F8F"/>
    <w:rPr>
      <w:rFonts w:ascii="Arial Narrow" w:hAnsi="Arial Narrow" w:cs="Times New Roman"/>
      <w:szCs w:val="36"/>
      <w:lang w:eastAsia="en-US"/>
    </w:rPr>
  </w:style>
  <w:style w:type="paragraph" w:styleId="Zkladntext2">
    <w:name w:val="Body Text 2"/>
    <w:basedOn w:val="Normlny"/>
    <w:link w:val="Zkladntext2Char"/>
    <w:uiPriority w:val="99"/>
    <w:unhideWhenUsed/>
    <w:rsid w:val="00342B48"/>
    <w:pPr>
      <w:spacing w:after="120" w:line="480" w:lineRule="auto"/>
    </w:pPr>
  </w:style>
  <w:style w:type="character" w:customStyle="1" w:styleId="Zkladntext2Char">
    <w:name w:val="Základný text 2 Char"/>
    <w:basedOn w:val="Predvolenpsmoodseku"/>
    <w:link w:val="Zkladntext2"/>
    <w:uiPriority w:val="99"/>
    <w:rsid w:val="00342B48"/>
    <w:rPr>
      <w:rFonts w:ascii="Arial Narrow" w:hAnsi="Arial Narrow" w:cs="Book Antiqua"/>
    </w:rPr>
  </w:style>
  <w:style w:type="table" w:customStyle="1" w:styleId="Mriekatabuky4">
    <w:name w:val="Mriežka tabuľky4"/>
    <w:basedOn w:val="Normlnatabuka"/>
    <w:next w:val="Mriekatabuky"/>
    <w:uiPriority w:val="59"/>
    <w:rsid w:val="003D733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locked/>
    <w:rsid w:val="00B910C3"/>
    <w:pPr>
      <w:spacing w:after="200"/>
    </w:pPr>
    <w:rPr>
      <w:b/>
      <w:bCs/>
      <w:color w:val="2C9ADC" w:themeColor="accent1"/>
      <w:sz w:val="18"/>
      <w:szCs w:val="18"/>
    </w:rPr>
  </w:style>
  <w:style w:type="paragraph" w:customStyle="1" w:styleId="NRPtabulka">
    <w:name w:val="NRP tabulka"/>
    <w:basedOn w:val="Normlny"/>
    <w:link w:val="NRPtabulkaChar"/>
    <w:qFormat/>
    <w:rsid w:val="0063080C"/>
    <w:pPr>
      <w:spacing w:line="276" w:lineRule="auto"/>
    </w:pPr>
    <w:rPr>
      <w:rFonts w:eastAsiaTheme="minorHAnsi" w:cs="Times New Roman"/>
      <w:b/>
      <w:bCs/>
      <w:color w:val="FFFFFF" w:themeColor="background1"/>
      <w:sz w:val="20"/>
      <w:szCs w:val="14"/>
      <w:lang w:eastAsia="en-US"/>
    </w:rPr>
  </w:style>
  <w:style w:type="character" w:customStyle="1" w:styleId="NRPtabulkaChar">
    <w:name w:val="NRP tabulka Char"/>
    <w:basedOn w:val="Predvolenpsmoodseku"/>
    <w:link w:val="NRPtabulka"/>
    <w:rsid w:val="0063080C"/>
    <w:rPr>
      <w:rFonts w:ascii="Arial Narrow" w:eastAsiaTheme="minorHAnsi" w:hAnsi="Arial Narrow" w:cs="Times New Roman"/>
      <w:b/>
      <w:bCs/>
      <w:color w:val="FFFFFF" w:themeColor="background1"/>
      <w:sz w:val="20"/>
      <w:szCs w:val="14"/>
      <w:lang w:eastAsia="en-US"/>
    </w:rPr>
  </w:style>
  <w:style w:type="paragraph" w:customStyle="1" w:styleId="NRP2uroven">
    <w:name w:val="NRP_2uroven"/>
    <w:basedOn w:val="Nadpis2"/>
    <w:qFormat/>
    <w:rsid w:val="0063080C"/>
    <w:pPr>
      <w:numPr>
        <w:ilvl w:val="1"/>
        <w:numId w:val="1"/>
      </w:numPr>
      <w:spacing w:before="0"/>
    </w:pPr>
    <w:rPr>
      <w:rFonts w:cs="Arial Narrow"/>
      <w:b/>
      <w:szCs w:val="24"/>
    </w:rPr>
  </w:style>
  <w:style w:type="character" w:customStyle="1" w:styleId="apple-converted-space">
    <w:name w:val="apple-converted-space"/>
    <w:basedOn w:val="Predvolenpsmoodseku"/>
    <w:rsid w:val="0063080C"/>
  </w:style>
  <w:style w:type="character" w:customStyle="1" w:styleId="Nadpis1Char1">
    <w:name w:val="Nadpis 1 Char1"/>
    <w:aliases w:val="Char Char1"/>
    <w:basedOn w:val="Predvolenpsmoodseku"/>
    <w:uiPriority w:val="99"/>
    <w:rsid w:val="00AF28CA"/>
    <w:rPr>
      <w:rFonts w:asciiTheme="majorHAnsi" w:eastAsiaTheme="majorEastAsia" w:hAnsiTheme="majorHAnsi" w:cstheme="majorBidi"/>
      <w:color w:val="1C74A9" w:themeColor="accent1" w:themeShade="BF"/>
      <w:sz w:val="32"/>
      <w:szCs w:val="32"/>
      <w:lang w:eastAsia="sk-SK"/>
    </w:rPr>
  </w:style>
  <w:style w:type="paragraph" w:customStyle="1" w:styleId="odsekzatabukou">
    <w:name w:val="odsek za tabuľkou"/>
    <w:basedOn w:val="Normlny"/>
    <w:link w:val="odsekzatabukouChar"/>
    <w:qFormat/>
    <w:rsid w:val="006328EE"/>
    <w:pPr>
      <w:spacing w:before="240" w:after="240"/>
      <w:jc w:val="both"/>
    </w:pPr>
  </w:style>
  <w:style w:type="character" w:customStyle="1" w:styleId="odsekzatabukouChar">
    <w:name w:val="odsek za tabuľkou Char"/>
    <w:basedOn w:val="Predvolenpsmoodseku"/>
    <w:link w:val="odsekzatabukou"/>
    <w:rsid w:val="006328EE"/>
    <w:rPr>
      <w:rFonts w:ascii="Arial Narrow" w:hAnsi="Arial Narrow" w:cs="Book Antiqua"/>
    </w:rPr>
  </w:style>
  <w:style w:type="paragraph" w:customStyle="1" w:styleId="Odsek">
    <w:name w:val="Odsek"/>
    <w:basedOn w:val="Normlny"/>
    <w:link w:val="OdsekChar"/>
    <w:qFormat/>
    <w:rsid w:val="006328EE"/>
    <w:pPr>
      <w:spacing w:after="240"/>
      <w:jc w:val="both"/>
    </w:pPr>
  </w:style>
  <w:style w:type="character" w:customStyle="1" w:styleId="OdsekChar">
    <w:name w:val="Odsek Char"/>
    <w:basedOn w:val="Predvolenpsmoodseku"/>
    <w:link w:val="Odsek"/>
    <w:rsid w:val="006328EE"/>
    <w:rPr>
      <w:rFonts w:ascii="Arial Narrow" w:hAnsi="Arial Narrow" w:cs="Book Antiqua"/>
    </w:rPr>
  </w:style>
  <w:style w:type="paragraph" w:customStyle="1" w:styleId="poznmka">
    <w:name w:val="poznámka"/>
    <w:basedOn w:val="Normlny"/>
    <w:link w:val="poznmkaChar"/>
    <w:qFormat/>
    <w:rsid w:val="006328EE"/>
    <w:pPr>
      <w:spacing w:before="40"/>
      <w:jc w:val="right"/>
    </w:pPr>
    <w:rPr>
      <w:rFonts w:cs="Arial Narrow"/>
      <w:i/>
      <w:iCs/>
      <w:sz w:val="16"/>
      <w:szCs w:val="16"/>
    </w:rPr>
  </w:style>
  <w:style w:type="character" w:customStyle="1" w:styleId="poznmkaChar">
    <w:name w:val="poznámka Char"/>
    <w:basedOn w:val="Predvolenpsmoodseku"/>
    <w:link w:val="poznmka"/>
    <w:rsid w:val="006328EE"/>
    <w:rPr>
      <w:rFonts w:ascii="Arial Narrow" w:hAnsi="Arial Narrow" w:cs="Arial Narrow"/>
      <w:i/>
      <w:iCs/>
      <w:sz w:val="16"/>
      <w:szCs w:val="16"/>
    </w:rPr>
  </w:style>
  <w:style w:type="paragraph" w:customStyle="1" w:styleId="Tabuka">
    <w:name w:val="Tabuľka"/>
    <w:basedOn w:val="Normlny"/>
    <w:qFormat/>
    <w:rsid w:val="0068465B"/>
    <w:pPr>
      <w:pBdr>
        <w:top w:val="nil"/>
        <w:left w:val="nil"/>
        <w:bottom w:val="nil"/>
        <w:right w:val="nil"/>
        <w:between w:val="nil"/>
        <w:bar w:val="nil"/>
      </w:pBdr>
      <w:spacing w:after="200"/>
    </w:pPr>
    <w:rPr>
      <w:rFonts w:eastAsia="Arial Narrow" w:cs="Arial Narrow"/>
      <w:b/>
      <w:bCs/>
      <w:color w:val="2C9ADC" w:themeColor="accent1"/>
      <w:sz w:val="20"/>
      <w:szCs w:val="20"/>
      <w:bdr w:val="nil"/>
    </w:rPr>
  </w:style>
  <w:style w:type="paragraph" w:customStyle="1" w:styleId="Box">
    <w:name w:val="Box"/>
    <w:qFormat/>
    <w:rsid w:val="00DF662D"/>
    <w:pPr>
      <w:spacing w:before="120" w:after="240"/>
    </w:pPr>
    <w:rPr>
      <w:rFonts w:ascii="Arial Narrow" w:eastAsiaTheme="majorEastAsia" w:hAnsi="Arial Narrow" w:cstheme="majorBidi"/>
      <w:b/>
      <w:bCs/>
      <w:sz w:val="20"/>
      <w:szCs w:val="36"/>
      <w:lang w:eastAsia="en-US"/>
    </w:rPr>
  </w:style>
  <w:style w:type="paragraph" w:customStyle="1" w:styleId="Graf">
    <w:name w:val="Graf"/>
    <w:qFormat/>
    <w:rsid w:val="00DF662D"/>
    <w:pPr>
      <w:spacing w:after="200" w:line="276" w:lineRule="auto"/>
    </w:pPr>
    <w:rPr>
      <w:rFonts w:ascii="Arial Narrow" w:eastAsia="Arial Narrow" w:hAnsi="Arial Narrow" w:cs="Arial Narrow"/>
      <w:b/>
      <w:bCs/>
      <w:color w:val="2C9ADC" w:themeColor="accent1"/>
      <w:sz w:val="20"/>
      <w:szCs w:val="36"/>
      <w:lang w:eastAsia="en-US"/>
    </w:rPr>
  </w:style>
  <w:style w:type="paragraph" w:styleId="Zoznamobrzkov">
    <w:name w:val="table of figures"/>
    <w:basedOn w:val="Normlny"/>
    <w:next w:val="Normlny"/>
    <w:uiPriority w:val="99"/>
    <w:unhideWhenUsed/>
    <w:rsid w:val="00D26CC2"/>
  </w:style>
  <w:style w:type="table" w:customStyle="1" w:styleId="UHPGRAF">
    <w:name w:val="UHP_GRAF"/>
    <w:basedOn w:val="Normlnatabuka"/>
    <w:uiPriority w:val="99"/>
    <w:rsid w:val="00255686"/>
    <w:pPr>
      <w:spacing w:before="160"/>
      <w:contextualSpacing/>
      <w:jc w:val="both"/>
    </w:pPr>
    <w:rPr>
      <w:rFonts w:ascii="Arial Narrow" w:eastAsiaTheme="minorHAnsi" w:hAnsi="Arial Narrow" w:cstheme="minorBidi"/>
      <w:sz w:val="20"/>
      <w:szCs w:val="20"/>
    </w:rPr>
    <w:tblPr>
      <w:tblInd w:w="0" w:type="nil"/>
      <w:tblBorders>
        <w:bottom w:val="single" w:sz="4" w:space="0" w:color="auto"/>
      </w:tblBorders>
    </w:tblPr>
    <w:tcPr>
      <w:vAlign w:val="center"/>
    </w:tcPr>
    <w:tblStylePr w:type="firstRow">
      <w:pPr>
        <w:jc w:val="left"/>
      </w:pPr>
      <w:rPr>
        <w:rFonts w:ascii="Arial Narrow" w:hAnsi="Arial Narrow" w:hint="default"/>
        <w:b/>
        <w:i w:val="0"/>
        <w:iCs/>
        <w:sz w:val="20"/>
        <w:szCs w:val="20"/>
      </w:rPr>
      <w:tblPr/>
      <w:tcPr>
        <w:tcBorders>
          <w:top w:val="nil"/>
          <w:left w:val="nil"/>
          <w:bottom w:val="single" w:sz="4" w:space="0" w:color="auto"/>
          <w:right w:val="nil"/>
          <w:insideH w:val="nil"/>
          <w:insideV w:val="nil"/>
          <w:tl2br w:val="nil"/>
          <w:tr2bl w:val="nil"/>
        </w:tcBorders>
        <w:vAlign w:val="center"/>
      </w:tcPr>
    </w:tblStylePr>
    <w:tblStylePr w:type="lastRow">
      <w:pPr>
        <w:jc w:val="right"/>
      </w:pPr>
      <w:rPr>
        <w:b w:val="0"/>
        <w:i/>
        <w:color w:val="auto"/>
        <w:sz w:val="16"/>
        <w:szCs w:val="16"/>
      </w:rPr>
      <w:tblPr/>
      <w:tcPr>
        <w:tcBorders>
          <w:top w:val="single" w:sz="4" w:space="0" w:color="auto"/>
          <w:left w:val="nil"/>
          <w:bottom w:val="nil"/>
          <w:right w:val="nil"/>
          <w:insideH w:val="nil"/>
          <w:insideV w:val="nil"/>
          <w:tl2br w:val="nil"/>
          <w:tr2bl w:val="nil"/>
        </w:tcBorders>
      </w:tcPr>
    </w:tblStylePr>
    <w:tblStylePr w:type="firstCol">
      <w:rPr>
        <w:b/>
      </w:rPr>
      <w:tblPr/>
      <w:tcPr>
        <w:tcBorders>
          <w:top w:val="nil"/>
          <w:left w:val="nil"/>
          <w:bottom w:val="single" w:sz="4" w:space="0" w:color="auto"/>
          <w:right w:val="nil"/>
          <w:insideH w:val="nil"/>
          <w:insideV w:val="nil"/>
          <w:tl2br w:val="nil"/>
          <w:tr2bl w:val="nil"/>
        </w:tcBorders>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607">
      <w:bodyDiv w:val="1"/>
      <w:marLeft w:val="0"/>
      <w:marRight w:val="0"/>
      <w:marTop w:val="0"/>
      <w:marBottom w:val="0"/>
      <w:divBdr>
        <w:top w:val="none" w:sz="0" w:space="0" w:color="auto"/>
        <w:left w:val="none" w:sz="0" w:space="0" w:color="auto"/>
        <w:bottom w:val="none" w:sz="0" w:space="0" w:color="auto"/>
        <w:right w:val="none" w:sz="0" w:space="0" w:color="auto"/>
      </w:divBdr>
    </w:div>
    <w:div w:id="10956928">
      <w:bodyDiv w:val="1"/>
      <w:marLeft w:val="0"/>
      <w:marRight w:val="0"/>
      <w:marTop w:val="0"/>
      <w:marBottom w:val="0"/>
      <w:divBdr>
        <w:top w:val="none" w:sz="0" w:space="0" w:color="auto"/>
        <w:left w:val="none" w:sz="0" w:space="0" w:color="auto"/>
        <w:bottom w:val="none" w:sz="0" w:space="0" w:color="auto"/>
        <w:right w:val="none" w:sz="0" w:space="0" w:color="auto"/>
      </w:divBdr>
    </w:div>
    <w:div w:id="15664670">
      <w:bodyDiv w:val="1"/>
      <w:marLeft w:val="0"/>
      <w:marRight w:val="0"/>
      <w:marTop w:val="0"/>
      <w:marBottom w:val="0"/>
      <w:divBdr>
        <w:top w:val="none" w:sz="0" w:space="0" w:color="auto"/>
        <w:left w:val="none" w:sz="0" w:space="0" w:color="auto"/>
        <w:bottom w:val="none" w:sz="0" w:space="0" w:color="auto"/>
        <w:right w:val="none" w:sz="0" w:space="0" w:color="auto"/>
      </w:divBdr>
    </w:div>
    <w:div w:id="16465984">
      <w:bodyDiv w:val="1"/>
      <w:marLeft w:val="0"/>
      <w:marRight w:val="0"/>
      <w:marTop w:val="0"/>
      <w:marBottom w:val="0"/>
      <w:divBdr>
        <w:top w:val="none" w:sz="0" w:space="0" w:color="auto"/>
        <w:left w:val="none" w:sz="0" w:space="0" w:color="auto"/>
        <w:bottom w:val="none" w:sz="0" w:space="0" w:color="auto"/>
        <w:right w:val="none" w:sz="0" w:space="0" w:color="auto"/>
      </w:divBdr>
    </w:div>
    <w:div w:id="16975182">
      <w:bodyDiv w:val="1"/>
      <w:marLeft w:val="0"/>
      <w:marRight w:val="0"/>
      <w:marTop w:val="0"/>
      <w:marBottom w:val="0"/>
      <w:divBdr>
        <w:top w:val="none" w:sz="0" w:space="0" w:color="auto"/>
        <w:left w:val="none" w:sz="0" w:space="0" w:color="auto"/>
        <w:bottom w:val="none" w:sz="0" w:space="0" w:color="auto"/>
        <w:right w:val="none" w:sz="0" w:space="0" w:color="auto"/>
      </w:divBdr>
    </w:div>
    <w:div w:id="18313160">
      <w:bodyDiv w:val="1"/>
      <w:marLeft w:val="0"/>
      <w:marRight w:val="0"/>
      <w:marTop w:val="0"/>
      <w:marBottom w:val="0"/>
      <w:divBdr>
        <w:top w:val="none" w:sz="0" w:space="0" w:color="auto"/>
        <w:left w:val="none" w:sz="0" w:space="0" w:color="auto"/>
        <w:bottom w:val="none" w:sz="0" w:space="0" w:color="auto"/>
        <w:right w:val="none" w:sz="0" w:space="0" w:color="auto"/>
      </w:divBdr>
    </w:div>
    <w:div w:id="20204706">
      <w:bodyDiv w:val="1"/>
      <w:marLeft w:val="0"/>
      <w:marRight w:val="0"/>
      <w:marTop w:val="0"/>
      <w:marBottom w:val="0"/>
      <w:divBdr>
        <w:top w:val="none" w:sz="0" w:space="0" w:color="auto"/>
        <w:left w:val="none" w:sz="0" w:space="0" w:color="auto"/>
        <w:bottom w:val="none" w:sz="0" w:space="0" w:color="auto"/>
        <w:right w:val="none" w:sz="0" w:space="0" w:color="auto"/>
      </w:divBdr>
    </w:div>
    <w:div w:id="21515500">
      <w:bodyDiv w:val="1"/>
      <w:marLeft w:val="0"/>
      <w:marRight w:val="0"/>
      <w:marTop w:val="0"/>
      <w:marBottom w:val="0"/>
      <w:divBdr>
        <w:top w:val="none" w:sz="0" w:space="0" w:color="auto"/>
        <w:left w:val="none" w:sz="0" w:space="0" w:color="auto"/>
        <w:bottom w:val="none" w:sz="0" w:space="0" w:color="auto"/>
        <w:right w:val="none" w:sz="0" w:space="0" w:color="auto"/>
      </w:divBdr>
    </w:div>
    <w:div w:id="22630204">
      <w:bodyDiv w:val="1"/>
      <w:marLeft w:val="0"/>
      <w:marRight w:val="0"/>
      <w:marTop w:val="0"/>
      <w:marBottom w:val="0"/>
      <w:divBdr>
        <w:top w:val="none" w:sz="0" w:space="0" w:color="auto"/>
        <w:left w:val="none" w:sz="0" w:space="0" w:color="auto"/>
        <w:bottom w:val="none" w:sz="0" w:space="0" w:color="auto"/>
        <w:right w:val="none" w:sz="0" w:space="0" w:color="auto"/>
      </w:divBdr>
    </w:div>
    <w:div w:id="22942288">
      <w:bodyDiv w:val="1"/>
      <w:marLeft w:val="0"/>
      <w:marRight w:val="0"/>
      <w:marTop w:val="0"/>
      <w:marBottom w:val="0"/>
      <w:divBdr>
        <w:top w:val="none" w:sz="0" w:space="0" w:color="auto"/>
        <w:left w:val="none" w:sz="0" w:space="0" w:color="auto"/>
        <w:bottom w:val="none" w:sz="0" w:space="0" w:color="auto"/>
        <w:right w:val="none" w:sz="0" w:space="0" w:color="auto"/>
      </w:divBdr>
    </w:div>
    <w:div w:id="33502845">
      <w:bodyDiv w:val="1"/>
      <w:marLeft w:val="0"/>
      <w:marRight w:val="0"/>
      <w:marTop w:val="0"/>
      <w:marBottom w:val="0"/>
      <w:divBdr>
        <w:top w:val="none" w:sz="0" w:space="0" w:color="auto"/>
        <w:left w:val="none" w:sz="0" w:space="0" w:color="auto"/>
        <w:bottom w:val="none" w:sz="0" w:space="0" w:color="auto"/>
        <w:right w:val="none" w:sz="0" w:space="0" w:color="auto"/>
      </w:divBdr>
    </w:div>
    <w:div w:id="48958927">
      <w:bodyDiv w:val="1"/>
      <w:marLeft w:val="0"/>
      <w:marRight w:val="0"/>
      <w:marTop w:val="0"/>
      <w:marBottom w:val="0"/>
      <w:divBdr>
        <w:top w:val="none" w:sz="0" w:space="0" w:color="auto"/>
        <w:left w:val="none" w:sz="0" w:space="0" w:color="auto"/>
        <w:bottom w:val="none" w:sz="0" w:space="0" w:color="auto"/>
        <w:right w:val="none" w:sz="0" w:space="0" w:color="auto"/>
      </w:divBdr>
    </w:div>
    <w:div w:id="51539918">
      <w:bodyDiv w:val="1"/>
      <w:marLeft w:val="0"/>
      <w:marRight w:val="0"/>
      <w:marTop w:val="0"/>
      <w:marBottom w:val="0"/>
      <w:divBdr>
        <w:top w:val="none" w:sz="0" w:space="0" w:color="auto"/>
        <w:left w:val="none" w:sz="0" w:space="0" w:color="auto"/>
        <w:bottom w:val="none" w:sz="0" w:space="0" w:color="auto"/>
        <w:right w:val="none" w:sz="0" w:space="0" w:color="auto"/>
      </w:divBdr>
    </w:div>
    <w:div w:id="55905360">
      <w:bodyDiv w:val="1"/>
      <w:marLeft w:val="0"/>
      <w:marRight w:val="0"/>
      <w:marTop w:val="0"/>
      <w:marBottom w:val="0"/>
      <w:divBdr>
        <w:top w:val="none" w:sz="0" w:space="0" w:color="auto"/>
        <w:left w:val="none" w:sz="0" w:space="0" w:color="auto"/>
        <w:bottom w:val="none" w:sz="0" w:space="0" w:color="auto"/>
        <w:right w:val="none" w:sz="0" w:space="0" w:color="auto"/>
      </w:divBdr>
    </w:div>
    <w:div w:id="60102444">
      <w:bodyDiv w:val="1"/>
      <w:marLeft w:val="0"/>
      <w:marRight w:val="0"/>
      <w:marTop w:val="0"/>
      <w:marBottom w:val="0"/>
      <w:divBdr>
        <w:top w:val="none" w:sz="0" w:space="0" w:color="auto"/>
        <w:left w:val="none" w:sz="0" w:space="0" w:color="auto"/>
        <w:bottom w:val="none" w:sz="0" w:space="0" w:color="auto"/>
        <w:right w:val="none" w:sz="0" w:space="0" w:color="auto"/>
      </w:divBdr>
    </w:div>
    <w:div w:id="72430727">
      <w:bodyDiv w:val="1"/>
      <w:marLeft w:val="0"/>
      <w:marRight w:val="0"/>
      <w:marTop w:val="0"/>
      <w:marBottom w:val="0"/>
      <w:divBdr>
        <w:top w:val="none" w:sz="0" w:space="0" w:color="auto"/>
        <w:left w:val="none" w:sz="0" w:space="0" w:color="auto"/>
        <w:bottom w:val="none" w:sz="0" w:space="0" w:color="auto"/>
        <w:right w:val="none" w:sz="0" w:space="0" w:color="auto"/>
      </w:divBdr>
    </w:div>
    <w:div w:id="81222929">
      <w:bodyDiv w:val="1"/>
      <w:marLeft w:val="0"/>
      <w:marRight w:val="0"/>
      <w:marTop w:val="0"/>
      <w:marBottom w:val="0"/>
      <w:divBdr>
        <w:top w:val="none" w:sz="0" w:space="0" w:color="auto"/>
        <w:left w:val="none" w:sz="0" w:space="0" w:color="auto"/>
        <w:bottom w:val="none" w:sz="0" w:space="0" w:color="auto"/>
        <w:right w:val="none" w:sz="0" w:space="0" w:color="auto"/>
      </w:divBdr>
    </w:div>
    <w:div w:id="88280920">
      <w:bodyDiv w:val="1"/>
      <w:marLeft w:val="0"/>
      <w:marRight w:val="0"/>
      <w:marTop w:val="0"/>
      <w:marBottom w:val="0"/>
      <w:divBdr>
        <w:top w:val="none" w:sz="0" w:space="0" w:color="auto"/>
        <w:left w:val="none" w:sz="0" w:space="0" w:color="auto"/>
        <w:bottom w:val="none" w:sz="0" w:space="0" w:color="auto"/>
        <w:right w:val="none" w:sz="0" w:space="0" w:color="auto"/>
      </w:divBdr>
    </w:div>
    <w:div w:id="89474278">
      <w:bodyDiv w:val="1"/>
      <w:marLeft w:val="0"/>
      <w:marRight w:val="0"/>
      <w:marTop w:val="0"/>
      <w:marBottom w:val="0"/>
      <w:divBdr>
        <w:top w:val="none" w:sz="0" w:space="0" w:color="auto"/>
        <w:left w:val="none" w:sz="0" w:space="0" w:color="auto"/>
        <w:bottom w:val="none" w:sz="0" w:space="0" w:color="auto"/>
        <w:right w:val="none" w:sz="0" w:space="0" w:color="auto"/>
      </w:divBdr>
    </w:div>
    <w:div w:id="92484051">
      <w:bodyDiv w:val="1"/>
      <w:marLeft w:val="0"/>
      <w:marRight w:val="0"/>
      <w:marTop w:val="0"/>
      <w:marBottom w:val="0"/>
      <w:divBdr>
        <w:top w:val="none" w:sz="0" w:space="0" w:color="auto"/>
        <w:left w:val="none" w:sz="0" w:space="0" w:color="auto"/>
        <w:bottom w:val="none" w:sz="0" w:space="0" w:color="auto"/>
        <w:right w:val="none" w:sz="0" w:space="0" w:color="auto"/>
      </w:divBdr>
    </w:div>
    <w:div w:id="93936911">
      <w:bodyDiv w:val="1"/>
      <w:marLeft w:val="0"/>
      <w:marRight w:val="0"/>
      <w:marTop w:val="0"/>
      <w:marBottom w:val="0"/>
      <w:divBdr>
        <w:top w:val="none" w:sz="0" w:space="0" w:color="auto"/>
        <w:left w:val="none" w:sz="0" w:space="0" w:color="auto"/>
        <w:bottom w:val="none" w:sz="0" w:space="0" w:color="auto"/>
        <w:right w:val="none" w:sz="0" w:space="0" w:color="auto"/>
      </w:divBdr>
    </w:div>
    <w:div w:id="97801972">
      <w:bodyDiv w:val="1"/>
      <w:marLeft w:val="0"/>
      <w:marRight w:val="0"/>
      <w:marTop w:val="0"/>
      <w:marBottom w:val="0"/>
      <w:divBdr>
        <w:top w:val="none" w:sz="0" w:space="0" w:color="auto"/>
        <w:left w:val="none" w:sz="0" w:space="0" w:color="auto"/>
        <w:bottom w:val="none" w:sz="0" w:space="0" w:color="auto"/>
        <w:right w:val="none" w:sz="0" w:space="0" w:color="auto"/>
      </w:divBdr>
    </w:div>
    <w:div w:id="113180736">
      <w:bodyDiv w:val="1"/>
      <w:marLeft w:val="0"/>
      <w:marRight w:val="0"/>
      <w:marTop w:val="0"/>
      <w:marBottom w:val="0"/>
      <w:divBdr>
        <w:top w:val="none" w:sz="0" w:space="0" w:color="auto"/>
        <w:left w:val="none" w:sz="0" w:space="0" w:color="auto"/>
        <w:bottom w:val="none" w:sz="0" w:space="0" w:color="auto"/>
        <w:right w:val="none" w:sz="0" w:space="0" w:color="auto"/>
      </w:divBdr>
    </w:div>
    <w:div w:id="114059592">
      <w:bodyDiv w:val="1"/>
      <w:marLeft w:val="0"/>
      <w:marRight w:val="0"/>
      <w:marTop w:val="0"/>
      <w:marBottom w:val="0"/>
      <w:divBdr>
        <w:top w:val="none" w:sz="0" w:space="0" w:color="auto"/>
        <w:left w:val="none" w:sz="0" w:space="0" w:color="auto"/>
        <w:bottom w:val="none" w:sz="0" w:space="0" w:color="auto"/>
        <w:right w:val="none" w:sz="0" w:space="0" w:color="auto"/>
      </w:divBdr>
    </w:div>
    <w:div w:id="116490131">
      <w:bodyDiv w:val="1"/>
      <w:marLeft w:val="0"/>
      <w:marRight w:val="0"/>
      <w:marTop w:val="0"/>
      <w:marBottom w:val="0"/>
      <w:divBdr>
        <w:top w:val="none" w:sz="0" w:space="0" w:color="auto"/>
        <w:left w:val="none" w:sz="0" w:space="0" w:color="auto"/>
        <w:bottom w:val="none" w:sz="0" w:space="0" w:color="auto"/>
        <w:right w:val="none" w:sz="0" w:space="0" w:color="auto"/>
      </w:divBdr>
    </w:div>
    <w:div w:id="128014206">
      <w:bodyDiv w:val="1"/>
      <w:marLeft w:val="0"/>
      <w:marRight w:val="0"/>
      <w:marTop w:val="0"/>
      <w:marBottom w:val="0"/>
      <w:divBdr>
        <w:top w:val="none" w:sz="0" w:space="0" w:color="auto"/>
        <w:left w:val="none" w:sz="0" w:space="0" w:color="auto"/>
        <w:bottom w:val="none" w:sz="0" w:space="0" w:color="auto"/>
        <w:right w:val="none" w:sz="0" w:space="0" w:color="auto"/>
      </w:divBdr>
    </w:div>
    <w:div w:id="128982333">
      <w:bodyDiv w:val="1"/>
      <w:marLeft w:val="0"/>
      <w:marRight w:val="0"/>
      <w:marTop w:val="0"/>
      <w:marBottom w:val="0"/>
      <w:divBdr>
        <w:top w:val="none" w:sz="0" w:space="0" w:color="auto"/>
        <w:left w:val="none" w:sz="0" w:space="0" w:color="auto"/>
        <w:bottom w:val="none" w:sz="0" w:space="0" w:color="auto"/>
        <w:right w:val="none" w:sz="0" w:space="0" w:color="auto"/>
      </w:divBdr>
    </w:div>
    <w:div w:id="132253830">
      <w:bodyDiv w:val="1"/>
      <w:marLeft w:val="0"/>
      <w:marRight w:val="0"/>
      <w:marTop w:val="0"/>
      <w:marBottom w:val="0"/>
      <w:divBdr>
        <w:top w:val="none" w:sz="0" w:space="0" w:color="auto"/>
        <w:left w:val="none" w:sz="0" w:space="0" w:color="auto"/>
        <w:bottom w:val="none" w:sz="0" w:space="0" w:color="auto"/>
        <w:right w:val="none" w:sz="0" w:space="0" w:color="auto"/>
      </w:divBdr>
    </w:div>
    <w:div w:id="139005014">
      <w:bodyDiv w:val="1"/>
      <w:marLeft w:val="0"/>
      <w:marRight w:val="0"/>
      <w:marTop w:val="0"/>
      <w:marBottom w:val="0"/>
      <w:divBdr>
        <w:top w:val="none" w:sz="0" w:space="0" w:color="auto"/>
        <w:left w:val="none" w:sz="0" w:space="0" w:color="auto"/>
        <w:bottom w:val="none" w:sz="0" w:space="0" w:color="auto"/>
        <w:right w:val="none" w:sz="0" w:space="0" w:color="auto"/>
      </w:divBdr>
    </w:div>
    <w:div w:id="147092668">
      <w:bodyDiv w:val="1"/>
      <w:marLeft w:val="0"/>
      <w:marRight w:val="0"/>
      <w:marTop w:val="0"/>
      <w:marBottom w:val="0"/>
      <w:divBdr>
        <w:top w:val="none" w:sz="0" w:space="0" w:color="auto"/>
        <w:left w:val="none" w:sz="0" w:space="0" w:color="auto"/>
        <w:bottom w:val="none" w:sz="0" w:space="0" w:color="auto"/>
        <w:right w:val="none" w:sz="0" w:space="0" w:color="auto"/>
      </w:divBdr>
    </w:div>
    <w:div w:id="150414977">
      <w:bodyDiv w:val="1"/>
      <w:marLeft w:val="0"/>
      <w:marRight w:val="0"/>
      <w:marTop w:val="0"/>
      <w:marBottom w:val="0"/>
      <w:divBdr>
        <w:top w:val="none" w:sz="0" w:space="0" w:color="auto"/>
        <w:left w:val="none" w:sz="0" w:space="0" w:color="auto"/>
        <w:bottom w:val="none" w:sz="0" w:space="0" w:color="auto"/>
        <w:right w:val="none" w:sz="0" w:space="0" w:color="auto"/>
      </w:divBdr>
    </w:div>
    <w:div w:id="154301417">
      <w:bodyDiv w:val="1"/>
      <w:marLeft w:val="0"/>
      <w:marRight w:val="0"/>
      <w:marTop w:val="0"/>
      <w:marBottom w:val="0"/>
      <w:divBdr>
        <w:top w:val="none" w:sz="0" w:space="0" w:color="auto"/>
        <w:left w:val="none" w:sz="0" w:space="0" w:color="auto"/>
        <w:bottom w:val="none" w:sz="0" w:space="0" w:color="auto"/>
        <w:right w:val="none" w:sz="0" w:space="0" w:color="auto"/>
      </w:divBdr>
    </w:div>
    <w:div w:id="157111221">
      <w:bodyDiv w:val="1"/>
      <w:marLeft w:val="0"/>
      <w:marRight w:val="0"/>
      <w:marTop w:val="0"/>
      <w:marBottom w:val="0"/>
      <w:divBdr>
        <w:top w:val="none" w:sz="0" w:space="0" w:color="auto"/>
        <w:left w:val="none" w:sz="0" w:space="0" w:color="auto"/>
        <w:bottom w:val="none" w:sz="0" w:space="0" w:color="auto"/>
        <w:right w:val="none" w:sz="0" w:space="0" w:color="auto"/>
      </w:divBdr>
    </w:div>
    <w:div w:id="157841636">
      <w:bodyDiv w:val="1"/>
      <w:marLeft w:val="0"/>
      <w:marRight w:val="0"/>
      <w:marTop w:val="0"/>
      <w:marBottom w:val="0"/>
      <w:divBdr>
        <w:top w:val="none" w:sz="0" w:space="0" w:color="auto"/>
        <w:left w:val="none" w:sz="0" w:space="0" w:color="auto"/>
        <w:bottom w:val="none" w:sz="0" w:space="0" w:color="auto"/>
        <w:right w:val="none" w:sz="0" w:space="0" w:color="auto"/>
      </w:divBdr>
    </w:div>
    <w:div w:id="161434754">
      <w:bodyDiv w:val="1"/>
      <w:marLeft w:val="0"/>
      <w:marRight w:val="0"/>
      <w:marTop w:val="0"/>
      <w:marBottom w:val="0"/>
      <w:divBdr>
        <w:top w:val="none" w:sz="0" w:space="0" w:color="auto"/>
        <w:left w:val="none" w:sz="0" w:space="0" w:color="auto"/>
        <w:bottom w:val="none" w:sz="0" w:space="0" w:color="auto"/>
        <w:right w:val="none" w:sz="0" w:space="0" w:color="auto"/>
      </w:divBdr>
    </w:div>
    <w:div w:id="163515948">
      <w:bodyDiv w:val="1"/>
      <w:marLeft w:val="0"/>
      <w:marRight w:val="0"/>
      <w:marTop w:val="0"/>
      <w:marBottom w:val="0"/>
      <w:divBdr>
        <w:top w:val="none" w:sz="0" w:space="0" w:color="auto"/>
        <w:left w:val="none" w:sz="0" w:space="0" w:color="auto"/>
        <w:bottom w:val="none" w:sz="0" w:space="0" w:color="auto"/>
        <w:right w:val="none" w:sz="0" w:space="0" w:color="auto"/>
      </w:divBdr>
    </w:div>
    <w:div w:id="163596486">
      <w:bodyDiv w:val="1"/>
      <w:marLeft w:val="0"/>
      <w:marRight w:val="0"/>
      <w:marTop w:val="0"/>
      <w:marBottom w:val="0"/>
      <w:divBdr>
        <w:top w:val="none" w:sz="0" w:space="0" w:color="auto"/>
        <w:left w:val="none" w:sz="0" w:space="0" w:color="auto"/>
        <w:bottom w:val="none" w:sz="0" w:space="0" w:color="auto"/>
        <w:right w:val="none" w:sz="0" w:space="0" w:color="auto"/>
      </w:divBdr>
    </w:div>
    <w:div w:id="164441627">
      <w:bodyDiv w:val="1"/>
      <w:marLeft w:val="0"/>
      <w:marRight w:val="0"/>
      <w:marTop w:val="0"/>
      <w:marBottom w:val="0"/>
      <w:divBdr>
        <w:top w:val="none" w:sz="0" w:space="0" w:color="auto"/>
        <w:left w:val="none" w:sz="0" w:space="0" w:color="auto"/>
        <w:bottom w:val="none" w:sz="0" w:space="0" w:color="auto"/>
        <w:right w:val="none" w:sz="0" w:space="0" w:color="auto"/>
      </w:divBdr>
    </w:div>
    <w:div w:id="165169640">
      <w:bodyDiv w:val="1"/>
      <w:marLeft w:val="0"/>
      <w:marRight w:val="0"/>
      <w:marTop w:val="0"/>
      <w:marBottom w:val="0"/>
      <w:divBdr>
        <w:top w:val="none" w:sz="0" w:space="0" w:color="auto"/>
        <w:left w:val="none" w:sz="0" w:space="0" w:color="auto"/>
        <w:bottom w:val="none" w:sz="0" w:space="0" w:color="auto"/>
        <w:right w:val="none" w:sz="0" w:space="0" w:color="auto"/>
      </w:divBdr>
    </w:div>
    <w:div w:id="165171706">
      <w:bodyDiv w:val="1"/>
      <w:marLeft w:val="0"/>
      <w:marRight w:val="0"/>
      <w:marTop w:val="0"/>
      <w:marBottom w:val="0"/>
      <w:divBdr>
        <w:top w:val="none" w:sz="0" w:space="0" w:color="auto"/>
        <w:left w:val="none" w:sz="0" w:space="0" w:color="auto"/>
        <w:bottom w:val="none" w:sz="0" w:space="0" w:color="auto"/>
        <w:right w:val="none" w:sz="0" w:space="0" w:color="auto"/>
      </w:divBdr>
    </w:div>
    <w:div w:id="172380167">
      <w:bodyDiv w:val="1"/>
      <w:marLeft w:val="0"/>
      <w:marRight w:val="0"/>
      <w:marTop w:val="0"/>
      <w:marBottom w:val="0"/>
      <w:divBdr>
        <w:top w:val="none" w:sz="0" w:space="0" w:color="auto"/>
        <w:left w:val="none" w:sz="0" w:space="0" w:color="auto"/>
        <w:bottom w:val="none" w:sz="0" w:space="0" w:color="auto"/>
        <w:right w:val="none" w:sz="0" w:space="0" w:color="auto"/>
      </w:divBdr>
    </w:div>
    <w:div w:id="180824052">
      <w:bodyDiv w:val="1"/>
      <w:marLeft w:val="0"/>
      <w:marRight w:val="0"/>
      <w:marTop w:val="0"/>
      <w:marBottom w:val="0"/>
      <w:divBdr>
        <w:top w:val="none" w:sz="0" w:space="0" w:color="auto"/>
        <w:left w:val="none" w:sz="0" w:space="0" w:color="auto"/>
        <w:bottom w:val="none" w:sz="0" w:space="0" w:color="auto"/>
        <w:right w:val="none" w:sz="0" w:space="0" w:color="auto"/>
      </w:divBdr>
    </w:div>
    <w:div w:id="181747696">
      <w:bodyDiv w:val="1"/>
      <w:marLeft w:val="0"/>
      <w:marRight w:val="0"/>
      <w:marTop w:val="0"/>
      <w:marBottom w:val="0"/>
      <w:divBdr>
        <w:top w:val="none" w:sz="0" w:space="0" w:color="auto"/>
        <w:left w:val="none" w:sz="0" w:space="0" w:color="auto"/>
        <w:bottom w:val="none" w:sz="0" w:space="0" w:color="auto"/>
        <w:right w:val="none" w:sz="0" w:space="0" w:color="auto"/>
      </w:divBdr>
    </w:div>
    <w:div w:id="189999180">
      <w:bodyDiv w:val="1"/>
      <w:marLeft w:val="0"/>
      <w:marRight w:val="0"/>
      <w:marTop w:val="0"/>
      <w:marBottom w:val="0"/>
      <w:divBdr>
        <w:top w:val="none" w:sz="0" w:space="0" w:color="auto"/>
        <w:left w:val="none" w:sz="0" w:space="0" w:color="auto"/>
        <w:bottom w:val="none" w:sz="0" w:space="0" w:color="auto"/>
        <w:right w:val="none" w:sz="0" w:space="0" w:color="auto"/>
      </w:divBdr>
    </w:div>
    <w:div w:id="190187811">
      <w:bodyDiv w:val="1"/>
      <w:marLeft w:val="0"/>
      <w:marRight w:val="0"/>
      <w:marTop w:val="0"/>
      <w:marBottom w:val="0"/>
      <w:divBdr>
        <w:top w:val="none" w:sz="0" w:space="0" w:color="auto"/>
        <w:left w:val="none" w:sz="0" w:space="0" w:color="auto"/>
        <w:bottom w:val="none" w:sz="0" w:space="0" w:color="auto"/>
        <w:right w:val="none" w:sz="0" w:space="0" w:color="auto"/>
      </w:divBdr>
    </w:div>
    <w:div w:id="192110579">
      <w:bodyDiv w:val="1"/>
      <w:marLeft w:val="0"/>
      <w:marRight w:val="0"/>
      <w:marTop w:val="0"/>
      <w:marBottom w:val="0"/>
      <w:divBdr>
        <w:top w:val="none" w:sz="0" w:space="0" w:color="auto"/>
        <w:left w:val="none" w:sz="0" w:space="0" w:color="auto"/>
        <w:bottom w:val="none" w:sz="0" w:space="0" w:color="auto"/>
        <w:right w:val="none" w:sz="0" w:space="0" w:color="auto"/>
      </w:divBdr>
    </w:div>
    <w:div w:id="194004495">
      <w:bodyDiv w:val="1"/>
      <w:marLeft w:val="0"/>
      <w:marRight w:val="0"/>
      <w:marTop w:val="0"/>
      <w:marBottom w:val="0"/>
      <w:divBdr>
        <w:top w:val="none" w:sz="0" w:space="0" w:color="auto"/>
        <w:left w:val="none" w:sz="0" w:space="0" w:color="auto"/>
        <w:bottom w:val="none" w:sz="0" w:space="0" w:color="auto"/>
        <w:right w:val="none" w:sz="0" w:space="0" w:color="auto"/>
      </w:divBdr>
    </w:div>
    <w:div w:id="206112529">
      <w:bodyDiv w:val="1"/>
      <w:marLeft w:val="0"/>
      <w:marRight w:val="0"/>
      <w:marTop w:val="0"/>
      <w:marBottom w:val="0"/>
      <w:divBdr>
        <w:top w:val="none" w:sz="0" w:space="0" w:color="auto"/>
        <w:left w:val="none" w:sz="0" w:space="0" w:color="auto"/>
        <w:bottom w:val="none" w:sz="0" w:space="0" w:color="auto"/>
        <w:right w:val="none" w:sz="0" w:space="0" w:color="auto"/>
      </w:divBdr>
    </w:div>
    <w:div w:id="233273456">
      <w:bodyDiv w:val="1"/>
      <w:marLeft w:val="0"/>
      <w:marRight w:val="0"/>
      <w:marTop w:val="0"/>
      <w:marBottom w:val="0"/>
      <w:divBdr>
        <w:top w:val="none" w:sz="0" w:space="0" w:color="auto"/>
        <w:left w:val="none" w:sz="0" w:space="0" w:color="auto"/>
        <w:bottom w:val="none" w:sz="0" w:space="0" w:color="auto"/>
        <w:right w:val="none" w:sz="0" w:space="0" w:color="auto"/>
      </w:divBdr>
    </w:div>
    <w:div w:id="233661787">
      <w:bodyDiv w:val="1"/>
      <w:marLeft w:val="0"/>
      <w:marRight w:val="0"/>
      <w:marTop w:val="0"/>
      <w:marBottom w:val="0"/>
      <w:divBdr>
        <w:top w:val="none" w:sz="0" w:space="0" w:color="auto"/>
        <w:left w:val="none" w:sz="0" w:space="0" w:color="auto"/>
        <w:bottom w:val="none" w:sz="0" w:space="0" w:color="auto"/>
        <w:right w:val="none" w:sz="0" w:space="0" w:color="auto"/>
      </w:divBdr>
    </w:div>
    <w:div w:id="234322020">
      <w:bodyDiv w:val="1"/>
      <w:marLeft w:val="0"/>
      <w:marRight w:val="0"/>
      <w:marTop w:val="0"/>
      <w:marBottom w:val="0"/>
      <w:divBdr>
        <w:top w:val="none" w:sz="0" w:space="0" w:color="auto"/>
        <w:left w:val="none" w:sz="0" w:space="0" w:color="auto"/>
        <w:bottom w:val="none" w:sz="0" w:space="0" w:color="auto"/>
        <w:right w:val="none" w:sz="0" w:space="0" w:color="auto"/>
      </w:divBdr>
    </w:div>
    <w:div w:id="238101434">
      <w:bodyDiv w:val="1"/>
      <w:marLeft w:val="0"/>
      <w:marRight w:val="0"/>
      <w:marTop w:val="0"/>
      <w:marBottom w:val="0"/>
      <w:divBdr>
        <w:top w:val="none" w:sz="0" w:space="0" w:color="auto"/>
        <w:left w:val="none" w:sz="0" w:space="0" w:color="auto"/>
        <w:bottom w:val="none" w:sz="0" w:space="0" w:color="auto"/>
        <w:right w:val="none" w:sz="0" w:space="0" w:color="auto"/>
      </w:divBdr>
    </w:div>
    <w:div w:id="249504720">
      <w:bodyDiv w:val="1"/>
      <w:marLeft w:val="0"/>
      <w:marRight w:val="0"/>
      <w:marTop w:val="0"/>
      <w:marBottom w:val="0"/>
      <w:divBdr>
        <w:top w:val="none" w:sz="0" w:space="0" w:color="auto"/>
        <w:left w:val="none" w:sz="0" w:space="0" w:color="auto"/>
        <w:bottom w:val="none" w:sz="0" w:space="0" w:color="auto"/>
        <w:right w:val="none" w:sz="0" w:space="0" w:color="auto"/>
      </w:divBdr>
    </w:div>
    <w:div w:id="261302436">
      <w:bodyDiv w:val="1"/>
      <w:marLeft w:val="0"/>
      <w:marRight w:val="0"/>
      <w:marTop w:val="0"/>
      <w:marBottom w:val="0"/>
      <w:divBdr>
        <w:top w:val="none" w:sz="0" w:space="0" w:color="auto"/>
        <w:left w:val="none" w:sz="0" w:space="0" w:color="auto"/>
        <w:bottom w:val="none" w:sz="0" w:space="0" w:color="auto"/>
        <w:right w:val="none" w:sz="0" w:space="0" w:color="auto"/>
      </w:divBdr>
    </w:div>
    <w:div w:id="281807301">
      <w:bodyDiv w:val="1"/>
      <w:marLeft w:val="0"/>
      <w:marRight w:val="0"/>
      <w:marTop w:val="0"/>
      <w:marBottom w:val="0"/>
      <w:divBdr>
        <w:top w:val="none" w:sz="0" w:space="0" w:color="auto"/>
        <w:left w:val="none" w:sz="0" w:space="0" w:color="auto"/>
        <w:bottom w:val="none" w:sz="0" w:space="0" w:color="auto"/>
        <w:right w:val="none" w:sz="0" w:space="0" w:color="auto"/>
      </w:divBdr>
    </w:div>
    <w:div w:id="301541143">
      <w:bodyDiv w:val="1"/>
      <w:marLeft w:val="0"/>
      <w:marRight w:val="0"/>
      <w:marTop w:val="0"/>
      <w:marBottom w:val="0"/>
      <w:divBdr>
        <w:top w:val="none" w:sz="0" w:space="0" w:color="auto"/>
        <w:left w:val="none" w:sz="0" w:space="0" w:color="auto"/>
        <w:bottom w:val="none" w:sz="0" w:space="0" w:color="auto"/>
        <w:right w:val="none" w:sz="0" w:space="0" w:color="auto"/>
      </w:divBdr>
    </w:div>
    <w:div w:id="308362471">
      <w:bodyDiv w:val="1"/>
      <w:marLeft w:val="0"/>
      <w:marRight w:val="0"/>
      <w:marTop w:val="0"/>
      <w:marBottom w:val="0"/>
      <w:divBdr>
        <w:top w:val="none" w:sz="0" w:space="0" w:color="auto"/>
        <w:left w:val="none" w:sz="0" w:space="0" w:color="auto"/>
        <w:bottom w:val="none" w:sz="0" w:space="0" w:color="auto"/>
        <w:right w:val="none" w:sz="0" w:space="0" w:color="auto"/>
      </w:divBdr>
    </w:div>
    <w:div w:id="339308624">
      <w:bodyDiv w:val="1"/>
      <w:marLeft w:val="0"/>
      <w:marRight w:val="0"/>
      <w:marTop w:val="0"/>
      <w:marBottom w:val="0"/>
      <w:divBdr>
        <w:top w:val="none" w:sz="0" w:space="0" w:color="auto"/>
        <w:left w:val="none" w:sz="0" w:space="0" w:color="auto"/>
        <w:bottom w:val="none" w:sz="0" w:space="0" w:color="auto"/>
        <w:right w:val="none" w:sz="0" w:space="0" w:color="auto"/>
      </w:divBdr>
    </w:div>
    <w:div w:id="340352433">
      <w:bodyDiv w:val="1"/>
      <w:marLeft w:val="0"/>
      <w:marRight w:val="0"/>
      <w:marTop w:val="0"/>
      <w:marBottom w:val="0"/>
      <w:divBdr>
        <w:top w:val="none" w:sz="0" w:space="0" w:color="auto"/>
        <w:left w:val="none" w:sz="0" w:space="0" w:color="auto"/>
        <w:bottom w:val="none" w:sz="0" w:space="0" w:color="auto"/>
        <w:right w:val="none" w:sz="0" w:space="0" w:color="auto"/>
      </w:divBdr>
    </w:div>
    <w:div w:id="344020219">
      <w:bodyDiv w:val="1"/>
      <w:marLeft w:val="0"/>
      <w:marRight w:val="0"/>
      <w:marTop w:val="0"/>
      <w:marBottom w:val="0"/>
      <w:divBdr>
        <w:top w:val="none" w:sz="0" w:space="0" w:color="auto"/>
        <w:left w:val="none" w:sz="0" w:space="0" w:color="auto"/>
        <w:bottom w:val="none" w:sz="0" w:space="0" w:color="auto"/>
        <w:right w:val="none" w:sz="0" w:space="0" w:color="auto"/>
      </w:divBdr>
    </w:div>
    <w:div w:id="346517757">
      <w:bodyDiv w:val="1"/>
      <w:marLeft w:val="0"/>
      <w:marRight w:val="0"/>
      <w:marTop w:val="0"/>
      <w:marBottom w:val="0"/>
      <w:divBdr>
        <w:top w:val="none" w:sz="0" w:space="0" w:color="auto"/>
        <w:left w:val="none" w:sz="0" w:space="0" w:color="auto"/>
        <w:bottom w:val="none" w:sz="0" w:space="0" w:color="auto"/>
        <w:right w:val="none" w:sz="0" w:space="0" w:color="auto"/>
      </w:divBdr>
    </w:div>
    <w:div w:id="358311861">
      <w:bodyDiv w:val="1"/>
      <w:marLeft w:val="0"/>
      <w:marRight w:val="0"/>
      <w:marTop w:val="0"/>
      <w:marBottom w:val="0"/>
      <w:divBdr>
        <w:top w:val="none" w:sz="0" w:space="0" w:color="auto"/>
        <w:left w:val="none" w:sz="0" w:space="0" w:color="auto"/>
        <w:bottom w:val="none" w:sz="0" w:space="0" w:color="auto"/>
        <w:right w:val="none" w:sz="0" w:space="0" w:color="auto"/>
      </w:divBdr>
    </w:div>
    <w:div w:id="360862671">
      <w:bodyDiv w:val="1"/>
      <w:marLeft w:val="0"/>
      <w:marRight w:val="0"/>
      <w:marTop w:val="0"/>
      <w:marBottom w:val="0"/>
      <w:divBdr>
        <w:top w:val="none" w:sz="0" w:space="0" w:color="auto"/>
        <w:left w:val="none" w:sz="0" w:space="0" w:color="auto"/>
        <w:bottom w:val="none" w:sz="0" w:space="0" w:color="auto"/>
        <w:right w:val="none" w:sz="0" w:space="0" w:color="auto"/>
      </w:divBdr>
    </w:div>
    <w:div w:id="361319867">
      <w:bodyDiv w:val="1"/>
      <w:marLeft w:val="0"/>
      <w:marRight w:val="0"/>
      <w:marTop w:val="0"/>
      <w:marBottom w:val="0"/>
      <w:divBdr>
        <w:top w:val="none" w:sz="0" w:space="0" w:color="auto"/>
        <w:left w:val="none" w:sz="0" w:space="0" w:color="auto"/>
        <w:bottom w:val="none" w:sz="0" w:space="0" w:color="auto"/>
        <w:right w:val="none" w:sz="0" w:space="0" w:color="auto"/>
      </w:divBdr>
    </w:div>
    <w:div w:id="366681971">
      <w:bodyDiv w:val="1"/>
      <w:marLeft w:val="0"/>
      <w:marRight w:val="0"/>
      <w:marTop w:val="0"/>
      <w:marBottom w:val="0"/>
      <w:divBdr>
        <w:top w:val="none" w:sz="0" w:space="0" w:color="auto"/>
        <w:left w:val="none" w:sz="0" w:space="0" w:color="auto"/>
        <w:bottom w:val="none" w:sz="0" w:space="0" w:color="auto"/>
        <w:right w:val="none" w:sz="0" w:space="0" w:color="auto"/>
      </w:divBdr>
    </w:div>
    <w:div w:id="367489325">
      <w:bodyDiv w:val="1"/>
      <w:marLeft w:val="0"/>
      <w:marRight w:val="0"/>
      <w:marTop w:val="0"/>
      <w:marBottom w:val="0"/>
      <w:divBdr>
        <w:top w:val="none" w:sz="0" w:space="0" w:color="auto"/>
        <w:left w:val="none" w:sz="0" w:space="0" w:color="auto"/>
        <w:bottom w:val="none" w:sz="0" w:space="0" w:color="auto"/>
        <w:right w:val="none" w:sz="0" w:space="0" w:color="auto"/>
      </w:divBdr>
    </w:div>
    <w:div w:id="371199801">
      <w:bodyDiv w:val="1"/>
      <w:marLeft w:val="0"/>
      <w:marRight w:val="0"/>
      <w:marTop w:val="0"/>
      <w:marBottom w:val="0"/>
      <w:divBdr>
        <w:top w:val="none" w:sz="0" w:space="0" w:color="auto"/>
        <w:left w:val="none" w:sz="0" w:space="0" w:color="auto"/>
        <w:bottom w:val="none" w:sz="0" w:space="0" w:color="auto"/>
        <w:right w:val="none" w:sz="0" w:space="0" w:color="auto"/>
      </w:divBdr>
    </w:div>
    <w:div w:id="372122349">
      <w:bodyDiv w:val="1"/>
      <w:marLeft w:val="0"/>
      <w:marRight w:val="0"/>
      <w:marTop w:val="0"/>
      <w:marBottom w:val="0"/>
      <w:divBdr>
        <w:top w:val="none" w:sz="0" w:space="0" w:color="auto"/>
        <w:left w:val="none" w:sz="0" w:space="0" w:color="auto"/>
        <w:bottom w:val="none" w:sz="0" w:space="0" w:color="auto"/>
        <w:right w:val="none" w:sz="0" w:space="0" w:color="auto"/>
      </w:divBdr>
    </w:div>
    <w:div w:id="375005071">
      <w:bodyDiv w:val="1"/>
      <w:marLeft w:val="0"/>
      <w:marRight w:val="0"/>
      <w:marTop w:val="0"/>
      <w:marBottom w:val="0"/>
      <w:divBdr>
        <w:top w:val="none" w:sz="0" w:space="0" w:color="auto"/>
        <w:left w:val="none" w:sz="0" w:space="0" w:color="auto"/>
        <w:bottom w:val="none" w:sz="0" w:space="0" w:color="auto"/>
        <w:right w:val="none" w:sz="0" w:space="0" w:color="auto"/>
      </w:divBdr>
    </w:div>
    <w:div w:id="377752159">
      <w:bodyDiv w:val="1"/>
      <w:marLeft w:val="0"/>
      <w:marRight w:val="0"/>
      <w:marTop w:val="0"/>
      <w:marBottom w:val="0"/>
      <w:divBdr>
        <w:top w:val="none" w:sz="0" w:space="0" w:color="auto"/>
        <w:left w:val="none" w:sz="0" w:space="0" w:color="auto"/>
        <w:bottom w:val="none" w:sz="0" w:space="0" w:color="auto"/>
        <w:right w:val="none" w:sz="0" w:space="0" w:color="auto"/>
      </w:divBdr>
    </w:div>
    <w:div w:id="392047952">
      <w:bodyDiv w:val="1"/>
      <w:marLeft w:val="0"/>
      <w:marRight w:val="0"/>
      <w:marTop w:val="0"/>
      <w:marBottom w:val="0"/>
      <w:divBdr>
        <w:top w:val="none" w:sz="0" w:space="0" w:color="auto"/>
        <w:left w:val="none" w:sz="0" w:space="0" w:color="auto"/>
        <w:bottom w:val="none" w:sz="0" w:space="0" w:color="auto"/>
        <w:right w:val="none" w:sz="0" w:space="0" w:color="auto"/>
      </w:divBdr>
    </w:div>
    <w:div w:id="395711993">
      <w:bodyDiv w:val="1"/>
      <w:marLeft w:val="0"/>
      <w:marRight w:val="0"/>
      <w:marTop w:val="0"/>
      <w:marBottom w:val="0"/>
      <w:divBdr>
        <w:top w:val="none" w:sz="0" w:space="0" w:color="auto"/>
        <w:left w:val="none" w:sz="0" w:space="0" w:color="auto"/>
        <w:bottom w:val="none" w:sz="0" w:space="0" w:color="auto"/>
        <w:right w:val="none" w:sz="0" w:space="0" w:color="auto"/>
      </w:divBdr>
    </w:div>
    <w:div w:id="404842487">
      <w:bodyDiv w:val="1"/>
      <w:marLeft w:val="0"/>
      <w:marRight w:val="0"/>
      <w:marTop w:val="0"/>
      <w:marBottom w:val="0"/>
      <w:divBdr>
        <w:top w:val="none" w:sz="0" w:space="0" w:color="auto"/>
        <w:left w:val="none" w:sz="0" w:space="0" w:color="auto"/>
        <w:bottom w:val="none" w:sz="0" w:space="0" w:color="auto"/>
        <w:right w:val="none" w:sz="0" w:space="0" w:color="auto"/>
      </w:divBdr>
    </w:div>
    <w:div w:id="424611977">
      <w:bodyDiv w:val="1"/>
      <w:marLeft w:val="0"/>
      <w:marRight w:val="0"/>
      <w:marTop w:val="0"/>
      <w:marBottom w:val="0"/>
      <w:divBdr>
        <w:top w:val="none" w:sz="0" w:space="0" w:color="auto"/>
        <w:left w:val="none" w:sz="0" w:space="0" w:color="auto"/>
        <w:bottom w:val="none" w:sz="0" w:space="0" w:color="auto"/>
        <w:right w:val="none" w:sz="0" w:space="0" w:color="auto"/>
      </w:divBdr>
    </w:div>
    <w:div w:id="430510669">
      <w:bodyDiv w:val="1"/>
      <w:marLeft w:val="0"/>
      <w:marRight w:val="0"/>
      <w:marTop w:val="0"/>
      <w:marBottom w:val="0"/>
      <w:divBdr>
        <w:top w:val="none" w:sz="0" w:space="0" w:color="auto"/>
        <w:left w:val="none" w:sz="0" w:space="0" w:color="auto"/>
        <w:bottom w:val="none" w:sz="0" w:space="0" w:color="auto"/>
        <w:right w:val="none" w:sz="0" w:space="0" w:color="auto"/>
      </w:divBdr>
    </w:div>
    <w:div w:id="430905180">
      <w:bodyDiv w:val="1"/>
      <w:marLeft w:val="0"/>
      <w:marRight w:val="0"/>
      <w:marTop w:val="0"/>
      <w:marBottom w:val="0"/>
      <w:divBdr>
        <w:top w:val="none" w:sz="0" w:space="0" w:color="auto"/>
        <w:left w:val="none" w:sz="0" w:space="0" w:color="auto"/>
        <w:bottom w:val="none" w:sz="0" w:space="0" w:color="auto"/>
        <w:right w:val="none" w:sz="0" w:space="0" w:color="auto"/>
      </w:divBdr>
    </w:div>
    <w:div w:id="450517121">
      <w:bodyDiv w:val="1"/>
      <w:marLeft w:val="0"/>
      <w:marRight w:val="0"/>
      <w:marTop w:val="0"/>
      <w:marBottom w:val="0"/>
      <w:divBdr>
        <w:top w:val="none" w:sz="0" w:space="0" w:color="auto"/>
        <w:left w:val="none" w:sz="0" w:space="0" w:color="auto"/>
        <w:bottom w:val="none" w:sz="0" w:space="0" w:color="auto"/>
        <w:right w:val="none" w:sz="0" w:space="0" w:color="auto"/>
      </w:divBdr>
    </w:div>
    <w:div w:id="456072987">
      <w:bodyDiv w:val="1"/>
      <w:marLeft w:val="0"/>
      <w:marRight w:val="0"/>
      <w:marTop w:val="0"/>
      <w:marBottom w:val="0"/>
      <w:divBdr>
        <w:top w:val="none" w:sz="0" w:space="0" w:color="auto"/>
        <w:left w:val="none" w:sz="0" w:space="0" w:color="auto"/>
        <w:bottom w:val="none" w:sz="0" w:space="0" w:color="auto"/>
        <w:right w:val="none" w:sz="0" w:space="0" w:color="auto"/>
      </w:divBdr>
    </w:div>
    <w:div w:id="462624154">
      <w:bodyDiv w:val="1"/>
      <w:marLeft w:val="0"/>
      <w:marRight w:val="0"/>
      <w:marTop w:val="0"/>
      <w:marBottom w:val="0"/>
      <w:divBdr>
        <w:top w:val="none" w:sz="0" w:space="0" w:color="auto"/>
        <w:left w:val="none" w:sz="0" w:space="0" w:color="auto"/>
        <w:bottom w:val="none" w:sz="0" w:space="0" w:color="auto"/>
        <w:right w:val="none" w:sz="0" w:space="0" w:color="auto"/>
      </w:divBdr>
    </w:div>
    <w:div w:id="467675502">
      <w:bodyDiv w:val="1"/>
      <w:marLeft w:val="0"/>
      <w:marRight w:val="0"/>
      <w:marTop w:val="0"/>
      <w:marBottom w:val="0"/>
      <w:divBdr>
        <w:top w:val="none" w:sz="0" w:space="0" w:color="auto"/>
        <w:left w:val="none" w:sz="0" w:space="0" w:color="auto"/>
        <w:bottom w:val="none" w:sz="0" w:space="0" w:color="auto"/>
        <w:right w:val="none" w:sz="0" w:space="0" w:color="auto"/>
      </w:divBdr>
    </w:div>
    <w:div w:id="479620267">
      <w:bodyDiv w:val="1"/>
      <w:marLeft w:val="0"/>
      <w:marRight w:val="0"/>
      <w:marTop w:val="0"/>
      <w:marBottom w:val="0"/>
      <w:divBdr>
        <w:top w:val="none" w:sz="0" w:space="0" w:color="auto"/>
        <w:left w:val="none" w:sz="0" w:space="0" w:color="auto"/>
        <w:bottom w:val="none" w:sz="0" w:space="0" w:color="auto"/>
        <w:right w:val="none" w:sz="0" w:space="0" w:color="auto"/>
      </w:divBdr>
    </w:div>
    <w:div w:id="486169597">
      <w:bodyDiv w:val="1"/>
      <w:marLeft w:val="0"/>
      <w:marRight w:val="0"/>
      <w:marTop w:val="0"/>
      <w:marBottom w:val="0"/>
      <w:divBdr>
        <w:top w:val="none" w:sz="0" w:space="0" w:color="auto"/>
        <w:left w:val="none" w:sz="0" w:space="0" w:color="auto"/>
        <w:bottom w:val="none" w:sz="0" w:space="0" w:color="auto"/>
        <w:right w:val="none" w:sz="0" w:space="0" w:color="auto"/>
      </w:divBdr>
    </w:div>
    <w:div w:id="486942424">
      <w:bodyDiv w:val="1"/>
      <w:marLeft w:val="0"/>
      <w:marRight w:val="0"/>
      <w:marTop w:val="0"/>
      <w:marBottom w:val="0"/>
      <w:divBdr>
        <w:top w:val="none" w:sz="0" w:space="0" w:color="auto"/>
        <w:left w:val="none" w:sz="0" w:space="0" w:color="auto"/>
        <w:bottom w:val="none" w:sz="0" w:space="0" w:color="auto"/>
        <w:right w:val="none" w:sz="0" w:space="0" w:color="auto"/>
      </w:divBdr>
    </w:div>
    <w:div w:id="494762923">
      <w:bodyDiv w:val="1"/>
      <w:marLeft w:val="0"/>
      <w:marRight w:val="0"/>
      <w:marTop w:val="0"/>
      <w:marBottom w:val="0"/>
      <w:divBdr>
        <w:top w:val="none" w:sz="0" w:space="0" w:color="auto"/>
        <w:left w:val="none" w:sz="0" w:space="0" w:color="auto"/>
        <w:bottom w:val="none" w:sz="0" w:space="0" w:color="auto"/>
        <w:right w:val="none" w:sz="0" w:space="0" w:color="auto"/>
      </w:divBdr>
    </w:div>
    <w:div w:id="499466806">
      <w:bodyDiv w:val="1"/>
      <w:marLeft w:val="0"/>
      <w:marRight w:val="0"/>
      <w:marTop w:val="0"/>
      <w:marBottom w:val="0"/>
      <w:divBdr>
        <w:top w:val="none" w:sz="0" w:space="0" w:color="auto"/>
        <w:left w:val="none" w:sz="0" w:space="0" w:color="auto"/>
        <w:bottom w:val="none" w:sz="0" w:space="0" w:color="auto"/>
        <w:right w:val="none" w:sz="0" w:space="0" w:color="auto"/>
      </w:divBdr>
    </w:div>
    <w:div w:id="508837881">
      <w:bodyDiv w:val="1"/>
      <w:marLeft w:val="0"/>
      <w:marRight w:val="0"/>
      <w:marTop w:val="0"/>
      <w:marBottom w:val="0"/>
      <w:divBdr>
        <w:top w:val="none" w:sz="0" w:space="0" w:color="auto"/>
        <w:left w:val="none" w:sz="0" w:space="0" w:color="auto"/>
        <w:bottom w:val="none" w:sz="0" w:space="0" w:color="auto"/>
        <w:right w:val="none" w:sz="0" w:space="0" w:color="auto"/>
      </w:divBdr>
    </w:div>
    <w:div w:id="514922714">
      <w:bodyDiv w:val="1"/>
      <w:marLeft w:val="0"/>
      <w:marRight w:val="0"/>
      <w:marTop w:val="0"/>
      <w:marBottom w:val="0"/>
      <w:divBdr>
        <w:top w:val="none" w:sz="0" w:space="0" w:color="auto"/>
        <w:left w:val="none" w:sz="0" w:space="0" w:color="auto"/>
        <w:bottom w:val="none" w:sz="0" w:space="0" w:color="auto"/>
        <w:right w:val="none" w:sz="0" w:space="0" w:color="auto"/>
      </w:divBdr>
    </w:div>
    <w:div w:id="515311464">
      <w:bodyDiv w:val="1"/>
      <w:marLeft w:val="0"/>
      <w:marRight w:val="0"/>
      <w:marTop w:val="0"/>
      <w:marBottom w:val="0"/>
      <w:divBdr>
        <w:top w:val="none" w:sz="0" w:space="0" w:color="auto"/>
        <w:left w:val="none" w:sz="0" w:space="0" w:color="auto"/>
        <w:bottom w:val="none" w:sz="0" w:space="0" w:color="auto"/>
        <w:right w:val="none" w:sz="0" w:space="0" w:color="auto"/>
      </w:divBdr>
    </w:div>
    <w:div w:id="515659440">
      <w:bodyDiv w:val="1"/>
      <w:marLeft w:val="0"/>
      <w:marRight w:val="0"/>
      <w:marTop w:val="0"/>
      <w:marBottom w:val="0"/>
      <w:divBdr>
        <w:top w:val="none" w:sz="0" w:space="0" w:color="auto"/>
        <w:left w:val="none" w:sz="0" w:space="0" w:color="auto"/>
        <w:bottom w:val="none" w:sz="0" w:space="0" w:color="auto"/>
        <w:right w:val="none" w:sz="0" w:space="0" w:color="auto"/>
      </w:divBdr>
    </w:div>
    <w:div w:id="515727331">
      <w:bodyDiv w:val="1"/>
      <w:marLeft w:val="0"/>
      <w:marRight w:val="0"/>
      <w:marTop w:val="0"/>
      <w:marBottom w:val="0"/>
      <w:divBdr>
        <w:top w:val="none" w:sz="0" w:space="0" w:color="auto"/>
        <w:left w:val="none" w:sz="0" w:space="0" w:color="auto"/>
        <w:bottom w:val="none" w:sz="0" w:space="0" w:color="auto"/>
        <w:right w:val="none" w:sz="0" w:space="0" w:color="auto"/>
      </w:divBdr>
    </w:div>
    <w:div w:id="525024533">
      <w:bodyDiv w:val="1"/>
      <w:marLeft w:val="0"/>
      <w:marRight w:val="0"/>
      <w:marTop w:val="0"/>
      <w:marBottom w:val="0"/>
      <w:divBdr>
        <w:top w:val="none" w:sz="0" w:space="0" w:color="auto"/>
        <w:left w:val="none" w:sz="0" w:space="0" w:color="auto"/>
        <w:bottom w:val="none" w:sz="0" w:space="0" w:color="auto"/>
        <w:right w:val="none" w:sz="0" w:space="0" w:color="auto"/>
      </w:divBdr>
    </w:div>
    <w:div w:id="525758295">
      <w:bodyDiv w:val="1"/>
      <w:marLeft w:val="0"/>
      <w:marRight w:val="0"/>
      <w:marTop w:val="0"/>
      <w:marBottom w:val="0"/>
      <w:divBdr>
        <w:top w:val="none" w:sz="0" w:space="0" w:color="auto"/>
        <w:left w:val="none" w:sz="0" w:space="0" w:color="auto"/>
        <w:bottom w:val="none" w:sz="0" w:space="0" w:color="auto"/>
        <w:right w:val="none" w:sz="0" w:space="0" w:color="auto"/>
      </w:divBdr>
    </w:div>
    <w:div w:id="540360904">
      <w:bodyDiv w:val="1"/>
      <w:marLeft w:val="0"/>
      <w:marRight w:val="0"/>
      <w:marTop w:val="0"/>
      <w:marBottom w:val="0"/>
      <w:divBdr>
        <w:top w:val="none" w:sz="0" w:space="0" w:color="auto"/>
        <w:left w:val="none" w:sz="0" w:space="0" w:color="auto"/>
        <w:bottom w:val="none" w:sz="0" w:space="0" w:color="auto"/>
        <w:right w:val="none" w:sz="0" w:space="0" w:color="auto"/>
      </w:divBdr>
    </w:div>
    <w:div w:id="548684091">
      <w:bodyDiv w:val="1"/>
      <w:marLeft w:val="0"/>
      <w:marRight w:val="0"/>
      <w:marTop w:val="0"/>
      <w:marBottom w:val="0"/>
      <w:divBdr>
        <w:top w:val="none" w:sz="0" w:space="0" w:color="auto"/>
        <w:left w:val="none" w:sz="0" w:space="0" w:color="auto"/>
        <w:bottom w:val="none" w:sz="0" w:space="0" w:color="auto"/>
        <w:right w:val="none" w:sz="0" w:space="0" w:color="auto"/>
      </w:divBdr>
    </w:div>
    <w:div w:id="572742174">
      <w:bodyDiv w:val="1"/>
      <w:marLeft w:val="0"/>
      <w:marRight w:val="0"/>
      <w:marTop w:val="0"/>
      <w:marBottom w:val="0"/>
      <w:divBdr>
        <w:top w:val="none" w:sz="0" w:space="0" w:color="auto"/>
        <w:left w:val="none" w:sz="0" w:space="0" w:color="auto"/>
        <w:bottom w:val="none" w:sz="0" w:space="0" w:color="auto"/>
        <w:right w:val="none" w:sz="0" w:space="0" w:color="auto"/>
      </w:divBdr>
    </w:div>
    <w:div w:id="574751110">
      <w:bodyDiv w:val="1"/>
      <w:marLeft w:val="0"/>
      <w:marRight w:val="0"/>
      <w:marTop w:val="0"/>
      <w:marBottom w:val="0"/>
      <w:divBdr>
        <w:top w:val="none" w:sz="0" w:space="0" w:color="auto"/>
        <w:left w:val="none" w:sz="0" w:space="0" w:color="auto"/>
        <w:bottom w:val="none" w:sz="0" w:space="0" w:color="auto"/>
        <w:right w:val="none" w:sz="0" w:space="0" w:color="auto"/>
      </w:divBdr>
    </w:div>
    <w:div w:id="576862499">
      <w:bodyDiv w:val="1"/>
      <w:marLeft w:val="0"/>
      <w:marRight w:val="0"/>
      <w:marTop w:val="0"/>
      <w:marBottom w:val="0"/>
      <w:divBdr>
        <w:top w:val="none" w:sz="0" w:space="0" w:color="auto"/>
        <w:left w:val="none" w:sz="0" w:space="0" w:color="auto"/>
        <w:bottom w:val="none" w:sz="0" w:space="0" w:color="auto"/>
        <w:right w:val="none" w:sz="0" w:space="0" w:color="auto"/>
      </w:divBdr>
    </w:div>
    <w:div w:id="594364057">
      <w:bodyDiv w:val="1"/>
      <w:marLeft w:val="0"/>
      <w:marRight w:val="0"/>
      <w:marTop w:val="0"/>
      <w:marBottom w:val="0"/>
      <w:divBdr>
        <w:top w:val="none" w:sz="0" w:space="0" w:color="auto"/>
        <w:left w:val="none" w:sz="0" w:space="0" w:color="auto"/>
        <w:bottom w:val="none" w:sz="0" w:space="0" w:color="auto"/>
        <w:right w:val="none" w:sz="0" w:space="0" w:color="auto"/>
      </w:divBdr>
    </w:div>
    <w:div w:id="606740336">
      <w:bodyDiv w:val="1"/>
      <w:marLeft w:val="0"/>
      <w:marRight w:val="0"/>
      <w:marTop w:val="0"/>
      <w:marBottom w:val="0"/>
      <w:divBdr>
        <w:top w:val="none" w:sz="0" w:space="0" w:color="auto"/>
        <w:left w:val="none" w:sz="0" w:space="0" w:color="auto"/>
        <w:bottom w:val="none" w:sz="0" w:space="0" w:color="auto"/>
        <w:right w:val="none" w:sz="0" w:space="0" w:color="auto"/>
      </w:divBdr>
    </w:div>
    <w:div w:id="611473736">
      <w:bodyDiv w:val="1"/>
      <w:marLeft w:val="0"/>
      <w:marRight w:val="0"/>
      <w:marTop w:val="0"/>
      <w:marBottom w:val="0"/>
      <w:divBdr>
        <w:top w:val="none" w:sz="0" w:space="0" w:color="auto"/>
        <w:left w:val="none" w:sz="0" w:space="0" w:color="auto"/>
        <w:bottom w:val="none" w:sz="0" w:space="0" w:color="auto"/>
        <w:right w:val="none" w:sz="0" w:space="0" w:color="auto"/>
      </w:divBdr>
    </w:div>
    <w:div w:id="612177927">
      <w:bodyDiv w:val="1"/>
      <w:marLeft w:val="0"/>
      <w:marRight w:val="0"/>
      <w:marTop w:val="0"/>
      <w:marBottom w:val="0"/>
      <w:divBdr>
        <w:top w:val="none" w:sz="0" w:space="0" w:color="auto"/>
        <w:left w:val="none" w:sz="0" w:space="0" w:color="auto"/>
        <w:bottom w:val="none" w:sz="0" w:space="0" w:color="auto"/>
        <w:right w:val="none" w:sz="0" w:space="0" w:color="auto"/>
      </w:divBdr>
    </w:div>
    <w:div w:id="624772737">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67292637">
      <w:bodyDiv w:val="1"/>
      <w:marLeft w:val="0"/>
      <w:marRight w:val="0"/>
      <w:marTop w:val="0"/>
      <w:marBottom w:val="0"/>
      <w:divBdr>
        <w:top w:val="none" w:sz="0" w:space="0" w:color="auto"/>
        <w:left w:val="none" w:sz="0" w:space="0" w:color="auto"/>
        <w:bottom w:val="none" w:sz="0" w:space="0" w:color="auto"/>
        <w:right w:val="none" w:sz="0" w:space="0" w:color="auto"/>
      </w:divBdr>
    </w:div>
    <w:div w:id="680200332">
      <w:bodyDiv w:val="1"/>
      <w:marLeft w:val="0"/>
      <w:marRight w:val="0"/>
      <w:marTop w:val="0"/>
      <w:marBottom w:val="0"/>
      <w:divBdr>
        <w:top w:val="none" w:sz="0" w:space="0" w:color="auto"/>
        <w:left w:val="none" w:sz="0" w:space="0" w:color="auto"/>
        <w:bottom w:val="none" w:sz="0" w:space="0" w:color="auto"/>
        <w:right w:val="none" w:sz="0" w:space="0" w:color="auto"/>
      </w:divBdr>
    </w:div>
    <w:div w:id="684091514">
      <w:bodyDiv w:val="1"/>
      <w:marLeft w:val="0"/>
      <w:marRight w:val="0"/>
      <w:marTop w:val="0"/>
      <w:marBottom w:val="0"/>
      <w:divBdr>
        <w:top w:val="none" w:sz="0" w:space="0" w:color="auto"/>
        <w:left w:val="none" w:sz="0" w:space="0" w:color="auto"/>
        <w:bottom w:val="none" w:sz="0" w:space="0" w:color="auto"/>
        <w:right w:val="none" w:sz="0" w:space="0" w:color="auto"/>
      </w:divBdr>
    </w:div>
    <w:div w:id="692996187">
      <w:bodyDiv w:val="1"/>
      <w:marLeft w:val="0"/>
      <w:marRight w:val="0"/>
      <w:marTop w:val="0"/>
      <w:marBottom w:val="0"/>
      <w:divBdr>
        <w:top w:val="none" w:sz="0" w:space="0" w:color="auto"/>
        <w:left w:val="none" w:sz="0" w:space="0" w:color="auto"/>
        <w:bottom w:val="none" w:sz="0" w:space="0" w:color="auto"/>
        <w:right w:val="none" w:sz="0" w:space="0" w:color="auto"/>
      </w:divBdr>
    </w:div>
    <w:div w:id="698238991">
      <w:bodyDiv w:val="1"/>
      <w:marLeft w:val="0"/>
      <w:marRight w:val="0"/>
      <w:marTop w:val="0"/>
      <w:marBottom w:val="0"/>
      <w:divBdr>
        <w:top w:val="none" w:sz="0" w:space="0" w:color="auto"/>
        <w:left w:val="none" w:sz="0" w:space="0" w:color="auto"/>
        <w:bottom w:val="none" w:sz="0" w:space="0" w:color="auto"/>
        <w:right w:val="none" w:sz="0" w:space="0" w:color="auto"/>
      </w:divBdr>
    </w:div>
    <w:div w:id="713651510">
      <w:bodyDiv w:val="1"/>
      <w:marLeft w:val="0"/>
      <w:marRight w:val="0"/>
      <w:marTop w:val="0"/>
      <w:marBottom w:val="0"/>
      <w:divBdr>
        <w:top w:val="none" w:sz="0" w:space="0" w:color="auto"/>
        <w:left w:val="none" w:sz="0" w:space="0" w:color="auto"/>
        <w:bottom w:val="none" w:sz="0" w:space="0" w:color="auto"/>
        <w:right w:val="none" w:sz="0" w:space="0" w:color="auto"/>
      </w:divBdr>
    </w:div>
    <w:div w:id="716511296">
      <w:bodyDiv w:val="1"/>
      <w:marLeft w:val="0"/>
      <w:marRight w:val="0"/>
      <w:marTop w:val="0"/>
      <w:marBottom w:val="0"/>
      <w:divBdr>
        <w:top w:val="none" w:sz="0" w:space="0" w:color="auto"/>
        <w:left w:val="none" w:sz="0" w:space="0" w:color="auto"/>
        <w:bottom w:val="none" w:sz="0" w:space="0" w:color="auto"/>
        <w:right w:val="none" w:sz="0" w:space="0" w:color="auto"/>
      </w:divBdr>
    </w:div>
    <w:div w:id="716710279">
      <w:bodyDiv w:val="1"/>
      <w:marLeft w:val="0"/>
      <w:marRight w:val="0"/>
      <w:marTop w:val="0"/>
      <w:marBottom w:val="0"/>
      <w:divBdr>
        <w:top w:val="none" w:sz="0" w:space="0" w:color="auto"/>
        <w:left w:val="none" w:sz="0" w:space="0" w:color="auto"/>
        <w:bottom w:val="none" w:sz="0" w:space="0" w:color="auto"/>
        <w:right w:val="none" w:sz="0" w:space="0" w:color="auto"/>
      </w:divBdr>
    </w:div>
    <w:div w:id="716710426">
      <w:bodyDiv w:val="1"/>
      <w:marLeft w:val="0"/>
      <w:marRight w:val="0"/>
      <w:marTop w:val="0"/>
      <w:marBottom w:val="0"/>
      <w:divBdr>
        <w:top w:val="none" w:sz="0" w:space="0" w:color="auto"/>
        <w:left w:val="none" w:sz="0" w:space="0" w:color="auto"/>
        <w:bottom w:val="none" w:sz="0" w:space="0" w:color="auto"/>
        <w:right w:val="none" w:sz="0" w:space="0" w:color="auto"/>
      </w:divBdr>
    </w:div>
    <w:div w:id="724182989">
      <w:bodyDiv w:val="1"/>
      <w:marLeft w:val="0"/>
      <w:marRight w:val="0"/>
      <w:marTop w:val="0"/>
      <w:marBottom w:val="0"/>
      <w:divBdr>
        <w:top w:val="none" w:sz="0" w:space="0" w:color="auto"/>
        <w:left w:val="none" w:sz="0" w:space="0" w:color="auto"/>
        <w:bottom w:val="none" w:sz="0" w:space="0" w:color="auto"/>
        <w:right w:val="none" w:sz="0" w:space="0" w:color="auto"/>
      </w:divBdr>
    </w:div>
    <w:div w:id="732627094">
      <w:bodyDiv w:val="1"/>
      <w:marLeft w:val="0"/>
      <w:marRight w:val="0"/>
      <w:marTop w:val="0"/>
      <w:marBottom w:val="0"/>
      <w:divBdr>
        <w:top w:val="none" w:sz="0" w:space="0" w:color="auto"/>
        <w:left w:val="none" w:sz="0" w:space="0" w:color="auto"/>
        <w:bottom w:val="none" w:sz="0" w:space="0" w:color="auto"/>
        <w:right w:val="none" w:sz="0" w:space="0" w:color="auto"/>
      </w:divBdr>
    </w:div>
    <w:div w:id="739210726">
      <w:bodyDiv w:val="1"/>
      <w:marLeft w:val="0"/>
      <w:marRight w:val="0"/>
      <w:marTop w:val="0"/>
      <w:marBottom w:val="0"/>
      <w:divBdr>
        <w:top w:val="none" w:sz="0" w:space="0" w:color="auto"/>
        <w:left w:val="none" w:sz="0" w:space="0" w:color="auto"/>
        <w:bottom w:val="none" w:sz="0" w:space="0" w:color="auto"/>
        <w:right w:val="none" w:sz="0" w:space="0" w:color="auto"/>
      </w:divBdr>
    </w:div>
    <w:div w:id="754595454">
      <w:bodyDiv w:val="1"/>
      <w:marLeft w:val="0"/>
      <w:marRight w:val="0"/>
      <w:marTop w:val="0"/>
      <w:marBottom w:val="0"/>
      <w:divBdr>
        <w:top w:val="none" w:sz="0" w:space="0" w:color="auto"/>
        <w:left w:val="none" w:sz="0" w:space="0" w:color="auto"/>
        <w:bottom w:val="none" w:sz="0" w:space="0" w:color="auto"/>
        <w:right w:val="none" w:sz="0" w:space="0" w:color="auto"/>
      </w:divBdr>
    </w:div>
    <w:div w:id="754672407">
      <w:bodyDiv w:val="1"/>
      <w:marLeft w:val="0"/>
      <w:marRight w:val="0"/>
      <w:marTop w:val="0"/>
      <w:marBottom w:val="0"/>
      <w:divBdr>
        <w:top w:val="none" w:sz="0" w:space="0" w:color="auto"/>
        <w:left w:val="none" w:sz="0" w:space="0" w:color="auto"/>
        <w:bottom w:val="none" w:sz="0" w:space="0" w:color="auto"/>
        <w:right w:val="none" w:sz="0" w:space="0" w:color="auto"/>
      </w:divBdr>
    </w:div>
    <w:div w:id="755171595">
      <w:bodyDiv w:val="1"/>
      <w:marLeft w:val="0"/>
      <w:marRight w:val="0"/>
      <w:marTop w:val="0"/>
      <w:marBottom w:val="0"/>
      <w:divBdr>
        <w:top w:val="none" w:sz="0" w:space="0" w:color="auto"/>
        <w:left w:val="none" w:sz="0" w:space="0" w:color="auto"/>
        <w:bottom w:val="none" w:sz="0" w:space="0" w:color="auto"/>
        <w:right w:val="none" w:sz="0" w:space="0" w:color="auto"/>
      </w:divBdr>
    </w:div>
    <w:div w:id="757023817">
      <w:bodyDiv w:val="1"/>
      <w:marLeft w:val="0"/>
      <w:marRight w:val="0"/>
      <w:marTop w:val="0"/>
      <w:marBottom w:val="0"/>
      <w:divBdr>
        <w:top w:val="none" w:sz="0" w:space="0" w:color="auto"/>
        <w:left w:val="none" w:sz="0" w:space="0" w:color="auto"/>
        <w:bottom w:val="none" w:sz="0" w:space="0" w:color="auto"/>
        <w:right w:val="none" w:sz="0" w:space="0" w:color="auto"/>
      </w:divBdr>
    </w:div>
    <w:div w:id="768888865">
      <w:bodyDiv w:val="1"/>
      <w:marLeft w:val="0"/>
      <w:marRight w:val="0"/>
      <w:marTop w:val="0"/>
      <w:marBottom w:val="0"/>
      <w:divBdr>
        <w:top w:val="none" w:sz="0" w:space="0" w:color="auto"/>
        <w:left w:val="none" w:sz="0" w:space="0" w:color="auto"/>
        <w:bottom w:val="none" w:sz="0" w:space="0" w:color="auto"/>
        <w:right w:val="none" w:sz="0" w:space="0" w:color="auto"/>
      </w:divBdr>
    </w:div>
    <w:div w:id="771976596">
      <w:bodyDiv w:val="1"/>
      <w:marLeft w:val="0"/>
      <w:marRight w:val="0"/>
      <w:marTop w:val="0"/>
      <w:marBottom w:val="0"/>
      <w:divBdr>
        <w:top w:val="none" w:sz="0" w:space="0" w:color="auto"/>
        <w:left w:val="none" w:sz="0" w:space="0" w:color="auto"/>
        <w:bottom w:val="none" w:sz="0" w:space="0" w:color="auto"/>
        <w:right w:val="none" w:sz="0" w:space="0" w:color="auto"/>
      </w:divBdr>
    </w:div>
    <w:div w:id="786314083">
      <w:bodyDiv w:val="1"/>
      <w:marLeft w:val="0"/>
      <w:marRight w:val="0"/>
      <w:marTop w:val="0"/>
      <w:marBottom w:val="0"/>
      <w:divBdr>
        <w:top w:val="none" w:sz="0" w:space="0" w:color="auto"/>
        <w:left w:val="none" w:sz="0" w:space="0" w:color="auto"/>
        <w:bottom w:val="none" w:sz="0" w:space="0" w:color="auto"/>
        <w:right w:val="none" w:sz="0" w:space="0" w:color="auto"/>
      </w:divBdr>
    </w:div>
    <w:div w:id="794374060">
      <w:bodyDiv w:val="1"/>
      <w:marLeft w:val="0"/>
      <w:marRight w:val="0"/>
      <w:marTop w:val="0"/>
      <w:marBottom w:val="0"/>
      <w:divBdr>
        <w:top w:val="none" w:sz="0" w:space="0" w:color="auto"/>
        <w:left w:val="none" w:sz="0" w:space="0" w:color="auto"/>
        <w:bottom w:val="none" w:sz="0" w:space="0" w:color="auto"/>
        <w:right w:val="none" w:sz="0" w:space="0" w:color="auto"/>
      </w:divBdr>
    </w:div>
    <w:div w:id="795565274">
      <w:bodyDiv w:val="1"/>
      <w:marLeft w:val="0"/>
      <w:marRight w:val="0"/>
      <w:marTop w:val="0"/>
      <w:marBottom w:val="0"/>
      <w:divBdr>
        <w:top w:val="none" w:sz="0" w:space="0" w:color="auto"/>
        <w:left w:val="none" w:sz="0" w:space="0" w:color="auto"/>
        <w:bottom w:val="none" w:sz="0" w:space="0" w:color="auto"/>
        <w:right w:val="none" w:sz="0" w:space="0" w:color="auto"/>
      </w:divBdr>
    </w:div>
    <w:div w:id="797335748">
      <w:bodyDiv w:val="1"/>
      <w:marLeft w:val="0"/>
      <w:marRight w:val="0"/>
      <w:marTop w:val="0"/>
      <w:marBottom w:val="0"/>
      <w:divBdr>
        <w:top w:val="none" w:sz="0" w:space="0" w:color="auto"/>
        <w:left w:val="none" w:sz="0" w:space="0" w:color="auto"/>
        <w:bottom w:val="none" w:sz="0" w:space="0" w:color="auto"/>
        <w:right w:val="none" w:sz="0" w:space="0" w:color="auto"/>
      </w:divBdr>
    </w:div>
    <w:div w:id="799105209">
      <w:bodyDiv w:val="1"/>
      <w:marLeft w:val="0"/>
      <w:marRight w:val="0"/>
      <w:marTop w:val="0"/>
      <w:marBottom w:val="0"/>
      <w:divBdr>
        <w:top w:val="none" w:sz="0" w:space="0" w:color="auto"/>
        <w:left w:val="none" w:sz="0" w:space="0" w:color="auto"/>
        <w:bottom w:val="none" w:sz="0" w:space="0" w:color="auto"/>
        <w:right w:val="none" w:sz="0" w:space="0" w:color="auto"/>
      </w:divBdr>
    </w:div>
    <w:div w:id="809250635">
      <w:bodyDiv w:val="1"/>
      <w:marLeft w:val="0"/>
      <w:marRight w:val="0"/>
      <w:marTop w:val="0"/>
      <w:marBottom w:val="0"/>
      <w:divBdr>
        <w:top w:val="none" w:sz="0" w:space="0" w:color="auto"/>
        <w:left w:val="none" w:sz="0" w:space="0" w:color="auto"/>
        <w:bottom w:val="none" w:sz="0" w:space="0" w:color="auto"/>
        <w:right w:val="none" w:sz="0" w:space="0" w:color="auto"/>
      </w:divBdr>
    </w:div>
    <w:div w:id="813060515">
      <w:bodyDiv w:val="1"/>
      <w:marLeft w:val="0"/>
      <w:marRight w:val="0"/>
      <w:marTop w:val="0"/>
      <w:marBottom w:val="0"/>
      <w:divBdr>
        <w:top w:val="none" w:sz="0" w:space="0" w:color="auto"/>
        <w:left w:val="none" w:sz="0" w:space="0" w:color="auto"/>
        <w:bottom w:val="none" w:sz="0" w:space="0" w:color="auto"/>
        <w:right w:val="none" w:sz="0" w:space="0" w:color="auto"/>
      </w:divBdr>
    </w:div>
    <w:div w:id="827400202">
      <w:bodyDiv w:val="1"/>
      <w:marLeft w:val="0"/>
      <w:marRight w:val="0"/>
      <w:marTop w:val="0"/>
      <w:marBottom w:val="0"/>
      <w:divBdr>
        <w:top w:val="none" w:sz="0" w:space="0" w:color="auto"/>
        <w:left w:val="none" w:sz="0" w:space="0" w:color="auto"/>
        <w:bottom w:val="none" w:sz="0" w:space="0" w:color="auto"/>
        <w:right w:val="none" w:sz="0" w:space="0" w:color="auto"/>
      </w:divBdr>
    </w:div>
    <w:div w:id="832063059">
      <w:bodyDiv w:val="1"/>
      <w:marLeft w:val="0"/>
      <w:marRight w:val="0"/>
      <w:marTop w:val="0"/>
      <w:marBottom w:val="0"/>
      <w:divBdr>
        <w:top w:val="none" w:sz="0" w:space="0" w:color="auto"/>
        <w:left w:val="none" w:sz="0" w:space="0" w:color="auto"/>
        <w:bottom w:val="none" w:sz="0" w:space="0" w:color="auto"/>
        <w:right w:val="none" w:sz="0" w:space="0" w:color="auto"/>
      </w:divBdr>
    </w:div>
    <w:div w:id="832911013">
      <w:bodyDiv w:val="1"/>
      <w:marLeft w:val="0"/>
      <w:marRight w:val="0"/>
      <w:marTop w:val="0"/>
      <w:marBottom w:val="0"/>
      <w:divBdr>
        <w:top w:val="none" w:sz="0" w:space="0" w:color="auto"/>
        <w:left w:val="none" w:sz="0" w:space="0" w:color="auto"/>
        <w:bottom w:val="none" w:sz="0" w:space="0" w:color="auto"/>
        <w:right w:val="none" w:sz="0" w:space="0" w:color="auto"/>
      </w:divBdr>
    </w:div>
    <w:div w:id="839925601">
      <w:bodyDiv w:val="1"/>
      <w:marLeft w:val="0"/>
      <w:marRight w:val="0"/>
      <w:marTop w:val="0"/>
      <w:marBottom w:val="0"/>
      <w:divBdr>
        <w:top w:val="none" w:sz="0" w:space="0" w:color="auto"/>
        <w:left w:val="none" w:sz="0" w:space="0" w:color="auto"/>
        <w:bottom w:val="none" w:sz="0" w:space="0" w:color="auto"/>
        <w:right w:val="none" w:sz="0" w:space="0" w:color="auto"/>
      </w:divBdr>
    </w:div>
    <w:div w:id="843326188">
      <w:bodyDiv w:val="1"/>
      <w:marLeft w:val="0"/>
      <w:marRight w:val="0"/>
      <w:marTop w:val="0"/>
      <w:marBottom w:val="0"/>
      <w:divBdr>
        <w:top w:val="none" w:sz="0" w:space="0" w:color="auto"/>
        <w:left w:val="none" w:sz="0" w:space="0" w:color="auto"/>
        <w:bottom w:val="none" w:sz="0" w:space="0" w:color="auto"/>
        <w:right w:val="none" w:sz="0" w:space="0" w:color="auto"/>
      </w:divBdr>
    </w:div>
    <w:div w:id="846335080">
      <w:bodyDiv w:val="1"/>
      <w:marLeft w:val="0"/>
      <w:marRight w:val="0"/>
      <w:marTop w:val="0"/>
      <w:marBottom w:val="0"/>
      <w:divBdr>
        <w:top w:val="none" w:sz="0" w:space="0" w:color="auto"/>
        <w:left w:val="none" w:sz="0" w:space="0" w:color="auto"/>
        <w:bottom w:val="none" w:sz="0" w:space="0" w:color="auto"/>
        <w:right w:val="none" w:sz="0" w:space="0" w:color="auto"/>
      </w:divBdr>
    </w:div>
    <w:div w:id="847450365">
      <w:bodyDiv w:val="1"/>
      <w:marLeft w:val="0"/>
      <w:marRight w:val="0"/>
      <w:marTop w:val="0"/>
      <w:marBottom w:val="0"/>
      <w:divBdr>
        <w:top w:val="none" w:sz="0" w:space="0" w:color="auto"/>
        <w:left w:val="none" w:sz="0" w:space="0" w:color="auto"/>
        <w:bottom w:val="none" w:sz="0" w:space="0" w:color="auto"/>
        <w:right w:val="none" w:sz="0" w:space="0" w:color="auto"/>
      </w:divBdr>
    </w:div>
    <w:div w:id="850678803">
      <w:bodyDiv w:val="1"/>
      <w:marLeft w:val="0"/>
      <w:marRight w:val="0"/>
      <w:marTop w:val="0"/>
      <w:marBottom w:val="0"/>
      <w:divBdr>
        <w:top w:val="none" w:sz="0" w:space="0" w:color="auto"/>
        <w:left w:val="none" w:sz="0" w:space="0" w:color="auto"/>
        <w:bottom w:val="none" w:sz="0" w:space="0" w:color="auto"/>
        <w:right w:val="none" w:sz="0" w:space="0" w:color="auto"/>
      </w:divBdr>
    </w:div>
    <w:div w:id="851576964">
      <w:bodyDiv w:val="1"/>
      <w:marLeft w:val="0"/>
      <w:marRight w:val="0"/>
      <w:marTop w:val="0"/>
      <w:marBottom w:val="0"/>
      <w:divBdr>
        <w:top w:val="none" w:sz="0" w:space="0" w:color="auto"/>
        <w:left w:val="none" w:sz="0" w:space="0" w:color="auto"/>
        <w:bottom w:val="none" w:sz="0" w:space="0" w:color="auto"/>
        <w:right w:val="none" w:sz="0" w:space="0" w:color="auto"/>
      </w:divBdr>
      <w:divsChild>
        <w:div w:id="213590493">
          <w:marLeft w:val="0"/>
          <w:marRight w:val="0"/>
          <w:marTop w:val="0"/>
          <w:marBottom w:val="0"/>
          <w:divBdr>
            <w:top w:val="none" w:sz="0" w:space="0" w:color="auto"/>
            <w:left w:val="none" w:sz="0" w:space="0" w:color="auto"/>
            <w:bottom w:val="none" w:sz="0" w:space="0" w:color="auto"/>
            <w:right w:val="none" w:sz="0" w:space="0" w:color="auto"/>
          </w:divBdr>
        </w:div>
        <w:div w:id="919412737">
          <w:marLeft w:val="0"/>
          <w:marRight w:val="0"/>
          <w:marTop w:val="0"/>
          <w:marBottom w:val="0"/>
          <w:divBdr>
            <w:top w:val="none" w:sz="0" w:space="0" w:color="auto"/>
            <w:left w:val="none" w:sz="0" w:space="0" w:color="auto"/>
            <w:bottom w:val="none" w:sz="0" w:space="0" w:color="auto"/>
            <w:right w:val="none" w:sz="0" w:space="0" w:color="auto"/>
          </w:divBdr>
        </w:div>
        <w:div w:id="1188371858">
          <w:marLeft w:val="0"/>
          <w:marRight w:val="0"/>
          <w:marTop w:val="0"/>
          <w:marBottom w:val="0"/>
          <w:divBdr>
            <w:top w:val="none" w:sz="0" w:space="0" w:color="auto"/>
            <w:left w:val="none" w:sz="0" w:space="0" w:color="auto"/>
            <w:bottom w:val="none" w:sz="0" w:space="0" w:color="auto"/>
            <w:right w:val="none" w:sz="0" w:space="0" w:color="auto"/>
          </w:divBdr>
        </w:div>
        <w:div w:id="1375274997">
          <w:marLeft w:val="0"/>
          <w:marRight w:val="0"/>
          <w:marTop w:val="0"/>
          <w:marBottom w:val="0"/>
          <w:divBdr>
            <w:top w:val="none" w:sz="0" w:space="0" w:color="auto"/>
            <w:left w:val="none" w:sz="0" w:space="0" w:color="auto"/>
            <w:bottom w:val="none" w:sz="0" w:space="0" w:color="auto"/>
            <w:right w:val="none" w:sz="0" w:space="0" w:color="auto"/>
          </w:divBdr>
        </w:div>
        <w:div w:id="1653487819">
          <w:marLeft w:val="0"/>
          <w:marRight w:val="0"/>
          <w:marTop w:val="0"/>
          <w:marBottom w:val="0"/>
          <w:divBdr>
            <w:top w:val="none" w:sz="0" w:space="0" w:color="auto"/>
            <w:left w:val="none" w:sz="0" w:space="0" w:color="auto"/>
            <w:bottom w:val="none" w:sz="0" w:space="0" w:color="auto"/>
            <w:right w:val="none" w:sz="0" w:space="0" w:color="auto"/>
          </w:divBdr>
        </w:div>
      </w:divsChild>
    </w:div>
    <w:div w:id="865406803">
      <w:bodyDiv w:val="1"/>
      <w:marLeft w:val="0"/>
      <w:marRight w:val="0"/>
      <w:marTop w:val="0"/>
      <w:marBottom w:val="0"/>
      <w:divBdr>
        <w:top w:val="none" w:sz="0" w:space="0" w:color="auto"/>
        <w:left w:val="none" w:sz="0" w:space="0" w:color="auto"/>
        <w:bottom w:val="none" w:sz="0" w:space="0" w:color="auto"/>
        <w:right w:val="none" w:sz="0" w:space="0" w:color="auto"/>
      </w:divBdr>
    </w:div>
    <w:div w:id="878474564">
      <w:bodyDiv w:val="1"/>
      <w:marLeft w:val="0"/>
      <w:marRight w:val="0"/>
      <w:marTop w:val="0"/>
      <w:marBottom w:val="0"/>
      <w:divBdr>
        <w:top w:val="none" w:sz="0" w:space="0" w:color="auto"/>
        <w:left w:val="none" w:sz="0" w:space="0" w:color="auto"/>
        <w:bottom w:val="none" w:sz="0" w:space="0" w:color="auto"/>
        <w:right w:val="none" w:sz="0" w:space="0" w:color="auto"/>
      </w:divBdr>
    </w:div>
    <w:div w:id="891238171">
      <w:bodyDiv w:val="1"/>
      <w:marLeft w:val="0"/>
      <w:marRight w:val="0"/>
      <w:marTop w:val="0"/>
      <w:marBottom w:val="0"/>
      <w:divBdr>
        <w:top w:val="none" w:sz="0" w:space="0" w:color="auto"/>
        <w:left w:val="none" w:sz="0" w:space="0" w:color="auto"/>
        <w:bottom w:val="none" w:sz="0" w:space="0" w:color="auto"/>
        <w:right w:val="none" w:sz="0" w:space="0" w:color="auto"/>
      </w:divBdr>
      <w:divsChild>
        <w:div w:id="1049501723">
          <w:marLeft w:val="0"/>
          <w:marRight w:val="0"/>
          <w:marTop w:val="0"/>
          <w:marBottom w:val="0"/>
          <w:divBdr>
            <w:top w:val="none" w:sz="0" w:space="0" w:color="auto"/>
            <w:left w:val="none" w:sz="0" w:space="0" w:color="auto"/>
            <w:bottom w:val="none" w:sz="0" w:space="0" w:color="auto"/>
            <w:right w:val="none" w:sz="0" w:space="0" w:color="auto"/>
          </w:divBdr>
          <w:divsChild>
            <w:div w:id="2058698157">
              <w:marLeft w:val="0"/>
              <w:marRight w:val="0"/>
              <w:marTop w:val="0"/>
              <w:marBottom w:val="0"/>
              <w:divBdr>
                <w:top w:val="none" w:sz="0" w:space="0" w:color="auto"/>
                <w:left w:val="none" w:sz="0" w:space="0" w:color="auto"/>
                <w:bottom w:val="none" w:sz="0" w:space="0" w:color="auto"/>
                <w:right w:val="none" w:sz="0" w:space="0" w:color="auto"/>
              </w:divBdr>
              <w:divsChild>
                <w:div w:id="107287406">
                  <w:marLeft w:val="0"/>
                  <w:marRight w:val="0"/>
                  <w:marTop w:val="0"/>
                  <w:marBottom w:val="0"/>
                  <w:divBdr>
                    <w:top w:val="none" w:sz="0" w:space="0" w:color="auto"/>
                    <w:left w:val="none" w:sz="0" w:space="0" w:color="auto"/>
                    <w:bottom w:val="none" w:sz="0" w:space="0" w:color="auto"/>
                    <w:right w:val="none" w:sz="0" w:space="0" w:color="auto"/>
                  </w:divBdr>
                  <w:divsChild>
                    <w:div w:id="6166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32674">
      <w:bodyDiv w:val="1"/>
      <w:marLeft w:val="0"/>
      <w:marRight w:val="0"/>
      <w:marTop w:val="0"/>
      <w:marBottom w:val="0"/>
      <w:divBdr>
        <w:top w:val="none" w:sz="0" w:space="0" w:color="auto"/>
        <w:left w:val="none" w:sz="0" w:space="0" w:color="auto"/>
        <w:bottom w:val="none" w:sz="0" w:space="0" w:color="auto"/>
        <w:right w:val="none" w:sz="0" w:space="0" w:color="auto"/>
      </w:divBdr>
    </w:div>
    <w:div w:id="894126454">
      <w:bodyDiv w:val="1"/>
      <w:marLeft w:val="0"/>
      <w:marRight w:val="0"/>
      <w:marTop w:val="0"/>
      <w:marBottom w:val="0"/>
      <w:divBdr>
        <w:top w:val="none" w:sz="0" w:space="0" w:color="auto"/>
        <w:left w:val="none" w:sz="0" w:space="0" w:color="auto"/>
        <w:bottom w:val="none" w:sz="0" w:space="0" w:color="auto"/>
        <w:right w:val="none" w:sz="0" w:space="0" w:color="auto"/>
      </w:divBdr>
    </w:div>
    <w:div w:id="900406116">
      <w:bodyDiv w:val="1"/>
      <w:marLeft w:val="0"/>
      <w:marRight w:val="0"/>
      <w:marTop w:val="0"/>
      <w:marBottom w:val="0"/>
      <w:divBdr>
        <w:top w:val="none" w:sz="0" w:space="0" w:color="auto"/>
        <w:left w:val="none" w:sz="0" w:space="0" w:color="auto"/>
        <w:bottom w:val="none" w:sz="0" w:space="0" w:color="auto"/>
        <w:right w:val="none" w:sz="0" w:space="0" w:color="auto"/>
      </w:divBdr>
    </w:div>
    <w:div w:id="905258829">
      <w:bodyDiv w:val="1"/>
      <w:marLeft w:val="0"/>
      <w:marRight w:val="0"/>
      <w:marTop w:val="0"/>
      <w:marBottom w:val="0"/>
      <w:divBdr>
        <w:top w:val="none" w:sz="0" w:space="0" w:color="auto"/>
        <w:left w:val="none" w:sz="0" w:space="0" w:color="auto"/>
        <w:bottom w:val="none" w:sz="0" w:space="0" w:color="auto"/>
        <w:right w:val="none" w:sz="0" w:space="0" w:color="auto"/>
      </w:divBdr>
    </w:div>
    <w:div w:id="919101239">
      <w:bodyDiv w:val="1"/>
      <w:marLeft w:val="0"/>
      <w:marRight w:val="0"/>
      <w:marTop w:val="0"/>
      <w:marBottom w:val="0"/>
      <w:divBdr>
        <w:top w:val="none" w:sz="0" w:space="0" w:color="auto"/>
        <w:left w:val="none" w:sz="0" w:space="0" w:color="auto"/>
        <w:bottom w:val="none" w:sz="0" w:space="0" w:color="auto"/>
        <w:right w:val="none" w:sz="0" w:space="0" w:color="auto"/>
      </w:divBdr>
    </w:div>
    <w:div w:id="919563054">
      <w:bodyDiv w:val="1"/>
      <w:marLeft w:val="0"/>
      <w:marRight w:val="0"/>
      <w:marTop w:val="0"/>
      <w:marBottom w:val="0"/>
      <w:divBdr>
        <w:top w:val="none" w:sz="0" w:space="0" w:color="auto"/>
        <w:left w:val="none" w:sz="0" w:space="0" w:color="auto"/>
        <w:bottom w:val="none" w:sz="0" w:space="0" w:color="auto"/>
        <w:right w:val="none" w:sz="0" w:space="0" w:color="auto"/>
      </w:divBdr>
    </w:div>
    <w:div w:id="920990003">
      <w:bodyDiv w:val="1"/>
      <w:marLeft w:val="0"/>
      <w:marRight w:val="0"/>
      <w:marTop w:val="0"/>
      <w:marBottom w:val="0"/>
      <w:divBdr>
        <w:top w:val="none" w:sz="0" w:space="0" w:color="auto"/>
        <w:left w:val="none" w:sz="0" w:space="0" w:color="auto"/>
        <w:bottom w:val="none" w:sz="0" w:space="0" w:color="auto"/>
        <w:right w:val="none" w:sz="0" w:space="0" w:color="auto"/>
      </w:divBdr>
    </w:div>
    <w:div w:id="926157979">
      <w:bodyDiv w:val="1"/>
      <w:marLeft w:val="0"/>
      <w:marRight w:val="0"/>
      <w:marTop w:val="0"/>
      <w:marBottom w:val="0"/>
      <w:divBdr>
        <w:top w:val="none" w:sz="0" w:space="0" w:color="auto"/>
        <w:left w:val="none" w:sz="0" w:space="0" w:color="auto"/>
        <w:bottom w:val="none" w:sz="0" w:space="0" w:color="auto"/>
        <w:right w:val="none" w:sz="0" w:space="0" w:color="auto"/>
      </w:divBdr>
    </w:div>
    <w:div w:id="928395083">
      <w:bodyDiv w:val="1"/>
      <w:marLeft w:val="0"/>
      <w:marRight w:val="0"/>
      <w:marTop w:val="0"/>
      <w:marBottom w:val="0"/>
      <w:divBdr>
        <w:top w:val="none" w:sz="0" w:space="0" w:color="auto"/>
        <w:left w:val="none" w:sz="0" w:space="0" w:color="auto"/>
        <w:bottom w:val="none" w:sz="0" w:space="0" w:color="auto"/>
        <w:right w:val="none" w:sz="0" w:space="0" w:color="auto"/>
      </w:divBdr>
    </w:div>
    <w:div w:id="937251033">
      <w:bodyDiv w:val="1"/>
      <w:marLeft w:val="0"/>
      <w:marRight w:val="0"/>
      <w:marTop w:val="0"/>
      <w:marBottom w:val="0"/>
      <w:divBdr>
        <w:top w:val="none" w:sz="0" w:space="0" w:color="auto"/>
        <w:left w:val="none" w:sz="0" w:space="0" w:color="auto"/>
        <w:bottom w:val="none" w:sz="0" w:space="0" w:color="auto"/>
        <w:right w:val="none" w:sz="0" w:space="0" w:color="auto"/>
      </w:divBdr>
    </w:div>
    <w:div w:id="945311909">
      <w:bodyDiv w:val="1"/>
      <w:marLeft w:val="0"/>
      <w:marRight w:val="0"/>
      <w:marTop w:val="0"/>
      <w:marBottom w:val="0"/>
      <w:divBdr>
        <w:top w:val="none" w:sz="0" w:space="0" w:color="auto"/>
        <w:left w:val="none" w:sz="0" w:space="0" w:color="auto"/>
        <w:bottom w:val="none" w:sz="0" w:space="0" w:color="auto"/>
        <w:right w:val="none" w:sz="0" w:space="0" w:color="auto"/>
      </w:divBdr>
    </w:div>
    <w:div w:id="956331526">
      <w:bodyDiv w:val="1"/>
      <w:marLeft w:val="0"/>
      <w:marRight w:val="0"/>
      <w:marTop w:val="0"/>
      <w:marBottom w:val="0"/>
      <w:divBdr>
        <w:top w:val="none" w:sz="0" w:space="0" w:color="auto"/>
        <w:left w:val="none" w:sz="0" w:space="0" w:color="auto"/>
        <w:bottom w:val="none" w:sz="0" w:space="0" w:color="auto"/>
        <w:right w:val="none" w:sz="0" w:space="0" w:color="auto"/>
      </w:divBdr>
    </w:div>
    <w:div w:id="960958757">
      <w:bodyDiv w:val="1"/>
      <w:marLeft w:val="0"/>
      <w:marRight w:val="0"/>
      <w:marTop w:val="0"/>
      <w:marBottom w:val="0"/>
      <w:divBdr>
        <w:top w:val="none" w:sz="0" w:space="0" w:color="auto"/>
        <w:left w:val="none" w:sz="0" w:space="0" w:color="auto"/>
        <w:bottom w:val="none" w:sz="0" w:space="0" w:color="auto"/>
        <w:right w:val="none" w:sz="0" w:space="0" w:color="auto"/>
      </w:divBdr>
    </w:div>
    <w:div w:id="963072852">
      <w:bodyDiv w:val="1"/>
      <w:marLeft w:val="0"/>
      <w:marRight w:val="0"/>
      <w:marTop w:val="0"/>
      <w:marBottom w:val="0"/>
      <w:divBdr>
        <w:top w:val="none" w:sz="0" w:space="0" w:color="auto"/>
        <w:left w:val="none" w:sz="0" w:space="0" w:color="auto"/>
        <w:bottom w:val="none" w:sz="0" w:space="0" w:color="auto"/>
        <w:right w:val="none" w:sz="0" w:space="0" w:color="auto"/>
      </w:divBdr>
    </w:div>
    <w:div w:id="969749967">
      <w:bodyDiv w:val="1"/>
      <w:marLeft w:val="0"/>
      <w:marRight w:val="0"/>
      <w:marTop w:val="0"/>
      <w:marBottom w:val="0"/>
      <w:divBdr>
        <w:top w:val="none" w:sz="0" w:space="0" w:color="auto"/>
        <w:left w:val="none" w:sz="0" w:space="0" w:color="auto"/>
        <w:bottom w:val="none" w:sz="0" w:space="0" w:color="auto"/>
        <w:right w:val="none" w:sz="0" w:space="0" w:color="auto"/>
      </w:divBdr>
    </w:div>
    <w:div w:id="971178635">
      <w:bodyDiv w:val="1"/>
      <w:marLeft w:val="0"/>
      <w:marRight w:val="0"/>
      <w:marTop w:val="0"/>
      <w:marBottom w:val="0"/>
      <w:divBdr>
        <w:top w:val="none" w:sz="0" w:space="0" w:color="auto"/>
        <w:left w:val="none" w:sz="0" w:space="0" w:color="auto"/>
        <w:bottom w:val="none" w:sz="0" w:space="0" w:color="auto"/>
        <w:right w:val="none" w:sz="0" w:space="0" w:color="auto"/>
      </w:divBdr>
    </w:div>
    <w:div w:id="982199153">
      <w:bodyDiv w:val="1"/>
      <w:marLeft w:val="0"/>
      <w:marRight w:val="0"/>
      <w:marTop w:val="0"/>
      <w:marBottom w:val="0"/>
      <w:divBdr>
        <w:top w:val="none" w:sz="0" w:space="0" w:color="auto"/>
        <w:left w:val="none" w:sz="0" w:space="0" w:color="auto"/>
        <w:bottom w:val="none" w:sz="0" w:space="0" w:color="auto"/>
        <w:right w:val="none" w:sz="0" w:space="0" w:color="auto"/>
      </w:divBdr>
    </w:div>
    <w:div w:id="982274014">
      <w:bodyDiv w:val="1"/>
      <w:marLeft w:val="0"/>
      <w:marRight w:val="0"/>
      <w:marTop w:val="0"/>
      <w:marBottom w:val="0"/>
      <w:divBdr>
        <w:top w:val="none" w:sz="0" w:space="0" w:color="auto"/>
        <w:left w:val="none" w:sz="0" w:space="0" w:color="auto"/>
        <w:bottom w:val="none" w:sz="0" w:space="0" w:color="auto"/>
        <w:right w:val="none" w:sz="0" w:space="0" w:color="auto"/>
      </w:divBdr>
    </w:div>
    <w:div w:id="989746356">
      <w:bodyDiv w:val="1"/>
      <w:marLeft w:val="0"/>
      <w:marRight w:val="0"/>
      <w:marTop w:val="0"/>
      <w:marBottom w:val="0"/>
      <w:divBdr>
        <w:top w:val="none" w:sz="0" w:space="0" w:color="auto"/>
        <w:left w:val="none" w:sz="0" w:space="0" w:color="auto"/>
        <w:bottom w:val="none" w:sz="0" w:space="0" w:color="auto"/>
        <w:right w:val="none" w:sz="0" w:space="0" w:color="auto"/>
      </w:divBdr>
    </w:div>
    <w:div w:id="991786298">
      <w:bodyDiv w:val="1"/>
      <w:marLeft w:val="0"/>
      <w:marRight w:val="0"/>
      <w:marTop w:val="0"/>
      <w:marBottom w:val="0"/>
      <w:divBdr>
        <w:top w:val="none" w:sz="0" w:space="0" w:color="auto"/>
        <w:left w:val="none" w:sz="0" w:space="0" w:color="auto"/>
        <w:bottom w:val="none" w:sz="0" w:space="0" w:color="auto"/>
        <w:right w:val="none" w:sz="0" w:space="0" w:color="auto"/>
      </w:divBdr>
    </w:div>
    <w:div w:id="1003313765">
      <w:bodyDiv w:val="1"/>
      <w:marLeft w:val="0"/>
      <w:marRight w:val="0"/>
      <w:marTop w:val="0"/>
      <w:marBottom w:val="0"/>
      <w:divBdr>
        <w:top w:val="none" w:sz="0" w:space="0" w:color="auto"/>
        <w:left w:val="none" w:sz="0" w:space="0" w:color="auto"/>
        <w:bottom w:val="none" w:sz="0" w:space="0" w:color="auto"/>
        <w:right w:val="none" w:sz="0" w:space="0" w:color="auto"/>
      </w:divBdr>
    </w:div>
    <w:div w:id="1004816292">
      <w:bodyDiv w:val="1"/>
      <w:marLeft w:val="0"/>
      <w:marRight w:val="0"/>
      <w:marTop w:val="0"/>
      <w:marBottom w:val="0"/>
      <w:divBdr>
        <w:top w:val="none" w:sz="0" w:space="0" w:color="auto"/>
        <w:left w:val="none" w:sz="0" w:space="0" w:color="auto"/>
        <w:bottom w:val="none" w:sz="0" w:space="0" w:color="auto"/>
        <w:right w:val="none" w:sz="0" w:space="0" w:color="auto"/>
      </w:divBdr>
    </w:div>
    <w:div w:id="1005325200">
      <w:bodyDiv w:val="1"/>
      <w:marLeft w:val="0"/>
      <w:marRight w:val="0"/>
      <w:marTop w:val="0"/>
      <w:marBottom w:val="0"/>
      <w:divBdr>
        <w:top w:val="none" w:sz="0" w:space="0" w:color="auto"/>
        <w:left w:val="none" w:sz="0" w:space="0" w:color="auto"/>
        <w:bottom w:val="none" w:sz="0" w:space="0" w:color="auto"/>
        <w:right w:val="none" w:sz="0" w:space="0" w:color="auto"/>
      </w:divBdr>
    </w:div>
    <w:div w:id="1014188372">
      <w:bodyDiv w:val="1"/>
      <w:marLeft w:val="0"/>
      <w:marRight w:val="0"/>
      <w:marTop w:val="0"/>
      <w:marBottom w:val="0"/>
      <w:divBdr>
        <w:top w:val="none" w:sz="0" w:space="0" w:color="auto"/>
        <w:left w:val="none" w:sz="0" w:space="0" w:color="auto"/>
        <w:bottom w:val="none" w:sz="0" w:space="0" w:color="auto"/>
        <w:right w:val="none" w:sz="0" w:space="0" w:color="auto"/>
      </w:divBdr>
    </w:div>
    <w:div w:id="1020203531">
      <w:bodyDiv w:val="1"/>
      <w:marLeft w:val="0"/>
      <w:marRight w:val="0"/>
      <w:marTop w:val="0"/>
      <w:marBottom w:val="0"/>
      <w:divBdr>
        <w:top w:val="none" w:sz="0" w:space="0" w:color="auto"/>
        <w:left w:val="none" w:sz="0" w:space="0" w:color="auto"/>
        <w:bottom w:val="none" w:sz="0" w:space="0" w:color="auto"/>
        <w:right w:val="none" w:sz="0" w:space="0" w:color="auto"/>
      </w:divBdr>
    </w:div>
    <w:div w:id="1021784790">
      <w:bodyDiv w:val="1"/>
      <w:marLeft w:val="0"/>
      <w:marRight w:val="0"/>
      <w:marTop w:val="0"/>
      <w:marBottom w:val="0"/>
      <w:divBdr>
        <w:top w:val="none" w:sz="0" w:space="0" w:color="auto"/>
        <w:left w:val="none" w:sz="0" w:space="0" w:color="auto"/>
        <w:bottom w:val="none" w:sz="0" w:space="0" w:color="auto"/>
        <w:right w:val="none" w:sz="0" w:space="0" w:color="auto"/>
      </w:divBdr>
    </w:div>
    <w:div w:id="1023483219">
      <w:bodyDiv w:val="1"/>
      <w:marLeft w:val="0"/>
      <w:marRight w:val="0"/>
      <w:marTop w:val="0"/>
      <w:marBottom w:val="0"/>
      <w:divBdr>
        <w:top w:val="none" w:sz="0" w:space="0" w:color="auto"/>
        <w:left w:val="none" w:sz="0" w:space="0" w:color="auto"/>
        <w:bottom w:val="none" w:sz="0" w:space="0" w:color="auto"/>
        <w:right w:val="none" w:sz="0" w:space="0" w:color="auto"/>
      </w:divBdr>
    </w:div>
    <w:div w:id="1034841183">
      <w:bodyDiv w:val="1"/>
      <w:marLeft w:val="0"/>
      <w:marRight w:val="0"/>
      <w:marTop w:val="0"/>
      <w:marBottom w:val="0"/>
      <w:divBdr>
        <w:top w:val="none" w:sz="0" w:space="0" w:color="auto"/>
        <w:left w:val="none" w:sz="0" w:space="0" w:color="auto"/>
        <w:bottom w:val="none" w:sz="0" w:space="0" w:color="auto"/>
        <w:right w:val="none" w:sz="0" w:space="0" w:color="auto"/>
      </w:divBdr>
    </w:div>
    <w:div w:id="1053456848">
      <w:bodyDiv w:val="1"/>
      <w:marLeft w:val="0"/>
      <w:marRight w:val="0"/>
      <w:marTop w:val="0"/>
      <w:marBottom w:val="0"/>
      <w:divBdr>
        <w:top w:val="none" w:sz="0" w:space="0" w:color="auto"/>
        <w:left w:val="none" w:sz="0" w:space="0" w:color="auto"/>
        <w:bottom w:val="none" w:sz="0" w:space="0" w:color="auto"/>
        <w:right w:val="none" w:sz="0" w:space="0" w:color="auto"/>
      </w:divBdr>
    </w:div>
    <w:div w:id="1059209116">
      <w:bodyDiv w:val="1"/>
      <w:marLeft w:val="0"/>
      <w:marRight w:val="0"/>
      <w:marTop w:val="0"/>
      <w:marBottom w:val="0"/>
      <w:divBdr>
        <w:top w:val="none" w:sz="0" w:space="0" w:color="auto"/>
        <w:left w:val="none" w:sz="0" w:space="0" w:color="auto"/>
        <w:bottom w:val="none" w:sz="0" w:space="0" w:color="auto"/>
        <w:right w:val="none" w:sz="0" w:space="0" w:color="auto"/>
      </w:divBdr>
    </w:div>
    <w:div w:id="1064523613">
      <w:bodyDiv w:val="1"/>
      <w:marLeft w:val="0"/>
      <w:marRight w:val="0"/>
      <w:marTop w:val="0"/>
      <w:marBottom w:val="0"/>
      <w:divBdr>
        <w:top w:val="none" w:sz="0" w:space="0" w:color="auto"/>
        <w:left w:val="none" w:sz="0" w:space="0" w:color="auto"/>
        <w:bottom w:val="none" w:sz="0" w:space="0" w:color="auto"/>
        <w:right w:val="none" w:sz="0" w:space="0" w:color="auto"/>
      </w:divBdr>
    </w:div>
    <w:div w:id="1073359064">
      <w:bodyDiv w:val="1"/>
      <w:marLeft w:val="0"/>
      <w:marRight w:val="0"/>
      <w:marTop w:val="0"/>
      <w:marBottom w:val="0"/>
      <w:divBdr>
        <w:top w:val="none" w:sz="0" w:space="0" w:color="auto"/>
        <w:left w:val="none" w:sz="0" w:space="0" w:color="auto"/>
        <w:bottom w:val="none" w:sz="0" w:space="0" w:color="auto"/>
        <w:right w:val="none" w:sz="0" w:space="0" w:color="auto"/>
      </w:divBdr>
    </w:div>
    <w:div w:id="1076166743">
      <w:bodyDiv w:val="1"/>
      <w:marLeft w:val="0"/>
      <w:marRight w:val="0"/>
      <w:marTop w:val="0"/>
      <w:marBottom w:val="0"/>
      <w:divBdr>
        <w:top w:val="none" w:sz="0" w:space="0" w:color="auto"/>
        <w:left w:val="none" w:sz="0" w:space="0" w:color="auto"/>
        <w:bottom w:val="none" w:sz="0" w:space="0" w:color="auto"/>
        <w:right w:val="none" w:sz="0" w:space="0" w:color="auto"/>
      </w:divBdr>
    </w:div>
    <w:div w:id="1080172134">
      <w:bodyDiv w:val="1"/>
      <w:marLeft w:val="0"/>
      <w:marRight w:val="0"/>
      <w:marTop w:val="0"/>
      <w:marBottom w:val="0"/>
      <w:divBdr>
        <w:top w:val="none" w:sz="0" w:space="0" w:color="auto"/>
        <w:left w:val="none" w:sz="0" w:space="0" w:color="auto"/>
        <w:bottom w:val="none" w:sz="0" w:space="0" w:color="auto"/>
        <w:right w:val="none" w:sz="0" w:space="0" w:color="auto"/>
      </w:divBdr>
    </w:div>
    <w:div w:id="1081100545">
      <w:bodyDiv w:val="1"/>
      <w:marLeft w:val="0"/>
      <w:marRight w:val="0"/>
      <w:marTop w:val="0"/>
      <w:marBottom w:val="0"/>
      <w:divBdr>
        <w:top w:val="none" w:sz="0" w:space="0" w:color="auto"/>
        <w:left w:val="none" w:sz="0" w:space="0" w:color="auto"/>
        <w:bottom w:val="none" w:sz="0" w:space="0" w:color="auto"/>
        <w:right w:val="none" w:sz="0" w:space="0" w:color="auto"/>
      </w:divBdr>
    </w:div>
    <w:div w:id="1086263848">
      <w:bodyDiv w:val="1"/>
      <w:marLeft w:val="0"/>
      <w:marRight w:val="0"/>
      <w:marTop w:val="0"/>
      <w:marBottom w:val="0"/>
      <w:divBdr>
        <w:top w:val="none" w:sz="0" w:space="0" w:color="auto"/>
        <w:left w:val="none" w:sz="0" w:space="0" w:color="auto"/>
        <w:bottom w:val="none" w:sz="0" w:space="0" w:color="auto"/>
        <w:right w:val="none" w:sz="0" w:space="0" w:color="auto"/>
      </w:divBdr>
    </w:div>
    <w:div w:id="1087969332">
      <w:marLeft w:val="0"/>
      <w:marRight w:val="0"/>
      <w:marTop w:val="0"/>
      <w:marBottom w:val="0"/>
      <w:divBdr>
        <w:top w:val="none" w:sz="0" w:space="0" w:color="auto"/>
        <w:left w:val="none" w:sz="0" w:space="0" w:color="auto"/>
        <w:bottom w:val="none" w:sz="0" w:space="0" w:color="auto"/>
        <w:right w:val="none" w:sz="0" w:space="0" w:color="auto"/>
      </w:divBdr>
    </w:div>
    <w:div w:id="1087969333">
      <w:marLeft w:val="0"/>
      <w:marRight w:val="0"/>
      <w:marTop w:val="0"/>
      <w:marBottom w:val="0"/>
      <w:divBdr>
        <w:top w:val="none" w:sz="0" w:space="0" w:color="auto"/>
        <w:left w:val="none" w:sz="0" w:space="0" w:color="auto"/>
        <w:bottom w:val="none" w:sz="0" w:space="0" w:color="auto"/>
        <w:right w:val="none" w:sz="0" w:space="0" w:color="auto"/>
      </w:divBdr>
    </w:div>
    <w:div w:id="1087969334">
      <w:marLeft w:val="0"/>
      <w:marRight w:val="0"/>
      <w:marTop w:val="0"/>
      <w:marBottom w:val="0"/>
      <w:divBdr>
        <w:top w:val="none" w:sz="0" w:space="0" w:color="auto"/>
        <w:left w:val="none" w:sz="0" w:space="0" w:color="auto"/>
        <w:bottom w:val="none" w:sz="0" w:space="0" w:color="auto"/>
        <w:right w:val="none" w:sz="0" w:space="0" w:color="auto"/>
      </w:divBdr>
    </w:div>
    <w:div w:id="1087969335">
      <w:marLeft w:val="0"/>
      <w:marRight w:val="0"/>
      <w:marTop w:val="0"/>
      <w:marBottom w:val="0"/>
      <w:divBdr>
        <w:top w:val="none" w:sz="0" w:space="0" w:color="auto"/>
        <w:left w:val="none" w:sz="0" w:space="0" w:color="auto"/>
        <w:bottom w:val="none" w:sz="0" w:space="0" w:color="auto"/>
        <w:right w:val="none" w:sz="0" w:space="0" w:color="auto"/>
      </w:divBdr>
    </w:div>
    <w:div w:id="1087969336">
      <w:marLeft w:val="0"/>
      <w:marRight w:val="0"/>
      <w:marTop w:val="0"/>
      <w:marBottom w:val="0"/>
      <w:divBdr>
        <w:top w:val="none" w:sz="0" w:space="0" w:color="auto"/>
        <w:left w:val="none" w:sz="0" w:space="0" w:color="auto"/>
        <w:bottom w:val="none" w:sz="0" w:space="0" w:color="auto"/>
        <w:right w:val="none" w:sz="0" w:space="0" w:color="auto"/>
      </w:divBdr>
    </w:div>
    <w:div w:id="1087969337">
      <w:marLeft w:val="0"/>
      <w:marRight w:val="0"/>
      <w:marTop w:val="0"/>
      <w:marBottom w:val="0"/>
      <w:divBdr>
        <w:top w:val="none" w:sz="0" w:space="0" w:color="auto"/>
        <w:left w:val="none" w:sz="0" w:space="0" w:color="auto"/>
        <w:bottom w:val="none" w:sz="0" w:space="0" w:color="auto"/>
        <w:right w:val="none" w:sz="0" w:space="0" w:color="auto"/>
      </w:divBdr>
    </w:div>
    <w:div w:id="1087969340">
      <w:marLeft w:val="0"/>
      <w:marRight w:val="0"/>
      <w:marTop w:val="0"/>
      <w:marBottom w:val="0"/>
      <w:divBdr>
        <w:top w:val="none" w:sz="0" w:space="0" w:color="auto"/>
        <w:left w:val="none" w:sz="0" w:space="0" w:color="auto"/>
        <w:bottom w:val="none" w:sz="0" w:space="0" w:color="auto"/>
        <w:right w:val="none" w:sz="0" w:space="0" w:color="auto"/>
      </w:divBdr>
    </w:div>
    <w:div w:id="1087969341">
      <w:marLeft w:val="0"/>
      <w:marRight w:val="0"/>
      <w:marTop w:val="0"/>
      <w:marBottom w:val="0"/>
      <w:divBdr>
        <w:top w:val="none" w:sz="0" w:space="0" w:color="auto"/>
        <w:left w:val="none" w:sz="0" w:space="0" w:color="auto"/>
        <w:bottom w:val="none" w:sz="0" w:space="0" w:color="auto"/>
        <w:right w:val="none" w:sz="0" w:space="0" w:color="auto"/>
      </w:divBdr>
    </w:div>
    <w:div w:id="1087969342">
      <w:marLeft w:val="0"/>
      <w:marRight w:val="0"/>
      <w:marTop w:val="0"/>
      <w:marBottom w:val="0"/>
      <w:divBdr>
        <w:top w:val="none" w:sz="0" w:space="0" w:color="auto"/>
        <w:left w:val="none" w:sz="0" w:space="0" w:color="auto"/>
        <w:bottom w:val="none" w:sz="0" w:space="0" w:color="auto"/>
        <w:right w:val="none" w:sz="0" w:space="0" w:color="auto"/>
      </w:divBdr>
    </w:div>
    <w:div w:id="1087969343">
      <w:marLeft w:val="0"/>
      <w:marRight w:val="0"/>
      <w:marTop w:val="0"/>
      <w:marBottom w:val="0"/>
      <w:divBdr>
        <w:top w:val="none" w:sz="0" w:space="0" w:color="auto"/>
        <w:left w:val="none" w:sz="0" w:space="0" w:color="auto"/>
        <w:bottom w:val="none" w:sz="0" w:space="0" w:color="auto"/>
        <w:right w:val="none" w:sz="0" w:space="0" w:color="auto"/>
      </w:divBdr>
    </w:div>
    <w:div w:id="1087969344">
      <w:marLeft w:val="0"/>
      <w:marRight w:val="0"/>
      <w:marTop w:val="0"/>
      <w:marBottom w:val="0"/>
      <w:divBdr>
        <w:top w:val="none" w:sz="0" w:space="0" w:color="auto"/>
        <w:left w:val="none" w:sz="0" w:space="0" w:color="auto"/>
        <w:bottom w:val="none" w:sz="0" w:space="0" w:color="auto"/>
        <w:right w:val="none" w:sz="0" w:space="0" w:color="auto"/>
      </w:divBdr>
    </w:div>
    <w:div w:id="1087969345">
      <w:marLeft w:val="0"/>
      <w:marRight w:val="0"/>
      <w:marTop w:val="0"/>
      <w:marBottom w:val="0"/>
      <w:divBdr>
        <w:top w:val="none" w:sz="0" w:space="0" w:color="auto"/>
        <w:left w:val="none" w:sz="0" w:space="0" w:color="auto"/>
        <w:bottom w:val="none" w:sz="0" w:space="0" w:color="auto"/>
        <w:right w:val="none" w:sz="0" w:space="0" w:color="auto"/>
      </w:divBdr>
    </w:div>
    <w:div w:id="1087969346">
      <w:marLeft w:val="0"/>
      <w:marRight w:val="0"/>
      <w:marTop w:val="0"/>
      <w:marBottom w:val="0"/>
      <w:divBdr>
        <w:top w:val="none" w:sz="0" w:space="0" w:color="auto"/>
        <w:left w:val="none" w:sz="0" w:space="0" w:color="auto"/>
        <w:bottom w:val="none" w:sz="0" w:space="0" w:color="auto"/>
        <w:right w:val="none" w:sz="0" w:space="0" w:color="auto"/>
      </w:divBdr>
      <w:divsChild>
        <w:div w:id="1087969357">
          <w:marLeft w:val="0"/>
          <w:marRight w:val="0"/>
          <w:marTop w:val="0"/>
          <w:marBottom w:val="0"/>
          <w:divBdr>
            <w:top w:val="none" w:sz="0" w:space="0" w:color="auto"/>
            <w:left w:val="none" w:sz="0" w:space="0" w:color="auto"/>
            <w:bottom w:val="none" w:sz="0" w:space="0" w:color="auto"/>
            <w:right w:val="none" w:sz="0" w:space="0" w:color="auto"/>
          </w:divBdr>
          <w:divsChild>
            <w:div w:id="10879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9347">
      <w:marLeft w:val="0"/>
      <w:marRight w:val="0"/>
      <w:marTop w:val="0"/>
      <w:marBottom w:val="0"/>
      <w:divBdr>
        <w:top w:val="none" w:sz="0" w:space="0" w:color="auto"/>
        <w:left w:val="none" w:sz="0" w:space="0" w:color="auto"/>
        <w:bottom w:val="none" w:sz="0" w:space="0" w:color="auto"/>
        <w:right w:val="none" w:sz="0" w:space="0" w:color="auto"/>
      </w:divBdr>
    </w:div>
    <w:div w:id="1087969348">
      <w:marLeft w:val="0"/>
      <w:marRight w:val="0"/>
      <w:marTop w:val="0"/>
      <w:marBottom w:val="0"/>
      <w:divBdr>
        <w:top w:val="none" w:sz="0" w:space="0" w:color="auto"/>
        <w:left w:val="none" w:sz="0" w:space="0" w:color="auto"/>
        <w:bottom w:val="none" w:sz="0" w:space="0" w:color="auto"/>
        <w:right w:val="none" w:sz="0" w:space="0" w:color="auto"/>
      </w:divBdr>
      <w:divsChild>
        <w:div w:id="1087969339">
          <w:marLeft w:val="0"/>
          <w:marRight w:val="0"/>
          <w:marTop w:val="0"/>
          <w:marBottom w:val="0"/>
          <w:divBdr>
            <w:top w:val="none" w:sz="0" w:space="0" w:color="auto"/>
            <w:left w:val="none" w:sz="0" w:space="0" w:color="auto"/>
            <w:bottom w:val="none" w:sz="0" w:space="0" w:color="auto"/>
            <w:right w:val="none" w:sz="0" w:space="0" w:color="auto"/>
          </w:divBdr>
          <w:divsChild>
            <w:div w:id="10879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9349">
      <w:marLeft w:val="0"/>
      <w:marRight w:val="0"/>
      <w:marTop w:val="0"/>
      <w:marBottom w:val="0"/>
      <w:divBdr>
        <w:top w:val="none" w:sz="0" w:space="0" w:color="auto"/>
        <w:left w:val="none" w:sz="0" w:space="0" w:color="auto"/>
        <w:bottom w:val="none" w:sz="0" w:space="0" w:color="auto"/>
        <w:right w:val="none" w:sz="0" w:space="0" w:color="auto"/>
      </w:divBdr>
    </w:div>
    <w:div w:id="1087969350">
      <w:marLeft w:val="0"/>
      <w:marRight w:val="0"/>
      <w:marTop w:val="0"/>
      <w:marBottom w:val="0"/>
      <w:divBdr>
        <w:top w:val="none" w:sz="0" w:space="0" w:color="auto"/>
        <w:left w:val="none" w:sz="0" w:space="0" w:color="auto"/>
        <w:bottom w:val="none" w:sz="0" w:space="0" w:color="auto"/>
        <w:right w:val="none" w:sz="0" w:space="0" w:color="auto"/>
      </w:divBdr>
    </w:div>
    <w:div w:id="1087969351">
      <w:marLeft w:val="0"/>
      <w:marRight w:val="0"/>
      <w:marTop w:val="0"/>
      <w:marBottom w:val="0"/>
      <w:divBdr>
        <w:top w:val="none" w:sz="0" w:space="0" w:color="auto"/>
        <w:left w:val="none" w:sz="0" w:space="0" w:color="auto"/>
        <w:bottom w:val="none" w:sz="0" w:space="0" w:color="auto"/>
        <w:right w:val="none" w:sz="0" w:space="0" w:color="auto"/>
      </w:divBdr>
    </w:div>
    <w:div w:id="1087969352">
      <w:marLeft w:val="0"/>
      <w:marRight w:val="0"/>
      <w:marTop w:val="0"/>
      <w:marBottom w:val="0"/>
      <w:divBdr>
        <w:top w:val="none" w:sz="0" w:space="0" w:color="auto"/>
        <w:left w:val="none" w:sz="0" w:space="0" w:color="auto"/>
        <w:bottom w:val="none" w:sz="0" w:space="0" w:color="auto"/>
        <w:right w:val="none" w:sz="0" w:space="0" w:color="auto"/>
      </w:divBdr>
    </w:div>
    <w:div w:id="1087969353">
      <w:marLeft w:val="0"/>
      <w:marRight w:val="0"/>
      <w:marTop w:val="0"/>
      <w:marBottom w:val="0"/>
      <w:divBdr>
        <w:top w:val="none" w:sz="0" w:space="0" w:color="auto"/>
        <w:left w:val="none" w:sz="0" w:space="0" w:color="auto"/>
        <w:bottom w:val="none" w:sz="0" w:space="0" w:color="auto"/>
        <w:right w:val="none" w:sz="0" w:space="0" w:color="auto"/>
      </w:divBdr>
    </w:div>
    <w:div w:id="1087969354">
      <w:marLeft w:val="0"/>
      <w:marRight w:val="0"/>
      <w:marTop w:val="0"/>
      <w:marBottom w:val="0"/>
      <w:divBdr>
        <w:top w:val="none" w:sz="0" w:space="0" w:color="auto"/>
        <w:left w:val="none" w:sz="0" w:space="0" w:color="auto"/>
        <w:bottom w:val="none" w:sz="0" w:space="0" w:color="auto"/>
        <w:right w:val="none" w:sz="0" w:space="0" w:color="auto"/>
      </w:divBdr>
    </w:div>
    <w:div w:id="1087969356">
      <w:marLeft w:val="0"/>
      <w:marRight w:val="0"/>
      <w:marTop w:val="0"/>
      <w:marBottom w:val="0"/>
      <w:divBdr>
        <w:top w:val="none" w:sz="0" w:space="0" w:color="auto"/>
        <w:left w:val="none" w:sz="0" w:space="0" w:color="auto"/>
        <w:bottom w:val="none" w:sz="0" w:space="0" w:color="auto"/>
        <w:right w:val="none" w:sz="0" w:space="0" w:color="auto"/>
      </w:divBdr>
    </w:div>
    <w:div w:id="1097597020">
      <w:bodyDiv w:val="1"/>
      <w:marLeft w:val="0"/>
      <w:marRight w:val="0"/>
      <w:marTop w:val="0"/>
      <w:marBottom w:val="0"/>
      <w:divBdr>
        <w:top w:val="none" w:sz="0" w:space="0" w:color="auto"/>
        <w:left w:val="none" w:sz="0" w:space="0" w:color="auto"/>
        <w:bottom w:val="none" w:sz="0" w:space="0" w:color="auto"/>
        <w:right w:val="none" w:sz="0" w:space="0" w:color="auto"/>
      </w:divBdr>
    </w:div>
    <w:div w:id="1112674577">
      <w:bodyDiv w:val="1"/>
      <w:marLeft w:val="0"/>
      <w:marRight w:val="0"/>
      <w:marTop w:val="0"/>
      <w:marBottom w:val="0"/>
      <w:divBdr>
        <w:top w:val="none" w:sz="0" w:space="0" w:color="auto"/>
        <w:left w:val="none" w:sz="0" w:space="0" w:color="auto"/>
        <w:bottom w:val="none" w:sz="0" w:space="0" w:color="auto"/>
        <w:right w:val="none" w:sz="0" w:space="0" w:color="auto"/>
      </w:divBdr>
    </w:div>
    <w:div w:id="1115294463">
      <w:bodyDiv w:val="1"/>
      <w:marLeft w:val="0"/>
      <w:marRight w:val="0"/>
      <w:marTop w:val="0"/>
      <w:marBottom w:val="0"/>
      <w:divBdr>
        <w:top w:val="none" w:sz="0" w:space="0" w:color="auto"/>
        <w:left w:val="none" w:sz="0" w:space="0" w:color="auto"/>
        <w:bottom w:val="none" w:sz="0" w:space="0" w:color="auto"/>
        <w:right w:val="none" w:sz="0" w:space="0" w:color="auto"/>
      </w:divBdr>
    </w:div>
    <w:div w:id="1118917891">
      <w:bodyDiv w:val="1"/>
      <w:marLeft w:val="0"/>
      <w:marRight w:val="0"/>
      <w:marTop w:val="0"/>
      <w:marBottom w:val="0"/>
      <w:divBdr>
        <w:top w:val="none" w:sz="0" w:space="0" w:color="auto"/>
        <w:left w:val="none" w:sz="0" w:space="0" w:color="auto"/>
        <w:bottom w:val="none" w:sz="0" w:space="0" w:color="auto"/>
        <w:right w:val="none" w:sz="0" w:space="0" w:color="auto"/>
      </w:divBdr>
    </w:div>
    <w:div w:id="1127048918">
      <w:bodyDiv w:val="1"/>
      <w:marLeft w:val="0"/>
      <w:marRight w:val="0"/>
      <w:marTop w:val="0"/>
      <w:marBottom w:val="0"/>
      <w:divBdr>
        <w:top w:val="none" w:sz="0" w:space="0" w:color="auto"/>
        <w:left w:val="none" w:sz="0" w:space="0" w:color="auto"/>
        <w:bottom w:val="none" w:sz="0" w:space="0" w:color="auto"/>
        <w:right w:val="none" w:sz="0" w:space="0" w:color="auto"/>
      </w:divBdr>
    </w:div>
    <w:div w:id="1128667403">
      <w:bodyDiv w:val="1"/>
      <w:marLeft w:val="0"/>
      <w:marRight w:val="0"/>
      <w:marTop w:val="0"/>
      <w:marBottom w:val="0"/>
      <w:divBdr>
        <w:top w:val="none" w:sz="0" w:space="0" w:color="auto"/>
        <w:left w:val="none" w:sz="0" w:space="0" w:color="auto"/>
        <w:bottom w:val="none" w:sz="0" w:space="0" w:color="auto"/>
        <w:right w:val="none" w:sz="0" w:space="0" w:color="auto"/>
      </w:divBdr>
    </w:div>
    <w:div w:id="1133674012">
      <w:bodyDiv w:val="1"/>
      <w:marLeft w:val="0"/>
      <w:marRight w:val="0"/>
      <w:marTop w:val="0"/>
      <w:marBottom w:val="0"/>
      <w:divBdr>
        <w:top w:val="none" w:sz="0" w:space="0" w:color="auto"/>
        <w:left w:val="none" w:sz="0" w:space="0" w:color="auto"/>
        <w:bottom w:val="none" w:sz="0" w:space="0" w:color="auto"/>
        <w:right w:val="none" w:sz="0" w:space="0" w:color="auto"/>
      </w:divBdr>
    </w:div>
    <w:div w:id="1137838359">
      <w:bodyDiv w:val="1"/>
      <w:marLeft w:val="0"/>
      <w:marRight w:val="0"/>
      <w:marTop w:val="0"/>
      <w:marBottom w:val="0"/>
      <w:divBdr>
        <w:top w:val="none" w:sz="0" w:space="0" w:color="auto"/>
        <w:left w:val="none" w:sz="0" w:space="0" w:color="auto"/>
        <w:bottom w:val="none" w:sz="0" w:space="0" w:color="auto"/>
        <w:right w:val="none" w:sz="0" w:space="0" w:color="auto"/>
      </w:divBdr>
    </w:div>
    <w:div w:id="1139688530">
      <w:bodyDiv w:val="1"/>
      <w:marLeft w:val="0"/>
      <w:marRight w:val="0"/>
      <w:marTop w:val="0"/>
      <w:marBottom w:val="0"/>
      <w:divBdr>
        <w:top w:val="none" w:sz="0" w:space="0" w:color="auto"/>
        <w:left w:val="none" w:sz="0" w:space="0" w:color="auto"/>
        <w:bottom w:val="none" w:sz="0" w:space="0" w:color="auto"/>
        <w:right w:val="none" w:sz="0" w:space="0" w:color="auto"/>
      </w:divBdr>
    </w:div>
    <w:div w:id="1145194565">
      <w:bodyDiv w:val="1"/>
      <w:marLeft w:val="0"/>
      <w:marRight w:val="0"/>
      <w:marTop w:val="0"/>
      <w:marBottom w:val="0"/>
      <w:divBdr>
        <w:top w:val="none" w:sz="0" w:space="0" w:color="auto"/>
        <w:left w:val="none" w:sz="0" w:space="0" w:color="auto"/>
        <w:bottom w:val="none" w:sz="0" w:space="0" w:color="auto"/>
        <w:right w:val="none" w:sz="0" w:space="0" w:color="auto"/>
      </w:divBdr>
    </w:div>
    <w:div w:id="1148977533">
      <w:bodyDiv w:val="1"/>
      <w:marLeft w:val="0"/>
      <w:marRight w:val="0"/>
      <w:marTop w:val="0"/>
      <w:marBottom w:val="0"/>
      <w:divBdr>
        <w:top w:val="none" w:sz="0" w:space="0" w:color="auto"/>
        <w:left w:val="none" w:sz="0" w:space="0" w:color="auto"/>
        <w:bottom w:val="none" w:sz="0" w:space="0" w:color="auto"/>
        <w:right w:val="none" w:sz="0" w:space="0" w:color="auto"/>
      </w:divBdr>
    </w:div>
    <w:div w:id="1159923528">
      <w:bodyDiv w:val="1"/>
      <w:marLeft w:val="0"/>
      <w:marRight w:val="0"/>
      <w:marTop w:val="0"/>
      <w:marBottom w:val="0"/>
      <w:divBdr>
        <w:top w:val="none" w:sz="0" w:space="0" w:color="auto"/>
        <w:left w:val="none" w:sz="0" w:space="0" w:color="auto"/>
        <w:bottom w:val="none" w:sz="0" w:space="0" w:color="auto"/>
        <w:right w:val="none" w:sz="0" w:space="0" w:color="auto"/>
      </w:divBdr>
    </w:div>
    <w:div w:id="1166287418">
      <w:bodyDiv w:val="1"/>
      <w:marLeft w:val="0"/>
      <w:marRight w:val="0"/>
      <w:marTop w:val="0"/>
      <w:marBottom w:val="0"/>
      <w:divBdr>
        <w:top w:val="none" w:sz="0" w:space="0" w:color="auto"/>
        <w:left w:val="none" w:sz="0" w:space="0" w:color="auto"/>
        <w:bottom w:val="none" w:sz="0" w:space="0" w:color="auto"/>
        <w:right w:val="none" w:sz="0" w:space="0" w:color="auto"/>
      </w:divBdr>
    </w:div>
    <w:div w:id="1177965113">
      <w:bodyDiv w:val="1"/>
      <w:marLeft w:val="0"/>
      <w:marRight w:val="0"/>
      <w:marTop w:val="0"/>
      <w:marBottom w:val="0"/>
      <w:divBdr>
        <w:top w:val="none" w:sz="0" w:space="0" w:color="auto"/>
        <w:left w:val="none" w:sz="0" w:space="0" w:color="auto"/>
        <w:bottom w:val="none" w:sz="0" w:space="0" w:color="auto"/>
        <w:right w:val="none" w:sz="0" w:space="0" w:color="auto"/>
      </w:divBdr>
    </w:div>
    <w:div w:id="1178616633">
      <w:bodyDiv w:val="1"/>
      <w:marLeft w:val="0"/>
      <w:marRight w:val="0"/>
      <w:marTop w:val="0"/>
      <w:marBottom w:val="0"/>
      <w:divBdr>
        <w:top w:val="none" w:sz="0" w:space="0" w:color="auto"/>
        <w:left w:val="none" w:sz="0" w:space="0" w:color="auto"/>
        <w:bottom w:val="none" w:sz="0" w:space="0" w:color="auto"/>
        <w:right w:val="none" w:sz="0" w:space="0" w:color="auto"/>
      </w:divBdr>
    </w:div>
    <w:div w:id="1232427520">
      <w:bodyDiv w:val="1"/>
      <w:marLeft w:val="0"/>
      <w:marRight w:val="0"/>
      <w:marTop w:val="0"/>
      <w:marBottom w:val="0"/>
      <w:divBdr>
        <w:top w:val="none" w:sz="0" w:space="0" w:color="auto"/>
        <w:left w:val="none" w:sz="0" w:space="0" w:color="auto"/>
        <w:bottom w:val="none" w:sz="0" w:space="0" w:color="auto"/>
        <w:right w:val="none" w:sz="0" w:space="0" w:color="auto"/>
      </w:divBdr>
    </w:div>
    <w:div w:id="1234005343">
      <w:bodyDiv w:val="1"/>
      <w:marLeft w:val="0"/>
      <w:marRight w:val="0"/>
      <w:marTop w:val="0"/>
      <w:marBottom w:val="0"/>
      <w:divBdr>
        <w:top w:val="none" w:sz="0" w:space="0" w:color="auto"/>
        <w:left w:val="none" w:sz="0" w:space="0" w:color="auto"/>
        <w:bottom w:val="none" w:sz="0" w:space="0" w:color="auto"/>
        <w:right w:val="none" w:sz="0" w:space="0" w:color="auto"/>
      </w:divBdr>
    </w:div>
    <w:div w:id="1236277666">
      <w:bodyDiv w:val="1"/>
      <w:marLeft w:val="0"/>
      <w:marRight w:val="0"/>
      <w:marTop w:val="0"/>
      <w:marBottom w:val="0"/>
      <w:divBdr>
        <w:top w:val="none" w:sz="0" w:space="0" w:color="auto"/>
        <w:left w:val="none" w:sz="0" w:space="0" w:color="auto"/>
        <w:bottom w:val="none" w:sz="0" w:space="0" w:color="auto"/>
        <w:right w:val="none" w:sz="0" w:space="0" w:color="auto"/>
      </w:divBdr>
    </w:div>
    <w:div w:id="1242255198">
      <w:bodyDiv w:val="1"/>
      <w:marLeft w:val="0"/>
      <w:marRight w:val="0"/>
      <w:marTop w:val="0"/>
      <w:marBottom w:val="0"/>
      <w:divBdr>
        <w:top w:val="none" w:sz="0" w:space="0" w:color="auto"/>
        <w:left w:val="none" w:sz="0" w:space="0" w:color="auto"/>
        <w:bottom w:val="none" w:sz="0" w:space="0" w:color="auto"/>
        <w:right w:val="none" w:sz="0" w:space="0" w:color="auto"/>
      </w:divBdr>
    </w:div>
    <w:div w:id="1242982111">
      <w:bodyDiv w:val="1"/>
      <w:marLeft w:val="0"/>
      <w:marRight w:val="0"/>
      <w:marTop w:val="0"/>
      <w:marBottom w:val="0"/>
      <w:divBdr>
        <w:top w:val="none" w:sz="0" w:space="0" w:color="auto"/>
        <w:left w:val="none" w:sz="0" w:space="0" w:color="auto"/>
        <w:bottom w:val="none" w:sz="0" w:space="0" w:color="auto"/>
        <w:right w:val="none" w:sz="0" w:space="0" w:color="auto"/>
      </w:divBdr>
    </w:div>
    <w:div w:id="1245603678">
      <w:bodyDiv w:val="1"/>
      <w:marLeft w:val="0"/>
      <w:marRight w:val="0"/>
      <w:marTop w:val="0"/>
      <w:marBottom w:val="0"/>
      <w:divBdr>
        <w:top w:val="none" w:sz="0" w:space="0" w:color="auto"/>
        <w:left w:val="none" w:sz="0" w:space="0" w:color="auto"/>
        <w:bottom w:val="none" w:sz="0" w:space="0" w:color="auto"/>
        <w:right w:val="none" w:sz="0" w:space="0" w:color="auto"/>
      </w:divBdr>
    </w:div>
    <w:div w:id="1263875591">
      <w:bodyDiv w:val="1"/>
      <w:marLeft w:val="0"/>
      <w:marRight w:val="0"/>
      <w:marTop w:val="0"/>
      <w:marBottom w:val="0"/>
      <w:divBdr>
        <w:top w:val="none" w:sz="0" w:space="0" w:color="auto"/>
        <w:left w:val="none" w:sz="0" w:space="0" w:color="auto"/>
        <w:bottom w:val="none" w:sz="0" w:space="0" w:color="auto"/>
        <w:right w:val="none" w:sz="0" w:space="0" w:color="auto"/>
      </w:divBdr>
    </w:div>
    <w:div w:id="1267888591">
      <w:bodyDiv w:val="1"/>
      <w:marLeft w:val="0"/>
      <w:marRight w:val="0"/>
      <w:marTop w:val="0"/>
      <w:marBottom w:val="0"/>
      <w:divBdr>
        <w:top w:val="none" w:sz="0" w:space="0" w:color="auto"/>
        <w:left w:val="none" w:sz="0" w:space="0" w:color="auto"/>
        <w:bottom w:val="none" w:sz="0" w:space="0" w:color="auto"/>
        <w:right w:val="none" w:sz="0" w:space="0" w:color="auto"/>
      </w:divBdr>
    </w:div>
    <w:div w:id="1270817272">
      <w:bodyDiv w:val="1"/>
      <w:marLeft w:val="0"/>
      <w:marRight w:val="0"/>
      <w:marTop w:val="0"/>
      <w:marBottom w:val="0"/>
      <w:divBdr>
        <w:top w:val="none" w:sz="0" w:space="0" w:color="auto"/>
        <w:left w:val="none" w:sz="0" w:space="0" w:color="auto"/>
        <w:bottom w:val="none" w:sz="0" w:space="0" w:color="auto"/>
        <w:right w:val="none" w:sz="0" w:space="0" w:color="auto"/>
      </w:divBdr>
    </w:div>
    <w:div w:id="1284387431">
      <w:bodyDiv w:val="1"/>
      <w:marLeft w:val="0"/>
      <w:marRight w:val="0"/>
      <w:marTop w:val="0"/>
      <w:marBottom w:val="0"/>
      <w:divBdr>
        <w:top w:val="none" w:sz="0" w:space="0" w:color="auto"/>
        <w:left w:val="none" w:sz="0" w:space="0" w:color="auto"/>
        <w:bottom w:val="none" w:sz="0" w:space="0" w:color="auto"/>
        <w:right w:val="none" w:sz="0" w:space="0" w:color="auto"/>
      </w:divBdr>
    </w:div>
    <w:div w:id="1297225510">
      <w:bodyDiv w:val="1"/>
      <w:marLeft w:val="0"/>
      <w:marRight w:val="0"/>
      <w:marTop w:val="0"/>
      <w:marBottom w:val="0"/>
      <w:divBdr>
        <w:top w:val="none" w:sz="0" w:space="0" w:color="auto"/>
        <w:left w:val="none" w:sz="0" w:space="0" w:color="auto"/>
        <w:bottom w:val="none" w:sz="0" w:space="0" w:color="auto"/>
        <w:right w:val="none" w:sz="0" w:space="0" w:color="auto"/>
      </w:divBdr>
    </w:div>
    <w:div w:id="1301571657">
      <w:bodyDiv w:val="1"/>
      <w:marLeft w:val="0"/>
      <w:marRight w:val="0"/>
      <w:marTop w:val="0"/>
      <w:marBottom w:val="0"/>
      <w:divBdr>
        <w:top w:val="none" w:sz="0" w:space="0" w:color="auto"/>
        <w:left w:val="none" w:sz="0" w:space="0" w:color="auto"/>
        <w:bottom w:val="none" w:sz="0" w:space="0" w:color="auto"/>
        <w:right w:val="none" w:sz="0" w:space="0" w:color="auto"/>
      </w:divBdr>
    </w:div>
    <w:div w:id="1304651872">
      <w:bodyDiv w:val="1"/>
      <w:marLeft w:val="0"/>
      <w:marRight w:val="0"/>
      <w:marTop w:val="0"/>
      <w:marBottom w:val="0"/>
      <w:divBdr>
        <w:top w:val="none" w:sz="0" w:space="0" w:color="auto"/>
        <w:left w:val="none" w:sz="0" w:space="0" w:color="auto"/>
        <w:bottom w:val="none" w:sz="0" w:space="0" w:color="auto"/>
        <w:right w:val="none" w:sz="0" w:space="0" w:color="auto"/>
      </w:divBdr>
    </w:div>
    <w:div w:id="1305354110">
      <w:bodyDiv w:val="1"/>
      <w:marLeft w:val="0"/>
      <w:marRight w:val="0"/>
      <w:marTop w:val="0"/>
      <w:marBottom w:val="0"/>
      <w:divBdr>
        <w:top w:val="none" w:sz="0" w:space="0" w:color="auto"/>
        <w:left w:val="none" w:sz="0" w:space="0" w:color="auto"/>
        <w:bottom w:val="none" w:sz="0" w:space="0" w:color="auto"/>
        <w:right w:val="none" w:sz="0" w:space="0" w:color="auto"/>
      </w:divBdr>
    </w:div>
    <w:div w:id="1307007642">
      <w:bodyDiv w:val="1"/>
      <w:marLeft w:val="0"/>
      <w:marRight w:val="0"/>
      <w:marTop w:val="0"/>
      <w:marBottom w:val="0"/>
      <w:divBdr>
        <w:top w:val="none" w:sz="0" w:space="0" w:color="auto"/>
        <w:left w:val="none" w:sz="0" w:space="0" w:color="auto"/>
        <w:bottom w:val="none" w:sz="0" w:space="0" w:color="auto"/>
        <w:right w:val="none" w:sz="0" w:space="0" w:color="auto"/>
      </w:divBdr>
    </w:div>
    <w:div w:id="1331980789">
      <w:bodyDiv w:val="1"/>
      <w:marLeft w:val="0"/>
      <w:marRight w:val="0"/>
      <w:marTop w:val="0"/>
      <w:marBottom w:val="0"/>
      <w:divBdr>
        <w:top w:val="none" w:sz="0" w:space="0" w:color="auto"/>
        <w:left w:val="none" w:sz="0" w:space="0" w:color="auto"/>
        <w:bottom w:val="none" w:sz="0" w:space="0" w:color="auto"/>
        <w:right w:val="none" w:sz="0" w:space="0" w:color="auto"/>
      </w:divBdr>
    </w:div>
    <w:div w:id="1338119426">
      <w:bodyDiv w:val="1"/>
      <w:marLeft w:val="0"/>
      <w:marRight w:val="0"/>
      <w:marTop w:val="0"/>
      <w:marBottom w:val="0"/>
      <w:divBdr>
        <w:top w:val="none" w:sz="0" w:space="0" w:color="auto"/>
        <w:left w:val="none" w:sz="0" w:space="0" w:color="auto"/>
        <w:bottom w:val="none" w:sz="0" w:space="0" w:color="auto"/>
        <w:right w:val="none" w:sz="0" w:space="0" w:color="auto"/>
      </w:divBdr>
    </w:div>
    <w:div w:id="1363091674">
      <w:bodyDiv w:val="1"/>
      <w:marLeft w:val="0"/>
      <w:marRight w:val="0"/>
      <w:marTop w:val="0"/>
      <w:marBottom w:val="0"/>
      <w:divBdr>
        <w:top w:val="none" w:sz="0" w:space="0" w:color="auto"/>
        <w:left w:val="none" w:sz="0" w:space="0" w:color="auto"/>
        <w:bottom w:val="none" w:sz="0" w:space="0" w:color="auto"/>
        <w:right w:val="none" w:sz="0" w:space="0" w:color="auto"/>
      </w:divBdr>
    </w:div>
    <w:div w:id="1396244813">
      <w:bodyDiv w:val="1"/>
      <w:marLeft w:val="0"/>
      <w:marRight w:val="0"/>
      <w:marTop w:val="0"/>
      <w:marBottom w:val="0"/>
      <w:divBdr>
        <w:top w:val="none" w:sz="0" w:space="0" w:color="auto"/>
        <w:left w:val="none" w:sz="0" w:space="0" w:color="auto"/>
        <w:bottom w:val="none" w:sz="0" w:space="0" w:color="auto"/>
        <w:right w:val="none" w:sz="0" w:space="0" w:color="auto"/>
      </w:divBdr>
    </w:div>
    <w:div w:id="1398627534">
      <w:bodyDiv w:val="1"/>
      <w:marLeft w:val="0"/>
      <w:marRight w:val="0"/>
      <w:marTop w:val="0"/>
      <w:marBottom w:val="0"/>
      <w:divBdr>
        <w:top w:val="none" w:sz="0" w:space="0" w:color="auto"/>
        <w:left w:val="none" w:sz="0" w:space="0" w:color="auto"/>
        <w:bottom w:val="none" w:sz="0" w:space="0" w:color="auto"/>
        <w:right w:val="none" w:sz="0" w:space="0" w:color="auto"/>
      </w:divBdr>
    </w:div>
    <w:div w:id="1399279003">
      <w:bodyDiv w:val="1"/>
      <w:marLeft w:val="0"/>
      <w:marRight w:val="0"/>
      <w:marTop w:val="0"/>
      <w:marBottom w:val="0"/>
      <w:divBdr>
        <w:top w:val="none" w:sz="0" w:space="0" w:color="auto"/>
        <w:left w:val="none" w:sz="0" w:space="0" w:color="auto"/>
        <w:bottom w:val="none" w:sz="0" w:space="0" w:color="auto"/>
        <w:right w:val="none" w:sz="0" w:space="0" w:color="auto"/>
      </w:divBdr>
    </w:div>
    <w:div w:id="1402800168">
      <w:bodyDiv w:val="1"/>
      <w:marLeft w:val="0"/>
      <w:marRight w:val="0"/>
      <w:marTop w:val="0"/>
      <w:marBottom w:val="0"/>
      <w:divBdr>
        <w:top w:val="none" w:sz="0" w:space="0" w:color="auto"/>
        <w:left w:val="none" w:sz="0" w:space="0" w:color="auto"/>
        <w:bottom w:val="none" w:sz="0" w:space="0" w:color="auto"/>
        <w:right w:val="none" w:sz="0" w:space="0" w:color="auto"/>
      </w:divBdr>
    </w:div>
    <w:div w:id="1432047653">
      <w:bodyDiv w:val="1"/>
      <w:marLeft w:val="0"/>
      <w:marRight w:val="0"/>
      <w:marTop w:val="0"/>
      <w:marBottom w:val="0"/>
      <w:divBdr>
        <w:top w:val="none" w:sz="0" w:space="0" w:color="auto"/>
        <w:left w:val="none" w:sz="0" w:space="0" w:color="auto"/>
        <w:bottom w:val="none" w:sz="0" w:space="0" w:color="auto"/>
        <w:right w:val="none" w:sz="0" w:space="0" w:color="auto"/>
      </w:divBdr>
    </w:div>
    <w:div w:id="1432966673">
      <w:bodyDiv w:val="1"/>
      <w:marLeft w:val="0"/>
      <w:marRight w:val="0"/>
      <w:marTop w:val="0"/>
      <w:marBottom w:val="0"/>
      <w:divBdr>
        <w:top w:val="none" w:sz="0" w:space="0" w:color="auto"/>
        <w:left w:val="none" w:sz="0" w:space="0" w:color="auto"/>
        <w:bottom w:val="none" w:sz="0" w:space="0" w:color="auto"/>
        <w:right w:val="none" w:sz="0" w:space="0" w:color="auto"/>
      </w:divBdr>
    </w:div>
    <w:div w:id="1435783337">
      <w:bodyDiv w:val="1"/>
      <w:marLeft w:val="0"/>
      <w:marRight w:val="0"/>
      <w:marTop w:val="0"/>
      <w:marBottom w:val="0"/>
      <w:divBdr>
        <w:top w:val="none" w:sz="0" w:space="0" w:color="auto"/>
        <w:left w:val="none" w:sz="0" w:space="0" w:color="auto"/>
        <w:bottom w:val="none" w:sz="0" w:space="0" w:color="auto"/>
        <w:right w:val="none" w:sz="0" w:space="0" w:color="auto"/>
      </w:divBdr>
    </w:div>
    <w:div w:id="1460878592">
      <w:bodyDiv w:val="1"/>
      <w:marLeft w:val="0"/>
      <w:marRight w:val="0"/>
      <w:marTop w:val="0"/>
      <w:marBottom w:val="0"/>
      <w:divBdr>
        <w:top w:val="none" w:sz="0" w:space="0" w:color="auto"/>
        <w:left w:val="none" w:sz="0" w:space="0" w:color="auto"/>
        <w:bottom w:val="none" w:sz="0" w:space="0" w:color="auto"/>
        <w:right w:val="none" w:sz="0" w:space="0" w:color="auto"/>
      </w:divBdr>
    </w:div>
    <w:div w:id="1460955812">
      <w:bodyDiv w:val="1"/>
      <w:marLeft w:val="0"/>
      <w:marRight w:val="0"/>
      <w:marTop w:val="0"/>
      <w:marBottom w:val="0"/>
      <w:divBdr>
        <w:top w:val="none" w:sz="0" w:space="0" w:color="auto"/>
        <w:left w:val="none" w:sz="0" w:space="0" w:color="auto"/>
        <w:bottom w:val="none" w:sz="0" w:space="0" w:color="auto"/>
        <w:right w:val="none" w:sz="0" w:space="0" w:color="auto"/>
      </w:divBdr>
    </w:div>
    <w:div w:id="1462923478">
      <w:bodyDiv w:val="1"/>
      <w:marLeft w:val="0"/>
      <w:marRight w:val="0"/>
      <w:marTop w:val="0"/>
      <w:marBottom w:val="0"/>
      <w:divBdr>
        <w:top w:val="none" w:sz="0" w:space="0" w:color="auto"/>
        <w:left w:val="none" w:sz="0" w:space="0" w:color="auto"/>
        <w:bottom w:val="none" w:sz="0" w:space="0" w:color="auto"/>
        <w:right w:val="none" w:sz="0" w:space="0" w:color="auto"/>
      </w:divBdr>
    </w:div>
    <w:div w:id="1463424174">
      <w:bodyDiv w:val="1"/>
      <w:marLeft w:val="0"/>
      <w:marRight w:val="0"/>
      <w:marTop w:val="0"/>
      <w:marBottom w:val="0"/>
      <w:divBdr>
        <w:top w:val="none" w:sz="0" w:space="0" w:color="auto"/>
        <w:left w:val="none" w:sz="0" w:space="0" w:color="auto"/>
        <w:bottom w:val="none" w:sz="0" w:space="0" w:color="auto"/>
        <w:right w:val="none" w:sz="0" w:space="0" w:color="auto"/>
      </w:divBdr>
    </w:div>
    <w:div w:id="1465544825">
      <w:bodyDiv w:val="1"/>
      <w:marLeft w:val="0"/>
      <w:marRight w:val="0"/>
      <w:marTop w:val="0"/>
      <w:marBottom w:val="0"/>
      <w:divBdr>
        <w:top w:val="none" w:sz="0" w:space="0" w:color="auto"/>
        <w:left w:val="none" w:sz="0" w:space="0" w:color="auto"/>
        <w:bottom w:val="none" w:sz="0" w:space="0" w:color="auto"/>
        <w:right w:val="none" w:sz="0" w:space="0" w:color="auto"/>
      </w:divBdr>
    </w:div>
    <w:div w:id="1479765524">
      <w:bodyDiv w:val="1"/>
      <w:marLeft w:val="0"/>
      <w:marRight w:val="0"/>
      <w:marTop w:val="0"/>
      <w:marBottom w:val="0"/>
      <w:divBdr>
        <w:top w:val="none" w:sz="0" w:space="0" w:color="auto"/>
        <w:left w:val="none" w:sz="0" w:space="0" w:color="auto"/>
        <w:bottom w:val="none" w:sz="0" w:space="0" w:color="auto"/>
        <w:right w:val="none" w:sz="0" w:space="0" w:color="auto"/>
      </w:divBdr>
    </w:div>
    <w:div w:id="1493835469">
      <w:bodyDiv w:val="1"/>
      <w:marLeft w:val="0"/>
      <w:marRight w:val="0"/>
      <w:marTop w:val="0"/>
      <w:marBottom w:val="0"/>
      <w:divBdr>
        <w:top w:val="none" w:sz="0" w:space="0" w:color="auto"/>
        <w:left w:val="none" w:sz="0" w:space="0" w:color="auto"/>
        <w:bottom w:val="none" w:sz="0" w:space="0" w:color="auto"/>
        <w:right w:val="none" w:sz="0" w:space="0" w:color="auto"/>
      </w:divBdr>
    </w:div>
    <w:div w:id="1503660994">
      <w:bodyDiv w:val="1"/>
      <w:marLeft w:val="0"/>
      <w:marRight w:val="0"/>
      <w:marTop w:val="0"/>
      <w:marBottom w:val="0"/>
      <w:divBdr>
        <w:top w:val="none" w:sz="0" w:space="0" w:color="auto"/>
        <w:left w:val="none" w:sz="0" w:space="0" w:color="auto"/>
        <w:bottom w:val="none" w:sz="0" w:space="0" w:color="auto"/>
        <w:right w:val="none" w:sz="0" w:space="0" w:color="auto"/>
      </w:divBdr>
    </w:div>
    <w:div w:id="1504857538">
      <w:bodyDiv w:val="1"/>
      <w:marLeft w:val="0"/>
      <w:marRight w:val="0"/>
      <w:marTop w:val="0"/>
      <w:marBottom w:val="0"/>
      <w:divBdr>
        <w:top w:val="none" w:sz="0" w:space="0" w:color="auto"/>
        <w:left w:val="none" w:sz="0" w:space="0" w:color="auto"/>
        <w:bottom w:val="none" w:sz="0" w:space="0" w:color="auto"/>
        <w:right w:val="none" w:sz="0" w:space="0" w:color="auto"/>
      </w:divBdr>
    </w:div>
    <w:div w:id="1506826494">
      <w:bodyDiv w:val="1"/>
      <w:marLeft w:val="0"/>
      <w:marRight w:val="0"/>
      <w:marTop w:val="0"/>
      <w:marBottom w:val="0"/>
      <w:divBdr>
        <w:top w:val="none" w:sz="0" w:space="0" w:color="auto"/>
        <w:left w:val="none" w:sz="0" w:space="0" w:color="auto"/>
        <w:bottom w:val="none" w:sz="0" w:space="0" w:color="auto"/>
        <w:right w:val="none" w:sz="0" w:space="0" w:color="auto"/>
      </w:divBdr>
    </w:div>
    <w:div w:id="1507476961">
      <w:bodyDiv w:val="1"/>
      <w:marLeft w:val="0"/>
      <w:marRight w:val="0"/>
      <w:marTop w:val="0"/>
      <w:marBottom w:val="0"/>
      <w:divBdr>
        <w:top w:val="none" w:sz="0" w:space="0" w:color="auto"/>
        <w:left w:val="none" w:sz="0" w:space="0" w:color="auto"/>
        <w:bottom w:val="none" w:sz="0" w:space="0" w:color="auto"/>
        <w:right w:val="none" w:sz="0" w:space="0" w:color="auto"/>
      </w:divBdr>
    </w:div>
    <w:div w:id="1508910048">
      <w:bodyDiv w:val="1"/>
      <w:marLeft w:val="0"/>
      <w:marRight w:val="0"/>
      <w:marTop w:val="0"/>
      <w:marBottom w:val="0"/>
      <w:divBdr>
        <w:top w:val="none" w:sz="0" w:space="0" w:color="auto"/>
        <w:left w:val="none" w:sz="0" w:space="0" w:color="auto"/>
        <w:bottom w:val="none" w:sz="0" w:space="0" w:color="auto"/>
        <w:right w:val="none" w:sz="0" w:space="0" w:color="auto"/>
      </w:divBdr>
    </w:div>
    <w:div w:id="1524440257">
      <w:bodyDiv w:val="1"/>
      <w:marLeft w:val="0"/>
      <w:marRight w:val="0"/>
      <w:marTop w:val="0"/>
      <w:marBottom w:val="0"/>
      <w:divBdr>
        <w:top w:val="none" w:sz="0" w:space="0" w:color="auto"/>
        <w:left w:val="none" w:sz="0" w:space="0" w:color="auto"/>
        <w:bottom w:val="none" w:sz="0" w:space="0" w:color="auto"/>
        <w:right w:val="none" w:sz="0" w:space="0" w:color="auto"/>
      </w:divBdr>
    </w:div>
    <w:div w:id="1542128487">
      <w:bodyDiv w:val="1"/>
      <w:marLeft w:val="0"/>
      <w:marRight w:val="0"/>
      <w:marTop w:val="0"/>
      <w:marBottom w:val="0"/>
      <w:divBdr>
        <w:top w:val="none" w:sz="0" w:space="0" w:color="auto"/>
        <w:left w:val="none" w:sz="0" w:space="0" w:color="auto"/>
        <w:bottom w:val="none" w:sz="0" w:space="0" w:color="auto"/>
        <w:right w:val="none" w:sz="0" w:space="0" w:color="auto"/>
      </w:divBdr>
    </w:div>
    <w:div w:id="1558276348">
      <w:bodyDiv w:val="1"/>
      <w:marLeft w:val="0"/>
      <w:marRight w:val="0"/>
      <w:marTop w:val="0"/>
      <w:marBottom w:val="0"/>
      <w:divBdr>
        <w:top w:val="none" w:sz="0" w:space="0" w:color="auto"/>
        <w:left w:val="none" w:sz="0" w:space="0" w:color="auto"/>
        <w:bottom w:val="none" w:sz="0" w:space="0" w:color="auto"/>
        <w:right w:val="none" w:sz="0" w:space="0" w:color="auto"/>
      </w:divBdr>
    </w:div>
    <w:div w:id="1565725637">
      <w:bodyDiv w:val="1"/>
      <w:marLeft w:val="0"/>
      <w:marRight w:val="0"/>
      <w:marTop w:val="0"/>
      <w:marBottom w:val="0"/>
      <w:divBdr>
        <w:top w:val="none" w:sz="0" w:space="0" w:color="auto"/>
        <w:left w:val="none" w:sz="0" w:space="0" w:color="auto"/>
        <w:bottom w:val="none" w:sz="0" w:space="0" w:color="auto"/>
        <w:right w:val="none" w:sz="0" w:space="0" w:color="auto"/>
      </w:divBdr>
    </w:div>
    <w:div w:id="1566257249">
      <w:bodyDiv w:val="1"/>
      <w:marLeft w:val="0"/>
      <w:marRight w:val="0"/>
      <w:marTop w:val="0"/>
      <w:marBottom w:val="0"/>
      <w:divBdr>
        <w:top w:val="none" w:sz="0" w:space="0" w:color="auto"/>
        <w:left w:val="none" w:sz="0" w:space="0" w:color="auto"/>
        <w:bottom w:val="none" w:sz="0" w:space="0" w:color="auto"/>
        <w:right w:val="none" w:sz="0" w:space="0" w:color="auto"/>
      </w:divBdr>
    </w:div>
    <w:div w:id="1576087075">
      <w:bodyDiv w:val="1"/>
      <w:marLeft w:val="0"/>
      <w:marRight w:val="0"/>
      <w:marTop w:val="0"/>
      <w:marBottom w:val="0"/>
      <w:divBdr>
        <w:top w:val="none" w:sz="0" w:space="0" w:color="auto"/>
        <w:left w:val="none" w:sz="0" w:space="0" w:color="auto"/>
        <w:bottom w:val="none" w:sz="0" w:space="0" w:color="auto"/>
        <w:right w:val="none" w:sz="0" w:space="0" w:color="auto"/>
      </w:divBdr>
    </w:div>
    <w:div w:id="1579513207">
      <w:bodyDiv w:val="1"/>
      <w:marLeft w:val="0"/>
      <w:marRight w:val="0"/>
      <w:marTop w:val="0"/>
      <w:marBottom w:val="0"/>
      <w:divBdr>
        <w:top w:val="none" w:sz="0" w:space="0" w:color="auto"/>
        <w:left w:val="none" w:sz="0" w:space="0" w:color="auto"/>
        <w:bottom w:val="none" w:sz="0" w:space="0" w:color="auto"/>
        <w:right w:val="none" w:sz="0" w:space="0" w:color="auto"/>
      </w:divBdr>
    </w:div>
    <w:div w:id="1582569592">
      <w:bodyDiv w:val="1"/>
      <w:marLeft w:val="0"/>
      <w:marRight w:val="0"/>
      <w:marTop w:val="0"/>
      <w:marBottom w:val="0"/>
      <w:divBdr>
        <w:top w:val="none" w:sz="0" w:space="0" w:color="auto"/>
        <w:left w:val="none" w:sz="0" w:space="0" w:color="auto"/>
        <w:bottom w:val="none" w:sz="0" w:space="0" w:color="auto"/>
        <w:right w:val="none" w:sz="0" w:space="0" w:color="auto"/>
      </w:divBdr>
    </w:div>
    <w:div w:id="1583446967">
      <w:bodyDiv w:val="1"/>
      <w:marLeft w:val="0"/>
      <w:marRight w:val="0"/>
      <w:marTop w:val="0"/>
      <w:marBottom w:val="0"/>
      <w:divBdr>
        <w:top w:val="none" w:sz="0" w:space="0" w:color="auto"/>
        <w:left w:val="none" w:sz="0" w:space="0" w:color="auto"/>
        <w:bottom w:val="none" w:sz="0" w:space="0" w:color="auto"/>
        <w:right w:val="none" w:sz="0" w:space="0" w:color="auto"/>
      </w:divBdr>
    </w:div>
    <w:div w:id="1588731647">
      <w:bodyDiv w:val="1"/>
      <w:marLeft w:val="0"/>
      <w:marRight w:val="0"/>
      <w:marTop w:val="0"/>
      <w:marBottom w:val="0"/>
      <w:divBdr>
        <w:top w:val="none" w:sz="0" w:space="0" w:color="auto"/>
        <w:left w:val="none" w:sz="0" w:space="0" w:color="auto"/>
        <w:bottom w:val="none" w:sz="0" w:space="0" w:color="auto"/>
        <w:right w:val="none" w:sz="0" w:space="0" w:color="auto"/>
      </w:divBdr>
    </w:div>
    <w:div w:id="1598102421">
      <w:bodyDiv w:val="1"/>
      <w:marLeft w:val="0"/>
      <w:marRight w:val="0"/>
      <w:marTop w:val="0"/>
      <w:marBottom w:val="0"/>
      <w:divBdr>
        <w:top w:val="none" w:sz="0" w:space="0" w:color="auto"/>
        <w:left w:val="none" w:sz="0" w:space="0" w:color="auto"/>
        <w:bottom w:val="none" w:sz="0" w:space="0" w:color="auto"/>
        <w:right w:val="none" w:sz="0" w:space="0" w:color="auto"/>
      </w:divBdr>
    </w:div>
    <w:div w:id="1610887568">
      <w:bodyDiv w:val="1"/>
      <w:marLeft w:val="0"/>
      <w:marRight w:val="0"/>
      <w:marTop w:val="0"/>
      <w:marBottom w:val="0"/>
      <w:divBdr>
        <w:top w:val="none" w:sz="0" w:space="0" w:color="auto"/>
        <w:left w:val="none" w:sz="0" w:space="0" w:color="auto"/>
        <w:bottom w:val="none" w:sz="0" w:space="0" w:color="auto"/>
        <w:right w:val="none" w:sz="0" w:space="0" w:color="auto"/>
      </w:divBdr>
    </w:div>
    <w:div w:id="1624576926">
      <w:bodyDiv w:val="1"/>
      <w:marLeft w:val="0"/>
      <w:marRight w:val="0"/>
      <w:marTop w:val="0"/>
      <w:marBottom w:val="0"/>
      <w:divBdr>
        <w:top w:val="none" w:sz="0" w:space="0" w:color="auto"/>
        <w:left w:val="none" w:sz="0" w:space="0" w:color="auto"/>
        <w:bottom w:val="none" w:sz="0" w:space="0" w:color="auto"/>
        <w:right w:val="none" w:sz="0" w:space="0" w:color="auto"/>
      </w:divBdr>
    </w:div>
    <w:div w:id="1651707827">
      <w:bodyDiv w:val="1"/>
      <w:marLeft w:val="0"/>
      <w:marRight w:val="0"/>
      <w:marTop w:val="0"/>
      <w:marBottom w:val="0"/>
      <w:divBdr>
        <w:top w:val="none" w:sz="0" w:space="0" w:color="auto"/>
        <w:left w:val="none" w:sz="0" w:space="0" w:color="auto"/>
        <w:bottom w:val="none" w:sz="0" w:space="0" w:color="auto"/>
        <w:right w:val="none" w:sz="0" w:space="0" w:color="auto"/>
      </w:divBdr>
    </w:div>
    <w:div w:id="1658608649">
      <w:bodyDiv w:val="1"/>
      <w:marLeft w:val="0"/>
      <w:marRight w:val="0"/>
      <w:marTop w:val="0"/>
      <w:marBottom w:val="0"/>
      <w:divBdr>
        <w:top w:val="none" w:sz="0" w:space="0" w:color="auto"/>
        <w:left w:val="none" w:sz="0" w:space="0" w:color="auto"/>
        <w:bottom w:val="none" w:sz="0" w:space="0" w:color="auto"/>
        <w:right w:val="none" w:sz="0" w:space="0" w:color="auto"/>
      </w:divBdr>
    </w:div>
    <w:div w:id="1662655481">
      <w:bodyDiv w:val="1"/>
      <w:marLeft w:val="0"/>
      <w:marRight w:val="0"/>
      <w:marTop w:val="0"/>
      <w:marBottom w:val="0"/>
      <w:divBdr>
        <w:top w:val="none" w:sz="0" w:space="0" w:color="auto"/>
        <w:left w:val="none" w:sz="0" w:space="0" w:color="auto"/>
        <w:bottom w:val="none" w:sz="0" w:space="0" w:color="auto"/>
        <w:right w:val="none" w:sz="0" w:space="0" w:color="auto"/>
      </w:divBdr>
    </w:div>
    <w:div w:id="1670330808">
      <w:bodyDiv w:val="1"/>
      <w:marLeft w:val="0"/>
      <w:marRight w:val="0"/>
      <w:marTop w:val="0"/>
      <w:marBottom w:val="0"/>
      <w:divBdr>
        <w:top w:val="none" w:sz="0" w:space="0" w:color="auto"/>
        <w:left w:val="none" w:sz="0" w:space="0" w:color="auto"/>
        <w:bottom w:val="none" w:sz="0" w:space="0" w:color="auto"/>
        <w:right w:val="none" w:sz="0" w:space="0" w:color="auto"/>
      </w:divBdr>
    </w:div>
    <w:div w:id="1673216680">
      <w:bodyDiv w:val="1"/>
      <w:marLeft w:val="0"/>
      <w:marRight w:val="0"/>
      <w:marTop w:val="0"/>
      <w:marBottom w:val="0"/>
      <w:divBdr>
        <w:top w:val="none" w:sz="0" w:space="0" w:color="auto"/>
        <w:left w:val="none" w:sz="0" w:space="0" w:color="auto"/>
        <w:bottom w:val="none" w:sz="0" w:space="0" w:color="auto"/>
        <w:right w:val="none" w:sz="0" w:space="0" w:color="auto"/>
      </w:divBdr>
    </w:div>
    <w:div w:id="1674256514">
      <w:bodyDiv w:val="1"/>
      <w:marLeft w:val="0"/>
      <w:marRight w:val="0"/>
      <w:marTop w:val="0"/>
      <w:marBottom w:val="0"/>
      <w:divBdr>
        <w:top w:val="none" w:sz="0" w:space="0" w:color="auto"/>
        <w:left w:val="none" w:sz="0" w:space="0" w:color="auto"/>
        <w:bottom w:val="none" w:sz="0" w:space="0" w:color="auto"/>
        <w:right w:val="none" w:sz="0" w:space="0" w:color="auto"/>
      </w:divBdr>
    </w:div>
    <w:div w:id="1684891377">
      <w:bodyDiv w:val="1"/>
      <w:marLeft w:val="0"/>
      <w:marRight w:val="0"/>
      <w:marTop w:val="0"/>
      <w:marBottom w:val="0"/>
      <w:divBdr>
        <w:top w:val="none" w:sz="0" w:space="0" w:color="auto"/>
        <w:left w:val="none" w:sz="0" w:space="0" w:color="auto"/>
        <w:bottom w:val="none" w:sz="0" w:space="0" w:color="auto"/>
        <w:right w:val="none" w:sz="0" w:space="0" w:color="auto"/>
      </w:divBdr>
    </w:div>
    <w:div w:id="1686904304">
      <w:bodyDiv w:val="1"/>
      <w:marLeft w:val="0"/>
      <w:marRight w:val="0"/>
      <w:marTop w:val="0"/>
      <w:marBottom w:val="0"/>
      <w:divBdr>
        <w:top w:val="none" w:sz="0" w:space="0" w:color="auto"/>
        <w:left w:val="none" w:sz="0" w:space="0" w:color="auto"/>
        <w:bottom w:val="none" w:sz="0" w:space="0" w:color="auto"/>
        <w:right w:val="none" w:sz="0" w:space="0" w:color="auto"/>
      </w:divBdr>
    </w:div>
    <w:div w:id="1695957777">
      <w:bodyDiv w:val="1"/>
      <w:marLeft w:val="0"/>
      <w:marRight w:val="0"/>
      <w:marTop w:val="0"/>
      <w:marBottom w:val="0"/>
      <w:divBdr>
        <w:top w:val="none" w:sz="0" w:space="0" w:color="auto"/>
        <w:left w:val="none" w:sz="0" w:space="0" w:color="auto"/>
        <w:bottom w:val="none" w:sz="0" w:space="0" w:color="auto"/>
        <w:right w:val="none" w:sz="0" w:space="0" w:color="auto"/>
      </w:divBdr>
    </w:div>
    <w:div w:id="1699889258">
      <w:bodyDiv w:val="1"/>
      <w:marLeft w:val="0"/>
      <w:marRight w:val="0"/>
      <w:marTop w:val="0"/>
      <w:marBottom w:val="0"/>
      <w:divBdr>
        <w:top w:val="none" w:sz="0" w:space="0" w:color="auto"/>
        <w:left w:val="none" w:sz="0" w:space="0" w:color="auto"/>
        <w:bottom w:val="none" w:sz="0" w:space="0" w:color="auto"/>
        <w:right w:val="none" w:sz="0" w:space="0" w:color="auto"/>
      </w:divBdr>
    </w:div>
    <w:div w:id="1711342803">
      <w:bodyDiv w:val="1"/>
      <w:marLeft w:val="0"/>
      <w:marRight w:val="0"/>
      <w:marTop w:val="0"/>
      <w:marBottom w:val="0"/>
      <w:divBdr>
        <w:top w:val="none" w:sz="0" w:space="0" w:color="auto"/>
        <w:left w:val="none" w:sz="0" w:space="0" w:color="auto"/>
        <w:bottom w:val="none" w:sz="0" w:space="0" w:color="auto"/>
        <w:right w:val="none" w:sz="0" w:space="0" w:color="auto"/>
      </w:divBdr>
    </w:div>
    <w:div w:id="1732536630">
      <w:bodyDiv w:val="1"/>
      <w:marLeft w:val="0"/>
      <w:marRight w:val="0"/>
      <w:marTop w:val="0"/>
      <w:marBottom w:val="0"/>
      <w:divBdr>
        <w:top w:val="none" w:sz="0" w:space="0" w:color="auto"/>
        <w:left w:val="none" w:sz="0" w:space="0" w:color="auto"/>
        <w:bottom w:val="none" w:sz="0" w:space="0" w:color="auto"/>
        <w:right w:val="none" w:sz="0" w:space="0" w:color="auto"/>
      </w:divBdr>
    </w:div>
    <w:div w:id="1739667094">
      <w:bodyDiv w:val="1"/>
      <w:marLeft w:val="0"/>
      <w:marRight w:val="0"/>
      <w:marTop w:val="0"/>
      <w:marBottom w:val="0"/>
      <w:divBdr>
        <w:top w:val="none" w:sz="0" w:space="0" w:color="auto"/>
        <w:left w:val="none" w:sz="0" w:space="0" w:color="auto"/>
        <w:bottom w:val="none" w:sz="0" w:space="0" w:color="auto"/>
        <w:right w:val="none" w:sz="0" w:space="0" w:color="auto"/>
      </w:divBdr>
    </w:div>
    <w:div w:id="1749309211">
      <w:bodyDiv w:val="1"/>
      <w:marLeft w:val="0"/>
      <w:marRight w:val="0"/>
      <w:marTop w:val="0"/>
      <w:marBottom w:val="0"/>
      <w:divBdr>
        <w:top w:val="none" w:sz="0" w:space="0" w:color="auto"/>
        <w:left w:val="none" w:sz="0" w:space="0" w:color="auto"/>
        <w:bottom w:val="none" w:sz="0" w:space="0" w:color="auto"/>
        <w:right w:val="none" w:sz="0" w:space="0" w:color="auto"/>
      </w:divBdr>
    </w:div>
    <w:div w:id="1758096433">
      <w:bodyDiv w:val="1"/>
      <w:marLeft w:val="0"/>
      <w:marRight w:val="0"/>
      <w:marTop w:val="0"/>
      <w:marBottom w:val="0"/>
      <w:divBdr>
        <w:top w:val="none" w:sz="0" w:space="0" w:color="auto"/>
        <w:left w:val="none" w:sz="0" w:space="0" w:color="auto"/>
        <w:bottom w:val="none" w:sz="0" w:space="0" w:color="auto"/>
        <w:right w:val="none" w:sz="0" w:space="0" w:color="auto"/>
      </w:divBdr>
    </w:div>
    <w:div w:id="1758555387">
      <w:bodyDiv w:val="1"/>
      <w:marLeft w:val="0"/>
      <w:marRight w:val="0"/>
      <w:marTop w:val="0"/>
      <w:marBottom w:val="0"/>
      <w:divBdr>
        <w:top w:val="none" w:sz="0" w:space="0" w:color="auto"/>
        <w:left w:val="none" w:sz="0" w:space="0" w:color="auto"/>
        <w:bottom w:val="none" w:sz="0" w:space="0" w:color="auto"/>
        <w:right w:val="none" w:sz="0" w:space="0" w:color="auto"/>
      </w:divBdr>
    </w:div>
    <w:div w:id="1758557036">
      <w:bodyDiv w:val="1"/>
      <w:marLeft w:val="0"/>
      <w:marRight w:val="0"/>
      <w:marTop w:val="0"/>
      <w:marBottom w:val="0"/>
      <w:divBdr>
        <w:top w:val="none" w:sz="0" w:space="0" w:color="auto"/>
        <w:left w:val="none" w:sz="0" w:space="0" w:color="auto"/>
        <w:bottom w:val="none" w:sz="0" w:space="0" w:color="auto"/>
        <w:right w:val="none" w:sz="0" w:space="0" w:color="auto"/>
      </w:divBdr>
    </w:div>
    <w:div w:id="1763211880">
      <w:bodyDiv w:val="1"/>
      <w:marLeft w:val="0"/>
      <w:marRight w:val="0"/>
      <w:marTop w:val="0"/>
      <w:marBottom w:val="0"/>
      <w:divBdr>
        <w:top w:val="none" w:sz="0" w:space="0" w:color="auto"/>
        <w:left w:val="none" w:sz="0" w:space="0" w:color="auto"/>
        <w:bottom w:val="none" w:sz="0" w:space="0" w:color="auto"/>
        <w:right w:val="none" w:sz="0" w:space="0" w:color="auto"/>
      </w:divBdr>
    </w:div>
    <w:div w:id="1777751399">
      <w:bodyDiv w:val="1"/>
      <w:marLeft w:val="0"/>
      <w:marRight w:val="0"/>
      <w:marTop w:val="0"/>
      <w:marBottom w:val="0"/>
      <w:divBdr>
        <w:top w:val="none" w:sz="0" w:space="0" w:color="auto"/>
        <w:left w:val="none" w:sz="0" w:space="0" w:color="auto"/>
        <w:bottom w:val="none" w:sz="0" w:space="0" w:color="auto"/>
        <w:right w:val="none" w:sz="0" w:space="0" w:color="auto"/>
      </w:divBdr>
    </w:div>
    <w:div w:id="1778522128">
      <w:bodyDiv w:val="1"/>
      <w:marLeft w:val="0"/>
      <w:marRight w:val="0"/>
      <w:marTop w:val="0"/>
      <w:marBottom w:val="0"/>
      <w:divBdr>
        <w:top w:val="none" w:sz="0" w:space="0" w:color="auto"/>
        <w:left w:val="none" w:sz="0" w:space="0" w:color="auto"/>
        <w:bottom w:val="none" w:sz="0" w:space="0" w:color="auto"/>
        <w:right w:val="none" w:sz="0" w:space="0" w:color="auto"/>
      </w:divBdr>
    </w:div>
    <w:div w:id="1779058396">
      <w:bodyDiv w:val="1"/>
      <w:marLeft w:val="0"/>
      <w:marRight w:val="0"/>
      <w:marTop w:val="0"/>
      <w:marBottom w:val="0"/>
      <w:divBdr>
        <w:top w:val="none" w:sz="0" w:space="0" w:color="auto"/>
        <w:left w:val="none" w:sz="0" w:space="0" w:color="auto"/>
        <w:bottom w:val="none" w:sz="0" w:space="0" w:color="auto"/>
        <w:right w:val="none" w:sz="0" w:space="0" w:color="auto"/>
      </w:divBdr>
    </w:div>
    <w:div w:id="1783455819">
      <w:bodyDiv w:val="1"/>
      <w:marLeft w:val="0"/>
      <w:marRight w:val="0"/>
      <w:marTop w:val="0"/>
      <w:marBottom w:val="0"/>
      <w:divBdr>
        <w:top w:val="none" w:sz="0" w:space="0" w:color="auto"/>
        <w:left w:val="none" w:sz="0" w:space="0" w:color="auto"/>
        <w:bottom w:val="none" w:sz="0" w:space="0" w:color="auto"/>
        <w:right w:val="none" w:sz="0" w:space="0" w:color="auto"/>
      </w:divBdr>
    </w:div>
    <w:div w:id="1783527043">
      <w:bodyDiv w:val="1"/>
      <w:marLeft w:val="0"/>
      <w:marRight w:val="0"/>
      <w:marTop w:val="0"/>
      <w:marBottom w:val="0"/>
      <w:divBdr>
        <w:top w:val="none" w:sz="0" w:space="0" w:color="auto"/>
        <w:left w:val="none" w:sz="0" w:space="0" w:color="auto"/>
        <w:bottom w:val="none" w:sz="0" w:space="0" w:color="auto"/>
        <w:right w:val="none" w:sz="0" w:space="0" w:color="auto"/>
      </w:divBdr>
    </w:div>
    <w:div w:id="1800340987">
      <w:bodyDiv w:val="1"/>
      <w:marLeft w:val="0"/>
      <w:marRight w:val="0"/>
      <w:marTop w:val="0"/>
      <w:marBottom w:val="0"/>
      <w:divBdr>
        <w:top w:val="none" w:sz="0" w:space="0" w:color="auto"/>
        <w:left w:val="none" w:sz="0" w:space="0" w:color="auto"/>
        <w:bottom w:val="none" w:sz="0" w:space="0" w:color="auto"/>
        <w:right w:val="none" w:sz="0" w:space="0" w:color="auto"/>
      </w:divBdr>
    </w:div>
    <w:div w:id="1810781798">
      <w:bodyDiv w:val="1"/>
      <w:marLeft w:val="0"/>
      <w:marRight w:val="0"/>
      <w:marTop w:val="0"/>
      <w:marBottom w:val="0"/>
      <w:divBdr>
        <w:top w:val="none" w:sz="0" w:space="0" w:color="auto"/>
        <w:left w:val="none" w:sz="0" w:space="0" w:color="auto"/>
        <w:bottom w:val="none" w:sz="0" w:space="0" w:color="auto"/>
        <w:right w:val="none" w:sz="0" w:space="0" w:color="auto"/>
      </w:divBdr>
    </w:div>
    <w:div w:id="1813477388">
      <w:bodyDiv w:val="1"/>
      <w:marLeft w:val="0"/>
      <w:marRight w:val="0"/>
      <w:marTop w:val="0"/>
      <w:marBottom w:val="0"/>
      <w:divBdr>
        <w:top w:val="none" w:sz="0" w:space="0" w:color="auto"/>
        <w:left w:val="none" w:sz="0" w:space="0" w:color="auto"/>
        <w:bottom w:val="none" w:sz="0" w:space="0" w:color="auto"/>
        <w:right w:val="none" w:sz="0" w:space="0" w:color="auto"/>
      </w:divBdr>
    </w:div>
    <w:div w:id="1820607756">
      <w:bodyDiv w:val="1"/>
      <w:marLeft w:val="0"/>
      <w:marRight w:val="0"/>
      <w:marTop w:val="0"/>
      <w:marBottom w:val="0"/>
      <w:divBdr>
        <w:top w:val="none" w:sz="0" w:space="0" w:color="auto"/>
        <w:left w:val="none" w:sz="0" w:space="0" w:color="auto"/>
        <w:bottom w:val="none" w:sz="0" w:space="0" w:color="auto"/>
        <w:right w:val="none" w:sz="0" w:space="0" w:color="auto"/>
      </w:divBdr>
    </w:div>
    <w:div w:id="1828941153">
      <w:bodyDiv w:val="1"/>
      <w:marLeft w:val="0"/>
      <w:marRight w:val="0"/>
      <w:marTop w:val="0"/>
      <w:marBottom w:val="0"/>
      <w:divBdr>
        <w:top w:val="none" w:sz="0" w:space="0" w:color="auto"/>
        <w:left w:val="none" w:sz="0" w:space="0" w:color="auto"/>
        <w:bottom w:val="none" w:sz="0" w:space="0" w:color="auto"/>
        <w:right w:val="none" w:sz="0" w:space="0" w:color="auto"/>
      </w:divBdr>
    </w:div>
    <w:div w:id="1833645609">
      <w:bodyDiv w:val="1"/>
      <w:marLeft w:val="0"/>
      <w:marRight w:val="0"/>
      <w:marTop w:val="0"/>
      <w:marBottom w:val="0"/>
      <w:divBdr>
        <w:top w:val="none" w:sz="0" w:space="0" w:color="auto"/>
        <w:left w:val="none" w:sz="0" w:space="0" w:color="auto"/>
        <w:bottom w:val="none" w:sz="0" w:space="0" w:color="auto"/>
        <w:right w:val="none" w:sz="0" w:space="0" w:color="auto"/>
      </w:divBdr>
    </w:div>
    <w:div w:id="1835561385">
      <w:bodyDiv w:val="1"/>
      <w:marLeft w:val="0"/>
      <w:marRight w:val="0"/>
      <w:marTop w:val="0"/>
      <w:marBottom w:val="0"/>
      <w:divBdr>
        <w:top w:val="none" w:sz="0" w:space="0" w:color="auto"/>
        <w:left w:val="none" w:sz="0" w:space="0" w:color="auto"/>
        <w:bottom w:val="none" w:sz="0" w:space="0" w:color="auto"/>
        <w:right w:val="none" w:sz="0" w:space="0" w:color="auto"/>
      </w:divBdr>
    </w:div>
    <w:div w:id="1835992329">
      <w:bodyDiv w:val="1"/>
      <w:marLeft w:val="0"/>
      <w:marRight w:val="0"/>
      <w:marTop w:val="0"/>
      <w:marBottom w:val="0"/>
      <w:divBdr>
        <w:top w:val="none" w:sz="0" w:space="0" w:color="auto"/>
        <w:left w:val="none" w:sz="0" w:space="0" w:color="auto"/>
        <w:bottom w:val="none" w:sz="0" w:space="0" w:color="auto"/>
        <w:right w:val="none" w:sz="0" w:space="0" w:color="auto"/>
      </w:divBdr>
    </w:div>
    <w:div w:id="1850876318">
      <w:bodyDiv w:val="1"/>
      <w:marLeft w:val="0"/>
      <w:marRight w:val="0"/>
      <w:marTop w:val="0"/>
      <w:marBottom w:val="0"/>
      <w:divBdr>
        <w:top w:val="none" w:sz="0" w:space="0" w:color="auto"/>
        <w:left w:val="none" w:sz="0" w:space="0" w:color="auto"/>
        <w:bottom w:val="none" w:sz="0" w:space="0" w:color="auto"/>
        <w:right w:val="none" w:sz="0" w:space="0" w:color="auto"/>
      </w:divBdr>
    </w:div>
    <w:div w:id="1857498571">
      <w:bodyDiv w:val="1"/>
      <w:marLeft w:val="0"/>
      <w:marRight w:val="0"/>
      <w:marTop w:val="0"/>
      <w:marBottom w:val="0"/>
      <w:divBdr>
        <w:top w:val="none" w:sz="0" w:space="0" w:color="auto"/>
        <w:left w:val="none" w:sz="0" w:space="0" w:color="auto"/>
        <w:bottom w:val="none" w:sz="0" w:space="0" w:color="auto"/>
        <w:right w:val="none" w:sz="0" w:space="0" w:color="auto"/>
      </w:divBdr>
    </w:div>
    <w:div w:id="1859612495">
      <w:bodyDiv w:val="1"/>
      <w:marLeft w:val="0"/>
      <w:marRight w:val="0"/>
      <w:marTop w:val="0"/>
      <w:marBottom w:val="0"/>
      <w:divBdr>
        <w:top w:val="none" w:sz="0" w:space="0" w:color="auto"/>
        <w:left w:val="none" w:sz="0" w:space="0" w:color="auto"/>
        <w:bottom w:val="none" w:sz="0" w:space="0" w:color="auto"/>
        <w:right w:val="none" w:sz="0" w:space="0" w:color="auto"/>
      </w:divBdr>
    </w:div>
    <w:div w:id="1864124812">
      <w:bodyDiv w:val="1"/>
      <w:marLeft w:val="0"/>
      <w:marRight w:val="0"/>
      <w:marTop w:val="0"/>
      <w:marBottom w:val="0"/>
      <w:divBdr>
        <w:top w:val="none" w:sz="0" w:space="0" w:color="auto"/>
        <w:left w:val="none" w:sz="0" w:space="0" w:color="auto"/>
        <w:bottom w:val="none" w:sz="0" w:space="0" w:color="auto"/>
        <w:right w:val="none" w:sz="0" w:space="0" w:color="auto"/>
      </w:divBdr>
    </w:div>
    <w:div w:id="1867325743">
      <w:bodyDiv w:val="1"/>
      <w:marLeft w:val="0"/>
      <w:marRight w:val="0"/>
      <w:marTop w:val="0"/>
      <w:marBottom w:val="0"/>
      <w:divBdr>
        <w:top w:val="none" w:sz="0" w:space="0" w:color="auto"/>
        <w:left w:val="none" w:sz="0" w:space="0" w:color="auto"/>
        <w:bottom w:val="none" w:sz="0" w:space="0" w:color="auto"/>
        <w:right w:val="none" w:sz="0" w:space="0" w:color="auto"/>
      </w:divBdr>
    </w:div>
    <w:div w:id="1868372488">
      <w:bodyDiv w:val="1"/>
      <w:marLeft w:val="0"/>
      <w:marRight w:val="0"/>
      <w:marTop w:val="0"/>
      <w:marBottom w:val="0"/>
      <w:divBdr>
        <w:top w:val="none" w:sz="0" w:space="0" w:color="auto"/>
        <w:left w:val="none" w:sz="0" w:space="0" w:color="auto"/>
        <w:bottom w:val="none" w:sz="0" w:space="0" w:color="auto"/>
        <w:right w:val="none" w:sz="0" w:space="0" w:color="auto"/>
      </w:divBdr>
    </w:div>
    <w:div w:id="1869484558">
      <w:bodyDiv w:val="1"/>
      <w:marLeft w:val="0"/>
      <w:marRight w:val="0"/>
      <w:marTop w:val="0"/>
      <w:marBottom w:val="0"/>
      <w:divBdr>
        <w:top w:val="none" w:sz="0" w:space="0" w:color="auto"/>
        <w:left w:val="none" w:sz="0" w:space="0" w:color="auto"/>
        <w:bottom w:val="none" w:sz="0" w:space="0" w:color="auto"/>
        <w:right w:val="none" w:sz="0" w:space="0" w:color="auto"/>
      </w:divBdr>
    </w:div>
    <w:div w:id="1878198990">
      <w:bodyDiv w:val="1"/>
      <w:marLeft w:val="0"/>
      <w:marRight w:val="0"/>
      <w:marTop w:val="0"/>
      <w:marBottom w:val="0"/>
      <w:divBdr>
        <w:top w:val="none" w:sz="0" w:space="0" w:color="auto"/>
        <w:left w:val="none" w:sz="0" w:space="0" w:color="auto"/>
        <w:bottom w:val="none" w:sz="0" w:space="0" w:color="auto"/>
        <w:right w:val="none" w:sz="0" w:space="0" w:color="auto"/>
      </w:divBdr>
    </w:div>
    <w:div w:id="1892689054">
      <w:bodyDiv w:val="1"/>
      <w:marLeft w:val="0"/>
      <w:marRight w:val="0"/>
      <w:marTop w:val="0"/>
      <w:marBottom w:val="0"/>
      <w:divBdr>
        <w:top w:val="none" w:sz="0" w:space="0" w:color="auto"/>
        <w:left w:val="none" w:sz="0" w:space="0" w:color="auto"/>
        <w:bottom w:val="none" w:sz="0" w:space="0" w:color="auto"/>
        <w:right w:val="none" w:sz="0" w:space="0" w:color="auto"/>
      </w:divBdr>
    </w:div>
    <w:div w:id="1904178788">
      <w:bodyDiv w:val="1"/>
      <w:marLeft w:val="0"/>
      <w:marRight w:val="0"/>
      <w:marTop w:val="0"/>
      <w:marBottom w:val="0"/>
      <w:divBdr>
        <w:top w:val="none" w:sz="0" w:space="0" w:color="auto"/>
        <w:left w:val="none" w:sz="0" w:space="0" w:color="auto"/>
        <w:bottom w:val="none" w:sz="0" w:space="0" w:color="auto"/>
        <w:right w:val="none" w:sz="0" w:space="0" w:color="auto"/>
      </w:divBdr>
    </w:div>
    <w:div w:id="1907253187">
      <w:bodyDiv w:val="1"/>
      <w:marLeft w:val="0"/>
      <w:marRight w:val="0"/>
      <w:marTop w:val="0"/>
      <w:marBottom w:val="0"/>
      <w:divBdr>
        <w:top w:val="none" w:sz="0" w:space="0" w:color="auto"/>
        <w:left w:val="none" w:sz="0" w:space="0" w:color="auto"/>
        <w:bottom w:val="none" w:sz="0" w:space="0" w:color="auto"/>
        <w:right w:val="none" w:sz="0" w:space="0" w:color="auto"/>
      </w:divBdr>
    </w:div>
    <w:div w:id="1907447707">
      <w:bodyDiv w:val="1"/>
      <w:marLeft w:val="0"/>
      <w:marRight w:val="0"/>
      <w:marTop w:val="0"/>
      <w:marBottom w:val="0"/>
      <w:divBdr>
        <w:top w:val="none" w:sz="0" w:space="0" w:color="auto"/>
        <w:left w:val="none" w:sz="0" w:space="0" w:color="auto"/>
        <w:bottom w:val="none" w:sz="0" w:space="0" w:color="auto"/>
        <w:right w:val="none" w:sz="0" w:space="0" w:color="auto"/>
      </w:divBdr>
    </w:div>
    <w:div w:id="1915776540">
      <w:bodyDiv w:val="1"/>
      <w:marLeft w:val="0"/>
      <w:marRight w:val="0"/>
      <w:marTop w:val="0"/>
      <w:marBottom w:val="0"/>
      <w:divBdr>
        <w:top w:val="none" w:sz="0" w:space="0" w:color="auto"/>
        <w:left w:val="none" w:sz="0" w:space="0" w:color="auto"/>
        <w:bottom w:val="none" w:sz="0" w:space="0" w:color="auto"/>
        <w:right w:val="none" w:sz="0" w:space="0" w:color="auto"/>
      </w:divBdr>
    </w:div>
    <w:div w:id="1926183432">
      <w:bodyDiv w:val="1"/>
      <w:marLeft w:val="0"/>
      <w:marRight w:val="0"/>
      <w:marTop w:val="0"/>
      <w:marBottom w:val="0"/>
      <w:divBdr>
        <w:top w:val="none" w:sz="0" w:space="0" w:color="auto"/>
        <w:left w:val="none" w:sz="0" w:space="0" w:color="auto"/>
        <w:bottom w:val="none" w:sz="0" w:space="0" w:color="auto"/>
        <w:right w:val="none" w:sz="0" w:space="0" w:color="auto"/>
      </w:divBdr>
    </w:div>
    <w:div w:id="1943224171">
      <w:bodyDiv w:val="1"/>
      <w:marLeft w:val="0"/>
      <w:marRight w:val="0"/>
      <w:marTop w:val="0"/>
      <w:marBottom w:val="0"/>
      <w:divBdr>
        <w:top w:val="none" w:sz="0" w:space="0" w:color="auto"/>
        <w:left w:val="none" w:sz="0" w:space="0" w:color="auto"/>
        <w:bottom w:val="none" w:sz="0" w:space="0" w:color="auto"/>
        <w:right w:val="none" w:sz="0" w:space="0" w:color="auto"/>
      </w:divBdr>
    </w:div>
    <w:div w:id="1958023368">
      <w:bodyDiv w:val="1"/>
      <w:marLeft w:val="0"/>
      <w:marRight w:val="0"/>
      <w:marTop w:val="0"/>
      <w:marBottom w:val="0"/>
      <w:divBdr>
        <w:top w:val="none" w:sz="0" w:space="0" w:color="auto"/>
        <w:left w:val="none" w:sz="0" w:space="0" w:color="auto"/>
        <w:bottom w:val="none" w:sz="0" w:space="0" w:color="auto"/>
        <w:right w:val="none" w:sz="0" w:space="0" w:color="auto"/>
      </w:divBdr>
    </w:div>
    <w:div w:id="1989287354">
      <w:bodyDiv w:val="1"/>
      <w:marLeft w:val="0"/>
      <w:marRight w:val="0"/>
      <w:marTop w:val="0"/>
      <w:marBottom w:val="0"/>
      <w:divBdr>
        <w:top w:val="none" w:sz="0" w:space="0" w:color="auto"/>
        <w:left w:val="none" w:sz="0" w:space="0" w:color="auto"/>
        <w:bottom w:val="none" w:sz="0" w:space="0" w:color="auto"/>
        <w:right w:val="none" w:sz="0" w:space="0" w:color="auto"/>
      </w:divBdr>
    </w:div>
    <w:div w:id="1995454007">
      <w:bodyDiv w:val="1"/>
      <w:marLeft w:val="0"/>
      <w:marRight w:val="0"/>
      <w:marTop w:val="0"/>
      <w:marBottom w:val="0"/>
      <w:divBdr>
        <w:top w:val="none" w:sz="0" w:space="0" w:color="auto"/>
        <w:left w:val="none" w:sz="0" w:space="0" w:color="auto"/>
        <w:bottom w:val="none" w:sz="0" w:space="0" w:color="auto"/>
        <w:right w:val="none" w:sz="0" w:space="0" w:color="auto"/>
      </w:divBdr>
    </w:div>
    <w:div w:id="2010520468">
      <w:bodyDiv w:val="1"/>
      <w:marLeft w:val="0"/>
      <w:marRight w:val="0"/>
      <w:marTop w:val="0"/>
      <w:marBottom w:val="0"/>
      <w:divBdr>
        <w:top w:val="none" w:sz="0" w:space="0" w:color="auto"/>
        <w:left w:val="none" w:sz="0" w:space="0" w:color="auto"/>
        <w:bottom w:val="none" w:sz="0" w:space="0" w:color="auto"/>
        <w:right w:val="none" w:sz="0" w:space="0" w:color="auto"/>
      </w:divBdr>
    </w:div>
    <w:div w:id="2014069809">
      <w:bodyDiv w:val="1"/>
      <w:marLeft w:val="0"/>
      <w:marRight w:val="0"/>
      <w:marTop w:val="0"/>
      <w:marBottom w:val="0"/>
      <w:divBdr>
        <w:top w:val="none" w:sz="0" w:space="0" w:color="auto"/>
        <w:left w:val="none" w:sz="0" w:space="0" w:color="auto"/>
        <w:bottom w:val="none" w:sz="0" w:space="0" w:color="auto"/>
        <w:right w:val="none" w:sz="0" w:space="0" w:color="auto"/>
      </w:divBdr>
    </w:div>
    <w:div w:id="2017531463">
      <w:bodyDiv w:val="1"/>
      <w:marLeft w:val="0"/>
      <w:marRight w:val="0"/>
      <w:marTop w:val="0"/>
      <w:marBottom w:val="0"/>
      <w:divBdr>
        <w:top w:val="none" w:sz="0" w:space="0" w:color="auto"/>
        <w:left w:val="none" w:sz="0" w:space="0" w:color="auto"/>
        <w:bottom w:val="none" w:sz="0" w:space="0" w:color="auto"/>
        <w:right w:val="none" w:sz="0" w:space="0" w:color="auto"/>
      </w:divBdr>
    </w:div>
    <w:div w:id="2024284937">
      <w:bodyDiv w:val="1"/>
      <w:marLeft w:val="0"/>
      <w:marRight w:val="0"/>
      <w:marTop w:val="0"/>
      <w:marBottom w:val="0"/>
      <w:divBdr>
        <w:top w:val="none" w:sz="0" w:space="0" w:color="auto"/>
        <w:left w:val="none" w:sz="0" w:space="0" w:color="auto"/>
        <w:bottom w:val="none" w:sz="0" w:space="0" w:color="auto"/>
        <w:right w:val="none" w:sz="0" w:space="0" w:color="auto"/>
      </w:divBdr>
    </w:div>
    <w:div w:id="2025131099">
      <w:bodyDiv w:val="1"/>
      <w:marLeft w:val="0"/>
      <w:marRight w:val="0"/>
      <w:marTop w:val="0"/>
      <w:marBottom w:val="0"/>
      <w:divBdr>
        <w:top w:val="none" w:sz="0" w:space="0" w:color="auto"/>
        <w:left w:val="none" w:sz="0" w:space="0" w:color="auto"/>
        <w:bottom w:val="none" w:sz="0" w:space="0" w:color="auto"/>
        <w:right w:val="none" w:sz="0" w:space="0" w:color="auto"/>
      </w:divBdr>
    </w:div>
    <w:div w:id="2025399396">
      <w:bodyDiv w:val="1"/>
      <w:marLeft w:val="0"/>
      <w:marRight w:val="0"/>
      <w:marTop w:val="0"/>
      <w:marBottom w:val="0"/>
      <w:divBdr>
        <w:top w:val="none" w:sz="0" w:space="0" w:color="auto"/>
        <w:left w:val="none" w:sz="0" w:space="0" w:color="auto"/>
        <w:bottom w:val="none" w:sz="0" w:space="0" w:color="auto"/>
        <w:right w:val="none" w:sz="0" w:space="0" w:color="auto"/>
      </w:divBdr>
    </w:div>
    <w:div w:id="2030326622">
      <w:bodyDiv w:val="1"/>
      <w:marLeft w:val="0"/>
      <w:marRight w:val="0"/>
      <w:marTop w:val="0"/>
      <w:marBottom w:val="0"/>
      <w:divBdr>
        <w:top w:val="none" w:sz="0" w:space="0" w:color="auto"/>
        <w:left w:val="none" w:sz="0" w:space="0" w:color="auto"/>
        <w:bottom w:val="none" w:sz="0" w:space="0" w:color="auto"/>
        <w:right w:val="none" w:sz="0" w:space="0" w:color="auto"/>
      </w:divBdr>
    </w:div>
    <w:div w:id="2037925177">
      <w:bodyDiv w:val="1"/>
      <w:marLeft w:val="0"/>
      <w:marRight w:val="0"/>
      <w:marTop w:val="0"/>
      <w:marBottom w:val="0"/>
      <w:divBdr>
        <w:top w:val="none" w:sz="0" w:space="0" w:color="auto"/>
        <w:left w:val="none" w:sz="0" w:space="0" w:color="auto"/>
        <w:bottom w:val="none" w:sz="0" w:space="0" w:color="auto"/>
        <w:right w:val="none" w:sz="0" w:space="0" w:color="auto"/>
      </w:divBdr>
    </w:div>
    <w:div w:id="2049600919">
      <w:bodyDiv w:val="1"/>
      <w:marLeft w:val="0"/>
      <w:marRight w:val="0"/>
      <w:marTop w:val="0"/>
      <w:marBottom w:val="0"/>
      <w:divBdr>
        <w:top w:val="none" w:sz="0" w:space="0" w:color="auto"/>
        <w:left w:val="none" w:sz="0" w:space="0" w:color="auto"/>
        <w:bottom w:val="none" w:sz="0" w:space="0" w:color="auto"/>
        <w:right w:val="none" w:sz="0" w:space="0" w:color="auto"/>
      </w:divBdr>
    </w:div>
    <w:div w:id="2056926853">
      <w:bodyDiv w:val="1"/>
      <w:marLeft w:val="0"/>
      <w:marRight w:val="0"/>
      <w:marTop w:val="0"/>
      <w:marBottom w:val="0"/>
      <w:divBdr>
        <w:top w:val="none" w:sz="0" w:space="0" w:color="auto"/>
        <w:left w:val="none" w:sz="0" w:space="0" w:color="auto"/>
        <w:bottom w:val="none" w:sz="0" w:space="0" w:color="auto"/>
        <w:right w:val="none" w:sz="0" w:space="0" w:color="auto"/>
      </w:divBdr>
    </w:div>
    <w:div w:id="2068069701">
      <w:bodyDiv w:val="1"/>
      <w:marLeft w:val="0"/>
      <w:marRight w:val="0"/>
      <w:marTop w:val="0"/>
      <w:marBottom w:val="0"/>
      <w:divBdr>
        <w:top w:val="none" w:sz="0" w:space="0" w:color="auto"/>
        <w:left w:val="none" w:sz="0" w:space="0" w:color="auto"/>
        <w:bottom w:val="none" w:sz="0" w:space="0" w:color="auto"/>
        <w:right w:val="none" w:sz="0" w:space="0" w:color="auto"/>
      </w:divBdr>
    </w:div>
    <w:div w:id="2081368588">
      <w:bodyDiv w:val="1"/>
      <w:marLeft w:val="0"/>
      <w:marRight w:val="0"/>
      <w:marTop w:val="0"/>
      <w:marBottom w:val="0"/>
      <w:divBdr>
        <w:top w:val="none" w:sz="0" w:space="0" w:color="auto"/>
        <w:left w:val="none" w:sz="0" w:space="0" w:color="auto"/>
        <w:bottom w:val="none" w:sz="0" w:space="0" w:color="auto"/>
        <w:right w:val="none" w:sz="0" w:space="0" w:color="auto"/>
      </w:divBdr>
    </w:div>
    <w:div w:id="2084259770">
      <w:bodyDiv w:val="1"/>
      <w:marLeft w:val="0"/>
      <w:marRight w:val="0"/>
      <w:marTop w:val="0"/>
      <w:marBottom w:val="0"/>
      <w:divBdr>
        <w:top w:val="none" w:sz="0" w:space="0" w:color="auto"/>
        <w:left w:val="none" w:sz="0" w:space="0" w:color="auto"/>
        <w:bottom w:val="none" w:sz="0" w:space="0" w:color="auto"/>
        <w:right w:val="none" w:sz="0" w:space="0" w:color="auto"/>
      </w:divBdr>
    </w:div>
    <w:div w:id="2084444121">
      <w:bodyDiv w:val="1"/>
      <w:marLeft w:val="0"/>
      <w:marRight w:val="0"/>
      <w:marTop w:val="0"/>
      <w:marBottom w:val="0"/>
      <w:divBdr>
        <w:top w:val="none" w:sz="0" w:space="0" w:color="auto"/>
        <w:left w:val="none" w:sz="0" w:space="0" w:color="auto"/>
        <w:bottom w:val="none" w:sz="0" w:space="0" w:color="auto"/>
        <w:right w:val="none" w:sz="0" w:space="0" w:color="auto"/>
      </w:divBdr>
    </w:div>
    <w:div w:id="2086292764">
      <w:bodyDiv w:val="1"/>
      <w:marLeft w:val="0"/>
      <w:marRight w:val="0"/>
      <w:marTop w:val="0"/>
      <w:marBottom w:val="0"/>
      <w:divBdr>
        <w:top w:val="none" w:sz="0" w:space="0" w:color="auto"/>
        <w:left w:val="none" w:sz="0" w:space="0" w:color="auto"/>
        <w:bottom w:val="none" w:sz="0" w:space="0" w:color="auto"/>
        <w:right w:val="none" w:sz="0" w:space="0" w:color="auto"/>
      </w:divBdr>
    </w:div>
    <w:div w:id="2121147870">
      <w:bodyDiv w:val="1"/>
      <w:marLeft w:val="0"/>
      <w:marRight w:val="0"/>
      <w:marTop w:val="0"/>
      <w:marBottom w:val="0"/>
      <w:divBdr>
        <w:top w:val="none" w:sz="0" w:space="0" w:color="auto"/>
        <w:left w:val="none" w:sz="0" w:space="0" w:color="auto"/>
        <w:bottom w:val="none" w:sz="0" w:space="0" w:color="auto"/>
        <w:right w:val="none" w:sz="0" w:space="0" w:color="auto"/>
      </w:divBdr>
    </w:div>
    <w:div w:id="2127193254">
      <w:bodyDiv w:val="1"/>
      <w:marLeft w:val="0"/>
      <w:marRight w:val="0"/>
      <w:marTop w:val="0"/>
      <w:marBottom w:val="0"/>
      <w:divBdr>
        <w:top w:val="none" w:sz="0" w:space="0" w:color="auto"/>
        <w:left w:val="none" w:sz="0" w:space="0" w:color="auto"/>
        <w:bottom w:val="none" w:sz="0" w:space="0" w:color="auto"/>
        <w:right w:val="none" w:sz="0" w:space="0" w:color="auto"/>
      </w:divBdr>
    </w:div>
    <w:div w:id="2132894051">
      <w:bodyDiv w:val="1"/>
      <w:marLeft w:val="0"/>
      <w:marRight w:val="0"/>
      <w:marTop w:val="0"/>
      <w:marBottom w:val="0"/>
      <w:divBdr>
        <w:top w:val="none" w:sz="0" w:space="0" w:color="auto"/>
        <w:left w:val="none" w:sz="0" w:space="0" w:color="auto"/>
        <w:bottom w:val="none" w:sz="0" w:space="0" w:color="auto"/>
        <w:right w:val="none" w:sz="0" w:space="0" w:color="auto"/>
      </w:divBdr>
    </w:div>
    <w:div w:id="2135172372">
      <w:bodyDiv w:val="1"/>
      <w:marLeft w:val="0"/>
      <w:marRight w:val="0"/>
      <w:marTop w:val="0"/>
      <w:marBottom w:val="0"/>
      <w:divBdr>
        <w:top w:val="none" w:sz="0" w:space="0" w:color="auto"/>
        <w:left w:val="none" w:sz="0" w:space="0" w:color="auto"/>
        <w:bottom w:val="none" w:sz="0" w:space="0" w:color="auto"/>
        <w:right w:val="none" w:sz="0" w:space="0" w:color="auto"/>
      </w:divBdr>
    </w:div>
    <w:div w:id="2140023911">
      <w:bodyDiv w:val="1"/>
      <w:marLeft w:val="0"/>
      <w:marRight w:val="0"/>
      <w:marTop w:val="0"/>
      <w:marBottom w:val="0"/>
      <w:divBdr>
        <w:top w:val="none" w:sz="0" w:space="0" w:color="auto"/>
        <w:left w:val="none" w:sz="0" w:space="0" w:color="auto"/>
        <w:bottom w:val="none" w:sz="0" w:space="0" w:color="auto"/>
        <w:right w:val="none" w:sz="0" w:space="0" w:color="auto"/>
      </w:divBdr>
    </w:div>
    <w:div w:id="214291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chart" Target="charts/chart27.xml"/><Relationship Id="rId3" Type="http://schemas.openxmlformats.org/officeDocument/2006/relationships/numbering" Target="numbering.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finance.gov.sk/Default.aspx?CatID=74" TargetMode="External"/><Relationship Id="rId33" Type="http://schemas.openxmlformats.org/officeDocument/2006/relationships/chart" Target="charts/chart23.xml"/><Relationship Id="rId38" Type="http://schemas.openxmlformats.org/officeDocument/2006/relationships/hyperlink" Target="https://ec.europa.eu/info/publications/economy-finance/fiscal-sustainability-report-2018_en" TargetMode="External"/><Relationship Id="rId46" Type="http://schemas.openxmlformats.org/officeDocument/2006/relationships/chart" Target="charts/chart34.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41" Type="http://schemas.openxmlformats.org/officeDocument/2006/relationships/chart" Target="charts/chart2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hyperlink" Target="https://ec.europa.eu/info/publications/economy-finance/fiscal-sustainability-report-2018_en" TargetMode="Externa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s://ec.europa.eu/info/sites/info/files/economy-finance/ip065_en.pdf"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chart" Target="charts/chart32.xml"/><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finance.gov.sk/sk/financie/verejne-financie/regulacny-komplex-pravnych-noriem-metodickych-postupov-z-oblasti-rozpoctoveho-procesu/zakon-rozpoctovych-pravidlach-verejnej-spravy/" TargetMode="External"/><Relationship Id="rId13" Type="http://schemas.openxmlformats.org/officeDocument/2006/relationships/hyperlink" Target="http://ec.europa.eu/economy_finance/publications/occasional_paper/2013/pdf/ocp151_en.pdf" TargetMode="External"/><Relationship Id="rId3" Type="http://schemas.openxmlformats.org/officeDocument/2006/relationships/hyperlink" Target="https://ec.europa.eu/info/publications/economy-finance/vade-mecum-stability-and-growth-pact-2018-edition_en" TargetMode="External"/><Relationship Id="rId7" Type="http://schemas.openxmlformats.org/officeDocument/2006/relationships/hyperlink" Target="https://www.rozpoctovarada.sk/images/Legislativa_SR/Zakon_493_2011_20121028.pdf" TargetMode="External"/><Relationship Id="rId12" Type="http://schemas.openxmlformats.org/officeDocument/2006/relationships/hyperlink" Target="http://ec.europa.eu/economy_finance/publications/eeip/pdf/ip021_en.pdf" TargetMode="External"/><Relationship Id="rId2" Type="http://schemas.openxmlformats.org/officeDocument/2006/relationships/hyperlink" Target="https://www.finance.gov.sk/sk/financie/institut-financnej-politiky/ekonomicke-prognozy/danove-prognozy/51-zasadnutie-vyboru-danove-prognozy-december-2018.html" TargetMode="External"/><Relationship Id="rId1" Type="http://schemas.openxmlformats.org/officeDocument/2006/relationships/hyperlink" Target="https://www.finance.gov.sk/sk/financie/institut-financnej-politiky/ekonomicke-prognozy/makroekonomicke-prognozy/47-zasadnutie-vyboru-makroekonomicke-prognozy-februar-2019.html" TargetMode="External"/><Relationship Id="rId6" Type="http://schemas.openxmlformats.org/officeDocument/2006/relationships/hyperlink" Target="https://ec.europa.eu/info/publications/economy-finance/vade-mecum-stability-and-growth-pact-2018-edition_en" TargetMode="External"/><Relationship Id="rId11" Type="http://schemas.openxmlformats.org/officeDocument/2006/relationships/hyperlink" Target="https://www.finance.gov.sk/sk/financie/institut-financnej-politiky/seminare-prezentacie/prezentacie/24-workshop-ministerstva-financii-sr-zastupenia-europskej-komisie-slovensku-k-implementacii-vydavkovych-stropov-sr.html" TargetMode="External"/><Relationship Id="rId5" Type="http://schemas.openxmlformats.org/officeDocument/2006/relationships/hyperlink" Target="https://www.mfsr.sk/files/sk/media/tlacove-spravy/penzijna-reforma-zlepsuje-dlhodobu-udrzatelnost-verejnych-financii/VF_Komentar_dochodkova_reforma_20130429_final.pdf" TargetMode="External"/><Relationship Id="rId10" Type="http://schemas.openxmlformats.org/officeDocument/2006/relationships/hyperlink" Target="https://www.finance.gov.sk/sk/financie/institut-financnej-politiky/publikacie-ifp/diskusne-studie/3-skrutkovac-hodnotu-za-peniaze-oktober-2018.html" TargetMode="External"/><Relationship Id="rId4" Type="http://schemas.openxmlformats.org/officeDocument/2006/relationships/hyperlink" Target="https://www.finance.gov.sk/sk/financie/institut-financnej-politiky/publikacie-ifp/manualy/metodika-zostavovania-scenara-nezmenenych-politik.html" TargetMode="External"/><Relationship Id="rId9" Type="http://schemas.openxmlformats.org/officeDocument/2006/relationships/hyperlink" Target="https://www.rozpoctovarada.sk/download2/hodnotenie_pravidiel_2018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mf.mfsr.sk\DfsRoot\ADRESARE\IFP_NEW\5_MATERIALY\5_3_Strategicke_materialy\Program_stability\2019\PS_2019_Tabulky_Komplet.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f.mfsr.sk\DfsRoot\ADRESARE\IFP_NEW\5_MATERIALY\5_3_Strategicke_materialy\Program_stability\2019\PS_2019_Tabulky_Komplet.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mf.mfsr.sk\DfsRoot\ADRESARE\IFP_NEW\1_DANE\1_3_Databazy\03_Hodnotenie_dani_rocne\2018\Vyhodnotenie_2018_IFP_marec_2019_PS.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oleObject" Target="file:///\\mf.mfsr.sk\DfsRoot\ADRESARE\IFP_NEW\1_DANE\1_3_Databazy\03_Hodnotenie_dani_rocne\2018\Vyhodnotenie_2018_IFP_marec_2019_PS.xlsx"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1" Type="http://schemas.openxmlformats.org/officeDocument/2006/relationships/oleObject" Target="file:///\\mf.mfsr.sk\DfsRoot\ADRESARE\IFP_NEW\5_MATERIALY\5_3_Strategicke_materialy\Program_stability\2019\PS_2019_Tabulky_Komplet.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f.mfsr.sk\DfsRoot\ADRESARE\IFP_NEW\5_MATERIALY\5_3_Strategicke_materialy\Program_stability\2019\PS_2019_Tabulky_Komplet.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mf.mfsr.sk\DfsRoot\ADRESARE\IFP_NEW\2_FISKAL\04_Modely\01_Konsolidacne%20usilie%20a%20fiskalny%20impulz\MASTER_FILE_do_PS.xlsm" TargetMode="External"/><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mf.mfsr.sk\DfsRoot\ADRESARE\IFP_NEW\2_FISKAL\04_Modely\01_Konsolidacne%20usilie%20a%20fiskalny%20impulz\MASTER_FILE_do_PS.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mf.mfsr.sk\DfsRoot\ADRESARE\IFP_NEW\5_MATERIALY\5_3_Strategicke_materialy\Program_stability\2019\PS_2019_Tabulky_Komplet.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PS_2019_Tabulky_Komplet.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mf.mfsr.sk\DfsRoot\ADRESARE\IFP_NEW\2_FISKAL\04_Modely\02_Dlh%20VS\01%20-%20Prognoza\DLH_Model_PS2019.xlsm"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1" Type="http://schemas.openxmlformats.org/officeDocument/2006/relationships/oleObject" Target="file:///\\mf.mfsr.sk\DfsRoot\ADRESARE\IFP_NEW\5_MATERIALY\5_3_Strategicke_materialy\Program_stability\2019\PS_2019_Tabulky_Komplet.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Vstupy\Dlh\Box.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11.xml"/><Relationship Id="rId1" Type="http://schemas.microsoft.com/office/2011/relationships/chartStyle" Target="style11.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mf.mfsr.sk\DfsRoot\ADRESARE\IFP_NEW\5_MATERIALY\5_3_Strategicke_materialy\Program_stability\2019\PS_2019_Tabulky_Komplet.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3.xml"/></Relationships>
</file>

<file path=word/charts/_rels/chart28.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oleObject" Target="file:///\\mf.mfsr.sk\DfsRoot\ADRESARE\IFP_NEW\5_MATERIALY\5_3_Strategicke_materialy\Program_stability\2019\PS_2019_Tabulky_Komplet.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5.xml"/></Relationships>
</file>

<file path=word/charts/_rels/chart3.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PS_2019_Tabulky_Komplet.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6.xml"/></Relationships>
</file>

<file path=word/charts/_rels/chart31.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PS_2019_Tabulky_Komplet.xlsx" TargetMode="External"/><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mf.mfsr.sk\DfsRoot\ADRESARE\IFP_NEW\5_MATERIALY\5_3_Strategicke_materialy\Program_stability\2019\Tabulky\old\PS_2019_Tabulky_Komplet_old.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mf.mfsr.sk\DfsRoot\ADRESARE\IFP_NEW\5_MATERIALY\5_3_Strategicke_materialy\Program_stability\2019\Tabulky\PS_2019_Tabulky_Komplet.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IFP3\vyvoj%20vydavkov%20HDP.xls" TargetMode="External"/><Relationship Id="rId1" Type="http://schemas.openxmlformats.org/officeDocument/2006/relationships/themeOverride" Target="../theme/themeOverride16.xml"/></Relationships>
</file>

<file path=word/charts/_rels/chart35.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IFP3\vyvoj%20vydavkov%20HDP.xls" TargetMode="External"/><Relationship Id="rId1" Type="http://schemas.openxmlformats.org/officeDocument/2006/relationships/themeOverride" Target="../theme/themeOverride17.xml"/></Relationships>
</file>

<file path=word/charts/_rels/chart3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scope%20revizii\scope%20revizii_20190312.xlsx" TargetMode="External"/><Relationship Id="rId2" Type="http://schemas.microsoft.com/office/2011/relationships/chartColorStyle" Target="colors19.xml"/><Relationship Id="rId1" Type="http://schemas.microsoft.com/office/2011/relationships/chartStyle" Target="style19.xml"/></Relationships>
</file>

<file path=word/charts/_rels/chart4.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PS_2019_Tabulky_Komplet.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mf.mfsr.sk\DfsRoot\ADRESARE\IFP_NEW\5_MATERIALY\5_3_Strategicke_materialy\Program_stability\2019\PS_2019_Tabulky_Komplet.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oleObject" Target="file:///\\mf.mfsr.sk\DfsRoot\ADRESARE\IFP_NEW\5_MATERIALY\5_3_Strategicke_materialy\Program_stability\2019\PS_2019_Tabulky_Komplet.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_rok_programu_Microsoft_Excel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_rok_programu_Microsoft_Excel2.xlsx"/></Relationships>
</file>

<file path=word/charts/_rels/chart9.xml.rels><?xml version="1.0" encoding="UTF-8" standalone="yes"?>
<Relationships xmlns="http://schemas.openxmlformats.org/package/2006/relationships"><Relationship Id="rId1" Type="http://schemas.openxmlformats.org/officeDocument/2006/relationships/oleObject" Target="file:///\\mf.mfsr.sk\DfsRoot\ADRESARE\IFP_NEW\5_MATERIALY\5_3_Strategicke_materialy\Program_stability\2019\PS_2019_Tabulky_Kompl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3700439916326"/>
          <c:y val="0.20647200435361432"/>
          <c:w val="0.84201930628044841"/>
          <c:h val="0.63251067650124371"/>
        </c:manualLayout>
      </c:layout>
      <c:barChart>
        <c:barDir val="col"/>
        <c:grouping val="clustered"/>
        <c:varyColors val="0"/>
        <c:ser>
          <c:idx val="0"/>
          <c:order val="0"/>
          <c:tx>
            <c:v>Nominálne saldo</c:v>
          </c:tx>
          <c:spPr>
            <a:solidFill>
              <a:schemeClr val="accent2"/>
            </a:solidFill>
            <a:ln>
              <a:noFill/>
            </a:ln>
            <a:effectLst/>
          </c:spPr>
          <c:invertIfNegative val="0"/>
          <c:dLbls>
            <c:dLbl>
              <c:idx val="0"/>
              <c:layout>
                <c:manualLayout>
                  <c:x val="-8.826125330979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81-4555-B14D-5AB9FD150277}"/>
                </c:ext>
                <c:ext xmlns:c15="http://schemas.microsoft.com/office/drawing/2012/chart" uri="{CE6537A1-D6FC-4f65-9D91-7224C49458BB}"/>
              </c:extLst>
            </c:dLbl>
            <c:dLbl>
              <c:idx val="2"/>
              <c:layout>
                <c:manualLayout>
                  <c:x val="-1.323918799646963E-2"/>
                  <c:y val="0.101522842639593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81-4555-B14D-5AB9FD150277}"/>
                </c:ext>
                <c:ext xmlns:c15="http://schemas.microsoft.com/office/drawing/2012/chart" uri="{CE6537A1-D6FC-4f65-9D91-7224C49458BB}"/>
              </c:extLst>
            </c:dLbl>
            <c:dLbl>
              <c:idx val="3"/>
              <c:layout>
                <c:manualLayout>
                  <c:x val="-1.5069045319026208E-2"/>
                  <c:y val="0.109575799315597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E9-4D2A-AD3C-BA696963D75B}"/>
                </c:ext>
                <c:ext xmlns:c15="http://schemas.microsoft.com/office/drawing/2012/chart" uri="{CE6537A1-D6FC-4f65-9D91-7224C49458BB}"/>
              </c:extLst>
            </c:dLbl>
            <c:dLbl>
              <c:idx val="4"/>
              <c:layout>
                <c:manualLayout>
                  <c:x val="-1.3475130480711174E-2"/>
                  <c:y val="9.6324946886520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E9-4D2A-AD3C-BA696963D75B}"/>
                </c:ext>
                <c:ext xmlns:c15="http://schemas.microsoft.com/office/drawing/2012/chart" uri="{CE6537A1-D6FC-4f65-9D91-7224C49458BB}"/>
              </c:extLst>
            </c:dLbl>
            <c:dLbl>
              <c:idx val="5"/>
              <c:layout>
                <c:manualLayout>
                  <c:x val="-1.6030189518454942E-2"/>
                  <c:y val="0.107541652959135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E9-4D2A-AD3C-BA696963D7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'!$B$20:$G$20</c:f>
              <c:numCache>
                <c:formatCode>General</c:formatCode>
                <c:ptCount val="6"/>
                <c:pt idx="0">
                  <c:v>2017</c:v>
                </c:pt>
                <c:pt idx="1">
                  <c:v>2018</c:v>
                </c:pt>
                <c:pt idx="2">
                  <c:v>2019</c:v>
                </c:pt>
                <c:pt idx="3">
                  <c:v>2020</c:v>
                </c:pt>
                <c:pt idx="4">
                  <c:v>2021</c:v>
                </c:pt>
                <c:pt idx="5">
                  <c:v>2022</c:v>
                </c:pt>
              </c:numCache>
            </c:numRef>
          </c:cat>
          <c:val>
            <c:numRef>
              <c:f>'Graf 20+21 '!$B$21:$G$21</c:f>
              <c:numCache>
                <c:formatCode>0.00</c:formatCode>
                <c:ptCount val="6"/>
                <c:pt idx="0">
                  <c:v>-0.78717869187771383</c:v>
                </c:pt>
                <c:pt idx="1">
                  <c:v>-0.69783206514710039</c:v>
                </c:pt>
                <c:pt idx="2">
                  <c:v>0</c:v>
                </c:pt>
                <c:pt idx="3">
                  <c:v>0</c:v>
                </c:pt>
                <c:pt idx="4">
                  <c:v>0</c:v>
                </c:pt>
                <c:pt idx="5">
                  <c:v>2.9403589792570325E-7</c:v>
                </c:pt>
              </c:numCache>
            </c:numRef>
          </c:val>
          <c:extLst xmlns:c16r2="http://schemas.microsoft.com/office/drawing/2015/06/chart">
            <c:ext xmlns:c16="http://schemas.microsoft.com/office/drawing/2014/chart" uri="{C3380CC4-5D6E-409C-BE32-E72D297353CC}">
              <c16:uniqueId val="{00000003-B4E9-4D2A-AD3C-BA696963D75B}"/>
            </c:ext>
          </c:extLst>
        </c:ser>
        <c:ser>
          <c:idx val="3"/>
          <c:order val="1"/>
          <c:tx>
            <c:v>Štrukturálne saldo</c:v>
          </c:tx>
          <c:spPr>
            <a:solidFill>
              <a:schemeClr val="accent1"/>
            </a:solidFill>
            <a:ln>
              <a:noFill/>
            </a:ln>
            <a:effectLst/>
          </c:spPr>
          <c:invertIfNegative val="0"/>
          <c:dLbls>
            <c:dLbl>
              <c:idx val="0"/>
              <c:layout>
                <c:manualLayout>
                  <c:x val="1.323918799646950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581-4555-B14D-5AB9FD15027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'!$B$20:$G$20</c:f>
              <c:numCache>
                <c:formatCode>General</c:formatCode>
                <c:ptCount val="6"/>
                <c:pt idx="0">
                  <c:v>2017</c:v>
                </c:pt>
                <c:pt idx="1">
                  <c:v>2018</c:v>
                </c:pt>
                <c:pt idx="2">
                  <c:v>2019</c:v>
                </c:pt>
                <c:pt idx="3">
                  <c:v>2020</c:v>
                </c:pt>
                <c:pt idx="4">
                  <c:v>2021</c:v>
                </c:pt>
                <c:pt idx="5">
                  <c:v>2022</c:v>
                </c:pt>
              </c:numCache>
            </c:numRef>
          </c:cat>
          <c:val>
            <c:numRef>
              <c:f>'Graf 20+21 '!$B$22:$G$22</c:f>
              <c:numCache>
                <c:formatCode>0.0</c:formatCode>
                <c:ptCount val="6"/>
                <c:pt idx="0">
                  <c:v>-0.8139438545060792</c:v>
                </c:pt>
                <c:pt idx="1">
                  <c:v>-1.0446831241312258</c:v>
                </c:pt>
                <c:pt idx="2">
                  <c:v>-0.4462209638173571</c:v>
                </c:pt>
                <c:pt idx="3">
                  <c:v>-0.43110242782119268</c:v>
                </c:pt>
                <c:pt idx="4">
                  <c:v>-0.36613172534577199</c:v>
                </c:pt>
                <c:pt idx="5">
                  <c:v>-0.21725681816170722</c:v>
                </c:pt>
              </c:numCache>
            </c:numRef>
          </c:val>
          <c:extLst xmlns:c16r2="http://schemas.microsoft.com/office/drawing/2015/06/chart">
            <c:ext xmlns:c16="http://schemas.microsoft.com/office/drawing/2014/chart" uri="{C3380CC4-5D6E-409C-BE32-E72D297353CC}">
              <c16:uniqueId val="{00000004-B4E9-4D2A-AD3C-BA696963D75B}"/>
            </c:ext>
          </c:extLst>
        </c:ser>
        <c:dLbls>
          <c:showLegendKey val="0"/>
          <c:showVal val="0"/>
          <c:showCatName val="0"/>
          <c:showSerName val="0"/>
          <c:showPercent val="0"/>
          <c:showBubbleSize val="0"/>
        </c:dLbls>
        <c:gapWidth val="219"/>
        <c:axId val="294110232"/>
        <c:axId val="294110624"/>
        <c:extLst xmlns:c16r2="http://schemas.microsoft.com/office/drawing/2015/06/chart"/>
      </c:barChart>
      <c:lineChart>
        <c:grouping val="standard"/>
        <c:varyColors val="0"/>
        <c:ser>
          <c:idx val="6"/>
          <c:order val="2"/>
          <c:tx>
            <c:v>Konsolidačné úsilie</c:v>
          </c:tx>
          <c:spPr>
            <a:ln w="28575" cap="rnd">
              <a:solidFill>
                <a:schemeClr val="tx1"/>
              </a:solidFill>
              <a:round/>
            </a:ln>
            <a:effectLst/>
          </c:spPr>
          <c:marker>
            <c:symbol val="none"/>
          </c:marker>
          <c:dLbls>
            <c:dLbl>
              <c:idx val="0"/>
              <c:layout>
                <c:manualLayout>
                  <c:x val="-5.5108380649241437E-2"/>
                  <c:y val="-6.26121071062915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93-4AF9-AB7F-CC9057F4EB7E}"/>
                </c:ext>
                <c:ext xmlns:c15="http://schemas.microsoft.com/office/drawing/2012/chart" uri="{CE6537A1-D6FC-4f65-9D91-7224C49458BB}"/>
              </c:extLst>
            </c:dLbl>
            <c:dLbl>
              <c:idx val="3"/>
              <c:layout>
                <c:manualLayout>
                  <c:x val="-5.6780121106923299E-3"/>
                  <c:y val="-6.55696882574338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81-4555-B14D-5AB9FD150277}"/>
                </c:ext>
                <c:ext xmlns:c15="http://schemas.microsoft.com/office/drawing/2012/chart" uri="{CE6537A1-D6FC-4f65-9D91-7224C49458BB}"/>
              </c:extLst>
            </c:dLbl>
            <c:dLbl>
              <c:idx val="4"/>
              <c:layout>
                <c:manualLayout>
                  <c:x val="8.7009477644676755E-3"/>
                  <c:y val="-6.0564416150332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E9-4D2A-AD3C-BA696963D75B}"/>
                </c:ext>
                <c:ext xmlns:c15="http://schemas.microsoft.com/office/drawing/2012/chart" uri="{CE6537A1-D6FC-4f65-9D91-7224C49458BB}"/>
              </c:extLst>
            </c:dLbl>
            <c:dLbl>
              <c:idx val="5"/>
              <c:layout>
                <c:manualLayout>
                  <c:x val="1.6308503350763701E-2"/>
                  <c:y val="-4.401440998060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E9-4D2A-AD3C-BA696963D75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6"/>
              <c:pt idx="0">
                <c:v>2014</c:v>
              </c:pt>
              <c:pt idx="1">
                <c:v>2015</c:v>
              </c:pt>
              <c:pt idx="2">
                <c:v>2016</c:v>
              </c:pt>
              <c:pt idx="3">
                <c:v>2017</c:v>
              </c:pt>
              <c:pt idx="4">
                <c:v>2018</c:v>
              </c:pt>
              <c:pt idx="5">
                <c:v>2019</c:v>
              </c:pt>
            </c:numLit>
          </c:cat>
          <c:val>
            <c:numRef>
              <c:f>'Graf 20+21 '!$B$23:$G$23</c:f>
              <c:numCache>
                <c:formatCode>0.00</c:formatCode>
                <c:ptCount val="6"/>
                <c:pt idx="0">
                  <c:v>1.3021450793233491</c:v>
                </c:pt>
                <c:pt idx="1">
                  <c:v>-0.23073926962514657</c:v>
                </c:pt>
                <c:pt idx="2">
                  <c:v>0.59846216031386867</c:v>
                </c:pt>
                <c:pt idx="3">
                  <c:v>1.5118535996164417E-2</c:v>
                </c:pt>
                <c:pt idx="4">
                  <c:v>6.4970702475420694E-2</c:v>
                </c:pt>
                <c:pt idx="5">
                  <c:v>0.14887490718406476</c:v>
                </c:pt>
              </c:numCache>
            </c:numRef>
          </c:val>
          <c:smooth val="0"/>
          <c:extLst xmlns:c16r2="http://schemas.microsoft.com/office/drawing/2015/06/chart">
            <c:ext xmlns:c16="http://schemas.microsoft.com/office/drawing/2014/chart" uri="{C3380CC4-5D6E-409C-BE32-E72D297353CC}">
              <c16:uniqueId val="{00000007-B4E9-4D2A-AD3C-BA696963D75B}"/>
            </c:ext>
          </c:extLst>
        </c:ser>
        <c:dLbls>
          <c:showLegendKey val="0"/>
          <c:showVal val="0"/>
          <c:showCatName val="0"/>
          <c:showSerName val="0"/>
          <c:showPercent val="0"/>
          <c:showBubbleSize val="0"/>
        </c:dLbls>
        <c:marker val="1"/>
        <c:smooth val="0"/>
        <c:axId val="294110232"/>
        <c:axId val="294110624"/>
        <c:extLst xmlns:c16r2="http://schemas.microsoft.com/office/drawing/2015/06/chart"/>
      </c:lineChart>
      <c:catAx>
        <c:axId val="29411023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4110624"/>
        <c:crosses val="autoZero"/>
        <c:auto val="1"/>
        <c:lblAlgn val="ctr"/>
        <c:lblOffset val="100"/>
        <c:noMultiLvlLbl val="0"/>
      </c:catAx>
      <c:valAx>
        <c:axId val="294110624"/>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4110232"/>
        <c:crosses val="autoZero"/>
        <c:crossBetween val="between"/>
      </c:valAx>
      <c:spPr>
        <a:noFill/>
        <a:ln>
          <a:noFill/>
        </a:ln>
        <a:effectLst/>
      </c:spPr>
    </c:plotArea>
    <c:legend>
      <c:legendPos val="t"/>
      <c:layout>
        <c:manualLayout>
          <c:xMode val="edge"/>
          <c:yMode val="edge"/>
          <c:x val="6.0686908840719714E-2"/>
          <c:y val="6.3096661921554992E-3"/>
          <c:w val="0.89999995244083164"/>
          <c:h val="0.159173182227660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latin typeface="Arial Narrow" panose="020B0606020202030204"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'Graf 19  + Tab 7 '!$J$6</c:f>
              <c:strCache>
                <c:ptCount val="1"/>
                <c:pt idx="0">
                  <c:v>produkčná medzera</c:v>
                </c:pt>
              </c:strCache>
            </c:strRef>
          </c:tx>
          <c:spPr>
            <a:ln w="19050">
              <a:solidFill>
                <a:schemeClr val="tx1"/>
              </a:solidFill>
            </a:ln>
          </c:spPr>
          <c:marker>
            <c:symbol val="none"/>
          </c:marker>
          <c:cat>
            <c:strRef>
              <c:f>'Graf 19  + Tab 7 '!$K$5:$AC$5</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2019F</c:v>
                </c:pt>
                <c:pt idx="16">
                  <c:v>2020F</c:v>
                </c:pt>
                <c:pt idx="17">
                  <c:v>2021F</c:v>
                </c:pt>
                <c:pt idx="18">
                  <c:v>2022F</c:v>
                </c:pt>
              </c:strCache>
            </c:strRef>
          </c:cat>
          <c:val>
            <c:numRef>
              <c:f>'Graf 19  + Tab 7 '!$K$6:$AC$6</c:f>
              <c:numCache>
                <c:formatCode>0.00</c:formatCode>
                <c:ptCount val="19"/>
                <c:pt idx="0">
                  <c:v>-1.2933778738781443</c:v>
                </c:pt>
                <c:pt idx="1">
                  <c:v>-1.7288827918777776</c:v>
                </c:pt>
                <c:pt idx="2">
                  <c:v>-1.1333082654908186</c:v>
                </c:pt>
                <c:pt idx="3">
                  <c:v>2.0191795695268082</c:v>
                </c:pt>
                <c:pt idx="4">
                  <c:v>2.1153104441099235</c:v>
                </c:pt>
                <c:pt idx="5">
                  <c:v>-4.5098107038007988</c:v>
                </c:pt>
                <c:pt idx="6">
                  <c:v>-0.88537011097437546</c:v>
                </c:pt>
                <c:pt idx="7">
                  <c:v>-0.79702307280545337</c:v>
                </c:pt>
                <c:pt idx="8">
                  <c:v>-1.1544319910867349</c:v>
                </c:pt>
                <c:pt idx="9">
                  <c:v>-1.9413796638612999</c:v>
                </c:pt>
                <c:pt idx="10">
                  <c:v>-1.4957002869212603</c:v>
                </c:pt>
                <c:pt idx="11">
                  <c:v>-0.36013977587637763</c:v>
                </c:pt>
                <c:pt idx="12">
                  <c:v>-7.124527651805955E-2</c:v>
                </c:pt>
                <c:pt idx="13">
                  <c:v>6.8036993172934546E-2</c:v>
                </c:pt>
                <c:pt idx="14">
                  <c:v>0.88169474102572576</c:v>
                </c:pt>
                <c:pt idx="15">
                  <c:v>1.1342928526310221</c:v>
                </c:pt>
                <c:pt idx="16">
                  <c:v>1.095861562500706</c:v>
                </c:pt>
                <c:pt idx="17">
                  <c:v>0.93070615873430929</c:v>
                </c:pt>
                <c:pt idx="18">
                  <c:v>0.55226717149458548</c:v>
                </c:pt>
              </c:numCache>
            </c:numRef>
          </c:val>
          <c:smooth val="0"/>
          <c:extLst xmlns:c16r2="http://schemas.microsoft.com/office/drawing/2015/06/chart">
            <c:ext xmlns:c16="http://schemas.microsoft.com/office/drawing/2014/chart" uri="{C3380CC4-5D6E-409C-BE32-E72D297353CC}">
              <c16:uniqueId val="{00000000-5322-4ADF-B424-3CA2E1BDBFC5}"/>
            </c:ext>
          </c:extLst>
        </c:ser>
        <c:dLbls>
          <c:showLegendKey val="0"/>
          <c:showVal val="0"/>
          <c:showCatName val="0"/>
          <c:showSerName val="0"/>
          <c:showPercent val="0"/>
          <c:showBubbleSize val="0"/>
        </c:dLbls>
        <c:smooth val="0"/>
        <c:axId val="283933616"/>
        <c:axId val="283934008"/>
      </c:lineChart>
      <c:catAx>
        <c:axId val="283933616"/>
        <c:scaling>
          <c:orientation val="minMax"/>
        </c:scaling>
        <c:delete val="0"/>
        <c:axPos val="b"/>
        <c:numFmt formatCode="General" sourceLinked="1"/>
        <c:majorTickMark val="none"/>
        <c:minorTickMark val="none"/>
        <c:tickLblPos val="low"/>
        <c:spPr>
          <a:ln w="6350">
            <a:solidFill>
              <a:schemeClr val="tx1"/>
            </a:solidFill>
          </a:ln>
        </c:spPr>
        <c:crossAx val="283934008"/>
        <c:crosses val="autoZero"/>
        <c:auto val="1"/>
        <c:lblAlgn val="ctr"/>
        <c:lblOffset val="100"/>
        <c:noMultiLvlLbl val="0"/>
      </c:catAx>
      <c:valAx>
        <c:axId val="283934008"/>
        <c:scaling>
          <c:orientation val="minMax"/>
        </c:scaling>
        <c:delete val="0"/>
        <c:axPos val="l"/>
        <c:majorGridlines>
          <c:spPr>
            <a:ln w="6350">
              <a:solidFill>
                <a:schemeClr val="bg1">
                  <a:lumMod val="95000"/>
                </a:schemeClr>
              </a:solidFill>
              <a:prstDash val="sysDot"/>
            </a:ln>
          </c:spPr>
        </c:majorGridlines>
        <c:numFmt formatCode="0" sourceLinked="0"/>
        <c:majorTickMark val="out"/>
        <c:minorTickMark val="none"/>
        <c:tickLblPos val="nextTo"/>
        <c:spPr>
          <a:ln w="6350">
            <a:solidFill>
              <a:schemeClr val="tx1"/>
            </a:solidFill>
          </a:ln>
        </c:spPr>
        <c:crossAx val="283933616"/>
        <c:crosses val="autoZero"/>
        <c:crossBetween val="between"/>
      </c:valAx>
      <c:spPr>
        <a:noFill/>
      </c:spPr>
    </c:plotArea>
    <c:plotVisOnly val="1"/>
    <c:dispBlanksAs val="gap"/>
    <c:showDLblsOverMax val="0"/>
  </c:chart>
  <c:spPr>
    <a:noFill/>
    <a:ln>
      <a:noFill/>
    </a:ln>
  </c:spPr>
  <c:txPr>
    <a:bodyPr/>
    <a:lstStyle/>
    <a:p>
      <a:pPr>
        <a:defRPr sz="800">
          <a:latin typeface="Arial Narrow" panose="020B0606020202030204" pitchFamily="34"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3700439916326"/>
          <c:y val="0.26894759982413363"/>
          <c:w val="0.84201930628044841"/>
          <c:h val="0.57003508103072431"/>
        </c:manualLayout>
      </c:layout>
      <c:barChart>
        <c:barDir val="col"/>
        <c:grouping val="clustered"/>
        <c:varyColors val="0"/>
        <c:ser>
          <c:idx val="0"/>
          <c:order val="0"/>
          <c:tx>
            <c:v>Nominálne saldo</c:v>
          </c:tx>
          <c:spPr>
            <a:solidFill>
              <a:schemeClr val="accent2"/>
            </a:solidFill>
            <a:ln>
              <a:noFill/>
            </a:ln>
            <a:effectLst/>
          </c:spPr>
          <c:invertIfNegative val="0"/>
          <c:dLbls>
            <c:dLbl>
              <c:idx val="0"/>
              <c:layout>
                <c:manualLayout>
                  <c:x val="-8.826125330979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B51-48C1-B536-A28488E9C343}"/>
                </c:ext>
                <c:ext xmlns:c15="http://schemas.microsoft.com/office/drawing/2012/chart" uri="{CE6537A1-D6FC-4f65-9D91-7224C49458BB}"/>
              </c:extLst>
            </c:dLbl>
            <c:dLbl>
              <c:idx val="2"/>
              <c:layout>
                <c:manualLayout>
                  <c:x val="-1.323918799646963E-2"/>
                  <c:y val="0.101522842639593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B51-48C1-B536-A28488E9C343}"/>
                </c:ext>
                <c:ext xmlns:c15="http://schemas.microsoft.com/office/drawing/2012/chart" uri="{CE6537A1-D6FC-4f65-9D91-7224C49458BB}"/>
              </c:extLst>
            </c:dLbl>
            <c:dLbl>
              <c:idx val="3"/>
              <c:layout>
                <c:manualLayout>
                  <c:x val="-1.5069045319026208E-2"/>
                  <c:y val="0.109575799315597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E9-4D2A-AD3C-BA696963D75B}"/>
                </c:ext>
                <c:ext xmlns:c15="http://schemas.microsoft.com/office/drawing/2012/chart" uri="{CE6537A1-D6FC-4f65-9D91-7224C49458BB}"/>
              </c:extLst>
            </c:dLbl>
            <c:dLbl>
              <c:idx val="4"/>
              <c:layout>
                <c:manualLayout>
                  <c:x val="-1.3475130480711174E-2"/>
                  <c:y val="9.6324946886520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E9-4D2A-AD3C-BA696963D75B}"/>
                </c:ext>
                <c:ext xmlns:c15="http://schemas.microsoft.com/office/drawing/2012/chart" uri="{CE6537A1-D6FC-4f65-9D91-7224C49458BB}"/>
              </c:extLst>
            </c:dLbl>
            <c:dLbl>
              <c:idx val="5"/>
              <c:layout>
                <c:manualLayout>
                  <c:x val="-1.6030189518454942E-2"/>
                  <c:y val="0.107541652959135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E9-4D2A-AD3C-BA696963D7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'!$B$20:$G$20</c:f>
              <c:numCache>
                <c:formatCode>General</c:formatCode>
                <c:ptCount val="6"/>
                <c:pt idx="0">
                  <c:v>2017</c:v>
                </c:pt>
                <c:pt idx="1">
                  <c:v>2018</c:v>
                </c:pt>
                <c:pt idx="2">
                  <c:v>2019</c:v>
                </c:pt>
                <c:pt idx="3">
                  <c:v>2020</c:v>
                </c:pt>
                <c:pt idx="4">
                  <c:v>2021</c:v>
                </c:pt>
                <c:pt idx="5">
                  <c:v>2022</c:v>
                </c:pt>
              </c:numCache>
            </c:numRef>
          </c:cat>
          <c:val>
            <c:numRef>
              <c:f>'Graf 20+21 '!$B$21:$G$21</c:f>
              <c:numCache>
                <c:formatCode>0.00</c:formatCode>
                <c:ptCount val="6"/>
                <c:pt idx="0">
                  <c:v>-0.78717869187771383</c:v>
                </c:pt>
                <c:pt idx="1">
                  <c:v>-0.69783206514710039</c:v>
                </c:pt>
                <c:pt idx="2">
                  <c:v>0</c:v>
                </c:pt>
                <c:pt idx="3">
                  <c:v>0</c:v>
                </c:pt>
                <c:pt idx="4">
                  <c:v>0</c:v>
                </c:pt>
                <c:pt idx="5">
                  <c:v>2.9403589792570325E-7</c:v>
                </c:pt>
              </c:numCache>
            </c:numRef>
          </c:val>
          <c:extLst xmlns:c16r2="http://schemas.microsoft.com/office/drawing/2015/06/chart">
            <c:ext xmlns:c16="http://schemas.microsoft.com/office/drawing/2014/chart" uri="{C3380CC4-5D6E-409C-BE32-E72D297353CC}">
              <c16:uniqueId val="{00000003-B4E9-4D2A-AD3C-BA696963D75B}"/>
            </c:ext>
          </c:extLst>
        </c:ser>
        <c:ser>
          <c:idx val="3"/>
          <c:order val="1"/>
          <c:tx>
            <c:v>Štrukturálne saldo</c:v>
          </c:tx>
          <c:spPr>
            <a:solidFill>
              <a:schemeClr val="accent1"/>
            </a:solidFill>
            <a:ln>
              <a:noFill/>
            </a:ln>
            <a:effectLst/>
          </c:spPr>
          <c:invertIfNegative val="0"/>
          <c:dLbls>
            <c:dLbl>
              <c:idx val="0"/>
              <c:layout>
                <c:manualLayout>
                  <c:x val="1.323918799646950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B51-48C1-B536-A28488E9C34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'!$B$20:$G$20</c:f>
              <c:numCache>
                <c:formatCode>General</c:formatCode>
                <c:ptCount val="6"/>
                <c:pt idx="0">
                  <c:v>2017</c:v>
                </c:pt>
                <c:pt idx="1">
                  <c:v>2018</c:v>
                </c:pt>
                <c:pt idx="2">
                  <c:v>2019</c:v>
                </c:pt>
                <c:pt idx="3">
                  <c:v>2020</c:v>
                </c:pt>
                <c:pt idx="4">
                  <c:v>2021</c:v>
                </c:pt>
                <c:pt idx="5">
                  <c:v>2022</c:v>
                </c:pt>
              </c:numCache>
            </c:numRef>
          </c:cat>
          <c:val>
            <c:numRef>
              <c:f>'Graf 20+21 '!$B$22:$G$22</c:f>
              <c:numCache>
                <c:formatCode>0.0</c:formatCode>
                <c:ptCount val="6"/>
                <c:pt idx="0">
                  <c:v>-0.8139438545060792</c:v>
                </c:pt>
                <c:pt idx="1">
                  <c:v>-1.0446831241312258</c:v>
                </c:pt>
                <c:pt idx="2">
                  <c:v>-0.4462209638173571</c:v>
                </c:pt>
                <c:pt idx="3">
                  <c:v>-0.43110242782119268</c:v>
                </c:pt>
                <c:pt idx="4">
                  <c:v>-0.36613172534577199</c:v>
                </c:pt>
                <c:pt idx="5">
                  <c:v>-0.21725681816170722</c:v>
                </c:pt>
              </c:numCache>
            </c:numRef>
          </c:val>
          <c:extLst xmlns:c16r2="http://schemas.microsoft.com/office/drawing/2015/06/chart">
            <c:ext xmlns:c16="http://schemas.microsoft.com/office/drawing/2014/chart" uri="{C3380CC4-5D6E-409C-BE32-E72D297353CC}">
              <c16:uniqueId val="{00000004-B4E9-4D2A-AD3C-BA696963D75B}"/>
            </c:ext>
          </c:extLst>
        </c:ser>
        <c:dLbls>
          <c:showLegendKey val="0"/>
          <c:showVal val="0"/>
          <c:showCatName val="0"/>
          <c:showSerName val="0"/>
          <c:showPercent val="0"/>
          <c:showBubbleSize val="0"/>
        </c:dLbls>
        <c:gapWidth val="219"/>
        <c:axId val="155849144"/>
        <c:axId val="155849536"/>
        <c:extLst xmlns:c16r2="http://schemas.microsoft.com/office/drawing/2015/06/chart"/>
      </c:barChart>
      <c:lineChart>
        <c:grouping val="standard"/>
        <c:varyColors val="0"/>
        <c:ser>
          <c:idx val="6"/>
          <c:order val="2"/>
          <c:tx>
            <c:v>Konsolidačné úsilie</c:v>
          </c:tx>
          <c:spPr>
            <a:ln w="28575" cap="rnd">
              <a:solidFill>
                <a:schemeClr val="tx1"/>
              </a:solidFill>
              <a:round/>
            </a:ln>
            <a:effectLst/>
          </c:spPr>
          <c:marker>
            <c:symbol val="none"/>
          </c:marker>
          <c:dLbls>
            <c:dLbl>
              <c:idx val="3"/>
              <c:layout>
                <c:manualLayout>
                  <c:x val="-5.6780121106923299E-3"/>
                  <c:y val="-6.55696882574338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B51-48C1-B536-A28488E9C343}"/>
                </c:ext>
                <c:ext xmlns:c15="http://schemas.microsoft.com/office/drawing/2012/chart" uri="{CE6537A1-D6FC-4f65-9D91-7224C49458BB}"/>
              </c:extLst>
            </c:dLbl>
            <c:dLbl>
              <c:idx val="4"/>
              <c:layout>
                <c:manualLayout>
                  <c:x val="8.7009477644676755E-3"/>
                  <c:y val="-6.0564416150332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E9-4D2A-AD3C-BA696963D75B}"/>
                </c:ext>
                <c:ext xmlns:c15="http://schemas.microsoft.com/office/drawing/2012/chart" uri="{CE6537A1-D6FC-4f65-9D91-7224C49458BB}"/>
              </c:extLst>
            </c:dLbl>
            <c:dLbl>
              <c:idx val="5"/>
              <c:layout>
                <c:manualLayout>
                  <c:x val="1.6308503350763701E-2"/>
                  <c:y val="-4.401440998060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E9-4D2A-AD3C-BA696963D75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6"/>
              <c:pt idx="0">
                <c:v>2014</c:v>
              </c:pt>
              <c:pt idx="1">
                <c:v>2015</c:v>
              </c:pt>
              <c:pt idx="2">
                <c:v>2016</c:v>
              </c:pt>
              <c:pt idx="3">
                <c:v>2017</c:v>
              </c:pt>
              <c:pt idx="4">
                <c:v>2018</c:v>
              </c:pt>
              <c:pt idx="5">
                <c:v>2019</c:v>
              </c:pt>
            </c:numLit>
          </c:cat>
          <c:val>
            <c:numRef>
              <c:f>'Graf 20+21 '!$B$23:$G$23</c:f>
              <c:numCache>
                <c:formatCode>0.00</c:formatCode>
                <c:ptCount val="6"/>
                <c:pt idx="0">
                  <c:v>1.3021450793233491</c:v>
                </c:pt>
                <c:pt idx="1">
                  <c:v>-0.23073926962514657</c:v>
                </c:pt>
                <c:pt idx="2">
                  <c:v>0.59846216031386867</c:v>
                </c:pt>
                <c:pt idx="3">
                  <c:v>1.5118535996164417E-2</c:v>
                </c:pt>
                <c:pt idx="4">
                  <c:v>6.4970702475420694E-2</c:v>
                </c:pt>
                <c:pt idx="5">
                  <c:v>0.14887490718406476</c:v>
                </c:pt>
              </c:numCache>
            </c:numRef>
          </c:val>
          <c:smooth val="0"/>
          <c:extLst xmlns:c16r2="http://schemas.microsoft.com/office/drawing/2015/06/chart">
            <c:ext xmlns:c16="http://schemas.microsoft.com/office/drawing/2014/chart" uri="{C3380CC4-5D6E-409C-BE32-E72D297353CC}">
              <c16:uniqueId val="{00000007-B4E9-4D2A-AD3C-BA696963D75B}"/>
            </c:ext>
          </c:extLst>
        </c:ser>
        <c:dLbls>
          <c:showLegendKey val="0"/>
          <c:showVal val="0"/>
          <c:showCatName val="0"/>
          <c:showSerName val="0"/>
          <c:showPercent val="0"/>
          <c:showBubbleSize val="0"/>
        </c:dLbls>
        <c:marker val="1"/>
        <c:smooth val="0"/>
        <c:axId val="155849144"/>
        <c:axId val="155849536"/>
        <c:extLst xmlns:c16r2="http://schemas.microsoft.com/office/drawing/2015/06/chart"/>
      </c:lineChart>
      <c:catAx>
        <c:axId val="155849144"/>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55849536"/>
        <c:crosses val="autoZero"/>
        <c:auto val="1"/>
        <c:lblAlgn val="ctr"/>
        <c:lblOffset val="100"/>
        <c:noMultiLvlLbl val="0"/>
      </c:catAx>
      <c:valAx>
        <c:axId val="155849536"/>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55849144"/>
        <c:crosses val="autoZero"/>
        <c:crossBetween val="between"/>
      </c:valAx>
      <c:spPr>
        <a:noFill/>
        <a:ln>
          <a:noFill/>
        </a:ln>
        <a:effectLst/>
      </c:spPr>
    </c:plotArea>
    <c:legend>
      <c:legendPos val="t"/>
      <c:layout>
        <c:manualLayout>
          <c:xMode val="edge"/>
          <c:yMode val="edge"/>
          <c:x val="6.509994083639456E-2"/>
          <c:y val="4.535714285714286E-2"/>
          <c:w val="0.89999995244083164"/>
          <c:h val="0.159173182227660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latin typeface="Arial Narrow" panose="020B060602020203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539126675313"/>
          <c:y val="0.20873636596097378"/>
          <c:w val="0.89118446808322183"/>
          <c:h val="0.67360602880966869"/>
        </c:manualLayout>
      </c:layout>
      <c:barChart>
        <c:barDir val="col"/>
        <c:grouping val="stacked"/>
        <c:varyColors val="0"/>
        <c:ser>
          <c:idx val="7"/>
          <c:order val="0"/>
          <c:tx>
            <c:v>Hrubý dlh (očistený o EFSF a ESM)</c:v>
          </c:tx>
          <c:spPr>
            <a:solidFill>
              <a:schemeClr val="accent1"/>
            </a:solidFill>
            <a:ln>
              <a:noFill/>
            </a:ln>
            <a:effectLst/>
          </c:spPr>
          <c:invertIfNegative val="0"/>
          <c:cat>
            <c:numRef>
              <c:f>'Graf 20+21 '!$K$20:$P$20</c:f>
              <c:numCache>
                <c:formatCode>General</c:formatCode>
                <c:ptCount val="6"/>
                <c:pt idx="0">
                  <c:v>2017</c:v>
                </c:pt>
                <c:pt idx="1">
                  <c:v>2018</c:v>
                </c:pt>
                <c:pt idx="2">
                  <c:v>2019</c:v>
                </c:pt>
                <c:pt idx="3">
                  <c:v>2020</c:v>
                </c:pt>
                <c:pt idx="4">
                  <c:v>2021</c:v>
                </c:pt>
                <c:pt idx="5">
                  <c:v>2022</c:v>
                </c:pt>
              </c:numCache>
            </c:numRef>
          </c:cat>
          <c:val>
            <c:numRef>
              <c:f>'Graf 20+21 '!$K$22:$P$22</c:f>
              <c:numCache>
                <c:formatCode>0.0</c:formatCode>
                <c:ptCount val="6"/>
                <c:pt idx="0">
                  <c:v>47.955840487418065</c:v>
                </c:pt>
                <c:pt idx="1">
                  <c:v>46.115538304505122</c:v>
                </c:pt>
                <c:pt idx="2">
                  <c:v>44.866135645791957</c:v>
                </c:pt>
                <c:pt idx="3">
                  <c:v>43.377194100431979</c:v>
                </c:pt>
                <c:pt idx="4">
                  <c:v>42.508168986179399</c:v>
                </c:pt>
                <c:pt idx="5">
                  <c:v>42.071094827990635</c:v>
                </c:pt>
              </c:numCache>
            </c:numRef>
          </c:val>
          <c:extLst xmlns:c16r2="http://schemas.microsoft.com/office/drawing/2015/06/chart">
            <c:ext xmlns:c16="http://schemas.microsoft.com/office/drawing/2014/chart" uri="{C3380CC4-5D6E-409C-BE32-E72D297353CC}">
              <c16:uniqueId val="{00000000-EEA2-42D3-B7F2-13DBEDD63672}"/>
            </c:ext>
          </c:extLst>
        </c:ser>
        <c:ser>
          <c:idx val="3"/>
          <c:order val="2"/>
          <c:tx>
            <c:strRef>
              <c:f>'Graf 20+21 '!$J$23</c:f>
              <c:strCache>
                <c:ptCount val="1"/>
                <c:pt idx="0">
                  <c:v>EFSF + ESM</c:v>
                </c:pt>
              </c:strCache>
            </c:strRef>
          </c:tx>
          <c:spPr>
            <a:solidFill>
              <a:schemeClr val="accent2"/>
            </a:solidFill>
            <a:ln>
              <a:noFill/>
            </a:ln>
            <a:effectLst/>
          </c:spPr>
          <c:invertIfNegative val="0"/>
          <c:cat>
            <c:numRef>
              <c:f>'Graf 20+21 '!$K$20:$P$20</c:f>
              <c:numCache>
                <c:formatCode>General</c:formatCode>
                <c:ptCount val="6"/>
                <c:pt idx="0">
                  <c:v>2017</c:v>
                </c:pt>
                <c:pt idx="1">
                  <c:v>2018</c:v>
                </c:pt>
                <c:pt idx="2">
                  <c:v>2019</c:v>
                </c:pt>
                <c:pt idx="3">
                  <c:v>2020</c:v>
                </c:pt>
                <c:pt idx="4">
                  <c:v>2021</c:v>
                </c:pt>
                <c:pt idx="5">
                  <c:v>2022</c:v>
                </c:pt>
              </c:numCache>
            </c:numRef>
          </c:cat>
          <c:val>
            <c:numRef>
              <c:f>'Graf 20+21 '!$K$23:$P$23</c:f>
              <c:numCache>
                <c:formatCode>0.0</c:formatCode>
                <c:ptCount val="6"/>
                <c:pt idx="0">
                  <c:v>2.9932984479770663</c:v>
                </c:pt>
                <c:pt idx="1">
                  <c:v>2.8157312076086294</c:v>
                </c:pt>
                <c:pt idx="2">
                  <c:v>2.637687490887751</c:v>
                </c:pt>
                <c:pt idx="3">
                  <c:v>2.550494190567675</c:v>
                </c:pt>
                <c:pt idx="4">
                  <c:v>2.4141252604140648</c:v>
                </c:pt>
                <c:pt idx="5">
                  <c:v>2.3003956597476725</c:v>
                </c:pt>
              </c:numCache>
            </c:numRef>
          </c:val>
          <c:extLst xmlns:c16r2="http://schemas.microsoft.com/office/drawing/2015/06/chart">
            <c:ext xmlns:c16="http://schemas.microsoft.com/office/drawing/2014/chart" uri="{C3380CC4-5D6E-409C-BE32-E72D297353CC}">
              <c16:uniqueId val="{00000001-EEA2-42D3-B7F2-13DBEDD63672}"/>
            </c:ext>
          </c:extLst>
        </c:ser>
        <c:dLbls>
          <c:showLegendKey val="0"/>
          <c:showVal val="0"/>
          <c:showCatName val="0"/>
          <c:showSerName val="0"/>
          <c:showPercent val="0"/>
          <c:showBubbleSize val="0"/>
        </c:dLbls>
        <c:gapWidth val="150"/>
        <c:overlap val="100"/>
        <c:axId val="155850320"/>
        <c:axId val="477434024"/>
        <c:extLst xmlns:c16r2="http://schemas.microsoft.com/office/drawing/2015/06/chart"/>
      </c:barChart>
      <c:lineChart>
        <c:grouping val="standard"/>
        <c:varyColors val="0"/>
        <c:ser>
          <c:idx val="0"/>
          <c:order val="1"/>
          <c:tx>
            <c:strRef>
              <c:f>'Graf 20+21 '!$J$21</c:f>
              <c:strCache>
                <c:ptCount val="1"/>
                <c:pt idx="0">
                  <c:v>Hrubý dlh verejnej správy</c:v>
                </c:pt>
              </c:strCache>
            </c:strRef>
          </c:tx>
          <c:spPr>
            <a:ln w="28575" cap="rnd">
              <a:noFill/>
              <a:round/>
            </a:ln>
            <a:effectLst/>
          </c:spPr>
          <c:marker>
            <c:symbol val="circle"/>
            <c:size val="5"/>
            <c:spPr>
              <a:solidFill>
                <a:schemeClr val="tx1"/>
              </a:solidFill>
              <a:ln w="9525">
                <a:noFill/>
              </a:ln>
              <a:effectLst/>
            </c:spPr>
          </c:marker>
          <c:dPt>
            <c:idx val="1"/>
            <c:marker>
              <c:symbol val="circle"/>
              <c:size val="5"/>
              <c:spPr>
                <a:solidFill>
                  <a:schemeClr val="tx1"/>
                </a:solidFill>
                <a:ln w="9525">
                  <a:noFill/>
                  <a:prstDash val="sysDot"/>
                </a:ln>
                <a:effectLst/>
              </c:spPr>
            </c:marker>
            <c:bubble3D val="0"/>
            <c:spPr>
              <a:ln w="28575" cap="rnd">
                <a:noFill/>
                <a:prstDash val="sysDot"/>
                <a:round/>
              </a:ln>
              <a:effectLst/>
            </c:spPr>
            <c:extLst xmlns:c16r2="http://schemas.microsoft.com/office/drawing/2015/06/chart">
              <c:ext xmlns:c16="http://schemas.microsoft.com/office/drawing/2014/chart" uri="{C3380CC4-5D6E-409C-BE32-E72D297353CC}">
                <c16:uniqueId val="{00000003-EEA2-42D3-B7F2-13DBEDD63672}"/>
              </c:ext>
            </c:extLst>
          </c:dPt>
          <c:dPt>
            <c:idx val="2"/>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5-EEA2-42D3-B7F2-13DBEDD63672}"/>
              </c:ext>
            </c:extLst>
          </c:dPt>
          <c:dPt>
            <c:idx val="3"/>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7-EEA2-42D3-B7F2-13DBEDD63672}"/>
              </c:ext>
            </c:extLst>
          </c:dPt>
          <c:dPt>
            <c:idx val="4"/>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9-EEA2-42D3-B7F2-13DBEDD63672}"/>
              </c:ext>
            </c:extLst>
          </c:dPt>
          <c:dPt>
            <c:idx val="5"/>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B-EEA2-42D3-B7F2-13DBEDD6367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'!$K$20:$P$20</c:f>
              <c:numCache>
                <c:formatCode>General</c:formatCode>
                <c:ptCount val="6"/>
                <c:pt idx="0">
                  <c:v>2017</c:v>
                </c:pt>
                <c:pt idx="1">
                  <c:v>2018</c:v>
                </c:pt>
                <c:pt idx="2">
                  <c:v>2019</c:v>
                </c:pt>
                <c:pt idx="3">
                  <c:v>2020</c:v>
                </c:pt>
                <c:pt idx="4">
                  <c:v>2021</c:v>
                </c:pt>
                <c:pt idx="5">
                  <c:v>2022</c:v>
                </c:pt>
              </c:numCache>
            </c:numRef>
          </c:cat>
          <c:val>
            <c:numRef>
              <c:f>'Graf 20+21 '!$K$21:$P$21</c:f>
              <c:numCache>
                <c:formatCode>0.0</c:formatCode>
                <c:ptCount val="6"/>
                <c:pt idx="0">
                  <c:v>50.949138935395133</c:v>
                </c:pt>
                <c:pt idx="1">
                  <c:v>48.931269512113751</c:v>
                </c:pt>
                <c:pt idx="2">
                  <c:v>47.503823136679706</c:v>
                </c:pt>
                <c:pt idx="3">
                  <c:v>45.927688290999654</c:v>
                </c:pt>
                <c:pt idx="4">
                  <c:v>44.922294246593466</c:v>
                </c:pt>
                <c:pt idx="5">
                  <c:v>44.371490487738306</c:v>
                </c:pt>
              </c:numCache>
            </c:numRef>
          </c:val>
          <c:smooth val="0"/>
          <c:extLst xmlns:c16r2="http://schemas.microsoft.com/office/drawing/2015/06/chart">
            <c:ext xmlns:c16="http://schemas.microsoft.com/office/drawing/2014/chart" uri="{C3380CC4-5D6E-409C-BE32-E72D297353CC}">
              <c16:uniqueId val="{0000000C-EEA2-42D3-B7F2-13DBEDD63672}"/>
            </c:ext>
          </c:extLst>
        </c:ser>
        <c:ser>
          <c:idx val="6"/>
          <c:order val="3"/>
          <c:tx>
            <c:v>Čistý dlh</c:v>
          </c:tx>
          <c:spPr>
            <a:ln w="28575" cap="rnd">
              <a:noFill/>
              <a:round/>
            </a:ln>
            <a:effectLst/>
          </c:spPr>
          <c:marker>
            <c:symbol val="circ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'!$K$20:$P$20</c:f>
              <c:numCache>
                <c:formatCode>General</c:formatCode>
                <c:ptCount val="6"/>
                <c:pt idx="0">
                  <c:v>2017</c:v>
                </c:pt>
                <c:pt idx="1">
                  <c:v>2018</c:v>
                </c:pt>
                <c:pt idx="2">
                  <c:v>2019</c:v>
                </c:pt>
                <c:pt idx="3">
                  <c:v>2020</c:v>
                </c:pt>
                <c:pt idx="4">
                  <c:v>2021</c:v>
                </c:pt>
                <c:pt idx="5">
                  <c:v>2022</c:v>
                </c:pt>
              </c:numCache>
            </c:numRef>
          </c:cat>
          <c:val>
            <c:numRef>
              <c:f>'Graf 20+21 '!$K$24:$P$24</c:f>
              <c:numCache>
                <c:formatCode>0.0</c:formatCode>
                <c:ptCount val="6"/>
                <c:pt idx="0">
                  <c:v>45.303822895397715</c:v>
                </c:pt>
                <c:pt idx="1">
                  <c:v>42.955114139229124</c:v>
                </c:pt>
                <c:pt idx="2">
                  <c:v>41.25354986194408</c:v>
                </c:pt>
                <c:pt idx="3">
                  <c:v>39.77908050811007</c:v>
                </c:pt>
                <c:pt idx="4">
                  <c:v>38.543246416007136</c:v>
                </c:pt>
                <c:pt idx="5">
                  <c:v>37.073143648703791</c:v>
                </c:pt>
              </c:numCache>
            </c:numRef>
          </c:val>
          <c:smooth val="0"/>
          <c:extLst xmlns:c16r2="http://schemas.microsoft.com/office/drawing/2015/06/chart">
            <c:ext xmlns:c16="http://schemas.microsoft.com/office/drawing/2014/chart" uri="{C3380CC4-5D6E-409C-BE32-E72D297353CC}">
              <c16:uniqueId val="{0000000D-EEA2-42D3-B7F2-13DBEDD63672}"/>
            </c:ext>
          </c:extLst>
        </c:ser>
        <c:ser>
          <c:idx val="1"/>
          <c:order val="4"/>
          <c:tx>
            <c:strRef>
              <c:f>'Graf 20+21 '!$J$25</c:f>
              <c:strCache>
                <c:ptCount val="1"/>
                <c:pt idx="0">
                  <c:v>Horné sankčné pásmo</c:v>
                </c:pt>
              </c:strCache>
            </c:strRef>
          </c:tx>
          <c:spPr>
            <a:ln w="9525" cap="rnd" cmpd="sng">
              <a:solidFill>
                <a:srgbClr val="FF0000"/>
              </a:solidFill>
              <a:round/>
            </a:ln>
            <a:effectLst/>
          </c:spPr>
          <c:marker>
            <c:symbol val="none"/>
          </c:marker>
          <c:cat>
            <c:numRef>
              <c:f>'Graf 20+21 '!$K$20:$P$20</c:f>
              <c:numCache>
                <c:formatCode>General</c:formatCode>
                <c:ptCount val="6"/>
                <c:pt idx="0">
                  <c:v>2017</c:v>
                </c:pt>
                <c:pt idx="1">
                  <c:v>2018</c:v>
                </c:pt>
                <c:pt idx="2">
                  <c:v>2019</c:v>
                </c:pt>
                <c:pt idx="3">
                  <c:v>2020</c:v>
                </c:pt>
                <c:pt idx="4">
                  <c:v>2021</c:v>
                </c:pt>
                <c:pt idx="5">
                  <c:v>2022</c:v>
                </c:pt>
              </c:numCache>
            </c:numRef>
          </c:cat>
          <c:val>
            <c:numRef>
              <c:f>'Graf 20+21 '!$K$25:$P$25</c:f>
              <c:numCache>
                <c:formatCode>0.0</c:formatCode>
                <c:ptCount val="6"/>
                <c:pt idx="0">
                  <c:v>60</c:v>
                </c:pt>
                <c:pt idx="1">
                  <c:v>59</c:v>
                </c:pt>
                <c:pt idx="2">
                  <c:v>58</c:v>
                </c:pt>
                <c:pt idx="3">
                  <c:v>57</c:v>
                </c:pt>
                <c:pt idx="4">
                  <c:v>56</c:v>
                </c:pt>
                <c:pt idx="5">
                  <c:v>55</c:v>
                </c:pt>
              </c:numCache>
            </c:numRef>
          </c:val>
          <c:smooth val="0"/>
        </c:ser>
        <c:ser>
          <c:idx val="2"/>
          <c:order val="5"/>
          <c:tx>
            <c:strRef>
              <c:f>'Graf 20+21 '!$J$26</c:f>
              <c:strCache>
                <c:ptCount val="1"/>
                <c:pt idx="0">
                  <c:v>Dolné sankčné pásmo</c:v>
                </c:pt>
              </c:strCache>
            </c:strRef>
          </c:tx>
          <c:spPr>
            <a:ln w="9525" cap="rnd">
              <a:solidFill>
                <a:srgbClr val="FF0000"/>
              </a:solidFill>
              <a:prstDash val="dash"/>
              <a:round/>
            </a:ln>
            <a:effectLst/>
          </c:spPr>
          <c:marker>
            <c:symbol val="none"/>
          </c:marker>
          <c:cat>
            <c:numRef>
              <c:f>'Graf 20+21 '!$K$20:$P$20</c:f>
              <c:numCache>
                <c:formatCode>General</c:formatCode>
                <c:ptCount val="6"/>
                <c:pt idx="0">
                  <c:v>2017</c:v>
                </c:pt>
                <c:pt idx="1">
                  <c:v>2018</c:v>
                </c:pt>
                <c:pt idx="2">
                  <c:v>2019</c:v>
                </c:pt>
                <c:pt idx="3">
                  <c:v>2020</c:v>
                </c:pt>
                <c:pt idx="4">
                  <c:v>2021</c:v>
                </c:pt>
                <c:pt idx="5">
                  <c:v>2022</c:v>
                </c:pt>
              </c:numCache>
            </c:numRef>
          </c:cat>
          <c:val>
            <c:numRef>
              <c:f>'Graf 20+21 '!$K$26:$P$26</c:f>
              <c:numCache>
                <c:formatCode>0.0</c:formatCode>
                <c:ptCount val="6"/>
                <c:pt idx="0">
                  <c:v>50</c:v>
                </c:pt>
                <c:pt idx="1">
                  <c:v>49</c:v>
                </c:pt>
                <c:pt idx="2">
                  <c:v>48</c:v>
                </c:pt>
                <c:pt idx="3">
                  <c:v>47</c:v>
                </c:pt>
                <c:pt idx="4">
                  <c:v>46</c:v>
                </c:pt>
                <c:pt idx="5">
                  <c:v>45</c:v>
                </c:pt>
              </c:numCache>
            </c:numRef>
          </c:val>
          <c:smooth val="0"/>
        </c:ser>
        <c:dLbls>
          <c:showLegendKey val="0"/>
          <c:showVal val="0"/>
          <c:showCatName val="0"/>
          <c:showSerName val="0"/>
          <c:showPercent val="0"/>
          <c:showBubbleSize val="0"/>
        </c:dLbls>
        <c:marker val="1"/>
        <c:smooth val="0"/>
        <c:axId val="155850320"/>
        <c:axId val="477434024"/>
      </c:lineChart>
      <c:catAx>
        <c:axId val="155850320"/>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7434024"/>
        <c:crosses val="autoZero"/>
        <c:auto val="1"/>
        <c:lblAlgn val="ctr"/>
        <c:lblOffset val="100"/>
        <c:noMultiLvlLbl val="0"/>
      </c:catAx>
      <c:valAx>
        <c:axId val="477434024"/>
        <c:scaling>
          <c:orientation val="minMax"/>
          <c:max val="60"/>
          <c:min val="30"/>
        </c:scaling>
        <c:delete val="0"/>
        <c:axPos val="l"/>
        <c:majorGridlines>
          <c:spPr>
            <a:ln w="9525" cap="flat" cmpd="sng" algn="ctr">
              <a:solidFill>
                <a:schemeClr val="tx1">
                  <a:lumMod val="15000"/>
                  <a:lumOff val="85000"/>
                </a:schemeClr>
              </a:solidFill>
              <a:prstDash val="sysDot"/>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55850320"/>
        <c:crosses val="autoZero"/>
        <c:crossBetween val="between"/>
        <c:majorUnit val="5"/>
      </c:valAx>
      <c:spPr>
        <a:noFill/>
        <a:ln>
          <a:noFill/>
        </a:ln>
        <a:effectLst/>
      </c:spPr>
    </c:plotArea>
    <c:legend>
      <c:legendPos val="t"/>
      <c:layout>
        <c:manualLayout>
          <c:xMode val="edge"/>
          <c:yMode val="edge"/>
          <c:x val="6.7289067660133437E-3"/>
          <c:y val="0"/>
          <c:w val="0.99327109323398666"/>
          <c:h val="0.18073731824955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85819393771403"/>
          <c:y val="8.9983341926783797E-2"/>
          <c:w val="0.67153464250703598"/>
          <c:h val="0.88057796029608404"/>
        </c:manualLayout>
      </c:layout>
      <c:barChart>
        <c:barDir val="bar"/>
        <c:grouping val="stacked"/>
        <c:varyColors val="0"/>
        <c:ser>
          <c:idx val="0"/>
          <c:order val="0"/>
          <c:spPr>
            <a:solidFill>
              <a:srgbClr val="F8CBAD"/>
            </a:solidFill>
            <a:ln>
              <a:noFill/>
            </a:ln>
          </c:spPr>
          <c:invertIfNegative val="0"/>
          <c:dPt>
            <c:idx val="1"/>
            <c:invertIfNegative val="0"/>
            <c:bubble3D val="0"/>
            <c:spPr>
              <a:solidFill>
                <a:srgbClr val="C5E0B4"/>
              </a:solidFill>
              <a:ln>
                <a:noFill/>
              </a:ln>
            </c:spPr>
            <c:extLst xmlns:c16r2="http://schemas.microsoft.com/office/drawing/2015/06/chart">
              <c:ext xmlns:c16="http://schemas.microsoft.com/office/drawing/2014/chart" uri="{C3380CC4-5D6E-409C-BE32-E72D297353CC}">
                <c16:uniqueId val="{00000001-C75A-46C1-BF1D-1968AFA99F64}"/>
              </c:ext>
            </c:extLst>
          </c:dPt>
          <c:dPt>
            <c:idx val="3"/>
            <c:invertIfNegative val="0"/>
            <c:bubble3D val="0"/>
            <c:extLst xmlns:c16r2="http://schemas.microsoft.com/office/drawing/2015/06/chart">
              <c:ext xmlns:c16="http://schemas.microsoft.com/office/drawing/2014/chart" uri="{C3380CC4-5D6E-409C-BE32-E72D297353CC}">
                <c16:uniqueId val="{00000002-C75A-46C1-BF1D-1968AFA99F64}"/>
              </c:ext>
            </c:extLst>
          </c:dPt>
          <c:dPt>
            <c:idx val="7"/>
            <c:invertIfNegative val="0"/>
            <c:bubble3D val="0"/>
            <c:extLst xmlns:c16r2="http://schemas.microsoft.com/office/drawing/2015/06/chart">
              <c:ext xmlns:c16="http://schemas.microsoft.com/office/drawing/2014/chart" uri="{C3380CC4-5D6E-409C-BE32-E72D297353CC}">
                <c16:uniqueId val="{00000003-C75A-46C1-BF1D-1968AFA99F64}"/>
              </c:ext>
            </c:extLst>
          </c:dPt>
          <c:dPt>
            <c:idx val="8"/>
            <c:invertIfNegative val="0"/>
            <c:bubble3D val="0"/>
            <c:extLst xmlns:c16r2="http://schemas.microsoft.com/office/drawing/2015/06/chart">
              <c:ext xmlns:c16="http://schemas.microsoft.com/office/drawing/2014/chart" uri="{C3380CC4-5D6E-409C-BE32-E72D297353CC}">
                <c16:uniqueId val="{00000004-C75A-46C1-BF1D-1968AFA99F64}"/>
              </c:ext>
            </c:extLst>
          </c:dPt>
          <c:dPt>
            <c:idx val="9"/>
            <c:invertIfNegative val="0"/>
            <c:bubble3D val="0"/>
            <c:extLst xmlns:c16r2="http://schemas.microsoft.com/office/drawing/2015/06/chart">
              <c:ext xmlns:c16="http://schemas.microsoft.com/office/drawing/2014/chart" uri="{C3380CC4-5D6E-409C-BE32-E72D297353CC}">
                <c16:uniqueId val="{00000005-C75A-46C1-BF1D-1968AFA99F64}"/>
              </c:ext>
            </c:extLst>
          </c:dPt>
          <c:dPt>
            <c:idx val="10"/>
            <c:invertIfNegative val="0"/>
            <c:bubble3D val="0"/>
            <c:extLst xmlns:c16r2="http://schemas.microsoft.com/office/drawing/2015/06/chart">
              <c:ext xmlns:c16="http://schemas.microsoft.com/office/drawing/2014/chart" uri="{C3380CC4-5D6E-409C-BE32-E72D297353CC}">
                <c16:uniqueId val="{00000006-C75A-46C1-BF1D-1968AFA99F64}"/>
              </c:ext>
            </c:extLst>
          </c:dPt>
          <c:dPt>
            <c:idx val="11"/>
            <c:invertIfNegative val="0"/>
            <c:bubble3D val="0"/>
            <c:extLst xmlns:c16r2="http://schemas.microsoft.com/office/drawing/2015/06/chart">
              <c:ext xmlns:c16="http://schemas.microsoft.com/office/drawing/2014/chart" uri="{C3380CC4-5D6E-409C-BE32-E72D297353CC}">
                <c16:uniqueId val="{00000007-C75A-46C1-BF1D-1968AFA99F64}"/>
              </c:ext>
            </c:extLst>
          </c:dPt>
          <c:cat>
            <c:strRef>
              <c:f>'Graf 22'!$B$25:$B$35</c:f>
              <c:strCache>
                <c:ptCount val="11"/>
                <c:pt idx="0">
                  <c:v>Saldo VS - rozpočet 2018</c:v>
                </c:pt>
                <c:pt idx="1">
                  <c:v>Vyššie granty a transfery (D.39+D.7R+D.9R)</c:v>
                </c:pt>
                <c:pt idx="2">
                  <c:v>Nedaňové príjmy (P.11+P.12+P.131+D.4)</c:v>
                </c:pt>
                <c:pt idx="3">
                  <c:v>Vyššie príspevky na sociálne zabezpečenie (D.61)</c:v>
                </c:pt>
                <c:pt idx="4">
                  <c:v>Vyššie daňové príjmy (D.2+D.5+D.91)</c:v>
                </c:pt>
                <c:pt idx="5">
                  <c:v>Nižšie výdavky na sociálne dávky (D.62P)</c:v>
                </c:pt>
                <c:pt idx="6">
                  <c:v>Nižšie ostatné bežné transfery (D.7P)</c:v>
                </c:pt>
                <c:pt idx="7">
                  <c:v>Ostatné</c:v>
                </c:pt>
                <c:pt idx="8">
                  <c:v>Vyššie kompenzácie zamestnancov (D.1P)</c:v>
                </c:pt>
                <c:pt idx="9">
                  <c:v>Vyššie kapitálové výdavky (P.5L+ D.9P)</c:v>
                </c:pt>
                <c:pt idx="10">
                  <c:v>Saldo VS - skutočnosť 2018</c:v>
                </c:pt>
              </c:strCache>
            </c:strRef>
          </c:cat>
          <c:val>
            <c:numRef>
              <c:f>'Graf 22'!$E$25:$E$35</c:f>
              <c:numCache>
                <c:formatCode>#,##0</c:formatCode>
                <c:ptCount val="11"/>
                <c:pt idx="1">
                  <c:v>-742.81100000000151</c:v>
                </c:pt>
                <c:pt idx="2">
                  <c:v>0</c:v>
                </c:pt>
                <c:pt idx="3">
                  <c:v>0</c:v>
                </c:pt>
                <c:pt idx="4">
                  <c:v>0</c:v>
                </c:pt>
                <c:pt idx="5">
                  <c:v>0</c:v>
                </c:pt>
                <c:pt idx="6">
                  <c:v>0</c:v>
                </c:pt>
                <c:pt idx="7">
                  <c:v>0</c:v>
                </c:pt>
                <c:pt idx="8">
                  <c:v>0</c:v>
                </c:pt>
                <c:pt idx="9">
                  <c:v>587.65699999999651</c:v>
                </c:pt>
              </c:numCache>
            </c:numRef>
          </c:val>
          <c:extLst xmlns:c16r2="http://schemas.microsoft.com/office/drawing/2015/06/chart">
            <c:ext xmlns:c16="http://schemas.microsoft.com/office/drawing/2014/chart" uri="{C3380CC4-5D6E-409C-BE32-E72D297353CC}">
              <c16:uniqueId val="{00000008-C75A-46C1-BF1D-1968AFA99F64}"/>
            </c:ext>
          </c:extLst>
        </c:ser>
        <c:ser>
          <c:idx val="1"/>
          <c:order val="1"/>
          <c:spPr>
            <a:noFill/>
          </c:spPr>
          <c:invertIfNegative val="0"/>
          <c:cat>
            <c:strRef>
              <c:f>'Graf 22'!$B$25:$B$35</c:f>
              <c:strCache>
                <c:ptCount val="11"/>
                <c:pt idx="0">
                  <c:v>Saldo VS - rozpočet 2018</c:v>
                </c:pt>
                <c:pt idx="1">
                  <c:v>Vyššie granty a transfery (D.39+D.7R+D.9R)</c:v>
                </c:pt>
                <c:pt idx="2">
                  <c:v>Nedaňové príjmy (P.11+P.12+P.131+D.4)</c:v>
                </c:pt>
                <c:pt idx="3">
                  <c:v>Vyššie príspevky na sociálne zabezpečenie (D.61)</c:v>
                </c:pt>
                <c:pt idx="4">
                  <c:v>Vyššie daňové príjmy (D.2+D.5+D.91)</c:v>
                </c:pt>
                <c:pt idx="5">
                  <c:v>Nižšie výdavky na sociálne dávky (D.62P)</c:v>
                </c:pt>
                <c:pt idx="6">
                  <c:v>Nižšie ostatné bežné transfery (D.7P)</c:v>
                </c:pt>
                <c:pt idx="7">
                  <c:v>Ostatné</c:v>
                </c:pt>
                <c:pt idx="8">
                  <c:v>Vyššie kompenzácie zamestnancov (D.1P)</c:v>
                </c:pt>
                <c:pt idx="9">
                  <c:v>Vyššie kapitálové výdavky (P.5L+ D.9P)</c:v>
                </c:pt>
                <c:pt idx="10">
                  <c:v>Saldo VS - skutočnosť 2018</c:v>
                </c:pt>
              </c:strCache>
            </c:strRef>
          </c:cat>
          <c:val>
            <c:numRef>
              <c:f>'Graf 22'!$F$25:$F$35</c:f>
              <c:numCache>
                <c:formatCode>#,##0</c:formatCode>
                <c:ptCount val="11"/>
                <c:pt idx="1">
                  <c:v>0</c:v>
                </c:pt>
                <c:pt idx="2">
                  <c:v>123.97499999999854</c:v>
                </c:pt>
                <c:pt idx="3">
                  <c:v>433.95599999999922</c:v>
                </c:pt>
                <c:pt idx="4">
                  <c:v>682.59999999999764</c:v>
                </c:pt>
                <c:pt idx="5">
                  <c:v>841.46299999999701</c:v>
                </c:pt>
                <c:pt idx="6">
                  <c:v>921.03499999999713</c:v>
                </c:pt>
                <c:pt idx="7">
                  <c:v>877.53899999999703</c:v>
                </c:pt>
                <c:pt idx="8">
                  <c:v>587.65699999999651</c:v>
                </c:pt>
                <c:pt idx="9">
                  <c:v>0</c:v>
                </c:pt>
              </c:numCache>
            </c:numRef>
          </c:val>
          <c:extLst xmlns:c16r2="http://schemas.microsoft.com/office/drawing/2015/06/chart">
            <c:ext xmlns:c16="http://schemas.microsoft.com/office/drawing/2014/chart" uri="{C3380CC4-5D6E-409C-BE32-E72D297353CC}">
              <c16:uniqueId val="{00000009-C75A-46C1-BF1D-1968AFA99F64}"/>
            </c:ext>
          </c:extLst>
        </c:ser>
        <c:ser>
          <c:idx val="2"/>
          <c:order val="2"/>
          <c:spPr>
            <a:solidFill>
              <a:srgbClr val="C5E0B4"/>
            </a:solidFill>
          </c:spPr>
          <c:invertIfNegative val="0"/>
          <c:dPt>
            <c:idx val="0"/>
            <c:invertIfNegative val="0"/>
            <c:bubble3D val="0"/>
            <c:spPr>
              <a:solidFill>
                <a:srgbClr val="AAD3F2"/>
              </a:solidFill>
              <a:ln>
                <a:noFill/>
              </a:ln>
            </c:spPr>
            <c:extLst xmlns:c16r2="http://schemas.microsoft.com/office/drawing/2015/06/chart">
              <c:ext xmlns:c16="http://schemas.microsoft.com/office/drawing/2014/chart" uri="{C3380CC4-5D6E-409C-BE32-E72D297353CC}">
                <c16:uniqueId val="{0000000B-C75A-46C1-BF1D-1968AFA99F64}"/>
              </c:ext>
            </c:extLst>
          </c:dPt>
          <c:dPt>
            <c:idx val="1"/>
            <c:invertIfNegative val="0"/>
            <c:bubble3D val="0"/>
            <c:extLst xmlns:c16r2="http://schemas.microsoft.com/office/drawing/2015/06/chart">
              <c:ext xmlns:c16="http://schemas.microsoft.com/office/drawing/2014/chart" uri="{C3380CC4-5D6E-409C-BE32-E72D297353CC}">
                <c16:uniqueId val="{0000000C-C75A-46C1-BF1D-1968AFA99F64}"/>
              </c:ext>
            </c:extLst>
          </c:dPt>
          <c:dPt>
            <c:idx val="2"/>
            <c:invertIfNegative val="0"/>
            <c:bubble3D val="0"/>
            <c:extLst xmlns:c16r2="http://schemas.microsoft.com/office/drawing/2015/06/chart">
              <c:ext xmlns:c16="http://schemas.microsoft.com/office/drawing/2014/chart" uri="{C3380CC4-5D6E-409C-BE32-E72D297353CC}">
                <c16:uniqueId val="{0000000D-C75A-46C1-BF1D-1968AFA99F64}"/>
              </c:ext>
            </c:extLst>
          </c:dPt>
          <c:dPt>
            <c:idx val="3"/>
            <c:invertIfNegative val="0"/>
            <c:bubble3D val="0"/>
            <c:spPr>
              <a:solidFill>
                <a:srgbClr val="C5E0B4"/>
              </a:solidFill>
              <a:ln>
                <a:noFill/>
              </a:ln>
            </c:spPr>
            <c:extLst xmlns:c16r2="http://schemas.microsoft.com/office/drawing/2015/06/chart">
              <c:ext xmlns:c16="http://schemas.microsoft.com/office/drawing/2014/chart" uri="{C3380CC4-5D6E-409C-BE32-E72D297353CC}">
                <c16:uniqueId val="{0000000F-C75A-46C1-BF1D-1968AFA99F64}"/>
              </c:ext>
            </c:extLst>
          </c:dPt>
          <c:dPt>
            <c:idx val="4"/>
            <c:invertIfNegative val="0"/>
            <c:bubble3D val="0"/>
            <c:extLst xmlns:c16r2="http://schemas.microsoft.com/office/drawing/2015/06/chart">
              <c:ext xmlns:c16="http://schemas.microsoft.com/office/drawing/2014/chart" uri="{C3380CC4-5D6E-409C-BE32-E72D297353CC}">
                <c16:uniqueId val="{00000010-C75A-46C1-BF1D-1968AFA99F64}"/>
              </c:ext>
            </c:extLst>
          </c:dPt>
          <c:dPt>
            <c:idx val="5"/>
            <c:invertIfNegative val="0"/>
            <c:bubble3D val="0"/>
            <c:extLst xmlns:c16r2="http://schemas.microsoft.com/office/drawing/2015/06/chart">
              <c:ext xmlns:c16="http://schemas.microsoft.com/office/drawing/2014/chart" uri="{C3380CC4-5D6E-409C-BE32-E72D297353CC}">
                <c16:uniqueId val="{00000011-C75A-46C1-BF1D-1968AFA99F64}"/>
              </c:ext>
            </c:extLst>
          </c:dPt>
          <c:dPt>
            <c:idx val="6"/>
            <c:invertIfNegative val="0"/>
            <c:bubble3D val="0"/>
            <c:spPr>
              <a:solidFill>
                <a:srgbClr val="B0D6AF"/>
              </a:solidFill>
            </c:spPr>
            <c:extLst xmlns:c16r2="http://schemas.microsoft.com/office/drawing/2015/06/chart">
              <c:ext xmlns:c16="http://schemas.microsoft.com/office/drawing/2014/chart" uri="{C3380CC4-5D6E-409C-BE32-E72D297353CC}">
                <c16:uniqueId val="{00000013-C75A-46C1-BF1D-1968AFA99F64}"/>
              </c:ext>
            </c:extLst>
          </c:dPt>
          <c:dPt>
            <c:idx val="7"/>
            <c:invertIfNegative val="0"/>
            <c:bubble3D val="0"/>
            <c:spPr>
              <a:solidFill>
                <a:srgbClr val="F8CBAD"/>
              </a:solidFill>
            </c:spPr>
            <c:extLst xmlns:c16r2="http://schemas.microsoft.com/office/drawing/2015/06/chart">
              <c:ext xmlns:c16="http://schemas.microsoft.com/office/drawing/2014/chart" uri="{C3380CC4-5D6E-409C-BE32-E72D297353CC}">
                <c16:uniqueId val="{00000015-C75A-46C1-BF1D-1968AFA99F64}"/>
              </c:ext>
            </c:extLst>
          </c:dPt>
          <c:dPt>
            <c:idx val="8"/>
            <c:invertIfNegative val="0"/>
            <c:bubble3D val="0"/>
            <c:spPr>
              <a:solidFill>
                <a:srgbClr val="F8CBAD"/>
              </a:solidFill>
            </c:spPr>
            <c:extLst xmlns:c16r2="http://schemas.microsoft.com/office/drawing/2015/06/chart">
              <c:ext xmlns:c16="http://schemas.microsoft.com/office/drawing/2014/chart" uri="{C3380CC4-5D6E-409C-BE32-E72D297353CC}">
                <c16:uniqueId val="{00000017-C75A-46C1-BF1D-1968AFA99F64}"/>
              </c:ext>
            </c:extLst>
          </c:dPt>
          <c:dPt>
            <c:idx val="9"/>
            <c:invertIfNegative val="0"/>
            <c:bubble3D val="0"/>
            <c:spPr>
              <a:solidFill>
                <a:srgbClr val="F8CBAD"/>
              </a:solidFill>
            </c:spPr>
            <c:extLst xmlns:c16r2="http://schemas.microsoft.com/office/drawing/2015/06/chart">
              <c:ext xmlns:c16="http://schemas.microsoft.com/office/drawing/2014/chart" uri="{C3380CC4-5D6E-409C-BE32-E72D297353CC}">
                <c16:uniqueId val="{00000019-C75A-46C1-BF1D-1968AFA99F64}"/>
              </c:ext>
            </c:extLst>
          </c:dPt>
          <c:dPt>
            <c:idx val="10"/>
            <c:invertIfNegative val="0"/>
            <c:bubble3D val="0"/>
            <c:spPr>
              <a:solidFill>
                <a:srgbClr val="AAD3F2"/>
              </a:solidFill>
            </c:spPr>
            <c:extLst xmlns:c16r2="http://schemas.microsoft.com/office/drawing/2015/06/chart">
              <c:ext xmlns:c16="http://schemas.microsoft.com/office/drawing/2014/chart" uri="{C3380CC4-5D6E-409C-BE32-E72D297353CC}">
                <c16:uniqueId val="{0000001B-C75A-46C1-BF1D-1968AFA99F64}"/>
              </c:ext>
            </c:extLst>
          </c:dPt>
          <c:dPt>
            <c:idx val="11"/>
            <c:invertIfNegative val="0"/>
            <c:bubble3D val="0"/>
            <c:spPr>
              <a:solidFill>
                <a:srgbClr val="F8CBAD"/>
              </a:solidFill>
            </c:spPr>
            <c:extLst xmlns:c16r2="http://schemas.microsoft.com/office/drawing/2015/06/chart">
              <c:ext xmlns:c16="http://schemas.microsoft.com/office/drawing/2014/chart" uri="{C3380CC4-5D6E-409C-BE32-E72D297353CC}">
                <c16:uniqueId val="{0000001D-C75A-46C1-BF1D-1968AFA99F64}"/>
              </c:ext>
            </c:extLst>
          </c:dPt>
          <c:dPt>
            <c:idx val="12"/>
            <c:invertIfNegative val="0"/>
            <c:bubble3D val="0"/>
            <c:spPr>
              <a:solidFill>
                <a:srgbClr val="AAD3F2"/>
              </a:solidFill>
            </c:spPr>
            <c:extLst xmlns:c16r2="http://schemas.microsoft.com/office/drawing/2015/06/chart">
              <c:ext xmlns:c16="http://schemas.microsoft.com/office/drawing/2014/chart" uri="{C3380CC4-5D6E-409C-BE32-E72D297353CC}">
                <c16:uniqueId val="{0000001F-C75A-46C1-BF1D-1968AFA99F64}"/>
              </c:ext>
            </c:extLst>
          </c:dPt>
          <c:dPt>
            <c:idx val="13"/>
            <c:invertIfNegative val="0"/>
            <c:bubble3D val="0"/>
            <c:spPr>
              <a:solidFill>
                <a:srgbClr val="F8CBAD"/>
              </a:solidFill>
            </c:spPr>
            <c:extLst xmlns:c16r2="http://schemas.microsoft.com/office/drawing/2015/06/chart">
              <c:ext xmlns:c16="http://schemas.microsoft.com/office/drawing/2014/chart" uri="{C3380CC4-5D6E-409C-BE32-E72D297353CC}">
                <c16:uniqueId val="{00000021-C75A-46C1-BF1D-1968AFA99F64}"/>
              </c:ext>
            </c:extLst>
          </c:dPt>
          <c:dPt>
            <c:idx val="14"/>
            <c:invertIfNegative val="0"/>
            <c:bubble3D val="0"/>
            <c:spPr>
              <a:solidFill>
                <a:srgbClr val="AAD3F2"/>
              </a:solidFill>
              <a:ln>
                <a:noFill/>
              </a:ln>
            </c:spPr>
            <c:extLst xmlns:c16r2="http://schemas.microsoft.com/office/drawing/2015/06/chart">
              <c:ext xmlns:c16="http://schemas.microsoft.com/office/drawing/2014/chart" uri="{C3380CC4-5D6E-409C-BE32-E72D297353CC}">
                <c16:uniqueId val="{00000023-C75A-46C1-BF1D-1968AFA99F64}"/>
              </c:ext>
            </c:extLst>
          </c:dPt>
          <c:dPt>
            <c:idx val="15"/>
            <c:invertIfNegative val="0"/>
            <c:bubble3D val="0"/>
            <c:spPr>
              <a:solidFill>
                <a:schemeClr val="accent1">
                  <a:lumMod val="20000"/>
                  <a:lumOff val="80000"/>
                </a:schemeClr>
              </a:solidFill>
              <a:ln>
                <a:noFill/>
              </a:ln>
            </c:spPr>
            <c:extLst xmlns:c16r2="http://schemas.microsoft.com/office/drawing/2015/06/chart">
              <c:ext xmlns:c16="http://schemas.microsoft.com/office/drawing/2014/chart" uri="{C3380CC4-5D6E-409C-BE32-E72D297353CC}">
                <c16:uniqueId val="{00000025-C75A-46C1-BF1D-1968AFA99F64}"/>
              </c:ext>
            </c:extLst>
          </c:dPt>
          <c:dPt>
            <c:idx val="16"/>
            <c:invertIfNegative val="0"/>
            <c:bubble3D val="0"/>
            <c:spPr>
              <a:solidFill>
                <a:srgbClr val="F8CBAD"/>
              </a:solidFill>
            </c:spPr>
            <c:extLst xmlns:c16r2="http://schemas.microsoft.com/office/drawing/2015/06/chart">
              <c:ext xmlns:c16="http://schemas.microsoft.com/office/drawing/2014/chart" uri="{C3380CC4-5D6E-409C-BE32-E72D297353CC}">
                <c16:uniqueId val="{00000027-C75A-46C1-BF1D-1968AFA99F64}"/>
              </c:ext>
            </c:extLst>
          </c:dPt>
          <c:dLbls>
            <c:dLbl>
              <c:idx val="0"/>
              <c:layout>
                <c:manualLayout>
                  <c:x val="-7.20326035881340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75A-46C1-BF1D-1968AFA99F64}"/>
                </c:ext>
                <c:ext xmlns:c15="http://schemas.microsoft.com/office/drawing/2012/chart" uri="{CE6537A1-D6FC-4f65-9D91-7224C49458BB}"/>
              </c:extLst>
            </c:dLbl>
            <c:dLbl>
              <c:idx val="1"/>
              <c:layout>
                <c:manualLayout>
                  <c:x val="-0.11081939013559088"/>
                  <c:y val="0"/>
                </c:manualLayout>
              </c:layout>
              <c:tx>
                <c:rich>
                  <a:bodyPr/>
                  <a:lstStyle/>
                  <a:p>
                    <a:r>
                      <a:rPr lang="en-US"/>
                      <a:t>867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75A-46C1-BF1D-1968AFA99F64}"/>
                </c:ext>
                <c:ext xmlns:c15="http://schemas.microsoft.com/office/drawing/2012/chart" uri="{CE6537A1-D6FC-4f65-9D91-7224C49458BB}"/>
              </c:extLst>
            </c:dLbl>
            <c:dLbl>
              <c:idx val="7"/>
              <c:tx>
                <c:rich>
                  <a:bodyPr/>
                  <a:lstStyle/>
                  <a:p>
                    <a:r>
                      <a:rPr lang="en-US"/>
                      <a:t>-</a:t>
                    </a:r>
                    <a:fld id="{2059C840-F025-4596-8D51-EA71EA231A61}" type="VALUE">
                      <a:rPr lang="en-US"/>
                      <a:pPr/>
                      <a:t>[HODNOTA]</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75A-46C1-BF1D-1968AFA99F64}"/>
                </c:ext>
                <c:ext xmlns:c15="http://schemas.microsoft.com/office/drawing/2012/chart" uri="{CE6537A1-D6FC-4f65-9D91-7224C49458BB}">
                  <c15:dlblFieldTable/>
                  <c15:showDataLabelsRange val="0"/>
                </c:ext>
              </c:extLst>
            </c:dLbl>
            <c:dLbl>
              <c:idx val="8"/>
              <c:tx>
                <c:rich>
                  <a:bodyPr/>
                  <a:lstStyle/>
                  <a:p>
                    <a:r>
                      <a:rPr lang="en-US"/>
                      <a:t>-</a:t>
                    </a:r>
                    <a:fld id="{7BC47862-F471-47FE-8723-D9E8C8800E61}" type="VALUE">
                      <a:rPr lang="en-US"/>
                      <a:pPr/>
                      <a:t>[HODNOTA]</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75A-46C1-BF1D-1968AFA99F64}"/>
                </c:ext>
                <c:ext xmlns:c15="http://schemas.microsoft.com/office/drawing/2012/chart" uri="{CE6537A1-D6FC-4f65-9D91-7224C49458BB}">
                  <c15:dlblFieldTable/>
                  <c15:showDataLabelsRange val="0"/>
                </c:ext>
              </c:extLst>
            </c:dLbl>
            <c:dLbl>
              <c:idx val="9"/>
              <c:tx>
                <c:rich>
                  <a:bodyPr/>
                  <a:lstStyle/>
                  <a:p>
                    <a:r>
                      <a:rPr lang="en-US"/>
                      <a:t>-1217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75A-46C1-BF1D-1968AFA99F64}"/>
                </c:ext>
                <c:ext xmlns:c15="http://schemas.microsoft.com/office/drawing/2012/chart" uri="{CE6537A1-D6FC-4f65-9D91-7224C49458BB}"/>
              </c:extLst>
            </c:dLbl>
            <c:dLbl>
              <c:idx val="10"/>
              <c:layout>
                <c:manualLayout>
                  <c:x val="-4.4327756054236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75A-46C1-BF1D-1968AFA99F6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22'!$B$25:$B$35</c:f>
              <c:strCache>
                <c:ptCount val="11"/>
                <c:pt idx="0">
                  <c:v>Saldo VS - rozpočet 2018</c:v>
                </c:pt>
                <c:pt idx="1">
                  <c:v>Vyššie granty a transfery (D.39+D.7R+D.9R)</c:v>
                </c:pt>
                <c:pt idx="2">
                  <c:v>Nedaňové príjmy (P.11+P.12+P.131+D.4)</c:v>
                </c:pt>
                <c:pt idx="3">
                  <c:v>Vyššie príspevky na sociálne zabezpečenie (D.61)</c:v>
                </c:pt>
                <c:pt idx="4">
                  <c:v>Vyššie daňové príjmy (D.2+D.5+D.91)</c:v>
                </c:pt>
                <c:pt idx="5">
                  <c:v>Nižšie výdavky na sociálne dávky (D.62P)</c:v>
                </c:pt>
                <c:pt idx="6">
                  <c:v>Nižšie ostatné bežné transfery (D.7P)</c:v>
                </c:pt>
                <c:pt idx="7">
                  <c:v>Ostatné</c:v>
                </c:pt>
                <c:pt idx="8">
                  <c:v>Vyššie kompenzácie zamestnancov (D.1P)</c:v>
                </c:pt>
                <c:pt idx="9">
                  <c:v>Vyššie kapitálové výdavky (P.5L+ D.9P)</c:v>
                </c:pt>
                <c:pt idx="10">
                  <c:v>Saldo VS - skutočnosť 2018</c:v>
                </c:pt>
              </c:strCache>
            </c:strRef>
          </c:cat>
          <c:val>
            <c:numRef>
              <c:f>'Graf 22'!$G$25:$G$35</c:f>
              <c:numCache>
                <c:formatCode>#,##0</c:formatCode>
                <c:ptCount val="11"/>
                <c:pt idx="0">
                  <c:v>-742.81100000000151</c:v>
                </c:pt>
                <c:pt idx="1">
                  <c:v>123.97499999999854</c:v>
                </c:pt>
                <c:pt idx="2">
                  <c:v>309.98100000000068</c:v>
                </c:pt>
                <c:pt idx="3">
                  <c:v>248.64399999999841</c:v>
                </c:pt>
                <c:pt idx="4">
                  <c:v>158.86299999999937</c:v>
                </c:pt>
                <c:pt idx="5">
                  <c:v>79.572000000000116</c:v>
                </c:pt>
                <c:pt idx="6">
                  <c:v>74.051999999999907</c:v>
                </c:pt>
                <c:pt idx="7">
                  <c:v>117.54799999999994</c:v>
                </c:pt>
                <c:pt idx="8">
                  <c:v>289.88200000000052</c:v>
                </c:pt>
                <c:pt idx="9">
                  <c:v>-629.45700000000306</c:v>
                </c:pt>
                <c:pt idx="10">
                  <c:v>-629.45700000000306</c:v>
                </c:pt>
              </c:numCache>
            </c:numRef>
          </c:val>
          <c:extLst xmlns:c16r2="http://schemas.microsoft.com/office/drawing/2015/06/chart">
            <c:ext xmlns:c16="http://schemas.microsoft.com/office/drawing/2014/chart" uri="{C3380CC4-5D6E-409C-BE32-E72D297353CC}">
              <c16:uniqueId val="{00000028-C75A-46C1-BF1D-1968AFA99F64}"/>
            </c:ext>
          </c:extLst>
        </c:ser>
        <c:dLbls>
          <c:showLegendKey val="0"/>
          <c:showVal val="0"/>
          <c:showCatName val="0"/>
          <c:showSerName val="0"/>
          <c:showPercent val="0"/>
          <c:showBubbleSize val="0"/>
        </c:dLbls>
        <c:gapWidth val="60"/>
        <c:overlap val="100"/>
        <c:axId val="477435200"/>
        <c:axId val="477435592"/>
      </c:barChart>
      <c:catAx>
        <c:axId val="477435200"/>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sz="900"/>
            </a:pPr>
            <a:endParaRPr lang="sk-SK"/>
          </a:p>
        </c:txPr>
        <c:crossAx val="477435592"/>
        <c:crosses val="autoZero"/>
        <c:auto val="1"/>
        <c:lblAlgn val="ctr"/>
        <c:lblOffset val="100"/>
        <c:noMultiLvlLbl val="0"/>
      </c:catAx>
      <c:valAx>
        <c:axId val="477435592"/>
        <c:scaling>
          <c:orientation val="minMax"/>
        </c:scaling>
        <c:delete val="0"/>
        <c:axPos val="t"/>
        <c:numFmt formatCode="#,##0" sourceLinked="1"/>
        <c:majorTickMark val="out"/>
        <c:minorTickMark val="none"/>
        <c:tickLblPos val="low"/>
        <c:spPr>
          <a:ln>
            <a:solidFill>
              <a:schemeClr val="tx1"/>
            </a:solidFill>
          </a:ln>
        </c:spPr>
        <c:txPr>
          <a:bodyPr/>
          <a:lstStyle/>
          <a:p>
            <a:pPr>
              <a:defRPr sz="800"/>
            </a:pPr>
            <a:endParaRPr lang="sk-SK"/>
          </a:p>
        </c:txPr>
        <c:crossAx val="477435200"/>
        <c:crosses val="autoZero"/>
        <c:crossBetween val="between"/>
      </c:valAx>
    </c:plotArea>
    <c:plotVisOnly val="1"/>
    <c:dispBlanksAs val="gap"/>
    <c:showDLblsOverMax val="0"/>
  </c:chart>
  <c:spPr>
    <a:noFill/>
    <a:ln>
      <a:solidFill>
        <a:schemeClr val="bg1"/>
      </a:solidFill>
    </a:ln>
  </c:spPr>
  <c:txPr>
    <a:bodyPr/>
    <a:lstStyle/>
    <a:p>
      <a:pPr>
        <a:defRPr>
          <a:latin typeface="Arial Narrow" panose="020B0606020202030204" pitchFamily="34" charset="0"/>
        </a:defRPr>
      </a:pPr>
      <a:endParaRPr lang="sk-SK"/>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4951881014875"/>
          <c:y val="5.3453630796150481E-2"/>
          <c:w val="0.41093702119722342"/>
          <c:h val="0.85748137319626516"/>
        </c:manualLayout>
      </c:layout>
      <c:barChart>
        <c:barDir val="col"/>
        <c:grouping val="stacked"/>
        <c:varyColors val="0"/>
        <c:ser>
          <c:idx val="3"/>
          <c:order val="0"/>
          <c:tx>
            <c:strRef>
              <c:f>'do PS'!$A$8</c:f>
              <c:strCache>
                <c:ptCount val="1"/>
                <c:pt idx="0">
                  <c:v>vplyv ostatných faktorov</c:v>
                </c:pt>
              </c:strCache>
            </c:strRef>
          </c:tx>
          <c:spPr>
            <a:solidFill>
              <a:srgbClr val="404040"/>
            </a:solidFill>
            <a:ln w="28575">
              <a:noFill/>
            </a:ln>
          </c:spPr>
          <c:invertIfNegative val="0"/>
          <c:cat>
            <c:numLit>
              <c:formatCode>General</c:formatCode>
              <c:ptCount val="1"/>
              <c:pt idx="0">
                <c:v>2018</c:v>
              </c:pt>
            </c:numLit>
          </c:cat>
          <c:val>
            <c:numRef>
              <c:f>'do PS'!$B$8</c:f>
              <c:numCache>
                <c:formatCode>#,##0</c:formatCode>
                <c:ptCount val="1"/>
                <c:pt idx="0">
                  <c:v>26.701000000000001</c:v>
                </c:pt>
              </c:numCache>
            </c:numRef>
          </c:val>
          <c:extLst xmlns:c16r2="http://schemas.microsoft.com/office/drawing/2015/06/chart">
            <c:ext xmlns:c16="http://schemas.microsoft.com/office/drawing/2014/chart" uri="{C3380CC4-5D6E-409C-BE32-E72D297353CC}">
              <c16:uniqueId val="{00000000-F992-47E7-86C9-173501C51E23}"/>
            </c:ext>
          </c:extLst>
        </c:ser>
        <c:ser>
          <c:idx val="0"/>
          <c:order val="1"/>
          <c:tx>
            <c:strRef>
              <c:f>'do PS'!$A$7</c:f>
              <c:strCache>
                <c:ptCount val="1"/>
                <c:pt idx="0">
                  <c:v>vplyv jednorázových faktorov</c:v>
                </c:pt>
              </c:strCache>
            </c:strRef>
          </c:tx>
          <c:spPr>
            <a:solidFill>
              <a:srgbClr val="D6DCE5"/>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Lit>
              <c:formatCode>General</c:formatCode>
              <c:ptCount val="1"/>
              <c:pt idx="0">
                <c:v>2018</c:v>
              </c:pt>
            </c:numLit>
          </c:cat>
          <c:val>
            <c:numRef>
              <c:f>'do PS'!$B$7</c:f>
              <c:numCache>
                <c:formatCode>#,##0</c:formatCode>
                <c:ptCount val="1"/>
                <c:pt idx="0">
                  <c:v>16.666037929999998</c:v>
                </c:pt>
              </c:numCache>
            </c:numRef>
          </c:val>
          <c:extLst xmlns:c16r2="http://schemas.microsoft.com/office/drawing/2015/06/chart">
            <c:ext xmlns:c16="http://schemas.microsoft.com/office/drawing/2014/chart" uri="{C3380CC4-5D6E-409C-BE32-E72D297353CC}">
              <c16:uniqueId val="{00000001-F992-47E7-86C9-173501C51E23}"/>
            </c:ext>
          </c:extLst>
        </c:ser>
        <c:ser>
          <c:idx val="2"/>
          <c:order val="2"/>
          <c:tx>
            <c:strRef>
              <c:f>'do PS'!$A$6</c:f>
              <c:strCache>
                <c:ptCount val="1"/>
                <c:pt idx="0">
                  <c:v>vplyv novej legislatívy (len dane IFP)</c:v>
                </c:pt>
              </c:strCache>
            </c:strRef>
          </c:tx>
          <c:spPr>
            <a:solidFill>
              <a:srgbClr val="A6A6A6"/>
            </a:solidFill>
            <a:ln w="28575">
              <a:noFill/>
            </a:ln>
          </c:spPr>
          <c:invertIfNegative val="0"/>
          <c:cat>
            <c:numLit>
              <c:formatCode>General</c:formatCode>
              <c:ptCount val="1"/>
              <c:pt idx="0">
                <c:v>2018</c:v>
              </c:pt>
            </c:numLit>
          </c:cat>
          <c:val>
            <c:numRef>
              <c:f>'do PS'!$B$6</c:f>
              <c:numCache>
                <c:formatCode>#,##0</c:formatCode>
                <c:ptCount val="1"/>
                <c:pt idx="0">
                  <c:v>6.9515261437777864</c:v>
                </c:pt>
              </c:numCache>
            </c:numRef>
          </c:val>
          <c:extLst xmlns:c16r2="http://schemas.microsoft.com/office/drawing/2015/06/chart">
            <c:ext xmlns:c16="http://schemas.microsoft.com/office/drawing/2014/chart" uri="{C3380CC4-5D6E-409C-BE32-E72D297353CC}">
              <c16:uniqueId val="{00000002-F992-47E7-86C9-173501C51E23}"/>
            </c:ext>
          </c:extLst>
        </c:ser>
        <c:ser>
          <c:idx val="8"/>
          <c:order val="3"/>
          <c:tx>
            <c:strRef>
              <c:f>'do PS'!$A$5</c:f>
              <c:strCache>
                <c:ptCount val="1"/>
                <c:pt idx="0">
                  <c:v>vplyv úrovne a EDS </c:v>
                </c:pt>
              </c:strCache>
            </c:strRef>
          </c:tx>
          <c:spPr>
            <a:solidFill>
              <a:srgbClr val="2C9ADC"/>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Lit>
              <c:formatCode>General</c:formatCode>
              <c:ptCount val="1"/>
              <c:pt idx="0">
                <c:v>2018</c:v>
              </c:pt>
            </c:numLit>
          </c:cat>
          <c:val>
            <c:numRef>
              <c:f>'do PS'!$B$5</c:f>
              <c:numCache>
                <c:formatCode>#,##0</c:formatCode>
                <c:ptCount val="1"/>
                <c:pt idx="0">
                  <c:v>183.23952132514151</c:v>
                </c:pt>
              </c:numCache>
            </c:numRef>
          </c:val>
          <c:extLst xmlns:c16r2="http://schemas.microsoft.com/office/drawing/2015/06/chart">
            <c:ext xmlns:c16="http://schemas.microsoft.com/office/drawing/2014/chart" uri="{C3380CC4-5D6E-409C-BE32-E72D297353CC}">
              <c16:uniqueId val="{00000003-F992-47E7-86C9-173501C51E23}"/>
            </c:ext>
          </c:extLst>
        </c:ser>
        <c:ser>
          <c:idx val="5"/>
          <c:order val="4"/>
          <c:tx>
            <c:strRef>
              <c:f>'do PS'!$A$4</c:f>
              <c:strCache>
                <c:ptCount val="1"/>
                <c:pt idx="0">
                  <c:v>vplyv makra</c:v>
                </c:pt>
              </c:strCache>
            </c:strRef>
          </c:tx>
          <c:spPr>
            <a:solidFill>
              <a:srgbClr val="1F497D"/>
            </a:solidFill>
          </c:spPr>
          <c:invertIfNegative val="0"/>
          <c:dLbls>
            <c:dLbl>
              <c:idx val="0"/>
              <c:layout>
                <c:manualLayout>
                  <c:x val="0"/>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992-47E7-86C9-173501C51E23}"/>
                </c:ext>
                <c:ext xmlns:c15="http://schemas.microsoft.com/office/drawing/2012/chart" uri="{CE6537A1-D6FC-4f65-9D91-7224C49458BB}"/>
              </c:extLst>
            </c:dLbl>
            <c:spPr>
              <a:noFill/>
              <a:ln>
                <a:noFill/>
              </a:ln>
              <a:effectLst/>
            </c:spPr>
            <c:txPr>
              <a:bodyPr/>
              <a:lstStyle/>
              <a:p>
                <a:pPr>
                  <a:defRPr>
                    <a:solidFill>
                      <a:schemeClr val="bg1"/>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Lit>
              <c:formatCode>General</c:formatCode>
              <c:ptCount val="1"/>
              <c:pt idx="0">
                <c:v>2018</c:v>
              </c:pt>
            </c:numLit>
          </c:cat>
          <c:val>
            <c:numRef>
              <c:f>'do PS'!$B$4</c:f>
              <c:numCache>
                <c:formatCode>#,##0</c:formatCode>
                <c:ptCount val="1"/>
                <c:pt idx="0">
                  <c:v>463.18241499174133</c:v>
                </c:pt>
              </c:numCache>
            </c:numRef>
          </c:val>
          <c:extLst xmlns:c16r2="http://schemas.microsoft.com/office/drawing/2015/06/chart">
            <c:ext xmlns:c16="http://schemas.microsoft.com/office/drawing/2014/chart" uri="{C3380CC4-5D6E-409C-BE32-E72D297353CC}">
              <c16:uniqueId val="{00000005-F992-47E7-86C9-173501C51E23}"/>
            </c:ext>
          </c:extLst>
        </c:ser>
        <c:dLbls>
          <c:showLegendKey val="0"/>
          <c:showVal val="0"/>
          <c:showCatName val="0"/>
          <c:showSerName val="0"/>
          <c:showPercent val="0"/>
          <c:showBubbleSize val="0"/>
        </c:dLbls>
        <c:gapWidth val="150"/>
        <c:overlap val="100"/>
        <c:axId val="473433536"/>
        <c:axId val="479146032"/>
      </c:barChart>
      <c:lineChart>
        <c:grouping val="standard"/>
        <c:varyColors val="0"/>
        <c:ser>
          <c:idx val="1"/>
          <c:order val="5"/>
          <c:tx>
            <c:strRef>
              <c:f>'do PS'!$A$3</c:f>
              <c:strCache>
                <c:ptCount val="1"/>
                <c:pt idx="0">
                  <c:v>celkom</c:v>
                </c:pt>
              </c:strCache>
            </c:strRef>
          </c:tx>
          <c:spPr>
            <a:ln>
              <a:noFill/>
            </a:ln>
          </c:spPr>
          <c:marker>
            <c:symbol val="square"/>
            <c:size val="9"/>
            <c:spPr>
              <a:noFill/>
              <a:ln>
                <a:noFill/>
              </a:ln>
            </c:spPr>
          </c:marker>
          <c:dLbls>
            <c:dLbl>
              <c:idx val="0"/>
              <c:layout>
                <c:manualLayout>
                  <c:x val="-6.2074747698791205E-2"/>
                  <c:y val="-7.9296415816875354E-2"/>
                </c:manualLayout>
              </c:layout>
              <c:spPr>
                <a:solidFill>
                  <a:sysClr val="window" lastClr="FFFFFF"/>
                </a:solidFill>
                <a:ln>
                  <a:solidFill>
                    <a:sysClr val="windowText" lastClr="000000"/>
                  </a:solidFill>
                </a:ln>
                <a:effectLst/>
              </c:spPr>
              <c:txPr>
                <a:bodyPr/>
                <a:lstStyle/>
                <a:p>
                  <a:pPr>
                    <a:defRPr/>
                  </a:pPr>
                  <a:endParaRPr lang="sk-SK"/>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992-47E7-86C9-173501C51E23}"/>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1"/>
              <c:pt idx="0">
                <c:v>2018</c:v>
              </c:pt>
            </c:numLit>
          </c:cat>
          <c:val>
            <c:numRef>
              <c:f>'do PS'!$B$3</c:f>
              <c:numCache>
                <c:formatCode>#,##0</c:formatCode>
                <c:ptCount val="1"/>
                <c:pt idx="0">
                  <c:v>696.7405003906606</c:v>
                </c:pt>
              </c:numCache>
            </c:numRef>
          </c:val>
          <c:smooth val="0"/>
          <c:extLst xmlns:c16r2="http://schemas.microsoft.com/office/drawing/2015/06/chart">
            <c:ext xmlns:c16="http://schemas.microsoft.com/office/drawing/2014/chart" uri="{C3380CC4-5D6E-409C-BE32-E72D297353CC}">
              <c16:uniqueId val="{00000007-F992-47E7-86C9-173501C51E23}"/>
            </c:ext>
          </c:extLst>
        </c:ser>
        <c:dLbls>
          <c:showLegendKey val="0"/>
          <c:showVal val="0"/>
          <c:showCatName val="0"/>
          <c:showSerName val="0"/>
          <c:showPercent val="0"/>
          <c:showBubbleSize val="0"/>
        </c:dLbls>
        <c:marker val="1"/>
        <c:smooth val="0"/>
        <c:axId val="473433536"/>
        <c:axId val="479146032"/>
      </c:lineChart>
      <c:catAx>
        <c:axId val="473433536"/>
        <c:scaling>
          <c:orientation val="minMax"/>
        </c:scaling>
        <c:delete val="0"/>
        <c:axPos val="b"/>
        <c:numFmt formatCode="General" sourceLinked="1"/>
        <c:majorTickMark val="out"/>
        <c:minorTickMark val="none"/>
        <c:tickLblPos val="low"/>
        <c:crossAx val="479146032"/>
        <c:crosses val="autoZero"/>
        <c:auto val="1"/>
        <c:lblAlgn val="ctr"/>
        <c:lblOffset val="100"/>
        <c:noMultiLvlLbl val="0"/>
      </c:catAx>
      <c:valAx>
        <c:axId val="479146032"/>
        <c:scaling>
          <c:orientation val="minMax"/>
        </c:scaling>
        <c:delete val="0"/>
        <c:axPos val="l"/>
        <c:numFmt formatCode="#,##0" sourceLinked="0"/>
        <c:majorTickMark val="out"/>
        <c:minorTickMark val="none"/>
        <c:tickLblPos val="nextTo"/>
        <c:crossAx val="473433536"/>
        <c:crosses val="autoZero"/>
        <c:crossBetween val="between"/>
        <c:majorUnit val="100"/>
      </c:valAx>
      <c:spPr>
        <a:noFill/>
      </c:spPr>
    </c:plotArea>
    <c:legend>
      <c:legendPos val="r"/>
      <c:legendEntry>
        <c:idx val="5"/>
        <c:delete val="1"/>
      </c:legendEntry>
      <c:layout>
        <c:manualLayout>
          <c:xMode val="edge"/>
          <c:yMode val="edge"/>
          <c:x val="0.57292758123544418"/>
          <c:y val="8.2456692913385823E-2"/>
          <c:w val="0.38656404569147168"/>
          <c:h val="0.867344090185448"/>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sk-SK"/>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016185476815405E-2"/>
          <c:y val="0.17951243382712753"/>
          <c:w val="0.90481977252843393"/>
          <c:h val="0.5993562880911073"/>
        </c:manualLayout>
      </c:layout>
      <c:barChart>
        <c:barDir val="col"/>
        <c:grouping val="stacked"/>
        <c:varyColors val="0"/>
        <c:ser>
          <c:idx val="4"/>
          <c:order val="0"/>
          <c:tx>
            <c:strRef>
              <c:f>'do PS'!$P$3</c:f>
              <c:strCache>
                <c:ptCount val="1"/>
                <c:pt idx="0">
                  <c:v>ostatné faktory</c:v>
                </c:pt>
              </c:strCache>
            </c:strRef>
          </c:tx>
          <c:spPr>
            <a:solidFill>
              <a:srgbClr val="404040"/>
            </a:solidFill>
            <a:ln w="28575">
              <a:noFill/>
            </a:ln>
          </c:spPr>
          <c:invertIfNegative val="0"/>
          <c:cat>
            <c:strRef>
              <c:f>'do PS'!$I$5:$I$11</c:f>
              <c:strCache>
                <c:ptCount val="7"/>
                <c:pt idx="0">
                  <c:v>Daň z príjmov fyzických osôb</c:v>
                </c:pt>
                <c:pt idx="1">
                  <c:v>Korporátna daň</c:v>
                </c:pt>
                <c:pt idx="2">
                  <c:v>DPH</c:v>
                </c:pt>
                <c:pt idx="3">
                  <c:v>Spotrebné dane</c:v>
                </c:pt>
                <c:pt idx="4">
                  <c:v>Sociálne odvody</c:v>
                </c:pt>
                <c:pt idx="5">
                  <c:v>Zdravotné odvody</c:v>
                </c:pt>
                <c:pt idx="6">
                  <c:v>Ostatné</c:v>
                </c:pt>
              </c:strCache>
            </c:strRef>
          </c:cat>
          <c:val>
            <c:numRef>
              <c:f>'do PS'!$P$5:$P$11</c:f>
              <c:numCache>
                <c:formatCode>General</c:formatCode>
                <c:ptCount val="7"/>
                <c:pt idx="6" formatCode="#,##0">
                  <c:v>26.701000000000001</c:v>
                </c:pt>
              </c:numCache>
            </c:numRef>
          </c:val>
          <c:extLst xmlns:c16r2="http://schemas.microsoft.com/office/drawing/2015/06/chart">
            <c:ext xmlns:c16="http://schemas.microsoft.com/office/drawing/2014/chart" uri="{C3380CC4-5D6E-409C-BE32-E72D297353CC}">
              <c16:uniqueId val="{00000000-FA61-4A67-9DA1-41F0D8E75A9F}"/>
            </c:ext>
          </c:extLst>
        </c:ser>
        <c:ser>
          <c:idx val="2"/>
          <c:order val="1"/>
          <c:tx>
            <c:strRef>
              <c:f>'do PS'!$O$3</c:f>
              <c:strCache>
                <c:ptCount val="1"/>
                <c:pt idx="0">
                  <c:v>jednorazové faktory</c:v>
                </c:pt>
              </c:strCache>
            </c:strRef>
          </c:tx>
          <c:spPr>
            <a:solidFill>
              <a:srgbClr val="D6DCE5"/>
            </a:solidFill>
          </c:spPr>
          <c:invertIfNegative val="0"/>
          <c:dLbls>
            <c:dLbl>
              <c:idx val="0"/>
              <c:delete val="1"/>
              <c:extLst xmlns:c16r2="http://schemas.microsoft.com/office/drawing/2015/06/chart">
                <c:ext xmlns:c16="http://schemas.microsoft.com/office/drawing/2014/chart" uri="{C3380CC4-5D6E-409C-BE32-E72D297353CC}">
                  <c16:uniqueId val="{00000001-FA61-4A67-9DA1-41F0D8E75A9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FA61-4A67-9DA1-41F0D8E75A9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FA61-4A67-9DA1-41F0D8E75A9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4-FA61-4A67-9DA1-41F0D8E75A9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FA61-4A67-9DA1-41F0D8E75A9F}"/>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FA61-4A67-9DA1-41F0D8E75A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'do PS'!$I$5:$I$11</c:f>
              <c:strCache>
                <c:ptCount val="7"/>
                <c:pt idx="0">
                  <c:v>Daň z príjmov fyzických osôb</c:v>
                </c:pt>
                <c:pt idx="1">
                  <c:v>Korporátna daň</c:v>
                </c:pt>
                <c:pt idx="2">
                  <c:v>DPH</c:v>
                </c:pt>
                <c:pt idx="3">
                  <c:v>Spotrebné dane</c:v>
                </c:pt>
                <c:pt idx="4">
                  <c:v>Sociálne odvody</c:v>
                </c:pt>
                <c:pt idx="5">
                  <c:v>Zdravotné odvody</c:v>
                </c:pt>
                <c:pt idx="6">
                  <c:v>Ostatné</c:v>
                </c:pt>
              </c:strCache>
            </c:strRef>
          </c:cat>
          <c:val>
            <c:numRef>
              <c:f>'do PS'!$O$5:$O$11</c:f>
              <c:numCache>
                <c:formatCode>#,##0</c:formatCode>
                <c:ptCount val="7"/>
                <c:pt idx="0">
                  <c:v>0</c:v>
                </c:pt>
                <c:pt idx="1">
                  <c:v>0</c:v>
                </c:pt>
                <c:pt idx="2">
                  <c:v>0</c:v>
                </c:pt>
                <c:pt idx="3">
                  <c:v>2.2000000000000002</c:v>
                </c:pt>
                <c:pt idx="4">
                  <c:v>0</c:v>
                </c:pt>
                <c:pt idx="5">
                  <c:v>0</c:v>
                </c:pt>
                <c:pt idx="6">
                  <c:v>14.466037929999999</c:v>
                </c:pt>
              </c:numCache>
            </c:numRef>
          </c:val>
          <c:extLst xmlns:c16r2="http://schemas.microsoft.com/office/drawing/2015/06/chart">
            <c:ext xmlns:c16="http://schemas.microsoft.com/office/drawing/2014/chart" uri="{C3380CC4-5D6E-409C-BE32-E72D297353CC}">
              <c16:uniqueId val="{00000007-FA61-4A67-9DA1-41F0D8E75A9F}"/>
            </c:ext>
          </c:extLst>
        </c:ser>
        <c:ser>
          <c:idx val="1"/>
          <c:order val="2"/>
          <c:tx>
            <c:strRef>
              <c:f>'do PS'!$N$3</c:f>
              <c:strCache>
                <c:ptCount val="1"/>
                <c:pt idx="0">
                  <c:v>nová legislatíva</c:v>
                </c:pt>
              </c:strCache>
            </c:strRef>
          </c:tx>
          <c:spPr>
            <a:solidFill>
              <a:srgbClr val="A6A6A6"/>
            </a:solidFill>
          </c:spPr>
          <c:invertIfNegative val="0"/>
          <c:cat>
            <c:strRef>
              <c:f>'do PS'!$I$5:$I$11</c:f>
              <c:strCache>
                <c:ptCount val="7"/>
                <c:pt idx="0">
                  <c:v>Daň z príjmov fyzických osôb</c:v>
                </c:pt>
                <c:pt idx="1">
                  <c:v>Korporátna daň</c:v>
                </c:pt>
                <c:pt idx="2">
                  <c:v>DPH</c:v>
                </c:pt>
                <c:pt idx="3">
                  <c:v>Spotrebné dane</c:v>
                </c:pt>
                <c:pt idx="4">
                  <c:v>Sociálne odvody</c:v>
                </c:pt>
                <c:pt idx="5">
                  <c:v>Zdravotné odvody</c:v>
                </c:pt>
                <c:pt idx="6">
                  <c:v>Ostatné</c:v>
                </c:pt>
              </c:strCache>
            </c:strRef>
          </c:cat>
          <c:val>
            <c:numRef>
              <c:f>'do PS'!$N$5:$N$11</c:f>
              <c:numCache>
                <c:formatCode>#,##0</c:formatCode>
                <c:ptCount val="7"/>
                <c:pt idx="0">
                  <c:v>-0.17515101335244798</c:v>
                </c:pt>
                <c:pt idx="1">
                  <c:v>-3.3690771756053364</c:v>
                </c:pt>
                <c:pt idx="2">
                  <c:v>0</c:v>
                </c:pt>
                <c:pt idx="3">
                  <c:v>0</c:v>
                </c:pt>
                <c:pt idx="4">
                  <c:v>-10.5234341885732</c:v>
                </c:pt>
                <c:pt idx="5">
                  <c:v>21.01918852130877</c:v>
                </c:pt>
                <c:pt idx="6">
                  <c:v>0</c:v>
                </c:pt>
              </c:numCache>
            </c:numRef>
          </c:val>
          <c:extLst xmlns:c16r2="http://schemas.microsoft.com/office/drawing/2015/06/chart">
            <c:ext xmlns:c16="http://schemas.microsoft.com/office/drawing/2014/chart" uri="{C3380CC4-5D6E-409C-BE32-E72D297353CC}">
              <c16:uniqueId val="{00000008-FA61-4A67-9DA1-41F0D8E75A9F}"/>
            </c:ext>
          </c:extLst>
        </c:ser>
        <c:ser>
          <c:idx val="0"/>
          <c:order val="3"/>
          <c:tx>
            <c:strRef>
              <c:f>'do PS'!$M$3</c:f>
              <c:strCache>
                <c:ptCount val="1"/>
                <c:pt idx="0">
                  <c:v>EDS</c:v>
                </c:pt>
              </c:strCache>
            </c:strRef>
          </c:tx>
          <c:spPr>
            <a:solidFill>
              <a:srgbClr val="2C9ADC"/>
            </a:solidFill>
          </c:spPr>
          <c:invertIfNegative val="0"/>
          <c:dLbls>
            <c:dLbl>
              <c:idx val="4"/>
              <c:delete val="1"/>
              <c:extLst xmlns:c16r2="http://schemas.microsoft.com/office/drawing/2015/06/chart">
                <c:ext xmlns:c16="http://schemas.microsoft.com/office/drawing/2014/chart" uri="{C3380CC4-5D6E-409C-BE32-E72D297353CC}">
                  <c16:uniqueId val="{00000009-FA61-4A67-9DA1-41F0D8E75A9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FA61-4A67-9DA1-41F0D8E75A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'do PS'!$I$5:$I$11</c:f>
              <c:strCache>
                <c:ptCount val="7"/>
                <c:pt idx="0">
                  <c:v>Daň z príjmov fyzických osôb</c:v>
                </c:pt>
                <c:pt idx="1">
                  <c:v>Korporátna daň</c:v>
                </c:pt>
                <c:pt idx="2">
                  <c:v>DPH</c:v>
                </c:pt>
                <c:pt idx="3">
                  <c:v>Spotrebné dane</c:v>
                </c:pt>
                <c:pt idx="4">
                  <c:v>Sociálne odvody</c:v>
                </c:pt>
                <c:pt idx="5">
                  <c:v>Zdravotné odvody</c:v>
                </c:pt>
                <c:pt idx="6">
                  <c:v>Ostatné</c:v>
                </c:pt>
              </c:strCache>
            </c:strRef>
          </c:cat>
          <c:val>
            <c:numRef>
              <c:f>'do PS'!$M$5:$M$11</c:f>
              <c:numCache>
                <c:formatCode>#,##0</c:formatCode>
                <c:ptCount val="7"/>
                <c:pt idx="0">
                  <c:v>55.337023065589129</c:v>
                </c:pt>
                <c:pt idx="1">
                  <c:v>165.65247853506216</c:v>
                </c:pt>
                <c:pt idx="2">
                  <c:v>56.370165457084333</c:v>
                </c:pt>
                <c:pt idx="3">
                  <c:v>-28.173294532483094</c:v>
                </c:pt>
                <c:pt idx="4">
                  <c:v>24.523761022359601</c:v>
                </c:pt>
                <c:pt idx="5">
                  <c:v>-13.657544888211149</c:v>
                </c:pt>
                <c:pt idx="6">
                  <c:v>-76.8130673342595</c:v>
                </c:pt>
              </c:numCache>
            </c:numRef>
          </c:val>
          <c:extLst xmlns:c16r2="http://schemas.microsoft.com/office/drawing/2015/06/chart">
            <c:ext xmlns:c16="http://schemas.microsoft.com/office/drawing/2014/chart" uri="{C3380CC4-5D6E-409C-BE32-E72D297353CC}">
              <c16:uniqueId val="{0000000B-FA61-4A67-9DA1-41F0D8E75A9F}"/>
            </c:ext>
          </c:extLst>
        </c:ser>
        <c:ser>
          <c:idx val="8"/>
          <c:order val="4"/>
          <c:tx>
            <c:strRef>
              <c:f>'do PS'!$L$3</c:f>
              <c:strCache>
                <c:ptCount val="1"/>
                <c:pt idx="0">
                  <c:v>makro </c:v>
                </c:pt>
              </c:strCache>
            </c:strRef>
          </c:tx>
          <c:spPr>
            <a:solidFill>
              <a:srgbClr val="1F497D"/>
            </a:solidFill>
          </c:spPr>
          <c:invertIfNegative val="0"/>
          <c:dLbls>
            <c:dLbl>
              <c:idx val="3"/>
              <c:delete val="1"/>
              <c:extLst xmlns:c16r2="http://schemas.microsoft.com/office/drawing/2015/06/chart">
                <c:ext xmlns:c16="http://schemas.microsoft.com/office/drawing/2014/chart" uri="{C3380CC4-5D6E-409C-BE32-E72D297353CC}">
                  <c16:uniqueId val="{0000000C-FA61-4A67-9DA1-41F0D8E75A9F}"/>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FA61-4A67-9DA1-41F0D8E75A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'do PS'!$I$5:$I$11</c:f>
              <c:strCache>
                <c:ptCount val="7"/>
                <c:pt idx="0">
                  <c:v>Daň z príjmov fyzických osôb</c:v>
                </c:pt>
                <c:pt idx="1">
                  <c:v>Korporátna daň</c:v>
                </c:pt>
                <c:pt idx="2">
                  <c:v>DPH</c:v>
                </c:pt>
                <c:pt idx="3">
                  <c:v>Spotrebné dane</c:v>
                </c:pt>
                <c:pt idx="4">
                  <c:v>Sociálne odvody</c:v>
                </c:pt>
                <c:pt idx="5">
                  <c:v>Zdravotné odvody</c:v>
                </c:pt>
                <c:pt idx="6">
                  <c:v>Ostatné</c:v>
                </c:pt>
              </c:strCache>
            </c:strRef>
          </c:cat>
          <c:val>
            <c:numRef>
              <c:f>'do PS'!$L$5:$L$11</c:f>
              <c:numCache>
                <c:formatCode>#,##0</c:formatCode>
                <c:ptCount val="7"/>
                <c:pt idx="0">
                  <c:v>75.299251697763268</c:v>
                </c:pt>
                <c:pt idx="1">
                  <c:v>-41.204401359456526</c:v>
                </c:pt>
                <c:pt idx="2">
                  <c:v>164.72543178399388</c:v>
                </c:pt>
                <c:pt idx="3">
                  <c:v>0.19333620248339517</c:v>
                </c:pt>
                <c:pt idx="4">
                  <c:v>189.4879715308106</c:v>
                </c:pt>
                <c:pt idx="5">
                  <c:v>90.269586786902863</c:v>
                </c:pt>
                <c:pt idx="6">
                  <c:v>-15.588761650756169</c:v>
                </c:pt>
              </c:numCache>
            </c:numRef>
          </c:val>
          <c:extLst xmlns:c16r2="http://schemas.microsoft.com/office/drawing/2015/06/chart">
            <c:ext xmlns:c16="http://schemas.microsoft.com/office/drawing/2014/chart" uri="{C3380CC4-5D6E-409C-BE32-E72D297353CC}">
              <c16:uniqueId val="{0000000E-FA61-4A67-9DA1-41F0D8E75A9F}"/>
            </c:ext>
          </c:extLst>
        </c:ser>
        <c:dLbls>
          <c:showLegendKey val="0"/>
          <c:showVal val="0"/>
          <c:showCatName val="0"/>
          <c:showSerName val="0"/>
          <c:showPercent val="0"/>
          <c:showBubbleSize val="0"/>
        </c:dLbls>
        <c:gapWidth val="150"/>
        <c:overlap val="100"/>
        <c:axId val="479146816"/>
        <c:axId val="479147208"/>
      </c:barChart>
      <c:lineChart>
        <c:grouping val="standard"/>
        <c:varyColors val="0"/>
        <c:ser>
          <c:idx val="3"/>
          <c:order val="5"/>
          <c:tx>
            <c:strRef>
              <c:f>'do PS'!$K$3</c:f>
              <c:strCache>
                <c:ptCount val="1"/>
                <c:pt idx="0">
                  <c:v>celkom</c:v>
                </c:pt>
              </c:strCache>
            </c:strRef>
          </c:tx>
          <c:spPr>
            <a:ln>
              <a:noFill/>
            </a:ln>
          </c:spPr>
          <c:marker>
            <c:symbol val="none"/>
          </c:marker>
          <c:dLbls>
            <c:dLbl>
              <c:idx val="0"/>
              <c:layout>
                <c:manualLayout>
                  <c:x val="-0.05"/>
                  <c:y val="-4.0293040293040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A61-4A67-9DA1-41F0D8E75A9F}"/>
                </c:ext>
                <c:ext xmlns:c15="http://schemas.microsoft.com/office/drawing/2012/chart" uri="{CE6537A1-D6FC-4f65-9D91-7224C49458BB}"/>
              </c:extLst>
            </c:dLbl>
            <c:dLbl>
              <c:idx val="1"/>
              <c:layout>
                <c:manualLayout>
                  <c:x val="-4.4444444444444446E-2"/>
                  <c:y val="-0.106227106227106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A61-4A67-9DA1-41F0D8E75A9F}"/>
                </c:ext>
                <c:ext xmlns:c15="http://schemas.microsoft.com/office/drawing/2012/chart" uri="{CE6537A1-D6FC-4f65-9D91-7224C49458BB}"/>
              </c:extLst>
            </c:dLbl>
            <c:dLbl>
              <c:idx val="2"/>
              <c:layout>
                <c:manualLayout>
                  <c:x val="-4.4444444444444446E-2"/>
                  <c:y val="-4.76190476190476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A61-4A67-9DA1-41F0D8E75A9F}"/>
                </c:ext>
                <c:ext xmlns:c15="http://schemas.microsoft.com/office/drawing/2012/chart" uri="{CE6537A1-D6FC-4f65-9D91-7224C49458BB}"/>
              </c:extLst>
            </c:dLbl>
            <c:dLbl>
              <c:idx val="3"/>
              <c:layout>
                <c:manualLayout>
                  <c:x val="-4.1666666666666664E-2"/>
                  <c:y val="5.49450549450549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A61-4A67-9DA1-41F0D8E75A9F}"/>
                </c:ext>
                <c:ext xmlns:c15="http://schemas.microsoft.com/office/drawing/2012/chart" uri="{CE6537A1-D6FC-4f65-9D91-7224C49458BB}"/>
              </c:extLst>
            </c:dLbl>
            <c:dLbl>
              <c:idx val="4"/>
              <c:layout>
                <c:manualLayout>
                  <c:x val="-4.7222222222222221E-2"/>
                  <c:y val="-6.2271062271062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A61-4A67-9DA1-41F0D8E75A9F}"/>
                </c:ext>
                <c:ext xmlns:c15="http://schemas.microsoft.com/office/drawing/2012/chart" uri="{CE6537A1-D6FC-4f65-9D91-7224C49458BB}"/>
              </c:extLst>
            </c:dLbl>
            <c:dLbl>
              <c:idx val="5"/>
              <c:layout>
                <c:manualLayout>
                  <c:x val="-3.6111111111111212E-2"/>
                  <c:y val="-5.86080586080586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A61-4A67-9DA1-41F0D8E75A9F}"/>
                </c:ext>
                <c:ext xmlns:c15="http://schemas.microsoft.com/office/drawing/2012/chart" uri="{CE6537A1-D6FC-4f65-9D91-7224C49458BB}"/>
              </c:extLst>
            </c:dLbl>
            <c:dLbl>
              <c:idx val="6"/>
              <c:layout>
                <c:manualLayout>
                  <c:x val="-4.1666666666666768E-2"/>
                  <c:y val="9.523809523809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A61-4A67-9DA1-41F0D8E75A9F}"/>
                </c:ext>
                <c:ext xmlns:c15="http://schemas.microsoft.com/office/drawing/2012/chart" uri="{CE6537A1-D6FC-4f65-9D91-7224C49458BB}"/>
              </c:extLst>
            </c:dLbl>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PS'!$J$5:$J$11</c:f>
              <c:strCache>
                <c:ptCount val="7"/>
                <c:pt idx="0">
                  <c:v>DPFO</c:v>
                </c:pt>
                <c:pt idx="1">
                  <c:v>DPPO</c:v>
                </c:pt>
                <c:pt idx="2">
                  <c:v>DPH</c:v>
                </c:pt>
                <c:pt idx="3">
                  <c:v>SD</c:v>
                </c:pt>
                <c:pt idx="4">
                  <c:v>SO</c:v>
                </c:pt>
                <c:pt idx="5">
                  <c:v>ZO</c:v>
                </c:pt>
                <c:pt idx="6">
                  <c:v>Ostatné</c:v>
                </c:pt>
              </c:strCache>
            </c:strRef>
          </c:cat>
          <c:val>
            <c:numRef>
              <c:f>'do PS'!$K$5:$K$11</c:f>
              <c:numCache>
                <c:formatCode>#,##0</c:formatCode>
                <c:ptCount val="7"/>
                <c:pt idx="0">
                  <c:v>130.46112374999996</c:v>
                </c:pt>
                <c:pt idx="1">
                  <c:v>121.07900000000029</c:v>
                </c:pt>
                <c:pt idx="2">
                  <c:v>221.09559724107822</c:v>
                </c:pt>
                <c:pt idx="3">
                  <c:v>-25.779958329999701</c:v>
                </c:pt>
                <c:pt idx="4">
                  <c:v>203.48829836459703</c:v>
                </c:pt>
                <c:pt idx="5">
                  <c:v>97.631230420000477</c:v>
                </c:pt>
                <c:pt idx="6">
                  <c:v>-51.234791055015535</c:v>
                </c:pt>
              </c:numCache>
            </c:numRef>
          </c:val>
          <c:smooth val="0"/>
          <c:extLst xmlns:c16r2="http://schemas.microsoft.com/office/drawing/2015/06/chart">
            <c:ext xmlns:c16="http://schemas.microsoft.com/office/drawing/2014/chart" uri="{C3380CC4-5D6E-409C-BE32-E72D297353CC}">
              <c16:uniqueId val="{00000016-FA61-4A67-9DA1-41F0D8E75A9F}"/>
            </c:ext>
          </c:extLst>
        </c:ser>
        <c:dLbls>
          <c:showLegendKey val="0"/>
          <c:showVal val="0"/>
          <c:showCatName val="0"/>
          <c:showSerName val="0"/>
          <c:showPercent val="0"/>
          <c:showBubbleSize val="0"/>
        </c:dLbls>
        <c:marker val="1"/>
        <c:smooth val="0"/>
        <c:axId val="479146816"/>
        <c:axId val="479147208"/>
      </c:lineChart>
      <c:catAx>
        <c:axId val="479146816"/>
        <c:scaling>
          <c:orientation val="minMax"/>
        </c:scaling>
        <c:delete val="0"/>
        <c:axPos val="b"/>
        <c:numFmt formatCode="General" sourceLinked="1"/>
        <c:majorTickMark val="out"/>
        <c:minorTickMark val="none"/>
        <c:tickLblPos val="low"/>
        <c:txPr>
          <a:bodyPr/>
          <a:lstStyle/>
          <a:p>
            <a:pPr>
              <a:defRPr sz="600"/>
            </a:pPr>
            <a:endParaRPr lang="sk-SK"/>
          </a:p>
        </c:txPr>
        <c:crossAx val="479147208"/>
        <c:crosses val="autoZero"/>
        <c:auto val="1"/>
        <c:lblAlgn val="ctr"/>
        <c:lblOffset val="100"/>
        <c:noMultiLvlLbl val="0"/>
      </c:catAx>
      <c:valAx>
        <c:axId val="479147208"/>
        <c:scaling>
          <c:orientation val="minMax"/>
        </c:scaling>
        <c:delete val="0"/>
        <c:axPos val="l"/>
        <c:numFmt formatCode="#,##0" sourceLinked="0"/>
        <c:majorTickMark val="out"/>
        <c:minorTickMark val="none"/>
        <c:tickLblPos val="nextTo"/>
        <c:crossAx val="479146816"/>
        <c:crosses val="autoZero"/>
        <c:crossBetween val="between"/>
      </c:valAx>
      <c:spPr>
        <a:noFill/>
      </c:spPr>
    </c:plotArea>
    <c:legend>
      <c:legendPos val="r"/>
      <c:legendEntry>
        <c:idx val="5"/>
        <c:delete val="1"/>
      </c:legendEntry>
      <c:layout>
        <c:manualLayout>
          <c:xMode val="edge"/>
          <c:yMode val="edge"/>
          <c:x val="0.05"/>
          <c:y val="1.1623547056617779E-3"/>
          <c:w val="0.9469997812773403"/>
          <c:h val="0.14920726010943547"/>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sk-SK"/>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7851447218386"/>
          <c:y val="7.1136986201140173E-2"/>
          <c:w val="0.67153464250703598"/>
          <c:h val="0.88057796029608404"/>
        </c:manualLayout>
      </c:layout>
      <c:barChart>
        <c:barDir val="bar"/>
        <c:grouping val="stacked"/>
        <c:varyColors val="0"/>
        <c:ser>
          <c:idx val="0"/>
          <c:order val="0"/>
          <c:spPr>
            <a:solidFill>
              <a:schemeClr val="accent6"/>
            </a:solidFill>
            <a:ln>
              <a:noFill/>
            </a:ln>
          </c:spPr>
          <c:invertIfNegative val="0"/>
          <c:dPt>
            <c:idx val="3"/>
            <c:invertIfNegative val="0"/>
            <c:bubble3D val="0"/>
            <c:extLst xmlns:c16r2="http://schemas.microsoft.com/office/drawing/2015/06/chart">
              <c:ext xmlns:c16="http://schemas.microsoft.com/office/drawing/2014/chart" uri="{C3380CC4-5D6E-409C-BE32-E72D297353CC}">
                <c16:uniqueId val="{00000000-D05B-4886-B819-22133CC773CA}"/>
              </c:ext>
            </c:extLst>
          </c:dPt>
          <c:dPt>
            <c:idx val="4"/>
            <c:invertIfNegative val="0"/>
            <c:bubble3D val="0"/>
            <c:extLst xmlns:c16r2="http://schemas.microsoft.com/office/drawing/2015/06/chart">
              <c:ext xmlns:c16="http://schemas.microsoft.com/office/drawing/2014/chart" uri="{C3380CC4-5D6E-409C-BE32-E72D297353CC}">
                <c16:uniqueId val="{00000003-FB84-426C-8129-0A5E6EFDA1F4}"/>
              </c:ext>
            </c:extLst>
          </c:dPt>
          <c:dPt>
            <c:idx val="7"/>
            <c:invertIfNegative val="0"/>
            <c:bubble3D val="0"/>
            <c:extLst xmlns:c16r2="http://schemas.microsoft.com/office/drawing/2015/06/chart">
              <c:ext xmlns:c16="http://schemas.microsoft.com/office/drawing/2014/chart" uri="{C3380CC4-5D6E-409C-BE32-E72D297353CC}">
                <c16:uniqueId val="{00000003-925B-403E-87F0-358875F138ED}"/>
              </c:ext>
            </c:extLst>
          </c:dPt>
          <c:dPt>
            <c:idx val="8"/>
            <c:invertIfNegative val="0"/>
            <c:bubble3D val="0"/>
            <c:extLst xmlns:c16r2="http://schemas.microsoft.com/office/drawing/2015/06/chart">
              <c:ext xmlns:c16="http://schemas.microsoft.com/office/drawing/2014/chart" uri="{C3380CC4-5D6E-409C-BE32-E72D297353CC}">
                <c16:uniqueId val="{00000002-D05B-4886-B819-22133CC773CA}"/>
              </c:ext>
            </c:extLst>
          </c:dPt>
          <c:dPt>
            <c:idx val="9"/>
            <c:invertIfNegative val="0"/>
            <c:bubble3D val="0"/>
            <c:extLst xmlns:c16r2="http://schemas.microsoft.com/office/drawing/2015/06/chart">
              <c:ext xmlns:c16="http://schemas.microsoft.com/office/drawing/2014/chart" uri="{C3380CC4-5D6E-409C-BE32-E72D297353CC}">
                <c16:uniqueId val="{00000003-D05B-4886-B819-22133CC773CA}"/>
              </c:ext>
            </c:extLst>
          </c:dPt>
          <c:dPt>
            <c:idx val="11"/>
            <c:invertIfNegative val="0"/>
            <c:bubble3D val="0"/>
            <c:extLst xmlns:c16r2="http://schemas.microsoft.com/office/drawing/2015/06/chart">
              <c:ext xmlns:c16="http://schemas.microsoft.com/office/drawing/2014/chart" uri="{C3380CC4-5D6E-409C-BE32-E72D297353CC}">
                <c16:uniqueId val="{0000000A-FB84-426C-8129-0A5E6EFDA1F4}"/>
              </c:ext>
            </c:extLst>
          </c:dPt>
          <c:cat>
            <c:strRef>
              <c:f>'Graf 25'!$A$26:$A$38</c:f>
              <c:strCache>
                <c:ptCount val="13"/>
                <c:pt idx="0">
                  <c:v>Saldo VS - rozpočet</c:v>
                </c:pt>
                <c:pt idx="1">
                  <c:v>Vyššie granty a transfery (D.39+D.7R+D.9R)</c:v>
                </c:pt>
                <c:pt idx="2">
                  <c:v>Nižšia medzispotreba (P.2)</c:v>
                </c:pt>
                <c:pt idx="3">
                  <c:v>Nižšie ostatné bežné transfery (D.7P)</c:v>
                </c:pt>
                <c:pt idx="4">
                  <c:v>Príspevky na sociálne zabezpečenie (D.61)</c:v>
                </c:pt>
                <c:pt idx="5">
                  <c:v>Nedaňové príjmy (P.11+P.12+P.131+D.4)</c:v>
                </c:pt>
                <c:pt idx="6">
                  <c:v>Ostatné</c:v>
                </c:pt>
                <c:pt idx="7">
                  <c:v>Vyššie subvencie (D.3P)</c:v>
                </c:pt>
                <c:pt idx="8">
                  <c:v>Výdavky na sociálne dávky (D.62P)</c:v>
                </c:pt>
                <c:pt idx="9">
                  <c:v>Daňové príjmy (D.2+D.5+D.91)</c:v>
                </c:pt>
                <c:pt idx="10">
                  <c:v>Kompenzácie zamestnancov (D.1P)</c:v>
                </c:pt>
                <c:pt idx="11">
                  <c:v>Kapitálové výdavky (P.5L+ D.9P)</c:v>
                </c:pt>
                <c:pt idx="12">
                  <c:v>Saldo VS - očakávaná skutočnosť</c:v>
                </c:pt>
              </c:strCache>
            </c:strRef>
          </c:cat>
          <c:val>
            <c:numRef>
              <c:f>'Graf 25'!$D$26:$D$38</c:f>
              <c:numCache>
                <c:formatCode>#,##0</c:formatCode>
                <c:ptCount val="13"/>
                <c:pt idx="1">
                  <c:v>0</c:v>
                </c:pt>
                <c:pt idx="2">
                  <c:v>0</c:v>
                </c:pt>
                <c:pt idx="3">
                  <c:v>0</c:v>
                </c:pt>
                <c:pt idx="4">
                  <c:v>0</c:v>
                </c:pt>
                <c:pt idx="5">
                  <c:v>0</c:v>
                </c:pt>
                <c:pt idx="6">
                  <c:v>0</c:v>
                </c:pt>
                <c:pt idx="7">
                  <c:v>0</c:v>
                </c:pt>
                <c:pt idx="8">
                  <c:v>0</c:v>
                </c:pt>
                <c:pt idx="9">
                  <c:v>0</c:v>
                </c:pt>
                <c:pt idx="10">
                  <c:v>0</c:v>
                </c:pt>
                <c:pt idx="11">
                  <c:v>410.64700000000011</c:v>
                </c:pt>
              </c:numCache>
            </c:numRef>
          </c:val>
          <c:extLst xmlns:c16r2="http://schemas.microsoft.com/office/drawing/2015/06/chart">
            <c:ext xmlns:c16="http://schemas.microsoft.com/office/drawing/2014/chart" uri="{C3380CC4-5D6E-409C-BE32-E72D297353CC}">
              <c16:uniqueId val="{00000006-D05B-4886-B819-22133CC773CA}"/>
            </c:ext>
          </c:extLst>
        </c:ser>
        <c:ser>
          <c:idx val="1"/>
          <c:order val="1"/>
          <c:spPr>
            <a:noFill/>
          </c:spPr>
          <c:invertIfNegative val="0"/>
          <c:cat>
            <c:strRef>
              <c:f>'Graf 25'!$A$26:$A$38</c:f>
              <c:strCache>
                <c:ptCount val="13"/>
                <c:pt idx="0">
                  <c:v>Saldo VS - rozpočet</c:v>
                </c:pt>
                <c:pt idx="1">
                  <c:v>Vyššie granty a transfery (D.39+D.7R+D.9R)</c:v>
                </c:pt>
                <c:pt idx="2">
                  <c:v>Nižšia medzispotreba (P.2)</c:v>
                </c:pt>
                <c:pt idx="3">
                  <c:v>Nižšie ostatné bežné transfery (D.7P)</c:v>
                </c:pt>
                <c:pt idx="4">
                  <c:v>Príspevky na sociálne zabezpečenie (D.61)</c:v>
                </c:pt>
                <c:pt idx="5">
                  <c:v>Nedaňové príjmy (P.11+P.12+P.131+D.4)</c:v>
                </c:pt>
                <c:pt idx="6">
                  <c:v>Ostatné</c:v>
                </c:pt>
                <c:pt idx="7">
                  <c:v>Vyššie subvencie (D.3P)</c:v>
                </c:pt>
                <c:pt idx="8">
                  <c:v>Výdavky na sociálne dávky (D.62P)</c:v>
                </c:pt>
                <c:pt idx="9">
                  <c:v>Daňové príjmy (D.2+D.5+D.91)</c:v>
                </c:pt>
                <c:pt idx="10">
                  <c:v>Kompenzácie zamestnancov (D.1P)</c:v>
                </c:pt>
                <c:pt idx="11">
                  <c:v>Kapitálové výdavky (P.5L+ D.9P)</c:v>
                </c:pt>
                <c:pt idx="12">
                  <c:v>Saldo VS - očakávaná skutočnosť</c:v>
                </c:pt>
              </c:strCache>
            </c:strRef>
          </c:cat>
          <c:val>
            <c:numRef>
              <c:f>'Graf 25'!$E$26:$E$38</c:f>
              <c:numCache>
                <c:formatCode>#,##0</c:formatCode>
                <c:ptCount val="13"/>
                <c:pt idx="1">
                  <c:v>0</c:v>
                </c:pt>
                <c:pt idx="2">
                  <c:v>410.92</c:v>
                </c:pt>
                <c:pt idx="3">
                  <c:v>564.44200000000001</c:v>
                </c:pt>
                <c:pt idx="4">
                  <c:v>666.85199999999998</c:v>
                </c:pt>
                <c:pt idx="5">
                  <c:v>726.16200000000003</c:v>
                </c:pt>
                <c:pt idx="6">
                  <c:v>745.93200000000002</c:v>
                </c:pt>
                <c:pt idx="7">
                  <c:v>688.34300000000007</c:v>
                </c:pt>
                <c:pt idx="8">
                  <c:v>611.06500000000005</c:v>
                </c:pt>
                <c:pt idx="9">
                  <c:v>521.02500000000009</c:v>
                </c:pt>
                <c:pt idx="10">
                  <c:v>410.64700000000011</c:v>
                </c:pt>
                <c:pt idx="11">
                  <c:v>0</c:v>
                </c:pt>
              </c:numCache>
            </c:numRef>
          </c:val>
          <c:extLst xmlns:c16r2="http://schemas.microsoft.com/office/drawing/2015/06/chart">
            <c:ext xmlns:c16="http://schemas.microsoft.com/office/drawing/2014/chart" uri="{C3380CC4-5D6E-409C-BE32-E72D297353CC}">
              <c16:uniqueId val="{00000007-D05B-4886-B819-22133CC773CA}"/>
            </c:ext>
          </c:extLst>
        </c:ser>
        <c:ser>
          <c:idx val="2"/>
          <c:order val="2"/>
          <c:spPr>
            <a:solidFill>
              <a:schemeClr val="accent6"/>
            </a:solidFill>
          </c:spPr>
          <c:invertIfNegative val="0"/>
          <c:dPt>
            <c:idx val="0"/>
            <c:invertIfNegative val="0"/>
            <c:bubble3D val="0"/>
            <c:spPr>
              <a:solidFill>
                <a:schemeClr val="accent1">
                  <a:lumMod val="40000"/>
                  <a:lumOff val="60000"/>
                </a:schemeClr>
              </a:solidFill>
              <a:ln>
                <a:noFill/>
              </a:ln>
            </c:spPr>
            <c:extLst xmlns:c16r2="http://schemas.microsoft.com/office/drawing/2015/06/chart">
              <c:ext xmlns:c16="http://schemas.microsoft.com/office/drawing/2014/chart" uri="{C3380CC4-5D6E-409C-BE32-E72D297353CC}">
                <c16:uniqueId val="{00000009-D05B-4886-B819-22133CC773CA}"/>
              </c:ext>
            </c:extLst>
          </c:dPt>
          <c:dPt>
            <c:idx val="1"/>
            <c:invertIfNegative val="0"/>
            <c:bubble3D val="0"/>
            <c:spPr>
              <a:solidFill>
                <a:schemeClr val="accent3"/>
              </a:solidFill>
            </c:spPr>
            <c:extLst xmlns:c16r2="http://schemas.microsoft.com/office/drawing/2015/06/chart">
              <c:ext xmlns:c16="http://schemas.microsoft.com/office/drawing/2014/chart" uri="{C3380CC4-5D6E-409C-BE32-E72D297353CC}">
                <c16:uniqueId val="{0000000A-D05B-4886-B819-22133CC773CA}"/>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B-D05B-4886-B819-22133CC773CA}"/>
              </c:ext>
            </c:extLst>
          </c:dPt>
          <c:dPt>
            <c:idx val="3"/>
            <c:invertIfNegative val="0"/>
            <c:bubble3D val="0"/>
            <c:spPr>
              <a:solidFill>
                <a:schemeClr val="accent3"/>
              </a:solidFill>
            </c:spPr>
            <c:extLst xmlns:c16r2="http://schemas.microsoft.com/office/drawing/2015/06/chart">
              <c:ext xmlns:c16="http://schemas.microsoft.com/office/drawing/2014/chart" uri="{C3380CC4-5D6E-409C-BE32-E72D297353CC}">
                <c16:uniqueId val="{0000000D-D05B-4886-B819-22133CC773CA}"/>
              </c:ext>
            </c:extLst>
          </c:dPt>
          <c:dPt>
            <c:idx val="4"/>
            <c:invertIfNegative val="0"/>
            <c:bubble3D val="0"/>
            <c:spPr>
              <a:solidFill>
                <a:schemeClr val="accent3"/>
              </a:solidFill>
              <a:ln>
                <a:noFill/>
              </a:ln>
            </c:spPr>
            <c:extLst xmlns:c16r2="http://schemas.microsoft.com/office/drawing/2015/06/chart">
              <c:ext xmlns:c16="http://schemas.microsoft.com/office/drawing/2014/chart" uri="{C3380CC4-5D6E-409C-BE32-E72D297353CC}">
                <c16:uniqueId val="{0000000E-D05B-4886-B819-22133CC773CA}"/>
              </c:ext>
            </c:extLst>
          </c:dPt>
          <c:dPt>
            <c:idx val="5"/>
            <c:invertIfNegative val="0"/>
            <c:bubble3D val="0"/>
            <c:spPr>
              <a:solidFill>
                <a:schemeClr val="accent3"/>
              </a:solidFill>
            </c:spPr>
            <c:extLst xmlns:c16r2="http://schemas.microsoft.com/office/drawing/2015/06/chart">
              <c:ext xmlns:c16="http://schemas.microsoft.com/office/drawing/2014/chart" uri="{C3380CC4-5D6E-409C-BE32-E72D297353CC}">
                <c16:uniqueId val="{0000000F-D05B-4886-B819-22133CC773CA}"/>
              </c:ext>
            </c:extLst>
          </c:dPt>
          <c:dPt>
            <c:idx val="6"/>
            <c:invertIfNegative val="0"/>
            <c:bubble3D val="0"/>
            <c:spPr>
              <a:solidFill>
                <a:schemeClr val="accent3"/>
              </a:solidFill>
            </c:spPr>
            <c:extLst xmlns:c16r2="http://schemas.microsoft.com/office/drawing/2015/06/chart">
              <c:ext xmlns:c16="http://schemas.microsoft.com/office/drawing/2014/chart" uri="{C3380CC4-5D6E-409C-BE32-E72D297353CC}">
                <c16:uniqueId val="{00000011-D05B-4886-B819-22133CC773CA}"/>
              </c:ext>
            </c:extLst>
          </c:dPt>
          <c:dPt>
            <c:idx val="7"/>
            <c:invertIfNegative val="0"/>
            <c:bubble3D val="0"/>
            <c:extLst xmlns:c16r2="http://schemas.microsoft.com/office/drawing/2015/06/chart">
              <c:ext xmlns:c16="http://schemas.microsoft.com/office/drawing/2014/chart" uri="{C3380CC4-5D6E-409C-BE32-E72D297353CC}">
                <c16:uniqueId val="{00000013-D05B-4886-B819-22133CC773CA}"/>
              </c:ext>
            </c:extLst>
          </c:dPt>
          <c:dPt>
            <c:idx val="8"/>
            <c:invertIfNegative val="0"/>
            <c:bubble3D val="0"/>
            <c:extLst xmlns:c16r2="http://schemas.microsoft.com/office/drawing/2015/06/chart">
              <c:ext xmlns:c16="http://schemas.microsoft.com/office/drawing/2014/chart" uri="{C3380CC4-5D6E-409C-BE32-E72D297353CC}">
                <c16:uniqueId val="{00000015-D05B-4886-B819-22133CC773CA}"/>
              </c:ext>
            </c:extLst>
          </c:dPt>
          <c:dPt>
            <c:idx val="9"/>
            <c:invertIfNegative val="0"/>
            <c:bubble3D val="0"/>
            <c:extLst xmlns:c16r2="http://schemas.microsoft.com/office/drawing/2015/06/chart">
              <c:ext xmlns:c16="http://schemas.microsoft.com/office/drawing/2014/chart" uri="{C3380CC4-5D6E-409C-BE32-E72D297353CC}">
                <c16:uniqueId val="{00000017-D05B-4886-B819-22133CC773CA}"/>
              </c:ext>
            </c:extLst>
          </c:dPt>
          <c:dPt>
            <c:idx val="10"/>
            <c:invertIfNegative val="0"/>
            <c:bubble3D val="0"/>
            <c:extLst xmlns:c16r2="http://schemas.microsoft.com/office/drawing/2015/06/chart">
              <c:ext xmlns:c16="http://schemas.microsoft.com/office/drawing/2014/chart" uri="{C3380CC4-5D6E-409C-BE32-E72D297353CC}">
                <c16:uniqueId val="{00000019-D05B-4886-B819-22133CC773CA}"/>
              </c:ext>
            </c:extLst>
          </c:dPt>
          <c:dPt>
            <c:idx val="11"/>
            <c:invertIfNegative val="0"/>
            <c:bubble3D val="0"/>
            <c:spPr>
              <a:solidFill>
                <a:schemeClr val="accent2"/>
              </a:solidFill>
            </c:spPr>
            <c:extLst xmlns:c16r2="http://schemas.microsoft.com/office/drawing/2015/06/chart">
              <c:ext xmlns:c16="http://schemas.microsoft.com/office/drawing/2014/chart" uri="{C3380CC4-5D6E-409C-BE32-E72D297353CC}">
                <c16:uniqueId val="{0000001B-D05B-4886-B819-22133CC773CA}"/>
              </c:ext>
            </c:extLst>
          </c:dPt>
          <c:dPt>
            <c:idx val="12"/>
            <c:invertIfNegative val="0"/>
            <c:bubble3D val="0"/>
            <c:extLst xmlns:c16r2="http://schemas.microsoft.com/office/drawing/2015/06/chart">
              <c:ext xmlns:c16="http://schemas.microsoft.com/office/drawing/2014/chart" uri="{C3380CC4-5D6E-409C-BE32-E72D297353CC}">
                <c16:uniqueId val="{0000001D-D05B-4886-B819-22133CC773CA}"/>
              </c:ext>
            </c:extLst>
          </c:dPt>
          <c:dPt>
            <c:idx val="14"/>
            <c:invertIfNegative val="0"/>
            <c:bubble3D val="0"/>
            <c:spPr>
              <a:solidFill>
                <a:schemeClr val="accent1">
                  <a:lumMod val="40000"/>
                  <a:lumOff val="60000"/>
                </a:schemeClr>
              </a:solidFill>
              <a:ln>
                <a:noFill/>
              </a:ln>
            </c:spPr>
            <c:extLst xmlns:c16r2="http://schemas.microsoft.com/office/drawing/2015/06/chart">
              <c:ext xmlns:c16="http://schemas.microsoft.com/office/drawing/2014/chart" uri="{C3380CC4-5D6E-409C-BE32-E72D297353CC}">
                <c16:uniqueId val="{00000020-FB84-426C-8129-0A5E6EFDA1F4}"/>
              </c:ext>
            </c:extLst>
          </c:dPt>
          <c:dPt>
            <c:idx val="16"/>
            <c:invertIfNegative val="0"/>
            <c:bubble3D val="0"/>
            <c:extLst xmlns:c16r2="http://schemas.microsoft.com/office/drawing/2015/06/chart">
              <c:ext xmlns:c16="http://schemas.microsoft.com/office/drawing/2014/chart" uri="{C3380CC4-5D6E-409C-BE32-E72D297353CC}">
                <c16:uniqueId val="{00000023-D05B-4886-B819-22133CC773CA}"/>
              </c:ext>
            </c:extLst>
          </c:dPt>
          <c:dLbls>
            <c:dLbl>
              <c:idx val="0"/>
              <c:layout>
                <c:manualLayout>
                  <c:x val="1.3574660633484163E-2"/>
                  <c:y val="-5.02386335091685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5B-4886-B819-22133CC773CA}"/>
                </c:ext>
                <c:ext xmlns:c15="http://schemas.microsoft.com/office/drawing/2012/chart" uri="{CE6537A1-D6FC-4f65-9D91-7224C49458BB}"/>
              </c:extLst>
            </c:dLbl>
            <c:dLbl>
              <c:idx val="6"/>
              <c:layout>
                <c:manualLayout>
                  <c:x val="1.2931268345055114E-2"/>
                  <c:y val="2.8141411719547195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05B-4886-B819-22133CC773CA}"/>
                </c:ext>
                <c:ext xmlns:c15="http://schemas.microsoft.com/office/drawing/2012/chart" uri="{CE6537A1-D6FC-4f65-9D91-7224C49458BB}"/>
              </c:extLst>
            </c:dLbl>
            <c:dLbl>
              <c:idx val="7"/>
              <c:tx>
                <c:rich>
                  <a:bodyPr/>
                  <a:lstStyle/>
                  <a:p>
                    <a:r>
                      <a:rPr lang="en-US"/>
                      <a:t>-</a:t>
                    </a:r>
                    <a:fld id="{FBC181CB-B489-4683-BDB7-98B9AF8540FC}" type="VALUE">
                      <a:rPr lang="en-US"/>
                      <a:pPr/>
                      <a:t>[HODNOTA]</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05B-4886-B819-22133CC773CA}"/>
                </c:ext>
                <c:ext xmlns:c15="http://schemas.microsoft.com/office/drawing/2012/chart" uri="{CE6537A1-D6FC-4f65-9D91-7224C49458BB}">
                  <c15:dlblFieldTable/>
                  <c15:showDataLabelsRange val="0"/>
                </c:ext>
              </c:extLst>
            </c:dLbl>
            <c:dLbl>
              <c:idx val="8"/>
              <c:tx>
                <c:rich>
                  <a:bodyPr/>
                  <a:lstStyle/>
                  <a:p>
                    <a:r>
                      <a:rPr lang="en-US"/>
                      <a:t>-</a:t>
                    </a:r>
                    <a:fld id="{1A08DF77-03F2-45F5-8B4D-306816A393E5}" type="VALUE">
                      <a:rPr lang="en-US"/>
                      <a:pPr/>
                      <a:t>[HODNOTA]</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05B-4886-B819-22133CC773CA}"/>
                </c:ext>
                <c:ext xmlns:c15="http://schemas.microsoft.com/office/drawing/2012/chart" uri="{CE6537A1-D6FC-4f65-9D91-7224C49458BB}">
                  <c15:dlblFieldTable/>
                  <c15:showDataLabelsRange val="0"/>
                </c:ext>
              </c:extLst>
            </c:dLbl>
            <c:dLbl>
              <c:idx val="9"/>
              <c:tx>
                <c:rich>
                  <a:bodyPr/>
                  <a:lstStyle/>
                  <a:p>
                    <a:r>
                      <a:rPr lang="en-US"/>
                      <a:t>-</a:t>
                    </a:r>
                    <a:fld id="{DDF92744-BEAA-460C-AAF9-91A7DACE30A5}" type="VALUE">
                      <a:rPr lang="en-US"/>
                      <a:pPr/>
                      <a:t>[HODNOTA]</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05B-4886-B819-22133CC773CA}"/>
                </c:ext>
                <c:ext xmlns:c15="http://schemas.microsoft.com/office/drawing/2012/chart" uri="{CE6537A1-D6FC-4f65-9D91-7224C49458BB}">
                  <c15:dlblFieldTable/>
                  <c15:showDataLabelsRange val="0"/>
                </c:ext>
              </c:extLst>
            </c:dLbl>
            <c:dLbl>
              <c:idx val="10"/>
              <c:tx>
                <c:rich>
                  <a:bodyPr/>
                  <a:lstStyle/>
                  <a:p>
                    <a:r>
                      <a:rPr lang="en-US"/>
                      <a:t>-110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05B-4886-B819-22133CC773CA}"/>
                </c:ext>
                <c:ext xmlns:c15="http://schemas.microsoft.com/office/drawing/2012/chart" uri="{CE6537A1-D6FC-4f65-9D91-7224C49458BB}"/>
              </c:extLst>
            </c:dLbl>
            <c:dLbl>
              <c:idx val="11"/>
              <c:layout>
                <c:manualLayout>
                  <c:x val="0.14409127584489984"/>
                  <c:y val="0"/>
                </c:manualLayout>
              </c:layout>
              <c:tx>
                <c:rich>
                  <a:bodyPr/>
                  <a:lstStyle/>
                  <a:p>
                    <a:r>
                      <a:rPr lang="en-US"/>
                      <a:t>-411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D05B-4886-B819-22133CC773CA}"/>
                </c:ext>
                <c:ext xmlns:c15="http://schemas.microsoft.com/office/drawing/2012/chart" uri="{CE6537A1-D6FC-4f65-9D91-7224C49458BB}"/>
              </c:extLst>
            </c:dLbl>
            <c:dLbl>
              <c:idx val="12"/>
              <c:layout>
                <c:manualLayout>
                  <c:x val="1.8099547511312219E-2"/>
                  <c:y val="5.02386335091685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D05B-4886-B819-22133CC773C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25'!$A$26:$A$38</c:f>
              <c:strCache>
                <c:ptCount val="13"/>
                <c:pt idx="0">
                  <c:v>Saldo VS - rozpočet</c:v>
                </c:pt>
                <c:pt idx="1">
                  <c:v>Vyššie granty a transfery (D.39+D.7R+D.9R)</c:v>
                </c:pt>
                <c:pt idx="2">
                  <c:v>Nižšia medzispotreba (P.2)</c:v>
                </c:pt>
                <c:pt idx="3">
                  <c:v>Nižšie ostatné bežné transfery (D.7P)</c:v>
                </c:pt>
                <c:pt idx="4">
                  <c:v>Príspevky na sociálne zabezpečenie (D.61)</c:v>
                </c:pt>
                <c:pt idx="5">
                  <c:v>Nedaňové príjmy (P.11+P.12+P.131+D.4)</c:v>
                </c:pt>
                <c:pt idx="6">
                  <c:v>Ostatné</c:v>
                </c:pt>
                <c:pt idx="7">
                  <c:v>Vyššie subvencie (D.3P)</c:v>
                </c:pt>
                <c:pt idx="8">
                  <c:v>Výdavky na sociálne dávky (D.62P)</c:v>
                </c:pt>
                <c:pt idx="9">
                  <c:v>Daňové príjmy (D.2+D.5+D.91)</c:v>
                </c:pt>
                <c:pt idx="10">
                  <c:v>Kompenzácie zamestnancov (D.1P)</c:v>
                </c:pt>
                <c:pt idx="11">
                  <c:v>Kapitálové výdavky (P.5L+ D.9P)</c:v>
                </c:pt>
                <c:pt idx="12">
                  <c:v>Saldo VS - očakávaná skutočnosť</c:v>
                </c:pt>
              </c:strCache>
            </c:strRef>
          </c:cat>
          <c:val>
            <c:numRef>
              <c:f>'Graf 25'!$F$26:$F$38</c:f>
              <c:numCache>
                <c:formatCode>#,##0</c:formatCode>
                <c:ptCount val="13"/>
                <c:pt idx="0">
                  <c:v>0</c:v>
                </c:pt>
                <c:pt idx="1">
                  <c:v>410.92</c:v>
                </c:pt>
                <c:pt idx="2">
                  <c:v>153.52199999999999</c:v>
                </c:pt>
                <c:pt idx="3">
                  <c:v>102.41</c:v>
                </c:pt>
                <c:pt idx="4">
                  <c:v>59.31</c:v>
                </c:pt>
                <c:pt idx="5">
                  <c:v>19.77</c:v>
                </c:pt>
                <c:pt idx="6">
                  <c:v>3.0670000000000002</c:v>
                </c:pt>
                <c:pt idx="7">
                  <c:v>60.655999999999999</c:v>
                </c:pt>
                <c:pt idx="8">
                  <c:v>77.278000000000006</c:v>
                </c:pt>
                <c:pt idx="9">
                  <c:v>90.04</c:v>
                </c:pt>
                <c:pt idx="10">
                  <c:v>110.378</c:v>
                </c:pt>
                <c:pt idx="11">
                  <c:v>-1.0999999999910415E-2</c:v>
                </c:pt>
                <c:pt idx="12">
                  <c:v>-1.0999999999910415E-2</c:v>
                </c:pt>
              </c:numCache>
            </c:numRef>
          </c:val>
          <c:extLst xmlns:c16r2="http://schemas.microsoft.com/office/drawing/2015/06/chart">
            <c:ext xmlns:c16="http://schemas.microsoft.com/office/drawing/2014/chart" uri="{C3380CC4-5D6E-409C-BE32-E72D297353CC}">
              <c16:uniqueId val="{00000024-D05B-4886-B819-22133CC773CA}"/>
            </c:ext>
          </c:extLst>
        </c:ser>
        <c:dLbls>
          <c:showLegendKey val="0"/>
          <c:showVal val="0"/>
          <c:showCatName val="0"/>
          <c:showSerName val="0"/>
          <c:showPercent val="0"/>
          <c:showBubbleSize val="0"/>
        </c:dLbls>
        <c:gapWidth val="60"/>
        <c:overlap val="100"/>
        <c:axId val="476026088"/>
        <c:axId val="476026480"/>
      </c:barChart>
      <c:catAx>
        <c:axId val="476026088"/>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sz="800"/>
            </a:pPr>
            <a:endParaRPr lang="sk-SK"/>
          </a:p>
        </c:txPr>
        <c:crossAx val="476026480"/>
        <c:crosses val="autoZero"/>
        <c:auto val="1"/>
        <c:lblAlgn val="ctr"/>
        <c:lblOffset val="100"/>
        <c:noMultiLvlLbl val="0"/>
      </c:catAx>
      <c:valAx>
        <c:axId val="476026480"/>
        <c:scaling>
          <c:orientation val="minMax"/>
        </c:scaling>
        <c:delete val="0"/>
        <c:axPos val="t"/>
        <c:numFmt formatCode="#,##0" sourceLinked="1"/>
        <c:majorTickMark val="out"/>
        <c:minorTickMark val="none"/>
        <c:tickLblPos val="low"/>
        <c:spPr>
          <a:ln>
            <a:solidFill>
              <a:schemeClr val="tx1"/>
            </a:solidFill>
          </a:ln>
        </c:spPr>
        <c:txPr>
          <a:bodyPr/>
          <a:lstStyle/>
          <a:p>
            <a:pPr>
              <a:defRPr sz="800"/>
            </a:pPr>
            <a:endParaRPr lang="sk-SK"/>
          </a:p>
        </c:txPr>
        <c:crossAx val="476026088"/>
        <c:crosses val="autoZero"/>
        <c:crossBetween val="between"/>
      </c:valAx>
    </c:plotArea>
    <c:plotVisOnly val="1"/>
    <c:dispBlanksAs val="gap"/>
    <c:showDLblsOverMax val="0"/>
  </c:chart>
  <c:spPr>
    <a:noFill/>
    <a:ln>
      <a:solidFill>
        <a:schemeClr val="bg1"/>
      </a:solidFill>
    </a:ln>
  </c:spPr>
  <c:txPr>
    <a:bodyPr/>
    <a:lstStyle/>
    <a:p>
      <a:pPr>
        <a:defRPr>
          <a:latin typeface="Arial Narrow" panose="020B0606020202030204" pitchFamily="34"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5910018777131E-2"/>
          <c:y val="3.6702577156306072E-2"/>
          <c:w val="0.91507149165482005"/>
          <c:h val="0.91074167429314146"/>
        </c:manualLayout>
      </c:layout>
      <c:scatterChart>
        <c:scatterStyle val="smoothMarker"/>
        <c:varyColors val="0"/>
        <c:ser>
          <c:idx val="0"/>
          <c:order val="0"/>
          <c:marker>
            <c:symbol val="circle"/>
            <c:size val="6"/>
            <c:spPr>
              <a:solidFill>
                <a:srgbClr val="FFFF99"/>
              </a:solidFill>
              <a:ln>
                <a:solidFill>
                  <a:srgbClr val="000000"/>
                </a:solidFill>
                <a:prstDash val="solid"/>
              </a:ln>
              <a:effectLst>
                <a:glow>
                  <a:schemeClr val="accent1"/>
                </a:glow>
              </a:effectLst>
            </c:spPr>
          </c:marker>
          <c:dPt>
            <c:idx val="1"/>
            <c:bubble3D val="0"/>
            <c:spPr>
              <a:ln w="28575">
                <a:solidFill>
                  <a:schemeClr val="accent1"/>
                </a:solidFill>
              </a:ln>
            </c:spPr>
            <c:extLst xmlns:c16r2="http://schemas.microsoft.com/office/drawing/2015/06/chart">
              <c:ext xmlns:c16="http://schemas.microsoft.com/office/drawing/2014/chart" uri="{C3380CC4-5D6E-409C-BE32-E72D297353CC}">
                <c16:uniqueId val="{00000001-5000-4482-9B1B-463B76C5DDB9}"/>
              </c:ext>
            </c:extLst>
          </c:dPt>
          <c:dLbls>
            <c:dLbl>
              <c:idx val="0"/>
              <c:tx>
                <c:rich>
                  <a:bodyPr/>
                  <a:lstStyle/>
                  <a:p>
                    <a:fld id="{611C8A79-C516-41F3-BE8E-101C3872B714}"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C11EDD6B-95BD-444D-BC72-7D2E58781D7C}"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4DAE9F02-6051-433D-9DAF-6312549F43E5}"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2FB37AF3-B3B2-4B54-8B3D-F309243F95EC}"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699CEAC4-F015-43A8-A825-CE1391E2E548}"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57D66538-A6C7-4ECF-979F-D57BE4F9A9E5}" type="CELLRANGE">
                      <a:rPr lang="sk-SK"/>
                      <a:pPr/>
                      <a:t>[CELLRANGE]</a:t>
                    </a:fld>
                    <a:endParaRPr lang="sk-SK"/>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delete val="1"/>
              <c:extLst xmlns:c16r2="http://schemas.microsoft.com/office/drawing/2015/06/chart">
                <c:ext xmlns:c16="http://schemas.microsoft.com/office/drawing/2014/chart" uri="{C3380CC4-5D6E-409C-BE32-E72D297353CC}">
                  <c16:uniqueId val="{00000008-5000-4482-9B1B-463B76C5DDB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9-5000-4482-9B1B-463B76C5DDB9}"/>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A-5000-4482-9B1B-463B76C5DDB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B-5000-4482-9B1B-463B76C5DDB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C-5000-4482-9B1B-463B76C5DDB9}"/>
                </c:ext>
                <c:ext xmlns:c15="http://schemas.microsoft.com/office/drawing/2012/chart" uri="{CE6537A1-D6FC-4f65-9D91-7224C49458BB}"/>
              </c:extLst>
            </c:dLbl>
            <c:spPr>
              <a:noFill/>
              <a:ln>
                <a:noFill/>
              </a:ln>
              <a:effectLst/>
            </c:spPr>
            <c:dLblPos val="b"/>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ext>
            </c:extLst>
          </c:dLbls>
          <c:xVal>
            <c:numRef>
              <c:f>'Graf 26+27; Tab 12'!$I$8:$N$8</c:f>
              <c:numCache>
                <c:formatCode>0.0</c:formatCode>
                <c:ptCount val="6"/>
                <c:pt idx="0">
                  <c:v>6.8036993172934546E-2</c:v>
                </c:pt>
                <c:pt idx="1">
                  <c:v>0.88169474102572576</c:v>
                </c:pt>
                <c:pt idx="2">
                  <c:v>1.1342928526310221</c:v>
                </c:pt>
                <c:pt idx="3">
                  <c:v>1.095861562500706</c:v>
                </c:pt>
                <c:pt idx="4">
                  <c:v>0.93070615873430929</c:v>
                </c:pt>
                <c:pt idx="5">
                  <c:v>0.55226717149458548</c:v>
                </c:pt>
              </c:numCache>
            </c:numRef>
          </c:xVal>
          <c:yVal>
            <c:numRef>
              <c:f>'Graf 26+27; Tab 12'!$I$7:$N$7</c:f>
              <c:numCache>
                <c:formatCode>0.00</c:formatCode>
                <c:ptCount val="6"/>
                <c:pt idx="0">
                  <c:v>1.0476068987728158</c:v>
                </c:pt>
                <c:pt idx="1">
                  <c:v>-0.36152785351377259</c:v>
                </c:pt>
                <c:pt idx="2">
                  <c:v>0.5041707366132353</c:v>
                </c:pt>
                <c:pt idx="3">
                  <c:v>-9.412924929703792E-2</c:v>
                </c:pt>
                <c:pt idx="4">
                  <c:v>8.8892620928949784E-3</c:v>
                </c:pt>
                <c:pt idx="5">
                  <c:v>0.14330057665451346</c:v>
                </c:pt>
              </c:numCache>
            </c:numRef>
          </c:yVal>
          <c:smooth val="1"/>
          <c:extLst xmlns:c16r2="http://schemas.microsoft.com/office/drawing/2015/06/chart">
            <c:ext xmlns:c16="http://schemas.microsoft.com/office/drawing/2014/chart" uri="{C3380CC4-5D6E-409C-BE32-E72D297353CC}">
              <c16:uniqueId val="{0000000D-5000-4482-9B1B-463B76C5DDB9}"/>
            </c:ext>
            <c:ext xmlns:c15="http://schemas.microsoft.com/office/drawing/2012/chart" uri="{02D57815-91ED-43cb-92C2-25804820EDAC}">
              <c15:datalabelsRange>
                <c15:f>'Graf 26+27; Tab 12'!$I$3:$N$3</c15:f>
                <c15:dlblRangeCache>
                  <c:ptCount val="6"/>
                  <c:pt idx="0">
                    <c:v>2017</c:v>
                  </c:pt>
                  <c:pt idx="1">
                    <c:v>2018</c:v>
                  </c:pt>
                  <c:pt idx="2">
                    <c:v>2019</c:v>
                  </c:pt>
                  <c:pt idx="3">
                    <c:v>2020</c:v>
                  </c:pt>
                  <c:pt idx="4">
                    <c:v>2021</c:v>
                  </c:pt>
                  <c:pt idx="5">
                    <c:v>2022</c:v>
                  </c:pt>
                </c15:dlblRangeCache>
              </c15:datalabelsRange>
            </c:ext>
          </c:extLst>
        </c:ser>
        <c:dLbls>
          <c:showLegendKey val="0"/>
          <c:showVal val="0"/>
          <c:showCatName val="0"/>
          <c:showSerName val="0"/>
          <c:showPercent val="0"/>
          <c:showBubbleSize val="0"/>
        </c:dLbls>
        <c:axId val="476027264"/>
        <c:axId val="476027656"/>
      </c:scatterChart>
      <c:valAx>
        <c:axId val="476027264"/>
        <c:scaling>
          <c:orientation val="minMax"/>
          <c:max val="1.3"/>
          <c:min val="-1.2"/>
        </c:scaling>
        <c:delete val="0"/>
        <c:axPos val="b"/>
        <c:numFmt formatCode="0.0" sourceLinked="1"/>
        <c:majorTickMark val="out"/>
        <c:minorTickMark val="none"/>
        <c:tickLblPos val="nextTo"/>
        <c:spPr>
          <a:ln w="15875" cmpd="sng">
            <a:solidFill>
              <a:schemeClr val="tx1">
                <a:lumMod val="50000"/>
                <a:lumOff val="50000"/>
              </a:schemeClr>
            </a:solidFill>
            <a:prstDash val="solid"/>
          </a:ln>
        </c:spPr>
        <c:txPr>
          <a:bodyPr rot="0" vert="horz"/>
          <a:lstStyle/>
          <a:p>
            <a:pPr>
              <a:defRPr/>
            </a:pPr>
            <a:endParaRPr lang="sk-SK"/>
          </a:p>
        </c:txPr>
        <c:crossAx val="476027656"/>
        <c:crossesAt val="0"/>
        <c:crossBetween val="midCat"/>
        <c:minorUnit val="0.5"/>
      </c:valAx>
      <c:valAx>
        <c:axId val="476027656"/>
        <c:scaling>
          <c:orientation val="minMax"/>
          <c:min val="-1"/>
        </c:scaling>
        <c:delete val="0"/>
        <c:axPos val="l"/>
        <c:numFmt formatCode="0.0" sourceLinked="0"/>
        <c:majorTickMark val="out"/>
        <c:minorTickMark val="none"/>
        <c:tickLblPos val="nextTo"/>
        <c:spPr>
          <a:ln w="12700">
            <a:solidFill>
              <a:schemeClr val="tx1">
                <a:lumMod val="50000"/>
                <a:lumOff val="50000"/>
              </a:schemeClr>
            </a:solidFill>
            <a:prstDash val="solid"/>
          </a:ln>
        </c:spPr>
        <c:txPr>
          <a:bodyPr rot="0" vert="horz"/>
          <a:lstStyle/>
          <a:p>
            <a:pPr rtl="0">
              <a:defRPr/>
            </a:pPr>
            <a:endParaRPr lang="sk-SK"/>
          </a:p>
        </c:txPr>
        <c:crossAx val="476027264"/>
        <c:crosses val="autoZero"/>
        <c:crossBetween val="midCat"/>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Narrow" panose="020B0606020202030204" pitchFamily="34" charset="0"/>
          <a:ea typeface="Arial"/>
          <a:cs typeface="Arial"/>
        </a:defRPr>
      </a:pPr>
      <a:endParaRPr lang="sk-SK"/>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52945980912501E-2"/>
          <c:y val="3.3711926879144309E-2"/>
          <c:w val="0.90179490042270383"/>
          <c:h val="0.85873493830494951"/>
        </c:manualLayout>
      </c:layout>
      <c:lineChart>
        <c:grouping val="standard"/>
        <c:varyColors val="0"/>
        <c:ser>
          <c:idx val="0"/>
          <c:order val="0"/>
          <c:tx>
            <c:strRef>
              <c:f>EB_EK!$U$8</c:f>
              <c:strCache>
                <c:ptCount val="1"/>
                <c:pt idx="0">
                  <c:v>Reálny rast agregátu výdavkov </c:v>
                </c:pt>
              </c:strCache>
            </c:strRef>
          </c:tx>
          <c:spPr>
            <a:ln w="28575" cap="rnd">
              <a:solidFill>
                <a:schemeClr val="tx1"/>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0-C144-42CA-8CFE-4C254DAD9A47}"/>
                </c:ext>
                <c:ext xmlns:c15="http://schemas.microsoft.com/office/drawing/2012/chart" uri="{CE6537A1-D6FC-4f65-9D91-7224C49458BB}"/>
              </c:extLst>
            </c:dLbl>
            <c:dLbl>
              <c:idx val="1"/>
              <c:layout>
                <c:manualLayout>
                  <c:x val="-0.11042097998619738"/>
                  <c:y val="-2.628984554715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71-4230-B8EC-0410C800BF7D}"/>
                </c:ext>
                <c:ext xmlns:c15="http://schemas.microsoft.com/office/drawing/2012/chart" uri="{CE6537A1-D6FC-4f65-9D91-7224C49458BB}"/>
              </c:extLst>
            </c:dLbl>
            <c:dLbl>
              <c:idx val="2"/>
              <c:layout>
                <c:manualLayout>
                  <c:x val="-5.0609615827007133E-2"/>
                  <c:y val="8.5441998028261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71-4230-B8EC-0410C800BF7D}"/>
                </c:ext>
                <c:ext xmlns:c15="http://schemas.microsoft.com/office/drawing/2012/chart" uri="{CE6537A1-D6FC-4f65-9D91-7224C49458BB}"/>
              </c:extLst>
            </c:dLbl>
            <c:numFmt formatCode="#,##0.0" sourceLinked="0"/>
            <c:spPr>
              <a:solidFill>
                <a:schemeClr val="bg1"/>
              </a:solidFill>
              <a:ln w="12700">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EB_EK!$H$3:$M$3</c:f>
              <c:numCache>
                <c:formatCode>General</c:formatCode>
                <c:ptCount val="6"/>
                <c:pt idx="0">
                  <c:v>2017</c:v>
                </c:pt>
                <c:pt idx="1">
                  <c:v>2018</c:v>
                </c:pt>
                <c:pt idx="2">
                  <c:v>2019</c:v>
                </c:pt>
                <c:pt idx="3">
                  <c:v>2020</c:v>
                </c:pt>
                <c:pt idx="4">
                  <c:v>2021</c:v>
                </c:pt>
                <c:pt idx="5">
                  <c:v>2022</c:v>
                </c:pt>
              </c:numCache>
            </c:numRef>
          </c:cat>
          <c:val>
            <c:numRef>
              <c:f>EB_EK!$F$19:$M$19</c:f>
              <c:numCache>
                <c:formatCode>0.0</c:formatCode>
                <c:ptCount val="6"/>
                <c:pt idx="0">
                  <c:v>0.22458313469642111</c:v>
                </c:pt>
                <c:pt idx="1">
                  <c:v>4.9828384366008338</c:v>
                </c:pt>
                <c:pt idx="2">
                  <c:v>1.2712168259276124</c:v>
                </c:pt>
                <c:pt idx="3">
                  <c:v>1.6663870816282289</c:v>
                </c:pt>
                <c:pt idx="4">
                  <c:v>2.1140402172825201</c:v>
                </c:pt>
                <c:pt idx="5">
                  <c:v>0.61431771992592754</c:v>
                </c:pt>
              </c:numCache>
            </c:numRef>
          </c:val>
          <c:smooth val="0"/>
          <c:extLst xmlns:c16r2="http://schemas.microsoft.com/office/drawing/2015/06/chart">
            <c:ext xmlns:c16="http://schemas.microsoft.com/office/drawing/2014/chart" uri="{C3380CC4-5D6E-409C-BE32-E72D297353CC}">
              <c16:uniqueId val="{00000000-0BF3-4AA6-A96F-D247ED8DDD91}"/>
            </c:ext>
          </c:extLst>
        </c:ser>
        <c:ser>
          <c:idx val="1"/>
          <c:order val="1"/>
          <c:tx>
            <c:strRef>
              <c:f>EB_EK!$U$9</c:f>
              <c:strCache>
                <c:ptCount val="1"/>
                <c:pt idx="0">
                  <c:v>Výdavkové pravidlo (referenčná miera)</c:v>
                </c:pt>
              </c:strCache>
            </c:strRef>
          </c:tx>
          <c:spPr>
            <a:ln w="28575" cap="rnd">
              <a:solidFill>
                <a:schemeClr val="accent1"/>
              </a:solidFill>
              <a:prstDash val="solid"/>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3-C144-42CA-8CFE-4C254DAD9A47}"/>
                </c:ext>
                <c:ext xmlns:c15="http://schemas.microsoft.com/office/drawing/2012/chart" uri="{CE6537A1-D6FC-4f65-9D91-7224C49458BB}"/>
              </c:extLst>
            </c:dLbl>
            <c:dLbl>
              <c:idx val="1"/>
              <c:layout>
                <c:manualLayout>
                  <c:x val="-5.5210489993098646E-2"/>
                  <c:y val="5.9152152481104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71-4230-B8EC-0410C800BF7D}"/>
                </c:ext>
                <c:ext xmlns:c15="http://schemas.microsoft.com/office/drawing/2012/chart" uri="{CE6537A1-D6FC-4f65-9D91-7224C49458BB}"/>
              </c:extLst>
            </c:dLbl>
            <c:dLbl>
              <c:idx val="2"/>
              <c:layout>
                <c:manualLayout>
                  <c:x val="-4.1407867494824016E-2"/>
                  <c:y val="-9.85869208018402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71-4230-B8EC-0410C800BF7D}"/>
                </c:ext>
                <c:ext xmlns:c15="http://schemas.microsoft.com/office/drawing/2012/chart" uri="{CE6537A1-D6FC-4f65-9D91-7224C49458BB}"/>
              </c:extLst>
            </c:dLbl>
            <c:dLbl>
              <c:idx val="3"/>
              <c:layout>
                <c:manualLayout>
                  <c:x val="4.6008741660915576E-3"/>
                  <c:y val="-4.60072297075254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71-4230-B8EC-0410C800BF7D}"/>
                </c:ext>
                <c:ext xmlns:c15="http://schemas.microsoft.com/office/drawing/2012/chart" uri="{CE6537A1-D6FC-4f65-9D91-7224C49458BB}"/>
              </c:extLst>
            </c:dLbl>
            <c:dLbl>
              <c:idx val="4"/>
              <c:layout>
                <c:manualLayout>
                  <c:x val="-1.7787734106789726E-2"/>
                  <c:y val="-3.3711926879144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44-42CA-8CFE-4C254DAD9A47}"/>
                </c:ext>
                <c:ext xmlns:c15="http://schemas.microsoft.com/office/drawing/2012/chart" uri="{CE6537A1-D6FC-4f65-9D91-7224C49458BB}"/>
              </c:extLst>
            </c:dLbl>
            <c:dLbl>
              <c:idx val="5"/>
              <c:layout>
                <c:manualLayout>
                  <c:x val="-4.0657677958376305E-2"/>
                  <c:y val="-2.7582485628390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44-42CA-8CFE-4C254DAD9A47}"/>
                </c:ext>
                <c:ext xmlns:c15="http://schemas.microsoft.com/office/drawing/2012/chart" uri="{CE6537A1-D6FC-4f65-9D91-7224C49458BB}"/>
              </c:extLst>
            </c:dLbl>
            <c:dLbl>
              <c:idx val="6"/>
              <c:layout>
                <c:manualLayout>
                  <c:x val="-2.5411048723985191E-3"/>
                  <c:y val="6.60411097280983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144-42CA-8CFE-4C254DAD9A47}"/>
                </c:ext>
                <c:ext xmlns:c15="http://schemas.microsoft.com/office/drawing/2012/chart" uri="{CE6537A1-D6FC-4f65-9D91-7224C49458BB}"/>
              </c:extLst>
            </c:dLbl>
            <c:dLbl>
              <c:idx val="7"/>
              <c:layout>
                <c:manualLayout>
                  <c:x val="-9.9652436670980794E-17"/>
                  <c:y val="2.4550103474958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144-42CA-8CFE-4C254DAD9A47}"/>
                </c:ext>
                <c:ext xmlns:c15="http://schemas.microsoft.com/office/drawing/2012/chart" uri="{CE6537A1-D6FC-4f65-9D91-7224C49458BB}"/>
              </c:extLst>
            </c:dLbl>
            <c:dLbl>
              <c:idx val="9"/>
              <c:layout>
                <c:manualLayout>
                  <c:x val="0"/>
                  <c:y val="3.8578734032076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144-42CA-8CFE-4C254DAD9A47}"/>
                </c:ext>
                <c:ext xmlns:c15="http://schemas.microsoft.com/office/drawing/2012/chart" uri="{CE6537A1-D6FC-4f65-9D91-7224C49458BB}"/>
              </c:extLst>
            </c:dLbl>
            <c:dLbl>
              <c:idx val="92"/>
              <c:layout>
                <c:manualLayout>
                  <c:x val="-7.1381380144690647E-17"/>
                  <c:y val="-2.3594947213272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144-42CA-8CFE-4C254DAD9A4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EB_EK!$H$3:$M$3</c:f>
              <c:numCache>
                <c:formatCode>General</c:formatCode>
                <c:ptCount val="6"/>
                <c:pt idx="0">
                  <c:v>2017</c:v>
                </c:pt>
                <c:pt idx="1">
                  <c:v>2018</c:v>
                </c:pt>
                <c:pt idx="2">
                  <c:v>2019</c:v>
                </c:pt>
                <c:pt idx="3">
                  <c:v>2020</c:v>
                </c:pt>
                <c:pt idx="4">
                  <c:v>2021</c:v>
                </c:pt>
                <c:pt idx="5">
                  <c:v>2022</c:v>
                </c:pt>
              </c:numCache>
            </c:numRef>
          </c:cat>
          <c:val>
            <c:numRef>
              <c:f>EB_EK!$F$20:$M$20</c:f>
              <c:numCache>
                <c:formatCode>0.0</c:formatCode>
                <c:ptCount val="6"/>
                <c:pt idx="0">
                  <c:v>1.3480051001340336</c:v>
                </c:pt>
                <c:pt idx="1">
                  <c:v>1.3398076150772882</c:v>
                </c:pt>
                <c:pt idx="2">
                  <c:v>1.5872814647633917</c:v>
                </c:pt>
                <c:pt idx="3">
                  <c:v>3.0136382928001106</c:v>
                </c:pt>
                <c:pt idx="4">
                  <c:v>3.0059316593647791</c:v>
                </c:pt>
                <c:pt idx="5">
                  <c:v>3.0552101252329953</c:v>
                </c:pt>
              </c:numCache>
            </c:numRef>
          </c:val>
          <c:smooth val="0"/>
          <c:extLst xmlns:c16r2="http://schemas.microsoft.com/office/drawing/2015/06/chart">
            <c:ext xmlns:c16="http://schemas.microsoft.com/office/drawing/2014/chart" uri="{C3380CC4-5D6E-409C-BE32-E72D297353CC}">
              <c16:uniqueId val="{00000002-0BF3-4AA6-A96F-D247ED8DDD91}"/>
            </c:ext>
          </c:extLst>
        </c:ser>
        <c:ser>
          <c:idx val="2"/>
          <c:order val="2"/>
          <c:tx>
            <c:strRef>
              <c:f>EB_EK!$B$56</c:f>
              <c:strCache>
                <c:ptCount val="1"/>
                <c:pt idx="0">
                  <c:v>Strednodobý potenciál rastu HDP</c:v>
                </c:pt>
              </c:strCache>
            </c:strRef>
          </c:tx>
          <c:spPr>
            <a:ln w="28575" cap="rnd">
              <a:solidFill>
                <a:schemeClr val="accent1"/>
              </a:solidFill>
              <a:prstDash val="dash"/>
              <a:round/>
            </a:ln>
            <a:effectLst/>
          </c:spPr>
          <c:marker>
            <c:symbol val="none"/>
          </c:marker>
          <c:cat>
            <c:numRef>
              <c:f>EB_EK!$H$3:$M$3</c:f>
              <c:numCache>
                <c:formatCode>General</c:formatCode>
                <c:ptCount val="6"/>
                <c:pt idx="0">
                  <c:v>2017</c:v>
                </c:pt>
                <c:pt idx="1">
                  <c:v>2018</c:v>
                </c:pt>
                <c:pt idx="2">
                  <c:v>2019</c:v>
                </c:pt>
                <c:pt idx="3">
                  <c:v>2020</c:v>
                </c:pt>
                <c:pt idx="4">
                  <c:v>2021</c:v>
                </c:pt>
                <c:pt idx="5">
                  <c:v>2022</c:v>
                </c:pt>
              </c:numCache>
            </c:numRef>
          </c:cat>
          <c:val>
            <c:numRef>
              <c:f>'EB(EK)_Calculation'!$H$5:$M$5</c:f>
              <c:numCache>
                <c:formatCode>0.0</c:formatCode>
                <c:ptCount val="6"/>
                <c:pt idx="0">
                  <c:v>2.6049092470555451</c:v>
                </c:pt>
                <c:pt idx="1">
                  <c:v>2.5851214899376629</c:v>
                </c:pt>
                <c:pt idx="2">
                  <c:v>2.8951680495910921</c:v>
                </c:pt>
                <c:pt idx="3">
                  <c:v>3.0136382928001106</c:v>
                </c:pt>
                <c:pt idx="4">
                  <c:v>3.0059316593647791</c:v>
                </c:pt>
                <c:pt idx="5">
                  <c:v>3.0552101252329953</c:v>
                </c:pt>
              </c:numCache>
            </c:numRef>
          </c:val>
          <c:smooth val="0"/>
          <c:extLst xmlns:c16r2="http://schemas.microsoft.com/office/drawing/2015/06/chart">
            <c:ext xmlns:c16="http://schemas.microsoft.com/office/drawing/2014/chart" uri="{C3380CC4-5D6E-409C-BE32-E72D297353CC}">
              <c16:uniqueId val="{00000000-1833-419A-99AD-BE646BE8B951}"/>
            </c:ext>
          </c:extLst>
        </c:ser>
        <c:dLbls>
          <c:showLegendKey val="0"/>
          <c:showVal val="0"/>
          <c:showCatName val="0"/>
          <c:showSerName val="0"/>
          <c:showPercent val="0"/>
          <c:showBubbleSize val="0"/>
        </c:dLbls>
        <c:smooth val="0"/>
        <c:axId val="474104784"/>
        <c:axId val="474105176"/>
      </c:lineChart>
      <c:catAx>
        <c:axId val="474104784"/>
        <c:scaling>
          <c:orientation val="minMax"/>
        </c:scaling>
        <c:delete val="0"/>
        <c:axPos val="b"/>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474105176"/>
        <c:crosses val="autoZero"/>
        <c:auto val="1"/>
        <c:lblAlgn val="ctr"/>
        <c:lblOffset val="100"/>
        <c:noMultiLvlLbl val="0"/>
      </c:catAx>
      <c:valAx>
        <c:axId val="474105176"/>
        <c:scaling>
          <c:orientation val="minMax"/>
        </c:scaling>
        <c:delete val="0"/>
        <c:axPos val="l"/>
        <c:majorGridlines>
          <c:spPr>
            <a:ln w="9525" cap="flat" cmpd="sng" algn="ctr">
              <a:solidFill>
                <a:schemeClr val="bg1">
                  <a:lumMod val="85000"/>
                </a:schemeClr>
              </a:solidFill>
              <a:prstDash val="sysDot"/>
              <a:round/>
            </a:ln>
            <a:effectLst/>
          </c:spPr>
        </c:majorGridlines>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474104784"/>
        <c:crosses val="autoZero"/>
        <c:crossBetween val="between"/>
        <c:majorUnit val="1"/>
      </c:valAx>
      <c:spPr>
        <a:noFill/>
        <a:ln>
          <a:noFill/>
        </a:ln>
        <a:effectLst/>
      </c:spPr>
    </c:plotArea>
    <c:legend>
      <c:legendPos val="b"/>
      <c:layout>
        <c:manualLayout>
          <c:xMode val="edge"/>
          <c:yMode val="edge"/>
          <c:x val="0.36172797240924592"/>
          <c:y val="1.2146633166089207E-2"/>
          <c:w val="0.63827202759075408"/>
          <c:h val="0.25051419952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Arial Narrow" panose="020B060602020203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08195023263712E-2"/>
          <c:y val="5.32164530778396E-2"/>
          <c:w val="0.94260163459886548"/>
          <c:h val="0.85096777415365099"/>
        </c:manualLayout>
      </c:layout>
      <c:lineChart>
        <c:grouping val="standard"/>
        <c:varyColors val="0"/>
        <c:ser>
          <c:idx val="0"/>
          <c:order val="0"/>
          <c:tx>
            <c:strRef>
              <c:f>EB_EK!$B$56</c:f>
              <c:strCache>
                <c:ptCount val="1"/>
                <c:pt idx="0">
                  <c:v>Strednodobý potenciál rastu HDP</c:v>
                </c:pt>
              </c:strCache>
            </c:strRef>
          </c:tx>
          <c:spPr>
            <a:ln w="28575" cap="rnd">
              <a:solidFill>
                <a:srgbClr val="2C9ADC"/>
              </a:solidFill>
              <a:prstDash val="dash"/>
              <a:round/>
            </a:ln>
            <a:effectLst/>
          </c:spPr>
          <c:marker>
            <c:symbol val="none"/>
          </c:marker>
          <c:dLbls>
            <c:dLbl>
              <c:idx val="0"/>
              <c:layout>
                <c:manualLayout>
                  <c:x val="3.2869289705002008E-3"/>
                  <c:y val="4.33861414415540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5-427B-B674-93AABA3AC314}"/>
                </c:ext>
                <c:ext xmlns:c15="http://schemas.microsoft.com/office/drawing/2012/chart" uri="{CE6537A1-D6FC-4f65-9D91-7224C49458BB}"/>
              </c:extLst>
            </c:dLbl>
            <c:dLbl>
              <c:idx val="1"/>
              <c:layout>
                <c:manualLayout>
                  <c:x val="-3.0129834167169795E-17"/>
                  <c:y val="5.2063369729864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45-427B-B674-93AABA3AC314}"/>
                </c:ext>
                <c:ext xmlns:c15="http://schemas.microsoft.com/office/drawing/2012/chart" uri="{CE6537A1-D6FC-4f65-9D91-7224C49458BB}"/>
              </c:extLst>
            </c:dLbl>
            <c:dLbl>
              <c:idx val="2"/>
              <c:layout>
                <c:manualLayout>
                  <c:x val="4.9303934557503011E-3"/>
                  <c:y val="5.2063369729864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5-427B-B674-93AABA3AC314}"/>
                </c:ext>
                <c:ext xmlns:c15="http://schemas.microsoft.com/office/drawing/2012/chart" uri="{CE6537A1-D6FC-4f65-9D91-7224C49458BB}"/>
              </c:extLst>
            </c:dLbl>
            <c:dLbl>
              <c:idx val="3"/>
              <c:layout>
                <c:manualLayout>
                  <c:x val="3.286928970500261E-3"/>
                  <c:y val="6.0740598018175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E45-427B-B674-93AABA3AC314}"/>
                </c:ext>
                <c:ext xmlns:c15="http://schemas.microsoft.com/office/drawing/2012/chart" uri="{CE6537A1-D6FC-4f65-9D91-7224C49458BB}"/>
              </c:extLst>
            </c:dLbl>
            <c:dLbl>
              <c:idx val="4"/>
              <c:layout>
                <c:manualLayout>
                  <c:x val="4.9303934557503011E-3"/>
                  <c:y val="3.9047527297398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5-427B-B674-93AABA3AC314}"/>
                </c:ext>
                <c:ext xmlns:c15="http://schemas.microsoft.com/office/drawing/2012/chart" uri="{CE6537A1-D6FC-4f65-9D91-7224C49458BB}"/>
              </c:extLst>
            </c:dLbl>
            <c:dLbl>
              <c:idx val="5"/>
              <c:layout>
                <c:manualLayout>
                  <c:x val="3.2869289705002008E-3"/>
                  <c:y val="3.0370299009087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E45-427B-B674-93AABA3AC3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EB_EK!$G$55:$M$55</c:f>
              <c:numCache>
                <c:formatCode>General</c:formatCode>
                <c:ptCount val="6"/>
                <c:pt idx="0">
                  <c:v>2017</c:v>
                </c:pt>
                <c:pt idx="1">
                  <c:v>2018</c:v>
                </c:pt>
                <c:pt idx="2">
                  <c:v>2019</c:v>
                </c:pt>
                <c:pt idx="3">
                  <c:v>2020</c:v>
                </c:pt>
                <c:pt idx="4">
                  <c:v>2021</c:v>
                </c:pt>
                <c:pt idx="5">
                  <c:v>2022</c:v>
                </c:pt>
              </c:numCache>
            </c:numRef>
          </c:cat>
          <c:val>
            <c:numRef>
              <c:f>EB_EK!$G$56:$M$56</c:f>
              <c:numCache>
                <c:formatCode>0.0</c:formatCode>
                <c:ptCount val="6"/>
                <c:pt idx="0">
                  <c:v>2.6049092470555451</c:v>
                </c:pt>
                <c:pt idx="1">
                  <c:v>2.5851214899376629</c:v>
                </c:pt>
                <c:pt idx="2">
                  <c:v>2.8951680495910921</c:v>
                </c:pt>
                <c:pt idx="3">
                  <c:v>3.0136382928001106</c:v>
                </c:pt>
                <c:pt idx="4">
                  <c:v>3.0059316593647791</c:v>
                </c:pt>
                <c:pt idx="5">
                  <c:v>3.0552101252329953</c:v>
                </c:pt>
              </c:numCache>
            </c:numRef>
          </c:val>
          <c:smooth val="0"/>
          <c:extLst xmlns:c16r2="http://schemas.microsoft.com/office/drawing/2015/06/chart">
            <c:ext xmlns:c16="http://schemas.microsoft.com/office/drawing/2014/chart" uri="{C3380CC4-5D6E-409C-BE32-E72D297353CC}">
              <c16:uniqueId val="{00000000-0BF3-4AA6-A96F-D247ED8DDD91}"/>
            </c:ext>
          </c:extLst>
        </c:ser>
        <c:ser>
          <c:idx val="1"/>
          <c:order val="1"/>
          <c:tx>
            <c:strRef>
              <c:f>EB_EK!$B$57</c:f>
              <c:strCache>
                <c:ptCount val="1"/>
                <c:pt idx="0">
                  <c:v>Reálny rast daňovo-odvodových príjmov</c:v>
                </c:pt>
              </c:strCache>
            </c:strRef>
          </c:tx>
          <c:spPr>
            <a:ln w="28575" cap="rnd">
              <a:solidFill>
                <a:sysClr val="windowText" lastClr="000000"/>
              </a:solidFill>
              <a:prstDash val="solid"/>
              <a:round/>
            </a:ln>
            <a:effectLst/>
          </c:spPr>
          <c:marker>
            <c:symbol val="none"/>
          </c:marker>
          <c:dLbls>
            <c:dLbl>
              <c:idx val="2"/>
              <c:layout>
                <c:manualLayout>
                  <c:x val="-6.1625791087562352E-2"/>
                  <c:y val="9.7799511002445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EF-4A77-8D15-A55E6F2C1475}"/>
                </c:ext>
                <c:ext xmlns:c15="http://schemas.microsoft.com/office/drawing/2012/chart" uri="{CE6537A1-D6FC-4f65-9D91-7224C49458BB}">
                  <c15:layout>
                    <c:manualLayout>
                      <c:w val="7.7079876748044548E-2"/>
                      <c:h val="0.11043216174995241"/>
                    </c:manualLayout>
                  </c15:layout>
                </c:ext>
              </c:extLst>
            </c:dLbl>
            <c:dLbl>
              <c:idx val="3"/>
              <c:layout>
                <c:manualLayout>
                  <c:x val="-3.6111105926881208E-2"/>
                  <c:y val="-7.4275425716713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F3-4D64-89B7-387C42E1826E}"/>
                </c:ext>
                <c:ext xmlns:c15="http://schemas.microsoft.com/office/drawing/2012/chart" uri="{CE6537A1-D6FC-4f65-9D91-7224C49458BB}"/>
              </c:extLst>
            </c:dLbl>
            <c:dLbl>
              <c:idx val="4"/>
              <c:layout>
                <c:manualLayout>
                  <c:x val="-4.7404598246029864E-3"/>
                  <c:y val="0.115942028985507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AA-4ABD-A2C5-4219C39D3910}"/>
                </c:ext>
                <c:ext xmlns:c15="http://schemas.microsoft.com/office/drawing/2012/chart" uri="{CE6537A1-D6FC-4f65-9D91-7224C49458BB}"/>
              </c:extLst>
            </c:dLbl>
            <c:dLbl>
              <c:idx val="5"/>
              <c:layout>
                <c:manualLayout>
                  <c:x val="-9.3946955374356357E-3"/>
                  <c:y val="7.10188038089441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F3-4D64-89B7-387C42E1826E}"/>
                </c:ext>
                <c:ext xmlns:c15="http://schemas.microsoft.com/office/drawing/2012/chart" uri="{CE6537A1-D6FC-4f65-9D91-7224C49458BB}"/>
              </c:extLst>
            </c:dLbl>
            <c:dLbl>
              <c:idx val="6"/>
              <c:layout>
                <c:manualLayout>
                  <c:x val="-2.8154212778745569E-2"/>
                  <c:y val="3.4206197821639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30-4FF1-AC13-653C6F784D07}"/>
                </c:ext>
                <c:ext xmlns:c15="http://schemas.microsoft.com/office/drawing/2012/chart" uri="{CE6537A1-D6FC-4f65-9D91-7224C49458BB}"/>
              </c:extLst>
            </c:dLbl>
            <c:dLbl>
              <c:idx val="7"/>
              <c:layout>
                <c:manualLayout>
                  <c:x val="-1.1111111111111009E-2"/>
                  <c:y val="-4.4894284047827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30-4FF1-AC13-653C6F784D07}"/>
                </c:ext>
                <c:ext xmlns:c15="http://schemas.microsoft.com/office/drawing/2012/chart" uri="{CE6537A1-D6FC-4f65-9D91-7224C49458BB}"/>
              </c:extLst>
            </c:dLbl>
            <c:dLbl>
              <c:idx val="8"/>
              <c:layout>
                <c:manualLayout>
                  <c:x val="-7.3578981412848873E-3"/>
                  <c:y val="2.49004810084590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F3-4D64-89B7-387C42E1826E}"/>
                </c:ext>
                <c:ext xmlns:c15="http://schemas.microsoft.com/office/drawing/2012/chart" uri="{CE6537A1-D6FC-4f65-9D91-7224C49458BB}"/>
              </c:extLst>
            </c:dLbl>
            <c:dLbl>
              <c:idx val="9"/>
              <c:layout>
                <c:manualLayout>
                  <c:x val="0"/>
                  <c:y val="3.85787340320768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30-4FF1-AC13-653C6F784D07}"/>
                </c:ext>
                <c:ext xmlns:c15="http://schemas.microsoft.com/office/drawing/2012/chart" uri="{CE6537A1-D6FC-4f65-9D91-7224C49458BB}"/>
              </c:extLst>
            </c:dLbl>
            <c:dLbl>
              <c:idx val="92"/>
              <c:layout>
                <c:manualLayout>
                  <c:x val="-7.1381380144690647E-17"/>
                  <c:y val="-2.3594947213272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F3-4AA6-A96F-D247ED8DDD91}"/>
                </c:ext>
                <c:ext xmlns:c15="http://schemas.microsoft.com/office/drawing/2012/chart" uri="{CE6537A1-D6FC-4f65-9D91-7224C49458BB}"/>
              </c:extLst>
            </c:dLbl>
            <c:numFmt formatCode="#,##0.0" sourceLinked="0"/>
            <c:spPr>
              <a:solidFill>
                <a:sysClr val="window" lastClr="FFFFFF"/>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EB_EK!$G$55:$M$55</c:f>
              <c:numCache>
                <c:formatCode>General</c:formatCode>
                <c:ptCount val="6"/>
                <c:pt idx="0">
                  <c:v>2017</c:v>
                </c:pt>
                <c:pt idx="1">
                  <c:v>2018</c:v>
                </c:pt>
                <c:pt idx="2">
                  <c:v>2019</c:v>
                </c:pt>
                <c:pt idx="3">
                  <c:v>2020</c:v>
                </c:pt>
                <c:pt idx="4">
                  <c:v>2021</c:v>
                </c:pt>
                <c:pt idx="5">
                  <c:v>2022</c:v>
                </c:pt>
              </c:numCache>
            </c:numRef>
          </c:cat>
          <c:val>
            <c:numRef>
              <c:f>EB_EK!$G$57:$M$57</c:f>
              <c:numCache>
                <c:formatCode>0.0</c:formatCode>
                <c:ptCount val="6"/>
                <c:pt idx="0">
                  <c:v>5.0634792131431405</c:v>
                </c:pt>
                <c:pt idx="1">
                  <c:v>4.7005936415237093</c:v>
                </c:pt>
                <c:pt idx="2">
                  <c:v>4.3996899802863254</c:v>
                </c:pt>
                <c:pt idx="3">
                  <c:v>3.13006351439018</c:v>
                </c:pt>
                <c:pt idx="4">
                  <c:v>2.4995645856182414</c:v>
                </c:pt>
                <c:pt idx="5">
                  <c:v>1.8738656205055548</c:v>
                </c:pt>
              </c:numCache>
            </c:numRef>
          </c:val>
          <c:smooth val="0"/>
          <c:extLst xmlns:c16r2="http://schemas.microsoft.com/office/drawing/2015/06/chart">
            <c:ext xmlns:c16="http://schemas.microsoft.com/office/drawing/2014/chart" uri="{C3380CC4-5D6E-409C-BE32-E72D297353CC}">
              <c16:uniqueId val="{00000002-0BF3-4AA6-A96F-D247ED8DDD91}"/>
            </c:ext>
          </c:extLst>
        </c:ser>
        <c:dLbls>
          <c:showLegendKey val="0"/>
          <c:showVal val="0"/>
          <c:showCatName val="0"/>
          <c:showSerName val="0"/>
          <c:showPercent val="0"/>
          <c:showBubbleSize val="0"/>
        </c:dLbls>
        <c:smooth val="0"/>
        <c:axId val="476558928"/>
        <c:axId val="476559320"/>
      </c:lineChart>
      <c:catAx>
        <c:axId val="476558928"/>
        <c:scaling>
          <c:orientation val="minMax"/>
        </c:scaling>
        <c:delete val="0"/>
        <c:axPos val="b"/>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476559320"/>
        <c:crosses val="autoZero"/>
        <c:auto val="1"/>
        <c:lblAlgn val="ctr"/>
        <c:lblOffset val="100"/>
        <c:noMultiLvlLbl val="0"/>
      </c:catAx>
      <c:valAx>
        <c:axId val="476559320"/>
        <c:scaling>
          <c:orientation val="minMax"/>
          <c:max val="7"/>
        </c:scaling>
        <c:delete val="0"/>
        <c:axPos val="l"/>
        <c:majorGridlines>
          <c:spPr>
            <a:ln w="9525" cap="flat" cmpd="sng" algn="ctr">
              <a:solidFill>
                <a:sysClr val="window" lastClr="FFFFFF">
                  <a:lumMod val="85000"/>
                </a:sysClr>
              </a:solidFill>
              <a:prstDash val="sysDot"/>
              <a:round/>
            </a:ln>
            <a:effectLst/>
          </c:spPr>
        </c:majorGridlines>
        <c:numFmt formatCode="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476558928"/>
        <c:crosses val="autoZero"/>
        <c:crossBetween val="between"/>
      </c:valAx>
      <c:spPr>
        <a:noFill/>
        <a:ln>
          <a:noFill/>
        </a:ln>
        <a:effectLst/>
      </c:spPr>
    </c:plotArea>
    <c:legend>
      <c:legendPos val="b"/>
      <c:layout>
        <c:manualLayout>
          <c:xMode val="edge"/>
          <c:yMode val="edge"/>
          <c:x val="0.13810863118289404"/>
          <c:y val="3.0398011842722554E-2"/>
          <c:w val="0.7883694497893855"/>
          <c:h val="0.15846323557381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Arial Narrow" panose="020B0606020202030204" pitchFamily="34" charset="0"/>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539126675313"/>
          <c:y val="0.20873636596097378"/>
          <c:w val="0.86418784266139959"/>
          <c:h val="0.6586750844274365"/>
        </c:manualLayout>
      </c:layout>
      <c:barChart>
        <c:barDir val="col"/>
        <c:grouping val="stacked"/>
        <c:varyColors val="0"/>
        <c:ser>
          <c:idx val="7"/>
          <c:order val="0"/>
          <c:tx>
            <c:v>Hrubý dlh (očistený o EFSF a ESM)</c:v>
          </c:tx>
          <c:spPr>
            <a:solidFill>
              <a:schemeClr val="accent1"/>
            </a:solidFill>
            <a:ln>
              <a:noFill/>
            </a:ln>
            <a:effectLst/>
          </c:spPr>
          <c:invertIfNegative val="0"/>
          <c:cat>
            <c:numRef>
              <c:f>'Graf 20+21 '!$K$20:$P$20</c:f>
              <c:numCache>
                <c:formatCode>General</c:formatCode>
                <c:ptCount val="6"/>
                <c:pt idx="0">
                  <c:v>2017</c:v>
                </c:pt>
                <c:pt idx="1">
                  <c:v>2018</c:v>
                </c:pt>
                <c:pt idx="2">
                  <c:v>2019</c:v>
                </c:pt>
                <c:pt idx="3">
                  <c:v>2020</c:v>
                </c:pt>
                <c:pt idx="4">
                  <c:v>2021</c:v>
                </c:pt>
                <c:pt idx="5">
                  <c:v>2022</c:v>
                </c:pt>
              </c:numCache>
            </c:numRef>
          </c:cat>
          <c:val>
            <c:numRef>
              <c:f>'Graf 20+21 '!$K$22:$P$22</c:f>
              <c:numCache>
                <c:formatCode>0.0</c:formatCode>
                <c:ptCount val="6"/>
                <c:pt idx="0">
                  <c:v>47.955840487418065</c:v>
                </c:pt>
                <c:pt idx="1">
                  <c:v>46.115538304505122</c:v>
                </c:pt>
                <c:pt idx="2">
                  <c:v>44.866135645791957</c:v>
                </c:pt>
                <c:pt idx="3">
                  <c:v>43.377194100431979</c:v>
                </c:pt>
                <c:pt idx="4">
                  <c:v>42.508168986179399</c:v>
                </c:pt>
                <c:pt idx="5">
                  <c:v>42.071094827990635</c:v>
                </c:pt>
              </c:numCache>
            </c:numRef>
          </c:val>
          <c:extLst xmlns:c16r2="http://schemas.microsoft.com/office/drawing/2015/06/chart">
            <c:ext xmlns:c16="http://schemas.microsoft.com/office/drawing/2014/chart" uri="{C3380CC4-5D6E-409C-BE32-E72D297353CC}">
              <c16:uniqueId val="{00000000-EEA2-42D3-B7F2-13DBEDD63672}"/>
            </c:ext>
          </c:extLst>
        </c:ser>
        <c:ser>
          <c:idx val="3"/>
          <c:order val="2"/>
          <c:tx>
            <c:strRef>
              <c:f>'Graf 20+21 '!$J$23</c:f>
              <c:strCache>
                <c:ptCount val="1"/>
                <c:pt idx="0">
                  <c:v>EFSF + ESM</c:v>
                </c:pt>
              </c:strCache>
            </c:strRef>
          </c:tx>
          <c:spPr>
            <a:solidFill>
              <a:schemeClr val="accent2"/>
            </a:solidFill>
            <a:ln>
              <a:noFill/>
            </a:ln>
            <a:effectLst/>
          </c:spPr>
          <c:invertIfNegative val="0"/>
          <c:cat>
            <c:numRef>
              <c:f>'Graf 20+21 '!$K$20:$P$20</c:f>
              <c:numCache>
                <c:formatCode>General</c:formatCode>
                <c:ptCount val="6"/>
                <c:pt idx="0">
                  <c:v>2017</c:v>
                </c:pt>
                <c:pt idx="1">
                  <c:v>2018</c:v>
                </c:pt>
                <c:pt idx="2">
                  <c:v>2019</c:v>
                </c:pt>
                <c:pt idx="3">
                  <c:v>2020</c:v>
                </c:pt>
                <c:pt idx="4">
                  <c:v>2021</c:v>
                </c:pt>
                <c:pt idx="5">
                  <c:v>2022</c:v>
                </c:pt>
              </c:numCache>
            </c:numRef>
          </c:cat>
          <c:val>
            <c:numRef>
              <c:f>'Graf 20+21 '!$K$23:$P$23</c:f>
              <c:numCache>
                <c:formatCode>0.0</c:formatCode>
                <c:ptCount val="6"/>
                <c:pt idx="0">
                  <c:v>2.9932984479770663</c:v>
                </c:pt>
                <c:pt idx="1">
                  <c:v>2.8157312076086294</c:v>
                </c:pt>
                <c:pt idx="2">
                  <c:v>2.637687490887751</c:v>
                </c:pt>
                <c:pt idx="3">
                  <c:v>2.550494190567675</c:v>
                </c:pt>
                <c:pt idx="4">
                  <c:v>2.4141252604140648</c:v>
                </c:pt>
                <c:pt idx="5">
                  <c:v>2.3003956597476725</c:v>
                </c:pt>
              </c:numCache>
            </c:numRef>
          </c:val>
          <c:extLst xmlns:c16r2="http://schemas.microsoft.com/office/drawing/2015/06/chart">
            <c:ext xmlns:c16="http://schemas.microsoft.com/office/drawing/2014/chart" uri="{C3380CC4-5D6E-409C-BE32-E72D297353CC}">
              <c16:uniqueId val="{00000001-EEA2-42D3-B7F2-13DBEDD63672}"/>
            </c:ext>
          </c:extLst>
        </c:ser>
        <c:dLbls>
          <c:showLegendKey val="0"/>
          <c:showVal val="0"/>
          <c:showCatName val="0"/>
          <c:showSerName val="0"/>
          <c:showPercent val="0"/>
          <c:showBubbleSize val="0"/>
        </c:dLbls>
        <c:gapWidth val="150"/>
        <c:overlap val="100"/>
        <c:axId val="292842312"/>
        <c:axId val="292842704"/>
        <c:extLst xmlns:c16r2="http://schemas.microsoft.com/office/drawing/2015/06/chart"/>
      </c:barChart>
      <c:lineChart>
        <c:grouping val="standard"/>
        <c:varyColors val="0"/>
        <c:ser>
          <c:idx val="0"/>
          <c:order val="1"/>
          <c:tx>
            <c:strRef>
              <c:f>'Graf 20+21 '!$J$21</c:f>
              <c:strCache>
                <c:ptCount val="1"/>
                <c:pt idx="0">
                  <c:v>Hrubý dlh verejnej správy</c:v>
                </c:pt>
              </c:strCache>
            </c:strRef>
          </c:tx>
          <c:spPr>
            <a:ln w="28575" cap="rnd">
              <a:noFill/>
              <a:round/>
            </a:ln>
            <a:effectLst/>
          </c:spPr>
          <c:marker>
            <c:symbol val="circle"/>
            <c:size val="5"/>
            <c:spPr>
              <a:solidFill>
                <a:schemeClr val="tx1"/>
              </a:solidFill>
              <a:ln w="9525">
                <a:noFill/>
              </a:ln>
              <a:effectLst/>
            </c:spPr>
          </c:marker>
          <c:dPt>
            <c:idx val="1"/>
            <c:marker>
              <c:symbol val="circle"/>
              <c:size val="5"/>
              <c:spPr>
                <a:solidFill>
                  <a:schemeClr val="tx1"/>
                </a:solidFill>
                <a:ln w="9525">
                  <a:noFill/>
                  <a:prstDash val="sysDot"/>
                </a:ln>
                <a:effectLst/>
              </c:spPr>
            </c:marker>
            <c:bubble3D val="0"/>
            <c:spPr>
              <a:ln w="28575" cap="rnd">
                <a:noFill/>
                <a:prstDash val="sysDot"/>
                <a:round/>
              </a:ln>
              <a:effectLst/>
            </c:spPr>
            <c:extLst xmlns:c16r2="http://schemas.microsoft.com/office/drawing/2015/06/chart">
              <c:ext xmlns:c16="http://schemas.microsoft.com/office/drawing/2014/chart" uri="{C3380CC4-5D6E-409C-BE32-E72D297353CC}">
                <c16:uniqueId val="{00000003-EEA2-42D3-B7F2-13DBEDD63672}"/>
              </c:ext>
            </c:extLst>
          </c:dPt>
          <c:dPt>
            <c:idx val="2"/>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5-EEA2-42D3-B7F2-13DBEDD63672}"/>
              </c:ext>
            </c:extLst>
          </c:dPt>
          <c:dPt>
            <c:idx val="3"/>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7-EEA2-42D3-B7F2-13DBEDD63672}"/>
              </c:ext>
            </c:extLst>
          </c:dPt>
          <c:dPt>
            <c:idx val="4"/>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9-EEA2-42D3-B7F2-13DBEDD63672}"/>
              </c:ext>
            </c:extLst>
          </c:dPt>
          <c:dPt>
            <c:idx val="5"/>
            <c:marker>
              <c:symbol val="circle"/>
              <c:size val="5"/>
              <c:spPr>
                <a:solidFill>
                  <a:schemeClr val="tx1"/>
                </a:solidFill>
                <a:ln w="9525">
                  <a:no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B-EEA2-42D3-B7F2-13DBEDD6367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'!$K$20:$P$20</c:f>
              <c:numCache>
                <c:formatCode>General</c:formatCode>
                <c:ptCount val="6"/>
                <c:pt idx="0">
                  <c:v>2017</c:v>
                </c:pt>
                <c:pt idx="1">
                  <c:v>2018</c:v>
                </c:pt>
                <c:pt idx="2">
                  <c:v>2019</c:v>
                </c:pt>
                <c:pt idx="3">
                  <c:v>2020</c:v>
                </c:pt>
                <c:pt idx="4">
                  <c:v>2021</c:v>
                </c:pt>
                <c:pt idx="5">
                  <c:v>2022</c:v>
                </c:pt>
              </c:numCache>
            </c:numRef>
          </c:cat>
          <c:val>
            <c:numRef>
              <c:f>'Graf 20+21 '!$K$21:$P$21</c:f>
              <c:numCache>
                <c:formatCode>0.0</c:formatCode>
                <c:ptCount val="6"/>
                <c:pt idx="0">
                  <c:v>50.949138935395133</c:v>
                </c:pt>
                <c:pt idx="1">
                  <c:v>48.931269512113751</c:v>
                </c:pt>
                <c:pt idx="2">
                  <c:v>47.503823136679706</c:v>
                </c:pt>
                <c:pt idx="3">
                  <c:v>45.927688290999654</c:v>
                </c:pt>
                <c:pt idx="4">
                  <c:v>44.922294246593466</c:v>
                </c:pt>
                <c:pt idx="5">
                  <c:v>44.371490487738306</c:v>
                </c:pt>
              </c:numCache>
            </c:numRef>
          </c:val>
          <c:smooth val="0"/>
          <c:extLst xmlns:c16r2="http://schemas.microsoft.com/office/drawing/2015/06/chart">
            <c:ext xmlns:c16="http://schemas.microsoft.com/office/drawing/2014/chart" uri="{C3380CC4-5D6E-409C-BE32-E72D297353CC}">
              <c16:uniqueId val="{0000000C-EEA2-42D3-B7F2-13DBEDD63672}"/>
            </c:ext>
          </c:extLst>
        </c:ser>
        <c:ser>
          <c:idx val="6"/>
          <c:order val="3"/>
          <c:tx>
            <c:v>Čistý dlh</c:v>
          </c:tx>
          <c:spPr>
            <a:ln w="28575" cap="rnd">
              <a:noFill/>
              <a:round/>
            </a:ln>
            <a:effectLst/>
          </c:spPr>
          <c:marker>
            <c:symbol val="circle"/>
            <c:size val="6"/>
            <c:spPr>
              <a:solidFill>
                <a:schemeClr val="accent6"/>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20+21 '!$K$20:$P$20</c:f>
              <c:numCache>
                <c:formatCode>General</c:formatCode>
                <c:ptCount val="6"/>
                <c:pt idx="0">
                  <c:v>2017</c:v>
                </c:pt>
                <c:pt idx="1">
                  <c:v>2018</c:v>
                </c:pt>
                <c:pt idx="2">
                  <c:v>2019</c:v>
                </c:pt>
                <c:pt idx="3">
                  <c:v>2020</c:v>
                </c:pt>
                <c:pt idx="4">
                  <c:v>2021</c:v>
                </c:pt>
                <c:pt idx="5">
                  <c:v>2022</c:v>
                </c:pt>
              </c:numCache>
            </c:numRef>
          </c:cat>
          <c:val>
            <c:numRef>
              <c:f>'Graf 20+21 '!$K$24:$P$24</c:f>
              <c:numCache>
                <c:formatCode>0.0</c:formatCode>
                <c:ptCount val="6"/>
                <c:pt idx="0">
                  <c:v>45.303822895397715</c:v>
                </c:pt>
                <c:pt idx="1">
                  <c:v>42.955114139229124</c:v>
                </c:pt>
                <c:pt idx="2">
                  <c:v>41.25354986194408</c:v>
                </c:pt>
                <c:pt idx="3">
                  <c:v>39.77908050811007</c:v>
                </c:pt>
                <c:pt idx="4">
                  <c:v>38.543246416007136</c:v>
                </c:pt>
                <c:pt idx="5">
                  <c:v>37.073143648703791</c:v>
                </c:pt>
              </c:numCache>
            </c:numRef>
          </c:val>
          <c:smooth val="0"/>
          <c:extLst xmlns:c16r2="http://schemas.microsoft.com/office/drawing/2015/06/chart">
            <c:ext xmlns:c16="http://schemas.microsoft.com/office/drawing/2014/chart" uri="{C3380CC4-5D6E-409C-BE32-E72D297353CC}">
              <c16:uniqueId val="{0000000D-EEA2-42D3-B7F2-13DBEDD63672}"/>
            </c:ext>
          </c:extLst>
        </c:ser>
        <c:ser>
          <c:idx val="1"/>
          <c:order val="4"/>
          <c:tx>
            <c:strRef>
              <c:f>'Graf 20+21 '!$J$25</c:f>
              <c:strCache>
                <c:ptCount val="1"/>
                <c:pt idx="0">
                  <c:v>Horné sankčné pásmo</c:v>
                </c:pt>
              </c:strCache>
            </c:strRef>
          </c:tx>
          <c:spPr>
            <a:ln w="9525" cap="rnd" cmpd="sng">
              <a:solidFill>
                <a:srgbClr val="FF0000"/>
              </a:solidFill>
              <a:round/>
            </a:ln>
            <a:effectLst/>
          </c:spPr>
          <c:marker>
            <c:symbol val="none"/>
          </c:marker>
          <c:cat>
            <c:numRef>
              <c:f>'Graf 20+21 '!$K$20:$P$20</c:f>
              <c:numCache>
                <c:formatCode>General</c:formatCode>
                <c:ptCount val="6"/>
                <c:pt idx="0">
                  <c:v>2017</c:v>
                </c:pt>
                <c:pt idx="1">
                  <c:v>2018</c:v>
                </c:pt>
                <c:pt idx="2">
                  <c:v>2019</c:v>
                </c:pt>
                <c:pt idx="3">
                  <c:v>2020</c:v>
                </c:pt>
                <c:pt idx="4">
                  <c:v>2021</c:v>
                </c:pt>
                <c:pt idx="5">
                  <c:v>2022</c:v>
                </c:pt>
              </c:numCache>
            </c:numRef>
          </c:cat>
          <c:val>
            <c:numRef>
              <c:f>'Graf 20+21 '!$K$25:$P$25</c:f>
              <c:numCache>
                <c:formatCode>0.0</c:formatCode>
                <c:ptCount val="6"/>
                <c:pt idx="0">
                  <c:v>60</c:v>
                </c:pt>
                <c:pt idx="1">
                  <c:v>59</c:v>
                </c:pt>
                <c:pt idx="2">
                  <c:v>58</c:v>
                </c:pt>
                <c:pt idx="3">
                  <c:v>57</c:v>
                </c:pt>
                <c:pt idx="4">
                  <c:v>56</c:v>
                </c:pt>
                <c:pt idx="5">
                  <c:v>55</c:v>
                </c:pt>
              </c:numCache>
            </c:numRef>
          </c:val>
          <c:smooth val="0"/>
        </c:ser>
        <c:ser>
          <c:idx val="2"/>
          <c:order val="5"/>
          <c:tx>
            <c:strRef>
              <c:f>'Graf 20+21 '!$J$26</c:f>
              <c:strCache>
                <c:ptCount val="1"/>
                <c:pt idx="0">
                  <c:v>Dolné sankčné pásmo</c:v>
                </c:pt>
              </c:strCache>
            </c:strRef>
          </c:tx>
          <c:spPr>
            <a:ln w="9525" cap="rnd">
              <a:solidFill>
                <a:srgbClr val="FF0000"/>
              </a:solidFill>
              <a:prstDash val="dash"/>
              <a:round/>
            </a:ln>
            <a:effectLst/>
          </c:spPr>
          <c:marker>
            <c:symbol val="none"/>
          </c:marker>
          <c:cat>
            <c:numRef>
              <c:f>'Graf 20+21 '!$K$20:$P$20</c:f>
              <c:numCache>
                <c:formatCode>General</c:formatCode>
                <c:ptCount val="6"/>
                <c:pt idx="0">
                  <c:v>2017</c:v>
                </c:pt>
                <c:pt idx="1">
                  <c:v>2018</c:v>
                </c:pt>
                <c:pt idx="2">
                  <c:v>2019</c:v>
                </c:pt>
                <c:pt idx="3">
                  <c:v>2020</c:v>
                </c:pt>
                <c:pt idx="4">
                  <c:v>2021</c:v>
                </c:pt>
                <c:pt idx="5">
                  <c:v>2022</c:v>
                </c:pt>
              </c:numCache>
            </c:numRef>
          </c:cat>
          <c:val>
            <c:numRef>
              <c:f>'Graf 20+21 '!$K$26:$P$26</c:f>
              <c:numCache>
                <c:formatCode>0.0</c:formatCode>
                <c:ptCount val="6"/>
                <c:pt idx="0">
                  <c:v>50</c:v>
                </c:pt>
                <c:pt idx="1">
                  <c:v>49</c:v>
                </c:pt>
                <c:pt idx="2">
                  <c:v>48</c:v>
                </c:pt>
                <c:pt idx="3">
                  <c:v>47</c:v>
                </c:pt>
                <c:pt idx="4">
                  <c:v>46</c:v>
                </c:pt>
                <c:pt idx="5">
                  <c:v>45</c:v>
                </c:pt>
              </c:numCache>
            </c:numRef>
          </c:val>
          <c:smooth val="0"/>
        </c:ser>
        <c:dLbls>
          <c:showLegendKey val="0"/>
          <c:showVal val="0"/>
          <c:showCatName val="0"/>
          <c:showSerName val="0"/>
          <c:showPercent val="0"/>
          <c:showBubbleSize val="0"/>
        </c:dLbls>
        <c:marker val="1"/>
        <c:smooth val="0"/>
        <c:axId val="292842312"/>
        <c:axId val="292842704"/>
      </c:lineChart>
      <c:catAx>
        <c:axId val="29284231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2842704"/>
        <c:crosses val="autoZero"/>
        <c:auto val="1"/>
        <c:lblAlgn val="ctr"/>
        <c:lblOffset val="100"/>
        <c:noMultiLvlLbl val="0"/>
      </c:catAx>
      <c:valAx>
        <c:axId val="292842704"/>
        <c:scaling>
          <c:orientation val="minMax"/>
          <c:max val="60"/>
          <c:min val="30"/>
        </c:scaling>
        <c:delete val="0"/>
        <c:axPos val="l"/>
        <c:majorGridlines>
          <c:spPr>
            <a:ln w="9525" cap="flat" cmpd="sng" algn="ctr">
              <a:solidFill>
                <a:schemeClr val="tx1">
                  <a:lumMod val="15000"/>
                  <a:lumOff val="85000"/>
                </a:schemeClr>
              </a:solidFill>
              <a:prstDash val="sysDot"/>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2842312"/>
        <c:crosses val="autoZero"/>
        <c:crossBetween val="between"/>
        <c:majorUnit val="5"/>
      </c:valAx>
      <c:spPr>
        <a:noFill/>
        <a:ln>
          <a:noFill/>
        </a:ln>
        <a:effectLst/>
      </c:spPr>
    </c:plotArea>
    <c:legend>
      <c:legendPos val="t"/>
      <c:layout>
        <c:manualLayout>
          <c:xMode val="edge"/>
          <c:yMode val="edge"/>
          <c:x val="6.7289067660133437E-3"/>
          <c:y val="0"/>
          <c:w val="0.99327109323398666"/>
          <c:h val="0.18073731824955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404838009110247E-2"/>
          <c:y val="6.4648739246060627E-2"/>
          <c:w val="0.93750478725638531"/>
          <c:h val="0.69606805164950203"/>
        </c:manualLayout>
      </c:layout>
      <c:barChart>
        <c:barDir val="col"/>
        <c:grouping val="stacked"/>
        <c:varyColors val="0"/>
        <c:ser>
          <c:idx val="0"/>
          <c:order val="1"/>
          <c:tx>
            <c:strRef>
              <c:f>'Graf 32'!$A$27</c:f>
              <c:strCache>
                <c:ptCount val="1"/>
                <c:pt idx="0">
                  <c:v>Štátny dlh</c:v>
                </c:pt>
              </c:strCache>
            </c:strRef>
          </c:tx>
          <c:spPr>
            <a:solidFill>
              <a:schemeClr val="accent2"/>
            </a:solidFill>
          </c:spPr>
          <c:invertIfNegative val="0"/>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32'!$B$27:$R$27</c:f>
              <c:numCache>
                <c:formatCode>0.0</c:formatCode>
                <c:ptCount val="17"/>
                <c:pt idx="0">
                  <c:v>29.852167321478003</c:v>
                </c:pt>
                <c:pt idx="1">
                  <c:v>28.865260255413244</c:v>
                </c:pt>
                <c:pt idx="2">
                  <c:v>27.197405055364772</c:v>
                </c:pt>
                <c:pt idx="3">
                  <c:v>33.850863204062279</c:v>
                </c:pt>
                <c:pt idx="4">
                  <c:v>38.066893764622137</c:v>
                </c:pt>
                <c:pt idx="5">
                  <c:v>40.351276820313082</c:v>
                </c:pt>
                <c:pt idx="6">
                  <c:v>47.01117266996124</c:v>
                </c:pt>
                <c:pt idx="7">
                  <c:v>48.834369987393657</c:v>
                </c:pt>
                <c:pt idx="8">
                  <c:v>48.09401920471246</c:v>
                </c:pt>
                <c:pt idx="9">
                  <c:v>47.144237934250583</c:v>
                </c:pt>
                <c:pt idx="10">
                  <c:v>46.980791014558868</c:v>
                </c:pt>
                <c:pt idx="11">
                  <c:v>46.357478422040806</c:v>
                </c:pt>
                <c:pt idx="12">
                  <c:v>44.488552272891773</c:v>
                </c:pt>
                <c:pt idx="13">
                  <c:v>43.390772092307337</c:v>
                </c:pt>
                <c:pt idx="14">
                  <c:v>42.148065516703952</c:v>
                </c:pt>
                <c:pt idx="15">
                  <c:v>41.477758826776359</c:v>
                </c:pt>
                <c:pt idx="16">
                  <c:v>41.185480305591796</c:v>
                </c:pt>
              </c:numCache>
            </c:numRef>
          </c:val>
          <c:extLst xmlns:c16r2="http://schemas.microsoft.com/office/drawing/2015/06/chart">
            <c:ext xmlns:c16="http://schemas.microsoft.com/office/drawing/2014/chart" uri="{C3380CC4-5D6E-409C-BE32-E72D297353CC}">
              <c16:uniqueId val="{00000000-2AA4-4255-A189-000C806B559A}"/>
            </c:ext>
          </c:extLst>
        </c:ser>
        <c:ser>
          <c:idx val="3"/>
          <c:order val="2"/>
          <c:tx>
            <c:strRef>
              <c:f>'Graf 32'!$A$28</c:f>
              <c:strCache>
                <c:ptCount val="1"/>
                <c:pt idx="0">
                  <c:v>Ostatné subjekty VS</c:v>
                </c:pt>
              </c:strCache>
            </c:strRef>
          </c:tx>
          <c:spPr>
            <a:ln w="28575">
              <a:noFill/>
            </a:ln>
          </c:spPr>
          <c:invertIfNegative val="0"/>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32'!$B$28:$R$28</c:f>
              <c:numCache>
                <c:formatCode>0.0</c:formatCode>
                <c:ptCount val="17"/>
                <c:pt idx="0">
                  <c:v>1.1228880783872988</c:v>
                </c:pt>
                <c:pt idx="1">
                  <c:v>1.2356534073419556</c:v>
                </c:pt>
                <c:pt idx="2">
                  <c:v>1.2640413117809797</c:v>
                </c:pt>
                <c:pt idx="3">
                  <c:v>2.443536785941324</c:v>
                </c:pt>
                <c:pt idx="4">
                  <c:v>3.1337756909494754</c:v>
                </c:pt>
                <c:pt idx="5">
                  <c:v>3.0799859629161275</c:v>
                </c:pt>
                <c:pt idx="6">
                  <c:v>2.7361071259376408</c:v>
                </c:pt>
                <c:pt idx="7">
                  <c:v>2.6391537706960908</c:v>
                </c:pt>
                <c:pt idx="8">
                  <c:v>1.9387276452467164</c:v>
                </c:pt>
                <c:pt idx="9">
                  <c:v>1.827206371352045</c:v>
                </c:pt>
                <c:pt idx="10">
                  <c:v>1.6654153648422716</c:v>
                </c:pt>
                <c:pt idx="11">
                  <c:v>1.5983624399673244</c:v>
                </c:pt>
                <c:pt idx="12">
                  <c:v>1.6269904760646208</c:v>
                </c:pt>
                <c:pt idx="13">
                  <c:v>1.4753635534846232</c:v>
                </c:pt>
                <c:pt idx="14">
                  <c:v>1.2291285837280301</c:v>
                </c:pt>
                <c:pt idx="15">
                  <c:v>1.0304101594030364</c:v>
                </c:pt>
                <c:pt idx="16">
                  <c:v>0.88561452239883776</c:v>
                </c:pt>
              </c:numCache>
            </c:numRef>
          </c:val>
          <c:extLst xmlns:c16r2="http://schemas.microsoft.com/office/drawing/2015/06/chart">
            <c:ext xmlns:c16="http://schemas.microsoft.com/office/drawing/2014/chart" uri="{C3380CC4-5D6E-409C-BE32-E72D297353CC}">
              <c16:uniqueId val="{00000000-2FA0-421B-A0DB-D52E6CFC4419}"/>
            </c:ext>
          </c:extLst>
        </c:ser>
        <c:ser>
          <c:idx val="2"/>
          <c:order val="3"/>
          <c:tx>
            <c:strRef>
              <c:f>'Graf 32'!$A$26</c:f>
              <c:strCache>
                <c:ptCount val="1"/>
                <c:pt idx="0">
                  <c:v>EFSF a ESM</c:v>
                </c:pt>
              </c:strCache>
            </c:strRef>
          </c:tx>
          <c:spPr>
            <a:solidFill>
              <a:schemeClr val="accent3"/>
            </a:solidFill>
          </c:spPr>
          <c:invertIfNegative val="0"/>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32'!$B$26:$R$26</c:f>
              <c:numCache>
                <c:formatCode>0.0</c:formatCode>
                <c:ptCount val="17"/>
                <c:pt idx="0">
                  <c:v>0</c:v>
                </c:pt>
                <c:pt idx="1">
                  <c:v>0</c:v>
                </c:pt>
                <c:pt idx="2">
                  <c:v>0</c:v>
                </c:pt>
                <c:pt idx="3">
                  <c:v>0</c:v>
                </c:pt>
                <c:pt idx="4">
                  <c:v>0</c:v>
                </c:pt>
                <c:pt idx="5">
                  <c:v>0.24440015713491706</c:v>
                </c:pt>
                <c:pt idx="6">
                  <c:v>2.4176107782333434</c:v>
                </c:pt>
                <c:pt idx="7">
                  <c:v>3.2656963023248</c:v>
                </c:pt>
                <c:pt idx="8">
                  <c:v>3.4909769107614874</c:v>
                </c:pt>
                <c:pt idx="9">
                  <c:v>3.2093711337901287</c:v>
                </c:pt>
                <c:pt idx="10">
                  <c:v>3.1268776154387958</c:v>
                </c:pt>
                <c:pt idx="11">
                  <c:v>2.9932984479770663</c:v>
                </c:pt>
                <c:pt idx="12">
                  <c:v>2.8157312076086294</c:v>
                </c:pt>
                <c:pt idx="13">
                  <c:v>2.637687490887751</c:v>
                </c:pt>
                <c:pt idx="14">
                  <c:v>2.550494190567675</c:v>
                </c:pt>
                <c:pt idx="15">
                  <c:v>2.4141252604140648</c:v>
                </c:pt>
                <c:pt idx="16">
                  <c:v>2.3003956597476725</c:v>
                </c:pt>
              </c:numCache>
            </c:numRef>
          </c:val>
          <c:extLst xmlns:c16r2="http://schemas.microsoft.com/office/drawing/2015/06/chart">
            <c:ext xmlns:c16="http://schemas.microsoft.com/office/drawing/2014/chart" uri="{C3380CC4-5D6E-409C-BE32-E72D297353CC}">
              <c16:uniqueId val="{00000001-2AA4-4255-A189-000C806B559A}"/>
            </c:ext>
          </c:extLst>
        </c:ser>
        <c:dLbls>
          <c:showLegendKey val="0"/>
          <c:showVal val="0"/>
          <c:showCatName val="0"/>
          <c:showSerName val="0"/>
          <c:showPercent val="0"/>
          <c:showBubbleSize val="0"/>
        </c:dLbls>
        <c:gapWidth val="150"/>
        <c:overlap val="100"/>
        <c:axId val="476560104"/>
        <c:axId val="478931008"/>
      </c:barChart>
      <c:lineChart>
        <c:grouping val="standard"/>
        <c:varyColors val="0"/>
        <c:ser>
          <c:idx val="1"/>
          <c:order val="0"/>
          <c:tx>
            <c:strRef>
              <c:f>'Graf 32'!$A$25</c:f>
              <c:strCache>
                <c:ptCount val="1"/>
                <c:pt idx="0">
                  <c:v>Hrubý dlh VS</c:v>
                </c:pt>
              </c:strCache>
            </c:strRef>
          </c:tx>
          <c:spPr>
            <a:ln>
              <a:noFill/>
            </a:ln>
          </c:spPr>
          <c:marker>
            <c:symbol val="diamond"/>
            <c:size val="6"/>
            <c:spPr>
              <a:solidFill>
                <a:schemeClr val="tx1"/>
              </a:solidFill>
              <a:ln>
                <a:noFill/>
              </a:ln>
            </c:spPr>
          </c:marker>
          <c:dLbls>
            <c:dLbl>
              <c:idx val="0"/>
              <c:layout>
                <c:manualLayout>
                  <c:x val="-3.0379813173010223E-2"/>
                  <c:y val="4.7742355607126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A0-421B-A0DB-D52E6CFC4419}"/>
                </c:ext>
                <c:ext xmlns:c15="http://schemas.microsoft.com/office/drawing/2012/chart" uri="{CE6537A1-D6FC-4f65-9D91-7224C49458BB}"/>
              </c:extLst>
            </c:dLbl>
            <c:dLbl>
              <c:idx val="1"/>
              <c:layout>
                <c:manualLayout>
                  <c:x val="-3.2168965892268774E-2"/>
                  <c:y val="5.4680381012318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A0-421B-A0DB-D52E6CFC4419}"/>
                </c:ext>
                <c:ext xmlns:c15="http://schemas.microsoft.com/office/drawing/2012/chart" uri="{CE6537A1-D6FC-4f65-9D91-7224C49458BB}"/>
              </c:extLst>
            </c:dLbl>
            <c:dLbl>
              <c:idx val="2"/>
              <c:layout>
                <c:manualLayout>
                  <c:x val="-3.0379813173010254E-2"/>
                  <c:y val="4.7742355607126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A0-421B-A0DB-D52E6CFC4419}"/>
                </c:ext>
                <c:ext xmlns:c15="http://schemas.microsoft.com/office/drawing/2012/chart" uri="{CE6537A1-D6FC-4f65-9D91-7224C49458BB}"/>
              </c:extLst>
            </c:dLbl>
            <c:dLbl>
              <c:idx val="3"/>
              <c:layout>
                <c:manualLayout>
                  <c:x val="-3.0379813173010223E-2"/>
                  <c:y val="4.7742355607126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A0-421B-A0DB-D52E6CFC4419}"/>
                </c:ext>
                <c:ext xmlns:c15="http://schemas.microsoft.com/office/drawing/2012/chart" uri="{CE6537A1-D6FC-4f65-9D91-7224C49458BB}"/>
              </c:extLst>
            </c:dLbl>
            <c:dLbl>
              <c:idx val="4"/>
              <c:layout>
                <c:manualLayout>
                  <c:x val="-3.0379813173010223E-2"/>
                  <c:y val="5.8149393714913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A0-421B-A0DB-D52E6CFC4419}"/>
                </c:ext>
                <c:ext xmlns:c15="http://schemas.microsoft.com/office/drawing/2012/chart" uri="{CE6537A1-D6FC-4f65-9D91-7224C49458BB}"/>
              </c:extLst>
            </c:dLbl>
            <c:dLbl>
              <c:idx val="5"/>
              <c:layout>
                <c:manualLayout>
                  <c:x val="-3.0379813173010289E-2"/>
                  <c:y val="5.8149393714913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FA0-421B-A0DB-D52E6CFC4419}"/>
                </c:ext>
                <c:ext xmlns:c15="http://schemas.microsoft.com/office/drawing/2012/chart" uri="{CE6537A1-D6FC-4f65-9D91-7224C49458BB}"/>
              </c:extLst>
            </c:dLbl>
            <c:dLbl>
              <c:idx val="6"/>
              <c:layout>
                <c:manualLayout>
                  <c:x val="-3.2419447272965037E-2"/>
                  <c:y val="8.937050803827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A0-421B-A0DB-D52E6CFC4419}"/>
                </c:ext>
                <c:ext xmlns:c15="http://schemas.microsoft.com/office/drawing/2012/chart" uri="{CE6537A1-D6FC-4f65-9D91-7224C49458BB}"/>
              </c:extLst>
            </c:dLbl>
            <c:dLbl>
              <c:idx val="7"/>
              <c:layout>
                <c:manualLayout>
                  <c:x val="-3.2419447272964974E-2"/>
                  <c:y val="0.1067155715512550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FA0-421B-A0DB-D52E6CFC4419}"/>
                </c:ext>
                <c:ext xmlns:c15="http://schemas.microsoft.com/office/drawing/2012/chart" uri="{CE6537A1-D6FC-4f65-9D91-7224C49458BB}"/>
              </c:extLst>
            </c:dLbl>
            <c:dLbl>
              <c:idx val="8"/>
              <c:layout>
                <c:manualLayout>
                  <c:x val="-3.4208599992223525E-2"/>
                  <c:y val="0.1067155715512550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FA0-421B-A0DB-D52E6CFC4419}"/>
                </c:ext>
                <c:ext xmlns:c15="http://schemas.microsoft.com/office/drawing/2012/chart" uri="{CE6537A1-D6FC-4f65-9D91-7224C49458BB}"/>
              </c:extLst>
            </c:dLbl>
            <c:dLbl>
              <c:idx val="9"/>
              <c:layout>
                <c:manualLayout>
                  <c:x val="-3.6248234092178276E-2"/>
                  <c:y val="9.63085334434676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FA0-421B-A0DB-D52E6CFC4419}"/>
                </c:ext>
                <c:ext xmlns:c15="http://schemas.microsoft.com/office/drawing/2012/chart" uri="{CE6537A1-D6FC-4f65-9D91-7224C49458BB}"/>
              </c:extLst>
            </c:dLbl>
            <c:dLbl>
              <c:idx val="10"/>
              <c:layout>
                <c:manualLayout>
                  <c:x val="-3.445908137291985E-2"/>
                  <c:y val="8.937050803827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FA0-421B-A0DB-D52E6CFC4419}"/>
                </c:ext>
                <c:ext xmlns:c15="http://schemas.microsoft.com/office/drawing/2012/chart" uri="{CE6537A1-D6FC-4f65-9D91-7224C49458BB}"/>
              </c:extLst>
            </c:dLbl>
            <c:dLbl>
              <c:idx val="11"/>
              <c:layout>
                <c:manualLayout>
                  <c:x val="-3.4208599992223657E-2"/>
                  <c:y val="9.63085334434676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FA0-421B-A0DB-D52E6CFC4419}"/>
                </c:ext>
                <c:ext xmlns:c15="http://schemas.microsoft.com/office/drawing/2012/chart" uri="{CE6537A1-D6FC-4f65-9D91-7224C49458BB}"/>
              </c:extLst>
            </c:dLbl>
            <c:dLbl>
              <c:idx val="12"/>
              <c:layout>
                <c:manualLayout>
                  <c:x val="-3.4208599992223525E-2"/>
                  <c:y val="9.63085334434676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FA0-421B-A0DB-D52E6CFC4419}"/>
                </c:ext>
                <c:ext xmlns:c15="http://schemas.microsoft.com/office/drawing/2012/chart" uri="{CE6537A1-D6FC-4f65-9D91-7224C49458BB}"/>
              </c:extLst>
            </c:dLbl>
            <c:dLbl>
              <c:idx val="13"/>
              <c:layout>
                <c:manualLayout>
                  <c:x val="-3.2419447272964974E-2"/>
                  <c:y val="9.28395207408717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FA0-421B-A0DB-D52E6CFC4419}"/>
                </c:ext>
                <c:ext xmlns:c15="http://schemas.microsoft.com/office/drawing/2012/chart" uri="{CE6537A1-D6FC-4f65-9D91-7224C49458BB}"/>
              </c:extLst>
            </c:dLbl>
            <c:dLbl>
              <c:idx val="14"/>
              <c:layout>
                <c:manualLayout>
                  <c:x val="-3.2419447272964974E-2"/>
                  <c:y val="0.1067155715512550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FA0-421B-A0DB-D52E6CFC4419}"/>
                </c:ext>
                <c:ext xmlns:c15="http://schemas.microsoft.com/office/drawing/2012/chart" uri="{CE6537A1-D6FC-4f65-9D91-7224C49458BB}"/>
              </c:extLst>
            </c:dLbl>
            <c:dLbl>
              <c:idx val="15"/>
              <c:layout>
                <c:manualLayout>
                  <c:x val="-3.5997752711482207E-2"/>
                  <c:y val="0.1171226096590424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FA0-421B-A0DB-D52E6CFC4419}"/>
                </c:ext>
                <c:ext xmlns:c15="http://schemas.microsoft.com/office/drawing/2012/chart" uri="{CE6537A1-D6FC-4f65-9D91-7224C49458BB}"/>
              </c:extLst>
            </c:dLbl>
            <c:dLbl>
              <c:idx val="16"/>
              <c:layout>
                <c:manualLayout>
                  <c:x val="-3.181497219104671E-2"/>
                  <c:y val="0.1269470410723694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35-4775-B74A-16D144169CA4}"/>
                </c:ext>
                <c:ext xmlns:c15="http://schemas.microsoft.com/office/drawing/2012/chart" uri="{CE6537A1-D6FC-4f65-9D91-7224C49458BB}"/>
              </c:extLst>
            </c:dLbl>
            <c:numFmt formatCode="#,##0.0" sourceLinked="0"/>
            <c:spPr>
              <a:noFill/>
              <a:ln>
                <a:noFill/>
              </a:ln>
            </c:spPr>
            <c:txPr>
              <a:bodyPr/>
              <a:lstStyle/>
              <a:p>
                <a:pPr>
                  <a:defRPr b="1">
                    <a:solidFill>
                      <a:schemeClr val="tx1"/>
                    </a:solidFill>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32'!$B$25:$R$25</c:f>
              <c:numCache>
                <c:formatCode>0.0</c:formatCode>
                <c:ptCount val="17"/>
                <c:pt idx="0">
                  <c:v>30.975055399865301</c:v>
                </c:pt>
                <c:pt idx="1">
                  <c:v>30.100913662755197</c:v>
                </c:pt>
                <c:pt idx="2">
                  <c:v>28.461446367145747</c:v>
                </c:pt>
                <c:pt idx="3">
                  <c:v>36.294399990003605</c:v>
                </c:pt>
                <c:pt idx="4">
                  <c:v>41.200669455571614</c:v>
                </c:pt>
                <c:pt idx="5">
                  <c:v>43.675662940364127</c:v>
                </c:pt>
                <c:pt idx="6">
                  <c:v>52.16489057413223</c:v>
                </c:pt>
                <c:pt idx="7">
                  <c:v>54.739220060414539</c:v>
                </c:pt>
                <c:pt idx="8">
                  <c:v>53.523723760720657</c:v>
                </c:pt>
                <c:pt idx="9">
                  <c:v>52.340737338437428</c:v>
                </c:pt>
                <c:pt idx="10">
                  <c:v>51.819085465274739</c:v>
                </c:pt>
                <c:pt idx="11">
                  <c:v>50.949138935395133</c:v>
                </c:pt>
                <c:pt idx="12">
                  <c:v>48.931269512113751</c:v>
                </c:pt>
                <c:pt idx="13">
                  <c:v>47.503823136679706</c:v>
                </c:pt>
                <c:pt idx="14">
                  <c:v>45.927688290999654</c:v>
                </c:pt>
                <c:pt idx="15">
                  <c:v>44.922294246593466</c:v>
                </c:pt>
                <c:pt idx="16">
                  <c:v>44.371490487738306</c:v>
                </c:pt>
              </c:numCache>
            </c:numRef>
          </c:val>
          <c:smooth val="0"/>
          <c:extLst xmlns:c16r2="http://schemas.microsoft.com/office/drawing/2015/06/chart">
            <c:ext xmlns:c16="http://schemas.microsoft.com/office/drawing/2014/chart" uri="{C3380CC4-5D6E-409C-BE32-E72D297353CC}">
              <c16:uniqueId val="{00000003-2AA4-4255-A189-000C806B559A}"/>
            </c:ext>
          </c:extLst>
        </c:ser>
        <c:ser>
          <c:idx val="7"/>
          <c:order val="4"/>
          <c:tx>
            <c:strRef>
              <c:f>'Graf 32'!$A$32</c:f>
              <c:strCache>
                <c:ptCount val="1"/>
                <c:pt idx="0">
                  <c:v>List ministra financií s opatreniami</c:v>
                </c:pt>
              </c:strCache>
            </c:strRef>
          </c:tx>
          <c:spPr>
            <a:ln>
              <a:solidFill>
                <a:schemeClr val="bg1">
                  <a:lumMod val="50000"/>
                </a:schemeClr>
              </a:solidFill>
              <a:prstDash val="sysDot"/>
            </a:ln>
          </c:spPr>
          <c:marker>
            <c:symbol val="none"/>
          </c:marker>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32'!$B$32:$R$32</c:f>
              <c:numCache>
                <c:formatCode>General</c:formatCode>
                <c:ptCount val="17"/>
                <c:pt idx="6">
                  <c:v>50</c:v>
                </c:pt>
                <c:pt idx="7">
                  <c:v>50</c:v>
                </c:pt>
                <c:pt idx="8">
                  <c:v>50</c:v>
                </c:pt>
                <c:pt idx="9">
                  <c:v>50</c:v>
                </c:pt>
                <c:pt idx="10">
                  <c:v>50</c:v>
                </c:pt>
                <c:pt idx="11">
                  <c:v>50</c:v>
                </c:pt>
                <c:pt idx="12">
                  <c:v>49</c:v>
                </c:pt>
                <c:pt idx="13">
                  <c:v>48</c:v>
                </c:pt>
                <c:pt idx="14">
                  <c:v>47</c:v>
                </c:pt>
                <c:pt idx="15">
                  <c:v>46</c:v>
                </c:pt>
                <c:pt idx="16">
                  <c:v>45</c:v>
                </c:pt>
              </c:numCache>
            </c:numRef>
          </c:val>
          <c:smooth val="0"/>
          <c:extLst xmlns:c16r2="http://schemas.microsoft.com/office/drawing/2015/06/chart">
            <c:ext xmlns:c16="http://schemas.microsoft.com/office/drawing/2014/chart" uri="{C3380CC4-5D6E-409C-BE32-E72D297353CC}">
              <c16:uniqueId val="{00000004-2AA4-4255-A189-000C806B559A}"/>
            </c:ext>
          </c:extLst>
        </c:ser>
        <c:ser>
          <c:idx val="4"/>
          <c:order val="5"/>
          <c:tx>
            <c:strRef>
              <c:f>'Graf 32'!$A$31</c:f>
              <c:strCache>
                <c:ptCount val="1"/>
                <c:pt idx="0">
                  <c:v>Zmrazenie výdavkov</c:v>
                </c:pt>
              </c:strCache>
            </c:strRef>
          </c:tx>
          <c:spPr>
            <a:ln w="22225">
              <a:solidFill>
                <a:schemeClr val="tx1">
                  <a:lumMod val="50000"/>
                  <a:lumOff val="50000"/>
                </a:schemeClr>
              </a:solidFill>
              <a:prstDash val="dash"/>
            </a:ln>
          </c:spPr>
          <c:marker>
            <c:symbol val="none"/>
          </c:marker>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32'!$B$31:$R$31</c:f>
              <c:numCache>
                <c:formatCode>General</c:formatCode>
                <c:ptCount val="17"/>
                <c:pt idx="6">
                  <c:v>55</c:v>
                </c:pt>
                <c:pt idx="7">
                  <c:v>55</c:v>
                </c:pt>
                <c:pt idx="8">
                  <c:v>55</c:v>
                </c:pt>
                <c:pt idx="9">
                  <c:v>55</c:v>
                </c:pt>
                <c:pt idx="10">
                  <c:v>55</c:v>
                </c:pt>
                <c:pt idx="11">
                  <c:v>55</c:v>
                </c:pt>
                <c:pt idx="12">
                  <c:v>54</c:v>
                </c:pt>
                <c:pt idx="13">
                  <c:v>53</c:v>
                </c:pt>
                <c:pt idx="14">
                  <c:v>52</c:v>
                </c:pt>
                <c:pt idx="15">
                  <c:v>51</c:v>
                </c:pt>
                <c:pt idx="16">
                  <c:v>50</c:v>
                </c:pt>
              </c:numCache>
            </c:numRef>
          </c:val>
          <c:smooth val="0"/>
          <c:extLst xmlns:c16r2="http://schemas.microsoft.com/office/drawing/2015/06/chart">
            <c:ext xmlns:c16="http://schemas.microsoft.com/office/drawing/2014/chart" uri="{C3380CC4-5D6E-409C-BE32-E72D297353CC}">
              <c16:uniqueId val="{00000005-2AA4-4255-A189-000C806B559A}"/>
            </c:ext>
          </c:extLst>
        </c:ser>
        <c:ser>
          <c:idx val="5"/>
          <c:order val="6"/>
          <c:tx>
            <c:strRef>
              <c:f>'Graf 32'!$A$30</c:f>
              <c:strCache>
                <c:ptCount val="1"/>
                <c:pt idx="0">
                  <c:v>Požiadavka vyrovnaného rozpočtu</c:v>
                </c:pt>
              </c:strCache>
            </c:strRef>
          </c:tx>
          <c:spPr>
            <a:ln w="22225">
              <a:solidFill>
                <a:schemeClr val="tx1">
                  <a:lumMod val="65000"/>
                  <a:lumOff val="35000"/>
                </a:schemeClr>
              </a:solidFill>
              <a:prstDash val="lgDashDot"/>
            </a:ln>
          </c:spPr>
          <c:marker>
            <c:symbol val="none"/>
          </c:marker>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32'!$B$30:$R$30</c:f>
              <c:numCache>
                <c:formatCode>General</c:formatCode>
                <c:ptCount val="17"/>
                <c:pt idx="6">
                  <c:v>57</c:v>
                </c:pt>
                <c:pt idx="7">
                  <c:v>57</c:v>
                </c:pt>
                <c:pt idx="8">
                  <c:v>57</c:v>
                </c:pt>
                <c:pt idx="9">
                  <c:v>57</c:v>
                </c:pt>
                <c:pt idx="10">
                  <c:v>57</c:v>
                </c:pt>
                <c:pt idx="11">
                  <c:v>57</c:v>
                </c:pt>
                <c:pt idx="12">
                  <c:v>56</c:v>
                </c:pt>
                <c:pt idx="13">
                  <c:v>55</c:v>
                </c:pt>
                <c:pt idx="14">
                  <c:v>54</c:v>
                </c:pt>
                <c:pt idx="15">
                  <c:v>53</c:v>
                </c:pt>
                <c:pt idx="16">
                  <c:v>52</c:v>
                </c:pt>
              </c:numCache>
            </c:numRef>
          </c:val>
          <c:smooth val="0"/>
          <c:extLst xmlns:c16r2="http://schemas.microsoft.com/office/drawing/2015/06/chart">
            <c:ext xmlns:c16="http://schemas.microsoft.com/office/drawing/2014/chart" uri="{C3380CC4-5D6E-409C-BE32-E72D297353CC}">
              <c16:uniqueId val="{00000006-2AA4-4255-A189-000C806B559A}"/>
            </c:ext>
          </c:extLst>
        </c:ser>
        <c:ser>
          <c:idx val="8"/>
          <c:order val="7"/>
          <c:tx>
            <c:strRef>
              <c:f>'Graf 32'!$A$29</c:f>
              <c:strCache>
                <c:ptCount val="1"/>
                <c:pt idx="0">
                  <c:v>Dlhový strop</c:v>
                </c:pt>
              </c:strCache>
            </c:strRef>
          </c:tx>
          <c:spPr>
            <a:ln>
              <a:solidFill>
                <a:srgbClr val="FF0000"/>
              </a:solidFill>
              <a:prstDash val="solid"/>
            </a:ln>
          </c:spPr>
          <c:marker>
            <c:symbol val="none"/>
          </c:marker>
          <c:cat>
            <c:numRef>
              <c:f>'Graf 32'!$B$24:$R$24</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'Graf 32'!$B$29:$R$29</c:f>
              <c:numCache>
                <c:formatCode>General</c:formatCode>
                <c:ptCount val="17"/>
                <c:pt idx="6">
                  <c:v>60</c:v>
                </c:pt>
                <c:pt idx="7">
                  <c:v>60</c:v>
                </c:pt>
                <c:pt idx="8">
                  <c:v>60</c:v>
                </c:pt>
                <c:pt idx="9">
                  <c:v>60</c:v>
                </c:pt>
                <c:pt idx="10">
                  <c:v>60</c:v>
                </c:pt>
                <c:pt idx="11">
                  <c:v>60</c:v>
                </c:pt>
                <c:pt idx="12">
                  <c:v>59</c:v>
                </c:pt>
                <c:pt idx="13">
                  <c:v>58</c:v>
                </c:pt>
                <c:pt idx="14">
                  <c:v>57</c:v>
                </c:pt>
                <c:pt idx="15">
                  <c:v>56</c:v>
                </c:pt>
                <c:pt idx="16">
                  <c:v>55</c:v>
                </c:pt>
              </c:numCache>
            </c:numRef>
          </c:val>
          <c:smooth val="0"/>
          <c:extLst xmlns:c16r2="http://schemas.microsoft.com/office/drawing/2015/06/chart">
            <c:ext xmlns:c16="http://schemas.microsoft.com/office/drawing/2014/chart" uri="{C3380CC4-5D6E-409C-BE32-E72D297353CC}">
              <c16:uniqueId val="{00000007-2AA4-4255-A189-000C806B559A}"/>
            </c:ext>
          </c:extLst>
        </c:ser>
        <c:dLbls>
          <c:showLegendKey val="0"/>
          <c:showVal val="0"/>
          <c:showCatName val="0"/>
          <c:showSerName val="0"/>
          <c:showPercent val="0"/>
          <c:showBubbleSize val="0"/>
        </c:dLbls>
        <c:marker val="1"/>
        <c:smooth val="0"/>
        <c:axId val="476560104"/>
        <c:axId val="478931008"/>
        <c:extLst xmlns:c16r2="http://schemas.microsoft.com/office/drawing/2015/06/chart"/>
      </c:lineChart>
      <c:catAx>
        <c:axId val="476560104"/>
        <c:scaling>
          <c:orientation val="minMax"/>
        </c:scaling>
        <c:delete val="0"/>
        <c:axPos val="b"/>
        <c:numFmt formatCode="General" sourceLinked="1"/>
        <c:majorTickMark val="out"/>
        <c:minorTickMark val="none"/>
        <c:tickLblPos val="nextTo"/>
        <c:txPr>
          <a:bodyPr rot="0" vert="horz"/>
          <a:lstStyle/>
          <a:p>
            <a:pPr>
              <a:defRPr sz="1000" b="1" i="0"/>
            </a:pPr>
            <a:endParaRPr lang="sk-SK"/>
          </a:p>
        </c:txPr>
        <c:crossAx val="478931008"/>
        <c:crosses val="autoZero"/>
        <c:auto val="1"/>
        <c:lblAlgn val="ctr"/>
        <c:lblOffset val="100"/>
        <c:noMultiLvlLbl val="0"/>
      </c:catAx>
      <c:valAx>
        <c:axId val="478931008"/>
        <c:scaling>
          <c:orientation val="minMax"/>
          <c:max val="61"/>
          <c:min val="0"/>
        </c:scaling>
        <c:delete val="0"/>
        <c:axPos val="r"/>
        <c:majorGridlines>
          <c:spPr>
            <a:ln>
              <a:solidFill>
                <a:schemeClr val="bg1">
                  <a:lumMod val="85000"/>
                </a:schemeClr>
              </a:solidFill>
              <a:prstDash val="sysDot"/>
            </a:ln>
          </c:spPr>
        </c:majorGridlines>
        <c:numFmt formatCode="0" sourceLinked="0"/>
        <c:majorTickMark val="out"/>
        <c:minorTickMark val="none"/>
        <c:tickLblPos val="nextTo"/>
        <c:txPr>
          <a:bodyPr/>
          <a:lstStyle/>
          <a:p>
            <a:pPr>
              <a:defRPr sz="1000" b="1"/>
            </a:pPr>
            <a:endParaRPr lang="sk-SK"/>
          </a:p>
        </c:txPr>
        <c:crossAx val="476560104"/>
        <c:crosses val="max"/>
        <c:crossBetween val="between"/>
        <c:majorUnit val="10"/>
      </c:valAx>
      <c:spPr>
        <a:noFill/>
      </c:spPr>
    </c:plotArea>
    <c:legend>
      <c:legendPos val="b"/>
      <c:layout>
        <c:manualLayout>
          <c:xMode val="edge"/>
          <c:yMode val="edge"/>
          <c:x val="1.9175154773094224E-2"/>
          <c:y val="0.83701840816567341"/>
          <c:w val="0.98082479095088815"/>
          <c:h val="0.15058328580512781"/>
        </c:manualLayout>
      </c:layout>
      <c:overlay val="0"/>
      <c:txPr>
        <a:bodyPr/>
        <a:lstStyle/>
        <a:p>
          <a:pPr>
            <a:defRPr sz="800"/>
          </a:pPr>
          <a:endParaRPr lang="sk-SK"/>
        </a:p>
      </c:txPr>
    </c:legend>
    <c:plotVisOnly val="1"/>
    <c:dispBlanksAs val="gap"/>
    <c:showDLblsOverMax val="0"/>
  </c:chart>
  <c:spPr>
    <a:noFill/>
    <a:ln>
      <a:noFill/>
    </a:ln>
  </c:spPr>
  <c:txPr>
    <a:bodyPr/>
    <a:lstStyle/>
    <a:p>
      <a:pPr>
        <a:defRPr sz="1000">
          <a:latin typeface="Arial Narrow" pitchFamily="34" charset="0"/>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87773402629306E-2"/>
          <c:y val="3.7486892271914186E-2"/>
          <c:w val="0.93042426363371455"/>
          <c:h val="0.62635594015459339"/>
        </c:manualLayout>
      </c:layout>
      <c:barChart>
        <c:barDir val="col"/>
        <c:grouping val="stacked"/>
        <c:varyColors val="0"/>
        <c:ser>
          <c:idx val="4"/>
          <c:order val="1"/>
          <c:tx>
            <c:strRef>
              <c:f>'Graf 34'!$A$24</c:f>
              <c:strCache>
                <c:ptCount val="1"/>
                <c:pt idx="0">
                  <c:v>Úroky</c:v>
                </c:pt>
              </c:strCache>
            </c:strRef>
          </c:tx>
          <c:spPr>
            <a:solidFill>
              <a:srgbClr val="D3BEDE"/>
            </a:solidFill>
            <a:ln w="12700">
              <a:noFill/>
              <a:prstDash val="solid"/>
            </a:ln>
          </c:spPr>
          <c:invertIfNegative val="0"/>
          <c:cat>
            <c:numRef>
              <c:f>'Graf 34'!$B$19:$I$19</c:f>
              <c:numCache>
                <c:formatCode>General</c:formatCode>
                <c:ptCount val="6"/>
                <c:pt idx="0">
                  <c:v>2017</c:v>
                </c:pt>
                <c:pt idx="1">
                  <c:v>2018</c:v>
                </c:pt>
                <c:pt idx="2">
                  <c:v>2019</c:v>
                </c:pt>
                <c:pt idx="3">
                  <c:v>2020</c:v>
                </c:pt>
                <c:pt idx="4">
                  <c:v>2021</c:v>
                </c:pt>
                <c:pt idx="5">
                  <c:v>2022</c:v>
                </c:pt>
              </c:numCache>
              <c:extLst xmlns:c16r2="http://schemas.microsoft.com/office/drawing/2015/06/chart"/>
            </c:numRef>
          </c:cat>
          <c:val>
            <c:numRef>
              <c:f>'Graf 34'!$B$24:$I$24</c:f>
              <c:numCache>
                <c:formatCode>0.0</c:formatCode>
                <c:ptCount val="6"/>
                <c:pt idx="0">
                  <c:v>1.3978948525621551</c:v>
                </c:pt>
                <c:pt idx="1">
                  <c:v>1.2518776235344691</c:v>
                </c:pt>
                <c:pt idx="2">
                  <c:v>1.1649374953536096</c:v>
                </c:pt>
                <c:pt idx="3">
                  <c:v>1.0556897100604072</c:v>
                </c:pt>
                <c:pt idx="4">
                  <c:v>0.99960826967788152</c:v>
                </c:pt>
                <c:pt idx="5">
                  <c:v>0.99403393914833016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4A6C-495B-B5DA-49F78527B21D}"/>
            </c:ext>
          </c:extLst>
        </c:ser>
        <c:ser>
          <c:idx val="6"/>
          <c:order val="2"/>
          <c:tx>
            <c:strRef>
              <c:f>'Graf 34'!$A$28</c:f>
              <c:strCache>
                <c:ptCount val="1"/>
                <c:pt idx="0">
                  <c:v>Zosúladenie deficitu a dlhu</c:v>
                </c:pt>
              </c:strCache>
            </c:strRef>
          </c:tx>
          <c:spPr>
            <a:solidFill>
              <a:sysClr val="window" lastClr="FFFFFF">
                <a:lumMod val="75000"/>
              </a:sysClr>
            </a:solidFill>
            <a:ln w="12700">
              <a:noFill/>
              <a:prstDash val="solid"/>
            </a:ln>
          </c:spPr>
          <c:invertIfNegative val="0"/>
          <c:cat>
            <c:numRef>
              <c:f>'Graf 34'!$B$19:$I$19</c:f>
              <c:numCache>
                <c:formatCode>General</c:formatCode>
                <c:ptCount val="6"/>
                <c:pt idx="0">
                  <c:v>2017</c:v>
                </c:pt>
                <c:pt idx="1">
                  <c:v>2018</c:v>
                </c:pt>
                <c:pt idx="2">
                  <c:v>2019</c:v>
                </c:pt>
                <c:pt idx="3">
                  <c:v>2020</c:v>
                </c:pt>
                <c:pt idx="4">
                  <c:v>2021</c:v>
                </c:pt>
                <c:pt idx="5">
                  <c:v>2022</c:v>
                </c:pt>
              </c:numCache>
              <c:extLst xmlns:c16r2="http://schemas.microsoft.com/office/drawing/2015/06/chart"/>
            </c:numRef>
          </c:cat>
          <c:val>
            <c:numRef>
              <c:f>'Graf 34'!$B$28:$I$28</c:f>
              <c:numCache>
                <c:formatCode>0.0</c:formatCode>
                <c:ptCount val="6"/>
                <c:pt idx="0">
                  <c:v>0.61073501729634538</c:v>
                </c:pt>
                <c:pt idx="1">
                  <c:v>0.30668682532101643</c:v>
                </c:pt>
                <c:pt idx="2">
                  <c:v>1.6665610856450059</c:v>
                </c:pt>
                <c:pt idx="3">
                  <c:v>1.1919119984120998</c:v>
                </c:pt>
                <c:pt idx="4">
                  <c:v>1.4502515084574656</c:v>
                </c:pt>
                <c:pt idx="5">
                  <c:v>1.5654884938537887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A6C-495B-B5DA-49F78527B21D}"/>
            </c:ext>
          </c:extLst>
        </c:ser>
        <c:ser>
          <c:idx val="2"/>
          <c:order val="3"/>
          <c:tx>
            <c:strRef>
              <c:f>'Graf 34'!$A$22</c:f>
              <c:strCache>
                <c:ptCount val="1"/>
                <c:pt idx="0">
                  <c:v>Primárne saldo</c:v>
                </c:pt>
              </c:strCache>
            </c:strRef>
          </c:tx>
          <c:spPr>
            <a:solidFill>
              <a:srgbClr val="D3BEDE">
                <a:lumMod val="75000"/>
              </a:srgbClr>
            </a:solidFill>
            <a:ln w="12700">
              <a:noFill/>
              <a:prstDash val="solid"/>
            </a:ln>
          </c:spPr>
          <c:invertIfNegative val="0"/>
          <c:cat>
            <c:numRef>
              <c:f>'Graf 34'!$B$19:$I$19</c:f>
              <c:numCache>
                <c:formatCode>General</c:formatCode>
                <c:ptCount val="6"/>
                <c:pt idx="0">
                  <c:v>2017</c:v>
                </c:pt>
                <c:pt idx="1">
                  <c:v>2018</c:v>
                </c:pt>
                <c:pt idx="2">
                  <c:v>2019</c:v>
                </c:pt>
                <c:pt idx="3">
                  <c:v>2020</c:v>
                </c:pt>
                <c:pt idx="4">
                  <c:v>2021</c:v>
                </c:pt>
                <c:pt idx="5">
                  <c:v>2022</c:v>
                </c:pt>
              </c:numCache>
              <c:extLst xmlns:c16r2="http://schemas.microsoft.com/office/drawing/2015/06/chart"/>
            </c:numRef>
          </c:cat>
          <c:val>
            <c:numRef>
              <c:f>'Graf 34'!$B$22:$I$22</c:f>
              <c:numCache>
                <c:formatCode>0.0</c:formatCode>
                <c:ptCount val="6"/>
                <c:pt idx="0">
                  <c:v>-0.62084569688698787</c:v>
                </c:pt>
                <c:pt idx="1">
                  <c:v>-0.55404555838737912</c:v>
                </c:pt>
                <c:pt idx="2">
                  <c:v>-1.1649374953536096</c:v>
                </c:pt>
                <c:pt idx="3">
                  <c:v>-1.0556897100604072</c:v>
                </c:pt>
                <c:pt idx="4">
                  <c:v>-0.99960826967788152</c:v>
                </c:pt>
                <c:pt idx="5">
                  <c:v>-0.99403393914833016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4A6C-495B-B5DA-49F78527B21D}"/>
            </c:ext>
          </c:extLst>
        </c:ser>
        <c:ser>
          <c:idx val="1"/>
          <c:order val="5"/>
          <c:tx>
            <c:strRef>
              <c:f>'Graf 34'!$A$26</c:f>
              <c:strCache>
                <c:ptCount val="1"/>
                <c:pt idx="0">
                  <c:v>Rast reálneho HDP</c:v>
                </c:pt>
              </c:strCache>
            </c:strRef>
          </c:tx>
          <c:spPr>
            <a:solidFill>
              <a:srgbClr val="2C9ADC"/>
            </a:solidFill>
          </c:spPr>
          <c:invertIfNegative val="0"/>
          <c:cat>
            <c:numRef>
              <c:f>'Graf 34'!$B$19:$I$19</c:f>
              <c:numCache>
                <c:formatCode>General</c:formatCode>
                <c:ptCount val="6"/>
                <c:pt idx="0">
                  <c:v>2017</c:v>
                </c:pt>
                <c:pt idx="1">
                  <c:v>2018</c:v>
                </c:pt>
                <c:pt idx="2">
                  <c:v>2019</c:v>
                </c:pt>
                <c:pt idx="3">
                  <c:v>2020</c:v>
                </c:pt>
                <c:pt idx="4">
                  <c:v>2021</c:v>
                </c:pt>
                <c:pt idx="5">
                  <c:v>2022</c:v>
                </c:pt>
              </c:numCache>
              <c:extLst xmlns:c16r2="http://schemas.microsoft.com/office/drawing/2015/06/chart"/>
            </c:numRef>
          </c:cat>
          <c:val>
            <c:numRef>
              <c:f>'Graf 34'!$B$26:$I$26</c:f>
              <c:numCache>
                <c:formatCode>0.0</c:formatCode>
                <c:ptCount val="6"/>
                <c:pt idx="0">
                  <c:v>-1.6188355423023415</c:v>
                </c:pt>
                <c:pt idx="1">
                  <c:v>-1.9543383190376546</c:v>
                </c:pt>
                <c:pt idx="2">
                  <c:v>-1.9452885084379774</c:v>
                </c:pt>
                <c:pt idx="3">
                  <c:v>-1.7319951152926194</c:v>
                </c:pt>
                <c:pt idx="4">
                  <c:v>-1.4523850282649875</c:v>
                </c:pt>
                <c:pt idx="5">
                  <c:v>-1.1226592249383396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A6C-495B-B5DA-49F78527B21D}"/>
            </c:ext>
          </c:extLst>
        </c:ser>
        <c:ser>
          <c:idx val="3"/>
          <c:order val="6"/>
          <c:tx>
            <c:strRef>
              <c:f>'Graf 34'!$A$27</c:f>
              <c:strCache>
                <c:ptCount val="1"/>
                <c:pt idx="0">
                  <c:v>Deflátor  HDP</c:v>
                </c:pt>
              </c:strCache>
            </c:strRef>
          </c:tx>
          <c:spPr>
            <a:solidFill>
              <a:srgbClr val="2C9ADC">
                <a:lumMod val="40000"/>
                <a:lumOff val="60000"/>
              </a:srgbClr>
            </a:solidFill>
          </c:spPr>
          <c:invertIfNegative val="0"/>
          <c:cat>
            <c:numRef>
              <c:f>'Graf 34'!$B$19:$I$19</c:f>
              <c:numCache>
                <c:formatCode>General</c:formatCode>
                <c:ptCount val="6"/>
                <c:pt idx="0">
                  <c:v>2017</c:v>
                </c:pt>
                <c:pt idx="1">
                  <c:v>2018</c:v>
                </c:pt>
                <c:pt idx="2">
                  <c:v>2019</c:v>
                </c:pt>
                <c:pt idx="3">
                  <c:v>2020</c:v>
                </c:pt>
                <c:pt idx="4">
                  <c:v>2021</c:v>
                </c:pt>
                <c:pt idx="5">
                  <c:v>2022</c:v>
                </c:pt>
              </c:numCache>
              <c:extLst xmlns:c16r2="http://schemas.microsoft.com/office/drawing/2015/06/chart"/>
            </c:numRef>
          </c:cat>
          <c:val>
            <c:numRef>
              <c:f>'Graf 34'!$B$27:$I$27</c:f>
              <c:numCache>
                <c:formatCode>0.0</c:formatCode>
                <c:ptCount val="6"/>
                <c:pt idx="0">
                  <c:v>-0.59289331552390845</c:v>
                </c:pt>
                <c:pt idx="1">
                  <c:v>-1.0680459248506218</c:v>
                </c:pt>
                <c:pt idx="2">
                  <c:v>-1.1487233970923441</c:v>
                </c:pt>
                <c:pt idx="3">
                  <c:v>-1.0360517287995323</c:v>
                </c:pt>
                <c:pt idx="4">
                  <c:v>-1.0032605245986661</c:v>
                </c:pt>
                <c:pt idx="5">
                  <c:v>-0.99363302777060936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4A6C-495B-B5DA-49F78527B21D}"/>
            </c:ext>
          </c:extLst>
        </c:ser>
        <c:dLbls>
          <c:showLegendKey val="0"/>
          <c:showVal val="0"/>
          <c:showCatName val="0"/>
          <c:showSerName val="0"/>
          <c:showPercent val="0"/>
          <c:showBubbleSize val="0"/>
        </c:dLbls>
        <c:gapWidth val="150"/>
        <c:overlap val="100"/>
        <c:axId val="478931400"/>
        <c:axId val="478931792"/>
        <c:extLst xmlns:c16r2="http://schemas.microsoft.com/office/drawing/2015/06/chart">
          <c:ext xmlns:c15="http://schemas.microsoft.com/office/drawing/2012/chart" uri="{02D57815-91ED-43cb-92C2-25804820EDAC}">
            <c15:filteredBarSeries>
              <c15:ser>
                <c:idx val="5"/>
                <c:order val="4"/>
                <c:tx>
                  <c:strRef>
                    <c:extLst xmlns:c16r2="http://schemas.microsoft.com/office/drawing/2015/06/chart">
                      <c:ext uri="{02D57815-91ED-43cb-92C2-25804820EDAC}">
                        <c15:formulaRef>
                          <c15:sqref>'Graf 34'!$A$25</c15:sqref>
                        </c15:formulaRef>
                      </c:ext>
                    </c:extLst>
                    <c:strCache>
                      <c:ptCount val="1"/>
                      <c:pt idx="0">
                        <c:v>Rast nominálneho HDP</c:v>
                      </c:pt>
                    </c:strCache>
                  </c:strRef>
                </c:tx>
                <c:spPr>
                  <a:solidFill>
                    <a:srgbClr val="D3BEDE"/>
                  </a:solidFill>
                  <a:ln w="12700">
                    <a:noFill/>
                    <a:prstDash val="solid"/>
                  </a:ln>
                </c:spPr>
                <c:invertIfNegative val="0"/>
                <c:cat>
                  <c:numRef>
                    <c:extLst xmlns:c16r2="http://schemas.microsoft.com/office/drawing/2015/06/chart">
                      <c:ext uri="{02D57815-91ED-43cb-92C2-25804820EDAC}">
                        <c15:formulaRef>
                          <c15:sqref>'Graf 34'!$B$19:$I$19</c15:sqref>
                        </c15:formulaRef>
                      </c:ext>
                    </c:extLst>
                    <c:numCache>
                      <c:formatCode>General</c:formatCode>
                      <c:ptCount val="6"/>
                      <c:pt idx="0">
                        <c:v>2017</c:v>
                      </c:pt>
                      <c:pt idx="1">
                        <c:v>2018</c:v>
                      </c:pt>
                      <c:pt idx="2">
                        <c:v>2019</c:v>
                      </c:pt>
                      <c:pt idx="3">
                        <c:v>2020</c:v>
                      </c:pt>
                      <c:pt idx="4">
                        <c:v>2021</c:v>
                      </c:pt>
                      <c:pt idx="5">
                        <c:v>2022</c:v>
                      </c:pt>
                    </c:numCache>
                  </c:numRef>
                </c:cat>
                <c:val>
                  <c:numRef>
                    <c:extLst xmlns:c16r2="http://schemas.microsoft.com/office/drawing/2015/06/chart">
                      <c:ext uri="{02D57815-91ED-43cb-92C2-25804820EDAC}">
                        <c15:formulaRef>
                          <c15:sqref>'Graf 34'!$D$25:$I$25</c15:sqref>
                        </c15:formulaRef>
                      </c:ext>
                    </c:extLst>
                    <c:numCache>
                      <c:formatCode>0.0</c:formatCode>
                      <c:ptCount val="4"/>
                      <c:pt idx="0">
                        <c:v>-3.0940119055303215</c:v>
                      </c:pt>
                      <c:pt idx="1">
                        <c:v>-2.7680468440921517</c:v>
                      </c:pt>
                      <c:pt idx="2">
                        <c:v>-2.4556455528636536</c:v>
                      </c:pt>
                      <c:pt idx="3">
                        <c:v>-2.1162922527089489</c:v>
                      </c:pt>
                    </c:numCache>
                  </c:numRef>
                </c:val>
                <c:extLst xmlns:c16r2="http://schemas.microsoft.com/office/drawing/2015/06/chart">
                  <c:ext xmlns:c16="http://schemas.microsoft.com/office/drawing/2014/chart" uri="{C3380CC4-5D6E-409C-BE32-E72D297353CC}">
                    <c16:uniqueId val="{0000000B-4A6C-495B-B5DA-49F78527B21D}"/>
                  </c:ext>
                </c:extLst>
              </c15:ser>
            </c15:filteredBarSeries>
          </c:ext>
        </c:extLst>
      </c:barChart>
      <c:lineChart>
        <c:grouping val="standard"/>
        <c:varyColors val="0"/>
        <c:ser>
          <c:idx val="0"/>
          <c:order val="0"/>
          <c:tx>
            <c:strRef>
              <c:f>'Graf 34'!$A$20</c:f>
              <c:strCache>
                <c:ptCount val="1"/>
                <c:pt idx="0">
                  <c:v>Zmena hrubého dlhu verejnej správy</c:v>
                </c:pt>
              </c:strCache>
            </c:strRef>
          </c:tx>
          <c:spPr>
            <a:ln w="25400" cmpd="sng">
              <a:solidFill>
                <a:srgbClr val="000000"/>
              </a:solidFill>
              <a:prstDash val="solid"/>
            </a:ln>
          </c:spPr>
          <c:marker>
            <c:symbol val="diamond"/>
            <c:size val="6"/>
            <c:spPr>
              <a:solidFill>
                <a:sysClr val="windowText" lastClr="000000"/>
              </a:solidFill>
              <a:ln>
                <a:noFill/>
              </a:ln>
            </c:spPr>
          </c:marker>
          <c:dLbls>
            <c:spPr>
              <a:noFill/>
              <a:ln>
                <a:noFill/>
              </a:ln>
              <a:effectLst/>
            </c:spPr>
            <c:txPr>
              <a:bodyPr wrap="square" lIns="38100" tIns="19050" rIns="38100" bIns="19050" anchor="ctr">
                <a:spAutoFit/>
              </a:bodyPr>
              <a:lstStyle/>
              <a:p>
                <a:pPr>
                  <a:defRPr b="1">
                    <a:latin typeface="Arial Narrow" panose="020B0606020202030204" pitchFamily="34" charset="0"/>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'Graf 34'!$B$19:$I$19</c:f>
              <c:numCache>
                <c:formatCode>General</c:formatCode>
                <c:ptCount val="6"/>
                <c:pt idx="0">
                  <c:v>2017</c:v>
                </c:pt>
                <c:pt idx="1">
                  <c:v>2018</c:v>
                </c:pt>
                <c:pt idx="2">
                  <c:v>2019</c:v>
                </c:pt>
                <c:pt idx="3">
                  <c:v>2020</c:v>
                </c:pt>
                <c:pt idx="4">
                  <c:v>2021</c:v>
                </c:pt>
                <c:pt idx="5">
                  <c:v>2022</c:v>
                </c:pt>
              </c:numCache>
              <c:extLst xmlns:c16r2="http://schemas.microsoft.com/office/drawing/2015/06/chart"/>
            </c:numRef>
          </c:cat>
          <c:val>
            <c:numRef>
              <c:f>'Graf 34'!$B$20:$I$20</c:f>
              <c:numCache>
                <c:formatCode>0.0</c:formatCode>
                <c:ptCount val="6"/>
                <c:pt idx="0">
                  <c:v>-0.86994652987960563</c:v>
                </c:pt>
                <c:pt idx="1">
                  <c:v>-2.0178694232813825</c:v>
                </c:pt>
                <c:pt idx="2">
                  <c:v>-1.4274463754340445</c:v>
                </c:pt>
                <c:pt idx="3">
                  <c:v>-1.5761348456800519</c:v>
                </c:pt>
                <c:pt idx="4">
                  <c:v>-1.005394044406188</c:v>
                </c:pt>
                <c:pt idx="5">
                  <c:v>-0.5508037588551602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A-4A6C-495B-B5DA-49F78527B21D}"/>
            </c:ext>
          </c:extLst>
        </c:ser>
        <c:dLbls>
          <c:showLegendKey val="0"/>
          <c:showVal val="0"/>
          <c:showCatName val="0"/>
          <c:showSerName val="0"/>
          <c:showPercent val="0"/>
          <c:showBubbleSize val="0"/>
        </c:dLbls>
        <c:marker val="1"/>
        <c:smooth val="0"/>
        <c:axId val="478931400"/>
        <c:axId val="478931792"/>
      </c:lineChart>
      <c:catAx>
        <c:axId val="478931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sk-SK"/>
          </a:p>
        </c:txPr>
        <c:crossAx val="478931792"/>
        <c:crosses val="autoZero"/>
        <c:auto val="1"/>
        <c:lblAlgn val="ctr"/>
        <c:lblOffset val="100"/>
        <c:tickLblSkip val="1"/>
        <c:tickMarkSkip val="1"/>
        <c:noMultiLvlLbl val="0"/>
      </c:catAx>
      <c:valAx>
        <c:axId val="478931792"/>
        <c:scaling>
          <c:orientation val="minMax"/>
        </c:scaling>
        <c:delete val="0"/>
        <c:axPos val="l"/>
        <c:majorGridlines>
          <c:spPr>
            <a:ln w="3175">
              <a:solidFill>
                <a:sysClr val="window" lastClr="FFFFFF">
                  <a:lumMod val="85000"/>
                </a:sysClr>
              </a:solidFill>
              <a:prstDash val="sysDot"/>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panose="020B0606020202030204" pitchFamily="34" charset="0"/>
                <a:ea typeface="Arial"/>
                <a:cs typeface="Arial"/>
              </a:defRPr>
            </a:pPr>
            <a:endParaRPr lang="sk-SK"/>
          </a:p>
        </c:txPr>
        <c:crossAx val="478931400"/>
        <c:crosses val="autoZero"/>
        <c:crossBetween val="between"/>
        <c:majorUnit val="1"/>
      </c:valAx>
      <c:spPr>
        <a:noFill/>
        <a:ln w="25400">
          <a:noFill/>
        </a:ln>
      </c:spPr>
    </c:plotArea>
    <c:legend>
      <c:legendPos val="r"/>
      <c:layout>
        <c:manualLayout>
          <c:xMode val="edge"/>
          <c:yMode val="edge"/>
          <c:x val="0"/>
          <c:y val="0.75731912979255245"/>
          <c:w val="0.98828711526297519"/>
          <c:h val="0.24268087020744772"/>
        </c:manualLayout>
      </c:layout>
      <c:overlay val="0"/>
      <c:spPr>
        <a:solidFill>
          <a:srgbClr val="FFFFFF"/>
        </a:solidFill>
        <a:ln w="25400">
          <a:noFill/>
        </a:ln>
      </c:spPr>
      <c:txPr>
        <a:bodyPr/>
        <a:lstStyle/>
        <a:p>
          <a:pPr>
            <a:defRPr sz="700" b="0" i="0" u="none" strike="noStrike" baseline="0">
              <a:solidFill>
                <a:srgbClr val="000000"/>
              </a:solidFill>
              <a:latin typeface="Arial Narrow" panose="020B0606020202030204" pitchFamily="34" charset="0"/>
              <a:ea typeface="Arial"/>
              <a:cs typeface="Arial"/>
            </a:defRPr>
          </a:pPr>
          <a:endParaRPr lang="sk-SK"/>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sk-SK"/>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858014840266519E-2"/>
          <c:y val="5.1400554097404488E-2"/>
          <c:w val="0.94712825575489124"/>
          <c:h val="0.89719889180519097"/>
        </c:manualLayout>
      </c:layout>
      <c:areaChart>
        <c:grouping val="stacked"/>
        <c:varyColors val="0"/>
        <c:ser>
          <c:idx val="3"/>
          <c:order val="1"/>
          <c:spPr>
            <a:solidFill>
              <a:sysClr val="window" lastClr="FFFFFF"/>
            </a:solidFill>
          </c:spP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tabuľka'!$E$91:$AF$91</c:f>
              <c:numCache>
                <c:formatCode>#,##0.00</c:formatCode>
                <c:ptCount val="28"/>
                <c:pt idx="0">
                  <c:v>11.167483111541058</c:v>
                </c:pt>
                <c:pt idx="1">
                  <c:v>13.048751845861753</c:v>
                </c:pt>
                <c:pt idx="2">
                  <c:v>8.6015563156243928</c:v>
                </c:pt>
                <c:pt idx="3">
                  <c:v>8.2882122100243407</c:v>
                </c:pt>
                <c:pt idx="4">
                  <c:v>10.580703755800945</c:v>
                </c:pt>
                <c:pt idx="5">
                  <c:v>9.4031338819362791</c:v>
                </c:pt>
                <c:pt idx="6">
                  <c:v>8.6164127613715351</c:v>
                </c:pt>
                <c:pt idx="7">
                  <c:v>7.8747524991548756</c:v>
                </c:pt>
                <c:pt idx="8">
                  <c:v>6.3654105990091576</c:v>
                </c:pt>
                <c:pt idx="9">
                  <c:v>5.7115479543540753</c:v>
                </c:pt>
                <c:pt idx="10">
                  <c:v>4.5171414388880882</c:v>
                </c:pt>
                <c:pt idx="11">
                  <c:v>4.6717670860172547</c:v>
                </c:pt>
                <c:pt idx="12">
                  <c:v>4.9183901781360255</c:v>
                </c:pt>
                <c:pt idx="13">
                  <c:v>4.697293965162963</c:v>
                </c:pt>
                <c:pt idx="14">
                  <c:v>4.7002108373474512</c:v>
                </c:pt>
                <c:pt idx="15">
                  <c:v>3.7754079735591821</c:v>
                </c:pt>
                <c:pt idx="16">
                  <c:v>3.8762278978388998</c:v>
                </c:pt>
                <c:pt idx="17">
                  <c:v>4.1601165757337046</c:v>
                </c:pt>
                <c:pt idx="18">
                  <c:v>3.6572501164645366</c:v>
                </c:pt>
                <c:pt idx="19">
                  <c:v>3.5556666119047757</c:v>
                </c:pt>
                <c:pt idx="20">
                  <c:v>3.387124347004586</c:v>
                </c:pt>
                <c:pt idx="21">
                  <c:v>3.2347951252186098</c:v>
                </c:pt>
                <c:pt idx="22">
                  <c:v>2.8205339597709504</c:v>
                </c:pt>
                <c:pt idx="23">
                  <c:v>2.6120642255207454</c:v>
                </c:pt>
                <c:pt idx="24">
                  <c:v>2.5414639601653799</c:v>
                </c:pt>
                <c:pt idx="25">
                  <c:v>2.3598332197385576</c:v>
                </c:pt>
                <c:pt idx="26">
                  <c:v>2.2994278775884887</c:v>
                </c:pt>
                <c:pt idx="27">
                  <c:v>2.3221835556853523</c:v>
                </c:pt>
              </c:numCache>
            </c:numRef>
          </c:val>
          <c:extLst xmlns:c16r2="http://schemas.microsoft.com/office/drawing/2015/06/chart">
            <c:ext xmlns:c16="http://schemas.microsoft.com/office/drawing/2014/chart" uri="{C3380CC4-5D6E-409C-BE32-E72D297353CC}">
              <c16:uniqueId val="{00000000-F88F-4A50-9ECB-67F2A3B52974}"/>
            </c:ext>
          </c:extLst>
        </c:ser>
        <c:ser>
          <c:idx val="5"/>
          <c:order val="2"/>
          <c:spPr>
            <a:solidFill>
              <a:srgbClr val="F9C9BA"/>
            </a:solidFill>
          </c:spP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tabuľka'!$E$92:$AF$92</c:f>
              <c:numCache>
                <c:formatCode>0.00</c:formatCode>
                <c:ptCount val="28"/>
                <c:pt idx="0">
                  <c:v>0</c:v>
                </c:pt>
                <c:pt idx="1">
                  <c:v>-1.2394405656496215</c:v>
                </c:pt>
                <c:pt idx="2">
                  <c:v>0</c:v>
                </c:pt>
                <c:pt idx="3">
                  <c:v>0</c:v>
                </c:pt>
                <c:pt idx="4">
                  <c:v>-3.5168988645801633</c:v>
                </c:pt>
                <c:pt idx="5">
                  <c:v>0</c:v>
                </c:pt>
                <c:pt idx="6">
                  <c:v>-4.3031286558788295E-2</c:v>
                </c:pt>
                <c:pt idx="7">
                  <c:v>0</c:v>
                </c:pt>
                <c:pt idx="8">
                  <c:v>0</c:v>
                </c:pt>
                <c:pt idx="9">
                  <c:v>0</c:v>
                </c:pt>
                <c:pt idx="10">
                  <c:v>0</c:v>
                </c:pt>
                <c:pt idx="11">
                  <c:v>0</c:v>
                </c:pt>
                <c:pt idx="12">
                  <c:v>0</c:v>
                </c:pt>
                <c:pt idx="13">
                  <c:v>0</c:v>
                </c:pt>
                <c:pt idx="14">
                  <c:v>-12.224368544277951</c:v>
                </c:pt>
                <c:pt idx="15">
                  <c:v>0</c:v>
                </c:pt>
                <c:pt idx="16">
                  <c:v>0</c:v>
                </c:pt>
                <c:pt idx="17">
                  <c:v>-1.2203032276053207</c:v>
                </c:pt>
                <c:pt idx="18">
                  <c:v>-1.6403462015189141</c:v>
                </c:pt>
                <c:pt idx="19">
                  <c:v>-0.96982424434403347</c:v>
                </c:pt>
                <c:pt idx="20">
                  <c:v>0</c:v>
                </c:pt>
                <c:pt idx="21">
                  <c:v>-0.59658767047124428</c:v>
                </c:pt>
                <c:pt idx="22">
                  <c:v>0</c:v>
                </c:pt>
                <c:pt idx="23">
                  <c:v>0</c:v>
                </c:pt>
                <c:pt idx="24">
                  <c:v>0</c:v>
                </c:pt>
                <c:pt idx="25">
                  <c:v>0</c:v>
                </c:pt>
                <c:pt idx="26">
                  <c:v>0</c:v>
                </c:pt>
                <c:pt idx="27">
                  <c:v>0</c:v>
                </c:pt>
              </c:numCache>
            </c:numRef>
          </c:val>
          <c:extLst xmlns:c16r2="http://schemas.microsoft.com/office/drawing/2015/06/chart">
            <c:ext xmlns:c16="http://schemas.microsoft.com/office/drawing/2014/chart" uri="{C3380CC4-5D6E-409C-BE32-E72D297353CC}">
              <c16:uniqueId val="{00000000-1EB3-4009-AC35-B48748CDED8A}"/>
            </c:ext>
          </c:extLst>
        </c:ser>
        <c:ser>
          <c:idx val="2"/>
          <c:order val="3"/>
          <c:spPr>
            <a:solidFill>
              <a:srgbClr val="B0D6AF"/>
            </a:solidFill>
          </c:spP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tabuľka'!$E$90:$AF$90</c:f>
              <c:numCache>
                <c:formatCode>General</c:formatCode>
                <c:ptCount val="28"/>
                <c:pt idx="0" formatCode="#,##0.00">
                  <c:v>8.4848493607275959</c:v>
                </c:pt>
                <c:pt idx="2" formatCode="#,##0.00">
                  <c:v>2.6236446956960151</c:v>
                </c:pt>
                <c:pt idx="3" formatCode="#,##0.00">
                  <c:v>0.92106382660796626</c:v>
                </c:pt>
                <c:pt idx="5" formatCode="#,##0.00">
                  <c:v>1.293737308636663</c:v>
                </c:pt>
                <c:pt idx="6" formatCode="#,##0.00">
                  <c:v>-4.3031286558788295E-2</c:v>
                </c:pt>
                <c:pt idx="7" formatCode="#,##0.00">
                  <c:v>0.77913288903419886</c:v>
                </c:pt>
                <c:pt idx="8" formatCode="#,##0.00">
                  <c:v>4.6982217166148583</c:v>
                </c:pt>
                <c:pt idx="9" formatCode="#,##0.00">
                  <c:v>5.6331674496015536</c:v>
                </c:pt>
                <c:pt idx="10" formatCode="#,##0.00">
                  <c:v>4.8374348764161867</c:v>
                </c:pt>
                <c:pt idx="11" formatCode="#,##0.00">
                  <c:v>6.9491881626135719</c:v>
                </c:pt>
                <c:pt idx="12" formatCode="#,##0.00">
                  <c:v>7.1322134005086895</c:v>
                </c:pt>
                <c:pt idx="13" formatCode="#,##0.00">
                  <c:v>3.9265976577184105</c:v>
                </c:pt>
                <c:pt idx="14" formatCode="#,##0.00">
                  <c:v>-4.3685442779501926E-3</c:v>
                </c:pt>
                <c:pt idx="15" formatCode="#,##0.00">
                  <c:v>1.7760258058110807</c:v>
                </c:pt>
                <c:pt idx="16" formatCode="#,##0.00">
                  <c:v>0.63698141949102505</c:v>
                </c:pt>
                <c:pt idx="17" formatCode="#,##0.00">
                  <c:v>-3.0322760532075499E-4</c:v>
                </c:pt>
                <c:pt idx="18" formatCode="#,##0.00">
                  <c:v>-3.4620151891417983E-4</c:v>
                </c:pt>
                <c:pt idx="19" formatCode="#,##0.00">
                  <c:v>-6.9824244344033448E-2</c:v>
                </c:pt>
                <c:pt idx="20" formatCode="#,##0.00">
                  <c:v>0.62199858860863255</c:v>
                </c:pt>
                <c:pt idx="21" formatCode="#,##0.00">
                  <c:v>-0.59658767047124428</c:v>
                </c:pt>
                <c:pt idx="22" formatCode="#,##0.00">
                  <c:v>1.642073754872579</c:v>
                </c:pt>
                <c:pt idx="23" formatCode="#,##0.00">
                  <c:v>3.6941925609444244</c:v>
                </c:pt>
                <c:pt idx="24" formatCode="#,##0.00">
                  <c:v>4.2085288777259482</c:v>
                </c:pt>
                <c:pt idx="25" formatCode="#,##0.00">
                  <c:v>3.8277130206310326</c:v>
                </c:pt>
                <c:pt idx="26" formatCode="#,##0.00">
                  <c:v>3.349364767504837</c:v>
                </c:pt>
                <c:pt idx="27" formatCode="#,##0.00">
                  <c:v>2.6217312089107279</c:v>
                </c:pt>
              </c:numCache>
            </c:numRef>
          </c:val>
          <c:extLst xmlns:c16r2="http://schemas.microsoft.com/office/drawing/2015/06/chart">
            <c:ext xmlns:c16="http://schemas.microsoft.com/office/drawing/2014/chart" uri="{C3380CC4-5D6E-409C-BE32-E72D297353CC}">
              <c16:uniqueId val="{00000002-F88F-4A50-9ECB-67F2A3B52974}"/>
            </c:ext>
          </c:extLst>
        </c:ser>
        <c:dLbls>
          <c:showLegendKey val="0"/>
          <c:showVal val="0"/>
          <c:showCatName val="0"/>
          <c:showSerName val="0"/>
          <c:showPercent val="0"/>
          <c:showBubbleSize val="0"/>
        </c:dLbls>
        <c:axId val="478932576"/>
        <c:axId val="478832424"/>
      </c:areaChart>
      <c:lineChart>
        <c:grouping val="standard"/>
        <c:varyColors val="0"/>
        <c:ser>
          <c:idx val="0"/>
          <c:order val="0"/>
          <c:tx>
            <c:v>Rast HDP v bežných cenách</c:v>
          </c:tx>
          <c:spPr>
            <a:ln>
              <a:solidFill>
                <a:srgbClr val="2C9ADC"/>
              </a:solidFill>
            </a:ln>
          </c:spPr>
          <c:marker>
            <c:symbol val="none"/>
          </c:marke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tabuľka'!$E$58:$AF$58</c:f>
              <c:numCache>
                <c:formatCode>#,##0.00</c:formatCode>
                <c:ptCount val="28"/>
                <c:pt idx="0">
                  <c:v>19.652332472268654</c:v>
                </c:pt>
                <c:pt idx="1">
                  <c:v>11.509311280212131</c:v>
                </c:pt>
                <c:pt idx="2">
                  <c:v>11.225201011320408</c:v>
                </c:pt>
                <c:pt idx="3">
                  <c:v>9.209276036632307</c:v>
                </c:pt>
                <c:pt idx="4">
                  <c:v>7.0638048912207818</c:v>
                </c:pt>
                <c:pt idx="5">
                  <c:v>10.696871190572942</c:v>
                </c:pt>
                <c:pt idx="6">
                  <c:v>8.5733814748127468</c:v>
                </c:pt>
                <c:pt idx="7">
                  <c:v>8.6538853881890745</c:v>
                </c:pt>
                <c:pt idx="8">
                  <c:v>11.063632315624016</c:v>
                </c:pt>
                <c:pt idx="9">
                  <c:v>11.344715403955629</c:v>
                </c:pt>
                <c:pt idx="10">
                  <c:v>9.3545763153042749</c:v>
                </c:pt>
                <c:pt idx="11">
                  <c:v>11.620955248630827</c:v>
                </c:pt>
                <c:pt idx="12">
                  <c:v>12.050603578644715</c:v>
                </c:pt>
                <c:pt idx="13">
                  <c:v>8.6238916228813736</c:v>
                </c:pt>
                <c:pt idx="14">
                  <c:v>-6.5241577069305006</c:v>
                </c:pt>
                <c:pt idx="15" formatCode="#\ ##0.0">
                  <c:v>5.5514337793702628</c:v>
                </c:pt>
                <c:pt idx="16" formatCode="#\ ##0.0">
                  <c:v>4.5132093173299248</c:v>
                </c:pt>
                <c:pt idx="17" formatCode="#\ ##0.0">
                  <c:v>2.9398133481283839</c:v>
                </c:pt>
                <c:pt idx="18" formatCode="#\ ##0.0">
                  <c:v>2.0169039149456225</c:v>
                </c:pt>
                <c:pt idx="19" formatCode="#\ ##0.0">
                  <c:v>2.5858423675607423</c:v>
                </c:pt>
                <c:pt idx="20" formatCode="#\ ##0.0">
                  <c:v>4.0091229356132185</c:v>
                </c:pt>
                <c:pt idx="21" formatCode="#\ ##0.0">
                  <c:v>2.6382074547473655</c:v>
                </c:pt>
                <c:pt idx="22" formatCode="#\ ##0.0">
                  <c:v>4.4626077146435295</c:v>
                </c:pt>
                <c:pt idx="23" formatCode="#\ ##0.0">
                  <c:v>6.3062567864651697</c:v>
                </c:pt>
                <c:pt idx="24" formatCode="#\ ##0.0">
                  <c:v>6.7499928378913276</c:v>
                </c:pt>
                <c:pt idx="25" formatCode="#\ ##0.0">
                  <c:v>6.1875462403695902</c:v>
                </c:pt>
                <c:pt idx="26" formatCode="#\ ##0.0">
                  <c:v>5.6487926450933257</c:v>
                </c:pt>
                <c:pt idx="27">
                  <c:v>4.9439147645960801</c:v>
                </c:pt>
              </c:numCache>
            </c:numRef>
          </c:val>
          <c:smooth val="0"/>
          <c:extLst xmlns:c16r2="http://schemas.microsoft.com/office/drawing/2015/06/chart">
            <c:ext xmlns:c16="http://schemas.microsoft.com/office/drawing/2014/chart" uri="{C3380CC4-5D6E-409C-BE32-E72D297353CC}">
              <c16:uniqueId val="{00000003-F88F-4A50-9ECB-67F2A3B52974}"/>
            </c:ext>
          </c:extLst>
        </c:ser>
        <c:ser>
          <c:idx val="1"/>
          <c:order val="4"/>
          <c:tx>
            <c:v>Implicitná úroková miera</c:v>
          </c:tx>
          <c:spPr>
            <a:ln>
              <a:solidFill>
                <a:sysClr val="windowText" lastClr="000000"/>
              </a:solidFill>
            </a:ln>
          </c:spPr>
          <c:marker>
            <c:symbol val="none"/>
          </c:marker>
          <c:cat>
            <c:numRef>
              <c:f>'Súhrnná tabuľka'!$E$1:$AF$1</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'Súhrnná tabuľka'!$E$46:$AF$46</c:f>
              <c:numCache>
                <c:formatCode>#\ ##0.0</c:formatCode>
                <c:ptCount val="28"/>
                <c:pt idx="0">
                  <c:v>11.167483111541058</c:v>
                </c:pt>
                <c:pt idx="1">
                  <c:v>12.748751845861753</c:v>
                </c:pt>
                <c:pt idx="2">
                  <c:v>8.6015563156243928</c:v>
                </c:pt>
                <c:pt idx="3">
                  <c:v>8.2882122100243407</c:v>
                </c:pt>
                <c:pt idx="4">
                  <c:v>10.580703755800945</c:v>
                </c:pt>
                <c:pt idx="5">
                  <c:v>9.4031338819362791</c:v>
                </c:pt>
                <c:pt idx="6">
                  <c:v>8.6164127613715351</c:v>
                </c:pt>
                <c:pt idx="7">
                  <c:v>7.8747524991548756</c:v>
                </c:pt>
                <c:pt idx="8">
                  <c:v>6.3654105990091576</c:v>
                </c:pt>
                <c:pt idx="9">
                  <c:v>5.7115479543540753</c:v>
                </c:pt>
                <c:pt idx="10">
                  <c:v>4.5171414388880882</c:v>
                </c:pt>
                <c:pt idx="11">
                  <c:v>4.6717670860172547</c:v>
                </c:pt>
                <c:pt idx="12">
                  <c:v>4.9183901781360255</c:v>
                </c:pt>
                <c:pt idx="13">
                  <c:v>4.697293965162963</c:v>
                </c:pt>
                <c:pt idx="14">
                  <c:v>4.7002108373474512</c:v>
                </c:pt>
                <c:pt idx="15">
                  <c:v>3.7754079735591821</c:v>
                </c:pt>
                <c:pt idx="16">
                  <c:v>3.8762278978388998</c:v>
                </c:pt>
                <c:pt idx="17">
                  <c:v>4.1601165757337046</c:v>
                </c:pt>
                <c:pt idx="18">
                  <c:v>3.6572501164645366</c:v>
                </c:pt>
                <c:pt idx="19">
                  <c:v>3.5556666119047757</c:v>
                </c:pt>
                <c:pt idx="20">
                  <c:v>3.387124347004586</c:v>
                </c:pt>
                <c:pt idx="21">
                  <c:v>3.2347951252186098</c:v>
                </c:pt>
                <c:pt idx="22">
                  <c:v>2.8205339597709504</c:v>
                </c:pt>
                <c:pt idx="23">
                  <c:v>2.6120642255207454</c:v>
                </c:pt>
                <c:pt idx="24">
                  <c:v>2.5414639601653799</c:v>
                </c:pt>
                <c:pt idx="25">
                  <c:v>2.3598332197385576</c:v>
                </c:pt>
                <c:pt idx="26">
                  <c:v>2.2994278775884887</c:v>
                </c:pt>
                <c:pt idx="27">
                  <c:v>2.3221835556853523</c:v>
                </c:pt>
              </c:numCache>
            </c:numRef>
          </c:val>
          <c:smooth val="0"/>
          <c:extLst xmlns:c16r2="http://schemas.microsoft.com/office/drawing/2015/06/chart">
            <c:ext xmlns:c16="http://schemas.microsoft.com/office/drawing/2014/chart" uri="{C3380CC4-5D6E-409C-BE32-E72D297353CC}">
              <c16:uniqueId val="{00000004-F88F-4A50-9ECB-67F2A3B52974}"/>
            </c:ext>
          </c:extLst>
        </c:ser>
        <c:dLbls>
          <c:showLegendKey val="0"/>
          <c:showVal val="0"/>
          <c:showCatName val="0"/>
          <c:showSerName val="0"/>
          <c:showPercent val="0"/>
          <c:showBubbleSize val="0"/>
        </c:dLbls>
        <c:marker val="1"/>
        <c:smooth val="0"/>
        <c:axId val="478932576"/>
        <c:axId val="478832424"/>
      </c:lineChart>
      <c:catAx>
        <c:axId val="478932576"/>
        <c:scaling>
          <c:orientation val="minMax"/>
        </c:scaling>
        <c:delete val="0"/>
        <c:axPos val="b"/>
        <c:numFmt formatCode="General" sourceLinked="0"/>
        <c:majorTickMark val="out"/>
        <c:minorTickMark val="none"/>
        <c:tickLblPos val="low"/>
        <c:spPr>
          <a:ln>
            <a:solidFill>
              <a:sysClr val="windowText" lastClr="000000"/>
            </a:solidFill>
          </a:ln>
        </c:spPr>
        <c:txPr>
          <a:bodyPr/>
          <a:lstStyle/>
          <a:p>
            <a:pPr>
              <a:defRPr sz="900"/>
            </a:pPr>
            <a:endParaRPr lang="sk-SK"/>
          </a:p>
        </c:txPr>
        <c:crossAx val="478832424"/>
        <c:crosses val="autoZero"/>
        <c:auto val="1"/>
        <c:lblAlgn val="ctr"/>
        <c:lblOffset val="100"/>
        <c:noMultiLvlLbl val="0"/>
      </c:catAx>
      <c:valAx>
        <c:axId val="478832424"/>
        <c:scaling>
          <c:orientation val="minMax"/>
        </c:scaling>
        <c:delete val="0"/>
        <c:axPos val="l"/>
        <c:majorGridlines>
          <c:spPr>
            <a:ln>
              <a:solidFill>
                <a:sysClr val="window" lastClr="FFFFFF">
                  <a:lumMod val="85000"/>
                </a:sysClr>
              </a:solidFill>
              <a:prstDash val="sysDot"/>
            </a:ln>
          </c:spPr>
        </c:majorGridlines>
        <c:numFmt formatCode="#,##0" sourceLinked="0"/>
        <c:majorTickMark val="out"/>
        <c:minorTickMark val="none"/>
        <c:tickLblPos val="nextTo"/>
        <c:spPr>
          <a:ln>
            <a:solidFill>
              <a:sysClr val="windowText" lastClr="000000"/>
            </a:solidFill>
          </a:ln>
        </c:spPr>
        <c:crossAx val="478932576"/>
        <c:crosses val="autoZero"/>
        <c:crossBetween val="between"/>
      </c:valAx>
    </c:plotArea>
    <c:legend>
      <c:legendPos val="r"/>
      <c:legendEntry>
        <c:idx val="0"/>
        <c:delete val="1"/>
      </c:legendEntry>
      <c:legendEntry>
        <c:idx val="1"/>
        <c:delete val="1"/>
      </c:legendEntry>
      <c:legendEntry>
        <c:idx val="2"/>
        <c:delete val="1"/>
      </c:legendEntry>
      <c:layout>
        <c:manualLayout>
          <c:xMode val="edge"/>
          <c:yMode val="edge"/>
          <c:x val="9.5235626953665956E-2"/>
          <c:y val="4.1507345953891439E-2"/>
          <c:w val="0.89921897776289739"/>
          <c:h val="0.17634487888385661"/>
        </c:manualLayout>
      </c:layout>
      <c:overlay val="0"/>
      <c:txPr>
        <a:bodyPr/>
        <a:lstStyle/>
        <a:p>
          <a:pPr>
            <a:defRPr sz="800"/>
          </a:pPr>
          <a:endParaRPr lang="sk-SK"/>
        </a:p>
      </c:txPr>
    </c:legend>
    <c:plotVisOnly val="1"/>
    <c:dispBlanksAs val="zero"/>
    <c:showDLblsOverMax val="0"/>
  </c:chart>
  <c:spPr>
    <a:ln>
      <a:noFill/>
    </a:ln>
  </c:spPr>
  <c:txPr>
    <a:bodyPr/>
    <a:lstStyle/>
    <a:p>
      <a:pPr>
        <a:defRPr b="0">
          <a:latin typeface="Arial Narrow" panose="020B0606020202030204" pitchFamily="34" charset="0"/>
        </a:defRPr>
      </a:pPr>
      <a:endParaRPr lang="sk-SK"/>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88061226859917E-2"/>
          <c:y val="4.4396653543307088E-2"/>
          <c:w val="0.92790373629766865"/>
          <c:h val="0.69244776342458969"/>
        </c:manualLayout>
      </c:layout>
      <c:barChart>
        <c:barDir val="col"/>
        <c:grouping val="stacked"/>
        <c:varyColors val="0"/>
        <c:ser>
          <c:idx val="1"/>
          <c:order val="0"/>
          <c:tx>
            <c:v>Čistý dlh</c:v>
          </c:tx>
          <c:spPr>
            <a:solidFill>
              <a:srgbClr val="2C9ADC"/>
            </a:solidFill>
            <a:ln w="25400">
              <a:noFill/>
            </a:ln>
          </c:spPr>
          <c:invertIfNegative val="0"/>
          <c:dLbls>
            <c:spPr>
              <a:solidFill>
                <a:srgbClr val="B0D6AF"/>
              </a:solidFill>
              <a:ln>
                <a:solidFill>
                  <a:schemeClr val="tx1"/>
                </a:solidFill>
              </a:ln>
            </c:spPr>
            <c:txPr>
              <a:bodyPr wrap="square" lIns="38100" tIns="19050" rIns="38100" bIns="19050" anchor="ctr">
                <a:spAutoFit/>
              </a:bodyPr>
              <a:lstStyle/>
              <a:p>
                <a:pPr>
                  <a:defRPr sz="1000" b="1" i="0" u="none" strike="noStrike" baseline="0">
                    <a:solidFill>
                      <a:srgbClr val="000000"/>
                    </a:solidFill>
                    <a:latin typeface="Arial Narrow"/>
                    <a:ea typeface="Arial Narrow"/>
                    <a:cs typeface="Arial Narrow"/>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'Graf 35'!$B$21:$G$21</c:f>
              <c:numCache>
                <c:formatCode>General</c:formatCode>
                <c:ptCount val="6"/>
                <c:pt idx="0">
                  <c:v>2017</c:v>
                </c:pt>
                <c:pt idx="1">
                  <c:v>2018</c:v>
                </c:pt>
                <c:pt idx="2">
                  <c:v>2019</c:v>
                </c:pt>
                <c:pt idx="3">
                  <c:v>2020</c:v>
                </c:pt>
                <c:pt idx="4">
                  <c:v>2021</c:v>
                </c:pt>
                <c:pt idx="5">
                  <c:v>2022</c:v>
                </c:pt>
              </c:numCache>
            </c:numRef>
          </c:cat>
          <c:val>
            <c:numRef>
              <c:f>'Graf 35'!$B$28:$G$28</c:f>
              <c:numCache>
                <c:formatCode>0.0</c:formatCode>
                <c:ptCount val="6"/>
                <c:pt idx="0">
                  <c:v>45.303822895397715</c:v>
                </c:pt>
                <c:pt idx="1">
                  <c:v>42.955114139229124</c:v>
                </c:pt>
                <c:pt idx="2">
                  <c:v>41.25354986194408</c:v>
                </c:pt>
                <c:pt idx="3">
                  <c:v>39.77908050811007</c:v>
                </c:pt>
                <c:pt idx="4">
                  <c:v>38.543246416007136</c:v>
                </c:pt>
                <c:pt idx="5">
                  <c:v>37.073143648703791</c:v>
                </c:pt>
              </c:numCache>
            </c:numRef>
          </c:val>
          <c:extLst xmlns:c16r2="http://schemas.microsoft.com/office/drawing/2015/06/chart">
            <c:ext xmlns:c16="http://schemas.microsoft.com/office/drawing/2014/chart" uri="{C3380CC4-5D6E-409C-BE32-E72D297353CC}">
              <c16:uniqueId val="{00000000-4502-4D54-80D7-19B55B034101}"/>
            </c:ext>
          </c:extLst>
        </c:ser>
        <c:ser>
          <c:idx val="2"/>
          <c:order val="1"/>
          <c:tx>
            <c:strRef>
              <c:f>'Graf 35'!$A$31</c:f>
              <c:strCache>
                <c:ptCount val="1"/>
                <c:pt idx="0">
                  <c:v>Likvidné finančné aktíva</c:v>
                </c:pt>
              </c:strCache>
            </c:strRef>
          </c:tx>
          <c:spPr>
            <a:solidFill>
              <a:srgbClr val="AAD3F2"/>
            </a:solidFill>
            <a:ln w="25400">
              <a:noFill/>
            </a:ln>
          </c:spPr>
          <c:invertIfNegative val="0"/>
          <c:cat>
            <c:numRef>
              <c:f>'Graf 35'!$B$21:$G$21</c:f>
              <c:numCache>
                <c:formatCode>General</c:formatCode>
                <c:ptCount val="6"/>
                <c:pt idx="0">
                  <c:v>2017</c:v>
                </c:pt>
                <c:pt idx="1">
                  <c:v>2018</c:v>
                </c:pt>
                <c:pt idx="2">
                  <c:v>2019</c:v>
                </c:pt>
                <c:pt idx="3">
                  <c:v>2020</c:v>
                </c:pt>
                <c:pt idx="4">
                  <c:v>2021</c:v>
                </c:pt>
                <c:pt idx="5">
                  <c:v>2022</c:v>
                </c:pt>
              </c:numCache>
            </c:numRef>
          </c:cat>
          <c:val>
            <c:numRef>
              <c:f>'Graf 35'!$B$31:$G$31</c:f>
              <c:numCache>
                <c:formatCode>0.00</c:formatCode>
                <c:ptCount val="6"/>
                <c:pt idx="0">
                  <c:v>5.6453160399974189</c:v>
                </c:pt>
                <c:pt idx="1">
                  <c:v>5.9761553728846257</c:v>
                </c:pt>
                <c:pt idx="2">
                  <c:v>6.2502732747356236</c:v>
                </c:pt>
                <c:pt idx="3">
                  <c:v>6.1486077828895853</c:v>
                </c:pt>
                <c:pt idx="4">
                  <c:v>6.3790478305863303</c:v>
                </c:pt>
                <c:pt idx="5">
                  <c:v>7.2983468390345152</c:v>
                </c:pt>
              </c:numCache>
            </c:numRef>
          </c:val>
          <c:extLst xmlns:c16r2="http://schemas.microsoft.com/office/drawing/2015/06/chart">
            <c:ext xmlns:c16="http://schemas.microsoft.com/office/drawing/2014/chart" uri="{C3380CC4-5D6E-409C-BE32-E72D297353CC}">
              <c16:uniqueId val="{00000001-4502-4D54-80D7-19B55B034101}"/>
            </c:ext>
          </c:extLst>
        </c:ser>
        <c:dLbls>
          <c:showLegendKey val="0"/>
          <c:showVal val="0"/>
          <c:showCatName val="0"/>
          <c:showSerName val="0"/>
          <c:showPercent val="0"/>
          <c:showBubbleSize val="0"/>
        </c:dLbls>
        <c:gapWidth val="150"/>
        <c:overlap val="100"/>
        <c:axId val="478833208"/>
        <c:axId val="478833600"/>
      </c:barChart>
      <c:lineChart>
        <c:grouping val="standard"/>
        <c:varyColors val="0"/>
        <c:ser>
          <c:idx val="0"/>
          <c:order val="2"/>
          <c:tx>
            <c:strRef>
              <c:f>'Graf 35'!$A$22</c:f>
              <c:strCache>
                <c:ptCount val="1"/>
                <c:pt idx="0">
                  <c:v>Hrubý dlh verejnej správy</c:v>
                </c:pt>
              </c:strCache>
            </c:strRef>
          </c:tx>
          <c:spPr>
            <a:ln>
              <a:noFill/>
            </a:ln>
          </c:spPr>
          <c:marker>
            <c:symbol val="diamond"/>
            <c:size val="8"/>
          </c:marker>
          <c:dLbls>
            <c:numFmt formatCode="#,##0.0" sourceLinked="0"/>
            <c:spPr>
              <a:noFill/>
              <a:ln>
                <a:noFill/>
              </a:ln>
              <a:effectLst/>
            </c:spPr>
            <c:txPr>
              <a:bodyPr wrap="square" lIns="38100" tIns="19050" rIns="38100" bIns="19050" anchor="ctr">
                <a:spAutoFit/>
              </a:bodyPr>
              <a:lstStyle/>
              <a:p>
                <a:pPr>
                  <a:defRPr b="1"/>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'Graf 35'!$B$21:$G$21</c:f>
              <c:numCache>
                <c:formatCode>General</c:formatCode>
                <c:ptCount val="6"/>
                <c:pt idx="0">
                  <c:v>2017</c:v>
                </c:pt>
                <c:pt idx="1">
                  <c:v>2018</c:v>
                </c:pt>
                <c:pt idx="2">
                  <c:v>2019</c:v>
                </c:pt>
                <c:pt idx="3">
                  <c:v>2020</c:v>
                </c:pt>
                <c:pt idx="4">
                  <c:v>2021</c:v>
                </c:pt>
                <c:pt idx="5">
                  <c:v>2022</c:v>
                </c:pt>
              </c:numCache>
            </c:numRef>
          </c:cat>
          <c:val>
            <c:numRef>
              <c:f>'Graf 35'!$B$22:$G$22</c:f>
              <c:numCache>
                <c:formatCode>0.0</c:formatCode>
                <c:ptCount val="6"/>
                <c:pt idx="0">
                  <c:v>50.949138935395133</c:v>
                </c:pt>
                <c:pt idx="1">
                  <c:v>48.931269512113751</c:v>
                </c:pt>
                <c:pt idx="2">
                  <c:v>47.503823136679706</c:v>
                </c:pt>
                <c:pt idx="3">
                  <c:v>45.927688290999654</c:v>
                </c:pt>
                <c:pt idx="4">
                  <c:v>44.922294246593466</c:v>
                </c:pt>
                <c:pt idx="5">
                  <c:v>44.371490487738306</c:v>
                </c:pt>
              </c:numCache>
            </c:numRef>
          </c:val>
          <c:smooth val="0"/>
          <c:extLst xmlns:c16r2="http://schemas.microsoft.com/office/drawing/2015/06/chart">
            <c:ext xmlns:c16="http://schemas.microsoft.com/office/drawing/2014/chart" uri="{C3380CC4-5D6E-409C-BE32-E72D297353CC}">
              <c16:uniqueId val="{00000002-4502-4D54-80D7-19B55B034101}"/>
            </c:ext>
          </c:extLst>
        </c:ser>
        <c:dLbls>
          <c:showLegendKey val="0"/>
          <c:showVal val="0"/>
          <c:showCatName val="0"/>
          <c:showSerName val="0"/>
          <c:showPercent val="0"/>
          <c:showBubbleSize val="0"/>
        </c:dLbls>
        <c:marker val="1"/>
        <c:smooth val="0"/>
        <c:axId val="478833208"/>
        <c:axId val="478833600"/>
      </c:lineChart>
      <c:catAx>
        <c:axId val="47883320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Arial Narrow"/>
                <a:ea typeface="Arial Narrow"/>
                <a:cs typeface="Arial Narrow"/>
              </a:defRPr>
            </a:pPr>
            <a:endParaRPr lang="sk-SK"/>
          </a:p>
        </c:txPr>
        <c:crossAx val="478833600"/>
        <c:crosses val="autoZero"/>
        <c:auto val="1"/>
        <c:lblAlgn val="ctr"/>
        <c:lblOffset val="100"/>
        <c:noMultiLvlLbl val="0"/>
      </c:catAx>
      <c:valAx>
        <c:axId val="478833600"/>
        <c:scaling>
          <c:orientation val="minMax"/>
          <c:min val="0"/>
        </c:scaling>
        <c:delete val="0"/>
        <c:axPos val="l"/>
        <c:majorGridlines>
          <c:spPr>
            <a:ln>
              <a:solidFill>
                <a:schemeClr val="bg1">
                  <a:lumMod val="85000"/>
                </a:schemeClr>
              </a:solidFill>
              <a:prstDash val="sysDot"/>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Arial Narrow"/>
                <a:ea typeface="Arial Narrow"/>
                <a:cs typeface="Arial Narrow"/>
              </a:defRPr>
            </a:pPr>
            <a:endParaRPr lang="sk-SK"/>
          </a:p>
        </c:txPr>
        <c:crossAx val="478833208"/>
        <c:crosses val="autoZero"/>
        <c:crossBetween val="between"/>
      </c:valAx>
      <c:spPr>
        <a:noFill/>
        <a:ln w="25400">
          <a:noFill/>
        </a:ln>
      </c:spPr>
    </c:plotArea>
    <c:legend>
      <c:legendPos val="b"/>
      <c:layout>
        <c:manualLayout>
          <c:xMode val="edge"/>
          <c:yMode val="edge"/>
          <c:x val="2.4018888769828221E-2"/>
          <c:y val="0.84177805176488163"/>
          <c:w val="0.97073275272782367"/>
          <c:h val="0.12856595772503526"/>
        </c:manualLayout>
      </c:layout>
      <c:overlay val="0"/>
      <c:txPr>
        <a:bodyPr/>
        <a:lstStyle/>
        <a:p>
          <a:pPr>
            <a:defRPr sz="900"/>
          </a:pPr>
          <a:endParaRPr lang="sk-SK"/>
        </a:p>
      </c:txPr>
    </c:legend>
    <c:plotVisOnly val="1"/>
    <c:dispBlanksAs val="gap"/>
    <c:showDLblsOverMax val="0"/>
  </c:chart>
  <c:spPr>
    <a:noFill/>
    <a:ln>
      <a:noFill/>
    </a:ln>
  </c:spPr>
  <c:txPr>
    <a:bodyPr/>
    <a:lstStyle/>
    <a:p>
      <a:pPr>
        <a:defRPr sz="1000" b="0" i="0" u="none" strike="noStrike" baseline="0">
          <a:solidFill>
            <a:srgbClr val="000000"/>
          </a:solidFill>
          <a:latin typeface="Arial Narrow"/>
          <a:ea typeface="Arial Narrow"/>
          <a:cs typeface="Arial Narrow"/>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92171081707575E-2"/>
          <c:y val="5.3858627260633514E-2"/>
          <c:w val="0.9274259274291744"/>
          <c:h val="0.57254805032778977"/>
        </c:manualLayout>
      </c:layout>
      <c:barChart>
        <c:barDir val="col"/>
        <c:grouping val="stacked"/>
        <c:varyColors val="0"/>
        <c:ser>
          <c:idx val="10"/>
          <c:order val="0"/>
          <c:tx>
            <c:strRef>
              <c:f>Hárok1!$A$16</c:f>
              <c:strCache>
                <c:ptCount val="1"/>
                <c:pt idx="0">
                  <c:v>Hotovostný deficit ŠR</c:v>
                </c:pt>
              </c:strCache>
            </c:strRef>
          </c:tx>
          <c:spPr>
            <a:solidFill>
              <a:schemeClr val="tx2"/>
            </a:solidFill>
            <a:ln>
              <a:noFill/>
            </a:ln>
            <a:effectLst/>
          </c:spPr>
          <c:invertIfNegative val="0"/>
          <c:cat>
            <c:numRef>
              <c:f>Hárok1!$B$3:$F$3</c:f>
              <c:numCache>
                <c:formatCode>General</c:formatCode>
                <c:ptCount val="5"/>
                <c:pt idx="0">
                  <c:v>2018</c:v>
                </c:pt>
                <c:pt idx="1">
                  <c:v>2019</c:v>
                </c:pt>
                <c:pt idx="2">
                  <c:v>2020</c:v>
                </c:pt>
                <c:pt idx="3">
                  <c:v>2021</c:v>
                </c:pt>
                <c:pt idx="4">
                  <c:v>2022</c:v>
                </c:pt>
              </c:numCache>
            </c:numRef>
          </c:cat>
          <c:val>
            <c:numRef>
              <c:f>Hárok1!$B$16:$F$16</c:f>
              <c:numCache>
                <c:formatCode>0.0</c:formatCode>
                <c:ptCount val="5"/>
                <c:pt idx="0">
                  <c:v>-1.3106633308532643</c:v>
                </c:pt>
                <c:pt idx="1">
                  <c:v>-2.1095309916303639</c:v>
                </c:pt>
                <c:pt idx="2">
                  <c:v>-2.1092400119044625</c:v>
                </c:pt>
                <c:pt idx="3">
                  <c:v>-1.8717646312208247</c:v>
                </c:pt>
                <c:pt idx="4">
                  <c:v>-1.2416841525465445</c:v>
                </c:pt>
              </c:numCache>
            </c:numRef>
          </c:val>
          <c:extLst xmlns:c16r2="http://schemas.microsoft.com/office/drawing/2015/06/chart">
            <c:ext xmlns:c16="http://schemas.microsoft.com/office/drawing/2014/chart" uri="{C3380CC4-5D6E-409C-BE32-E72D297353CC}">
              <c16:uniqueId val="{00000000-13F8-49E4-8F37-4FAAA2E27DFF}"/>
            </c:ext>
          </c:extLst>
        </c:ser>
        <c:ser>
          <c:idx val="1"/>
          <c:order val="1"/>
          <c:tx>
            <c:strRef>
              <c:f>Hárok1!$A$17</c:f>
              <c:strCache>
                <c:ptCount val="1"/>
                <c:pt idx="0">
                  <c:v>Štátne dlhopisy (emisie - splatnosti)</c:v>
                </c:pt>
              </c:strCache>
            </c:strRef>
          </c:tx>
          <c:spPr>
            <a:solidFill>
              <a:schemeClr val="accent1"/>
            </a:solidFill>
            <a:ln>
              <a:noFill/>
            </a:ln>
            <a:effectLst/>
          </c:spPr>
          <c:invertIfNegative val="0"/>
          <c:cat>
            <c:numRef>
              <c:f>Hárok1!$B$3:$F$3</c:f>
              <c:numCache>
                <c:formatCode>General</c:formatCode>
                <c:ptCount val="5"/>
                <c:pt idx="0">
                  <c:v>2018</c:v>
                </c:pt>
                <c:pt idx="1">
                  <c:v>2019</c:v>
                </c:pt>
                <c:pt idx="2">
                  <c:v>2020</c:v>
                </c:pt>
                <c:pt idx="3">
                  <c:v>2021</c:v>
                </c:pt>
                <c:pt idx="4">
                  <c:v>2022</c:v>
                </c:pt>
              </c:numCache>
            </c:numRef>
          </c:cat>
          <c:val>
            <c:numRef>
              <c:f>Hárok1!$B$17:$F$17</c:f>
              <c:numCache>
                <c:formatCode>#\ ##0.0</c:formatCode>
                <c:ptCount val="5"/>
                <c:pt idx="0">
                  <c:v>-0.11126606256732163</c:v>
                </c:pt>
                <c:pt idx="1">
                  <c:v>2.3354080098006844</c:v>
                </c:pt>
                <c:pt idx="2">
                  <c:v>0.97801026662356394</c:v>
                </c:pt>
                <c:pt idx="3">
                  <c:v>2.0365803836488698</c:v>
                </c:pt>
                <c:pt idx="4">
                  <c:v>1.6718232347697684</c:v>
                </c:pt>
              </c:numCache>
            </c:numRef>
          </c:val>
          <c:extLst xmlns:c16r2="http://schemas.microsoft.com/office/drawing/2015/06/chart">
            <c:ext xmlns:c16="http://schemas.microsoft.com/office/drawing/2014/chart" uri="{C3380CC4-5D6E-409C-BE32-E72D297353CC}">
              <c16:uniqueId val="{00000001-13F8-49E4-8F37-4FAAA2E27DFF}"/>
            </c:ext>
          </c:extLst>
        </c:ser>
        <c:ser>
          <c:idx val="2"/>
          <c:order val="2"/>
          <c:tx>
            <c:strRef>
              <c:f>Hárok1!$A$18</c:f>
              <c:strCache>
                <c:ptCount val="1"/>
                <c:pt idx="0">
                  <c:v>ŠPP (emisie - splatnosti)</c:v>
                </c:pt>
              </c:strCache>
            </c:strRef>
          </c:tx>
          <c:spPr>
            <a:solidFill>
              <a:schemeClr val="accent1">
                <a:lumMod val="20000"/>
                <a:lumOff val="80000"/>
              </a:schemeClr>
            </a:solidFill>
            <a:ln>
              <a:noFill/>
            </a:ln>
            <a:effectLst/>
          </c:spPr>
          <c:invertIfNegative val="0"/>
          <c:cat>
            <c:numRef>
              <c:f>Hárok1!$B$3:$F$3</c:f>
              <c:numCache>
                <c:formatCode>General</c:formatCode>
                <c:ptCount val="5"/>
                <c:pt idx="0">
                  <c:v>2018</c:v>
                </c:pt>
                <c:pt idx="1">
                  <c:v>2019</c:v>
                </c:pt>
                <c:pt idx="2">
                  <c:v>2020</c:v>
                </c:pt>
                <c:pt idx="3">
                  <c:v>2021</c:v>
                </c:pt>
                <c:pt idx="4">
                  <c:v>2022</c:v>
                </c:pt>
              </c:numCache>
            </c:numRef>
          </c:cat>
          <c:val>
            <c:numRef>
              <c:f>Hárok1!$B$18:$F$18</c:f>
              <c:numCache>
                <c:formatCode>#\ ##0.0</c:formatCode>
                <c:ptCount val="5"/>
                <c:pt idx="0">
                  <c:v>0.88889592742884427</c:v>
                </c:pt>
                <c:pt idx="1">
                  <c:v>-0.83268944924306099</c:v>
                </c:pt>
                <c:pt idx="2">
                  <c:v>0.38982377111473571</c:v>
                </c:pt>
                <c:pt idx="3">
                  <c:v>-0.36898081024387397</c:v>
                </c:pt>
                <c:pt idx="4">
                  <c:v>0</c:v>
                </c:pt>
              </c:numCache>
            </c:numRef>
          </c:val>
          <c:extLst xmlns:c16r2="http://schemas.microsoft.com/office/drawing/2015/06/chart">
            <c:ext xmlns:c16="http://schemas.microsoft.com/office/drawing/2014/chart" uri="{C3380CC4-5D6E-409C-BE32-E72D297353CC}">
              <c16:uniqueId val="{00000002-13F8-49E4-8F37-4FAAA2E27DFF}"/>
            </c:ext>
          </c:extLst>
        </c:ser>
        <c:ser>
          <c:idx val="3"/>
          <c:order val="3"/>
          <c:tx>
            <c:strRef>
              <c:f>Hárok1!$A$19</c:f>
              <c:strCache>
                <c:ptCount val="1"/>
                <c:pt idx="0">
                  <c:v>Úvery (prijaté - splatené)</c:v>
                </c:pt>
              </c:strCache>
            </c:strRef>
          </c:tx>
          <c:spPr>
            <a:solidFill>
              <a:schemeClr val="bg1">
                <a:lumMod val="50000"/>
              </a:schemeClr>
            </a:solidFill>
            <a:ln>
              <a:noFill/>
            </a:ln>
            <a:effectLst/>
          </c:spPr>
          <c:invertIfNegative val="0"/>
          <c:cat>
            <c:numRef>
              <c:f>Hárok1!$B$3:$F$3</c:f>
              <c:numCache>
                <c:formatCode>General</c:formatCode>
                <c:ptCount val="5"/>
                <c:pt idx="0">
                  <c:v>2018</c:v>
                </c:pt>
                <c:pt idx="1">
                  <c:v>2019</c:v>
                </c:pt>
                <c:pt idx="2">
                  <c:v>2020</c:v>
                </c:pt>
                <c:pt idx="3">
                  <c:v>2021</c:v>
                </c:pt>
                <c:pt idx="4">
                  <c:v>2022</c:v>
                </c:pt>
              </c:numCache>
            </c:numRef>
          </c:cat>
          <c:val>
            <c:numRef>
              <c:f>Hárok1!$B$19:$F$19</c:f>
              <c:numCache>
                <c:formatCode>#\ ##0.0</c:formatCode>
                <c:ptCount val="5"/>
                <c:pt idx="0">
                  <c:v>-1.6816989391353641E-2</c:v>
                </c:pt>
                <c:pt idx="1">
                  <c:v>0.24901734001847226</c:v>
                </c:pt>
                <c:pt idx="2">
                  <c:v>-1.4764135307849318E-2</c:v>
                </c:pt>
                <c:pt idx="3">
                  <c:v>-8.2380281642867884E-2</c:v>
                </c:pt>
                <c:pt idx="4">
                  <c:v>-8.7371182863493074E-3</c:v>
                </c:pt>
              </c:numCache>
            </c:numRef>
          </c:val>
          <c:extLst xmlns:c16r2="http://schemas.microsoft.com/office/drawing/2015/06/chart">
            <c:ext xmlns:c16="http://schemas.microsoft.com/office/drawing/2014/chart" uri="{C3380CC4-5D6E-409C-BE32-E72D297353CC}">
              <c16:uniqueId val="{00000003-13F8-49E4-8F37-4FAAA2E27DFF}"/>
            </c:ext>
          </c:extLst>
        </c:ser>
        <c:dLbls>
          <c:showLegendKey val="0"/>
          <c:showVal val="0"/>
          <c:showCatName val="0"/>
          <c:showSerName val="0"/>
          <c:showPercent val="0"/>
          <c:showBubbleSize val="0"/>
        </c:dLbls>
        <c:gapWidth val="150"/>
        <c:overlap val="100"/>
        <c:axId val="478997080"/>
        <c:axId val="478997472"/>
      </c:barChart>
      <c:lineChart>
        <c:grouping val="standard"/>
        <c:varyColors val="0"/>
        <c:ser>
          <c:idx val="9"/>
          <c:order val="4"/>
          <c:tx>
            <c:strRef>
              <c:f>Hárok1!$A$15</c:f>
              <c:strCache>
                <c:ptCount val="1"/>
                <c:pt idx="0">
                  <c:v>Čistá finančná pozícia</c:v>
                </c:pt>
              </c:strCache>
            </c:strRef>
          </c:tx>
          <c:spPr>
            <a:ln w="28575" cap="rnd">
              <a:solidFill>
                <a:schemeClr val="tx1"/>
              </a:solidFill>
              <a:prstDash val="sysDash"/>
              <a:round/>
            </a:ln>
            <a:effectLst/>
          </c:spPr>
          <c:marker>
            <c:symbol val="none"/>
          </c:marker>
          <c:cat>
            <c:numRef>
              <c:f>Hárok1!$B$3:$F$3</c:f>
              <c:numCache>
                <c:formatCode>General</c:formatCode>
                <c:ptCount val="5"/>
                <c:pt idx="0">
                  <c:v>2018</c:v>
                </c:pt>
                <c:pt idx="1">
                  <c:v>2019</c:v>
                </c:pt>
                <c:pt idx="2">
                  <c:v>2020</c:v>
                </c:pt>
                <c:pt idx="3">
                  <c:v>2021</c:v>
                </c:pt>
                <c:pt idx="4">
                  <c:v>2022</c:v>
                </c:pt>
              </c:numCache>
            </c:numRef>
          </c:cat>
          <c:val>
            <c:numRef>
              <c:f>Hárok1!$B$15:$F$15</c:f>
              <c:numCache>
                <c:formatCode>#\ ##0.0</c:formatCode>
                <c:ptCount val="5"/>
                <c:pt idx="0">
                  <c:v>-0.54985045538309529</c:v>
                </c:pt>
                <c:pt idx="1">
                  <c:v>-0.35779509105426821</c:v>
                </c:pt>
                <c:pt idx="2">
                  <c:v>-0.75617010947401231</c:v>
                </c:pt>
                <c:pt idx="3">
                  <c:v>-0.28654533945869654</c:v>
                </c:pt>
                <c:pt idx="4">
                  <c:v>0.42140196393687446</c:v>
                </c:pt>
              </c:numCache>
            </c:numRef>
          </c:val>
          <c:smooth val="0"/>
          <c:extLst xmlns:c16r2="http://schemas.microsoft.com/office/drawing/2015/06/chart">
            <c:ext xmlns:c16="http://schemas.microsoft.com/office/drawing/2014/chart" uri="{C3380CC4-5D6E-409C-BE32-E72D297353CC}">
              <c16:uniqueId val="{00000004-13F8-49E4-8F37-4FAAA2E27DFF}"/>
            </c:ext>
          </c:extLst>
        </c:ser>
        <c:dLbls>
          <c:showLegendKey val="0"/>
          <c:showVal val="0"/>
          <c:showCatName val="0"/>
          <c:showSerName val="0"/>
          <c:showPercent val="0"/>
          <c:showBubbleSize val="0"/>
        </c:dLbls>
        <c:marker val="1"/>
        <c:smooth val="0"/>
        <c:axId val="478997080"/>
        <c:axId val="478997472"/>
      </c:lineChart>
      <c:catAx>
        <c:axId val="47899708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78997472"/>
        <c:crosses val="autoZero"/>
        <c:auto val="1"/>
        <c:lblAlgn val="ctr"/>
        <c:lblOffset val="100"/>
        <c:noMultiLvlLbl val="0"/>
      </c:catAx>
      <c:valAx>
        <c:axId val="478997472"/>
        <c:scaling>
          <c:orientation val="minMax"/>
          <c:max val="3"/>
          <c:min val="-3.5"/>
        </c:scaling>
        <c:delete val="0"/>
        <c:axPos val="l"/>
        <c:majorGridlines>
          <c:spPr>
            <a:ln w="9525" cap="flat" cmpd="sng" algn="ctr">
              <a:solidFill>
                <a:schemeClr val="tx1">
                  <a:lumMod val="15000"/>
                  <a:lumOff val="85000"/>
                </a:schemeClr>
              </a:solidFill>
              <a:prstDash val="sysDot"/>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78997080"/>
        <c:crosses val="autoZero"/>
        <c:crossBetween val="between"/>
        <c:majorUnit val="1"/>
      </c:valAx>
      <c:spPr>
        <a:noFill/>
        <a:ln>
          <a:noFill/>
        </a:ln>
        <a:effectLst/>
      </c:spPr>
    </c:plotArea>
    <c:legend>
      <c:legendPos val="b"/>
      <c:layout>
        <c:manualLayout>
          <c:xMode val="edge"/>
          <c:yMode val="edge"/>
          <c:x val="7.0815562117235347E-3"/>
          <c:y val="0.72986641243835548"/>
          <c:w val="0.98758557242200395"/>
          <c:h val="0.27013358756164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a:latin typeface="Arial Narrow" panose="020B0606020202030204"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4.1327423357794553E-2"/>
          <c:w val="0.88396062992125979"/>
          <c:h val="0.69315264163408141"/>
        </c:manualLayout>
      </c:layout>
      <c:lineChart>
        <c:grouping val="standard"/>
        <c:varyColors val="0"/>
        <c:ser>
          <c:idx val="0"/>
          <c:order val="0"/>
          <c:tx>
            <c:strRef>
              <c:f>'Graf 37+38'!$I$6</c:f>
              <c:strCache>
                <c:ptCount val="1"/>
                <c:pt idx="0">
                  <c:v>základný scenár</c:v>
                </c:pt>
              </c:strCache>
            </c:strRef>
          </c:tx>
          <c:spPr>
            <a:ln w="28575" cap="rnd">
              <a:solidFill>
                <a:srgbClr val="002060"/>
              </a:solidFill>
              <a:round/>
            </a:ln>
            <a:effectLst/>
          </c:spPr>
          <c:marker>
            <c:symbol val="none"/>
          </c:marker>
          <c:dLbls>
            <c:dLbl>
              <c:idx val="3"/>
              <c:layout>
                <c:manualLayout>
                  <c:x val="0"/>
                  <c:y val="3.570718979730314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90-4CB0-90CD-193C1786208B}"/>
                </c:ext>
                <c:ext xmlns:c15="http://schemas.microsoft.com/office/drawing/2012/chart" uri="{CE6537A1-D6FC-4f65-9D91-7224C49458BB}"/>
              </c:extLst>
            </c:dLbl>
            <c:dLbl>
              <c:idx val="4"/>
              <c:layout>
                <c:manualLayout>
                  <c:x val="-1.7406440382941847E-2"/>
                  <c:y val="5.3418803418803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37-4B45-962B-EE47B68AFB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'Graf 37+38'!$J$5:$M$5</c:f>
              <c:numCache>
                <c:formatCode>General</c:formatCode>
                <c:ptCount val="4"/>
                <c:pt idx="0">
                  <c:v>2019</c:v>
                </c:pt>
                <c:pt idx="1">
                  <c:v>2020</c:v>
                </c:pt>
                <c:pt idx="2">
                  <c:v>2021</c:v>
                </c:pt>
                <c:pt idx="3">
                  <c:v>2022</c:v>
                </c:pt>
              </c:numCache>
            </c:numRef>
          </c:cat>
          <c:val>
            <c:numRef>
              <c:f>'Graf 37+38'!$J$6:$M$6</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1-BD37-4B45-962B-EE47B68AFBDA}"/>
            </c:ext>
          </c:extLst>
        </c:ser>
        <c:ser>
          <c:idx val="1"/>
          <c:order val="1"/>
          <c:tx>
            <c:strRef>
              <c:f>'Graf 37+38'!$I$7</c:f>
              <c:strCache>
                <c:ptCount val="1"/>
                <c:pt idx="0">
                  <c:v>stagnácia eurozóny</c:v>
                </c:pt>
              </c:strCache>
            </c:strRef>
          </c:tx>
          <c:spPr>
            <a:ln w="28575" cap="rnd">
              <a:solidFill>
                <a:schemeClr val="bg1">
                  <a:lumMod val="65000"/>
                </a:schemeClr>
              </a:solidFill>
              <a:round/>
            </a:ln>
            <a:effectLst/>
          </c:spPr>
          <c:marker>
            <c:symbol val="none"/>
          </c:marker>
          <c:dLbls>
            <c:dLbl>
              <c:idx val="3"/>
              <c:layout>
                <c:manualLayout>
                  <c:x val="-1.30548302872062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90-4CB0-90CD-193C1786208B}"/>
                </c:ext>
                <c:ext xmlns:c15="http://schemas.microsoft.com/office/drawing/2012/chart" uri="{CE6537A1-D6FC-4f65-9D91-7224C49458BB}"/>
              </c:extLst>
            </c:dLbl>
            <c:dLbl>
              <c:idx val="4"/>
              <c:layout>
                <c:manualLayout>
                  <c:x val="-3.4812880765883535E-2"/>
                  <c:y val="3.20512820512820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37-4B45-962B-EE47B68AFB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37+38'!$J$5:$M$5</c:f>
              <c:numCache>
                <c:formatCode>General</c:formatCode>
                <c:ptCount val="4"/>
                <c:pt idx="0">
                  <c:v>2019</c:v>
                </c:pt>
                <c:pt idx="1">
                  <c:v>2020</c:v>
                </c:pt>
                <c:pt idx="2">
                  <c:v>2021</c:v>
                </c:pt>
                <c:pt idx="3">
                  <c:v>2022</c:v>
                </c:pt>
              </c:numCache>
            </c:numRef>
          </c:cat>
          <c:val>
            <c:numRef>
              <c:f>'Graf 37+38'!$J$7:$M$7</c:f>
              <c:numCache>
                <c:formatCode>0.0</c:formatCode>
                <c:ptCount val="4"/>
                <c:pt idx="0">
                  <c:v>-9.7974075886942402E-2</c:v>
                </c:pt>
                <c:pt idx="1">
                  <c:v>-0.10871825000182744</c:v>
                </c:pt>
                <c:pt idx="2">
                  <c:v>-9.1733865564818967E-2</c:v>
                </c:pt>
                <c:pt idx="3">
                  <c:v>-8.8108626894257108E-2</c:v>
                </c:pt>
              </c:numCache>
            </c:numRef>
          </c:val>
          <c:smooth val="0"/>
          <c:extLst xmlns:c16r2="http://schemas.microsoft.com/office/drawing/2015/06/chart">
            <c:ext xmlns:c16="http://schemas.microsoft.com/office/drawing/2014/chart" uri="{C3380CC4-5D6E-409C-BE32-E72D297353CC}">
              <c16:uniqueId val="{00000003-BD37-4B45-962B-EE47B68AFBDA}"/>
            </c:ext>
          </c:extLst>
        </c:ser>
        <c:ser>
          <c:idx val="2"/>
          <c:order val="2"/>
          <c:tx>
            <c:strRef>
              <c:f>'Graf 37+38'!$I$8</c:f>
              <c:strCache>
                <c:ptCount val="1"/>
                <c:pt idx="0">
                  <c:v>tvrdý brexit</c:v>
                </c:pt>
              </c:strCache>
            </c:strRef>
          </c:tx>
          <c:spPr>
            <a:ln w="28575" cap="rnd">
              <a:solidFill>
                <a:schemeClr val="bg1">
                  <a:lumMod val="65000"/>
                </a:schemeClr>
              </a:solidFill>
              <a:prstDash val="dash"/>
              <a:round/>
            </a:ln>
            <a:effectLst/>
          </c:spPr>
          <c:marker>
            <c:symbol val="none"/>
          </c:marker>
          <c:dLbls>
            <c:dLbl>
              <c:idx val="3"/>
              <c:layout>
                <c:manualLayout>
                  <c:x val="-2.1758050478677109E-2"/>
                  <c:y val="1.7853594898651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90-4CB0-90CD-193C1786208B}"/>
                </c:ext>
                <c:ext xmlns:c15="http://schemas.microsoft.com/office/drawing/2012/chart" uri="{CE6537A1-D6FC-4f65-9D91-7224C49458BB}"/>
              </c:extLst>
            </c:dLbl>
            <c:dLbl>
              <c:idx val="4"/>
              <c:layout>
                <c:manualLayout>
                  <c:x val="-3.7320024944662758E-2"/>
                  <c:y val="4.8770526280368799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37-4B45-962B-EE47B68AFBD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37+38'!$J$5:$M$5</c:f>
              <c:numCache>
                <c:formatCode>General</c:formatCode>
                <c:ptCount val="4"/>
                <c:pt idx="0">
                  <c:v>2019</c:v>
                </c:pt>
                <c:pt idx="1">
                  <c:v>2020</c:v>
                </c:pt>
                <c:pt idx="2">
                  <c:v>2021</c:v>
                </c:pt>
                <c:pt idx="3">
                  <c:v>2022</c:v>
                </c:pt>
              </c:numCache>
            </c:numRef>
          </c:cat>
          <c:val>
            <c:numRef>
              <c:f>'Graf 37+38'!$J$8:$M$8</c:f>
              <c:numCache>
                <c:formatCode>0.0</c:formatCode>
                <c:ptCount val="4"/>
                <c:pt idx="0">
                  <c:v>-0.14463136679130262</c:v>
                </c:pt>
                <c:pt idx="1">
                  <c:v>-0.20755243363668013</c:v>
                </c:pt>
                <c:pt idx="2">
                  <c:v>-0.22179259709201848</c:v>
                </c:pt>
                <c:pt idx="3">
                  <c:v>-0.24724629153909172</c:v>
                </c:pt>
              </c:numCache>
            </c:numRef>
          </c:val>
          <c:smooth val="0"/>
          <c:extLst xmlns:c16r2="http://schemas.microsoft.com/office/drawing/2015/06/chart">
            <c:ext xmlns:c16="http://schemas.microsoft.com/office/drawing/2014/chart" uri="{C3380CC4-5D6E-409C-BE32-E72D297353CC}">
              <c16:uniqueId val="{00000005-BD37-4B45-962B-EE47B68AFBDA}"/>
            </c:ext>
          </c:extLst>
        </c:ser>
        <c:ser>
          <c:idx val="3"/>
          <c:order val="3"/>
          <c:tx>
            <c:strRef>
              <c:f>'Graf 37+38'!$I$9</c:f>
              <c:strCache>
                <c:ptCount val="1"/>
                <c:pt idx="0">
                  <c:v>zvýšenie amerických ciel</c:v>
                </c:pt>
              </c:strCache>
            </c:strRef>
          </c:tx>
          <c:spPr>
            <a:ln w="28575" cap="rnd">
              <a:solidFill>
                <a:schemeClr val="bg1">
                  <a:lumMod val="50000"/>
                </a:schemeClr>
              </a:solidFill>
              <a:prstDash val="sysDot"/>
              <a:round/>
            </a:ln>
            <a:effectLst/>
          </c:spPr>
          <c:marker>
            <c:symbol val="none"/>
          </c:marker>
          <c:dLbls>
            <c:dLbl>
              <c:idx val="4"/>
              <c:layout>
                <c:manualLayout>
                  <c:x val="-3.2637075718015669E-2"/>
                  <c:y val="-1.0683760683760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D37-4B45-962B-EE47B68AFBDA}"/>
                </c:ext>
                <c:ext xmlns:c15="http://schemas.microsoft.com/office/drawing/2012/chart" uri="{CE6537A1-D6FC-4f65-9D91-7224C49458BB}">
                  <c15:layout>
                    <c:manualLayout>
                      <c:w val="8.8620368276419753E-2"/>
                      <c:h val="7.470640689144625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37+38'!$J$5:$M$5</c:f>
              <c:numCache>
                <c:formatCode>General</c:formatCode>
                <c:ptCount val="4"/>
                <c:pt idx="0">
                  <c:v>2019</c:v>
                </c:pt>
                <c:pt idx="1">
                  <c:v>2020</c:v>
                </c:pt>
                <c:pt idx="2">
                  <c:v>2021</c:v>
                </c:pt>
                <c:pt idx="3">
                  <c:v>2022</c:v>
                </c:pt>
              </c:numCache>
            </c:numRef>
          </c:cat>
          <c:val>
            <c:numRef>
              <c:f>'Graf 37+38'!$J$9:$M$9</c:f>
              <c:numCache>
                <c:formatCode>0.0</c:formatCode>
                <c:ptCount val="4"/>
                <c:pt idx="0">
                  <c:v>-0.10827924886279461</c:v>
                </c:pt>
                <c:pt idx="1">
                  <c:v>-0.17529905271001864</c:v>
                </c:pt>
                <c:pt idx="2">
                  <c:v>-0.10761070226035263</c:v>
                </c:pt>
                <c:pt idx="3">
                  <c:v>-7.4256506684738946E-2</c:v>
                </c:pt>
              </c:numCache>
            </c:numRef>
          </c:val>
          <c:smooth val="0"/>
          <c:extLst xmlns:c16r2="http://schemas.microsoft.com/office/drawing/2015/06/chart">
            <c:ext xmlns:c16="http://schemas.microsoft.com/office/drawing/2014/chart" uri="{C3380CC4-5D6E-409C-BE32-E72D297353CC}">
              <c16:uniqueId val="{00000008-BD37-4B45-962B-EE47B68AFBDA}"/>
            </c:ext>
          </c:extLst>
        </c:ser>
        <c:dLbls>
          <c:showLegendKey val="0"/>
          <c:showVal val="0"/>
          <c:showCatName val="0"/>
          <c:showSerName val="0"/>
          <c:showPercent val="0"/>
          <c:showBubbleSize val="0"/>
        </c:dLbls>
        <c:smooth val="0"/>
        <c:axId val="478998256"/>
        <c:axId val="478998648"/>
      </c:lineChart>
      <c:catAx>
        <c:axId val="47899825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8998648"/>
        <c:crosses val="autoZero"/>
        <c:auto val="1"/>
        <c:lblAlgn val="ctr"/>
        <c:lblOffset val="100"/>
        <c:noMultiLvlLbl val="0"/>
      </c:catAx>
      <c:valAx>
        <c:axId val="478998648"/>
        <c:scaling>
          <c:orientation val="minMax"/>
          <c:max val="0.1"/>
          <c:min val="-0.30000000000000004"/>
        </c:scaling>
        <c:delete val="0"/>
        <c:axPos val="l"/>
        <c:majorGridlines>
          <c:spPr>
            <a:ln w="9525" cap="flat" cmpd="sng" algn="ctr">
              <a:solidFill>
                <a:schemeClr val="bg1">
                  <a:lumMod val="85000"/>
                </a:schemeClr>
              </a:solidFill>
              <a:prstDash val="dash"/>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8998256"/>
        <c:crosses val="autoZero"/>
        <c:crossBetween val="between"/>
        <c:majorUnit val="0.1"/>
      </c:valAx>
      <c:spPr>
        <a:noFill/>
        <a:ln>
          <a:noFill/>
        </a:ln>
        <a:effectLst/>
      </c:spPr>
    </c:plotArea>
    <c:legend>
      <c:legendPos val="b"/>
      <c:layout>
        <c:manualLayout>
          <c:xMode val="edge"/>
          <c:yMode val="edge"/>
          <c:x val="0"/>
          <c:y val="0.83556511705386682"/>
          <c:w val="1"/>
          <c:h val="0.164434854297059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83814523184598E-2"/>
          <c:y val="3.8379702537182855E-2"/>
          <c:w val="0.88396062992125979"/>
          <c:h val="0.66577286397045066"/>
        </c:manualLayout>
      </c:layout>
      <c:lineChart>
        <c:grouping val="standard"/>
        <c:varyColors val="0"/>
        <c:ser>
          <c:idx val="0"/>
          <c:order val="0"/>
          <c:tx>
            <c:strRef>
              <c:f>'Graf 37+38'!$I$24</c:f>
              <c:strCache>
                <c:ptCount val="1"/>
                <c:pt idx="0">
                  <c:v>základný scenár</c:v>
                </c:pt>
              </c:strCache>
            </c:strRef>
          </c:tx>
          <c:spPr>
            <a:ln w="28575" cap="rnd">
              <a:solidFill>
                <a:srgbClr val="002060"/>
              </a:solidFill>
              <a:round/>
            </a:ln>
            <a:effectLst/>
          </c:spPr>
          <c:marker>
            <c:symbol val="none"/>
          </c:marker>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BF-4E97-89B4-10DE28AC7A8E}"/>
                </c:ext>
                <c:ext xmlns:c15="http://schemas.microsoft.com/office/drawing/2012/chart" uri="{CE6537A1-D6FC-4f65-9D91-7224C49458BB}"/>
              </c:extLst>
            </c:dLbl>
            <c:dLbl>
              <c:idx val="4"/>
              <c:layout>
                <c:manualLayout>
                  <c:x val="-2.508885636629730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DB-44B1-AE4C-A6D65573CC3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37+38'!$J$23:$M$23</c:f>
              <c:numCache>
                <c:formatCode>General</c:formatCode>
                <c:ptCount val="4"/>
                <c:pt idx="0">
                  <c:v>2019</c:v>
                </c:pt>
                <c:pt idx="1">
                  <c:v>2020</c:v>
                </c:pt>
                <c:pt idx="2">
                  <c:v>2021</c:v>
                </c:pt>
                <c:pt idx="3">
                  <c:v>2022</c:v>
                </c:pt>
              </c:numCache>
            </c:numRef>
          </c:cat>
          <c:val>
            <c:numRef>
              <c:f>'Graf 37+38'!$J$24:$M$24</c:f>
              <c:numCache>
                <c:formatCode>0.0</c:formatCode>
                <c:ptCount val="4"/>
                <c:pt idx="0">
                  <c:v>47.503823136679706</c:v>
                </c:pt>
                <c:pt idx="1">
                  <c:v>45.927688290999654</c:v>
                </c:pt>
                <c:pt idx="2">
                  <c:v>44.922294246593466</c:v>
                </c:pt>
                <c:pt idx="3">
                  <c:v>44.371490487738306</c:v>
                </c:pt>
              </c:numCache>
            </c:numRef>
          </c:val>
          <c:smooth val="0"/>
          <c:extLst xmlns:c16r2="http://schemas.microsoft.com/office/drawing/2015/06/chart">
            <c:ext xmlns:c16="http://schemas.microsoft.com/office/drawing/2014/chart" uri="{C3380CC4-5D6E-409C-BE32-E72D297353CC}">
              <c16:uniqueId val="{00000001-44DB-44B1-AE4C-A6D65573CC35}"/>
            </c:ext>
          </c:extLst>
        </c:ser>
        <c:ser>
          <c:idx val="1"/>
          <c:order val="1"/>
          <c:tx>
            <c:strRef>
              <c:f>'Graf 37+38'!$I$25</c:f>
              <c:strCache>
                <c:ptCount val="1"/>
                <c:pt idx="0">
                  <c:v>stagnácia eurozóny</c:v>
                </c:pt>
              </c:strCache>
            </c:strRef>
          </c:tx>
          <c:spPr>
            <a:ln w="28575" cap="rnd">
              <a:solidFill>
                <a:schemeClr val="bg1">
                  <a:lumMod val="65000"/>
                </a:schemeClr>
              </a:solidFill>
              <a:round/>
            </a:ln>
            <a:effectLst/>
          </c:spPr>
          <c:marker>
            <c:symbol val="none"/>
          </c:marker>
          <c:dLbls>
            <c:dLbl>
              <c:idx val="4"/>
              <c:layout>
                <c:manualLayout>
                  <c:x val="-1.672590424419835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DB-44B1-AE4C-A6D65573CC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37+38'!$J$23:$M$23</c:f>
              <c:numCache>
                <c:formatCode>General</c:formatCode>
                <c:ptCount val="4"/>
                <c:pt idx="0">
                  <c:v>2019</c:v>
                </c:pt>
                <c:pt idx="1">
                  <c:v>2020</c:v>
                </c:pt>
                <c:pt idx="2">
                  <c:v>2021</c:v>
                </c:pt>
                <c:pt idx="3">
                  <c:v>2022</c:v>
                </c:pt>
              </c:numCache>
            </c:numRef>
          </c:cat>
          <c:val>
            <c:numRef>
              <c:f>'Graf 37+38'!$J$25:$M$25</c:f>
              <c:numCache>
                <c:formatCode>0.0</c:formatCode>
                <c:ptCount val="4"/>
                <c:pt idx="0">
                  <c:v>47.872455410735213</c:v>
                </c:pt>
                <c:pt idx="1">
                  <c:v>46.490857930099274</c:v>
                </c:pt>
                <c:pt idx="2">
                  <c:v>45.563293462812595</c:v>
                </c:pt>
                <c:pt idx="3">
                  <c:v>45.087370972505582</c:v>
                </c:pt>
              </c:numCache>
            </c:numRef>
          </c:val>
          <c:smooth val="0"/>
          <c:extLst xmlns:c16r2="http://schemas.microsoft.com/office/drawing/2015/06/chart">
            <c:ext xmlns:c16="http://schemas.microsoft.com/office/drawing/2014/chart" uri="{C3380CC4-5D6E-409C-BE32-E72D297353CC}">
              <c16:uniqueId val="{00000004-44DB-44B1-AE4C-A6D65573CC35}"/>
            </c:ext>
          </c:extLst>
        </c:ser>
        <c:ser>
          <c:idx val="2"/>
          <c:order val="2"/>
          <c:tx>
            <c:strRef>
              <c:f>'Graf 37+38'!$I$26</c:f>
              <c:strCache>
                <c:ptCount val="1"/>
                <c:pt idx="0">
                  <c:v>tvrdý brexit</c:v>
                </c:pt>
              </c:strCache>
            </c:strRef>
          </c:tx>
          <c:spPr>
            <a:ln w="28575" cap="rnd">
              <a:solidFill>
                <a:schemeClr val="bg1">
                  <a:lumMod val="65000"/>
                </a:schemeClr>
              </a:solidFill>
              <a:prstDash val="dash"/>
              <a:round/>
            </a:ln>
            <a:effectLst/>
          </c:spPr>
          <c:marker>
            <c:symbol val="none"/>
          </c:marker>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BF-4E97-89B4-10DE28AC7A8E}"/>
                </c:ext>
                <c:ext xmlns:c15="http://schemas.microsoft.com/office/drawing/2012/chart" uri="{CE6537A1-D6FC-4f65-9D91-7224C49458BB}"/>
              </c:extLst>
            </c:dLbl>
            <c:dLbl>
              <c:idx val="4"/>
              <c:layout>
                <c:manualLayout>
                  <c:x val="-3.4766504072000409E-2"/>
                  <c:y val="-3.9499763325631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DB-44B1-AE4C-A6D65573CC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37+38'!$J$23:$M$23</c:f>
              <c:numCache>
                <c:formatCode>General</c:formatCode>
                <c:ptCount val="4"/>
                <c:pt idx="0">
                  <c:v>2019</c:v>
                </c:pt>
                <c:pt idx="1">
                  <c:v>2020</c:v>
                </c:pt>
                <c:pt idx="2">
                  <c:v>2021</c:v>
                </c:pt>
                <c:pt idx="3">
                  <c:v>2022</c:v>
                </c:pt>
              </c:numCache>
            </c:numRef>
          </c:cat>
          <c:val>
            <c:numRef>
              <c:f>'Graf 37+38'!$J$26:$M$26</c:f>
              <c:numCache>
                <c:formatCode>0.0</c:formatCode>
                <c:ptCount val="4"/>
                <c:pt idx="0">
                  <c:v>47.595919877304702</c:v>
                </c:pt>
                <c:pt idx="1">
                  <c:v>46.662712979103773</c:v>
                </c:pt>
                <c:pt idx="2">
                  <c:v>46.037188288612001</c:v>
                </c:pt>
                <c:pt idx="3">
                  <c:v>45.743874212246432</c:v>
                </c:pt>
              </c:numCache>
            </c:numRef>
          </c:val>
          <c:smooth val="0"/>
          <c:extLst xmlns:c16r2="http://schemas.microsoft.com/office/drawing/2015/06/chart">
            <c:ext xmlns:c16="http://schemas.microsoft.com/office/drawing/2014/chart" uri="{C3380CC4-5D6E-409C-BE32-E72D297353CC}">
              <c16:uniqueId val="{00000006-44DB-44B1-AE4C-A6D65573CC35}"/>
            </c:ext>
          </c:extLst>
        </c:ser>
        <c:ser>
          <c:idx val="3"/>
          <c:order val="3"/>
          <c:tx>
            <c:strRef>
              <c:f>'Graf 37+38'!$I$27</c:f>
              <c:strCache>
                <c:ptCount val="1"/>
                <c:pt idx="0">
                  <c:v>zvýšenie amerických ciel</c:v>
                </c:pt>
              </c:strCache>
            </c:strRef>
          </c:tx>
          <c:spPr>
            <a:ln w="28575" cap="rnd">
              <a:solidFill>
                <a:schemeClr val="bg1">
                  <a:lumMod val="50000"/>
                </a:schemeClr>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2-B3BF-4E97-89B4-10DE28AC7A8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B3BF-4E97-89B4-10DE28AC7A8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B3BF-4E97-89B4-10DE28AC7A8E}"/>
                </c:ext>
                <c:ext xmlns:c15="http://schemas.microsoft.com/office/drawing/2012/chart" uri="{CE6537A1-D6FC-4f65-9D91-7224C49458BB}"/>
              </c:extLst>
            </c:dLbl>
            <c:dLbl>
              <c:idx val="4"/>
              <c:layout>
                <c:manualLayout>
                  <c:x val="-5.00000000000001E-2"/>
                  <c:y val="2.4539877300613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DB-44B1-AE4C-A6D65573CC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37+38'!$J$23:$M$23</c:f>
              <c:numCache>
                <c:formatCode>General</c:formatCode>
                <c:ptCount val="4"/>
                <c:pt idx="0">
                  <c:v>2019</c:v>
                </c:pt>
                <c:pt idx="1">
                  <c:v>2020</c:v>
                </c:pt>
                <c:pt idx="2">
                  <c:v>2021</c:v>
                </c:pt>
                <c:pt idx="3">
                  <c:v>2022</c:v>
                </c:pt>
              </c:numCache>
            </c:numRef>
          </c:cat>
          <c:val>
            <c:numRef>
              <c:f>'Graf 37+38'!$J$27:$M$27</c:f>
              <c:numCache>
                <c:formatCode>0.0</c:formatCode>
                <c:ptCount val="4"/>
                <c:pt idx="0">
                  <c:v>47.843169693512827</c:v>
                </c:pt>
                <c:pt idx="1">
                  <c:v>46.58025706806793</c:v>
                </c:pt>
                <c:pt idx="2">
                  <c:v>45.551806980177254</c:v>
                </c:pt>
                <c:pt idx="3">
                  <c:v>45.016764184295589</c:v>
                </c:pt>
              </c:numCache>
            </c:numRef>
          </c:val>
          <c:smooth val="0"/>
          <c:extLst xmlns:c16r2="http://schemas.microsoft.com/office/drawing/2015/06/chart">
            <c:ext xmlns:c16="http://schemas.microsoft.com/office/drawing/2014/chart" uri="{C3380CC4-5D6E-409C-BE32-E72D297353CC}">
              <c16:uniqueId val="{00000008-44DB-44B1-AE4C-A6D65573CC35}"/>
            </c:ext>
          </c:extLst>
        </c:ser>
        <c:ser>
          <c:idx val="4"/>
          <c:order val="4"/>
          <c:tx>
            <c:strRef>
              <c:f>'Graf 37+38'!$I$28</c:f>
              <c:strCache>
                <c:ptCount val="1"/>
                <c:pt idx="0">
                  <c:v>dolné sankčné pásmo</c:v>
                </c:pt>
              </c:strCache>
            </c:strRef>
          </c:tx>
          <c:spPr>
            <a:ln w="28575" cap="rnd">
              <a:solidFill>
                <a:srgbClr val="FF0000"/>
              </a:solidFill>
              <a:prstDash val="solid"/>
              <a:round/>
            </a:ln>
            <a:effectLst/>
          </c:spPr>
          <c:marker>
            <c:symbol val="none"/>
          </c:marker>
          <c:cat>
            <c:numRef>
              <c:f>'Graf 37+38'!$J$23:$M$23</c:f>
              <c:numCache>
                <c:formatCode>General</c:formatCode>
                <c:ptCount val="4"/>
                <c:pt idx="0">
                  <c:v>2019</c:v>
                </c:pt>
                <c:pt idx="1">
                  <c:v>2020</c:v>
                </c:pt>
                <c:pt idx="2">
                  <c:v>2021</c:v>
                </c:pt>
                <c:pt idx="3">
                  <c:v>2022</c:v>
                </c:pt>
              </c:numCache>
            </c:numRef>
          </c:cat>
          <c:val>
            <c:numRef>
              <c:f>'Graf 37+38'!$J$28:$M$28</c:f>
              <c:numCache>
                <c:formatCode>0.0</c:formatCode>
                <c:ptCount val="4"/>
                <c:pt idx="0">
                  <c:v>48</c:v>
                </c:pt>
                <c:pt idx="1">
                  <c:v>47</c:v>
                </c:pt>
                <c:pt idx="2">
                  <c:v>46</c:v>
                </c:pt>
                <c:pt idx="3">
                  <c:v>45</c:v>
                </c:pt>
              </c:numCache>
            </c:numRef>
          </c:val>
          <c:smooth val="0"/>
          <c:extLst xmlns:c16r2="http://schemas.microsoft.com/office/drawing/2015/06/chart">
            <c:ext xmlns:c16="http://schemas.microsoft.com/office/drawing/2014/chart" uri="{C3380CC4-5D6E-409C-BE32-E72D297353CC}">
              <c16:uniqueId val="{00000005-B3BF-4E97-89B4-10DE28AC7A8E}"/>
            </c:ext>
          </c:extLst>
        </c:ser>
        <c:dLbls>
          <c:showLegendKey val="0"/>
          <c:showVal val="0"/>
          <c:showCatName val="0"/>
          <c:showSerName val="0"/>
          <c:showPercent val="0"/>
          <c:showBubbleSize val="0"/>
        </c:dLbls>
        <c:smooth val="0"/>
        <c:axId val="479002584"/>
        <c:axId val="479002976"/>
      </c:lineChart>
      <c:catAx>
        <c:axId val="47900258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9002976"/>
        <c:crosses val="autoZero"/>
        <c:auto val="1"/>
        <c:lblAlgn val="ctr"/>
        <c:lblOffset val="100"/>
        <c:noMultiLvlLbl val="0"/>
      </c:catAx>
      <c:valAx>
        <c:axId val="479002976"/>
        <c:scaling>
          <c:orientation val="minMax"/>
          <c:max val="48.5"/>
          <c:min val="44"/>
        </c:scaling>
        <c:delete val="0"/>
        <c:axPos val="l"/>
        <c:majorGridlines>
          <c:spPr>
            <a:ln w="9525" cap="flat" cmpd="sng" algn="ctr">
              <a:solidFill>
                <a:sysClr val="window" lastClr="FFFFFF">
                  <a:lumMod val="85000"/>
                </a:sysClr>
              </a:solidFill>
              <a:prstDash val="dash"/>
              <a:round/>
            </a:ln>
            <a:effectLst/>
          </c:spPr>
        </c:majorGridlines>
        <c:numFmt formatCode="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9002584"/>
        <c:crosses val="autoZero"/>
        <c:crossBetween val="between"/>
        <c:majorUnit val="1"/>
      </c:valAx>
      <c:spPr>
        <a:noFill/>
        <a:ln>
          <a:noFill/>
        </a:ln>
        <a:effectLst/>
      </c:spPr>
    </c:plotArea>
    <c:legend>
      <c:legendPos val="b"/>
      <c:layout>
        <c:manualLayout>
          <c:xMode val="edge"/>
          <c:yMode val="edge"/>
          <c:x val="1.5816227120081603E-2"/>
          <c:y val="0.79538889651471856"/>
          <c:w val="0.96751256500631333"/>
          <c:h val="0.204611103485281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85583785326856E-2"/>
          <c:y val="3.4885582814643892E-2"/>
          <c:w val="0.86853336595843023"/>
          <c:h val="0.66818669405454756"/>
        </c:manualLayout>
      </c:layout>
      <c:areaChart>
        <c:grouping val="standard"/>
        <c:varyColors val="0"/>
        <c:ser>
          <c:idx val="3"/>
          <c:order val="3"/>
          <c:tx>
            <c:strRef>
              <c:f>'Graf 39+40'!$B$11</c:f>
              <c:strCache>
                <c:ptCount val="1"/>
                <c:pt idx="0">
                  <c:v>Vysoké riziko/ High risk</c:v>
                </c:pt>
              </c:strCache>
            </c:strRef>
          </c:tx>
          <c:spPr>
            <a:solidFill>
              <a:schemeClr val="accent6"/>
            </a:solidFill>
            <a:ln>
              <a:noFill/>
            </a:ln>
            <a:effectLst/>
          </c:spPr>
          <c:cat>
            <c:numRef>
              <c:f>'Graf 39+40'!$C$5:$L$5</c:f>
              <c:numCache>
                <c:formatCode>General</c:formatCode>
                <c:ptCount val="10"/>
                <c:pt idx="1">
                  <c:v>2005</c:v>
                </c:pt>
                <c:pt idx="2">
                  <c:v>2009</c:v>
                </c:pt>
                <c:pt idx="3">
                  <c:v>2014</c:v>
                </c:pt>
                <c:pt idx="4">
                  <c:v>2016</c:v>
                </c:pt>
                <c:pt idx="5">
                  <c:v>2017</c:v>
                </c:pt>
                <c:pt idx="6" formatCode="0">
                  <c:v>2018.5</c:v>
                </c:pt>
                <c:pt idx="7" formatCode="0">
                  <c:v>2019.5</c:v>
                </c:pt>
                <c:pt idx="8" formatCode="0">
                  <c:v>2021.5</c:v>
                </c:pt>
              </c:numCache>
            </c:numRef>
          </c:cat>
          <c:val>
            <c:numRef>
              <c:f>'Graf 39+40'!$C$11:$L$11</c:f>
              <c:numCache>
                <c:formatCode>0.0</c:formatCode>
                <c:ptCount val="10"/>
                <c:pt idx="0">
                  <c:v>6</c:v>
                </c:pt>
                <c:pt idx="1">
                  <c:v>6</c:v>
                </c:pt>
                <c:pt idx="2">
                  <c:v>6</c:v>
                </c:pt>
                <c:pt idx="3">
                  <c:v>6</c:v>
                </c:pt>
                <c:pt idx="4">
                  <c:v>6</c:v>
                </c:pt>
                <c:pt idx="5">
                  <c:v>6</c:v>
                </c:pt>
                <c:pt idx="6">
                  <c:v>6</c:v>
                </c:pt>
                <c:pt idx="7">
                  <c:v>6</c:v>
                </c:pt>
                <c:pt idx="8">
                  <c:v>6</c:v>
                </c:pt>
                <c:pt idx="9">
                  <c:v>6</c:v>
                </c:pt>
              </c:numCache>
            </c:numRef>
          </c:val>
          <c:extLst xmlns:c16r2="http://schemas.microsoft.com/office/drawing/2015/06/chart">
            <c:ext xmlns:c16="http://schemas.microsoft.com/office/drawing/2014/chart" uri="{C3380CC4-5D6E-409C-BE32-E72D297353CC}">
              <c16:uniqueId val="{00000000-498E-4D79-9C8A-9310499D8B95}"/>
            </c:ext>
          </c:extLst>
        </c:ser>
        <c:ser>
          <c:idx val="2"/>
          <c:order val="4"/>
          <c:tx>
            <c:strRef>
              <c:f>'Graf 39+40'!$B$10</c:f>
              <c:strCache>
                <c:ptCount val="1"/>
                <c:pt idx="0">
                  <c:v>Stredné riziko/ Medium risk</c:v>
                </c:pt>
              </c:strCache>
            </c:strRef>
          </c:tx>
          <c:spPr>
            <a:solidFill>
              <a:srgbClr val="FFFFAF"/>
            </a:solidFill>
            <a:ln>
              <a:noFill/>
            </a:ln>
            <a:effectLst/>
          </c:spPr>
          <c:cat>
            <c:numRef>
              <c:f>'Graf 39+40'!$C$5:$L$5</c:f>
              <c:numCache>
                <c:formatCode>General</c:formatCode>
                <c:ptCount val="10"/>
                <c:pt idx="1">
                  <c:v>2005</c:v>
                </c:pt>
                <c:pt idx="2">
                  <c:v>2009</c:v>
                </c:pt>
                <c:pt idx="3">
                  <c:v>2014</c:v>
                </c:pt>
                <c:pt idx="4">
                  <c:v>2016</c:v>
                </c:pt>
                <c:pt idx="5">
                  <c:v>2017</c:v>
                </c:pt>
                <c:pt idx="6" formatCode="0">
                  <c:v>2018.5</c:v>
                </c:pt>
                <c:pt idx="7" formatCode="0">
                  <c:v>2019.5</c:v>
                </c:pt>
                <c:pt idx="8" formatCode="0">
                  <c:v>2021.5</c:v>
                </c:pt>
              </c:numCache>
            </c:numRef>
          </c:cat>
          <c:val>
            <c:numRef>
              <c:f>'Graf 39+40'!$C$10:$L$10</c:f>
              <c:numCache>
                <c:formatCode>0.0</c:formatCode>
                <c:ptCount val="10"/>
                <c:pt idx="0">
                  <c:v>2.5</c:v>
                </c:pt>
                <c:pt idx="1">
                  <c:v>2.5</c:v>
                </c:pt>
                <c:pt idx="2">
                  <c:v>2.5</c:v>
                </c:pt>
                <c:pt idx="3">
                  <c:v>2.5</c:v>
                </c:pt>
                <c:pt idx="4">
                  <c:v>2.5</c:v>
                </c:pt>
                <c:pt idx="5">
                  <c:v>2.5</c:v>
                </c:pt>
                <c:pt idx="6">
                  <c:v>2.5</c:v>
                </c:pt>
                <c:pt idx="7">
                  <c:v>2.5</c:v>
                </c:pt>
                <c:pt idx="8">
                  <c:v>2.5</c:v>
                </c:pt>
                <c:pt idx="9">
                  <c:v>2.5</c:v>
                </c:pt>
              </c:numCache>
            </c:numRef>
          </c:val>
          <c:extLst xmlns:c16r2="http://schemas.microsoft.com/office/drawing/2015/06/chart">
            <c:ext xmlns:c16="http://schemas.microsoft.com/office/drawing/2014/chart" uri="{C3380CC4-5D6E-409C-BE32-E72D297353CC}">
              <c16:uniqueId val="{00000001-498E-4D79-9C8A-9310499D8B95}"/>
            </c:ext>
          </c:extLst>
        </c:ser>
        <c:ser>
          <c:idx val="1"/>
          <c:order val="5"/>
          <c:tx>
            <c:strRef>
              <c:f>'Graf 39+40'!$B$9</c:f>
              <c:strCache>
                <c:ptCount val="1"/>
                <c:pt idx="0">
                  <c:v>Nízke riziko/ Low risk</c:v>
                </c:pt>
              </c:strCache>
            </c:strRef>
          </c:tx>
          <c:spPr>
            <a:solidFill>
              <a:schemeClr val="accent3"/>
            </a:solidFill>
            <a:ln>
              <a:noFill/>
            </a:ln>
            <a:effectLst/>
          </c:spPr>
          <c:cat>
            <c:numRef>
              <c:f>'Graf 39+40'!$C$5:$L$5</c:f>
              <c:numCache>
                <c:formatCode>General</c:formatCode>
                <c:ptCount val="10"/>
                <c:pt idx="1">
                  <c:v>2005</c:v>
                </c:pt>
                <c:pt idx="2">
                  <c:v>2009</c:v>
                </c:pt>
                <c:pt idx="3">
                  <c:v>2014</c:v>
                </c:pt>
                <c:pt idx="4">
                  <c:v>2016</c:v>
                </c:pt>
                <c:pt idx="5">
                  <c:v>2017</c:v>
                </c:pt>
                <c:pt idx="6" formatCode="0">
                  <c:v>2018.5</c:v>
                </c:pt>
                <c:pt idx="7" formatCode="0">
                  <c:v>2019.5</c:v>
                </c:pt>
                <c:pt idx="8" formatCode="0">
                  <c:v>2021.5</c:v>
                </c:pt>
              </c:numCache>
            </c:numRef>
          </c:cat>
          <c:val>
            <c:numRef>
              <c:f>'Graf 39+40'!$C$9:$L$9</c:f>
              <c:numCache>
                <c:formatCode>0.0</c:formatCode>
                <c:ptCount val="10"/>
                <c:pt idx="0">
                  <c:v>-4</c:v>
                </c:pt>
                <c:pt idx="1">
                  <c:v>-4</c:v>
                </c:pt>
                <c:pt idx="2">
                  <c:v>-4</c:v>
                </c:pt>
                <c:pt idx="3">
                  <c:v>-4</c:v>
                </c:pt>
                <c:pt idx="4">
                  <c:v>-4</c:v>
                </c:pt>
                <c:pt idx="5">
                  <c:v>-4</c:v>
                </c:pt>
                <c:pt idx="6">
                  <c:v>-4</c:v>
                </c:pt>
                <c:pt idx="7">
                  <c:v>-4</c:v>
                </c:pt>
                <c:pt idx="8">
                  <c:v>-4</c:v>
                </c:pt>
                <c:pt idx="9">
                  <c:v>-4</c:v>
                </c:pt>
              </c:numCache>
            </c:numRef>
          </c:val>
          <c:extLst xmlns:c16r2="http://schemas.microsoft.com/office/drawing/2015/06/chart">
            <c:ext xmlns:c16="http://schemas.microsoft.com/office/drawing/2014/chart" uri="{C3380CC4-5D6E-409C-BE32-E72D297353CC}">
              <c16:uniqueId val="{00000002-498E-4D79-9C8A-9310499D8B95}"/>
            </c:ext>
          </c:extLst>
        </c:ser>
        <c:dLbls>
          <c:showLegendKey val="0"/>
          <c:showVal val="0"/>
          <c:showCatName val="0"/>
          <c:showSerName val="0"/>
          <c:showPercent val="0"/>
          <c:showBubbleSize val="0"/>
        </c:dLbls>
        <c:axId val="479003760"/>
        <c:axId val="474687200"/>
      </c:areaChart>
      <c:barChart>
        <c:barDir val="col"/>
        <c:grouping val="clustered"/>
        <c:varyColors val="0"/>
        <c:ser>
          <c:idx val="0"/>
          <c:order val="0"/>
          <c:tx>
            <c:strRef>
              <c:f>'Graf 39+40'!$B$6</c:f>
              <c:strCache>
                <c:ptCount val="1"/>
                <c:pt idx="0">
                  <c:v>EK (ref. úroveň dlhu - 60 % HDP)</c:v>
                </c:pt>
              </c:strCache>
            </c:strRef>
          </c:tx>
          <c:spPr>
            <a:solidFill>
              <a:schemeClr val="tx1"/>
            </a:solidFill>
            <a:ln>
              <a:noFill/>
            </a:ln>
            <a:effectLst/>
          </c:spPr>
          <c:invertIfNegative val="0"/>
          <c:dLbls>
            <c:dLbl>
              <c:idx val="6"/>
              <c:layout>
                <c:manualLayout>
                  <c:x val="-1.7264113752837703E-2"/>
                  <c:y val="2.2356151121086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8E-4D79-9C8A-9310499D8B95}"/>
                </c:ext>
                <c:ext xmlns:c15="http://schemas.microsoft.com/office/drawing/2012/chart" uri="{CE6537A1-D6FC-4f65-9D91-7224C49458BB}"/>
              </c:extLst>
            </c:dLbl>
            <c:dLbl>
              <c:idx val="7"/>
              <c:layout>
                <c:manualLayout>
                  <c:x val="-2.39551880796637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C3-4E91-AAAB-734B30D1689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39+40'!$C$5:$L$5</c:f>
              <c:numCache>
                <c:formatCode>General</c:formatCode>
                <c:ptCount val="10"/>
                <c:pt idx="1">
                  <c:v>2005</c:v>
                </c:pt>
                <c:pt idx="2">
                  <c:v>2009</c:v>
                </c:pt>
                <c:pt idx="3">
                  <c:v>2014</c:v>
                </c:pt>
                <c:pt idx="4">
                  <c:v>2016</c:v>
                </c:pt>
                <c:pt idx="5">
                  <c:v>2017</c:v>
                </c:pt>
                <c:pt idx="6" formatCode="0">
                  <c:v>2018.5</c:v>
                </c:pt>
                <c:pt idx="7" formatCode="0">
                  <c:v>2019.5</c:v>
                </c:pt>
                <c:pt idx="8" formatCode="0">
                  <c:v>2021.5</c:v>
                </c:pt>
              </c:numCache>
            </c:numRef>
          </c:cat>
          <c:val>
            <c:numRef>
              <c:f>'Graf 39+40'!$C$6:$L$6</c:f>
              <c:numCache>
                <c:formatCode>0.0</c:formatCode>
                <c:ptCount val="10"/>
                <c:pt idx="1">
                  <c:v>1.3</c:v>
                </c:pt>
                <c:pt idx="2">
                  <c:v>5.7</c:v>
                </c:pt>
                <c:pt idx="3">
                  <c:v>2.2000000000000002</c:v>
                </c:pt>
                <c:pt idx="4">
                  <c:v>-0.7</c:v>
                </c:pt>
                <c:pt idx="5">
                  <c:v>-2.1</c:v>
                </c:pt>
                <c:pt idx="6">
                  <c:v>-2.6</c:v>
                </c:pt>
                <c:pt idx="7">
                  <c:v>-2.9</c:v>
                </c:pt>
              </c:numCache>
            </c:numRef>
          </c:val>
          <c:extLst xmlns:c16r2="http://schemas.microsoft.com/office/drawing/2015/06/chart">
            <c:ext xmlns:c16="http://schemas.microsoft.com/office/drawing/2014/chart" uri="{C3380CC4-5D6E-409C-BE32-E72D297353CC}">
              <c16:uniqueId val="{00000004-498E-4D79-9C8A-9310499D8B95}"/>
            </c:ext>
          </c:extLst>
        </c:ser>
        <c:ser>
          <c:idx val="5"/>
          <c:order val="1"/>
          <c:tx>
            <c:strRef>
              <c:f>'Graf 39+40'!$B$7</c:f>
              <c:strCache>
                <c:ptCount val="1"/>
                <c:pt idx="0">
                  <c:v>Program stability 19-22 (ref. úroveň dlhu - 60 % HDP)</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5-498E-4D79-9C8A-9310499D8B9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498E-4D79-9C8A-9310499D8B9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498E-4D79-9C8A-9310499D8B9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498E-4D79-9C8A-9310499D8B9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498E-4D79-9C8A-9310499D8B95}"/>
                </c:ext>
                <c:ext xmlns:c15="http://schemas.microsoft.com/office/drawing/2012/chart" uri="{CE6537A1-D6FC-4f65-9D91-7224C49458BB}"/>
              </c:extLst>
            </c:dLbl>
            <c:dLbl>
              <c:idx val="6"/>
              <c:layout>
                <c:manualLayout>
                  <c:x val="1.5754659271644714E-2"/>
                  <c:y val="1.67703038704425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98E-4D79-9C8A-9310499D8B95}"/>
                </c:ext>
                <c:ext xmlns:c15="http://schemas.microsoft.com/office/drawing/2012/chart" uri="{CE6537A1-D6FC-4f65-9D91-7224C49458BB}"/>
              </c:extLst>
            </c:dLbl>
            <c:dLbl>
              <c:idx val="7"/>
              <c:layout>
                <c:manualLayout>
                  <c:x val="-3.4528227505675408E-3"/>
                  <c:y val="1.118181618148622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98E-4D79-9C8A-9310499D8B95}"/>
                </c:ext>
                <c:ext xmlns:c15="http://schemas.microsoft.com/office/drawing/2012/chart" uri="{CE6537A1-D6FC-4f65-9D91-7224C49458BB}"/>
              </c:extLst>
            </c:dLbl>
            <c:dLbl>
              <c:idx val="8"/>
              <c:layout>
                <c:manualLayout>
                  <c:x val="9.7594083279748025E-17"/>
                  <c:y val="1.697230929873179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C3-4E91-AAAB-734B30D168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39+40'!$C$5:$L$5</c:f>
              <c:numCache>
                <c:formatCode>General</c:formatCode>
                <c:ptCount val="10"/>
                <c:pt idx="1">
                  <c:v>2005</c:v>
                </c:pt>
                <c:pt idx="2">
                  <c:v>2009</c:v>
                </c:pt>
                <c:pt idx="3">
                  <c:v>2014</c:v>
                </c:pt>
                <c:pt idx="4">
                  <c:v>2016</c:v>
                </c:pt>
                <c:pt idx="5">
                  <c:v>2017</c:v>
                </c:pt>
                <c:pt idx="6" formatCode="0">
                  <c:v>2018.5</c:v>
                </c:pt>
                <c:pt idx="7" formatCode="0">
                  <c:v>2019.5</c:v>
                </c:pt>
                <c:pt idx="8" formatCode="0">
                  <c:v>2021.5</c:v>
                </c:pt>
              </c:numCache>
            </c:numRef>
          </c:cat>
          <c:val>
            <c:numRef>
              <c:f>'Graf 39+40'!$C$7:$L$7</c:f>
              <c:numCache>
                <c:formatCode>General</c:formatCode>
                <c:ptCount val="10"/>
                <c:pt idx="7" formatCode="0.0">
                  <c:v>-2.5425203021861496</c:v>
                </c:pt>
                <c:pt idx="8" formatCode="0.0">
                  <c:v>-2.6180662497110907</c:v>
                </c:pt>
              </c:numCache>
            </c:numRef>
          </c:val>
          <c:extLst xmlns:c16r2="http://schemas.microsoft.com/office/drawing/2015/06/chart">
            <c:ext xmlns:c16="http://schemas.microsoft.com/office/drawing/2014/chart" uri="{C3380CC4-5D6E-409C-BE32-E72D297353CC}">
              <c16:uniqueId val="{0000000C-498E-4D79-9C8A-9310499D8B95}"/>
            </c:ext>
          </c:extLst>
        </c:ser>
        <c:dLbls>
          <c:showLegendKey val="0"/>
          <c:showVal val="0"/>
          <c:showCatName val="0"/>
          <c:showSerName val="0"/>
          <c:showPercent val="0"/>
          <c:showBubbleSize val="0"/>
        </c:dLbls>
        <c:gapWidth val="150"/>
        <c:axId val="479003760"/>
        <c:axId val="474687200"/>
      </c:barChart>
      <c:lineChart>
        <c:grouping val="standard"/>
        <c:varyColors val="0"/>
        <c:ser>
          <c:idx val="4"/>
          <c:order val="6"/>
          <c:tx>
            <c:strRef>
              <c:f>'Graf 39+40'!$B$12</c:f>
              <c:strCache>
                <c:ptCount val="1"/>
                <c:pt idx="0">
                  <c:v>Hranica</c:v>
                </c:pt>
              </c:strCache>
            </c:strRef>
          </c:tx>
          <c:spPr>
            <a:ln w="28575" cap="rnd">
              <a:solidFill>
                <a:srgbClr val="FF0000"/>
              </a:solidFill>
              <a:prstDash val="sysDot"/>
              <a:round/>
            </a:ln>
            <a:effectLst/>
          </c:spPr>
          <c:marker>
            <c:symbol val="none"/>
          </c:marker>
          <c:cat>
            <c:numRef>
              <c:f>'Graf 39+40'!$C$5:$K$5</c:f>
              <c:numCache>
                <c:formatCode>General</c:formatCode>
                <c:ptCount val="9"/>
                <c:pt idx="1">
                  <c:v>2005</c:v>
                </c:pt>
                <c:pt idx="2">
                  <c:v>2009</c:v>
                </c:pt>
                <c:pt idx="3">
                  <c:v>2014</c:v>
                </c:pt>
                <c:pt idx="4">
                  <c:v>2016</c:v>
                </c:pt>
                <c:pt idx="5">
                  <c:v>2017</c:v>
                </c:pt>
                <c:pt idx="6" formatCode="0">
                  <c:v>2018.5</c:v>
                </c:pt>
                <c:pt idx="7" formatCode="0">
                  <c:v>2019.5</c:v>
                </c:pt>
                <c:pt idx="8" formatCode="0">
                  <c:v>2021.5</c:v>
                </c:pt>
              </c:numCache>
            </c:numRef>
          </c:cat>
          <c:val>
            <c:numRef>
              <c:f>'Graf 39+40'!$C$12:$L$12</c:f>
              <c:numCache>
                <c:formatCode>0.0</c:formatCode>
                <c:ptCount val="10"/>
                <c:pt idx="0">
                  <c:v>2.5</c:v>
                </c:pt>
                <c:pt idx="1">
                  <c:v>2.5</c:v>
                </c:pt>
                <c:pt idx="2">
                  <c:v>2.5</c:v>
                </c:pt>
                <c:pt idx="3">
                  <c:v>2.5</c:v>
                </c:pt>
                <c:pt idx="4">
                  <c:v>2.5</c:v>
                </c:pt>
                <c:pt idx="5">
                  <c:v>2.5</c:v>
                </c:pt>
                <c:pt idx="6">
                  <c:v>2.5</c:v>
                </c:pt>
                <c:pt idx="7">
                  <c:v>2.5</c:v>
                </c:pt>
                <c:pt idx="8">
                  <c:v>2.5</c:v>
                </c:pt>
                <c:pt idx="9">
                  <c:v>2.5</c:v>
                </c:pt>
              </c:numCache>
            </c:numRef>
          </c:val>
          <c:smooth val="0"/>
          <c:extLst xmlns:c16r2="http://schemas.microsoft.com/office/drawing/2015/06/chart">
            <c:ext xmlns:c16="http://schemas.microsoft.com/office/drawing/2014/chart" uri="{C3380CC4-5D6E-409C-BE32-E72D297353CC}">
              <c16:uniqueId val="{0000000D-498E-4D79-9C8A-9310499D8B95}"/>
            </c:ext>
          </c:extLst>
        </c:ser>
        <c:dLbls>
          <c:showLegendKey val="0"/>
          <c:showVal val="0"/>
          <c:showCatName val="0"/>
          <c:showSerName val="0"/>
          <c:showPercent val="0"/>
          <c:showBubbleSize val="0"/>
        </c:dLbls>
        <c:marker val="1"/>
        <c:smooth val="0"/>
        <c:axId val="479003760"/>
        <c:axId val="474687200"/>
      </c:lineChart>
      <c:scatterChart>
        <c:scatterStyle val="lineMarker"/>
        <c:varyColors val="0"/>
        <c:ser>
          <c:idx val="6"/>
          <c:order val="2"/>
          <c:tx>
            <c:strRef>
              <c:f>'Graf 39+40'!$B$8</c:f>
              <c:strCache>
                <c:ptCount val="1"/>
                <c:pt idx="0">
                  <c:v>Program stability 19-22  (ref. úroveň dlhu - 40 % HDP)</c:v>
                </c:pt>
              </c:strCache>
            </c:strRef>
          </c:tx>
          <c:spPr>
            <a:ln w="25400" cap="rnd">
              <a:noFill/>
              <a:round/>
            </a:ln>
            <a:effectLst/>
          </c:spPr>
          <c:marker>
            <c:symbol val="circle"/>
            <c:size val="5"/>
            <c:spPr>
              <a:solidFill>
                <a:schemeClr val="tx2"/>
              </a:solidFill>
              <a:ln w="9525">
                <a:noFill/>
              </a:ln>
              <a:effectLst/>
            </c:spPr>
          </c:marker>
          <c:dLbls>
            <c:dLbl>
              <c:idx val="7"/>
              <c:layout>
                <c:manualLayout>
                  <c:x val="-5.3233751288142483E-3"/>
                  <c:y val="1.6972309298731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C3-4E91-AAAB-734B30D16893}"/>
                </c:ext>
                <c:ext xmlns:c15="http://schemas.microsoft.com/office/drawing/2012/chart" uri="{CE6537A1-D6FC-4f65-9D91-7224C49458BB}"/>
              </c:extLst>
            </c:dLbl>
            <c:dLbl>
              <c:idx val="8"/>
              <c:layout>
                <c:manualLayout>
                  <c:x val="-5.3233751288141512E-3"/>
                  <c:y val="1.131487286582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C3-4E91-AAAB-734B30D168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 39+40'!$C$5:$L$5</c:f>
              <c:numCache>
                <c:formatCode>General</c:formatCode>
                <c:ptCount val="10"/>
                <c:pt idx="1">
                  <c:v>2005</c:v>
                </c:pt>
                <c:pt idx="2">
                  <c:v>2009</c:v>
                </c:pt>
                <c:pt idx="3">
                  <c:v>2014</c:v>
                </c:pt>
                <c:pt idx="4">
                  <c:v>2016</c:v>
                </c:pt>
                <c:pt idx="5">
                  <c:v>2017</c:v>
                </c:pt>
                <c:pt idx="6" formatCode="0">
                  <c:v>2018.5</c:v>
                </c:pt>
                <c:pt idx="7" formatCode="0">
                  <c:v>2019.5</c:v>
                </c:pt>
                <c:pt idx="8" formatCode="0">
                  <c:v>2021.5</c:v>
                </c:pt>
              </c:numCache>
            </c:numRef>
          </c:xVal>
          <c:yVal>
            <c:numRef>
              <c:f>'Graf 39+40'!$C$8:$L$8</c:f>
              <c:numCache>
                <c:formatCode>General</c:formatCode>
                <c:ptCount val="10"/>
                <c:pt idx="7" formatCode="0.0">
                  <c:v>-0.61938896400413646</c:v>
                </c:pt>
                <c:pt idx="8" formatCode="0.0">
                  <c:v>-0.69357056965929098</c:v>
                </c:pt>
              </c:numCache>
            </c:numRef>
          </c:yVal>
          <c:smooth val="0"/>
          <c:extLst xmlns:c16r2="http://schemas.microsoft.com/office/drawing/2015/06/chart">
            <c:ext xmlns:c16="http://schemas.microsoft.com/office/drawing/2014/chart" uri="{C3380CC4-5D6E-409C-BE32-E72D297353CC}">
              <c16:uniqueId val="{0000000E-498E-4D79-9C8A-9310499D8B95}"/>
            </c:ext>
          </c:extLst>
        </c:ser>
        <c:dLbls>
          <c:showLegendKey val="0"/>
          <c:showVal val="0"/>
          <c:showCatName val="0"/>
          <c:showSerName val="0"/>
          <c:showPercent val="0"/>
          <c:showBubbleSize val="0"/>
        </c:dLbls>
        <c:axId val="474687984"/>
        <c:axId val="474687592"/>
      </c:scatterChart>
      <c:catAx>
        <c:axId val="479003760"/>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4687200"/>
        <c:crosses val="autoZero"/>
        <c:auto val="0"/>
        <c:lblAlgn val="ctr"/>
        <c:lblOffset val="100"/>
        <c:noMultiLvlLbl val="0"/>
      </c:catAx>
      <c:valAx>
        <c:axId val="474687200"/>
        <c:scaling>
          <c:orientation val="minMax"/>
          <c:max val="6"/>
          <c:min val="-4"/>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9003760"/>
        <c:crosses val="autoZero"/>
        <c:crossBetween val="between"/>
      </c:valAx>
      <c:valAx>
        <c:axId val="474687592"/>
        <c:scaling>
          <c:orientation val="minMax"/>
        </c:scaling>
        <c:delete val="1"/>
        <c:axPos val="r"/>
        <c:numFmt formatCode="General" sourceLinked="1"/>
        <c:majorTickMark val="out"/>
        <c:minorTickMark val="none"/>
        <c:tickLblPos val="nextTo"/>
        <c:crossAx val="474687984"/>
        <c:crosses val="max"/>
        <c:crossBetween val="midCat"/>
      </c:valAx>
      <c:valAx>
        <c:axId val="474687984"/>
        <c:scaling>
          <c:orientation val="minMax"/>
          <c:max val="2023.9"/>
          <c:min val="2005.1"/>
        </c:scaling>
        <c:delete val="0"/>
        <c:axPos val="t"/>
        <c:numFmt formatCode="#,##0" sourceLinked="0"/>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4687592"/>
        <c:crosses val="max"/>
        <c:crossBetween val="midCat"/>
        <c:majorUnit val="3"/>
      </c:valAx>
      <c:spPr>
        <a:noFill/>
        <a:ln>
          <a:noFill/>
        </a:ln>
        <a:effectLst/>
      </c:spPr>
    </c:plotArea>
    <c:legend>
      <c:legendPos val="b"/>
      <c:legendEntry>
        <c:idx val="0"/>
        <c:delete val="1"/>
      </c:legendEntry>
      <c:legendEntry>
        <c:idx val="1"/>
        <c:delete val="1"/>
      </c:legendEntry>
      <c:legendEntry>
        <c:idx val="2"/>
        <c:delete val="1"/>
      </c:legendEntry>
      <c:legendEntry>
        <c:idx val="5"/>
        <c:delete val="1"/>
      </c:legendEntry>
      <c:layout>
        <c:manualLayout>
          <c:xMode val="edge"/>
          <c:yMode val="edge"/>
          <c:x val="7.589685031877437E-3"/>
          <c:y val="0.7974175510669862"/>
          <c:w val="0.97791498443511005"/>
          <c:h val="0.20258244893301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50971709204782E-2"/>
          <c:y val="7.1965979718678449E-2"/>
          <c:w val="0.86677824204410148"/>
          <c:h val="0.70293041142183033"/>
        </c:manualLayout>
      </c:layout>
      <c:areaChart>
        <c:grouping val="standard"/>
        <c:varyColors val="0"/>
        <c:ser>
          <c:idx val="3"/>
          <c:order val="2"/>
          <c:tx>
            <c:strRef>
              <c:f>'Graf 39+40'!$B$34</c:f>
              <c:strCache>
                <c:ptCount val="1"/>
                <c:pt idx="0">
                  <c:v>Vysoké riziko/ High risk</c:v>
                </c:pt>
              </c:strCache>
            </c:strRef>
          </c:tx>
          <c:spPr>
            <a:blipFill>
              <a:blip xmlns:r="http://schemas.openxmlformats.org/officeDocument/2006/relationships" r:embed="rId3"/>
              <a:stretch>
                <a:fillRect/>
              </a:stretch>
            </a:blipFill>
            <a:ln>
              <a:noFill/>
            </a:ln>
            <a:effectLst/>
          </c:spPr>
          <c:cat>
            <c:numRef>
              <c:f>'Graf 39+40'!$C$29:$L$29</c:f>
              <c:numCache>
                <c:formatCode>General</c:formatCode>
                <c:ptCount val="10"/>
                <c:pt idx="1">
                  <c:v>2005</c:v>
                </c:pt>
                <c:pt idx="2">
                  <c:v>2009</c:v>
                </c:pt>
                <c:pt idx="3">
                  <c:v>2014</c:v>
                </c:pt>
                <c:pt idx="4">
                  <c:v>2016</c:v>
                </c:pt>
                <c:pt idx="5">
                  <c:v>2017</c:v>
                </c:pt>
                <c:pt idx="6" formatCode="0">
                  <c:v>2018.5</c:v>
                </c:pt>
                <c:pt idx="7" formatCode="0">
                  <c:v>2020</c:v>
                </c:pt>
                <c:pt idx="8" formatCode="0">
                  <c:v>2021.5</c:v>
                </c:pt>
              </c:numCache>
            </c:numRef>
          </c:cat>
          <c:val>
            <c:numRef>
              <c:f>'Graf 39+40'!$C$34:$L$34</c:f>
              <c:numCache>
                <c:formatCode>0.0</c:formatCode>
                <c:ptCount val="10"/>
                <c:pt idx="0">
                  <c:v>8</c:v>
                </c:pt>
                <c:pt idx="1">
                  <c:v>8</c:v>
                </c:pt>
                <c:pt idx="2">
                  <c:v>8</c:v>
                </c:pt>
                <c:pt idx="3">
                  <c:v>8</c:v>
                </c:pt>
                <c:pt idx="4">
                  <c:v>8</c:v>
                </c:pt>
                <c:pt idx="5">
                  <c:v>8</c:v>
                </c:pt>
                <c:pt idx="6">
                  <c:v>8</c:v>
                </c:pt>
                <c:pt idx="7">
                  <c:v>8</c:v>
                </c:pt>
                <c:pt idx="8">
                  <c:v>8</c:v>
                </c:pt>
                <c:pt idx="9">
                  <c:v>8</c:v>
                </c:pt>
              </c:numCache>
            </c:numRef>
          </c:val>
          <c:extLst xmlns:c16r2="http://schemas.microsoft.com/office/drawing/2015/06/chart">
            <c:ext xmlns:c16="http://schemas.microsoft.com/office/drawing/2014/chart" uri="{C3380CC4-5D6E-409C-BE32-E72D297353CC}">
              <c16:uniqueId val="{00000000-1104-4129-BD11-38AD28F682BE}"/>
            </c:ext>
          </c:extLst>
        </c:ser>
        <c:ser>
          <c:idx val="2"/>
          <c:order val="3"/>
          <c:tx>
            <c:strRef>
              <c:f>'Graf 39+40'!$B$33</c:f>
              <c:strCache>
                <c:ptCount val="1"/>
                <c:pt idx="0">
                  <c:v>Stredné riziko/ Medium risk</c:v>
                </c:pt>
              </c:strCache>
            </c:strRef>
          </c:tx>
          <c:spPr>
            <a:solidFill>
              <a:srgbClr val="FFFFAF"/>
            </a:solidFill>
            <a:ln>
              <a:noFill/>
            </a:ln>
            <a:effectLst/>
          </c:spPr>
          <c:cat>
            <c:numRef>
              <c:f>'Graf 39+40'!$C$29:$L$29</c:f>
              <c:numCache>
                <c:formatCode>General</c:formatCode>
                <c:ptCount val="10"/>
                <c:pt idx="1">
                  <c:v>2005</c:v>
                </c:pt>
                <c:pt idx="2">
                  <c:v>2009</c:v>
                </c:pt>
                <c:pt idx="3">
                  <c:v>2014</c:v>
                </c:pt>
                <c:pt idx="4">
                  <c:v>2016</c:v>
                </c:pt>
                <c:pt idx="5">
                  <c:v>2017</c:v>
                </c:pt>
                <c:pt idx="6" formatCode="0">
                  <c:v>2018.5</c:v>
                </c:pt>
                <c:pt idx="7" formatCode="0">
                  <c:v>2020</c:v>
                </c:pt>
                <c:pt idx="8" formatCode="0">
                  <c:v>2021.5</c:v>
                </c:pt>
              </c:numCache>
            </c:numRef>
          </c:cat>
          <c:val>
            <c:numRef>
              <c:f>'Graf 39+40'!$C$33:$L$33</c:f>
              <c:numCache>
                <c:formatCode>0.0</c:formatCode>
                <c:ptCount val="10"/>
                <c:pt idx="0">
                  <c:v>6</c:v>
                </c:pt>
                <c:pt idx="1">
                  <c:v>6</c:v>
                </c:pt>
                <c:pt idx="2">
                  <c:v>6</c:v>
                </c:pt>
                <c:pt idx="3">
                  <c:v>6</c:v>
                </c:pt>
                <c:pt idx="4">
                  <c:v>6</c:v>
                </c:pt>
                <c:pt idx="5">
                  <c:v>6</c:v>
                </c:pt>
                <c:pt idx="6">
                  <c:v>6</c:v>
                </c:pt>
                <c:pt idx="7">
                  <c:v>6</c:v>
                </c:pt>
                <c:pt idx="8">
                  <c:v>6</c:v>
                </c:pt>
                <c:pt idx="9">
                  <c:v>6</c:v>
                </c:pt>
              </c:numCache>
            </c:numRef>
          </c:val>
          <c:extLst xmlns:c16r2="http://schemas.microsoft.com/office/drawing/2015/06/chart">
            <c:ext xmlns:c16="http://schemas.microsoft.com/office/drawing/2014/chart" uri="{C3380CC4-5D6E-409C-BE32-E72D297353CC}">
              <c16:uniqueId val="{00000001-1104-4129-BD11-38AD28F682BE}"/>
            </c:ext>
          </c:extLst>
        </c:ser>
        <c:ser>
          <c:idx val="1"/>
          <c:order val="4"/>
          <c:tx>
            <c:strRef>
              <c:f>'Graf 39+40'!$B$32</c:f>
              <c:strCache>
                <c:ptCount val="1"/>
                <c:pt idx="0">
                  <c:v>Nízke riziko/ Low risk</c:v>
                </c:pt>
              </c:strCache>
            </c:strRef>
          </c:tx>
          <c:spPr>
            <a:solidFill>
              <a:schemeClr val="accent3"/>
            </a:solidFill>
            <a:ln>
              <a:noFill/>
            </a:ln>
            <a:effectLst/>
          </c:spPr>
          <c:cat>
            <c:numRef>
              <c:f>'Graf 39+40'!$C$29:$L$29</c:f>
              <c:numCache>
                <c:formatCode>General</c:formatCode>
                <c:ptCount val="10"/>
                <c:pt idx="1">
                  <c:v>2005</c:v>
                </c:pt>
                <c:pt idx="2">
                  <c:v>2009</c:v>
                </c:pt>
                <c:pt idx="3">
                  <c:v>2014</c:v>
                </c:pt>
                <c:pt idx="4">
                  <c:v>2016</c:v>
                </c:pt>
                <c:pt idx="5">
                  <c:v>2017</c:v>
                </c:pt>
                <c:pt idx="6" formatCode="0">
                  <c:v>2018.5</c:v>
                </c:pt>
                <c:pt idx="7" formatCode="0">
                  <c:v>2020</c:v>
                </c:pt>
                <c:pt idx="8" formatCode="0">
                  <c:v>2021.5</c:v>
                </c:pt>
              </c:numCache>
            </c:numRef>
          </c:cat>
          <c:val>
            <c:numRef>
              <c:f>'Graf 39+40'!$C$32:$L$32</c:f>
              <c:numCache>
                <c:formatCode>0.0</c:formatCode>
                <c:ptCount val="10"/>
                <c:pt idx="0">
                  <c:v>2</c:v>
                </c:pt>
                <c:pt idx="1">
                  <c:v>2</c:v>
                </c:pt>
                <c:pt idx="2">
                  <c:v>2</c:v>
                </c:pt>
                <c:pt idx="3">
                  <c:v>2</c:v>
                </c:pt>
                <c:pt idx="4">
                  <c:v>2</c:v>
                </c:pt>
                <c:pt idx="5">
                  <c:v>2</c:v>
                </c:pt>
                <c:pt idx="6">
                  <c:v>2</c:v>
                </c:pt>
                <c:pt idx="7">
                  <c:v>2</c:v>
                </c:pt>
                <c:pt idx="8">
                  <c:v>2</c:v>
                </c:pt>
                <c:pt idx="9">
                  <c:v>2</c:v>
                </c:pt>
              </c:numCache>
            </c:numRef>
          </c:val>
          <c:extLst xmlns:c16r2="http://schemas.microsoft.com/office/drawing/2015/06/chart">
            <c:ext xmlns:c16="http://schemas.microsoft.com/office/drawing/2014/chart" uri="{C3380CC4-5D6E-409C-BE32-E72D297353CC}">
              <c16:uniqueId val="{00000002-1104-4129-BD11-38AD28F682BE}"/>
            </c:ext>
          </c:extLst>
        </c:ser>
        <c:dLbls>
          <c:showLegendKey val="0"/>
          <c:showVal val="0"/>
          <c:showCatName val="0"/>
          <c:showSerName val="0"/>
          <c:showPercent val="0"/>
          <c:showBubbleSize val="0"/>
        </c:dLbls>
        <c:axId val="474688768"/>
        <c:axId val="477037480"/>
      </c:areaChart>
      <c:barChart>
        <c:barDir val="col"/>
        <c:grouping val="clustered"/>
        <c:varyColors val="0"/>
        <c:ser>
          <c:idx val="0"/>
          <c:order val="0"/>
          <c:tx>
            <c:strRef>
              <c:f>'Graf 39+40'!$B$30</c:f>
              <c:strCache>
                <c:ptCount val="1"/>
                <c:pt idx="0">
                  <c:v>EK</c:v>
                </c:pt>
              </c:strCache>
            </c:strRef>
          </c:tx>
          <c:spPr>
            <a:solidFill>
              <a:schemeClr val="tx1"/>
            </a:solidFill>
            <a:ln>
              <a:noFill/>
            </a:ln>
            <a:effectLst/>
          </c:spPr>
          <c:invertIfNegative val="0"/>
          <c:dLbls>
            <c:dLbl>
              <c:idx val="7"/>
              <c:layout>
                <c:manualLayout>
                  <c:x val="-1.3477649268354649E-2"/>
                  <c:y val="-1.49753115992989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54-4A34-B6FB-F27917916C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39+40'!$C$29:$L$29</c:f>
              <c:numCache>
                <c:formatCode>General</c:formatCode>
                <c:ptCount val="10"/>
                <c:pt idx="1">
                  <c:v>2005</c:v>
                </c:pt>
                <c:pt idx="2">
                  <c:v>2009</c:v>
                </c:pt>
                <c:pt idx="3">
                  <c:v>2014</c:v>
                </c:pt>
                <c:pt idx="4">
                  <c:v>2016</c:v>
                </c:pt>
                <c:pt idx="5">
                  <c:v>2017</c:v>
                </c:pt>
                <c:pt idx="6" formatCode="0">
                  <c:v>2018.5</c:v>
                </c:pt>
                <c:pt idx="7" formatCode="0">
                  <c:v>2020</c:v>
                </c:pt>
                <c:pt idx="8" formatCode="0">
                  <c:v>2021.5</c:v>
                </c:pt>
              </c:numCache>
            </c:numRef>
          </c:cat>
          <c:val>
            <c:numRef>
              <c:f>'Graf 39+40'!$C$30:$L$30</c:f>
              <c:numCache>
                <c:formatCode>0.0</c:formatCode>
                <c:ptCount val="10"/>
                <c:pt idx="1">
                  <c:v>3</c:v>
                </c:pt>
                <c:pt idx="2">
                  <c:v>7.4</c:v>
                </c:pt>
                <c:pt idx="3">
                  <c:v>6.9</c:v>
                </c:pt>
                <c:pt idx="4">
                  <c:v>3.5</c:v>
                </c:pt>
                <c:pt idx="5">
                  <c:v>2.4</c:v>
                </c:pt>
                <c:pt idx="6">
                  <c:v>2.4</c:v>
                </c:pt>
                <c:pt idx="7">
                  <c:v>2.5</c:v>
                </c:pt>
              </c:numCache>
            </c:numRef>
          </c:val>
          <c:extLst xmlns:c16r2="http://schemas.microsoft.com/office/drawing/2015/06/chart">
            <c:ext xmlns:c16="http://schemas.microsoft.com/office/drawing/2014/chart" uri="{C3380CC4-5D6E-409C-BE32-E72D297353CC}">
              <c16:uniqueId val="{00000003-1104-4129-BD11-38AD28F682BE}"/>
            </c:ext>
          </c:extLst>
        </c:ser>
        <c:ser>
          <c:idx val="5"/>
          <c:order val="1"/>
          <c:tx>
            <c:strRef>
              <c:f>'Graf 39+40'!$B$31</c:f>
              <c:strCache>
                <c:ptCount val="1"/>
                <c:pt idx="0">
                  <c:v>Program stability 19-22</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4-1104-4129-BD11-38AD28F682B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1104-4129-BD11-38AD28F682B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1104-4129-BD11-38AD28F682B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1104-4129-BD11-38AD28F682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1104-4129-BD11-38AD28F682BE}"/>
                </c:ext>
                <c:ext xmlns:c15="http://schemas.microsoft.com/office/drawing/2012/chart" uri="{CE6537A1-D6FC-4f65-9D91-7224C49458BB}"/>
              </c:extLst>
            </c:dLbl>
            <c:dLbl>
              <c:idx val="6"/>
              <c:layout>
                <c:manualLayout>
                  <c:x val="2.6512138772109228E-2"/>
                  <c:y val="2.2322684065470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04-4129-BD11-38AD28F682BE}"/>
                </c:ext>
                <c:ext xmlns:c15="http://schemas.microsoft.com/office/drawing/2012/chart" uri="{CE6537A1-D6FC-4f65-9D91-7224C49458BB}"/>
              </c:extLst>
            </c:dLbl>
            <c:dLbl>
              <c:idx val="7"/>
              <c:layout>
                <c:manualLayout>
                  <c:x val="1.4036535887449349E-3"/>
                  <c:y val="7.83486460659542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04-4129-BD11-38AD28F682BE}"/>
                </c:ext>
                <c:ext xmlns:c15="http://schemas.microsoft.com/office/drawing/2012/chart" uri="{CE6537A1-D6FC-4f65-9D91-7224C49458BB}"/>
              </c:extLst>
            </c:dLbl>
            <c:dLbl>
              <c:idx val="8"/>
              <c:layout>
                <c:manualLayout>
                  <c:x val="5.7791986617742189E-3"/>
                  <c:y val="2.2133600679344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54-4A34-B6FB-F27917916C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39+40'!$C$29:$L$29</c:f>
              <c:numCache>
                <c:formatCode>General</c:formatCode>
                <c:ptCount val="10"/>
                <c:pt idx="1">
                  <c:v>2005</c:v>
                </c:pt>
                <c:pt idx="2">
                  <c:v>2009</c:v>
                </c:pt>
                <c:pt idx="3">
                  <c:v>2014</c:v>
                </c:pt>
                <c:pt idx="4">
                  <c:v>2016</c:v>
                </c:pt>
                <c:pt idx="5">
                  <c:v>2017</c:v>
                </c:pt>
                <c:pt idx="6" formatCode="0">
                  <c:v>2018.5</c:v>
                </c:pt>
                <c:pt idx="7" formatCode="0">
                  <c:v>2020</c:v>
                </c:pt>
                <c:pt idx="8" formatCode="0">
                  <c:v>2021.5</c:v>
                </c:pt>
              </c:numCache>
            </c:numRef>
          </c:cat>
          <c:val>
            <c:numRef>
              <c:f>'Graf 39+40'!$C$31:$L$31</c:f>
              <c:numCache>
                <c:formatCode>General</c:formatCode>
                <c:ptCount val="10"/>
                <c:pt idx="7" formatCode="0.0">
                  <c:v>3.5658379529655049</c:v>
                </c:pt>
                <c:pt idx="8" formatCode="0.0">
                  <c:v>3.5006812091744299</c:v>
                </c:pt>
              </c:numCache>
            </c:numRef>
          </c:val>
          <c:extLst xmlns:c16r2="http://schemas.microsoft.com/office/drawing/2015/06/chart">
            <c:ext xmlns:c16="http://schemas.microsoft.com/office/drawing/2014/chart" uri="{C3380CC4-5D6E-409C-BE32-E72D297353CC}">
              <c16:uniqueId val="{0000000B-1104-4129-BD11-38AD28F682BE}"/>
            </c:ext>
          </c:extLst>
        </c:ser>
        <c:dLbls>
          <c:showLegendKey val="0"/>
          <c:showVal val="0"/>
          <c:showCatName val="0"/>
          <c:showSerName val="0"/>
          <c:showPercent val="0"/>
          <c:showBubbleSize val="0"/>
        </c:dLbls>
        <c:gapWidth val="150"/>
        <c:axId val="474688768"/>
        <c:axId val="477037480"/>
      </c:barChart>
      <c:lineChart>
        <c:grouping val="standard"/>
        <c:varyColors val="0"/>
        <c:ser>
          <c:idx val="4"/>
          <c:order val="5"/>
          <c:tx>
            <c:strRef>
              <c:f>'Graf 39+40'!$B$35</c:f>
              <c:strCache>
                <c:ptCount val="1"/>
                <c:pt idx="0">
                  <c:v>Borders</c:v>
                </c:pt>
              </c:strCache>
            </c:strRef>
          </c:tx>
          <c:spPr>
            <a:ln w="28575" cap="rnd">
              <a:solidFill>
                <a:srgbClr val="FF0000"/>
              </a:solidFill>
              <a:prstDash val="sysDot"/>
              <a:round/>
            </a:ln>
            <a:effectLst/>
          </c:spPr>
          <c:marker>
            <c:symbol val="none"/>
          </c:marker>
          <c:cat>
            <c:numRef>
              <c:f>'Graf 39+40'!$C$29:$K$29</c:f>
              <c:numCache>
                <c:formatCode>General</c:formatCode>
                <c:ptCount val="9"/>
                <c:pt idx="1">
                  <c:v>2005</c:v>
                </c:pt>
                <c:pt idx="2">
                  <c:v>2009</c:v>
                </c:pt>
                <c:pt idx="3">
                  <c:v>2014</c:v>
                </c:pt>
                <c:pt idx="4">
                  <c:v>2016</c:v>
                </c:pt>
                <c:pt idx="5">
                  <c:v>2017</c:v>
                </c:pt>
                <c:pt idx="6" formatCode="0">
                  <c:v>2018.5</c:v>
                </c:pt>
                <c:pt idx="7" formatCode="0">
                  <c:v>2020</c:v>
                </c:pt>
                <c:pt idx="8" formatCode="0">
                  <c:v>2021.5</c:v>
                </c:pt>
              </c:numCache>
            </c:numRef>
          </c:cat>
          <c:val>
            <c:numRef>
              <c:f>'Graf 39+40'!$C$35:$L$35</c:f>
              <c:numCache>
                <c:formatCode>0.0</c:formatCode>
                <c:ptCount val="10"/>
                <c:pt idx="0">
                  <c:v>6</c:v>
                </c:pt>
                <c:pt idx="1">
                  <c:v>6</c:v>
                </c:pt>
                <c:pt idx="2">
                  <c:v>6</c:v>
                </c:pt>
                <c:pt idx="3">
                  <c:v>6</c:v>
                </c:pt>
                <c:pt idx="4">
                  <c:v>6</c:v>
                </c:pt>
                <c:pt idx="5">
                  <c:v>6</c:v>
                </c:pt>
                <c:pt idx="6">
                  <c:v>6</c:v>
                </c:pt>
                <c:pt idx="7">
                  <c:v>6</c:v>
                </c:pt>
                <c:pt idx="8">
                  <c:v>6</c:v>
                </c:pt>
                <c:pt idx="9">
                  <c:v>6</c:v>
                </c:pt>
              </c:numCache>
            </c:numRef>
          </c:val>
          <c:smooth val="0"/>
          <c:extLst xmlns:c16r2="http://schemas.microsoft.com/office/drawing/2015/06/chart">
            <c:ext xmlns:c16="http://schemas.microsoft.com/office/drawing/2014/chart" uri="{C3380CC4-5D6E-409C-BE32-E72D297353CC}">
              <c16:uniqueId val="{0000000C-1104-4129-BD11-38AD28F682BE}"/>
            </c:ext>
          </c:extLst>
        </c:ser>
        <c:dLbls>
          <c:showLegendKey val="0"/>
          <c:showVal val="0"/>
          <c:showCatName val="0"/>
          <c:showSerName val="0"/>
          <c:showPercent val="0"/>
          <c:showBubbleSize val="0"/>
        </c:dLbls>
        <c:marker val="1"/>
        <c:smooth val="0"/>
        <c:axId val="474688768"/>
        <c:axId val="477037480"/>
      </c:lineChart>
      <c:catAx>
        <c:axId val="4746887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7037480"/>
        <c:crosses val="autoZero"/>
        <c:auto val="1"/>
        <c:lblAlgn val="ctr"/>
        <c:lblOffset val="100"/>
        <c:noMultiLvlLbl val="0"/>
      </c:catAx>
      <c:valAx>
        <c:axId val="477037480"/>
        <c:scaling>
          <c:orientation val="minMax"/>
          <c:max val="8"/>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74688768"/>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5"/>
        <c:delete val="1"/>
      </c:legendEntry>
      <c:layout>
        <c:manualLayout>
          <c:xMode val="edge"/>
          <c:yMode val="edge"/>
          <c:x val="0.18269534052893546"/>
          <c:y val="0.87447113762398931"/>
          <c:w val="0.63460931894212913"/>
          <c:h val="0.10590177699818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b="1">
          <a:latin typeface="Arial Narrow" panose="020B0606020202030204" pitchFamily="34" charset="0"/>
        </a:defRPr>
      </a:pPr>
      <a:endParaRPr lang="sk-SK"/>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638813718130024E-2"/>
          <c:y val="4.9886621315192746E-2"/>
          <c:w val="0.89484086107861782"/>
          <c:h val="0.71314857194574821"/>
        </c:manualLayout>
      </c:layout>
      <c:lineChart>
        <c:grouping val="standard"/>
        <c:varyColors val="0"/>
        <c:ser>
          <c:idx val="0"/>
          <c:order val="0"/>
          <c:tx>
            <c:strRef>
              <c:f>'Graf 45'!$B$22</c:f>
              <c:strCache>
                <c:ptCount val="1"/>
                <c:pt idx="0">
                  <c:v>SK</c:v>
                </c:pt>
              </c:strCache>
            </c:strRef>
          </c:tx>
          <c:spPr>
            <a:ln w="22225" cap="rnd">
              <a:solidFill>
                <a:schemeClr val="accent1"/>
              </a:solidFill>
              <a:round/>
            </a:ln>
            <a:effectLst/>
          </c:spPr>
          <c:marker>
            <c:symbol val="none"/>
          </c:marker>
          <c:cat>
            <c:numRef>
              <c:f>'Graf 45'!$D$21:$P$21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'Graf 45'!$D$22:$P$22</c:f>
              <c:numCache>
                <c:formatCode>#\ ##0.0</c:formatCode>
                <c:ptCount val="13"/>
                <c:pt idx="0">
                  <c:v>34.5</c:v>
                </c:pt>
                <c:pt idx="1">
                  <c:v>36.299999999999997</c:v>
                </c:pt>
                <c:pt idx="2">
                  <c:v>34.700000000000003</c:v>
                </c:pt>
                <c:pt idx="3">
                  <c:v>36.5</c:v>
                </c:pt>
                <c:pt idx="4">
                  <c:v>36.299999999999997</c:v>
                </c:pt>
                <c:pt idx="5">
                  <c:v>38.700000000000003</c:v>
                </c:pt>
                <c:pt idx="6">
                  <c:v>39.299999999999997</c:v>
                </c:pt>
                <c:pt idx="7">
                  <c:v>42.5</c:v>
                </c:pt>
                <c:pt idx="8">
                  <c:v>39.200000000000003</c:v>
                </c:pt>
                <c:pt idx="9" formatCode="0.0">
                  <c:v>39.4</c:v>
                </c:pt>
                <c:pt idx="10" formatCode="0.0">
                  <c:v>39.928860390217501</c:v>
                </c:pt>
                <c:pt idx="11" formatCode="0.0">
                  <c:v>39.065478104750419</c:v>
                </c:pt>
                <c:pt idx="12" formatCode="0.0">
                  <c:v>38.407430422461047</c:v>
                </c:pt>
              </c:numCache>
            </c:numRef>
          </c:val>
          <c:smooth val="0"/>
          <c:extLst xmlns:c16r2="http://schemas.microsoft.com/office/drawing/2015/06/chart">
            <c:ext xmlns:c16="http://schemas.microsoft.com/office/drawing/2014/chart" uri="{C3380CC4-5D6E-409C-BE32-E72D297353CC}">
              <c16:uniqueId val="{00000000-C29E-41EF-9C2D-8A914693EB75}"/>
            </c:ext>
          </c:extLst>
        </c:ser>
        <c:ser>
          <c:idx val="1"/>
          <c:order val="1"/>
          <c:tx>
            <c:strRef>
              <c:f>'Graf 45'!$B$23</c:f>
              <c:strCache>
                <c:ptCount val="1"/>
                <c:pt idx="0">
                  <c:v>EA 19</c:v>
                </c:pt>
              </c:strCache>
            </c:strRef>
          </c:tx>
          <c:spPr>
            <a:ln w="22225" cap="rnd">
              <a:solidFill>
                <a:schemeClr val="tx1"/>
              </a:solidFill>
              <a:round/>
            </a:ln>
            <a:effectLst/>
          </c:spPr>
          <c:marker>
            <c:symbol val="none"/>
          </c:marker>
          <c:cat>
            <c:numRef>
              <c:f>'Graf 45'!$D$21:$P$21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'Graf 45'!$D$23:$P$23</c:f>
              <c:numCache>
                <c:formatCode>#\ ##0.0</c:formatCode>
                <c:ptCount val="13"/>
                <c:pt idx="0">
                  <c:v>44.4</c:v>
                </c:pt>
                <c:pt idx="1">
                  <c:v>44.5</c:v>
                </c:pt>
                <c:pt idx="2">
                  <c:v>44.4</c:v>
                </c:pt>
                <c:pt idx="3">
                  <c:v>45</c:v>
                </c:pt>
                <c:pt idx="4">
                  <c:v>46.1</c:v>
                </c:pt>
                <c:pt idx="5">
                  <c:v>46.8</c:v>
                </c:pt>
                <c:pt idx="6">
                  <c:v>46.7</c:v>
                </c:pt>
                <c:pt idx="7">
                  <c:v>46.2</c:v>
                </c:pt>
                <c:pt idx="8">
                  <c:v>46</c:v>
                </c:pt>
                <c:pt idx="9">
                  <c:v>46.1</c:v>
                </c:pt>
                <c:pt idx="10">
                  <c:v>46.043802599999999</c:v>
                </c:pt>
                <c:pt idx="11">
                  <c:v>45.697643300000003</c:v>
                </c:pt>
                <c:pt idx="12">
                  <c:v>45.480719000000001</c:v>
                </c:pt>
              </c:numCache>
            </c:numRef>
          </c:val>
          <c:smooth val="0"/>
          <c:extLst xmlns:c16r2="http://schemas.microsoft.com/office/drawing/2015/06/chart">
            <c:ext xmlns:c16="http://schemas.microsoft.com/office/drawing/2014/chart" uri="{C3380CC4-5D6E-409C-BE32-E72D297353CC}">
              <c16:uniqueId val="{00000001-C29E-41EF-9C2D-8A914693EB75}"/>
            </c:ext>
          </c:extLst>
        </c:ser>
        <c:ser>
          <c:idx val="2"/>
          <c:order val="2"/>
          <c:tx>
            <c:strRef>
              <c:f>'Graf 45'!$B$24</c:f>
              <c:strCache>
                <c:ptCount val="1"/>
                <c:pt idx="0">
                  <c:v>V3</c:v>
                </c:pt>
              </c:strCache>
            </c:strRef>
          </c:tx>
          <c:spPr>
            <a:ln w="22225" cap="rnd">
              <a:solidFill>
                <a:schemeClr val="bg1">
                  <a:lumMod val="65000"/>
                </a:schemeClr>
              </a:solidFill>
              <a:round/>
            </a:ln>
            <a:effectLst/>
          </c:spPr>
          <c:marker>
            <c:symbol val="none"/>
          </c:marker>
          <c:cat>
            <c:numRef>
              <c:f>'Graf 45'!$D$21:$P$21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'Graf 45'!$D$24:$P$24</c:f>
              <c:numCache>
                <c:formatCode>#\ ##0.0</c:formatCode>
                <c:ptCount val="13"/>
                <c:pt idx="0">
                  <c:v>41.466666666666669</c:v>
                </c:pt>
                <c:pt idx="1">
                  <c:v>40.800000000000004</c:v>
                </c:pt>
                <c:pt idx="2">
                  <c:v>40.866666666666667</c:v>
                </c:pt>
                <c:pt idx="3">
                  <c:v>41.166666666666664</c:v>
                </c:pt>
                <c:pt idx="4">
                  <c:v>41.9</c:v>
                </c:pt>
                <c:pt idx="5">
                  <c:v>42.2</c:v>
                </c:pt>
                <c:pt idx="6">
                  <c:v>41.966666666666669</c:v>
                </c:pt>
                <c:pt idx="7">
                  <c:v>42.766666666666673</c:v>
                </c:pt>
                <c:pt idx="8">
                  <c:v>41.4</c:v>
                </c:pt>
                <c:pt idx="9">
                  <c:v>41.633333333333333</c:v>
                </c:pt>
                <c:pt idx="10">
                  <c:v>42.445963800000001</c:v>
                </c:pt>
                <c:pt idx="11">
                  <c:v>42.428792699999995</c:v>
                </c:pt>
                <c:pt idx="12">
                  <c:v>42.340133299999998</c:v>
                </c:pt>
              </c:numCache>
            </c:numRef>
          </c:val>
          <c:smooth val="0"/>
          <c:extLst xmlns:c16r2="http://schemas.microsoft.com/office/drawing/2015/06/chart">
            <c:ext xmlns:c16="http://schemas.microsoft.com/office/drawing/2014/chart" uri="{C3380CC4-5D6E-409C-BE32-E72D297353CC}">
              <c16:uniqueId val="{00000002-C29E-41EF-9C2D-8A914693EB75}"/>
            </c:ext>
          </c:extLst>
        </c:ser>
        <c:dLbls>
          <c:showLegendKey val="0"/>
          <c:showVal val="0"/>
          <c:showCatName val="0"/>
          <c:showSerName val="0"/>
          <c:showPercent val="0"/>
          <c:showBubbleSize val="0"/>
        </c:dLbls>
        <c:smooth val="0"/>
        <c:axId val="477038264"/>
        <c:axId val="477038656"/>
      </c:lineChart>
      <c:catAx>
        <c:axId val="47703826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038656"/>
        <c:crosses val="autoZero"/>
        <c:auto val="1"/>
        <c:lblAlgn val="ctr"/>
        <c:lblOffset val="100"/>
        <c:noMultiLvlLbl val="0"/>
      </c:catAx>
      <c:valAx>
        <c:axId val="477038656"/>
        <c:scaling>
          <c:orientation val="minMax"/>
          <c:max val="50"/>
          <c:min val="3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038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692E-2"/>
          <c:y val="8.5242482034935022E-2"/>
          <c:w val="0.89093095636884034"/>
          <c:h val="0.82106259115597957"/>
        </c:manualLayout>
      </c:layout>
      <c:barChart>
        <c:barDir val="col"/>
        <c:grouping val="stacked"/>
        <c:varyColors val="0"/>
        <c:ser>
          <c:idx val="5"/>
          <c:order val="0"/>
          <c:tx>
            <c:strRef>
              <c:f>'Graf 13+14 '!$I$4</c:f>
              <c:strCache>
                <c:ptCount val="1"/>
                <c:pt idx="0">
                  <c:v>Spotreba</c:v>
                </c:pt>
              </c:strCache>
            </c:strRef>
          </c:tx>
          <c:spPr>
            <a:solidFill>
              <a:srgbClr val="2C9ADC"/>
            </a:solidFill>
          </c:spPr>
          <c:invertIfNegative val="0"/>
          <c:cat>
            <c:strRef>
              <c:f>'Graf 13+14 '!$J$3:$O$3</c:f>
              <c:strCache>
                <c:ptCount val="6"/>
                <c:pt idx="0">
                  <c:v>2017</c:v>
                </c:pt>
                <c:pt idx="1">
                  <c:v>2018</c:v>
                </c:pt>
                <c:pt idx="2">
                  <c:v>2019F</c:v>
                </c:pt>
                <c:pt idx="3">
                  <c:v>2020F</c:v>
                </c:pt>
                <c:pt idx="4">
                  <c:v>2021F</c:v>
                </c:pt>
                <c:pt idx="5">
                  <c:v>2022F</c:v>
                </c:pt>
              </c:strCache>
            </c:strRef>
          </c:cat>
          <c:val>
            <c:numRef>
              <c:f>'Graf 13+14 '!$J$4:$O$4</c:f>
              <c:numCache>
                <c:formatCode>0.0</c:formatCode>
                <c:ptCount val="6"/>
                <c:pt idx="0">
                  <c:v>2.1232733765242178</c:v>
                </c:pt>
                <c:pt idx="1">
                  <c:v>1.8227468319050772</c:v>
                </c:pt>
                <c:pt idx="2">
                  <c:v>2.0119802660002759</c:v>
                </c:pt>
                <c:pt idx="3">
                  <c:v>1.7539027508752418</c:v>
                </c:pt>
                <c:pt idx="4">
                  <c:v>1.3042428957482484</c:v>
                </c:pt>
                <c:pt idx="5">
                  <c:v>1.0525736721904579</c:v>
                </c:pt>
              </c:numCache>
            </c:numRef>
          </c:val>
          <c:extLst xmlns:c16r2="http://schemas.microsoft.com/office/drawing/2015/06/chart">
            <c:ext xmlns:c16="http://schemas.microsoft.com/office/drawing/2014/chart" uri="{C3380CC4-5D6E-409C-BE32-E72D297353CC}">
              <c16:uniqueId val="{00000000-14E7-4408-9F07-E957EA5AF99D}"/>
            </c:ext>
          </c:extLst>
        </c:ser>
        <c:ser>
          <c:idx val="8"/>
          <c:order val="1"/>
          <c:tx>
            <c:strRef>
              <c:f>'Graf 13+14 '!$I$5</c:f>
              <c:strCache>
                <c:ptCount val="1"/>
                <c:pt idx="0">
                  <c:v>Investície</c:v>
                </c:pt>
              </c:strCache>
            </c:strRef>
          </c:tx>
          <c:spPr>
            <a:solidFill>
              <a:schemeClr val="tx2">
                <a:lumMod val="20000"/>
                <a:lumOff val="80000"/>
              </a:schemeClr>
            </a:solidFill>
            <a:ln>
              <a:noFill/>
            </a:ln>
          </c:spPr>
          <c:invertIfNegative val="0"/>
          <c:cat>
            <c:strRef>
              <c:f>'Graf 13+14 '!$J$3:$O$3</c:f>
              <c:strCache>
                <c:ptCount val="6"/>
                <c:pt idx="0">
                  <c:v>2017</c:v>
                </c:pt>
                <c:pt idx="1">
                  <c:v>2018</c:v>
                </c:pt>
                <c:pt idx="2">
                  <c:v>2019F</c:v>
                </c:pt>
                <c:pt idx="3">
                  <c:v>2020F</c:v>
                </c:pt>
                <c:pt idx="4">
                  <c:v>2021F</c:v>
                </c:pt>
                <c:pt idx="5">
                  <c:v>2022F</c:v>
                </c:pt>
              </c:strCache>
            </c:strRef>
          </c:cat>
          <c:val>
            <c:numRef>
              <c:f>'Graf 13+14 '!$J$5:$O$5</c:f>
              <c:numCache>
                <c:formatCode>0.0</c:formatCode>
                <c:ptCount val="6"/>
                <c:pt idx="0">
                  <c:v>0.74321556529473476</c:v>
                </c:pt>
                <c:pt idx="1">
                  <c:v>1.5255862954187658</c:v>
                </c:pt>
                <c:pt idx="2">
                  <c:v>0.43264894993217107</c:v>
                </c:pt>
                <c:pt idx="3">
                  <c:v>0.6432465644583969</c:v>
                </c:pt>
                <c:pt idx="4">
                  <c:v>0.66956569552568856</c:v>
                </c:pt>
                <c:pt idx="5">
                  <c:v>0.7735341149847158</c:v>
                </c:pt>
              </c:numCache>
            </c:numRef>
          </c:val>
          <c:extLst xmlns:c16r2="http://schemas.microsoft.com/office/drawing/2015/06/chart">
            <c:ext xmlns:c16="http://schemas.microsoft.com/office/drawing/2014/chart" uri="{C3380CC4-5D6E-409C-BE32-E72D297353CC}">
              <c16:uniqueId val="{00000001-14E7-4408-9F07-E957EA5AF99D}"/>
            </c:ext>
          </c:extLst>
        </c:ser>
        <c:ser>
          <c:idx val="0"/>
          <c:order val="2"/>
          <c:tx>
            <c:strRef>
              <c:f>'Graf 13+14 '!$I$6</c:f>
              <c:strCache>
                <c:ptCount val="1"/>
                <c:pt idx="0">
                  <c:v>Zásoby a diskrepancia</c:v>
                </c:pt>
              </c:strCache>
            </c:strRef>
          </c:tx>
          <c:invertIfNegative val="0"/>
          <c:cat>
            <c:strRef>
              <c:f>'Graf 13+14 '!$J$3:$O$3</c:f>
              <c:strCache>
                <c:ptCount val="6"/>
                <c:pt idx="0">
                  <c:v>2017</c:v>
                </c:pt>
                <c:pt idx="1">
                  <c:v>2018</c:v>
                </c:pt>
                <c:pt idx="2">
                  <c:v>2019F</c:v>
                </c:pt>
                <c:pt idx="3">
                  <c:v>2020F</c:v>
                </c:pt>
                <c:pt idx="4">
                  <c:v>2021F</c:v>
                </c:pt>
                <c:pt idx="5">
                  <c:v>2022F</c:v>
                </c:pt>
              </c:strCache>
            </c:strRef>
          </c:cat>
          <c:val>
            <c:numRef>
              <c:f>'Graf 13+14 '!$J$6:$O$6</c:f>
              <c:numCache>
                <c:formatCode>0.0</c:formatCode>
                <c:ptCount val="6"/>
                <c:pt idx="0">
                  <c:v>-0.60013128748615141</c:v>
                </c:pt>
                <c:pt idx="1">
                  <c:v>0.90766272976566231</c:v>
                </c:pt>
                <c:pt idx="2">
                  <c:v>0.12657336929981722</c:v>
                </c:pt>
                <c:pt idx="3">
                  <c:v>1.0782398390762671E-2</c:v>
                </c:pt>
                <c:pt idx="4">
                  <c:v>6.7157581814614176E-3</c:v>
                </c:pt>
                <c:pt idx="5">
                  <c:v>-5.0058519980137328E-3</c:v>
                </c:pt>
              </c:numCache>
            </c:numRef>
          </c:val>
          <c:extLst xmlns:c16r2="http://schemas.microsoft.com/office/drawing/2015/06/chart">
            <c:ext xmlns:c16="http://schemas.microsoft.com/office/drawing/2014/chart" uri="{C3380CC4-5D6E-409C-BE32-E72D297353CC}">
              <c16:uniqueId val="{00000002-14E7-4408-9F07-E957EA5AF99D}"/>
            </c:ext>
          </c:extLst>
        </c:ser>
        <c:ser>
          <c:idx val="1"/>
          <c:order val="3"/>
          <c:tx>
            <c:strRef>
              <c:f>'Graf 13+14 '!$I$7</c:f>
              <c:strCache>
                <c:ptCount val="1"/>
                <c:pt idx="0">
                  <c:v>Čistý export</c:v>
                </c:pt>
              </c:strCache>
            </c:strRef>
          </c:tx>
          <c:invertIfNegative val="0"/>
          <c:cat>
            <c:strRef>
              <c:f>'Graf 13+14 '!$J$3:$O$3</c:f>
              <c:strCache>
                <c:ptCount val="6"/>
                <c:pt idx="0">
                  <c:v>2017</c:v>
                </c:pt>
                <c:pt idx="1">
                  <c:v>2018</c:v>
                </c:pt>
                <c:pt idx="2">
                  <c:v>2019F</c:v>
                </c:pt>
                <c:pt idx="3">
                  <c:v>2020F</c:v>
                </c:pt>
                <c:pt idx="4">
                  <c:v>2021F</c:v>
                </c:pt>
                <c:pt idx="5">
                  <c:v>2022F</c:v>
                </c:pt>
              </c:strCache>
            </c:strRef>
          </c:cat>
          <c:val>
            <c:numRef>
              <c:f>'Graf 13+14 '!$J$7:$O$7</c:f>
              <c:numCache>
                <c:formatCode>0.0</c:formatCode>
                <c:ptCount val="6"/>
                <c:pt idx="0">
                  <c:v>0.92198340020181679</c:v>
                </c:pt>
                <c:pt idx="1">
                  <c:v>-0.13542519483237783</c:v>
                </c:pt>
                <c:pt idx="2">
                  <c:v>1.4636404382459725</c:v>
                </c:pt>
                <c:pt idx="3">
                  <c:v>1.2872287983135484</c:v>
                </c:pt>
                <c:pt idx="4">
                  <c:v>1.2090605944858113</c:v>
                </c:pt>
                <c:pt idx="5">
                  <c:v>0.68246481130369419</c:v>
                </c:pt>
              </c:numCache>
            </c:numRef>
          </c:val>
          <c:extLst xmlns:c16r2="http://schemas.microsoft.com/office/drawing/2015/06/chart">
            <c:ext xmlns:c16="http://schemas.microsoft.com/office/drawing/2014/chart" uri="{C3380CC4-5D6E-409C-BE32-E72D297353CC}">
              <c16:uniqueId val="{00000003-14E7-4408-9F07-E957EA5AF99D}"/>
            </c:ext>
          </c:extLst>
        </c:ser>
        <c:dLbls>
          <c:showLegendKey val="0"/>
          <c:showVal val="0"/>
          <c:showCatName val="0"/>
          <c:showSerName val="0"/>
          <c:showPercent val="0"/>
          <c:showBubbleSize val="0"/>
        </c:dLbls>
        <c:gapWidth val="150"/>
        <c:overlap val="100"/>
        <c:axId val="292843488"/>
        <c:axId val="292843880"/>
      </c:barChart>
      <c:lineChart>
        <c:grouping val="standard"/>
        <c:varyColors val="0"/>
        <c:ser>
          <c:idx val="2"/>
          <c:order val="4"/>
          <c:tx>
            <c:strRef>
              <c:f>'Graf 13+14 '!$I$8</c:f>
              <c:strCache>
                <c:ptCount val="1"/>
                <c:pt idx="0">
                  <c:v>HDP</c:v>
                </c:pt>
              </c:strCache>
            </c:strRef>
          </c:tx>
          <c:spPr>
            <a:ln w="19050">
              <a:solidFill>
                <a:sysClr val="windowText" lastClr="000000"/>
              </a:solidFill>
            </a:ln>
          </c:spPr>
          <c:marker>
            <c:symbol val="none"/>
          </c:marker>
          <c:cat>
            <c:strRef>
              <c:f>'Graf 13+14 '!$J$3:$O$3</c:f>
              <c:strCache>
                <c:ptCount val="6"/>
                <c:pt idx="0">
                  <c:v>2017</c:v>
                </c:pt>
                <c:pt idx="1">
                  <c:v>2018</c:v>
                </c:pt>
                <c:pt idx="2">
                  <c:v>2019F</c:v>
                </c:pt>
                <c:pt idx="3">
                  <c:v>2020F</c:v>
                </c:pt>
                <c:pt idx="4">
                  <c:v>2021F</c:v>
                </c:pt>
                <c:pt idx="5">
                  <c:v>2022F</c:v>
                </c:pt>
              </c:strCache>
            </c:strRef>
          </c:cat>
          <c:val>
            <c:numRef>
              <c:f>'Graf 13+14 '!$J$8:$O$8</c:f>
              <c:numCache>
                <c:formatCode>0.0</c:formatCode>
                <c:ptCount val="6"/>
                <c:pt idx="0">
                  <c:v>3.2</c:v>
                </c:pt>
                <c:pt idx="1">
                  <c:v>4.1205706622571379</c:v>
                </c:pt>
                <c:pt idx="2">
                  <c:v>4.0348430234782366</c:v>
                </c:pt>
                <c:pt idx="3">
                  <c:v>3.6951605120379498</c:v>
                </c:pt>
                <c:pt idx="4">
                  <c:v>3.1895849439412096</c:v>
                </c:pt>
                <c:pt idx="5">
                  <c:v>2.5035667464808542</c:v>
                </c:pt>
              </c:numCache>
            </c:numRef>
          </c:val>
          <c:smooth val="0"/>
          <c:extLst xmlns:c16r2="http://schemas.microsoft.com/office/drawing/2015/06/chart">
            <c:ext xmlns:c16="http://schemas.microsoft.com/office/drawing/2014/chart" uri="{C3380CC4-5D6E-409C-BE32-E72D297353CC}">
              <c16:uniqueId val="{00000004-14E7-4408-9F07-E957EA5AF99D}"/>
            </c:ext>
          </c:extLst>
        </c:ser>
        <c:dLbls>
          <c:showLegendKey val="0"/>
          <c:showVal val="0"/>
          <c:showCatName val="0"/>
          <c:showSerName val="0"/>
          <c:showPercent val="0"/>
          <c:showBubbleSize val="0"/>
        </c:dLbls>
        <c:marker val="1"/>
        <c:smooth val="0"/>
        <c:axId val="292843488"/>
        <c:axId val="292843880"/>
      </c:lineChart>
      <c:catAx>
        <c:axId val="292843488"/>
        <c:scaling>
          <c:orientation val="minMax"/>
        </c:scaling>
        <c:delete val="0"/>
        <c:axPos val="b"/>
        <c:numFmt formatCode="General" sourceLinked="1"/>
        <c:majorTickMark val="out"/>
        <c:minorTickMark val="none"/>
        <c:tickLblPos val="low"/>
        <c:crossAx val="292843880"/>
        <c:crosses val="autoZero"/>
        <c:auto val="1"/>
        <c:lblAlgn val="ctr"/>
        <c:lblOffset val="100"/>
        <c:noMultiLvlLbl val="0"/>
      </c:catAx>
      <c:valAx>
        <c:axId val="292843880"/>
        <c:scaling>
          <c:orientation val="minMax"/>
          <c:max val="6"/>
        </c:scaling>
        <c:delete val="0"/>
        <c:axPos val="l"/>
        <c:majorGridlines>
          <c:spPr>
            <a:ln>
              <a:solidFill>
                <a:schemeClr val="bg1">
                  <a:lumMod val="75000"/>
                </a:schemeClr>
              </a:solidFill>
              <a:prstDash val="dash"/>
            </a:ln>
          </c:spPr>
        </c:majorGridlines>
        <c:numFmt formatCode="0.0" sourceLinked="0"/>
        <c:majorTickMark val="out"/>
        <c:minorTickMark val="none"/>
        <c:tickLblPos val="nextTo"/>
        <c:crossAx val="292843488"/>
        <c:crosses val="autoZero"/>
        <c:crossBetween val="between"/>
      </c:valAx>
    </c:plotArea>
    <c:legend>
      <c:legendPos val="r"/>
      <c:layout>
        <c:manualLayout>
          <c:xMode val="edge"/>
          <c:yMode val="edge"/>
          <c:x val="0.10296641333660211"/>
          <c:y val="8.3554259320839444E-3"/>
          <c:w val="0.89363534755507856"/>
          <c:h val="0.25923175720818703"/>
        </c:manualLayout>
      </c:layout>
      <c:overlay val="0"/>
      <c:txPr>
        <a:bodyPr/>
        <a:lstStyle/>
        <a:p>
          <a:pPr>
            <a:defRPr sz="750"/>
          </a:pPr>
          <a:endParaRPr lang="sk-SK"/>
        </a:p>
      </c:txPr>
    </c:legend>
    <c:plotVisOnly val="1"/>
    <c:dispBlanksAs val="gap"/>
    <c:showDLblsOverMax val="0"/>
  </c:chart>
  <c:spPr>
    <a:ln>
      <a:noFill/>
    </a:ln>
  </c:spPr>
  <c:txPr>
    <a:bodyPr/>
    <a:lstStyle/>
    <a:p>
      <a:pPr>
        <a:defRPr sz="800">
          <a:latin typeface="Arial Narrow" pitchFamily="34" charset="0"/>
        </a:defRPr>
      </a:pPr>
      <a:endParaRPr lang="sk-SK"/>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638813718130024E-2"/>
          <c:y val="4.9886621315192746E-2"/>
          <c:w val="0.91257922028039162"/>
          <c:h val="0.86179191886728423"/>
        </c:manualLayout>
      </c:layout>
      <c:lineChart>
        <c:grouping val="standard"/>
        <c:varyColors val="0"/>
        <c:ser>
          <c:idx val="0"/>
          <c:order val="0"/>
          <c:tx>
            <c:strRef>
              <c:f>'Graf 45'!$B$22</c:f>
              <c:strCache>
                <c:ptCount val="1"/>
                <c:pt idx="0">
                  <c:v>SK</c:v>
                </c:pt>
              </c:strCache>
            </c:strRef>
          </c:tx>
          <c:spPr>
            <a:ln w="22225" cap="rnd">
              <a:solidFill>
                <a:schemeClr val="accent1"/>
              </a:solidFill>
              <a:round/>
            </a:ln>
            <a:effectLst/>
          </c:spPr>
          <c:marker>
            <c:symbol val="none"/>
          </c:marker>
          <c:cat>
            <c:numRef>
              <c:f>'Graf 45'!$V$21:$AH$21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'Graf 45'!$V$22:$AH$22</c:f>
              <c:numCache>
                <c:formatCode>#\ ##0.0</c:formatCode>
                <c:ptCount val="13"/>
                <c:pt idx="0">
                  <c:v>28.8</c:v>
                </c:pt>
                <c:pt idx="1">
                  <c:v>28.799999999999997</c:v>
                </c:pt>
                <c:pt idx="2">
                  <c:v>27.9</c:v>
                </c:pt>
                <c:pt idx="3">
                  <c:v>28.400000000000002</c:v>
                </c:pt>
                <c:pt idx="4">
                  <c:v>28.2</c:v>
                </c:pt>
                <c:pt idx="5">
                  <c:v>30.200000000000003</c:v>
                </c:pt>
                <c:pt idx="6">
                  <c:v>31</c:v>
                </c:pt>
                <c:pt idx="7">
                  <c:v>32</c:v>
                </c:pt>
                <c:pt idx="8">
                  <c:v>32.200000000000003</c:v>
                </c:pt>
                <c:pt idx="9" formatCode="0.0">
                  <c:v>33.1</c:v>
                </c:pt>
                <c:pt idx="10" formatCode="0.0">
                  <c:v>32.968921857735239</c:v>
                </c:pt>
                <c:pt idx="11" formatCode="0.0">
                  <c:v>33.030154889317295</c:v>
                </c:pt>
                <c:pt idx="12" formatCode="0.0">
                  <c:v>32.686701179335174</c:v>
                </c:pt>
              </c:numCache>
            </c:numRef>
          </c:val>
          <c:smooth val="0"/>
          <c:extLst xmlns:c16r2="http://schemas.microsoft.com/office/drawing/2015/06/chart">
            <c:ext xmlns:c16="http://schemas.microsoft.com/office/drawing/2014/chart" uri="{C3380CC4-5D6E-409C-BE32-E72D297353CC}">
              <c16:uniqueId val="{00000000-1BC5-468C-B486-EB8C06A94CAF}"/>
            </c:ext>
          </c:extLst>
        </c:ser>
        <c:ser>
          <c:idx val="1"/>
          <c:order val="1"/>
          <c:tx>
            <c:strRef>
              <c:f>'Graf 45'!$B$23</c:f>
              <c:strCache>
                <c:ptCount val="1"/>
                <c:pt idx="0">
                  <c:v>EA 19</c:v>
                </c:pt>
              </c:strCache>
            </c:strRef>
          </c:tx>
          <c:spPr>
            <a:ln w="22225" cap="rnd">
              <a:solidFill>
                <a:schemeClr val="tx1"/>
              </a:solidFill>
              <a:round/>
            </a:ln>
            <a:effectLst/>
          </c:spPr>
          <c:marker>
            <c:symbol val="none"/>
          </c:marker>
          <c:cat>
            <c:numRef>
              <c:f>'Graf 45'!$V$21:$AH$21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'Graf 45'!$V$23:$AH$23</c:f>
              <c:numCache>
                <c:formatCode>#\ ##0.0</c:formatCode>
                <c:ptCount val="13"/>
                <c:pt idx="0">
                  <c:v>39.5</c:v>
                </c:pt>
                <c:pt idx="1">
                  <c:v>39.300000000000004</c:v>
                </c:pt>
                <c:pt idx="2">
                  <c:v>39.199999999999996</c:v>
                </c:pt>
                <c:pt idx="3">
                  <c:v>39.699999999999996</c:v>
                </c:pt>
                <c:pt idx="4">
                  <c:v>40.700000000000003</c:v>
                </c:pt>
                <c:pt idx="5">
                  <c:v>41.3</c:v>
                </c:pt>
                <c:pt idx="6">
                  <c:v>41.3</c:v>
                </c:pt>
                <c:pt idx="7">
                  <c:v>41</c:v>
                </c:pt>
                <c:pt idx="8">
                  <c:v>41</c:v>
                </c:pt>
                <c:pt idx="9">
                  <c:v>41.2</c:v>
                </c:pt>
                <c:pt idx="10">
                  <c:v>41.254354799999994</c:v>
                </c:pt>
                <c:pt idx="11">
                  <c:v>40.975043800000002</c:v>
                </c:pt>
                <c:pt idx="12">
                  <c:v>40.834681500000002</c:v>
                </c:pt>
              </c:numCache>
            </c:numRef>
          </c:val>
          <c:smooth val="0"/>
          <c:extLst xmlns:c16r2="http://schemas.microsoft.com/office/drawing/2015/06/chart">
            <c:ext xmlns:c16="http://schemas.microsoft.com/office/drawing/2014/chart" uri="{C3380CC4-5D6E-409C-BE32-E72D297353CC}">
              <c16:uniqueId val="{00000001-1BC5-468C-B486-EB8C06A94CAF}"/>
            </c:ext>
          </c:extLst>
        </c:ser>
        <c:ser>
          <c:idx val="2"/>
          <c:order val="2"/>
          <c:tx>
            <c:strRef>
              <c:f>'Graf 45'!$B$24</c:f>
              <c:strCache>
                <c:ptCount val="1"/>
                <c:pt idx="0">
                  <c:v>V3</c:v>
                </c:pt>
              </c:strCache>
            </c:strRef>
          </c:tx>
          <c:spPr>
            <a:ln w="22225" cap="rnd">
              <a:solidFill>
                <a:schemeClr val="bg1">
                  <a:lumMod val="65000"/>
                </a:schemeClr>
              </a:solidFill>
              <a:round/>
            </a:ln>
            <a:effectLst/>
          </c:spPr>
          <c:marker>
            <c:symbol val="none"/>
          </c:marker>
          <c:cat>
            <c:numRef>
              <c:f>'Graf 45'!$V$21:$AH$21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'Graf 45'!$V$24:$AH$24</c:f>
              <c:numCache>
                <c:formatCode>#\ ##0.0</c:formatCode>
                <c:ptCount val="13"/>
                <c:pt idx="0">
                  <c:v>35.800000000000004</c:v>
                </c:pt>
                <c:pt idx="1">
                  <c:v>34.366666666666667</c:v>
                </c:pt>
                <c:pt idx="2">
                  <c:v>34</c:v>
                </c:pt>
                <c:pt idx="3">
                  <c:v>34.299999999999997</c:v>
                </c:pt>
                <c:pt idx="4">
                  <c:v>35.133333333333333</c:v>
                </c:pt>
                <c:pt idx="5">
                  <c:v>35.199999999999996</c:v>
                </c:pt>
                <c:pt idx="6">
                  <c:v>34.833333333333336</c:v>
                </c:pt>
                <c:pt idx="7">
                  <c:v>35.233333333333334</c:v>
                </c:pt>
                <c:pt idx="8">
                  <c:v>36.033333333333331</c:v>
                </c:pt>
                <c:pt idx="9">
                  <c:v>36.1</c:v>
                </c:pt>
                <c:pt idx="10">
                  <c:v>36.636473266666663</c:v>
                </c:pt>
                <c:pt idx="11">
                  <c:v>36.640439666666659</c:v>
                </c:pt>
                <c:pt idx="12">
                  <c:v>36.633994333333334</c:v>
                </c:pt>
              </c:numCache>
            </c:numRef>
          </c:val>
          <c:smooth val="0"/>
          <c:extLst xmlns:c16r2="http://schemas.microsoft.com/office/drawing/2015/06/chart">
            <c:ext xmlns:c16="http://schemas.microsoft.com/office/drawing/2014/chart" uri="{C3380CC4-5D6E-409C-BE32-E72D297353CC}">
              <c16:uniqueId val="{00000002-1BC5-468C-B486-EB8C06A94CAF}"/>
            </c:ext>
          </c:extLst>
        </c:ser>
        <c:dLbls>
          <c:showLegendKey val="0"/>
          <c:showVal val="0"/>
          <c:showCatName val="0"/>
          <c:showSerName val="0"/>
          <c:showPercent val="0"/>
          <c:showBubbleSize val="0"/>
        </c:dLbls>
        <c:smooth val="0"/>
        <c:axId val="477039440"/>
        <c:axId val="477039832"/>
      </c:lineChart>
      <c:catAx>
        <c:axId val="477039440"/>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039832"/>
        <c:crosses val="autoZero"/>
        <c:auto val="1"/>
        <c:lblAlgn val="ctr"/>
        <c:lblOffset val="100"/>
        <c:noMultiLvlLbl val="0"/>
      </c:catAx>
      <c:valAx>
        <c:axId val="477039832"/>
        <c:scaling>
          <c:orientation val="minMax"/>
          <c:max val="50"/>
          <c:min val="2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039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992967826778284E-2"/>
          <c:y val="5.2214376153148147E-2"/>
          <c:w val="0.75640598994498343"/>
          <c:h val="0.87620437870116163"/>
        </c:manualLayout>
      </c:layout>
      <c:barChart>
        <c:barDir val="col"/>
        <c:grouping val="stacked"/>
        <c:varyColors val="0"/>
        <c:ser>
          <c:idx val="5"/>
          <c:order val="0"/>
          <c:tx>
            <c:strRef>
              <c:f>'Graf 47'!$J$27</c:f>
              <c:strCache>
                <c:ptCount val="1"/>
                <c:pt idx="0">
                  <c:v>Sociálna poisťovňa (EAO + dlžné)</c:v>
                </c:pt>
              </c:strCache>
            </c:strRef>
          </c:tx>
          <c:spPr>
            <a:solidFill>
              <a:srgbClr val="2C9AD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47'!$L$27:$P$27</c:f>
              <c:numCache>
                <c:formatCode>0.0</c:formatCode>
                <c:ptCount val="5"/>
                <c:pt idx="0">
                  <c:v>8.7015340520351998</c:v>
                </c:pt>
                <c:pt idx="1">
                  <c:v>8.4798503391085962</c:v>
                </c:pt>
                <c:pt idx="2">
                  <c:v>8.4993551896403527</c:v>
                </c:pt>
                <c:pt idx="3">
                  <c:v>8.421290435093832</c:v>
                </c:pt>
                <c:pt idx="4">
                  <c:v>8.4319872633236095</c:v>
                </c:pt>
              </c:numCache>
            </c:numRef>
          </c:val>
          <c:extLst xmlns:c16r2="http://schemas.microsoft.com/office/drawing/2015/06/chart">
            <c:ext xmlns:c16="http://schemas.microsoft.com/office/drawing/2014/chart" uri="{C3380CC4-5D6E-409C-BE32-E72D297353CC}">
              <c16:uniqueId val="{00000000-549F-4B19-9242-7443991B704A}"/>
            </c:ext>
          </c:extLst>
        </c:ser>
        <c:ser>
          <c:idx val="8"/>
          <c:order val="1"/>
          <c:tx>
            <c:strRef>
              <c:f>'Graf 47'!$J$28</c:f>
              <c:strCache>
                <c:ptCount val="1"/>
                <c:pt idx="0">
                  <c:v>Zdravotné poisťovne (EAO + dlžné)</c:v>
                </c:pt>
              </c:strCache>
            </c:strRef>
          </c:tx>
          <c:spPr>
            <a:solidFill>
              <a:schemeClr val="tx2">
                <a:lumMod val="20000"/>
                <a:lumOff val="80000"/>
              </a:schemeClr>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47'!$L$28:$P$28</c:f>
              <c:numCache>
                <c:formatCode>0.0</c:formatCode>
                <c:ptCount val="5"/>
                <c:pt idx="0">
                  <c:v>4.0471872136503544</c:v>
                </c:pt>
                <c:pt idx="1">
                  <c:v>4.1654733048409058</c:v>
                </c:pt>
                <c:pt idx="2">
                  <c:v>4.2067439221256677</c:v>
                </c:pt>
                <c:pt idx="3">
                  <c:v>4.2191511806628963</c:v>
                </c:pt>
                <c:pt idx="4">
                  <c:v>4.2275196919659894</c:v>
                </c:pt>
              </c:numCache>
            </c:numRef>
          </c:val>
          <c:extLst xmlns:c16r2="http://schemas.microsoft.com/office/drawing/2015/06/chart">
            <c:ext xmlns:c16="http://schemas.microsoft.com/office/drawing/2014/chart" uri="{C3380CC4-5D6E-409C-BE32-E72D297353CC}">
              <c16:uniqueId val="{00000001-549F-4B19-9242-7443991B704A}"/>
            </c:ext>
          </c:extLst>
        </c:ser>
        <c:ser>
          <c:idx val="0"/>
          <c:order val="2"/>
          <c:tx>
            <c:strRef>
              <c:f>'Graf 47'!$J$20</c:f>
              <c:strCache>
                <c:ptCount val="1"/>
                <c:pt idx="0">
                  <c:v>Daň z príjmu fyzických osôb</c:v>
                </c:pt>
              </c:strCache>
            </c:strRef>
          </c:tx>
          <c:spPr>
            <a:solidFill>
              <a:srgbClr val="1F497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47'!$L$20:$P$20</c:f>
              <c:numCache>
                <c:formatCode>0.0</c:formatCode>
                <c:ptCount val="5"/>
                <c:pt idx="0">
                  <c:v>3.5559751030101534</c:v>
                </c:pt>
                <c:pt idx="1">
                  <c:v>3.5888550883380854</c:v>
                </c:pt>
                <c:pt idx="2">
                  <c:v>3.6597378899517761</c:v>
                </c:pt>
                <c:pt idx="3">
                  <c:v>3.6944984508475498</c:v>
                </c:pt>
                <c:pt idx="4">
                  <c:v>3.688913549454039</c:v>
                </c:pt>
              </c:numCache>
            </c:numRef>
          </c:val>
          <c:extLst xmlns:c16r2="http://schemas.microsoft.com/office/drawing/2015/06/chart">
            <c:ext xmlns:c16="http://schemas.microsoft.com/office/drawing/2014/chart" uri="{C3380CC4-5D6E-409C-BE32-E72D297353CC}">
              <c16:uniqueId val="{00000002-549F-4B19-9242-7443991B704A}"/>
            </c:ext>
          </c:extLst>
        </c:ser>
        <c:ser>
          <c:idx val="1"/>
          <c:order val="3"/>
          <c:tx>
            <c:strRef>
              <c:f>'Graf 47'!$J$21</c:f>
              <c:strCache>
                <c:ptCount val="1"/>
                <c:pt idx="0">
                  <c:v>Daň z príjmu právnických osôb</c:v>
                </c:pt>
              </c:strCache>
            </c:strRef>
          </c:tx>
          <c:spPr>
            <a:solidFill>
              <a:sysClr val="windowText" lastClr="000000">
                <a:lumMod val="75000"/>
                <a:lumOff val="2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47'!$L$21:$P$21</c:f>
              <c:numCache>
                <c:formatCode>0.0</c:formatCode>
                <c:ptCount val="5"/>
                <c:pt idx="0">
                  <c:v>3.2147622173520554</c:v>
                </c:pt>
                <c:pt idx="1">
                  <c:v>3.2012681727596179</c:v>
                </c:pt>
                <c:pt idx="2">
                  <c:v>3.1420643416944576</c:v>
                </c:pt>
                <c:pt idx="3">
                  <c:v>3.1007232570928029</c:v>
                </c:pt>
                <c:pt idx="4">
                  <c:v>3.031358711593056</c:v>
                </c:pt>
              </c:numCache>
            </c:numRef>
          </c:val>
          <c:extLst xmlns:c16r2="http://schemas.microsoft.com/office/drawing/2015/06/chart">
            <c:ext xmlns:c16="http://schemas.microsoft.com/office/drawing/2014/chart" uri="{C3380CC4-5D6E-409C-BE32-E72D297353CC}">
              <c16:uniqueId val="{00000003-549F-4B19-9242-7443991B704A}"/>
            </c:ext>
          </c:extLst>
        </c:ser>
        <c:ser>
          <c:idx val="2"/>
          <c:order val="4"/>
          <c:tx>
            <c:strRef>
              <c:f>'Graf 47'!$J$22</c:f>
              <c:strCache>
                <c:ptCount val="1"/>
                <c:pt idx="0">
                  <c:v>Daň z pridanej hodnoty</c:v>
                </c:pt>
              </c:strCache>
            </c:strRef>
          </c:tx>
          <c:spPr>
            <a:solidFill>
              <a:srgbClr val="D9D3AB">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47'!$L$22:$P$22</c:f>
              <c:numCache>
                <c:formatCode>0.0</c:formatCode>
                <c:ptCount val="5"/>
                <c:pt idx="0">
                  <c:v>7.0131425776171987</c:v>
                </c:pt>
                <c:pt idx="1">
                  <c:v>6.9338727904328072</c:v>
                </c:pt>
                <c:pt idx="2">
                  <c:v>6.8770845719195828</c:v>
                </c:pt>
                <c:pt idx="3">
                  <c:v>6.8330308227627947</c:v>
                </c:pt>
                <c:pt idx="4">
                  <c:v>6.8304298710257925</c:v>
                </c:pt>
              </c:numCache>
            </c:numRef>
          </c:val>
          <c:extLst xmlns:c16r2="http://schemas.microsoft.com/office/drawing/2015/06/chart">
            <c:ext xmlns:c16="http://schemas.microsoft.com/office/drawing/2014/chart" uri="{C3380CC4-5D6E-409C-BE32-E72D297353CC}">
              <c16:uniqueId val="{00000004-549F-4B19-9242-7443991B704A}"/>
            </c:ext>
          </c:extLst>
        </c:ser>
        <c:ser>
          <c:idx val="3"/>
          <c:order val="5"/>
          <c:tx>
            <c:strRef>
              <c:f>'Graf 47'!$J$23</c:f>
              <c:strCache>
                <c:ptCount val="1"/>
                <c:pt idx="0">
                  <c:v>Spotrebné dane</c:v>
                </c:pt>
              </c:strCache>
            </c:strRef>
          </c:tx>
          <c:spPr>
            <a:solidFill>
              <a:srgbClr val="D9D3AB">
                <a:lumMod val="60000"/>
                <a:lumOff val="4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47'!$L$23:$P$23</c:f>
              <c:numCache>
                <c:formatCode>0.0</c:formatCode>
                <c:ptCount val="5"/>
                <c:pt idx="0">
                  <c:v>2.5675610776141151</c:v>
                </c:pt>
                <c:pt idx="1">
                  <c:v>2.5024352834804442</c:v>
                </c:pt>
                <c:pt idx="2">
                  <c:v>2.4219328881433948</c:v>
                </c:pt>
                <c:pt idx="3">
                  <c:v>2.3392560345484092</c:v>
                </c:pt>
                <c:pt idx="4">
                  <c:v>2.2610819766601016</c:v>
                </c:pt>
              </c:numCache>
            </c:numRef>
          </c:val>
          <c:extLst xmlns:c16r2="http://schemas.microsoft.com/office/drawing/2015/06/chart">
            <c:ext xmlns:c16="http://schemas.microsoft.com/office/drawing/2014/chart" uri="{C3380CC4-5D6E-409C-BE32-E72D297353CC}">
              <c16:uniqueId val="{00000005-549F-4B19-9242-7443991B704A}"/>
            </c:ext>
          </c:extLst>
        </c:ser>
        <c:ser>
          <c:idx val="4"/>
          <c:order val="6"/>
          <c:tx>
            <c:strRef>
              <c:f>'Graf 47'!$J$24</c:f>
              <c:strCache>
                <c:ptCount val="1"/>
                <c:pt idx="0">
                  <c:v>Ostatné dane</c:v>
                </c:pt>
              </c:strCache>
            </c:strRef>
          </c:tx>
          <c:spPr>
            <a:solidFill>
              <a:sysClr val="window" lastClr="FFFFFF">
                <a:lumMod val="50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'[59]Vplyvy sumar'!$D$222:$H$222</c:f>
              <c:numCache>
                <c:formatCode>General</c:formatCode>
                <c:ptCount val="5"/>
                <c:pt idx="0">
                  <c:v>2018</c:v>
                </c:pt>
                <c:pt idx="1">
                  <c:v>2019</c:v>
                </c:pt>
                <c:pt idx="2">
                  <c:v>2020</c:v>
                </c:pt>
                <c:pt idx="3">
                  <c:v>2021</c:v>
                </c:pt>
                <c:pt idx="4">
                  <c:v>2022</c:v>
                </c:pt>
              </c:numCache>
            </c:numRef>
          </c:cat>
          <c:val>
            <c:numRef>
              <c:f>'Graf 47'!$L$32:$P$32</c:f>
              <c:numCache>
                <c:formatCode>0.0</c:formatCode>
                <c:ptCount val="5"/>
                <c:pt idx="0">
                  <c:v>3.8687596164561584</c:v>
                </c:pt>
                <c:pt idx="1">
                  <c:v>4.1583999103568345</c:v>
                </c:pt>
                <c:pt idx="2">
                  <c:v>3.8797823758599437</c:v>
                </c:pt>
                <c:pt idx="3">
                  <c:v>3.5743318767470607</c:v>
                </c:pt>
                <c:pt idx="4">
                  <c:v>3.483854676259817</c:v>
                </c:pt>
              </c:numCache>
            </c:numRef>
          </c:val>
          <c:extLst xmlns:c16r2="http://schemas.microsoft.com/office/drawing/2015/06/chart">
            <c:ext xmlns:c16="http://schemas.microsoft.com/office/drawing/2014/chart" uri="{C3380CC4-5D6E-409C-BE32-E72D297353CC}">
              <c16:uniqueId val="{00000006-549F-4B19-9242-7443991B704A}"/>
            </c:ext>
          </c:extLst>
        </c:ser>
        <c:dLbls>
          <c:showLegendKey val="0"/>
          <c:showVal val="0"/>
          <c:showCatName val="0"/>
          <c:showSerName val="0"/>
          <c:showPercent val="0"/>
          <c:showBubbleSize val="0"/>
        </c:dLbls>
        <c:gapWidth val="150"/>
        <c:overlap val="100"/>
        <c:axId val="477040616"/>
        <c:axId val="477041008"/>
      </c:barChart>
      <c:catAx>
        <c:axId val="477040616"/>
        <c:scaling>
          <c:orientation val="minMax"/>
        </c:scaling>
        <c:delete val="0"/>
        <c:axPos val="b"/>
        <c:numFmt formatCode="General" sourceLinked="1"/>
        <c:majorTickMark val="out"/>
        <c:minorTickMark val="none"/>
        <c:tickLblPos val="low"/>
        <c:crossAx val="477041008"/>
        <c:crosses val="autoZero"/>
        <c:auto val="1"/>
        <c:lblAlgn val="ctr"/>
        <c:lblOffset val="100"/>
        <c:noMultiLvlLbl val="0"/>
      </c:catAx>
      <c:valAx>
        <c:axId val="477041008"/>
        <c:scaling>
          <c:orientation val="minMax"/>
        </c:scaling>
        <c:delete val="0"/>
        <c:axPos val="l"/>
        <c:majorGridlines>
          <c:spPr>
            <a:ln>
              <a:solidFill>
                <a:schemeClr val="bg1">
                  <a:lumMod val="75000"/>
                </a:schemeClr>
              </a:solidFill>
              <a:prstDash val="dash"/>
            </a:ln>
          </c:spPr>
        </c:majorGridlines>
        <c:numFmt formatCode="0" sourceLinked="0"/>
        <c:majorTickMark val="out"/>
        <c:minorTickMark val="none"/>
        <c:tickLblPos val="nextTo"/>
        <c:crossAx val="477040616"/>
        <c:crosses val="autoZero"/>
        <c:crossBetween val="between"/>
      </c:valAx>
    </c:plotArea>
    <c:legend>
      <c:legendPos val="r"/>
      <c:layout>
        <c:manualLayout>
          <c:xMode val="edge"/>
          <c:yMode val="edge"/>
          <c:x val="0.79096301701743232"/>
          <c:y val="5.7739658861030552E-2"/>
          <c:w val="0.19920342788275872"/>
          <c:h val="0.87990159349739405"/>
        </c:manualLayout>
      </c:layout>
      <c:overlay val="0"/>
      <c:txPr>
        <a:bodyPr/>
        <a:lstStyle/>
        <a:p>
          <a:pPr>
            <a:defRPr sz="800"/>
          </a:pPr>
          <a:endParaRPr lang="sk-SK"/>
        </a:p>
      </c:txPr>
    </c:legend>
    <c:plotVisOnly val="1"/>
    <c:dispBlanksAs val="gap"/>
    <c:showDLblsOverMax val="0"/>
  </c:chart>
  <c:spPr>
    <a:ln>
      <a:noFill/>
    </a:ln>
  </c:spPr>
  <c:txPr>
    <a:bodyPr/>
    <a:lstStyle/>
    <a:p>
      <a:pPr>
        <a:defRPr sz="900">
          <a:latin typeface="Arial Narrow" panose="020B0606020202030204" pitchFamily="34" charset="0"/>
        </a:defRPr>
      </a:pPr>
      <a:endParaRPr lang="sk-SK"/>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4686329902521E-2"/>
          <c:y val="8.7336244541484712E-2"/>
          <c:w val="0.8668456912127116"/>
          <c:h val="0.70610009596359014"/>
        </c:manualLayout>
      </c:layout>
      <c:lineChart>
        <c:grouping val="standard"/>
        <c:varyColors val="0"/>
        <c:ser>
          <c:idx val="0"/>
          <c:order val="0"/>
          <c:tx>
            <c:strRef>
              <c:f>'Graf 46 '!$B$22</c:f>
              <c:strCache>
                <c:ptCount val="1"/>
                <c:pt idx="0">
                  <c:v>Daňová medzera podľa MFSR</c:v>
                </c:pt>
              </c:strCache>
            </c:strRef>
          </c:tx>
          <c:spPr>
            <a:ln w="25400" cap="rnd">
              <a:solidFill>
                <a:schemeClr val="accent1"/>
              </a:solidFill>
              <a:round/>
            </a:ln>
            <a:effectLst/>
          </c:spPr>
          <c:marker>
            <c:symbol val="none"/>
          </c:marker>
          <c:dPt>
            <c:idx val="16"/>
            <c:marker>
              <c:symbol val="none"/>
            </c:marker>
            <c:bubble3D val="0"/>
            <c:spPr>
              <a:ln w="25400" cap="rnd">
                <a:solidFill>
                  <a:srgbClr val="5B9BD5"/>
                </a:solidFill>
                <a:round/>
              </a:ln>
              <a:effectLst/>
            </c:spPr>
            <c:extLst xmlns:c16r2="http://schemas.microsoft.com/office/drawing/2015/06/chart">
              <c:ext xmlns:c16="http://schemas.microsoft.com/office/drawing/2014/chart" uri="{C3380CC4-5D6E-409C-BE32-E72D297353CC}">
                <c16:uniqueId val="{00000001-F83B-4012-8D30-52965B7763B3}"/>
              </c:ext>
            </c:extLst>
          </c:dPt>
          <c:dLbls>
            <c:dLbl>
              <c:idx val="18"/>
              <c:layout>
                <c:manualLayout>
                  <c:x val="-3.6035908623231708E-2"/>
                  <c:y val="-9.2030020661867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52-44F2-AC62-58E7BFF3A9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46 '!$C$21:$U$21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 46 '!$C$22:$U$22</c:f>
              <c:numCache>
                <c:formatCode>0.0</c:formatCode>
                <c:ptCount val="19"/>
                <c:pt idx="0">
                  <c:v>20.539006440035472</c:v>
                </c:pt>
                <c:pt idx="1">
                  <c:v>17.981154939472081</c:v>
                </c:pt>
                <c:pt idx="2">
                  <c:v>20.273398893987622</c:v>
                </c:pt>
                <c:pt idx="3">
                  <c:v>15.538242902431607</c:v>
                </c:pt>
                <c:pt idx="4">
                  <c:v>23.326946389646071</c:v>
                </c:pt>
                <c:pt idx="5">
                  <c:v>21.305748893528705</c:v>
                </c:pt>
                <c:pt idx="6">
                  <c:v>26.429308528507438</c:v>
                </c:pt>
                <c:pt idx="7">
                  <c:v>31.26735410746781</c:v>
                </c:pt>
                <c:pt idx="8">
                  <c:v>31.122782716720604</c:v>
                </c:pt>
                <c:pt idx="9">
                  <c:v>34.727321237247274</c:v>
                </c:pt>
                <c:pt idx="10">
                  <c:v>34.828664108815545</c:v>
                </c:pt>
                <c:pt idx="11">
                  <c:v>36.059935538041309</c:v>
                </c:pt>
                <c:pt idx="12">
                  <c:v>40.293510129677998</c:v>
                </c:pt>
                <c:pt idx="13">
                  <c:v>36.36325176533132</c:v>
                </c:pt>
                <c:pt idx="14">
                  <c:v>31.952172830368447</c:v>
                </c:pt>
                <c:pt idx="15">
                  <c:v>31.100818320796762</c:v>
                </c:pt>
                <c:pt idx="16">
                  <c:v>28.935185052644247</c:v>
                </c:pt>
                <c:pt idx="17">
                  <c:v>26.956310257893474</c:v>
                </c:pt>
                <c:pt idx="18">
                  <c:v>26.865608545812826</c:v>
                </c:pt>
              </c:numCache>
            </c:numRef>
          </c:val>
          <c:smooth val="0"/>
          <c:extLst xmlns:c16r2="http://schemas.microsoft.com/office/drawing/2015/06/chart">
            <c:ext xmlns:c16="http://schemas.microsoft.com/office/drawing/2014/chart" uri="{C3380CC4-5D6E-409C-BE32-E72D297353CC}">
              <c16:uniqueId val="{00000003-F83B-4012-8D30-52965B7763B3}"/>
            </c:ext>
          </c:extLst>
        </c:ser>
        <c:ser>
          <c:idx val="1"/>
          <c:order val="1"/>
          <c:tx>
            <c:strRef>
              <c:f>'Graf 46 '!$B$23</c:f>
              <c:strCache>
                <c:ptCount val="1"/>
                <c:pt idx="0">
                  <c:v>Daňová medzera podľa EK</c:v>
                </c:pt>
              </c:strCache>
            </c:strRef>
          </c:tx>
          <c:spPr>
            <a:ln w="25400" cap="rnd">
              <a:solidFill>
                <a:srgbClr val="70AD47">
                  <a:lumMod val="60000"/>
                  <a:lumOff val="40000"/>
                </a:srgbClr>
              </a:solidFill>
              <a:round/>
            </a:ln>
            <a:effectLst/>
          </c:spPr>
          <c:marker>
            <c:symbol val="none"/>
          </c:marker>
          <c:dLbls>
            <c:dLbl>
              <c:idx val="16"/>
              <c:layout>
                <c:manualLayout>
                  <c:x val="-0.10986497141382248"/>
                  <c:y val="9.4793271920803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3B-4012-8D30-52965B77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46 '!$C$21:$U$21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 46 '!$C$23:$U$23</c:f>
              <c:numCache>
                <c:formatCode>General</c:formatCode>
                <c:ptCount val="19"/>
                <c:pt idx="12" formatCode="0">
                  <c:v>36.688121708601521</c:v>
                </c:pt>
                <c:pt idx="13" formatCode="0">
                  <c:v>31.370543541788425</c:v>
                </c:pt>
                <c:pt idx="14" formatCode="0">
                  <c:v>30.601243953006218</c:v>
                </c:pt>
                <c:pt idx="15" formatCode="0">
                  <c:v>29.26670146137787</c:v>
                </c:pt>
                <c:pt idx="16" formatCode="0.0">
                  <c:v>25.671969281404277</c:v>
                </c:pt>
              </c:numCache>
            </c:numRef>
          </c:val>
          <c:smooth val="0"/>
          <c:extLst xmlns:c16r2="http://schemas.microsoft.com/office/drawing/2015/06/chart">
            <c:ext xmlns:c16="http://schemas.microsoft.com/office/drawing/2014/chart" uri="{C3380CC4-5D6E-409C-BE32-E72D297353CC}">
              <c16:uniqueId val="{00000005-F83B-4012-8D30-52965B7763B3}"/>
            </c:ext>
          </c:extLst>
        </c:ser>
        <c:dLbls>
          <c:showLegendKey val="0"/>
          <c:showVal val="0"/>
          <c:showCatName val="0"/>
          <c:showSerName val="0"/>
          <c:showPercent val="0"/>
          <c:showBubbleSize val="0"/>
        </c:dLbls>
        <c:smooth val="0"/>
        <c:axId val="477654792"/>
        <c:axId val="477655184"/>
      </c:lineChart>
      <c:catAx>
        <c:axId val="477654792"/>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655184"/>
        <c:crosses val="autoZero"/>
        <c:auto val="1"/>
        <c:lblAlgn val="ctr"/>
        <c:lblOffset val="100"/>
        <c:noMultiLvlLbl val="0"/>
      </c:catAx>
      <c:valAx>
        <c:axId val="477655184"/>
        <c:scaling>
          <c:orientation val="minMax"/>
          <c:min val="15"/>
        </c:scaling>
        <c:delete val="0"/>
        <c:axPos val="l"/>
        <c:majorGridlines>
          <c:spPr>
            <a:ln w="6350" cap="flat" cmpd="sng" algn="ctr">
              <a:solidFill>
                <a:schemeClr val="tx1">
                  <a:lumMod val="15000"/>
                  <a:lumOff val="85000"/>
                </a:schemeClr>
              </a:solidFill>
              <a:prstDash val="sysDash"/>
              <a:round/>
            </a:ln>
            <a:effectLst/>
          </c:spPr>
        </c:majorGridlines>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654792"/>
        <c:crosses val="autoZero"/>
        <c:crossBetween val="between"/>
      </c:valAx>
      <c:spPr>
        <a:noFill/>
        <a:ln>
          <a:noFill/>
        </a:ln>
        <a:effectLst/>
      </c:spPr>
    </c:plotArea>
    <c:legend>
      <c:legendPos val="r"/>
      <c:layout>
        <c:manualLayout>
          <c:xMode val="edge"/>
          <c:yMode val="edge"/>
          <c:x val="9.8046169240070841E-2"/>
          <c:y val="8.7867013844388941E-2"/>
          <c:w val="0.54721651598669163"/>
          <c:h val="0.1811530009721393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81384412739529E-2"/>
          <c:y val="5.0925925925925923E-2"/>
          <c:w val="0.89537423764058477"/>
          <c:h val="0.84123231099609053"/>
        </c:manualLayout>
      </c:layout>
      <c:barChart>
        <c:barDir val="col"/>
        <c:grouping val="clustered"/>
        <c:varyColors val="0"/>
        <c:ser>
          <c:idx val="2"/>
          <c:order val="0"/>
          <c:tx>
            <c:v>Medziročná zmena</c:v>
          </c:tx>
          <c:spPr>
            <a:solidFill>
              <a:schemeClr val="accent1"/>
            </a:solidFill>
            <a:ln w="25400">
              <a:noFill/>
            </a:ln>
            <a:effectLst/>
          </c:spPr>
          <c:invertIfNegative val="0"/>
          <c:dPt>
            <c:idx val="23"/>
            <c:invertIfNegative val="0"/>
            <c:bubble3D val="0"/>
            <c:spPr>
              <a:solidFill>
                <a:srgbClr val="FF0000"/>
              </a:solidFill>
              <a:ln w="25400">
                <a:noFill/>
              </a:ln>
              <a:effectLst/>
            </c:spPr>
            <c:extLst xmlns:c16r2="http://schemas.microsoft.com/office/drawing/2015/06/chart">
              <c:ext xmlns:c16="http://schemas.microsoft.com/office/drawing/2014/chart" uri="{C3380CC4-5D6E-409C-BE32-E72D297353CC}">
                <c16:uniqueId val="{00000001-6A0B-471D-AC7F-0A16935DDF4C}"/>
              </c:ext>
            </c:extLst>
          </c:dPt>
          <c:dLbls>
            <c:dLbl>
              <c:idx val="23"/>
              <c:layout>
                <c:manualLayout>
                  <c:x val="-1.582591493570722E-2"/>
                  <c:y val="8.546909812377058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0B-471D-AC7F-0A16935DDF4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46 '!$W$28:$W$55</c:f>
              <c:strCache>
                <c:ptCount val="28"/>
                <c:pt idx="0">
                  <c:v>RO</c:v>
                </c:pt>
                <c:pt idx="1">
                  <c:v>FI</c:v>
                </c:pt>
                <c:pt idx="2">
                  <c:v>UK</c:v>
                </c:pt>
                <c:pt idx="3">
                  <c:v>IE</c:v>
                </c:pt>
                <c:pt idx="4">
                  <c:v>EE</c:v>
                </c:pt>
                <c:pt idx="5">
                  <c:v>FR</c:v>
                </c:pt>
                <c:pt idx="6">
                  <c:v>EL</c:v>
                </c:pt>
                <c:pt idx="7">
                  <c:v>SI</c:v>
                </c:pt>
                <c:pt idx="8">
                  <c:v>IT</c:v>
                </c:pt>
                <c:pt idx="9">
                  <c:v>AT</c:v>
                </c:pt>
                <c:pt idx="10">
                  <c:v>MT</c:v>
                </c:pt>
                <c:pt idx="11">
                  <c:v>LT</c:v>
                </c:pt>
                <c:pt idx="12">
                  <c:v>DE</c:v>
                </c:pt>
                <c:pt idx="13">
                  <c:v>BE</c:v>
                </c:pt>
                <c:pt idx="14">
                  <c:v>ES</c:v>
                </c:pt>
                <c:pt idx="15">
                  <c:v>LU</c:v>
                </c:pt>
                <c:pt idx="16">
                  <c:v>HU</c:v>
                </c:pt>
                <c:pt idx="17">
                  <c:v>DK</c:v>
                </c:pt>
                <c:pt idx="18">
                  <c:v>SE</c:v>
                </c:pt>
                <c:pt idx="19">
                  <c:v>PT</c:v>
                </c:pt>
                <c:pt idx="20">
                  <c:v>CZ</c:v>
                </c:pt>
                <c:pt idx="21">
                  <c:v>HR</c:v>
                </c:pt>
                <c:pt idx="22">
                  <c:v>PL</c:v>
                </c:pt>
                <c:pt idx="23">
                  <c:v>SK</c:v>
                </c:pt>
                <c:pt idx="24">
                  <c:v>NL</c:v>
                </c:pt>
                <c:pt idx="25">
                  <c:v>CY</c:v>
                </c:pt>
                <c:pt idx="26">
                  <c:v>LV</c:v>
                </c:pt>
                <c:pt idx="27">
                  <c:v>BG</c:v>
                </c:pt>
              </c:strCache>
            </c:strRef>
          </c:cat>
          <c:val>
            <c:numRef>
              <c:f>'Graf 46 '!$X$28:$X$55</c:f>
              <c:numCache>
                <c:formatCode>General</c:formatCode>
                <c:ptCount val="28"/>
                <c:pt idx="0">
                  <c:v>1.4000000000000057</c:v>
                </c:pt>
                <c:pt idx="1">
                  <c:v>1.0900000000000007</c:v>
                </c:pt>
                <c:pt idx="2">
                  <c:v>0.63000000000000078</c:v>
                </c:pt>
                <c:pt idx="3">
                  <c:v>0.54000000000000092</c:v>
                </c:pt>
                <c:pt idx="4">
                  <c:v>0.45000000000000018</c:v>
                </c:pt>
                <c:pt idx="5">
                  <c:v>0.33999999999999986</c:v>
                </c:pt>
                <c:pt idx="6">
                  <c:v>-0.15000000000000213</c:v>
                </c:pt>
                <c:pt idx="7">
                  <c:v>-0.20000000000000107</c:v>
                </c:pt>
                <c:pt idx="8">
                  <c:v>-0.23000000000000043</c:v>
                </c:pt>
                <c:pt idx="9">
                  <c:v>-0.70000000000000018</c:v>
                </c:pt>
                <c:pt idx="10">
                  <c:v>-0.71</c:v>
                </c:pt>
                <c:pt idx="11">
                  <c:v>-1.0500000000000007</c:v>
                </c:pt>
                <c:pt idx="12">
                  <c:v>-1.0599999999999987</c:v>
                </c:pt>
                <c:pt idx="13">
                  <c:v>-1.0899999999999999</c:v>
                </c:pt>
                <c:pt idx="14">
                  <c:v>-1.3399999999999999</c:v>
                </c:pt>
                <c:pt idx="15">
                  <c:v>-1.4299999999999997</c:v>
                </c:pt>
                <c:pt idx="16">
                  <c:v>-2.0700000000000003</c:v>
                </c:pt>
                <c:pt idx="17">
                  <c:v>-2.1899999999999995</c:v>
                </c:pt>
                <c:pt idx="18">
                  <c:v>-2.4299999999999997</c:v>
                </c:pt>
                <c:pt idx="19">
                  <c:v>-2.7200000000000006</c:v>
                </c:pt>
                <c:pt idx="20">
                  <c:v>-2.7300000000000022</c:v>
                </c:pt>
                <c:pt idx="21">
                  <c:v>-3.07</c:v>
                </c:pt>
                <c:pt idx="22">
                  <c:v>-3.5</c:v>
                </c:pt>
                <c:pt idx="23">
                  <c:v>-3.59</c:v>
                </c:pt>
                <c:pt idx="24">
                  <c:v>-5.49</c:v>
                </c:pt>
                <c:pt idx="25">
                  <c:v>-5.5499999999999989</c:v>
                </c:pt>
                <c:pt idx="26">
                  <c:v>-5.9000000000000021</c:v>
                </c:pt>
                <c:pt idx="27">
                  <c:v>-7.1100000000000012</c:v>
                </c:pt>
              </c:numCache>
            </c:numRef>
          </c:val>
          <c:extLst xmlns:c16r2="http://schemas.microsoft.com/office/drawing/2015/06/chart">
            <c:ext xmlns:c16="http://schemas.microsoft.com/office/drawing/2014/chart" uri="{C3380CC4-5D6E-409C-BE32-E72D297353CC}">
              <c16:uniqueId val="{00000002-6A0B-471D-AC7F-0A16935DDF4C}"/>
            </c:ext>
          </c:extLst>
        </c:ser>
        <c:dLbls>
          <c:showLegendKey val="0"/>
          <c:showVal val="0"/>
          <c:showCatName val="0"/>
          <c:showSerName val="0"/>
          <c:showPercent val="0"/>
          <c:showBubbleSize val="0"/>
        </c:dLbls>
        <c:gapWidth val="89"/>
        <c:axId val="477655968"/>
        <c:axId val="477656360"/>
      </c:barChart>
      <c:catAx>
        <c:axId val="4776559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477656360"/>
        <c:crosses val="autoZero"/>
        <c:auto val="1"/>
        <c:lblAlgn val="ctr"/>
        <c:lblOffset val="100"/>
        <c:tickLblSkip val="1"/>
        <c:noMultiLvlLbl val="0"/>
      </c:catAx>
      <c:valAx>
        <c:axId val="477656360"/>
        <c:scaling>
          <c:orientation val="minMax"/>
          <c:min val="-7"/>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out"/>
        <c:minorTickMark val="none"/>
        <c:tickLblPos val="low"/>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765596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sk-SK"/>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77126567512394284"/>
        </c:manualLayout>
      </c:layout>
      <c:lineChart>
        <c:grouping val="standard"/>
        <c:varyColors val="0"/>
        <c:ser>
          <c:idx val="3"/>
          <c:order val="0"/>
          <c:tx>
            <c:strRef>
              <c:f>Data!$A$26</c:f>
              <c:strCache>
                <c:ptCount val="1"/>
                <c:pt idx="0">
                  <c:v>Eurozóna 19</c:v>
                </c:pt>
              </c:strCache>
            </c:strRef>
          </c:tx>
          <c:spPr>
            <a:ln w="19050">
              <a:solidFill>
                <a:sysClr val="windowText" lastClr="000000"/>
              </a:solidFill>
              <a:prstDash val="solid"/>
            </a:ln>
          </c:spPr>
          <c:marker>
            <c:symbol val="none"/>
          </c:marker>
          <c:cat>
            <c:strRef>
              <c:f>Data!$B$25:$N$25</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2019F</c:v>
                </c:pt>
                <c:pt idx="12">
                  <c:v>2020F</c:v>
                </c:pt>
              </c:strCache>
            </c:strRef>
          </c:cat>
          <c:val>
            <c:numRef>
              <c:f>Data!$B$26:$N$26</c:f>
              <c:numCache>
                <c:formatCode>#,##0.0</c:formatCode>
                <c:ptCount val="13"/>
                <c:pt idx="0">
                  <c:v>46.6</c:v>
                </c:pt>
                <c:pt idx="1">
                  <c:v>50.7</c:v>
                </c:pt>
                <c:pt idx="2">
                  <c:v>50.6</c:v>
                </c:pt>
                <c:pt idx="3">
                  <c:v>49.2</c:v>
                </c:pt>
                <c:pt idx="4">
                  <c:v>49.8</c:v>
                </c:pt>
                <c:pt idx="5">
                  <c:v>49.8</c:v>
                </c:pt>
                <c:pt idx="6">
                  <c:v>49.1</c:v>
                </c:pt>
                <c:pt idx="7">
                  <c:v>48.3</c:v>
                </c:pt>
                <c:pt idx="8">
                  <c:v>47.5</c:v>
                </c:pt>
                <c:pt idx="9">
                  <c:v>47</c:v>
                </c:pt>
                <c:pt idx="10">
                  <c:v>46.7</c:v>
                </c:pt>
                <c:pt idx="11">
                  <c:v>46.5</c:v>
                </c:pt>
                <c:pt idx="12">
                  <c:v>46.1</c:v>
                </c:pt>
              </c:numCache>
            </c:numRef>
          </c:val>
          <c:smooth val="0"/>
          <c:extLst xmlns:c16r2="http://schemas.microsoft.com/office/drawing/2015/06/chart">
            <c:ext xmlns:c16="http://schemas.microsoft.com/office/drawing/2014/chart" uri="{C3380CC4-5D6E-409C-BE32-E72D297353CC}">
              <c16:uniqueId val="{00000000-F3A0-4DD2-A02D-8BA93A0D28DA}"/>
            </c:ext>
          </c:extLst>
        </c:ser>
        <c:ser>
          <c:idx val="5"/>
          <c:order val="1"/>
          <c:tx>
            <c:strRef>
              <c:f>Data!$A$30</c:f>
              <c:strCache>
                <c:ptCount val="1"/>
                <c:pt idx="0">
                  <c:v>Slovensko</c:v>
                </c:pt>
              </c:strCache>
            </c:strRef>
          </c:tx>
          <c:spPr>
            <a:ln w="19050">
              <a:solidFill>
                <a:srgbClr val="5B9BD5"/>
              </a:solidFill>
              <a:prstDash val="solid"/>
            </a:ln>
          </c:spPr>
          <c:marker>
            <c:symbol val="none"/>
          </c:marker>
          <c:cat>
            <c:strRef>
              <c:f>Data!$B$25:$N$25</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2019F</c:v>
                </c:pt>
                <c:pt idx="12">
                  <c:v>2020F</c:v>
                </c:pt>
              </c:strCache>
            </c:strRef>
          </c:cat>
          <c:val>
            <c:numRef>
              <c:f>Data!$B$30:$N$30</c:f>
              <c:numCache>
                <c:formatCode>#,##0.0</c:formatCode>
                <c:ptCount val="13"/>
                <c:pt idx="0">
                  <c:v>36.9</c:v>
                </c:pt>
                <c:pt idx="1">
                  <c:v>44.1</c:v>
                </c:pt>
                <c:pt idx="2">
                  <c:v>42.1</c:v>
                </c:pt>
                <c:pt idx="3">
                  <c:v>40.799999999999997</c:v>
                </c:pt>
                <c:pt idx="4">
                  <c:v>40.6</c:v>
                </c:pt>
                <c:pt idx="5">
                  <c:v>41.4</c:v>
                </c:pt>
                <c:pt idx="6">
                  <c:v>42</c:v>
                </c:pt>
                <c:pt idx="7">
                  <c:v>45.1</c:v>
                </c:pt>
                <c:pt idx="8">
                  <c:v>41.5</c:v>
                </c:pt>
                <c:pt idx="9">
                  <c:v>40.200000000000003</c:v>
                </c:pt>
                <c:pt idx="10">
                  <c:v>40.626687050591002</c:v>
                </c:pt>
                <c:pt idx="11">
                  <c:v>39.1</c:v>
                </c:pt>
                <c:pt idx="12">
                  <c:v>38.4</c:v>
                </c:pt>
              </c:numCache>
            </c:numRef>
          </c:val>
          <c:smooth val="0"/>
          <c:extLst xmlns:c16r2="http://schemas.microsoft.com/office/drawing/2015/06/chart">
            <c:ext xmlns:c16="http://schemas.microsoft.com/office/drawing/2014/chart" uri="{C3380CC4-5D6E-409C-BE32-E72D297353CC}">
              <c16:uniqueId val="{00000001-F3A0-4DD2-A02D-8BA93A0D28DA}"/>
            </c:ext>
          </c:extLst>
        </c:ser>
        <c:ser>
          <c:idx val="0"/>
          <c:order val="2"/>
          <c:tx>
            <c:strRef>
              <c:f>Data!$A$31</c:f>
              <c:strCache>
                <c:ptCount val="1"/>
                <c:pt idx="0">
                  <c:v>V3</c:v>
                </c:pt>
              </c:strCache>
            </c:strRef>
          </c:tx>
          <c:spPr>
            <a:ln w="19050">
              <a:solidFill>
                <a:sysClr val="window" lastClr="FFFFFF">
                  <a:lumMod val="75000"/>
                </a:sysClr>
              </a:solidFill>
              <a:prstDash val="solid"/>
            </a:ln>
          </c:spPr>
          <c:marker>
            <c:symbol val="none"/>
          </c:marker>
          <c:dPt>
            <c:idx val="2"/>
            <c:bubble3D val="0"/>
            <c:extLst xmlns:c16r2="http://schemas.microsoft.com/office/drawing/2015/06/chart">
              <c:ext xmlns:c16="http://schemas.microsoft.com/office/drawing/2014/chart" uri="{C3380CC4-5D6E-409C-BE32-E72D297353CC}">
                <c16:uniqueId val="{00000002-F3A0-4DD2-A02D-8BA93A0D28DA}"/>
              </c:ext>
            </c:extLst>
          </c:dPt>
          <c:cat>
            <c:strRef>
              <c:f>Data!$B$25:$N$25</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2019F</c:v>
                </c:pt>
                <c:pt idx="12">
                  <c:v>2020F</c:v>
                </c:pt>
              </c:strCache>
            </c:strRef>
          </c:cat>
          <c:val>
            <c:numRef>
              <c:f>Data!$B$31:$N$31</c:f>
              <c:numCache>
                <c:formatCode>#,##0.0</c:formatCode>
                <c:ptCount val="13"/>
                <c:pt idx="0">
                  <c:v>44.5</c:v>
                </c:pt>
                <c:pt idx="1">
                  <c:v>46.533333333333331</c:v>
                </c:pt>
                <c:pt idx="2">
                  <c:v>46.166666666666664</c:v>
                </c:pt>
                <c:pt idx="3">
                  <c:v>45.433333333333337</c:v>
                </c:pt>
                <c:pt idx="4">
                  <c:v>45.300000000000004</c:v>
                </c:pt>
                <c:pt idx="5">
                  <c:v>44.833333333333336</c:v>
                </c:pt>
                <c:pt idx="6">
                  <c:v>44.766666666666673</c:v>
                </c:pt>
                <c:pt idx="7">
                  <c:v>44.5</c:v>
                </c:pt>
                <c:pt idx="8">
                  <c:v>42.466666666666669</c:v>
                </c:pt>
                <c:pt idx="9">
                  <c:v>42.333333333333336</c:v>
                </c:pt>
                <c:pt idx="10">
                  <c:v>43.099999999999994</c:v>
                </c:pt>
                <c:pt idx="11">
                  <c:v>43.1</c:v>
                </c:pt>
                <c:pt idx="12">
                  <c:v>43.066666666666663</c:v>
                </c:pt>
              </c:numCache>
            </c:numRef>
          </c:val>
          <c:smooth val="0"/>
          <c:extLst xmlns:c16r2="http://schemas.microsoft.com/office/drawing/2015/06/chart">
            <c:ext xmlns:c16="http://schemas.microsoft.com/office/drawing/2014/chart" uri="{C3380CC4-5D6E-409C-BE32-E72D297353CC}">
              <c16:uniqueId val="{00000003-F3A0-4DD2-A02D-8BA93A0D28DA}"/>
            </c:ext>
          </c:extLst>
        </c:ser>
        <c:dLbls>
          <c:showLegendKey val="0"/>
          <c:showVal val="0"/>
          <c:showCatName val="0"/>
          <c:showSerName val="0"/>
          <c:showPercent val="0"/>
          <c:showBubbleSize val="0"/>
        </c:dLbls>
        <c:smooth val="0"/>
        <c:axId val="477657144"/>
        <c:axId val="477657536"/>
      </c:lineChart>
      <c:catAx>
        <c:axId val="477657144"/>
        <c:scaling>
          <c:orientation val="minMax"/>
        </c:scaling>
        <c:delete val="0"/>
        <c:axPos val="b"/>
        <c:numFmt formatCode="General" sourceLinked="0"/>
        <c:majorTickMark val="out"/>
        <c:minorTickMark val="none"/>
        <c:tickLblPos val="low"/>
        <c:txPr>
          <a:bodyPr rot="-5400000" vert="horz"/>
          <a:lstStyle/>
          <a:p>
            <a:pPr>
              <a:defRPr/>
            </a:pPr>
            <a:endParaRPr lang="sk-SK"/>
          </a:p>
        </c:txPr>
        <c:crossAx val="477657536"/>
        <c:crosses val="autoZero"/>
        <c:auto val="1"/>
        <c:lblAlgn val="ctr"/>
        <c:lblOffset val="100"/>
        <c:noMultiLvlLbl val="0"/>
      </c:catAx>
      <c:valAx>
        <c:axId val="477657536"/>
        <c:scaling>
          <c:orientation val="minMax"/>
          <c:min val="35"/>
        </c:scaling>
        <c:delete val="0"/>
        <c:axPos val="l"/>
        <c:majorGridlines>
          <c:spPr>
            <a:ln>
              <a:solidFill>
                <a:schemeClr val="bg1">
                  <a:lumMod val="75000"/>
                </a:schemeClr>
              </a:solidFill>
              <a:prstDash val="sysDash"/>
            </a:ln>
          </c:spPr>
        </c:majorGridlines>
        <c:numFmt formatCode="#,##0.0" sourceLinked="0"/>
        <c:majorTickMark val="out"/>
        <c:minorTickMark val="none"/>
        <c:tickLblPos val="nextTo"/>
        <c:txPr>
          <a:bodyPr rot="0" vert="horz"/>
          <a:lstStyle/>
          <a:p>
            <a:pPr>
              <a:defRPr/>
            </a:pPr>
            <a:endParaRPr lang="sk-SK"/>
          </a:p>
        </c:txPr>
        <c:crossAx val="477657144"/>
        <c:crosses val="autoZero"/>
        <c:crossBetween val="midCat"/>
      </c:valAx>
    </c:plotArea>
    <c:legend>
      <c:legendPos val="l"/>
      <c:legendEntry>
        <c:idx val="0"/>
        <c:txPr>
          <a:bodyPr/>
          <a:lstStyle/>
          <a:p>
            <a:pPr>
              <a:defRPr b="1"/>
            </a:pPr>
            <a:endParaRPr lang="sk-SK"/>
          </a:p>
        </c:txPr>
      </c:legendEntry>
      <c:legendEntry>
        <c:idx val="1"/>
        <c:txPr>
          <a:bodyPr/>
          <a:lstStyle/>
          <a:p>
            <a:pPr>
              <a:defRPr b="1">
                <a:solidFill>
                  <a:schemeClr val="accent1"/>
                </a:solidFill>
              </a:defRPr>
            </a:pPr>
            <a:endParaRPr lang="sk-SK"/>
          </a:p>
        </c:txPr>
      </c:legendEntry>
      <c:legendEntry>
        <c:idx val="2"/>
        <c:txPr>
          <a:bodyPr/>
          <a:lstStyle/>
          <a:p>
            <a:pPr>
              <a:defRPr b="1">
                <a:solidFill>
                  <a:schemeClr val="bg1">
                    <a:lumMod val="65000"/>
                  </a:schemeClr>
                </a:solidFill>
              </a:defRPr>
            </a:pPr>
            <a:endParaRPr lang="sk-SK"/>
          </a:p>
        </c:txPr>
      </c:legendEntry>
      <c:layout>
        <c:manualLayout>
          <c:xMode val="edge"/>
          <c:yMode val="edge"/>
          <c:x val="0.18016528054475117"/>
          <c:y val="8.1372849227179939E-2"/>
          <c:w val="0.76281082334587691"/>
          <c:h val="0.13607319918343541"/>
        </c:manualLayout>
      </c:layout>
      <c:overlay val="1"/>
    </c:legend>
    <c:plotVisOnly val="1"/>
    <c:dispBlanksAs val="gap"/>
    <c:showDLblsOverMax val="0"/>
  </c:chart>
  <c:spPr>
    <a:ln>
      <a:noFill/>
    </a:ln>
  </c:spPr>
  <c:txPr>
    <a:bodyPr/>
    <a:lstStyle/>
    <a:p>
      <a:pPr>
        <a:defRPr sz="800" b="0" i="0" u="none" strike="noStrike" baseline="0">
          <a:solidFill>
            <a:srgbClr val="000000"/>
          </a:solidFill>
          <a:latin typeface="Arial Narrow" panose="020B0606020202030204" pitchFamily="34" charset="0"/>
          <a:ea typeface="Calibri"/>
          <a:cs typeface="Calibri"/>
        </a:defRPr>
      </a:pPr>
      <a:endParaRPr lang="sk-SK"/>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3768358742392E-2"/>
          <c:y val="8.4437714516454654E-2"/>
          <c:w val="0.91819511922711794"/>
          <c:h val="0.79441382327209098"/>
        </c:manualLayout>
      </c:layout>
      <c:lineChart>
        <c:grouping val="standard"/>
        <c:varyColors val="0"/>
        <c:ser>
          <c:idx val="3"/>
          <c:order val="0"/>
          <c:tx>
            <c:strRef>
              <c:f>Data!$A$12</c:f>
              <c:strCache>
                <c:ptCount val="1"/>
                <c:pt idx="0">
                  <c:v>Eurozóna 19</c:v>
                </c:pt>
              </c:strCache>
            </c:strRef>
          </c:tx>
          <c:spPr>
            <a:ln w="19050">
              <a:solidFill>
                <a:sysClr val="windowText" lastClr="000000"/>
              </a:solidFill>
              <a:prstDash val="solid"/>
            </a:ln>
          </c:spPr>
          <c:marker>
            <c:symbol val="none"/>
          </c:marker>
          <c:cat>
            <c:strRef>
              <c:f>Data!$B$11:$N$11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2019F</c:v>
                </c:pt>
                <c:pt idx="12">
                  <c:v>2020F</c:v>
                </c:pt>
              </c:strCache>
            </c:strRef>
          </c:cat>
          <c:val>
            <c:numRef>
              <c:f>Data!$B$12:$N$12</c:f>
              <c:numCache>
                <c:formatCode>#,##0.0</c:formatCode>
                <c:ptCount val="13"/>
                <c:pt idx="0">
                  <c:v>3.3</c:v>
                </c:pt>
                <c:pt idx="1">
                  <c:v>3.6</c:v>
                </c:pt>
                <c:pt idx="2">
                  <c:v>3.4</c:v>
                </c:pt>
                <c:pt idx="3">
                  <c:v>3.1</c:v>
                </c:pt>
                <c:pt idx="4">
                  <c:v>2.9</c:v>
                </c:pt>
                <c:pt idx="5">
                  <c:v>2.8</c:v>
                </c:pt>
                <c:pt idx="6">
                  <c:v>2.7</c:v>
                </c:pt>
                <c:pt idx="7">
                  <c:v>2.7</c:v>
                </c:pt>
                <c:pt idx="8">
                  <c:v>2.6</c:v>
                </c:pt>
                <c:pt idx="9">
                  <c:v>2.6</c:v>
                </c:pt>
                <c:pt idx="10">
                  <c:v>2.7</c:v>
                </c:pt>
                <c:pt idx="11">
                  <c:v>2.7</c:v>
                </c:pt>
                <c:pt idx="12">
                  <c:v>2.8</c:v>
                </c:pt>
              </c:numCache>
            </c:numRef>
          </c:val>
          <c:smooth val="0"/>
          <c:extLst xmlns:c16r2="http://schemas.microsoft.com/office/drawing/2015/06/chart">
            <c:ext xmlns:c16="http://schemas.microsoft.com/office/drawing/2014/chart" uri="{C3380CC4-5D6E-409C-BE32-E72D297353CC}">
              <c16:uniqueId val="{00000000-70B5-4107-B2DC-C98444CF430C}"/>
            </c:ext>
          </c:extLst>
        </c:ser>
        <c:ser>
          <c:idx val="5"/>
          <c:order val="1"/>
          <c:tx>
            <c:strRef>
              <c:f>Data!$A$16</c:f>
              <c:strCache>
                <c:ptCount val="1"/>
                <c:pt idx="0">
                  <c:v>Slovensko</c:v>
                </c:pt>
              </c:strCache>
            </c:strRef>
          </c:tx>
          <c:spPr>
            <a:ln w="19050">
              <a:solidFill>
                <a:srgbClr val="5B9BD5"/>
              </a:solidFill>
              <a:prstDash val="solid"/>
            </a:ln>
          </c:spPr>
          <c:marker>
            <c:symbol val="none"/>
          </c:marker>
          <c:cat>
            <c:strRef>
              <c:f>Data!$B$11:$N$11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2019F</c:v>
                </c:pt>
                <c:pt idx="12">
                  <c:v>2020F</c:v>
                </c:pt>
              </c:strCache>
            </c:strRef>
          </c:cat>
          <c:val>
            <c:numRef>
              <c:f>Data!$B$16:$N$16</c:f>
              <c:numCache>
                <c:formatCode>#,##0.0</c:formatCode>
                <c:ptCount val="13"/>
                <c:pt idx="0">
                  <c:v>3.4</c:v>
                </c:pt>
                <c:pt idx="1">
                  <c:v>3.9</c:v>
                </c:pt>
                <c:pt idx="2">
                  <c:v>3.6</c:v>
                </c:pt>
                <c:pt idx="3">
                  <c:v>3.8</c:v>
                </c:pt>
                <c:pt idx="4">
                  <c:v>3.4</c:v>
                </c:pt>
                <c:pt idx="5">
                  <c:v>3.3</c:v>
                </c:pt>
                <c:pt idx="6">
                  <c:v>4</c:v>
                </c:pt>
                <c:pt idx="7">
                  <c:v>6.3</c:v>
                </c:pt>
                <c:pt idx="8">
                  <c:v>3.2</c:v>
                </c:pt>
                <c:pt idx="9">
                  <c:v>3.2</c:v>
                </c:pt>
                <c:pt idx="10">
                  <c:v>3.5677492023440776</c:v>
                </c:pt>
                <c:pt idx="11">
                  <c:v>2.6695963460531895</c:v>
                </c:pt>
                <c:pt idx="12">
                  <c:v>2.6565237206645778</c:v>
                </c:pt>
              </c:numCache>
            </c:numRef>
          </c:val>
          <c:smooth val="0"/>
          <c:extLst xmlns:c16r2="http://schemas.microsoft.com/office/drawing/2015/06/chart">
            <c:ext xmlns:c16="http://schemas.microsoft.com/office/drawing/2014/chart" uri="{C3380CC4-5D6E-409C-BE32-E72D297353CC}">
              <c16:uniqueId val="{00000001-70B5-4107-B2DC-C98444CF430C}"/>
            </c:ext>
          </c:extLst>
        </c:ser>
        <c:ser>
          <c:idx val="0"/>
          <c:order val="2"/>
          <c:tx>
            <c:strRef>
              <c:f>Data!$A$17</c:f>
              <c:strCache>
                <c:ptCount val="1"/>
                <c:pt idx="0">
                  <c:v>V3</c:v>
                </c:pt>
              </c:strCache>
            </c:strRef>
          </c:tx>
          <c:spPr>
            <a:ln w="19050">
              <a:solidFill>
                <a:sysClr val="window" lastClr="FFFFFF">
                  <a:lumMod val="75000"/>
                </a:sysClr>
              </a:solidFill>
              <a:prstDash val="solid"/>
            </a:ln>
          </c:spPr>
          <c:marker>
            <c:symbol val="none"/>
          </c:marker>
          <c:dPt>
            <c:idx val="2"/>
            <c:bubble3D val="0"/>
            <c:extLst xmlns:c16r2="http://schemas.microsoft.com/office/drawing/2015/06/chart">
              <c:ext xmlns:c16="http://schemas.microsoft.com/office/drawing/2014/chart" uri="{C3380CC4-5D6E-409C-BE32-E72D297353CC}">
                <c16:uniqueId val="{00000002-70B5-4107-B2DC-C98444CF430C}"/>
              </c:ext>
            </c:extLst>
          </c:dPt>
          <c:cat>
            <c:strRef>
              <c:f>Data!$B$11:$N$11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2019F</c:v>
                </c:pt>
                <c:pt idx="12">
                  <c:v>2020F</c:v>
                </c:pt>
              </c:strCache>
            </c:strRef>
          </c:cat>
          <c:val>
            <c:numRef>
              <c:f>Data!$B$17:$N$17</c:f>
              <c:numCache>
                <c:formatCode>#,##0.0</c:formatCode>
                <c:ptCount val="13"/>
                <c:pt idx="0">
                  <c:v>4.4333333333333336</c:v>
                </c:pt>
                <c:pt idx="1">
                  <c:v>4.8</c:v>
                </c:pt>
                <c:pt idx="2">
                  <c:v>4.8</c:v>
                </c:pt>
                <c:pt idx="3">
                  <c:v>4.5666666666666664</c:v>
                </c:pt>
                <c:pt idx="4">
                  <c:v>4.2</c:v>
                </c:pt>
                <c:pt idx="5">
                  <c:v>4.0666666666666673</c:v>
                </c:pt>
                <c:pt idx="6">
                  <c:v>4.6999999999999993</c:v>
                </c:pt>
                <c:pt idx="7">
                  <c:v>5.3999999999999995</c:v>
                </c:pt>
                <c:pt idx="8">
                  <c:v>3.2333333333333329</c:v>
                </c:pt>
                <c:pt idx="9">
                  <c:v>3.9</c:v>
                </c:pt>
                <c:pt idx="10">
                  <c:v>4.7</c:v>
                </c:pt>
                <c:pt idx="11">
                  <c:v>5</c:v>
                </c:pt>
                <c:pt idx="12">
                  <c:v>5.0999999999999996</c:v>
                </c:pt>
              </c:numCache>
            </c:numRef>
          </c:val>
          <c:smooth val="0"/>
          <c:extLst xmlns:c16r2="http://schemas.microsoft.com/office/drawing/2015/06/chart">
            <c:ext xmlns:c16="http://schemas.microsoft.com/office/drawing/2014/chart" uri="{C3380CC4-5D6E-409C-BE32-E72D297353CC}">
              <c16:uniqueId val="{00000003-70B5-4107-B2DC-C98444CF430C}"/>
            </c:ext>
          </c:extLst>
        </c:ser>
        <c:dLbls>
          <c:showLegendKey val="0"/>
          <c:showVal val="0"/>
          <c:showCatName val="0"/>
          <c:showSerName val="0"/>
          <c:showPercent val="0"/>
          <c:showBubbleSize val="0"/>
        </c:dLbls>
        <c:smooth val="0"/>
        <c:axId val="477698392"/>
        <c:axId val="477698784"/>
      </c:lineChart>
      <c:catAx>
        <c:axId val="477698392"/>
        <c:scaling>
          <c:orientation val="minMax"/>
        </c:scaling>
        <c:delete val="0"/>
        <c:axPos val="b"/>
        <c:numFmt formatCode="General" sourceLinked="0"/>
        <c:majorTickMark val="out"/>
        <c:minorTickMark val="none"/>
        <c:tickLblPos val="low"/>
        <c:txPr>
          <a:bodyPr rot="-5400000" vert="horz"/>
          <a:lstStyle/>
          <a:p>
            <a:pPr>
              <a:defRPr/>
            </a:pPr>
            <a:endParaRPr lang="sk-SK"/>
          </a:p>
        </c:txPr>
        <c:crossAx val="477698784"/>
        <c:crosses val="autoZero"/>
        <c:auto val="1"/>
        <c:lblAlgn val="ctr"/>
        <c:lblOffset val="100"/>
        <c:noMultiLvlLbl val="0"/>
      </c:catAx>
      <c:valAx>
        <c:axId val="477698784"/>
        <c:scaling>
          <c:orientation val="minMax"/>
          <c:min val="2"/>
        </c:scaling>
        <c:delete val="0"/>
        <c:axPos val="l"/>
        <c:majorGridlines>
          <c:spPr>
            <a:ln>
              <a:solidFill>
                <a:schemeClr val="bg1">
                  <a:lumMod val="75000"/>
                </a:schemeClr>
              </a:solidFill>
              <a:prstDash val="sysDash"/>
            </a:ln>
          </c:spPr>
        </c:majorGridlines>
        <c:numFmt formatCode="#,##0.0" sourceLinked="0"/>
        <c:majorTickMark val="out"/>
        <c:minorTickMark val="none"/>
        <c:tickLblPos val="nextTo"/>
        <c:txPr>
          <a:bodyPr rot="0" vert="horz"/>
          <a:lstStyle/>
          <a:p>
            <a:pPr>
              <a:defRPr/>
            </a:pPr>
            <a:endParaRPr lang="sk-SK"/>
          </a:p>
        </c:txPr>
        <c:crossAx val="477698392"/>
        <c:crosses val="autoZero"/>
        <c:crossBetween val="midCat"/>
      </c:valAx>
    </c:plotArea>
    <c:legend>
      <c:legendPos val="l"/>
      <c:legendEntry>
        <c:idx val="0"/>
        <c:txPr>
          <a:bodyPr/>
          <a:lstStyle/>
          <a:p>
            <a:pPr>
              <a:defRPr b="1"/>
            </a:pPr>
            <a:endParaRPr lang="sk-SK"/>
          </a:p>
        </c:txPr>
      </c:legendEntry>
      <c:legendEntry>
        <c:idx val="1"/>
        <c:txPr>
          <a:bodyPr/>
          <a:lstStyle/>
          <a:p>
            <a:pPr>
              <a:defRPr b="1">
                <a:solidFill>
                  <a:schemeClr val="accent1"/>
                </a:solidFill>
              </a:defRPr>
            </a:pPr>
            <a:endParaRPr lang="sk-SK"/>
          </a:p>
        </c:txPr>
      </c:legendEntry>
      <c:legendEntry>
        <c:idx val="2"/>
        <c:txPr>
          <a:bodyPr/>
          <a:lstStyle/>
          <a:p>
            <a:pPr>
              <a:defRPr b="1">
                <a:solidFill>
                  <a:schemeClr val="bg1">
                    <a:lumMod val="50000"/>
                  </a:schemeClr>
                </a:solidFill>
              </a:defRPr>
            </a:pPr>
            <a:endParaRPr lang="sk-SK"/>
          </a:p>
        </c:txPr>
      </c:legendEntry>
      <c:layout>
        <c:manualLayout>
          <c:xMode val="edge"/>
          <c:yMode val="edge"/>
          <c:x val="0.15463843310443609"/>
          <c:y val="4.4335591771958748E-2"/>
          <c:w val="0.74421533997023459"/>
          <c:h val="0.17773986585010207"/>
        </c:manualLayout>
      </c:layout>
      <c:overlay val="1"/>
    </c:legend>
    <c:plotVisOnly val="1"/>
    <c:dispBlanksAs val="gap"/>
    <c:showDLblsOverMax val="0"/>
  </c:chart>
  <c:spPr>
    <a:ln>
      <a:noFill/>
    </a:ln>
  </c:spPr>
  <c:txPr>
    <a:bodyPr/>
    <a:lstStyle/>
    <a:p>
      <a:pPr>
        <a:defRPr sz="800" b="0" i="0" u="none" strike="noStrike" baseline="0">
          <a:solidFill>
            <a:srgbClr val="000000"/>
          </a:solidFill>
          <a:latin typeface="Arial Narrow" panose="020B0606020202030204" pitchFamily="34" charset="0"/>
          <a:ea typeface="Calibri"/>
          <a:cs typeface="Calibri"/>
        </a:defRPr>
      </a:pPr>
      <a:endParaRPr lang="sk-SK"/>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532699362452588E-2"/>
          <c:y val="3.4721812424111813E-2"/>
          <c:w val="0.94317186772971673"/>
          <c:h val="0.6350546666902348"/>
        </c:manualLayout>
      </c:layout>
      <c:barChart>
        <c:barDir val="col"/>
        <c:grouping val="stacked"/>
        <c:varyColors val="0"/>
        <c:ser>
          <c:idx val="1"/>
          <c:order val="0"/>
          <c:tx>
            <c:strRef>
              <c:f>spolu_SK!$I$5</c:f>
              <c:strCache>
                <c:ptCount val="1"/>
                <c:pt idx="0">
                  <c:v>v priebehu</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spolu_SK!$A$6:$A$22</c:f>
              <c:strCache>
                <c:ptCount val="17"/>
                <c:pt idx="0">
                  <c:v>Zdravotné poistenie</c:v>
                </c:pt>
                <c:pt idx="1">
                  <c:v>Zdravotné poistenie 2</c:v>
                </c:pt>
                <c:pt idx="2">
                  <c:v>Min. dopravy a výst. + NDS, ŽSR, ŽSSK</c:v>
                </c:pt>
                <c:pt idx="3">
                  <c:v>Min. vnútra</c:v>
                </c:pt>
                <c:pt idx="4">
                  <c:v>Min. práce</c:v>
                </c:pt>
                <c:pt idx="5">
                  <c:v>Min. školstva</c:v>
                </c:pt>
                <c:pt idx="6">
                  <c:v>Min. obrany</c:v>
                </c:pt>
                <c:pt idx="7">
                  <c:v>Min. pôdohospodárstva</c:v>
                </c:pt>
                <c:pt idx="8">
                  <c:v>Sociálna poisťovňa a soc. zabezpečenie</c:v>
                </c:pt>
                <c:pt idx="9">
                  <c:v>Min. financií</c:v>
                </c:pt>
                <c:pt idx="10">
                  <c:v>Min. spravodlivosti</c:v>
                </c:pt>
                <c:pt idx="11">
                  <c:v>Min. kultúry</c:v>
                </c:pt>
                <c:pt idx="12">
                  <c:v>Min. životného prostredia</c:v>
                </c:pt>
                <c:pt idx="13">
                  <c:v>Min. hospodárstva</c:v>
                </c:pt>
                <c:pt idx="14">
                  <c:v>Min. zdravotníctva</c:v>
                </c:pt>
                <c:pt idx="15">
                  <c:v>Min. zahraničných vecí</c:v>
                </c:pt>
                <c:pt idx="16">
                  <c:v>Osobné výdavky (okrem už revidovaných)</c:v>
                </c:pt>
              </c:strCache>
            </c:strRef>
          </c:cat>
          <c:val>
            <c:numRef>
              <c:f>spolu_SK!$I$6:$I$22</c:f>
              <c:numCache>
                <c:formatCode>0%</c:formatCode>
                <c:ptCount val="17"/>
                <c:pt idx="1">
                  <c:v>5.6652479965130093E-2</c:v>
                </c:pt>
                <c:pt idx="7">
                  <c:v>9.2667364794882592E-3</c:v>
                </c:pt>
                <c:pt idx="11" formatCode="0.00%">
                  <c:v>3.2836599855544935E-3</c:v>
                </c:pt>
                <c:pt idx="16" formatCode="0.0%">
                  <c:v>7.3501224181628244E-2</c:v>
                </c:pt>
              </c:numCache>
            </c:numRef>
          </c:val>
          <c:extLst xmlns:c16r2="http://schemas.microsoft.com/office/drawing/2015/06/chart">
            <c:ext xmlns:c16="http://schemas.microsoft.com/office/drawing/2014/chart" uri="{C3380CC4-5D6E-409C-BE32-E72D297353CC}">
              <c16:uniqueId val="{00000000-F1B1-4882-A31C-E1DDBAEC5EF9}"/>
            </c:ext>
          </c:extLst>
        </c:ser>
        <c:ser>
          <c:idx val="2"/>
          <c:order val="1"/>
          <c:tx>
            <c:strRef>
              <c:f>spolu_SK!$J$5</c:f>
              <c:strCache>
                <c:ptCount val="1"/>
                <c:pt idx="0">
                  <c:v>posúdené</c:v>
                </c:pt>
              </c:strCache>
            </c:strRef>
          </c:tx>
          <c:spPr>
            <a:solidFill>
              <a:srgbClr val="00B0F0"/>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1-F1B1-4882-A31C-E1DDBAEC5EF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2-F1B1-4882-A31C-E1DDBAEC5EF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3-F1B1-4882-A31C-E1DDBAEC5EF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4-F1B1-4882-A31C-E1DDBAEC5EF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5-F1B1-4882-A31C-E1DDBAEC5EF9}"/>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6-F1B1-4882-A31C-E1DDBAEC5EF9}"/>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7-F1B1-4882-A31C-E1DDBAEC5EF9}"/>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8-F1B1-4882-A31C-E1DDBAEC5EF9}"/>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09-F1B1-4882-A31C-E1DDBAEC5E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spolu_SK!$A$6:$A$22</c:f>
              <c:strCache>
                <c:ptCount val="17"/>
                <c:pt idx="0">
                  <c:v>Zdravotné poistenie</c:v>
                </c:pt>
                <c:pt idx="1">
                  <c:v>Zdravotné poistenie 2</c:v>
                </c:pt>
                <c:pt idx="2">
                  <c:v>Min. dopravy a výst. + NDS, ŽSR, ŽSSK</c:v>
                </c:pt>
                <c:pt idx="3">
                  <c:v>Min. vnútra</c:v>
                </c:pt>
                <c:pt idx="4">
                  <c:v>Min. práce</c:v>
                </c:pt>
                <c:pt idx="5">
                  <c:v>Min. školstva</c:v>
                </c:pt>
                <c:pt idx="6">
                  <c:v>Min. obrany</c:v>
                </c:pt>
                <c:pt idx="7">
                  <c:v>Min. pôdohospodárstva</c:v>
                </c:pt>
                <c:pt idx="8">
                  <c:v>Sociálna poisťovňa a soc. zabezpečenie</c:v>
                </c:pt>
                <c:pt idx="9">
                  <c:v>Min. financií</c:v>
                </c:pt>
                <c:pt idx="10">
                  <c:v>Min. spravodlivosti</c:v>
                </c:pt>
                <c:pt idx="11">
                  <c:v>Min. kultúry</c:v>
                </c:pt>
                <c:pt idx="12">
                  <c:v>Min. životného prostredia</c:v>
                </c:pt>
                <c:pt idx="13">
                  <c:v>Min. hospodárstva</c:v>
                </c:pt>
                <c:pt idx="14">
                  <c:v>Min. zdravotníctva</c:v>
                </c:pt>
                <c:pt idx="15">
                  <c:v>Min. zahraničných vecí</c:v>
                </c:pt>
                <c:pt idx="16">
                  <c:v>Osobné výdavky (okrem už revidovaných)</c:v>
                </c:pt>
              </c:strCache>
            </c:strRef>
          </c:cat>
          <c:val>
            <c:numRef>
              <c:f>spolu_SK!$J$6:$J$22</c:f>
              <c:numCache>
                <c:formatCode>0.0%</c:formatCode>
                <c:ptCount val="17"/>
                <c:pt idx="0">
                  <c:v>5.6060843594908788E-2</c:v>
                </c:pt>
                <c:pt idx="1">
                  <c:v>0</c:v>
                </c:pt>
                <c:pt idx="2">
                  <c:v>2.6705679277863621E-2</c:v>
                </c:pt>
                <c:pt idx="3">
                  <c:v>1.5518954269589441E-2</c:v>
                </c:pt>
                <c:pt idx="4">
                  <c:v>2.570380190484783E-2</c:v>
                </c:pt>
                <c:pt idx="5">
                  <c:v>1.263387722197452E-2</c:v>
                </c:pt>
                <c:pt idx="6">
                  <c:v>1.7919400779693135E-4</c:v>
                </c:pt>
                <c:pt idx="7">
                  <c:v>6.7991179105650931E-5</c:v>
                </c:pt>
                <c:pt idx="8">
                  <c:v>1.0867126548517111E-2</c:v>
                </c:pt>
                <c:pt idx="9">
                  <c:v>1.9742177266376297E-3</c:v>
                </c:pt>
                <c:pt idx="10">
                  <c:v>4.087907393319627E-4</c:v>
                </c:pt>
                <c:pt idx="11">
                  <c:v>1.4825598985864324E-4</c:v>
                </c:pt>
                <c:pt idx="12">
                  <c:v>2.9070765425041217E-3</c:v>
                </c:pt>
                <c:pt idx="13">
                  <c:v>2.6728531622395234E-5</c:v>
                </c:pt>
                <c:pt idx="14">
                  <c:v>9.3116768787926109E-5</c:v>
                </c:pt>
                <c:pt idx="15">
                  <c:v>5.8757257157673994E-5</c:v>
                </c:pt>
                <c:pt idx="16">
                  <c:v>0</c:v>
                </c:pt>
              </c:numCache>
            </c:numRef>
          </c:val>
          <c:extLst xmlns:c16r2="http://schemas.microsoft.com/office/drawing/2015/06/chart">
            <c:ext xmlns:c16="http://schemas.microsoft.com/office/drawing/2014/chart" uri="{C3380CC4-5D6E-409C-BE32-E72D297353CC}">
              <c16:uniqueId val="{0000000A-F1B1-4882-A31C-E1DDBAEC5EF9}"/>
            </c:ext>
          </c:extLst>
        </c:ser>
        <c:ser>
          <c:idx val="0"/>
          <c:order val="2"/>
          <c:tx>
            <c:strRef>
              <c:f>spolu_SK!$K$5</c:f>
              <c:strCache>
                <c:ptCount val="1"/>
                <c:pt idx="0">
                  <c:v>neposúdené</c:v>
                </c:pt>
              </c:strCache>
            </c:strRef>
          </c:tx>
          <c:spPr>
            <a:solidFill>
              <a:srgbClr val="FF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B-F1B1-4882-A31C-E1DDBAEC5EF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C-F1B1-4882-A31C-E1DDBAEC5EF9}"/>
                </c:ext>
                <c:ext xmlns:c15="http://schemas.microsoft.com/office/drawing/2012/chart" uri="{CE6537A1-D6FC-4f65-9D91-7224C49458BB}"/>
              </c:extLst>
            </c:dLbl>
            <c:dLbl>
              <c:idx val="2"/>
              <c:layout>
                <c:manualLayout>
                  <c:x val="2.020846731431745E-17"/>
                  <c:y val="2.065382476473748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1B1-4882-A31C-E1DDBAEC5EF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E-F1B1-4882-A31C-E1DDBAEC5EF9}"/>
                </c:ext>
                <c:ext xmlns:c15="http://schemas.microsoft.com/office/drawing/2012/chart" uri="{CE6537A1-D6FC-4f65-9D91-7224C49458BB}"/>
              </c:extLst>
            </c:dLbl>
            <c:dLbl>
              <c:idx val="5"/>
              <c:layout>
                <c:manualLayout>
                  <c:x val="0"/>
                  <c:y val="-6.594811117441327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1B1-4882-A31C-E1DDBAEC5EF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F1B1-4882-A31C-E1DDBAEC5EF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F1B1-4882-A31C-E1DDBAEC5EF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2-F1B1-4882-A31C-E1DDBAEC5EF9}"/>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3-F1B1-4882-A31C-E1DDBAEC5EF9}"/>
                </c:ext>
                <c:ext xmlns:c15="http://schemas.microsoft.com/office/drawing/2012/chart" uri="{CE6537A1-D6FC-4f65-9D91-7224C49458BB}"/>
              </c:extLst>
            </c:dLbl>
            <c:dLbl>
              <c:idx val="13"/>
              <c:layout>
                <c:manualLayout>
                  <c:x val="0"/>
                  <c:y val="-5.954392982866561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1B1-4882-A31C-E1DDBAEC5EF9}"/>
                </c:ext>
                <c:ext xmlns:c15="http://schemas.microsoft.com/office/drawing/2012/chart" uri="{CE6537A1-D6FC-4f65-9D91-7224C49458BB}"/>
              </c:extLst>
            </c:dLbl>
            <c:dLbl>
              <c:idx val="14"/>
              <c:layout>
                <c:manualLayout>
                  <c:x val="-1.7720713907226205E-16"/>
                  <c:y val="8.9062177948781031E-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1B1-4882-A31C-E1DDBAEC5EF9}"/>
                </c:ext>
                <c:ext xmlns:c15="http://schemas.microsoft.com/office/drawing/2012/chart" uri="{CE6537A1-D6FC-4f65-9D91-7224C49458BB}"/>
              </c:extLst>
            </c:dLbl>
            <c:dLbl>
              <c:idx val="15"/>
              <c:layout>
                <c:manualLayout>
                  <c:x val="0"/>
                  <c:y val="-2.324618225644750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1B1-4882-A31C-E1DDBAEC5EF9}"/>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17-F1B1-4882-A31C-E1DDBAEC5E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spolu_SK!$A$6:$A$22</c:f>
              <c:strCache>
                <c:ptCount val="17"/>
                <c:pt idx="0">
                  <c:v>Zdravotné poistenie</c:v>
                </c:pt>
                <c:pt idx="1">
                  <c:v>Zdravotné poistenie 2</c:v>
                </c:pt>
                <c:pt idx="2">
                  <c:v>Min. dopravy a výst. + NDS, ŽSR, ŽSSK</c:v>
                </c:pt>
                <c:pt idx="3">
                  <c:v>Min. vnútra</c:v>
                </c:pt>
                <c:pt idx="4">
                  <c:v>Min. práce</c:v>
                </c:pt>
                <c:pt idx="5">
                  <c:v>Min. školstva</c:v>
                </c:pt>
                <c:pt idx="6">
                  <c:v>Min. obrany</c:v>
                </c:pt>
                <c:pt idx="7">
                  <c:v>Min. pôdohospodárstva</c:v>
                </c:pt>
                <c:pt idx="8">
                  <c:v>Sociálna poisťovňa a soc. zabezpečenie</c:v>
                </c:pt>
                <c:pt idx="9">
                  <c:v>Min. financií</c:v>
                </c:pt>
                <c:pt idx="10">
                  <c:v>Min. spravodlivosti</c:v>
                </c:pt>
                <c:pt idx="11">
                  <c:v>Min. kultúry</c:v>
                </c:pt>
                <c:pt idx="12">
                  <c:v>Min. životného prostredia</c:v>
                </c:pt>
                <c:pt idx="13">
                  <c:v>Min. hospodárstva</c:v>
                </c:pt>
                <c:pt idx="14">
                  <c:v>Min. zdravotníctva</c:v>
                </c:pt>
                <c:pt idx="15">
                  <c:v>Min. zahraničných vecí</c:v>
                </c:pt>
                <c:pt idx="16">
                  <c:v>Osobné výdavky (okrem už revidovaných)</c:v>
                </c:pt>
              </c:strCache>
            </c:strRef>
          </c:cat>
          <c:val>
            <c:numRef>
              <c:f>spolu_SK!$K$6:$K$22</c:f>
              <c:numCache>
                <c:formatCode>0.0%</c:formatCode>
                <c:ptCount val="17"/>
                <c:pt idx="0">
                  <c:v>0</c:v>
                </c:pt>
                <c:pt idx="1">
                  <c:v>0</c:v>
                </c:pt>
                <c:pt idx="2">
                  <c:v>2.5403704177728867E-3</c:v>
                </c:pt>
                <c:pt idx="3">
                  <c:v>1.336750880107627E-2</c:v>
                </c:pt>
                <c:pt idx="4">
                  <c:v>0</c:v>
                </c:pt>
                <c:pt idx="5">
                  <c:v>2.111899270362194E-3</c:v>
                </c:pt>
                <c:pt idx="6">
                  <c:v>1.2512337659511392E-2</c:v>
                </c:pt>
                <c:pt idx="7">
                  <c:v>0</c:v>
                </c:pt>
                <c:pt idx="8">
                  <c:v>0</c:v>
                </c:pt>
                <c:pt idx="9">
                  <c:v>3.0995623061783489E-3</c:v>
                </c:pt>
                <c:pt idx="10">
                  <c:v>4.2053851712640887E-3</c:v>
                </c:pt>
                <c:pt idx="11">
                  <c:v>0</c:v>
                </c:pt>
                <c:pt idx="12">
                  <c:v>0</c:v>
                </c:pt>
                <c:pt idx="13">
                  <c:v>2.8206369557446927E-3</c:v>
                </c:pt>
                <c:pt idx="14">
                  <c:v>1.9044078444082136E-3</c:v>
                </c:pt>
                <c:pt idx="15">
                  <c:v>1.3256592555090706E-3</c:v>
                </c:pt>
                <c:pt idx="16">
                  <c:v>0</c:v>
                </c:pt>
              </c:numCache>
            </c:numRef>
          </c:val>
          <c:extLst xmlns:c16r2="http://schemas.microsoft.com/office/drawing/2015/06/chart">
            <c:ext xmlns:c16="http://schemas.microsoft.com/office/drawing/2014/chart" uri="{C3380CC4-5D6E-409C-BE32-E72D297353CC}">
              <c16:uniqueId val="{00000018-F1B1-4882-A31C-E1DDBAEC5EF9}"/>
            </c:ext>
          </c:extLst>
        </c:ser>
        <c:dLbls>
          <c:showLegendKey val="0"/>
          <c:showVal val="0"/>
          <c:showCatName val="0"/>
          <c:showSerName val="0"/>
          <c:showPercent val="0"/>
          <c:showBubbleSize val="0"/>
        </c:dLbls>
        <c:gapWidth val="150"/>
        <c:overlap val="100"/>
        <c:axId val="477699568"/>
        <c:axId val="477699960"/>
      </c:barChart>
      <c:lineChart>
        <c:grouping val="standard"/>
        <c:varyColors val="0"/>
        <c:ser>
          <c:idx val="3"/>
          <c:order val="3"/>
          <c:tx>
            <c:strRef>
              <c:f>spolu_SK!$L$5</c:f>
              <c:strCache>
                <c:ptCount val="1"/>
                <c:pt idx="0">
                  <c:v>spolu</c:v>
                </c:pt>
              </c:strCache>
            </c:strRef>
          </c:tx>
          <c:spPr>
            <a:ln w="28575" cap="rnd">
              <a:noFill/>
              <a:round/>
            </a:ln>
            <a:effectLst/>
          </c:spPr>
          <c:marker>
            <c:symbol val="none"/>
          </c:marker>
          <c:dLbls>
            <c:dLbl>
              <c:idx val="0"/>
              <c:tx>
                <c:rich>
                  <a:bodyPr/>
                  <a:lstStyle/>
                  <a:p>
                    <a:fld id="{B465C6F0-1A7E-44CA-B41C-8155AB698225}" type="CELLRANGE">
                      <a:rPr lang="en-US"/>
                      <a:pPr/>
                      <a:t>[CELLRANGE]</a:t>
                    </a:fld>
                    <a:endParaRPr lang="sk-SK"/>
                  </a:p>
                </c:rich>
              </c:tx>
              <c:dLblPos val="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F1B1-4882-A31C-E1DDBAEC5EF9}"/>
                </c:ext>
                <c:ext xmlns:c15="http://schemas.microsoft.com/office/drawing/2012/chart" uri="{CE6537A1-D6FC-4f65-9D91-7224C49458BB}">
                  <c15:dlblFieldTable/>
                  <c15:showDataLabelsRange val="1"/>
                </c:ext>
              </c:extLst>
            </c:dLbl>
            <c:dLbl>
              <c:idx val="1"/>
              <c:tx>
                <c:rich>
                  <a:bodyPr/>
                  <a:lstStyle/>
                  <a:p>
                    <a:fld id="{8B277553-62FE-4428-B7A2-BA301A7E414D}"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1695E18D-97FC-4BAF-BDC0-A05DC7A953D8}"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9829E269-03BC-4F2E-B7CE-C05B5A99AD9F}"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802C3D81-D6F3-4742-861F-40F7C9E14C19}"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06A81A3B-FA4D-43A9-A8AA-10C44B227E7A}"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fld id="{D3A17BEF-A532-4661-A98D-8D922701FF8E}"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tx>
                <c:rich>
                  <a:bodyPr/>
                  <a:lstStyle/>
                  <a:p>
                    <a:fld id="{0C178914-5265-4397-9AB9-6DEE9CE0DEB1}"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tx>
                <c:rich>
                  <a:bodyPr/>
                  <a:lstStyle/>
                  <a:p>
                    <a:fld id="{271A637B-B75E-444D-8D2C-93D4DF4C2017}"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tx>
                <c:rich>
                  <a:bodyPr/>
                  <a:lstStyle/>
                  <a:p>
                    <a:fld id="{0C158C28-B5DE-4D40-8A10-9EBD636CC86D}"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tx>
                <c:rich>
                  <a:bodyPr/>
                  <a:lstStyle/>
                  <a:p>
                    <a:fld id="{BF8C02D8-A0C3-4535-B462-09EF4398F857}"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tx>
                <c:rich>
                  <a:bodyPr/>
                  <a:lstStyle/>
                  <a:p>
                    <a:fld id="{ED1BD2B3-6879-4E78-BC56-083736E55677}"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tx>
                <c:rich>
                  <a:bodyPr/>
                  <a:lstStyle/>
                  <a:p>
                    <a:fld id="{2E3CF380-B249-4BD0-929B-8CC32479FC14}"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tx>
                <c:rich>
                  <a:bodyPr/>
                  <a:lstStyle/>
                  <a:p>
                    <a:fld id="{514BE127-6D53-440B-8398-C802BEEA8AB5}"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tx>
                <c:rich>
                  <a:bodyPr/>
                  <a:lstStyle/>
                  <a:p>
                    <a:fld id="{E983C66D-EB51-4B6C-A55D-3292A1AA55C5}" type="CELLRANGE">
                      <a:rPr lang="en-US"/>
                      <a:pPr/>
                      <a:t>[CELLRANGE]</a:t>
                    </a:fld>
                    <a:endParaRPr lang="sk-S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tx>
                <c:rich>
                  <a:bodyPr/>
                  <a:lstStyle/>
                  <a:p>
                    <a:endParaRPr lang="en-US"/>
                  </a:p>
                </c:rich>
              </c:tx>
              <c:dLblPos val="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8-F1B1-4882-A31C-E1DDBAEC5EF9}"/>
                </c:ext>
                <c:ext xmlns:c15="http://schemas.microsoft.com/office/drawing/2012/chart" uri="{CE6537A1-D6FC-4f65-9D91-7224C49458BB}"/>
              </c:extLst>
            </c:dLbl>
            <c:dLbl>
              <c:idx val="16"/>
              <c:tx>
                <c:rich>
                  <a:bodyPr/>
                  <a:lstStyle/>
                  <a:p>
                    <a:endParaRPr lang="en-US"/>
                  </a:p>
                </c:rich>
              </c:tx>
              <c:dLblPos val="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29-F1B1-4882-A31C-E1DDBAEC5E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dLblPos val="t"/>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spolu_SK!$A$6:$A$22</c:f>
              <c:strCache>
                <c:ptCount val="17"/>
                <c:pt idx="0">
                  <c:v>Zdravotné poistenie</c:v>
                </c:pt>
                <c:pt idx="1">
                  <c:v>Zdravotné poistenie 2</c:v>
                </c:pt>
                <c:pt idx="2">
                  <c:v>Min. dopravy a výst. + NDS, ŽSR, ŽSSK</c:v>
                </c:pt>
                <c:pt idx="3">
                  <c:v>Min. vnútra</c:v>
                </c:pt>
                <c:pt idx="4">
                  <c:v>Min. práce</c:v>
                </c:pt>
                <c:pt idx="5">
                  <c:v>Min. školstva</c:v>
                </c:pt>
                <c:pt idx="6">
                  <c:v>Min. obrany</c:v>
                </c:pt>
                <c:pt idx="7">
                  <c:v>Min. pôdohospodárstva</c:v>
                </c:pt>
                <c:pt idx="8">
                  <c:v>Sociálna poisťovňa a soc. zabezpečenie</c:v>
                </c:pt>
                <c:pt idx="9">
                  <c:v>Min. financií</c:v>
                </c:pt>
                <c:pt idx="10">
                  <c:v>Min. spravodlivosti</c:v>
                </c:pt>
                <c:pt idx="11">
                  <c:v>Min. kultúry</c:v>
                </c:pt>
                <c:pt idx="12">
                  <c:v>Min. životného prostredia</c:v>
                </c:pt>
                <c:pt idx="13">
                  <c:v>Min. hospodárstva</c:v>
                </c:pt>
                <c:pt idx="14">
                  <c:v>Min. zdravotníctva</c:v>
                </c:pt>
                <c:pt idx="15">
                  <c:v>Min. zahraničných vecí</c:v>
                </c:pt>
                <c:pt idx="16">
                  <c:v>Osobné výdavky (okrem už revidovaných)</c:v>
                </c:pt>
              </c:strCache>
            </c:strRef>
          </c:cat>
          <c:val>
            <c:numRef>
              <c:f>spolu_SK!$L$6:$L$22</c:f>
              <c:numCache>
                <c:formatCode>0.00%</c:formatCode>
                <c:ptCount val="17"/>
                <c:pt idx="0">
                  <c:v>5.6060843594908788E-2</c:v>
                </c:pt>
                <c:pt idx="1">
                  <c:v>5.6652479965130093E-2</c:v>
                </c:pt>
                <c:pt idx="2">
                  <c:v>2.9246049695636506E-2</c:v>
                </c:pt>
                <c:pt idx="3">
                  <c:v>2.8886463070665711E-2</c:v>
                </c:pt>
                <c:pt idx="4">
                  <c:v>2.570380190484783E-2</c:v>
                </c:pt>
                <c:pt idx="5">
                  <c:v>1.4745776492336715E-2</c:v>
                </c:pt>
                <c:pt idx="6">
                  <c:v>1.2691531667308324E-2</c:v>
                </c:pt>
                <c:pt idx="7">
                  <c:v>9.3347276585939096E-3</c:v>
                </c:pt>
                <c:pt idx="8">
                  <c:v>1.0867126548517111E-2</c:v>
                </c:pt>
                <c:pt idx="9">
                  <c:v>5.0737800328159791E-3</c:v>
                </c:pt>
                <c:pt idx="10">
                  <c:v>4.6141759105960516E-3</c:v>
                </c:pt>
                <c:pt idx="11">
                  <c:v>3.4319159754131368E-3</c:v>
                </c:pt>
                <c:pt idx="12">
                  <c:v>2.9070765425041217E-3</c:v>
                </c:pt>
                <c:pt idx="13">
                  <c:v>2.8473654873670878E-3</c:v>
                </c:pt>
                <c:pt idx="14">
                  <c:v>1.9975246131961398E-3</c:v>
                </c:pt>
                <c:pt idx="15">
                  <c:v>1.3844165126667446E-3</c:v>
                </c:pt>
                <c:pt idx="16">
                  <c:v>7.3501224181628244E-2</c:v>
                </c:pt>
              </c:numCache>
            </c:numRef>
          </c:val>
          <c:smooth val="0"/>
          <c:extLst xmlns:c16r2="http://schemas.microsoft.com/office/drawing/2015/06/chart">
            <c:ext xmlns:c16="http://schemas.microsoft.com/office/drawing/2014/chart" uri="{C3380CC4-5D6E-409C-BE32-E72D297353CC}">
              <c16:uniqueId val="{0000002A-F1B1-4882-A31C-E1DDBAEC5EF9}"/>
            </c:ext>
            <c:ext xmlns:c15="http://schemas.microsoft.com/office/drawing/2012/chart" uri="{02D57815-91ED-43cb-92C2-25804820EDAC}">
              <c15:datalabelsRange>
                <c15:f>spolu_SK!$F$6:$F$20</c15:f>
                <c15:dlblRangeCache>
                  <c:ptCount val="15"/>
                </c15:dlblRangeCache>
              </c15:datalabelsRange>
            </c:ext>
          </c:extLst>
        </c:ser>
        <c:dLbls>
          <c:showLegendKey val="0"/>
          <c:showVal val="0"/>
          <c:showCatName val="0"/>
          <c:showSerName val="0"/>
          <c:showPercent val="0"/>
          <c:showBubbleSize val="0"/>
        </c:dLbls>
        <c:marker val="1"/>
        <c:smooth val="0"/>
        <c:axId val="477699568"/>
        <c:axId val="477699960"/>
      </c:lineChart>
      <c:catAx>
        <c:axId val="47769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477699960"/>
        <c:crosses val="autoZero"/>
        <c:auto val="1"/>
        <c:lblAlgn val="ctr"/>
        <c:lblOffset val="100"/>
        <c:noMultiLvlLbl val="0"/>
      </c:catAx>
      <c:valAx>
        <c:axId val="47769996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477699568"/>
        <c:crosses val="autoZero"/>
        <c:crossBetween val="between"/>
      </c:valAx>
      <c:spPr>
        <a:noFill/>
        <a:ln>
          <a:noFill/>
        </a:ln>
        <a:effectLst/>
      </c:spPr>
    </c:plotArea>
    <c:legend>
      <c:legendPos val="r"/>
      <c:legendEntry>
        <c:idx val="3"/>
        <c:delete val="1"/>
      </c:legendEntry>
      <c:layout>
        <c:manualLayout>
          <c:xMode val="edge"/>
          <c:yMode val="edge"/>
          <c:x val="0.55374987198631354"/>
          <c:y val="0.19355673295012951"/>
          <c:w val="0.35208264964865366"/>
          <c:h val="0.153977417611151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692E-2"/>
          <c:y val="4.8823828544190706E-2"/>
          <c:w val="0.89093095636884034"/>
          <c:h val="0.85748137319626516"/>
        </c:manualLayout>
      </c:layout>
      <c:barChart>
        <c:barDir val="col"/>
        <c:grouping val="stacked"/>
        <c:varyColors val="0"/>
        <c:ser>
          <c:idx val="5"/>
          <c:order val="0"/>
          <c:tx>
            <c:strRef>
              <c:f>'Graf 13+14 '!$I$12</c:f>
              <c:strCache>
                <c:ptCount val="1"/>
                <c:pt idx="0">
                  <c:v>Poľnohospodárstvo</c:v>
                </c:pt>
              </c:strCache>
            </c:strRef>
          </c:tx>
          <c:spPr>
            <a:solidFill>
              <a:srgbClr val="2C9ADC"/>
            </a:solidFill>
          </c:spPr>
          <c:invertIfNegative val="0"/>
          <c:cat>
            <c:strRef>
              <c:f>'Graf 13+14 '!$J$11:$O$11</c:f>
              <c:strCache>
                <c:ptCount val="6"/>
                <c:pt idx="0">
                  <c:v>2017</c:v>
                </c:pt>
                <c:pt idx="1">
                  <c:v>2018</c:v>
                </c:pt>
                <c:pt idx="2">
                  <c:v>2019F</c:v>
                </c:pt>
                <c:pt idx="3">
                  <c:v>2020F</c:v>
                </c:pt>
                <c:pt idx="4">
                  <c:v>2021F</c:v>
                </c:pt>
                <c:pt idx="5">
                  <c:v>2022F</c:v>
                </c:pt>
              </c:strCache>
            </c:strRef>
          </c:cat>
          <c:val>
            <c:numRef>
              <c:f>'Graf 13+14 '!$J$12:$O$12</c:f>
              <c:numCache>
                <c:formatCode>0.0</c:formatCode>
                <c:ptCount val="6"/>
                <c:pt idx="0">
                  <c:v>-3.5728510954757917E-2</c:v>
                </c:pt>
                <c:pt idx="1">
                  <c:v>-7.225181372732789E-2</c:v>
                </c:pt>
                <c:pt idx="2">
                  <c:v>-2.9872829913803342E-2</c:v>
                </c:pt>
                <c:pt idx="3">
                  <c:v>-4.0049121146732772E-2</c:v>
                </c:pt>
                <c:pt idx="4">
                  <c:v>-2.8399653556097616E-2</c:v>
                </c:pt>
                <c:pt idx="5">
                  <c:v>-2.7832514581210419E-2</c:v>
                </c:pt>
              </c:numCache>
            </c:numRef>
          </c:val>
          <c:extLst xmlns:c16r2="http://schemas.microsoft.com/office/drawing/2015/06/chart">
            <c:ext xmlns:c16="http://schemas.microsoft.com/office/drawing/2014/chart" uri="{C3380CC4-5D6E-409C-BE32-E72D297353CC}">
              <c16:uniqueId val="{00000000-CDDC-4243-8096-7290CA3A74AC}"/>
            </c:ext>
          </c:extLst>
        </c:ser>
        <c:ser>
          <c:idx val="8"/>
          <c:order val="1"/>
          <c:tx>
            <c:strRef>
              <c:f>'Graf 13+14 '!$I$13</c:f>
              <c:strCache>
                <c:ptCount val="1"/>
                <c:pt idx="0">
                  <c:v>Priemysel</c:v>
                </c:pt>
              </c:strCache>
            </c:strRef>
          </c:tx>
          <c:spPr>
            <a:solidFill>
              <a:srgbClr val="C6D9F1"/>
            </a:solidFill>
            <a:ln>
              <a:noFill/>
            </a:ln>
          </c:spPr>
          <c:invertIfNegative val="0"/>
          <c:cat>
            <c:strRef>
              <c:f>'Graf 13+14 '!$J$11:$O$11</c:f>
              <c:strCache>
                <c:ptCount val="6"/>
                <c:pt idx="0">
                  <c:v>2017</c:v>
                </c:pt>
                <c:pt idx="1">
                  <c:v>2018</c:v>
                </c:pt>
                <c:pt idx="2">
                  <c:v>2019F</c:v>
                </c:pt>
                <c:pt idx="3">
                  <c:v>2020F</c:v>
                </c:pt>
                <c:pt idx="4">
                  <c:v>2021F</c:v>
                </c:pt>
                <c:pt idx="5">
                  <c:v>2022F</c:v>
                </c:pt>
              </c:strCache>
            </c:strRef>
          </c:cat>
          <c:val>
            <c:numRef>
              <c:f>'Graf 13+14 '!$J$13:$O$13</c:f>
              <c:numCache>
                <c:formatCode>0.0</c:formatCode>
                <c:ptCount val="6"/>
                <c:pt idx="0">
                  <c:v>0.86900362723923852</c:v>
                </c:pt>
                <c:pt idx="1">
                  <c:v>0.55595415563459882</c:v>
                </c:pt>
                <c:pt idx="2">
                  <c:v>0.34618046508425671</c:v>
                </c:pt>
                <c:pt idx="3">
                  <c:v>0.26747689550769543</c:v>
                </c:pt>
                <c:pt idx="4">
                  <c:v>0.20443237455509025</c:v>
                </c:pt>
                <c:pt idx="5">
                  <c:v>0.16049245924120978</c:v>
                </c:pt>
              </c:numCache>
            </c:numRef>
          </c:val>
          <c:extLst xmlns:c16r2="http://schemas.microsoft.com/office/drawing/2015/06/chart">
            <c:ext xmlns:c16="http://schemas.microsoft.com/office/drawing/2014/chart" uri="{C3380CC4-5D6E-409C-BE32-E72D297353CC}">
              <c16:uniqueId val="{00000001-CDDC-4243-8096-7290CA3A74AC}"/>
            </c:ext>
          </c:extLst>
        </c:ser>
        <c:ser>
          <c:idx val="0"/>
          <c:order val="2"/>
          <c:tx>
            <c:strRef>
              <c:f>'Graf 13+14 '!$I$16</c:f>
              <c:strCache>
                <c:ptCount val="1"/>
                <c:pt idx="0">
                  <c:v>Stavebníctvo</c:v>
                </c:pt>
              </c:strCache>
            </c:strRef>
          </c:tx>
          <c:spPr>
            <a:solidFill>
              <a:srgbClr val="1F497D"/>
            </a:solidFill>
          </c:spPr>
          <c:invertIfNegative val="0"/>
          <c:cat>
            <c:strRef>
              <c:f>'Graf 13+14 '!$J$11:$O$11</c:f>
              <c:strCache>
                <c:ptCount val="6"/>
                <c:pt idx="0">
                  <c:v>2017</c:v>
                </c:pt>
                <c:pt idx="1">
                  <c:v>2018</c:v>
                </c:pt>
                <c:pt idx="2">
                  <c:v>2019F</c:v>
                </c:pt>
                <c:pt idx="3">
                  <c:v>2020F</c:v>
                </c:pt>
                <c:pt idx="4">
                  <c:v>2021F</c:v>
                </c:pt>
                <c:pt idx="5">
                  <c:v>2022F</c:v>
                </c:pt>
              </c:strCache>
            </c:strRef>
          </c:cat>
          <c:val>
            <c:numRef>
              <c:f>'Graf 13+14 '!$J$14:$O$14</c:f>
              <c:numCache>
                <c:formatCode>0.0</c:formatCode>
                <c:ptCount val="6"/>
                <c:pt idx="0">
                  <c:v>0.92169531965935469</c:v>
                </c:pt>
                <c:pt idx="1">
                  <c:v>0.97182133950588256</c:v>
                </c:pt>
                <c:pt idx="2">
                  <c:v>0.69754659334635571</c:v>
                </c:pt>
                <c:pt idx="3">
                  <c:v>0.36510069084000302</c:v>
                </c:pt>
                <c:pt idx="4">
                  <c:v>0.30139102025625625</c:v>
                </c:pt>
                <c:pt idx="5">
                  <c:v>0.30212873981359784</c:v>
                </c:pt>
              </c:numCache>
            </c:numRef>
          </c:val>
          <c:extLst xmlns:c16r2="http://schemas.microsoft.com/office/drawing/2015/06/chart">
            <c:ext xmlns:c16="http://schemas.microsoft.com/office/drawing/2014/chart" uri="{C3380CC4-5D6E-409C-BE32-E72D297353CC}">
              <c16:uniqueId val="{00000002-CDDC-4243-8096-7290CA3A74AC}"/>
            </c:ext>
          </c:extLst>
        </c:ser>
        <c:ser>
          <c:idx val="1"/>
          <c:order val="3"/>
          <c:tx>
            <c:strRef>
              <c:f>'Graf 13+14 '!$I$15</c:f>
              <c:strCache>
                <c:ptCount val="1"/>
                <c:pt idx="0">
                  <c:v>Verejný sektor</c:v>
                </c:pt>
              </c:strCache>
            </c:strRef>
          </c:tx>
          <c:spPr>
            <a:solidFill>
              <a:srgbClr val="9E9E9E"/>
            </a:solidFill>
          </c:spPr>
          <c:invertIfNegative val="0"/>
          <c:cat>
            <c:strRef>
              <c:f>'Graf 13+14 '!$J$11:$O$11</c:f>
              <c:strCache>
                <c:ptCount val="6"/>
                <c:pt idx="0">
                  <c:v>2017</c:v>
                </c:pt>
                <c:pt idx="1">
                  <c:v>2018</c:v>
                </c:pt>
                <c:pt idx="2">
                  <c:v>2019F</c:v>
                </c:pt>
                <c:pt idx="3">
                  <c:v>2020F</c:v>
                </c:pt>
                <c:pt idx="4">
                  <c:v>2021F</c:v>
                </c:pt>
                <c:pt idx="5">
                  <c:v>2022F</c:v>
                </c:pt>
              </c:strCache>
            </c:strRef>
          </c:cat>
          <c:val>
            <c:numRef>
              <c:f>'Graf 13+14 '!$J$15:$O$15</c:f>
              <c:numCache>
                <c:formatCode>0.0</c:formatCode>
                <c:ptCount val="6"/>
                <c:pt idx="0">
                  <c:v>0.25785754630772612</c:v>
                </c:pt>
                <c:pt idx="1">
                  <c:v>0.24509118746037173</c:v>
                </c:pt>
                <c:pt idx="2">
                  <c:v>0.1210466323352464</c:v>
                </c:pt>
                <c:pt idx="3">
                  <c:v>0.11141068021263154</c:v>
                </c:pt>
                <c:pt idx="4">
                  <c:v>5.8609009966230322E-2</c:v>
                </c:pt>
                <c:pt idx="5">
                  <c:v>4.7145699566095538E-2</c:v>
                </c:pt>
              </c:numCache>
            </c:numRef>
          </c:val>
          <c:extLst xmlns:c16r2="http://schemas.microsoft.com/office/drawing/2015/06/chart">
            <c:ext xmlns:c16="http://schemas.microsoft.com/office/drawing/2014/chart" uri="{C3380CC4-5D6E-409C-BE32-E72D297353CC}">
              <c16:uniqueId val="{00000003-CDDC-4243-8096-7290CA3A74AC}"/>
            </c:ext>
          </c:extLst>
        </c:ser>
        <c:ser>
          <c:idx val="2"/>
          <c:order val="4"/>
          <c:tx>
            <c:strRef>
              <c:f>'Graf 13+14 '!$I$14</c:f>
              <c:strCache>
                <c:ptCount val="1"/>
                <c:pt idx="0">
                  <c:v>Trhové služby</c:v>
                </c:pt>
              </c:strCache>
            </c:strRef>
          </c:tx>
          <c:spPr>
            <a:solidFill>
              <a:srgbClr val="555555"/>
            </a:solidFill>
          </c:spPr>
          <c:invertIfNegative val="0"/>
          <c:cat>
            <c:strRef>
              <c:f>'Graf 13+14 '!$J$11:$O$11</c:f>
              <c:strCache>
                <c:ptCount val="6"/>
                <c:pt idx="0">
                  <c:v>2017</c:v>
                </c:pt>
                <c:pt idx="1">
                  <c:v>2018</c:v>
                </c:pt>
                <c:pt idx="2">
                  <c:v>2019F</c:v>
                </c:pt>
                <c:pt idx="3">
                  <c:v>2020F</c:v>
                </c:pt>
                <c:pt idx="4">
                  <c:v>2021F</c:v>
                </c:pt>
                <c:pt idx="5">
                  <c:v>2022F</c:v>
                </c:pt>
              </c:strCache>
            </c:strRef>
          </c:cat>
          <c:val>
            <c:numRef>
              <c:f>'Graf 13+14 '!$J$16:$O$16</c:f>
              <c:numCache>
                <c:formatCode>0.0</c:formatCode>
                <c:ptCount val="6"/>
                <c:pt idx="0">
                  <c:v>0.16682112269064486</c:v>
                </c:pt>
                <c:pt idx="1">
                  <c:v>0.25715737466782734</c:v>
                </c:pt>
                <c:pt idx="2">
                  <c:v>0.10785024506277223</c:v>
                </c:pt>
                <c:pt idx="3">
                  <c:v>7.3096689681731122E-2</c:v>
                </c:pt>
                <c:pt idx="4">
                  <c:v>4.8499521984715355E-2</c:v>
                </c:pt>
                <c:pt idx="5">
                  <c:v>4.3954167718250468E-2</c:v>
                </c:pt>
              </c:numCache>
            </c:numRef>
          </c:val>
          <c:extLst xmlns:c16r2="http://schemas.microsoft.com/office/drawing/2015/06/chart">
            <c:ext xmlns:c16="http://schemas.microsoft.com/office/drawing/2014/chart" uri="{C3380CC4-5D6E-409C-BE32-E72D297353CC}">
              <c16:uniqueId val="{00000004-CDDC-4243-8096-7290CA3A74AC}"/>
            </c:ext>
          </c:extLst>
        </c:ser>
        <c:dLbls>
          <c:showLegendKey val="0"/>
          <c:showVal val="0"/>
          <c:showCatName val="0"/>
          <c:showSerName val="0"/>
          <c:showPercent val="0"/>
          <c:showBubbleSize val="0"/>
        </c:dLbls>
        <c:gapWidth val="150"/>
        <c:overlap val="100"/>
        <c:axId val="296916504"/>
        <c:axId val="296916896"/>
      </c:barChart>
      <c:lineChart>
        <c:grouping val="standard"/>
        <c:varyColors val="0"/>
        <c:ser>
          <c:idx val="3"/>
          <c:order val="5"/>
          <c:tx>
            <c:strRef>
              <c:f>'Graf 13+14 '!$I$17</c:f>
              <c:strCache>
                <c:ptCount val="1"/>
                <c:pt idx="0">
                  <c:v>Hospodárstvo spolu</c:v>
                </c:pt>
              </c:strCache>
            </c:strRef>
          </c:tx>
          <c:spPr>
            <a:ln w="19050">
              <a:solidFill>
                <a:sysClr val="windowText" lastClr="000000"/>
              </a:solidFill>
            </a:ln>
          </c:spPr>
          <c:marker>
            <c:symbol val="none"/>
          </c:marker>
          <c:cat>
            <c:strRef>
              <c:f>'Graf 13+14 '!$J$11:$O$11</c:f>
              <c:strCache>
                <c:ptCount val="6"/>
                <c:pt idx="0">
                  <c:v>2017</c:v>
                </c:pt>
                <c:pt idx="1">
                  <c:v>2018</c:v>
                </c:pt>
                <c:pt idx="2">
                  <c:v>2019F</c:v>
                </c:pt>
                <c:pt idx="3">
                  <c:v>2020F</c:v>
                </c:pt>
                <c:pt idx="4">
                  <c:v>2021F</c:v>
                </c:pt>
                <c:pt idx="5">
                  <c:v>2022F</c:v>
                </c:pt>
              </c:strCache>
            </c:strRef>
          </c:cat>
          <c:val>
            <c:numRef>
              <c:f>'Graf 13+14 '!$J$17:$O$17</c:f>
              <c:numCache>
                <c:formatCode>0.0</c:formatCode>
                <c:ptCount val="6"/>
                <c:pt idx="0">
                  <c:v>2.206200730790254</c:v>
                </c:pt>
                <c:pt idx="1">
                  <c:v>2.0084678887944718</c:v>
                </c:pt>
                <c:pt idx="2">
                  <c:v>1.1496590724229261</c:v>
                </c:pt>
                <c:pt idx="3">
                  <c:v>0.78827075740406372</c:v>
                </c:pt>
                <c:pt idx="4">
                  <c:v>0.58460744318742375</c:v>
                </c:pt>
                <c:pt idx="5">
                  <c:v>0.52583700833384039</c:v>
                </c:pt>
              </c:numCache>
            </c:numRef>
          </c:val>
          <c:smooth val="0"/>
          <c:extLst xmlns:c16r2="http://schemas.microsoft.com/office/drawing/2015/06/chart">
            <c:ext xmlns:c16="http://schemas.microsoft.com/office/drawing/2014/chart" uri="{C3380CC4-5D6E-409C-BE32-E72D297353CC}">
              <c16:uniqueId val="{00000005-CDDC-4243-8096-7290CA3A74AC}"/>
            </c:ext>
          </c:extLst>
        </c:ser>
        <c:dLbls>
          <c:showLegendKey val="0"/>
          <c:showVal val="0"/>
          <c:showCatName val="0"/>
          <c:showSerName val="0"/>
          <c:showPercent val="0"/>
          <c:showBubbleSize val="0"/>
        </c:dLbls>
        <c:marker val="1"/>
        <c:smooth val="0"/>
        <c:axId val="296916504"/>
        <c:axId val="296916896"/>
      </c:lineChart>
      <c:catAx>
        <c:axId val="296916504"/>
        <c:scaling>
          <c:orientation val="minMax"/>
        </c:scaling>
        <c:delete val="0"/>
        <c:axPos val="b"/>
        <c:numFmt formatCode="General" sourceLinked="1"/>
        <c:majorTickMark val="out"/>
        <c:minorTickMark val="none"/>
        <c:tickLblPos val="low"/>
        <c:crossAx val="296916896"/>
        <c:crosses val="autoZero"/>
        <c:auto val="1"/>
        <c:lblAlgn val="ctr"/>
        <c:lblOffset val="100"/>
        <c:noMultiLvlLbl val="0"/>
      </c:catAx>
      <c:valAx>
        <c:axId val="296916896"/>
        <c:scaling>
          <c:orientation val="minMax"/>
        </c:scaling>
        <c:delete val="0"/>
        <c:axPos val="l"/>
        <c:majorGridlines>
          <c:spPr>
            <a:ln>
              <a:solidFill>
                <a:schemeClr val="bg1">
                  <a:lumMod val="75000"/>
                </a:schemeClr>
              </a:solidFill>
              <a:prstDash val="dash"/>
            </a:ln>
          </c:spPr>
        </c:majorGridlines>
        <c:numFmt formatCode="#,##0.0" sourceLinked="0"/>
        <c:majorTickMark val="out"/>
        <c:minorTickMark val="none"/>
        <c:tickLblPos val="nextTo"/>
        <c:crossAx val="296916504"/>
        <c:crosses val="autoZero"/>
        <c:crossBetween val="between"/>
      </c:valAx>
    </c:plotArea>
    <c:legend>
      <c:legendPos val="r"/>
      <c:layout>
        <c:manualLayout>
          <c:xMode val="edge"/>
          <c:yMode val="edge"/>
          <c:x val="0.32147517425194633"/>
          <c:y val="5.9291459643332128E-2"/>
          <c:w val="0.66206966334588302"/>
          <c:h val="0.31157891120740849"/>
        </c:manualLayout>
      </c:layout>
      <c:overlay val="0"/>
      <c:txPr>
        <a:bodyPr/>
        <a:lstStyle/>
        <a:p>
          <a:pPr>
            <a:defRPr sz="750"/>
          </a:pPr>
          <a:endParaRPr lang="sk-SK"/>
        </a:p>
      </c:txPr>
    </c:legend>
    <c:plotVisOnly val="1"/>
    <c:dispBlanksAs val="gap"/>
    <c:showDLblsOverMax val="0"/>
  </c:chart>
  <c:spPr>
    <a:ln>
      <a:noFill/>
    </a:ln>
  </c:spPr>
  <c:txPr>
    <a:bodyPr/>
    <a:lstStyle/>
    <a:p>
      <a:pPr>
        <a:defRPr sz="800">
          <a:latin typeface="Arial Narrow" panose="020B0606020202030204" pitchFamily="34"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99679777191692E-2"/>
          <c:y val="8.5242482034935022E-2"/>
          <c:w val="0.89093095636884034"/>
          <c:h val="0.75584386814033566"/>
        </c:manualLayout>
      </c:layout>
      <c:barChart>
        <c:barDir val="col"/>
        <c:grouping val="stacked"/>
        <c:varyColors val="0"/>
        <c:ser>
          <c:idx val="5"/>
          <c:order val="0"/>
          <c:tx>
            <c:strRef>
              <c:f>'Graf 9+10'!$I$5</c:f>
              <c:strCache>
                <c:ptCount val="1"/>
                <c:pt idx="0">
                  <c:v>Tovary</c:v>
                </c:pt>
              </c:strCache>
            </c:strRef>
          </c:tx>
          <c:spPr>
            <a:solidFill>
              <a:srgbClr val="2C9ADC"/>
            </a:solidFill>
          </c:spPr>
          <c:invertIfNegative val="0"/>
          <c:cat>
            <c:strRef>
              <c:f>'Graf 9+10'!$R$4:$W$4</c:f>
              <c:strCache>
                <c:ptCount val="6"/>
                <c:pt idx="0">
                  <c:v>2017</c:v>
                </c:pt>
                <c:pt idx="1">
                  <c:v>2018</c:v>
                </c:pt>
                <c:pt idx="2">
                  <c:v>2019F</c:v>
                </c:pt>
                <c:pt idx="3">
                  <c:v>2020F</c:v>
                </c:pt>
                <c:pt idx="4">
                  <c:v>2021F</c:v>
                </c:pt>
                <c:pt idx="5">
                  <c:v>2022F</c:v>
                </c:pt>
              </c:strCache>
            </c:strRef>
          </c:cat>
          <c:val>
            <c:numRef>
              <c:f>'Graf 9+10'!$R$5:$W$5</c:f>
              <c:numCache>
                <c:formatCode>0.0</c:formatCode>
                <c:ptCount val="6"/>
                <c:pt idx="0">
                  <c:v>0.8130127651955511</c:v>
                </c:pt>
                <c:pt idx="1">
                  <c:v>5.3505906070198367E-2</c:v>
                </c:pt>
                <c:pt idx="2">
                  <c:v>0.76103536052818699</c:v>
                </c:pt>
                <c:pt idx="3">
                  <c:v>1.3614705151774584</c:v>
                </c:pt>
                <c:pt idx="4">
                  <c:v>1.9650312575790345</c:v>
                </c:pt>
                <c:pt idx="5">
                  <c:v>2.0687636392604927</c:v>
                </c:pt>
              </c:numCache>
            </c:numRef>
          </c:val>
          <c:extLst xmlns:c16r2="http://schemas.microsoft.com/office/drawing/2015/06/chart">
            <c:ext xmlns:c16="http://schemas.microsoft.com/office/drawing/2014/chart" uri="{C3380CC4-5D6E-409C-BE32-E72D297353CC}">
              <c16:uniqueId val="{00000000-49C5-4097-9BEB-240D97A3F50F}"/>
            </c:ext>
          </c:extLst>
        </c:ser>
        <c:ser>
          <c:idx val="8"/>
          <c:order val="1"/>
          <c:tx>
            <c:strRef>
              <c:f>'Graf 9+10'!$I$6</c:f>
              <c:strCache>
                <c:ptCount val="1"/>
                <c:pt idx="0">
                  <c:v>Služby</c:v>
                </c:pt>
              </c:strCache>
            </c:strRef>
          </c:tx>
          <c:spPr>
            <a:solidFill>
              <a:schemeClr val="tx2">
                <a:lumMod val="20000"/>
                <a:lumOff val="80000"/>
              </a:schemeClr>
            </a:solidFill>
            <a:ln>
              <a:noFill/>
            </a:ln>
          </c:spPr>
          <c:invertIfNegative val="0"/>
          <c:cat>
            <c:strRef>
              <c:f>'Graf 9+10'!$R$4:$W$4</c:f>
              <c:strCache>
                <c:ptCount val="6"/>
                <c:pt idx="0">
                  <c:v>2017</c:v>
                </c:pt>
                <c:pt idx="1">
                  <c:v>2018</c:v>
                </c:pt>
                <c:pt idx="2">
                  <c:v>2019F</c:v>
                </c:pt>
                <c:pt idx="3">
                  <c:v>2020F</c:v>
                </c:pt>
                <c:pt idx="4">
                  <c:v>2021F</c:v>
                </c:pt>
                <c:pt idx="5">
                  <c:v>2022F</c:v>
                </c:pt>
              </c:strCache>
            </c:strRef>
          </c:cat>
          <c:val>
            <c:numRef>
              <c:f>'Graf 9+10'!$R$6:$W$6</c:f>
              <c:numCache>
                <c:formatCode>0.0</c:formatCode>
                <c:ptCount val="6"/>
                <c:pt idx="0">
                  <c:v>1.0370534290171225</c:v>
                </c:pt>
                <c:pt idx="1">
                  <c:v>0.8552496007771514</c:v>
                </c:pt>
                <c:pt idx="2">
                  <c:v>0.98801848341966836</c:v>
                </c:pt>
                <c:pt idx="3">
                  <c:v>0.97404191441446231</c:v>
                </c:pt>
                <c:pt idx="4">
                  <c:v>0.88021394292641786</c:v>
                </c:pt>
                <c:pt idx="5">
                  <c:v>0.90039207262151555</c:v>
                </c:pt>
              </c:numCache>
            </c:numRef>
          </c:val>
          <c:extLst xmlns:c16r2="http://schemas.microsoft.com/office/drawing/2015/06/chart">
            <c:ext xmlns:c16="http://schemas.microsoft.com/office/drawing/2014/chart" uri="{C3380CC4-5D6E-409C-BE32-E72D297353CC}">
              <c16:uniqueId val="{00000001-49C5-4097-9BEB-240D97A3F50F}"/>
            </c:ext>
          </c:extLst>
        </c:ser>
        <c:ser>
          <c:idx val="0"/>
          <c:order val="2"/>
          <c:tx>
            <c:strRef>
              <c:f>'Graf 9+10'!$I$7</c:f>
              <c:strCache>
                <c:ptCount val="1"/>
                <c:pt idx="0">
                  <c:v>Primárne výnosy</c:v>
                </c:pt>
              </c:strCache>
            </c:strRef>
          </c:tx>
          <c:invertIfNegative val="0"/>
          <c:cat>
            <c:strRef>
              <c:f>'Graf 9+10'!$R$4:$W$4</c:f>
              <c:strCache>
                <c:ptCount val="6"/>
                <c:pt idx="0">
                  <c:v>2017</c:v>
                </c:pt>
                <c:pt idx="1">
                  <c:v>2018</c:v>
                </c:pt>
                <c:pt idx="2">
                  <c:v>2019F</c:v>
                </c:pt>
                <c:pt idx="3">
                  <c:v>2020F</c:v>
                </c:pt>
                <c:pt idx="4">
                  <c:v>2021F</c:v>
                </c:pt>
                <c:pt idx="5">
                  <c:v>2022F</c:v>
                </c:pt>
              </c:strCache>
            </c:strRef>
          </c:cat>
          <c:val>
            <c:numRef>
              <c:f>'Graf 9+10'!$R$7:$W$7</c:f>
              <c:numCache>
                <c:formatCode>0.0</c:formatCode>
                <c:ptCount val="6"/>
                <c:pt idx="0">
                  <c:v>-2.3303591825762524</c:v>
                </c:pt>
                <c:pt idx="1">
                  <c:v>-2.0337179947854134</c:v>
                </c:pt>
                <c:pt idx="2">
                  <c:v>-2.1999999999999997</c:v>
                </c:pt>
                <c:pt idx="3">
                  <c:v>-2.2999999999999998</c:v>
                </c:pt>
                <c:pt idx="4">
                  <c:v>-2.4</c:v>
                </c:pt>
                <c:pt idx="5">
                  <c:v>-2.5</c:v>
                </c:pt>
              </c:numCache>
            </c:numRef>
          </c:val>
          <c:extLst xmlns:c16r2="http://schemas.microsoft.com/office/drawing/2015/06/chart">
            <c:ext xmlns:c16="http://schemas.microsoft.com/office/drawing/2014/chart" uri="{C3380CC4-5D6E-409C-BE32-E72D297353CC}">
              <c16:uniqueId val="{00000002-49C5-4097-9BEB-240D97A3F50F}"/>
            </c:ext>
          </c:extLst>
        </c:ser>
        <c:ser>
          <c:idx val="1"/>
          <c:order val="3"/>
          <c:tx>
            <c:strRef>
              <c:f>'Graf 9+10'!$I$8</c:f>
              <c:strCache>
                <c:ptCount val="1"/>
                <c:pt idx="0">
                  <c:v>Sekundárne výnosy</c:v>
                </c:pt>
              </c:strCache>
            </c:strRef>
          </c:tx>
          <c:invertIfNegative val="0"/>
          <c:cat>
            <c:strRef>
              <c:f>'Graf 9+10'!$R$4:$W$4</c:f>
              <c:strCache>
                <c:ptCount val="6"/>
                <c:pt idx="0">
                  <c:v>2017</c:v>
                </c:pt>
                <c:pt idx="1">
                  <c:v>2018</c:v>
                </c:pt>
                <c:pt idx="2">
                  <c:v>2019F</c:v>
                </c:pt>
                <c:pt idx="3">
                  <c:v>2020F</c:v>
                </c:pt>
                <c:pt idx="4">
                  <c:v>2021F</c:v>
                </c:pt>
                <c:pt idx="5">
                  <c:v>2022F</c:v>
                </c:pt>
              </c:strCache>
            </c:strRef>
          </c:cat>
          <c:val>
            <c:numRef>
              <c:f>'Graf 9+10'!$R$8:$W$8</c:f>
              <c:numCache>
                <c:formatCode>0.0</c:formatCode>
                <c:ptCount val="6"/>
                <c:pt idx="0">
                  <c:v>-1.5112395895886699</c:v>
                </c:pt>
                <c:pt idx="1">
                  <c:v>-1.3691515207474902</c:v>
                </c:pt>
                <c:pt idx="2">
                  <c:v>-1.5</c:v>
                </c:pt>
                <c:pt idx="3">
                  <c:v>-1.5</c:v>
                </c:pt>
                <c:pt idx="4">
                  <c:v>-1.5</c:v>
                </c:pt>
                <c:pt idx="5">
                  <c:v>-1.5</c:v>
                </c:pt>
              </c:numCache>
            </c:numRef>
          </c:val>
          <c:extLst xmlns:c16r2="http://schemas.microsoft.com/office/drawing/2015/06/chart">
            <c:ext xmlns:c16="http://schemas.microsoft.com/office/drawing/2014/chart" uri="{C3380CC4-5D6E-409C-BE32-E72D297353CC}">
              <c16:uniqueId val="{00000003-49C5-4097-9BEB-240D97A3F50F}"/>
            </c:ext>
          </c:extLst>
        </c:ser>
        <c:dLbls>
          <c:showLegendKey val="0"/>
          <c:showVal val="0"/>
          <c:showCatName val="0"/>
          <c:showSerName val="0"/>
          <c:showPercent val="0"/>
          <c:showBubbleSize val="0"/>
        </c:dLbls>
        <c:gapWidth val="150"/>
        <c:overlap val="100"/>
        <c:axId val="296917680"/>
        <c:axId val="293733040"/>
      </c:barChart>
      <c:lineChart>
        <c:grouping val="standard"/>
        <c:varyColors val="0"/>
        <c:ser>
          <c:idx val="3"/>
          <c:order val="4"/>
          <c:tx>
            <c:strRef>
              <c:f>'Graf 9+10'!$I$9</c:f>
              <c:strCache>
                <c:ptCount val="1"/>
                <c:pt idx="0">
                  <c:v>BÚ PB</c:v>
                </c:pt>
              </c:strCache>
            </c:strRef>
          </c:tx>
          <c:spPr>
            <a:ln w="19050">
              <a:solidFill>
                <a:sysClr val="windowText" lastClr="000000"/>
              </a:solidFill>
            </a:ln>
          </c:spPr>
          <c:marker>
            <c:symbol val="none"/>
          </c:marker>
          <c:cat>
            <c:strRef>
              <c:f>'Graf 9+10'!$R$4:$W$4</c:f>
              <c:strCache>
                <c:ptCount val="6"/>
                <c:pt idx="0">
                  <c:v>2017</c:v>
                </c:pt>
                <c:pt idx="1">
                  <c:v>2018</c:v>
                </c:pt>
                <c:pt idx="2">
                  <c:v>2019F</c:v>
                </c:pt>
                <c:pt idx="3">
                  <c:v>2020F</c:v>
                </c:pt>
                <c:pt idx="4">
                  <c:v>2021F</c:v>
                </c:pt>
                <c:pt idx="5">
                  <c:v>2022F</c:v>
                </c:pt>
              </c:strCache>
            </c:strRef>
          </c:cat>
          <c:val>
            <c:numRef>
              <c:f>'Graf 9+10'!$R$9:$W$9</c:f>
              <c:numCache>
                <c:formatCode>0.0</c:formatCode>
                <c:ptCount val="6"/>
                <c:pt idx="0">
                  <c:v>-1.9915325779522481</c:v>
                </c:pt>
                <c:pt idx="1">
                  <c:v>-2.4941140086855538</c:v>
                </c:pt>
                <c:pt idx="2">
                  <c:v>-1.9509461560521444</c:v>
                </c:pt>
                <c:pt idx="3">
                  <c:v>-1.4644875704080791</c:v>
                </c:pt>
                <c:pt idx="4">
                  <c:v>-1.0547547994945476</c:v>
                </c:pt>
                <c:pt idx="5">
                  <c:v>-1.030844288117992</c:v>
                </c:pt>
              </c:numCache>
            </c:numRef>
          </c:val>
          <c:smooth val="0"/>
          <c:extLst xmlns:c16r2="http://schemas.microsoft.com/office/drawing/2015/06/chart">
            <c:ext xmlns:c16="http://schemas.microsoft.com/office/drawing/2014/chart" uri="{C3380CC4-5D6E-409C-BE32-E72D297353CC}">
              <c16:uniqueId val="{00000004-49C5-4097-9BEB-240D97A3F50F}"/>
            </c:ext>
          </c:extLst>
        </c:ser>
        <c:dLbls>
          <c:showLegendKey val="0"/>
          <c:showVal val="0"/>
          <c:showCatName val="0"/>
          <c:showSerName val="0"/>
          <c:showPercent val="0"/>
          <c:showBubbleSize val="0"/>
        </c:dLbls>
        <c:marker val="1"/>
        <c:smooth val="0"/>
        <c:axId val="296917680"/>
        <c:axId val="293733040"/>
      </c:lineChart>
      <c:catAx>
        <c:axId val="296917680"/>
        <c:scaling>
          <c:orientation val="minMax"/>
        </c:scaling>
        <c:delete val="0"/>
        <c:axPos val="b"/>
        <c:numFmt formatCode="General" sourceLinked="1"/>
        <c:majorTickMark val="out"/>
        <c:minorTickMark val="none"/>
        <c:tickLblPos val="low"/>
        <c:txPr>
          <a:bodyPr/>
          <a:lstStyle/>
          <a:p>
            <a:pPr>
              <a:defRPr sz="800"/>
            </a:pPr>
            <a:endParaRPr lang="sk-SK"/>
          </a:p>
        </c:txPr>
        <c:crossAx val="293733040"/>
        <c:crosses val="autoZero"/>
        <c:auto val="1"/>
        <c:lblAlgn val="ctr"/>
        <c:lblOffset val="100"/>
        <c:noMultiLvlLbl val="0"/>
      </c:catAx>
      <c:valAx>
        <c:axId val="293733040"/>
        <c:scaling>
          <c:orientation val="minMax"/>
        </c:scaling>
        <c:delete val="0"/>
        <c:axPos val="l"/>
        <c:majorGridlines>
          <c:spPr>
            <a:ln>
              <a:solidFill>
                <a:sysClr val="window" lastClr="FFFFFF">
                  <a:lumMod val="75000"/>
                </a:sysClr>
              </a:solidFill>
              <a:prstDash val="sysDot"/>
            </a:ln>
          </c:spPr>
        </c:majorGridlines>
        <c:numFmt formatCode="0.0" sourceLinked="0"/>
        <c:majorTickMark val="out"/>
        <c:minorTickMark val="none"/>
        <c:tickLblPos val="nextTo"/>
        <c:txPr>
          <a:bodyPr/>
          <a:lstStyle/>
          <a:p>
            <a:pPr>
              <a:defRPr sz="800"/>
            </a:pPr>
            <a:endParaRPr lang="sk-SK"/>
          </a:p>
        </c:txPr>
        <c:crossAx val="296917680"/>
        <c:crosses val="autoZero"/>
        <c:crossBetween val="between"/>
      </c:valAx>
    </c:plotArea>
    <c:legend>
      <c:legendPos val="b"/>
      <c:layout>
        <c:manualLayout>
          <c:xMode val="edge"/>
          <c:yMode val="edge"/>
          <c:x val="7.2660898376296121E-2"/>
          <c:y val="1.1594789183462156E-2"/>
          <c:w val="0.9104445974671419"/>
          <c:h val="0.2116468010306051"/>
        </c:manualLayout>
      </c:layout>
      <c:overlay val="0"/>
      <c:txPr>
        <a:bodyPr/>
        <a:lstStyle/>
        <a:p>
          <a:pPr>
            <a:defRPr sz="600"/>
          </a:pPr>
          <a:endParaRPr lang="sk-SK"/>
        </a:p>
      </c:txPr>
    </c:legend>
    <c:plotVisOnly val="1"/>
    <c:dispBlanksAs val="gap"/>
    <c:showDLblsOverMax val="0"/>
  </c:chart>
  <c:spPr>
    <a:ln>
      <a:noFill/>
    </a:ln>
  </c:spPr>
  <c:txPr>
    <a:bodyPr/>
    <a:lstStyle/>
    <a:p>
      <a:pPr>
        <a:defRPr>
          <a:latin typeface="Arial Narrow" pitchFamily="34"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98591299275993E-2"/>
          <c:y val="5.9986353855937424E-2"/>
          <c:w val="0.8809365133706113"/>
          <c:h val="0.83395502440461289"/>
        </c:manualLayout>
      </c:layout>
      <c:barChart>
        <c:barDir val="col"/>
        <c:grouping val="stacked"/>
        <c:varyColors val="0"/>
        <c:ser>
          <c:idx val="1"/>
          <c:order val="1"/>
          <c:tx>
            <c:strRef>
              <c:f>'Graf 9+10'!$I$15</c:f>
              <c:strCache>
                <c:ptCount val="1"/>
                <c:pt idx="0">
                  <c:v>Čistá inflácia</c:v>
                </c:pt>
              </c:strCache>
            </c:strRef>
          </c:tx>
          <c:spPr>
            <a:solidFill>
              <a:srgbClr val="2C9ADC"/>
            </a:solidFill>
            <a:ln>
              <a:noFill/>
            </a:ln>
            <a:effectLst/>
          </c:spPr>
          <c:invertIfNegative val="0"/>
          <c:cat>
            <c:strRef>
              <c:f>'Graf 9+10'!$L$13:$Q$13</c:f>
              <c:strCache>
                <c:ptCount val="6"/>
                <c:pt idx="0">
                  <c:v>2017</c:v>
                </c:pt>
                <c:pt idx="1">
                  <c:v>2018</c:v>
                </c:pt>
                <c:pt idx="2">
                  <c:v>2019F</c:v>
                </c:pt>
                <c:pt idx="3">
                  <c:v>2020F</c:v>
                </c:pt>
                <c:pt idx="4">
                  <c:v>2021F</c:v>
                </c:pt>
                <c:pt idx="5">
                  <c:v>2022F</c:v>
                </c:pt>
              </c:strCache>
            </c:strRef>
          </c:cat>
          <c:val>
            <c:numRef>
              <c:f>'Graf 9+10'!$L$15:$Q$15</c:f>
              <c:numCache>
                <c:formatCode>0.0</c:formatCode>
                <c:ptCount val="6"/>
                <c:pt idx="0">
                  <c:v>0.87553326711939694</c:v>
                </c:pt>
                <c:pt idx="1">
                  <c:v>1.5497173777771458</c:v>
                </c:pt>
                <c:pt idx="2">
                  <c:v>1.3934242168569742</c:v>
                </c:pt>
                <c:pt idx="3">
                  <c:v>1.9949895584149935</c:v>
                </c:pt>
                <c:pt idx="4">
                  <c:v>2.0459305703615973</c:v>
                </c:pt>
                <c:pt idx="5">
                  <c:v>2.0643170037858987</c:v>
                </c:pt>
              </c:numCache>
            </c:numRef>
          </c:val>
          <c:extLst xmlns:c16r2="http://schemas.microsoft.com/office/drawing/2015/06/chart">
            <c:ext xmlns:c16="http://schemas.microsoft.com/office/drawing/2014/chart" uri="{C3380CC4-5D6E-409C-BE32-E72D297353CC}">
              <c16:uniqueId val="{00000000-F78A-4BC1-B3EA-139BB76CDBD5}"/>
            </c:ext>
          </c:extLst>
        </c:ser>
        <c:ser>
          <c:idx val="2"/>
          <c:order val="2"/>
          <c:tx>
            <c:strRef>
              <c:f>'Graf 9+10'!$I$16</c:f>
              <c:strCache>
                <c:ptCount val="1"/>
                <c:pt idx="0">
                  <c:v>Ceny potravín</c:v>
                </c:pt>
              </c:strCache>
            </c:strRef>
          </c:tx>
          <c:spPr>
            <a:solidFill>
              <a:srgbClr val="555555"/>
            </a:solidFill>
            <a:ln>
              <a:noFill/>
            </a:ln>
            <a:effectLst/>
          </c:spPr>
          <c:invertIfNegative val="0"/>
          <c:cat>
            <c:strRef>
              <c:f>'Graf 9+10'!$L$13:$Q$13</c:f>
              <c:strCache>
                <c:ptCount val="6"/>
                <c:pt idx="0">
                  <c:v>2017</c:v>
                </c:pt>
                <c:pt idx="1">
                  <c:v>2018</c:v>
                </c:pt>
                <c:pt idx="2">
                  <c:v>2019F</c:v>
                </c:pt>
                <c:pt idx="3">
                  <c:v>2020F</c:v>
                </c:pt>
                <c:pt idx="4">
                  <c:v>2021F</c:v>
                </c:pt>
                <c:pt idx="5">
                  <c:v>2022F</c:v>
                </c:pt>
              </c:strCache>
            </c:strRef>
          </c:cat>
          <c:val>
            <c:numRef>
              <c:f>'Graf 9+10'!$L$16:$Q$16</c:f>
              <c:numCache>
                <c:formatCode>0.0</c:formatCode>
                <c:ptCount val="6"/>
                <c:pt idx="0">
                  <c:v>0.71369693522654831</c:v>
                </c:pt>
                <c:pt idx="1">
                  <c:v>0.67025021973269472</c:v>
                </c:pt>
                <c:pt idx="2">
                  <c:v>0.22471784499323333</c:v>
                </c:pt>
                <c:pt idx="3">
                  <c:v>0.42264771939418555</c:v>
                </c:pt>
                <c:pt idx="4">
                  <c:v>0.48732788582125891</c:v>
                </c:pt>
                <c:pt idx="5">
                  <c:v>0.4695782431916653</c:v>
                </c:pt>
              </c:numCache>
            </c:numRef>
          </c:val>
          <c:extLst xmlns:c16r2="http://schemas.microsoft.com/office/drawing/2015/06/chart">
            <c:ext xmlns:c16="http://schemas.microsoft.com/office/drawing/2014/chart" uri="{C3380CC4-5D6E-409C-BE32-E72D297353CC}">
              <c16:uniqueId val="{00000001-F78A-4BC1-B3EA-139BB76CDBD5}"/>
            </c:ext>
          </c:extLst>
        </c:ser>
        <c:ser>
          <c:idx val="3"/>
          <c:order val="3"/>
          <c:tx>
            <c:strRef>
              <c:f>'Graf 9+10'!$I$17</c:f>
              <c:strCache>
                <c:ptCount val="1"/>
                <c:pt idx="0">
                  <c:v>Regulované ceny</c:v>
                </c:pt>
              </c:strCache>
            </c:strRef>
          </c:tx>
          <c:spPr>
            <a:solidFill>
              <a:srgbClr val="BDD7EE"/>
            </a:solidFill>
            <a:ln>
              <a:noFill/>
            </a:ln>
            <a:effectLst/>
          </c:spPr>
          <c:invertIfNegative val="0"/>
          <c:cat>
            <c:strRef>
              <c:f>'Graf 9+10'!$L$13:$Q$13</c:f>
              <c:strCache>
                <c:ptCount val="6"/>
                <c:pt idx="0">
                  <c:v>2017</c:v>
                </c:pt>
                <c:pt idx="1">
                  <c:v>2018</c:v>
                </c:pt>
                <c:pt idx="2">
                  <c:v>2019F</c:v>
                </c:pt>
                <c:pt idx="3">
                  <c:v>2020F</c:v>
                </c:pt>
                <c:pt idx="4">
                  <c:v>2021F</c:v>
                </c:pt>
                <c:pt idx="5">
                  <c:v>2022F</c:v>
                </c:pt>
              </c:strCache>
            </c:strRef>
          </c:cat>
          <c:val>
            <c:numRef>
              <c:f>'Graf 9+10'!$L$17:$Q$17</c:f>
              <c:numCache>
                <c:formatCode>0.0</c:formatCode>
                <c:ptCount val="6"/>
                <c:pt idx="0">
                  <c:v>-0.38336891664329975</c:v>
                </c:pt>
                <c:pt idx="1">
                  <c:v>0.24111304014093335</c:v>
                </c:pt>
                <c:pt idx="2">
                  <c:v>0.58961935641732988</c:v>
                </c:pt>
                <c:pt idx="3">
                  <c:v>-1.5039323959383816E-2</c:v>
                </c:pt>
                <c:pt idx="4">
                  <c:v>-0.14942480349926174</c:v>
                </c:pt>
                <c:pt idx="5">
                  <c:v>-0.14430680326217332</c:v>
                </c:pt>
              </c:numCache>
            </c:numRef>
          </c:val>
          <c:extLst xmlns:c16r2="http://schemas.microsoft.com/office/drawing/2015/06/chart">
            <c:ext xmlns:c16="http://schemas.microsoft.com/office/drawing/2014/chart" uri="{C3380CC4-5D6E-409C-BE32-E72D297353CC}">
              <c16:uniqueId val="{00000002-F78A-4BC1-B3EA-139BB76CDBD5}"/>
            </c:ext>
          </c:extLst>
        </c:ser>
        <c:ser>
          <c:idx val="4"/>
          <c:order val="4"/>
          <c:tx>
            <c:strRef>
              <c:f>'Graf 9+10'!$I$18</c:f>
              <c:strCache>
                <c:ptCount val="1"/>
                <c:pt idx="0">
                  <c:v>Zmena nepriamych daní</c:v>
                </c:pt>
              </c:strCache>
            </c:strRef>
          </c:tx>
          <c:spPr>
            <a:solidFill>
              <a:srgbClr val="9E9E9E"/>
            </a:solidFill>
            <a:ln>
              <a:noFill/>
            </a:ln>
            <a:effectLst/>
          </c:spPr>
          <c:invertIfNegative val="0"/>
          <c:cat>
            <c:strRef>
              <c:f>'Graf 9+10'!$L$13:$Q$13</c:f>
              <c:strCache>
                <c:ptCount val="6"/>
                <c:pt idx="0">
                  <c:v>2017</c:v>
                </c:pt>
                <c:pt idx="1">
                  <c:v>2018</c:v>
                </c:pt>
                <c:pt idx="2">
                  <c:v>2019F</c:v>
                </c:pt>
                <c:pt idx="3">
                  <c:v>2020F</c:v>
                </c:pt>
                <c:pt idx="4">
                  <c:v>2021F</c:v>
                </c:pt>
                <c:pt idx="5">
                  <c:v>2022F</c:v>
                </c:pt>
              </c:strCache>
            </c:strRef>
          </c:cat>
          <c:val>
            <c:numRef>
              <c:f>'Graf 9+10'!$L$18:$Q$18</c:f>
              <c:numCache>
                <c:formatCode>0.0</c:formatCode>
                <c:ptCount val="6"/>
                <c:pt idx="0">
                  <c:v>0.1</c:v>
                </c:pt>
                <c:pt idx="1">
                  <c:v>0</c:v>
                </c:pt>
                <c:pt idx="2">
                  <c:v>0.36706098633676543</c:v>
                </c:pt>
                <c:pt idx="3">
                  <c:v>2.4962363552063493E-2</c:v>
                </c:pt>
                <c:pt idx="4">
                  <c:v>0</c:v>
                </c:pt>
                <c:pt idx="5">
                  <c:v>0</c:v>
                </c:pt>
              </c:numCache>
            </c:numRef>
          </c:val>
          <c:extLst xmlns:c16r2="http://schemas.microsoft.com/office/drawing/2015/06/chart">
            <c:ext xmlns:c16="http://schemas.microsoft.com/office/drawing/2014/chart" uri="{C3380CC4-5D6E-409C-BE32-E72D297353CC}">
              <c16:uniqueId val="{00000000-086E-4346-B1B5-3220720067D5}"/>
            </c:ext>
          </c:extLst>
        </c:ser>
        <c:dLbls>
          <c:showLegendKey val="0"/>
          <c:showVal val="0"/>
          <c:showCatName val="0"/>
          <c:showSerName val="0"/>
          <c:showPercent val="0"/>
          <c:showBubbleSize val="0"/>
        </c:dLbls>
        <c:gapWidth val="150"/>
        <c:overlap val="100"/>
        <c:axId val="293733824"/>
        <c:axId val="293734216"/>
      </c:barChart>
      <c:lineChart>
        <c:grouping val="standard"/>
        <c:varyColors val="0"/>
        <c:ser>
          <c:idx val="0"/>
          <c:order val="0"/>
          <c:tx>
            <c:strRef>
              <c:f>'Graf 9+10'!$I$14</c:f>
              <c:strCache>
                <c:ptCount val="1"/>
                <c:pt idx="0">
                  <c:v>Celková inflácia</c:v>
                </c:pt>
              </c:strCache>
            </c:strRef>
          </c:tx>
          <c:spPr>
            <a:ln w="19050" cap="rnd">
              <a:solidFill>
                <a:schemeClr val="tx1"/>
              </a:solidFill>
              <a:round/>
            </a:ln>
            <a:effectLst/>
          </c:spPr>
          <c:marker>
            <c:symbol val="none"/>
          </c:marker>
          <c:cat>
            <c:strRef>
              <c:f>'Graf 9+10'!$L$13:$Q$13</c:f>
              <c:strCache>
                <c:ptCount val="6"/>
                <c:pt idx="0">
                  <c:v>2017</c:v>
                </c:pt>
                <c:pt idx="1">
                  <c:v>2018</c:v>
                </c:pt>
                <c:pt idx="2">
                  <c:v>2019F</c:v>
                </c:pt>
                <c:pt idx="3">
                  <c:v>2020F</c:v>
                </c:pt>
                <c:pt idx="4">
                  <c:v>2021F</c:v>
                </c:pt>
                <c:pt idx="5">
                  <c:v>2022F</c:v>
                </c:pt>
              </c:strCache>
            </c:strRef>
          </c:cat>
          <c:val>
            <c:numRef>
              <c:f>'Graf 9+10'!$L$14:$Q$14</c:f>
              <c:numCache>
                <c:formatCode>0.0</c:formatCode>
                <c:ptCount val="6"/>
                <c:pt idx="0">
                  <c:v>1.3058612857026457</c:v>
                </c:pt>
                <c:pt idx="1">
                  <c:v>2.4610806376507735</c:v>
                </c:pt>
                <c:pt idx="2">
                  <c:v>2.5748224046043027</c:v>
                </c:pt>
                <c:pt idx="3">
                  <c:v>2.4275603174018587</c:v>
                </c:pt>
                <c:pt idx="4">
                  <c:v>2.3838336526835948</c:v>
                </c:pt>
                <c:pt idx="5">
                  <c:v>2.3895884437153905</c:v>
                </c:pt>
              </c:numCache>
            </c:numRef>
          </c:val>
          <c:smooth val="0"/>
          <c:extLst xmlns:c16r2="http://schemas.microsoft.com/office/drawing/2015/06/chart">
            <c:ext xmlns:c16="http://schemas.microsoft.com/office/drawing/2014/chart" uri="{C3380CC4-5D6E-409C-BE32-E72D297353CC}">
              <c16:uniqueId val="{00000003-F78A-4BC1-B3EA-139BB76CDBD5}"/>
            </c:ext>
          </c:extLst>
        </c:ser>
        <c:dLbls>
          <c:showLegendKey val="0"/>
          <c:showVal val="0"/>
          <c:showCatName val="0"/>
          <c:showSerName val="0"/>
          <c:showPercent val="0"/>
          <c:showBubbleSize val="0"/>
        </c:dLbls>
        <c:marker val="1"/>
        <c:smooth val="0"/>
        <c:axId val="293733824"/>
        <c:axId val="293734216"/>
      </c:lineChart>
      <c:catAx>
        <c:axId val="293733824"/>
        <c:scaling>
          <c:orientation val="minMax"/>
        </c:scaling>
        <c:delete val="0"/>
        <c:axPos val="b"/>
        <c:numFmt formatCode="General" sourceLinked="1"/>
        <c:majorTickMark val="none"/>
        <c:minorTickMark val="none"/>
        <c:tickLblPos val="low"/>
        <c:spPr>
          <a:noFill/>
          <a:ln w="63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93734216"/>
        <c:crosses val="autoZero"/>
        <c:auto val="1"/>
        <c:lblAlgn val="ctr"/>
        <c:lblOffset val="100"/>
        <c:noMultiLvlLbl val="0"/>
      </c:catAx>
      <c:valAx>
        <c:axId val="293734216"/>
        <c:scaling>
          <c:orientation val="minMax"/>
        </c:scaling>
        <c:delete val="0"/>
        <c:axPos val="l"/>
        <c:majorGridlines>
          <c:spPr>
            <a:ln w="6350" cap="flat" cmpd="sng" algn="ctr">
              <a:solidFill>
                <a:schemeClr val="bg1">
                  <a:lumMod val="85000"/>
                </a:schemeClr>
              </a:solidFill>
              <a:prstDash val="sysDot"/>
              <a:round/>
            </a:ln>
            <a:effectLst/>
          </c:spPr>
        </c:majorGridlines>
        <c:numFmt formatCode="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93733824"/>
        <c:crosses val="autoZero"/>
        <c:crossBetween val="between"/>
      </c:valAx>
      <c:spPr>
        <a:noFill/>
        <a:ln>
          <a:noFill/>
        </a:ln>
        <a:effectLst/>
      </c:spPr>
    </c:plotArea>
    <c:legend>
      <c:legendPos val="b"/>
      <c:layout>
        <c:manualLayout>
          <c:xMode val="edge"/>
          <c:yMode val="edge"/>
          <c:x val="0.11014687509079815"/>
          <c:y val="0.67756433760697043"/>
          <c:w val="0.81092470151389506"/>
          <c:h val="0.24592160786531517"/>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latin typeface="Arial Narrow" panose="020B060602020203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9270861526002"/>
          <c:y val="3.5267154105736782E-2"/>
          <c:w val="0.78108339398751625"/>
          <c:h val="0.81278046296086193"/>
        </c:manualLayout>
      </c:layout>
      <c:barChart>
        <c:barDir val="col"/>
        <c:grouping val="clustered"/>
        <c:varyColors val="0"/>
        <c:ser>
          <c:idx val="0"/>
          <c:order val="0"/>
          <c:tx>
            <c:strRef>
              <c:f>'Graf 13'!$H$1</c:f>
              <c:strCache>
                <c:ptCount val="1"/>
                <c:pt idx="0">
                  <c:v>Reálny rast HDP Eurozóny (yoy, vľavo)</c:v>
                </c:pt>
              </c:strCache>
            </c:strRef>
          </c:tx>
          <c:spPr>
            <a:solidFill>
              <a:srgbClr val="0070C0"/>
            </a:solidFill>
            <a:ln>
              <a:noFill/>
            </a:ln>
            <a:effectLst/>
          </c:spPr>
          <c:invertIfNegative val="0"/>
          <c:dLbls>
            <c:dLbl>
              <c:idx val="102"/>
              <c:layout>
                <c:manualLayout>
                  <c:x val="-6.8916385451820578E-3"/>
                  <c:y val="-3.6246892146270811E-2"/>
                </c:manualLayout>
              </c:layout>
              <c:tx>
                <c:rich>
                  <a:bodyPr/>
                  <a:lstStyle/>
                  <a:p>
                    <a:r>
                      <a:rPr lang="en-US"/>
                      <a:t>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AD-46AF-A8D9-561DB615B162}"/>
                </c:ext>
                <c:ext xmlns:c15="http://schemas.microsoft.com/office/drawing/2012/chart" uri="{CE6537A1-D6FC-4f65-9D91-7224C49458BB}"/>
              </c:extLst>
            </c:dLbl>
            <c:dLbl>
              <c:idx val="105"/>
              <c:layout>
                <c:manualLayout>
                  <c:x val="2.8899181719932068E-2"/>
                  <c:y val="3.6187447809287468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Narrow" panose="020B0606020202030204" pitchFamily="34" charset="0"/>
                        <a:ea typeface="+mn-ea"/>
                        <a:cs typeface="+mn-cs"/>
                      </a:defRPr>
                    </a:pPr>
                    <a:r>
                      <a:rPr lang="en-US"/>
                      <a:t>F 0.3</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AD-46AF-A8D9-561DB615B162}"/>
                </c:ext>
                <c:ext xmlns:c15="http://schemas.microsoft.com/office/drawing/2012/chart" uri="{CE6537A1-D6FC-4f65-9D91-7224C49458BB}">
                  <c15:layout>
                    <c:manualLayout>
                      <c:w val="0.12400714616555283"/>
                      <c:h val="8.580412619183536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'[81]PMI data'!$B$124:$B$230</c:f>
              <c:strCache>
                <c:ptCount val="107"/>
                <c:pt idx="0">
                  <c:v>2010
Q1</c:v>
                </c:pt>
                <c:pt idx="3">
                  <c:v>Q2</c:v>
                </c:pt>
                <c:pt idx="6">
                  <c:v>Q3</c:v>
                </c:pt>
                <c:pt idx="9">
                  <c:v>Q4</c:v>
                </c:pt>
                <c:pt idx="12">
                  <c:v>2011
Q1</c:v>
                </c:pt>
                <c:pt idx="15">
                  <c:v>Q2</c:v>
                </c:pt>
                <c:pt idx="18">
                  <c:v>Q3</c:v>
                </c:pt>
                <c:pt idx="21">
                  <c:v>Q4</c:v>
                </c:pt>
                <c:pt idx="24">
                  <c:v>2012
Q1</c:v>
                </c:pt>
                <c:pt idx="27">
                  <c:v>Q2</c:v>
                </c:pt>
                <c:pt idx="30">
                  <c:v>Q3</c:v>
                </c:pt>
                <c:pt idx="33">
                  <c:v>Q4</c:v>
                </c:pt>
                <c:pt idx="36">
                  <c:v>2013
Q1</c:v>
                </c:pt>
                <c:pt idx="39">
                  <c:v>Q2</c:v>
                </c:pt>
                <c:pt idx="42">
                  <c:v>Q3</c:v>
                </c:pt>
                <c:pt idx="45">
                  <c:v>Q4</c:v>
                </c:pt>
                <c:pt idx="48">
                  <c:v>2014
Q1</c:v>
                </c:pt>
                <c:pt idx="51">
                  <c:v>Q2</c:v>
                </c:pt>
                <c:pt idx="54">
                  <c:v>Q3</c:v>
                </c:pt>
                <c:pt idx="57">
                  <c:v>Q4</c:v>
                </c:pt>
                <c:pt idx="60">
                  <c:v>2015
Q1</c:v>
                </c:pt>
                <c:pt idx="63">
                  <c:v>Q2</c:v>
                </c:pt>
                <c:pt idx="66">
                  <c:v>Q3</c:v>
                </c:pt>
                <c:pt idx="69">
                  <c:v>Q4</c:v>
                </c:pt>
                <c:pt idx="72">
                  <c:v>2016
Q1</c:v>
                </c:pt>
                <c:pt idx="75">
                  <c:v>Q2</c:v>
                </c:pt>
                <c:pt idx="78">
                  <c:v>Q3</c:v>
                </c:pt>
                <c:pt idx="81">
                  <c:v>Q4</c:v>
                </c:pt>
                <c:pt idx="84">
                  <c:v>2017
Q1</c:v>
                </c:pt>
                <c:pt idx="87">
                  <c:v>Q2</c:v>
                </c:pt>
                <c:pt idx="90">
                  <c:v>Q3</c:v>
                </c:pt>
                <c:pt idx="93">
                  <c:v>Q4</c:v>
                </c:pt>
                <c:pt idx="96">
                  <c:v>2018
Q1</c:v>
                </c:pt>
                <c:pt idx="99">
                  <c:v>Q2</c:v>
                </c:pt>
                <c:pt idx="102">
                  <c:v>Q3</c:v>
                </c:pt>
                <c:pt idx="105">
                  <c:v>Q4 F</c:v>
                </c:pt>
              </c:strCache>
            </c:strRef>
          </c:cat>
          <c:val>
            <c:numRef>
              <c:f>'Graf 13'!$H$2:$H$109</c:f>
              <c:numCache>
                <c:formatCode>General</c:formatCode>
                <c:ptCount val="108"/>
                <c:pt idx="0">
                  <c:v>0.42559734978655506</c:v>
                </c:pt>
                <c:pt idx="3">
                  <c:v>0.94445408438021961</c:v>
                </c:pt>
                <c:pt idx="6">
                  <c:v>0.45610498443537928</c:v>
                </c:pt>
                <c:pt idx="9">
                  <c:v>0.59489153297200836</c:v>
                </c:pt>
                <c:pt idx="12">
                  <c:v>0.82866909036296565</c:v>
                </c:pt>
                <c:pt idx="15">
                  <c:v>-8.7915515180614356E-3</c:v>
                </c:pt>
                <c:pt idx="18">
                  <c:v>4.1824441751048269E-3</c:v>
                </c:pt>
                <c:pt idx="21">
                  <c:v>-0.33713574576009764</c:v>
                </c:pt>
                <c:pt idx="24">
                  <c:v>-0.14713885696129303</c:v>
                </c:pt>
                <c:pt idx="27">
                  <c:v>-0.34506137757883693</c:v>
                </c:pt>
                <c:pt idx="30">
                  <c:v>-0.1502868064621854</c:v>
                </c:pt>
                <c:pt idx="33">
                  <c:v>-0.4210226042101306</c:v>
                </c:pt>
                <c:pt idx="36">
                  <c:v>-0.31947569189927361</c:v>
                </c:pt>
                <c:pt idx="39">
                  <c:v>0.47001622261115816</c:v>
                </c:pt>
                <c:pt idx="42">
                  <c:v>0.35419073799820566</c:v>
                </c:pt>
                <c:pt idx="45">
                  <c:v>0.26104841283403069</c:v>
                </c:pt>
                <c:pt idx="48">
                  <c:v>0.42467831928745259</c:v>
                </c:pt>
                <c:pt idx="51">
                  <c:v>0.13518390345528264</c:v>
                </c:pt>
                <c:pt idx="54">
                  <c:v>0.43279319324471821</c:v>
                </c:pt>
                <c:pt idx="57">
                  <c:v>0.47614516357197267</c:v>
                </c:pt>
                <c:pt idx="60">
                  <c:v>0.77572473066171987</c:v>
                </c:pt>
                <c:pt idx="63">
                  <c:v>0.32087593426071148</c:v>
                </c:pt>
                <c:pt idx="66">
                  <c:v>0.42506931438244244</c:v>
                </c:pt>
                <c:pt idx="69">
                  <c:v>0.65414005044668322</c:v>
                </c:pt>
                <c:pt idx="72">
                  <c:v>0.69231224590826645</c:v>
                </c:pt>
                <c:pt idx="75">
                  <c:v>0.28004823917699984</c:v>
                </c:pt>
                <c:pt idx="78">
                  <c:v>0.33939713199306887</c:v>
                </c:pt>
                <c:pt idx="81">
                  <c:v>0.76308864703715784</c:v>
                </c:pt>
                <c:pt idx="84">
                  <c:v>0.66242716063142915</c:v>
                </c:pt>
                <c:pt idx="87">
                  <c:v>0.6814054546837145</c:v>
                </c:pt>
                <c:pt idx="90">
                  <c:v>0.65750340538461849</c:v>
                </c:pt>
                <c:pt idx="93">
                  <c:v>0.66172008676503857</c:v>
                </c:pt>
                <c:pt idx="96">
                  <c:v>0.38589208170032308</c:v>
                </c:pt>
                <c:pt idx="99">
                  <c:v>0.44943194918634077</c:v>
                </c:pt>
                <c:pt idx="102">
                  <c:v>0.15503712881801412</c:v>
                </c:pt>
                <c:pt idx="105">
                  <c:v>0.3</c:v>
                </c:pt>
              </c:numCache>
            </c:numRef>
          </c:val>
          <c:extLst xmlns:c16r2="http://schemas.microsoft.com/office/drawing/2015/06/chart">
            <c:ext xmlns:c16="http://schemas.microsoft.com/office/drawing/2014/chart" uri="{C3380CC4-5D6E-409C-BE32-E72D297353CC}">
              <c16:uniqueId val="{00000002-B3AD-46AF-A8D9-561DB615B162}"/>
            </c:ext>
          </c:extLst>
        </c:ser>
        <c:dLbls>
          <c:showLegendKey val="0"/>
          <c:showVal val="0"/>
          <c:showCatName val="0"/>
          <c:showSerName val="0"/>
          <c:showPercent val="0"/>
          <c:showBubbleSize val="0"/>
        </c:dLbls>
        <c:gapWidth val="0"/>
        <c:axId val="473393200"/>
        <c:axId val="473393592"/>
      </c:barChart>
      <c:lineChart>
        <c:grouping val="standard"/>
        <c:varyColors val="0"/>
        <c:ser>
          <c:idx val="1"/>
          <c:order val="1"/>
          <c:tx>
            <c:strRef>
              <c:f>'Graf 13'!$I$1</c:f>
              <c:strCache>
                <c:ptCount val="1"/>
                <c:pt idx="0">
                  <c:v>Kompozitný PMI indikátor (vpravo)</c:v>
                </c:pt>
              </c:strCache>
            </c:strRef>
          </c:tx>
          <c:spPr>
            <a:ln w="19050" cap="rnd">
              <a:solidFill>
                <a:srgbClr val="C00000"/>
              </a:solidFill>
              <a:round/>
            </a:ln>
            <a:effectLst/>
          </c:spPr>
          <c:marker>
            <c:symbol val="none"/>
          </c:marker>
          <c:cat>
            <c:strRef>
              <c:f>'[81]PMI data'!$B$124:$B$230</c:f>
              <c:strCache>
                <c:ptCount val="107"/>
                <c:pt idx="0">
                  <c:v>2010
Q1</c:v>
                </c:pt>
                <c:pt idx="3">
                  <c:v>Q2</c:v>
                </c:pt>
                <c:pt idx="6">
                  <c:v>Q3</c:v>
                </c:pt>
                <c:pt idx="9">
                  <c:v>Q4</c:v>
                </c:pt>
                <c:pt idx="12">
                  <c:v>2011
Q1</c:v>
                </c:pt>
                <c:pt idx="15">
                  <c:v>Q2</c:v>
                </c:pt>
                <c:pt idx="18">
                  <c:v>Q3</c:v>
                </c:pt>
                <c:pt idx="21">
                  <c:v>Q4</c:v>
                </c:pt>
                <c:pt idx="24">
                  <c:v>2012
Q1</c:v>
                </c:pt>
                <c:pt idx="27">
                  <c:v>Q2</c:v>
                </c:pt>
                <c:pt idx="30">
                  <c:v>Q3</c:v>
                </c:pt>
                <c:pt idx="33">
                  <c:v>Q4</c:v>
                </c:pt>
                <c:pt idx="36">
                  <c:v>2013
Q1</c:v>
                </c:pt>
                <c:pt idx="39">
                  <c:v>Q2</c:v>
                </c:pt>
                <c:pt idx="42">
                  <c:v>Q3</c:v>
                </c:pt>
                <c:pt idx="45">
                  <c:v>Q4</c:v>
                </c:pt>
                <c:pt idx="48">
                  <c:v>2014
Q1</c:v>
                </c:pt>
                <c:pt idx="51">
                  <c:v>Q2</c:v>
                </c:pt>
                <c:pt idx="54">
                  <c:v>Q3</c:v>
                </c:pt>
                <c:pt idx="57">
                  <c:v>Q4</c:v>
                </c:pt>
                <c:pt idx="60">
                  <c:v>2015
Q1</c:v>
                </c:pt>
                <c:pt idx="63">
                  <c:v>Q2</c:v>
                </c:pt>
                <c:pt idx="66">
                  <c:v>Q3</c:v>
                </c:pt>
                <c:pt idx="69">
                  <c:v>Q4</c:v>
                </c:pt>
                <c:pt idx="72">
                  <c:v>2016
Q1</c:v>
                </c:pt>
                <c:pt idx="75">
                  <c:v>Q2</c:v>
                </c:pt>
                <c:pt idx="78">
                  <c:v>Q3</c:v>
                </c:pt>
                <c:pt idx="81">
                  <c:v>Q4</c:v>
                </c:pt>
                <c:pt idx="84">
                  <c:v>2017
Q1</c:v>
                </c:pt>
                <c:pt idx="87">
                  <c:v>Q2</c:v>
                </c:pt>
                <c:pt idx="90">
                  <c:v>Q3</c:v>
                </c:pt>
                <c:pt idx="93">
                  <c:v>Q4</c:v>
                </c:pt>
                <c:pt idx="96">
                  <c:v>2018
Q1</c:v>
                </c:pt>
                <c:pt idx="99">
                  <c:v>Q2</c:v>
                </c:pt>
                <c:pt idx="102">
                  <c:v>Q3</c:v>
                </c:pt>
                <c:pt idx="105">
                  <c:v>Q4 F</c:v>
                </c:pt>
              </c:strCache>
            </c:strRef>
          </c:cat>
          <c:val>
            <c:numRef>
              <c:f>'Graf 13'!$I$2:$I$109</c:f>
              <c:numCache>
                <c:formatCode>General</c:formatCode>
                <c:ptCount val="108"/>
                <c:pt idx="0">
                  <c:v>53.7</c:v>
                </c:pt>
                <c:pt idx="1">
                  <c:v>55.9</c:v>
                </c:pt>
                <c:pt idx="2">
                  <c:v>57.3</c:v>
                </c:pt>
                <c:pt idx="3">
                  <c:v>56.4</c:v>
                </c:pt>
                <c:pt idx="4">
                  <c:v>56</c:v>
                </c:pt>
                <c:pt idx="5">
                  <c:v>56.7</c:v>
                </c:pt>
                <c:pt idx="6">
                  <c:v>56.2</c:v>
                </c:pt>
                <c:pt idx="7">
                  <c:v>54.1</c:v>
                </c:pt>
                <c:pt idx="8">
                  <c:v>53.8</c:v>
                </c:pt>
                <c:pt idx="9">
                  <c:v>55.5</c:v>
                </c:pt>
                <c:pt idx="10">
                  <c:v>55.5</c:v>
                </c:pt>
                <c:pt idx="11">
                  <c:v>57</c:v>
                </c:pt>
                <c:pt idx="12">
                  <c:v>58.2</c:v>
                </c:pt>
                <c:pt idx="13">
                  <c:v>57.6</c:v>
                </c:pt>
                <c:pt idx="14">
                  <c:v>57.8</c:v>
                </c:pt>
                <c:pt idx="15">
                  <c:v>55.8</c:v>
                </c:pt>
                <c:pt idx="16">
                  <c:v>53.3</c:v>
                </c:pt>
                <c:pt idx="17">
                  <c:v>51.1</c:v>
                </c:pt>
                <c:pt idx="18">
                  <c:v>50.7</c:v>
                </c:pt>
                <c:pt idx="19">
                  <c:v>49.1</c:v>
                </c:pt>
                <c:pt idx="20">
                  <c:v>46.5</c:v>
                </c:pt>
                <c:pt idx="21">
                  <c:v>47</c:v>
                </c:pt>
                <c:pt idx="22">
                  <c:v>48.3</c:v>
                </c:pt>
                <c:pt idx="23">
                  <c:v>50.4</c:v>
                </c:pt>
                <c:pt idx="24">
                  <c:v>49.3</c:v>
                </c:pt>
                <c:pt idx="25">
                  <c:v>49.1</c:v>
                </c:pt>
                <c:pt idx="26">
                  <c:v>46.7</c:v>
                </c:pt>
                <c:pt idx="27">
                  <c:v>46</c:v>
                </c:pt>
                <c:pt idx="28">
                  <c:v>46.4</c:v>
                </c:pt>
                <c:pt idx="29">
                  <c:v>46.5</c:v>
                </c:pt>
                <c:pt idx="30">
                  <c:v>46.3</c:v>
                </c:pt>
                <c:pt idx="31">
                  <c:v>46.1</c:v>
                </c:pt>
                <c:pt idx="32">
                  <c:v>45.7</c:v>
                </c:pt>
                <c:pt idx="33">
                  <c:v>46.5</c:v>
                </c:pt>
                <c:pt idx="34">
                  <c:v>47.2</c:v>
                </c:pt>
                <c:pt idx="35">
                  <c:v>48.6</c:v>
                </c:pt>
                <c:pt idx="36">
                  <c:v>47.9</c:v>
                </c:pt>
                <c:pt idx="37">
                  <c:v>46.5</c:v>
                </c:pt>
                <c:pt idx="38">
                  <c:v>46.9</c:v>
                </c:pt>
                <c:pt idx="39">
                  <c:v>47.7</c:v>
                </c:pt>
                <c:pt idx="40">
                  <c:v>48.7</c:v>
                </c:pt>
                <c:pt idx="41">
                  <c:v>50.5</c:v>
                </c:pt>
                <c:pt idx="42">
                  <c:v>51.5</c:v>
                </c:pt>
                <c:pt idx="43">
                  <c:v>52.2</c:v>
                </c:pt>
                <c:pt idx="44">
                  <c:v>51.9</c:v>
                </c:pt>
                <c:pt idx="45">
                  <c:v>51.7</c:v>
                </c:pt>
                <c:pt idx="46">
                  <c:v>52.1</c:v>
                </c:pt>
                <c:pt idx="47">
                  <c:v>52.9</c:v>
                </c:pt>
                <c:pt idx="48">
                  <c:v>53.3</c:v>
                </c:pt>
                <c:pt idx="49">
                  <c:v>53.1</c:v>
                </c:pt>
                <c:pt idx="50">
                  <c:v>54</c:v>
                </c:pt>
                <c:pt idx="51">
                  <c:v>53.5</c:v>
                </c:pt>
                <c:pt idx="52">
                  <c:v>52.8</c:v>
                </c:pt>
                <c:pt idx="53">
                  <c:v>53.8</c:v>
                </c:pt>
                <c:pt idx="54">
                  <c:v>52.5</c:v>
                </c:pt>
                <c:pt idx="55">
                  <c:v>52</c:v>
                </c:pt>
                <c:pt idx="56">
                  <c:v>52.1</c:v>
                </c:pt>
                <c:pt idx="57">
                  <c:v>51.1</c:v>
                </c:pt>
                <c:pt idx="58">
                  <c:v>51.4</c:v>
                </c:pt>
                <c:pt idx="59">
                  <c:v>52.6</c:v>
                </c:pt>
                <c:pt idx="60">
                  <c:v>53.3</c:v>
                </c:pt>
                <c:pt idx="61">
                  <c:v>54</c:v>
                </c:pt>
                <c:pt idx="62">
                  <c:v>53.9</c:v>
                </c:pt>
                <c:pt idx="63">
                  <c:v>53.6</c:v>
                </c:pt>
                <c:pt idx="64">
                  <c:v>54.2</c:v>
                </c:pt>
                <c:pt idx="65">
                  <c:v>53.7</c:v>
                </c:pt>
                <c:pt idx="66">
                  <c:v>54.3</c:v>
                </c:pt>
                <c:pt idx="67">
                  <c:v>53.6</c:v>
                </c:pt>
                <c:pt idx="68">
                  <c:v>53.9</c:v>
                </c:pt>
                <c:pt idx="69">
                  <c:v>54.2</c:v>
                </c:pt>
                <c:pt idx="70">
                  <c:v>54.3</c:v>
                </c:pt>
                <c:pt idx="71">
                  <c:v>53.6</c:v>
                </c:pt>
                <c:pt idx="72">
                  <c:v>53</c:v>
                </c:pt>
                <c:pt idx="73">
                  <c:v>53.1</c:v>
                </c:pt>
                <c:pt idx="74">
                  <c:v>53</c:v>
                </c:pt>
                <c:pt idx="75">
                  <c:v>53.1</c:v>
                </c:pt>
                <c:pt idx="76">
                  <c:v>53.1</c:v>
                </c:pt>
                <c:pt idx="77">
                  <c:v>53.2</c:v>
                </c:pt>
                <c:pt idx="78">
                  <c:v>52.9</c:v>
                </c:pt>
                <c:pt idx="79">
                  <c:v>52.6</c:v>
                </c:pt>
                <c:pt idx="80">
                  <c:v>53.3</c:v>
                </c:pt>
                <c:pt idx="81">
                  <c:v>53.9</c:v>
                </c:pt>
                <c:pt idx="82">
                  <c:v>54.4</c:v>
                </c:pt>
                <c:pt idx="83">
                  <c:v>54.3</c:v>
                </c:pt>
                <c:pt idx="84">
                  <c:v>56</c:v>
                </c:pt>
                <c:pt idx="85">
                  <c:v>56.4</c:v>
                </c:pt>
                <c:pt idx="86">
                  <c:v>56.8</c:v>
                </c:pt>
                <c:pt idx="87">
                  <c:v>56.8</c:v>
                </c:pt>
                <c:pt idx="88">
                  <c:v>56.3</c:v>
                </c:pt>
                <c:pt idx="89">
                  <c:v>55.7</c:v>
                </c:pt>
                <c:pt idx="90">
                  <c:v>55.7</c:v>
                </c:pt>
                <c:pt idx="91">
                  <c:v>56.7</c:v>
                </c:pt>
                <c:pt idx="92">
                  <c:v>56</c:v>
                </c:pt>
                <c:pt idx="93">
                  <c:v>57.5</c:v>
                </c:pt>
                <c:pt idx="94">
                  <c:v>58.1</c:v>
                </c:pt>
                <c:pt idx="95">
                  <c:v>58.8</c:v>
                </c:pt>
                <c:pt idx="96">
                  <c:v>57.5</c:v>
                </c:pt>
                <c:pt idx="97">
                  <c:v>55.2</c:v>
                </c:pt>
                <c:pt idx="98">
                  <c:v>55.1</c:v>
                </c:pt>
                <c:pt idx="99">
                  <c:v>54.1</c:v>
                </c:pt>
                <c:pt idx="100">
                  <c:v>54.9</c:v>
                </c:pt>
                <c:pt idx="101">
                  <c:v>54.3</c:v>
                </c:pt>
                <c:pt idx="102">
                  <c:v>54.5</c:v>
                </c:pt>
                <c:pt idx="103">
                  <c:v>54.1</c:v>
                </c:pt>
                <c:pt idx="104">
                  <c:v>53.1</c:v>
                </c:pt>
                <c:pt idx="105">
                  <c:v>52.7</c:v>
                </c:pt>
                <c:pt idx="106">
                  <c:v>51.1</c:v>
                </c:pt>
                <c:pt idx="107">
                  <c:v>50.7</c:v>
                </c:pt>
              </c:numCache>
            </c:numRef>
          </c:val>
          <c:smooth val="1"/>
          <c:extLst xmlns:c16r2="http://schemas.microsoft.com/office/drawing/2015/06/chart">
            <c:ext xmlns:c16="http://schemas.microsoft.com/office/drawing/2014/chart" uri="{C3380CC4-5D6E-409C-BE32-E72D297353CC}">
              <c16:uniqueId val="{00000003-B3AD-46AF-A8D9-561DB615B162}"/>
            </c:ext>
          </c:extLst>
        </c:ser>
        <c:ser>
          <c:idx val="3"/>
          <c:order val="2"/>
          <c:tx>
            <c:strRef>
              <c:f>'Graf 13'!$J$1</c:f>
              <c:strCache>
                <c:ptCount val="1"/>
                <c:pt idx="0">
                  <c:v>ESI indikátor (vpravo; -50 bodov)</c:v>
                </c:pt>
              </c:strCache>
            </c:strRef>
          </c:tx>
          <c:spPr>
            <a:ln w="19050" cap="rnd">
              <a:solidFill>
                <a:srgbClr val="FFC000"/>
              </a:solidFill>
              <a:round/>
            </a:ln>
            <a:effectLst/>
          </c:spPr>
          <c:marker>
            <c:symbol val="none"/>
          </c:marker>
          <c:cat>
            <c:strRef>
              <c:f>'[81]PMI data'!$B$124:$B$230</c:f>
              <c:strCache>
                <c:ptCount val="107"/>
                <c:pt idx="0">
                  <c:v>2010
Q1</c:v>
                </c:pt>
                <c:pt idx="3">
                  <c:v>Q2</c:v>
                </c:pt>
                <c:pt idx="6">
                  <c:v>Q3</c:v>
                </c:pt>
                <c:pt idx="9">
                  <c:v>Q4</c:v>
                </c:pt>
                <c:pt idx="12">
                  <c:v>2011
Q1</c:v>
                </c:pt>
                <c:pt idx="15">
                  <c:v>Q2</c:v>
                </c:pt>
                <c:pt idx="18">
                  <c:v>Q3</c:v>
                </c:pt>
                <c:pt idx="21">
                  <c:v>Q4</c:v>
                </c:pt>
                <c:pt idx="24">
                  <c:v>2012
Q1</c:v>
                </c:pt>
                <c:pt idx="27">
                  <c:v>Q2</c:v>
                </c:pt>
                <c:pt idx="30">
                  <c:v>Q3</c:v>
                </c:pt>
                <c:pt idx="33">
                  <c:v>Q4</c:v>
                </c:pt>
                <c:pt idx="36">
                  <c:v>2013
Q1</c:v>
                </c:pt>
                <c:pt idx="39">
                  <c:v>Q2</c:v>
                </c:pt>
                <c:pt idx="42">
                  <c:v>Q3</c:v>
                </c:pt>
                <c:pt idx="45">
                  <c:v>Q4</c:v>
                </c:pt>
                <c:pt idx="48">
                  <c:v>2014
Q1</c:v>
                </c:pt>
                <c:pt idx="51">
                  <c:v>Q2</c:v>
                </c:pt>
                <c:pt idx="54">
                  <c:v>Q3</c:v>
                </c:pt>
                <c:pt idx="57">
                  <c:v>Q4</c:v>
                </c:pt>
                <c:pt idx="60">
                  <c:v>2015
Q1</c:v>
                </c:pt>
                <c:pt idx="63">
                  <c:v>Q2</c:v>
                </c:pt>
                <c:pt idx="66">
                  <c:v>Q3</c:v>
                </c:pt>
                <c:pt idx="69">
                  <c:v>Q4</c:v>
                </c:pt>
                <c:pt idx="72">
                  <c:v>2016
Q1</c:v>
                </c:pt>
                <c:pt idx="75">
                  <c:v>Q2</c:v>
                </c:pt>
                <c:pt idx="78">
                  <c:v>Q3</c:v>
                </c:pt>
                <c:pt idx="81">
                  <c:v>Q4</c:v>
                </c:pt>
                <c:pt idx="84">
                  <c:v>2017
Q1</c:v>
                </c:pt>
                <c:pt idx="87">
                  <c:v>Q2</c:v>
                </c:pt>
                <c:pt idx="90">
                  <c:v>Q3</c:v>
                </c:pt>
                <c:pt idx="93">
                  <c:v>Q4</c:v>
                </c:pt>
                <c:pt idx="96">
                  <c:v>2018
Q1</c:v>
                </c:pt>
                <c:pt idx="99">
                  <c:v>Q2</c:v>
                </c:pt>
                <c:pt idx="102">
                  <c:v>Q3</c:v>
                </c:pt>
                <c:pt idx="105">
                  <c:v>Q4 F</c:v>
                </c:pt>
              </c:strCache>
            </c:strRef>
          </c:cat>
          <c:val>
            <c:numRef>
              <c:f>'Graf 13'!$J$2:$J$109</c:f>
              <c:numCache>
                <c:formatCode>General</c:formatCode>
                <c:ptCount val="108"/>
                <c:pt idx="0">
                  <c:v>45.400000000000006</c:v>
                </c:pt>
                <c:pt idx="1">
                  <c:v>47.3</c:v>
                </c:pt>
                <c:pt idx="2">
                  <c:v>50.099999999999994</c:v>
                </c:pt>
                <c:pt idx="3">
                  <c:v>48.099999999999994</c:v>
                </c:pt>
                <c:pt idx="4">
                  <c:v>48.900000000000006</c:v>
                </c:pt>
                <c:pt idx="5">
                  <c:v>51.099999999999994</c:v>
                </c:pt>
                <c:pt idx="6">
                  <c:v>52</c:v>
                </c:pt>
                <c:pt idx="7">
                  <c:v>53.099999999999994</c:v>
                </c:pt>
                <c:pt idx="8">
                  <c:v>54.599999999999994</c:v>
                </c:pt>
                <c:pt idx="9">
                  <c:v>56</c:v>
                </c:pt>
                <c:pt idx="10">
                  <c:v>57.2</c:v>
                </c:pt>
                <c:pt idx="11">
                  <c:v>57.099999999999994</c:v>
                </c:pt>
                <c:pt idx="12">
                  <c:v>58.599999999999994</c:v>
                </c:pt>
                <c:pt idx="13">
                  <c:v>57.8</c:v>
                </c:pt>
                <c:pt idx="14">
                  <c:v>56.599999999999994</c:v>
                </c:pt>
                <c:pt idx="15">
                  <c:v>55.900000000000006</c:v>
                </c:pt>
                <c:pt idx="16">
                  <c:v>55.3</c:v>
                </c:pt>
                <c:pt idx="17">
                  <c:v>53.099999999999994</c:v>
                </c:pt>
                <c:pt idx="18">
                  <c:v>48.900000000000006</c:v>
                </c:pt>
                <c:pt idx="19">
                  <c:v>45.400000000000006</c:v>
                </c:pt>
                <c:pt idx="20">
                  <c:v>45.099999999999994</c:v>
                </c:pt>
                <c:pt idx="21">
                  <c:v>44.599999999999994</c:v>
                </c:pt>
                <c:pt idx="22">
                  <c:v>43.8</c:v>
                </c:pt>
                <c:pt idx="23">
                  <c:v>44.099999999999994</c:v>
                </c:pt>
                <c:pt idx="24">
                  <c:v>45.2</c:v>
                </c:pt>
                <c:pt idx="25">
                  <c:v>45.400000000000006</c:v>
                </c:pt>
                <c:pt idx="26">
                  <c:v>43.8</c:v>
                </c:pt>
                <c:pt idx="27">
                  <c:v>41.5</c:v>
                </c:pt>
                <c:pt idx="28">
                  <c:v>41</c:v>
                </c:pt>
                <c:pt idx="29">
                  <c:v>39</c:v>
                </c:pt>
                <c:pt idx="30">
                  <c:v>37</c:v>
                </c:pt>
                <c:pt idx="31">
                  <c:v>35.700000000000003</c:v>
                </c:pt>
                <c:pt idx="32">
                  <c:v>35.099999999999994</c:v>
                </c:pt>
                <c:pt idx="33">
                  <c:v>36.400000000000006</c:v>
                </c:pt>
                <c:pt idx="34">
                  <c:v>37.700000000000003</c:v>
                </c:pt>
                <c:pt idx="35">
                  <c:v>39</c:v>
                </c:pt>
                <c:pt idx="36">
                  <c:v>39.700000000000003</c:v>
                </c:pt>
                <c:pt idx="37">
                  <c:v>39.599999999999994</c:v>
                </c:pt>
                <c:pt idx="38">
                  <c:v>38</c:v>
                </c:pt>
                <c:pt idx="39">
                  <c:v>38.900000000000006</c:v>
                </c:pt>
                <c:pt idx="40">
                  <c:v>41.2</c:v>
                </c:pt>
                <c:pt idx="41">
                  <c:v>42.5</c:v>
                </c:pt>
                <c:pt idx="42">
                  <c:v>44.900000000000006</c:v>
                </c:pt>
                <c:pt idx="43">
                  <c:v>46.8</c:v>
                </c:pt>
                <c:pt idx="44">
                  <c:v>47.599999999999994</c:v>
                </c:pt>
                <c:pt idx="45">
                  <c:v>48.599999999999994</c:v>
                </c:pt>
                <c:pt idx="46">
                  <c:v>50</c:v>
                </c:pt>
                <c:pt idx="47">
                  <c:v>50.8</c:v>
                </c:pt>
                <c:pt idx="48">
                  <c:v>50.400000000000006</c:v>
                </c:pt>
                <c:pt idx="49">
                  <c:v>52.2</c:v>
                </c:pt>
                <c:pt idx="50">
                  <c:v>51.900000000000006</c:v>
                </c:pt>
                <c:pt idx="51">
                  <c:v>52.3</c:v>
                </c:pt>
                <c:pt idx="52">
                  <c:v>51.900000000000006</c:v>
                </c:pt>
                <c:pt idx="53">
                  <c:v>52.099999999999994</c:v>
                </c:pt>
                <c:pt idx="54">
                  <c:v>50.599999999999994</c:v>
                </c:pt>
                <c:pt idx="55">
                  <c:v>49.900000000000006</c:v>
                </c:pt>
                <c:pt idx="56">
                  <c:v>50.2</c:v>
                </c:pt>
                <c:pt idx="57">
                  <c:v>50.2</c:v>
                </c:pt>
                <c:pt idx="58">
                  <c:v>50.2</c:v>
                </c:pt>
                <c:pt idx="59">
                  <c:v>51.099999999999994</c:v>
                </c:pt>
                <c:pt idx="60">
                  <c:v>51.8</c:v>
                </c:pt>
                <c:pt idx="61">
                  <c:v>53.3</c:v>
                </c:pt>
                <c:pt idx="62">
                  <c:v>53.5</c:v>
                </c:pt>
                <c:pt idx="63">
                  <c:v>53.3</c:v>
                </c:pt>
                <c:pt idx="64">
                  <c:v>53.3</c:v>
                </c:pt>
                <c:pt idx="65">
                  <c:v>53.599999999999994</c:v>
                </c:pt>
                <c:pt idx="66">
                  <c:v>53.900000000000006</c:v>
                </c:pt>
                <c:pt idx="67">
                  <c:v>55</c:v>
                </c:pt>
                <c:pt idx="68">
                  <c:v>55.5</c:v>
                </c:pt>
                <c:pt idx="69">
                  <c:v>55.599999999999994</c:v>
                </c:pt>
                <c:pt idx="70">
                  <c:v>55.900000000000006</c:v>
                </c:pt>
                <c:pt idx="71">
                  <c:v>54.7</c:v>
                </c:pt>
                <c:pt idx="72">
                  <c:v>53.3</c:v>
                </c:pt>
                <c:pt idx="73">
                  <c:v>52.400000000000006</c:v>
                </c:pt>
                <c:pt idx="74">
                  <c:v>53.3</c:v>
                </c:pt>
                <c:pt idx="75">
                  <c:v>53.900000000000006</c:v>
                </c:pt>
                <c:pt idx="76">
                  <c:v>53.7</c:v>
                </c:pt>
                <c:pt idx="77">
                  <c:v>53.7</c:v>
                </c:pt>
                <c:pt idx="78">
                  <c:v>53.099999999999994</c:v>
                </c:pt>
                <c:pt idx="79">
                  <c:v>54.099999999999994</c:v>
                </c:pt>
                <c:pt idx="80">
                  <c:v>55.5</c:v>
                </c:pt>
                <c:pt idx="81">
                  <c:v>56</c:v>
                </c:pt>
                <c:pt idx="82">
                  <c:v>57.099999999999994</c:v>
                </c:pt>
                <c:pt idx="83">
                  <c:v>57.3</c:v>
                </c:pt>
                <c:pt idx="84">
                  <c:v>57.5</c:v>
                </c:pt>
                <c:pt idx="85">
                  <c:v>57.400000000000006</c:v>
                </c:pt>
                <c:pt idx="86">
                  <c:v>59.099999999999994</c:v>
                </c:pt>
                <c:pt idx="87">
                  <c:v>59</c:v>
                </c:pt>
                <c:pt idx="88">
                  <c:v>60.5</c:v>
                </c:pt>
                <c:pt idx="89">
                  <c:v>61</c:v>
                </c:pt>
                <c:pt idx="90">
                  <c:v>61.599999999999994</c:v>
                </c:pt>
                <c:pt idx="91">
                  <c:v>62.8</c:v>
                </c:pt>
                <c:pt idx="92">
                  <c:v>63.400000000000006</c:v>
                </c:pt>
                <c:pt idx="93">
                  <c:v>64.2</c:v>
                </c:pt>
                <c:pt idx="94">
                  <c:v>65.2</c:v>
                </c:pt>
                <c:pt idx="95">
                  <c:v>64</c:v>
                </c:pt>
                <c:pt idx="96">
                  <c:v>63.599999999999994</c:v>
                </c:pt>
                <c:pt idx="97">
                  <c:v>62</c:v>
                </c:pt>
                <c:pt idx="98">
                  <c:v>62.2</c:v>
                </c:pt>
                <c:pt idx="99">
                  <c:v>61.5</c:v>
                </c:pt>
                <c:pt idx="100">
                  <c:v>61.8</c:v>
                </c:pt>
                <c:pt idx="101">
                  <c:v>61.2</c:v>
                </c:pt>
                <c:pt idx="102">
                  <c:v>61</c:v>
                </c:pt>
                <c:pt idx="103">
                  <c:v>60.400000000000006</c:v>
                </c:pt>
                <c:pt idx="104">
                  <c:v>59.7</c:v>
                </c:pt>
                <c:pt idx="105">
                  <c:v>59.5</c:v>
                </c:pt>
                <c:pt idx="106">
                  <c:v>57.400000000000006</c:v>
                </c:pt>
                <c:pt idx="107">
                  <c:v>56.2</c:v>
                </c:pt>
              </c:numCache>
            </c:numRef>
          </c:val>
          <c:smooth val="0"/>
          <c:extLst xmlns:c16r2="http://schemas.microsoft.com/office/drawing/2015/06/chart">
            <c:ext xmlns:c16="http://schemas.microsoft.com/office/drawing/2014/chart" uri="{C3380CC4-5D6E-409C-BE32-E72D297353CC}">
              <c16:uniqueId val="{00000004-B3AD-46AF-A8D9-561DB615B162}"/>
            </c:ext>
          </c:extLst>
        </c:ser>
        <c:ser>
          <c:idx val="2"/>
          <c:order val="3"/>
          <c:tx>
            <c:strRef>
              <c:f>'Graf 13'!$K$1</c:f>
              <c:strCache>
                <c:ptCount val="1"/>
                <c:pt idx="0">
                  <c:v>PMI hranica rastu/poklesu ekonomiky</c:v>
                </c:pt>
              </c:strCache>
            </c:strRef>
          </c:tx>
          <c:spPr>
            <a:ln w="28575" cap="rnd">
              <a:solidFill>
                <a:schemeClr val="tx1"/>
              </a:solidFill>
              <a:round/>
            </a:ln>
            <a:effectLst/>
          </c:spPr>
          <c:marker>
            <c:symbol val="none"/>
          </c:marker>
          <c:cat>
            <c:strRef>
              <c:f>'[81]PMI data'!$B$124:$B$230</c:f>
              <c:strCache>
                <c:ptCount val="107"/>
                <c:pt idx="0">
                  <c:v>2010
Q1</c:v>
                </c:pt>
                <c:pt idx="3">
                  <c:v>Q2</c:v>
                </c:pt>
                <c:pt idx="6">
                  <c:v>Q3</c:v>
                </c:pt>
                <c:pt idx="9">
                  <c:v>Q4</c:v>
                </c:pt>
                <c:pt idx="12">
                  <c:v>2011
Q1</c:v>
                </c:pt>
                <c:pt idx="15">
                  <c:v>Q2</c:v>
                </c:pt>
                <c:pt idx="18">
                  <c:v>Q3</c:v>
                </c:pt>
                <c:pt idx="21">
                  <c:v>Q4</c:v>
                </c:pt>
                <c:pt idx="24">
                  <c:v>2012
Q1</c:v>
                </c:pt>
                <c:pt idx="27">
                  <c:v>Q2</c:v>
                </c:pt>
                <c:pt idx="30">
                  <c:v>Q3</c:v>
                </c:pt>
                <c:pt idx="33">
                  <c:v>Q4</c:v>
                </c:pt>
                <c:pt idx="36">
                  <c:v>2013
Q1</c:v>
                </c:pt>
                <c:pt idx="39">
                  <c:v>Q2</c:v>
                </c:pt>
                <c:pt idx="42">
                  <c:v>Q3</c:v>
                </c:pt>
                <c:pt idx="45">
                  <c:v>Q4</c:v>
                </c:pt>
                <c:pt idx="48">
                  <c:v>2014
Q1</c:v>
                </c:pt>
                <c:pt idx="51">
                  <c:v>Q2</c:v>
                </c:pt>
                <c:pt idx="54">
                  <c:v>Q3</c:v>
                </c:pt>
                <c:pt idx="57">
                  <c:v>Q4</c:v>
                </c:pt>
                <c:pt idx="60">
                  <c:v>2015
Q1</c:v>
                </c:pt>
                <c:pt idx="63">
                  <c:v>Q2</c:v>
                </c:pt>
                <c:pt idx="66">
                  <c:v>Q3</c:v>
                </c:pt>
                <c:pt idx="69">
                  <c:v>Q4</c:v>
                </c:pt>
                <c:pt idx="72">
                  <c:v>2016
Q1</c:v>
                </c:pt>
                <c:pt idx="75">
                  <c:v>Q2</c:v>
                </c:pt>
                <c:pt idx="78">
                  <c:v>Q3</c:v>
                </c:pt>
                <c:pt idx="81">
                  <c:v>Q4</c:v>
                </c:pt>
                <c:pt idx="84">
                  <c:v>2017
Q1</c:v>
                </c:pt>
                <c:pt idx="87">
                  <c:v>Q2</c:v>
                </c:pt>
                <c:pt idx="90">
                  <c:v>Q3</c:v>
                </c:pt>
                <c:pt idx="93">
                  <c:v>Q4</c:v>
                </c:pt>
                <c:pt idx="96">
                  <c:v>2018
Q1</c:v>
                </c:pt>
                <c:pt idx="99">
                  <c:v>Q2</c:v>
                </c:pt>
                <c:pt idx="102">
                  <c:v>Q3</c:v>
                </c:pt>
                <c:pt idx="105">
                  <c:v>Q4 F</c:v>
                </c:pt>
              </c:strCache>
            </c:strRef>
          </c:cat>
          <c:val>
            <c:numRef>
              <c:f>'Graf 13'!$K$2:$K$109</c:f>
              <c:numCache>
                <c:formatCode>General</c:formatCode>
                <c:ptCount val="108"/>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numCache>
            </c:numRef>
          </c:val>
          <c:smooth val="0"/>
          <c:extLst xmlns:c16r2="http://schemas.microsoft.com/office/drawing/2015/06/chart">
            <c:ext xmlns:c16="http://schemas.microsoft.com/office/drawing/2014/chart" uri="{C3380CC4-5D6E-409C-BE32-E72D297353CC}">
              <c16:uniqueId val="{00000005-B3AD-46AF-A8D9-561DB615B162}"/>
            </c:ext>
          </c:extLst>
        </c:ser>
        <c:dLbls>
          <c:showLegendKey val="0"/>
          <c:showVal val="0"/>
          <c:showCatName val="0"/>
          <c:showSerName val="0"/>
          <c:showPercent val="0"/>
          <c:showBubbleSize val="0"/>
        </c:dLbls>
        <c:marker val="1"/>
        <c:smooth val="0"/>
        <c:axId val="473394376"/>
        <c:axId val="473393984"/>
      </c:lineChart>
      <c:dateAx>
        <c:axId val="473393200"/>
        <c:scaling>
          <c:orientation val="minMax"/>
        </c:scaling>
        <c:delete val="0"/>
        <c:axPos val="b"/>
        <c:numFmt formatCode="mm\-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473393592"/>
        <c:crosses val="autoZero"/>
        <c:auto val="0"/>
        <c:lblOffset val="100"/>
        <c:baseTimeUnit val="days"/>
        <c:majorUnit val="4"/>
        <c:minorUnit val="4"/>
      </c:dateAx>
      <c:valAx>
        <c:axId val="473393592"/>
        <c:scaling>
          <c:orientation val="minMax"/>
          <c:max val="1.5"/>
          <c:min val="-1.5"/>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NeueHaasGroteskDisp W02" panose="020B0504020202020204" pitchFamily="34" charset="-18"/>
                <a:ea typeface="+mn-ea"/>
                <a:cs typeface="+mn-cs"/>
              </a:defRPr>
            </a:pPr>
            <a:endParaRPr lang="sk-SK"/>
          </a:p>
        </c:txPr>
        <c:crossAx val="473393200"/>
        <c:crosses val="autoZero"/>
        <c:crossBetween val="between"/>
      </c:valAx>
      <c:valAx>
        <c:axId val="473393984"/>
        <c:scaling>
          <c:orientation val="minMax"/>
          <c:max val="70"/>
          <c:min val="3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NeueHaasGroteskDisp W02" panose="020B0504020202020204" pitchFamily="34" charset="-18"/>
                <a:ea typeface="+mn-ea"/>
                <a:cs typeface="+mn-cs"/>
              </a:defRPr>
            </a:pPr>
            <a:endParaRPr lang="sk-SK"/>
          </a:p>
        </c:txPr>
        <c:crossAx val="473394376"/>
        <c:crosses val="max"/>
        <c:crossBetween val="between"/>
      </c:valAx>
      <c:dateAx>
        <c:axId val="473394376"/>
        <c:scaling>
          <c:orientation val="minMax"/>
        </c:scaling>
        <c:delete val="1"/>
        <c:axPos val="b"/>
        <c:numFmt formatCode="General" sourceLinked="1"/>
        <c:majorTickMark val="out"/>
        <c:minorTickMark val="none"/>
        <c:tickLblPos val="nextTo"/>
        <c:crossAx val="473393984"/>
        <c:crosses val="autoZero"/>
        <c:auto val="0"/>
        <c:lblOffset val="100"/>
        <c:baseTimeUnit val="days"/>
      </c:dateAx>
      <c:spPr>
        <a:noFill/>
        <a:ln w="25400">
          <a:noFill/>
        </a:ln>
        <a:effectLst/>
      </c:spPr>
    </c:plotArea>
    <c:legend>
      <c:legendPos val="t"/>
      <c:layout>
        <c:manualLayout>
          <c:xMode val="edge"/>
          <c:yMode val="edge"/>
          <c:x val="0"/>
          <c:y val="0.60385255917306324"/>
          <c:w val="0.94299798428280179"/>
          <c:h val="0.2418338918009888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9443095697445"/>
          <c:y val="9.124851179425511E-2"/>
          <c:w val="0.81291011775279065"/>
          <c:h val="0.72795575028326809"/>
        </c:manualLayout>
      </c:layout>
      <c:barChart>
        <c:barDir val="col"/>
        <c:grouping val="clustered"/>
        <c:varyColors val="0"/>
        <c:ser>
          <c:idx val="0"/>
          <c:order val="0"/>
          <c:tx>
            <c:strRef>
              <c:f>'Graf 14'!$J$3</c:f>
              <c:strCache>
                <c:ptCount val="1"/>
                <c:pt idx="0">
                  <c:v>Q3-2018 (qoq, ľo)</c:v>
                </c:pt>
              </c:strCache>
            </c:strRef>
          </c:tx>
          <c:spPr>
            <a:solidFill>
              <a:schemeClr val="accent1"/>
            </a:solidFill>
            <a:ln>
              <a:noFill/>
            </a:ln>
            <a:effectLst/>
          </c:spPr>
          <c:invertIfNegative val="0"/>
          <c:cat>
            <c:strRef>
              <c:f>'Graf 14'!$I$4:$I$14</c:f>
              <c:strCache>
                <c:ptCount val="11"/>
                <c:pt idx="0">
                  <c:v>Eurozóna</c:v>
                </c:pt>
                <c:pt idx="1">
                  <c:v>EÚ</c:v>
                </c:pt>
                <c:pt idx="3">
                  <c:v>Nemecko</c:v>
                </c:pt>
                <c:pt idx="4">
                  <c:v>Francúzsko</c:v>
                </c:pt>
                <c:pt idx="5">
                  <c:v>Taliansko</c:v>
                </c:pt>
                <c:pt idx="6">
                  <c:v>Španielsko</c:v>
                </c:pt>
                <c:pt idx="8">
                  <c:v>Česko</c:v>
                </c:pt>
                <c:pt idx="9">
                  <c:v>Poľsko</c:v>
                </c:pt>
                <c:pt idx="10">
                  <c:v>Maďarsko</c:v>
                </c:pt>
              </c:strCache>
            </c:strRef>
          </c:cat>
          <c:val>
            <c:numRef>
              <c:f>'Graf 14'!$J$4:$J$14</c:f>
              <c:numCache>
                <c:formatCode>General</c:formatCode>
                <c:ptCount val="11"/>
                <c:pt idx="0">
                  <c:v>0.155370891372697</c:v>
                </c:pt>
                <c:pt idx="1">
                  <c:v>0.30820068126504729</c:v>
                </c:pt>
                <c:pt idx="3">
                  <c:v>-0.19883689463815468</c:v>
                </c:pt>
                <c:pt idx="4">
                  <c:v>0.31585935644291574</c:v>
                </c:pt>
                <c:pt idx="5">
                  <c:v>-0.1223252327999802</c:v>
                </c:pt>
                <c:pt idx="6">
                  <c:v>0.55065587783953429</c:v>
                </c:pt>
              </c:numCache>
            </c:numRef>
          </c:val>
          <c:extLst xmlns:c16r2="http://schemas.microsoft.com/office/drawing/2015/06/chart">
            <c:ext xmlns:c16="http://schemas.microsoft.com/office/drawing/2014/chart" uri="{C3380CC4-5D6E-409C-BE32-E72D297353CC}">
              <c16:uniqueId val="{00000000-250B-444A-AC6B-00297CAE4F28}"/>
            </c:ext>
          </c:extLst>
        </c:ser>
        <c:dLbls>
          <c:showLegendKey val="0"/>
          <c:showVal val="0"/>
          <c:showCatName val="0"/>
          <c:showSerName val="0"/>
          <c:showPercent val="0"/>
          <c:showBubbleSize val="0"/>
        </c:dLbls>
        <c:gapWidth val="219"/>
        <c:overlap val="-27"/>
        <c:axId val="475519152"/>
        <c:axId val="475519544"/>
      </c:barChart>
      <c:barChart>
        <c:barDir val="col"/>
        <c:grouping val="clustered"/>
        <c:varyColors val="0"/>
        <c:ser>
          <c:idx val="2"/>
          <c:order val="2"/>
          <c:tx>
            <c:strRef>
              <c:f>'Graf 14'!$L$3</c:f>
              <c:strCache>
                <c:ptCount val="1"/>
                <c:pt idx="0">
                  <c:v>Q3-2018 (yoy, po)</c:v>
                </c:pt>
              </c:strCache>
            </c:strRef>
          </c:tx>
          <c:spPr>
            <a:solidFill>
              <a:schemeClr val="bg1">
                <a:lumMod val="50000"/>
              </a:schemeClr>
            </a:solidFill>
            <a:ln>
              <a:noFill/>
            </a:ln>
            <a:effectLst/>
          </c:spPr>
          <c:invertIfNegative val="0"/>
          <c:cat>
            <c:strRef>
              <c:f>'Graf 14'!$I$4:$I$14</c:f>
              <c:strCache>
                <c:ptCount val="11"/>
                <c:pt idx="0">
                  <c:v>Eurozóna</c:v>
                </c:pt>
                <c:pt idx="1">
                  <c:v>EÚ</c:v>
                </c:pt>
                <c:pt idx="3">
                  <c:v>Nemecko</c:v>
                </c:pt>
                <c:pt idx="4">
                  <c:v>Francúzsko</c:v>
                </c:pt>
                <c:pt idx="5">
                  <c:v>Taliansko</c:v>
                </c:pt>
                <c:pt idx="6">
                  <c:v>Španielsko</c:v>
                </c:pt>
                <c:pt idx="8">
                  <c:v>Česko</c:v>
                </c:pt>
                <c:pt idx="9">
                  <c:v>Poľsko</c:v>
                </c:pt>
                <c:pt idx="10">
                  <c:v>Maďarsko</c:v>
                </c:pt>
              </c:strCache>
            </c:strRef>
          </c:cat>
          <c:val>
            <c:numRef>
              <c:f>'Graf 14'!$L$4:$L$14</c:f>
              <c:numCache>
                <c:formatCode>General</c:formatCode>
                <c:ptCount val="11"/>
                <c:pt idx="8">
                  <c:v>2.43707661194692</c:v>
                </c:pt>
                <c:pt idx="9">
                  <c:v>5.6852296772571531</c:v>
                </c:pt>
                <c:pt idx="10">
                  <c:v>5.1547870568154686</c:v>
                </c:pt>
              </c:numCache>
            </c:numRef>
          </c:val>
          <c:extLst xmlns:c16r2="http://schemas.microsoft.com/office/drawing/2015/06/chart">
            <c:ext xmlns:c16="http://schemas.microsoft.com/office/drawing/2014/chart" uri="{C3380CC4-5D6E-409C-BE32-E72D297353CC}">
              <c16:uniqueId val="{00000001-250B-444A-AC6B-00297CAE4F28}"/>
            </c:ext>
          </c:extLst>
        </c:ser>
        <c:dLbls>
          <c:showLegendKey val="0"/>
          <c:showVal val="0"/>
          <c:showCatName val="0"/>
          <c:showSerName val="0"/>
          <c:showPercent val="0"/>
          <c:showBubbleSize val="0"/>
        </c:dLbls>
        <c:gapWidth val="219"/>
        <c:overlap val="-27"/>
        <c:axId val="475520328"/>
        <c:axId val="475519936"/>
      </c:barChart>
      <c:scatterChart>
        <c:scatterStyle val="lineMarker"/>
        <c:varyColors val="0"/>
        <c:ser>
          <c:idx val="1"/>
          <c:order val="1"/>
          <c:tx>
            <c:strRef>
              <c:f>'Graf 14'!$K$3</c:f>
              <c:strCache>
                <c:ptCount val="1"/>
                <c:pt idx="0">
                  <c:v>Q3-2018 Sept Prognóza</c:v>
                </c:pt>
              </c:strCache>
            </c:strRef>
          </c:tx>
          <c:spPr>
            <a:ln w="25400" cap="rnd">
              <a:noFill/>
              <a:round/>
            </a:ln>
            <a:effectLst/>
          </c:spPr>
          <c:marker>
            <c:symbol val="dash"/>
            <c:size val="9"/>
            <c:spPr>
              <a:solidFill>
                <a:srgbClr val="FF0000"/>
              </a:solidFill>
              <a:ln w="12700">
                <a:solidFill>
                  <a:srgbClr val="FF0000"/>
                </a:solidFill>
              </a:ln>
              <a:effectLst/>
            </c:spPr>
          </c:marker>
          <c:xVal>
            <c:strRef>
              <c:f>'Graf 14'!$I$4:$I$14</c:f>
              <c:strCache>
                <c:ptCount val="11"/>
                <c:pt idx="0">
                  <c:v>Eurozóna</c:v>
                </c:pt>
                <c:pt idx="1">
                  <c:v>EÚ</c:v>
                </c:pt>
                <c:pt idx="3">
                  <c:v>Nemecko</c:v>
                </c:pt>
                <c:pt idx="4">
                  <c:v>Francúzsko</c:v>
                </c:pt>
                <c:pt idx="5">
                  <c:v>Taliansko</c:v>
                </c:pt>
                <c:pt idx="6">
                  <c:v>Španielsko</c:v>
                </c:pt>
                <c:pt idx="8">
                  <c:v>Česko</c:v>
                </c:pt>
                <c:pt idx="9">
                  <c:v>Poľsko</c:v>
                </c:pt>
                <c:pt idx="10">
                  <c:v>Maďarsko</c:v>
                </c:pt>
              </c:strCache>
            </c:strRef>
          </c:xVal>
          <c:yVal>
            <c:numRef>
              <c:f>'Graf 14'!$K$4:$K$14</c:f>
              <c:numCache>
                <c:formatCode>General</c:formatCode>
                <c:ptCount val="11"/>
                <c:pt idx="0">
                  <c:v>0.47399999999999998</c:v>
                </c:pt>
                <c:pt idx="1">
                  <c:v>0.45</c:v>
                </c:pt>
                <c:pt idx="3">
                  <c:v>0.46</c:v>
                </c:pt>
                <c:pt idx="4">
                  <c:v>0.55000000000000004</c:v>
                </c:pt>
                <c:pt idx="5">
                  <c:v>0.44</c:v>
                </c:pt>
                <c:pt idx="6">
                  <c:v>0.64</c:v>
                </c:pt>
              </c:numCache>
            </c:numRef>
          </c:yVal>
          <c:smooth val="0"/>
          <c:extLst xmlns:c16r2="http://schemas.microsoft.com/office/drawing/2015/06/chart">
            <c:ext xmlns:c16="http://schemas.microsoft.com/office/drawing/2014/chart" uri="{C3380CC4-5D6E-409C-BE32-E72D297353CC}">
              <c16:uniqueId val="{00000002-250B-444A-AC6B-00297CAE4F28}"/>
            </c:ext>
          </c:extLst>
        </c:ser>
        <c:dLbls>
          <c:showLegendKey val="0"/>
          <c:showVal val="0"/>
          <c:showCatName val="0"/>
          <c:showSerName val="0"/>
          <c:showPercent val="0"/>
          <c:showBubbleSize val="0"/>
        </c:dLbls>
        <c:axId val="475519152"/>
        <c:axId val="475519544"/>
      </c:scatterChart>
      <c:scatterChart>
        <c:scatterStyle val="lineMarker"/>
        <c:varyColors val="0"/>
        <c:ser>
          <c:idx val="3"/>
          <c:order val="3"/>
          <c:tx>
            <c:strRef>
              <c:f>'Graf 14'!$M$3</c:f>
              <c:strCache>
                <c:ptCount val="1"/>
                <c:pt idx="0">
                  <c:v>Q3-2018 Sept Prognóza</c:v>
                </c:pt>
              </c:strCache>
            </c:strRef>
          </c:tx>
          <c:spPr>
            <a:ln w="25400" cap="rnd">
              <a:noFill/>
              <a:round/>
            </a:ln>
            <a:effectLst/>
          </c:spPr>
          <c:marker>
            <c:symbol val="dash"/>
            <c:size val="9"/>
            <c:spPr>
              <a:solidFill>
                <a:srgbClr val="FF0000"/>
              </a:solidFill>
              <a:ln w="12700">
                <a:solidFill>
                  <a:srgbClr val="FF0000"/>
                </a:solidFill>
              </a:ln>
              <a:effectLst/>
            </c:spPr>
          </c:marker>
          <c:xVal>
            <c:strRef>
              <c:f>'Graf 14'!$I$4:$I$14</c:f>
              <c:strCache>
                <c:ptCount val="11"/>
                <c:pt idx="0">
                  <c:v>Eurozóna</c:v>
                </c:pt>
                <c:pt idx="1">
                  <c:v>EÚ</c:v>
                </c:pt>
                <c:pt idx="3">
                  <c:v>Nemecko</c:v>
                </c:pt>
                <c:pt idx="4">
                  <c:v>Francúzsko</c:v>
                </c:pt>
                <c:pt idx="5">
                  <c:v>Taliansko</c:v>
                </c:pt>
                <c:pt idx="6">
                  <c:v>Španielsko</c:v>
                </c:pt>
                <c:pt idx="8">
                  <c:v>Česko</c:v>
                </c:pt>
                <c:pt idx="9">
                  <c:v>Poľsko</c:v>
                </c:pt>
                <c:pt idx="10">
                  <c:v>Maďarsko</c:v>
                </c:pt>
              </c:strCache>
            </c:strRef>
          </c:xVal>
          <c:yVal>
            <c:numRef>
              <c:f>'Graf 14'!$M$4:$M$14</c:f>
              <c:numCache>
                <c:formatCode>General</c:formatCode>
                <c:ptCount val="11"/>
                <c:pt idx="8">
                  <c:v>4.9881203113000039</c:v>
                </c:pt>
                <c:pt idx="9">
                  <c:v>4.4250728878891366</c:v>
                </c:pt>
                <c:pt idx="10">
                  <c:v>4.8948471629450818</c:v>
                </c:pt>
              </c:numCache>
            </c:numRef>
          </c:yVal>
          <c:smooth val="0"/>
          <c:extLst xmlns:c16r2="http://schemas.microsoft.com/office/drawing/2015/06/chart">
            <c:ext xmlns:c16="http://schemas.microsoft.com/office/drawing/2014/chart" uri="{C3380CC4-5D6E-409C-BE32-E72D297353CC}">
              <c16:uniqueId val="{00000003-250B-444A-AC6B-00297CAE4F28}"/>
            </c:ext>
          </c:extLst>
        </c:ser>
        <c:dLbls>
          <c:showLegendKey val="0"/>
          <c:showVal val="0"/>
          <c:showCatName val="0"/>
          <c:showSerName val="0"/>
          <c:showPercent val="0"/>
          <c:showBubbleSize val="0"/>
        </c:dLbls>
        <c:axId val="475520328"/>
        <c:axId val="475519936"/>
      </c:scatterChart>
      <c:catAx>
        <c:axId val="4755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sk-SK"/>
          </a:p>
        </c:txPr>
        <c:crossAx val="475519544"/>
        <c:crosses val="autoZero"/>
        <c:auto val="1"/>
        <c:lblAlgn val="ctr"/>
        <c:lblOffset val="100"/>
        <c:noMultiLvlLbl val="0"/>
      </c:catAx>
      <c:valAx>
        <c:axId val="475519544"/>
        <c:scaling>
          <c:orientation val="minMax"/>
          <c:max val="1"/>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NeueHaasGroteskDisp W02" panose="020B0504020202020204" pitchFamily="34" charset="-18"/>
                <a:ea typeface="+mn-ea"/>
                <a:cs typeface="+mn-cs"/>
              </a:defRPr>
            </a:pPr>
            <a:endParaRPr lang="sk-SK"/>
          </a:p>
        </c:txPr>
        <c:crossAx val="475519152"/>
        <c:crosses val="autoZero"/>
        <c:crossBetween val="between"/>
      </c:valAx>
      <c:valAx>
        <c:axId val="475519936"/>
        <c:scaling>
          <c:orientation val="minMax"/>
          <c:max val="7.5"/>
          <c:min val="-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NeueHaasGroteskDisp W02" panose="020B0504020202020204" pitchFamily="34" charset="-18"/>
                <a:ea typeface="+mn-ea"/>
                <a:cs typeface="+mn-cs"/>
              </a:defRPr>
            </a:pPr>
            <a:endParaRPr lang="sk-SK"/>
          </a:p>
        </c:txPr>
        <c:crossAx val="475520328"/>
        <c:crosses val="max"/>
        <c:crossBetween val="between"/>
        <c:majorUnit val="1"/>
      </c:valAx>
      <c:catAx>
        <c:axId val="475520328"/>
        <c:scaling>
          <c:orientation val="minMax"/>
        </c:scaling>
        <c:delete val="1"/>
        <c:axPos val="b"/>
        <c:numFmt formatCode="General" sourceLinked="1"/>
        <c:majorTickMark val="out"/>
        <c:minorTickMark val="none"/>
        <c:tickLblPos val="nextTo"/>
        <c:crossAx val="475519936"/>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1.2659293074746988E-2"/>
          <c:y val="0.80810826066096586"/>
          <c:w val="0.95911721151587592"/>
          <c:h val="0.1553956293097771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'Graf 18+Tab 6 '!$K$6</c:f>
              <c:strCache>
                <c:ptCount val="1"/>
                <c:pt idx="0">
                  <c:v>zamestnanosť</c:v>
                </c:pt>
              </c:strCache>
            </c:strRef>
          </c:tx>
          <c:spPr>
            <a:solidFill>
              <a:srgbClr val="2C9ADC"/>
            </a:solidFill>
          </c:spPr>
          <c:invertIfNegative val="0"/>
          <c:cat>
            <c:strRef>
              <c:f>'Graf 18+Tab 6 '!$L$5:$Y$5</c:f>
              <c:strCache>
                <c:ptCount val="14"/>
                <c:pt idx="0">
                  <c:v>2009</c:v>
                </c:pt>
                <c:pt idx="1">
                  <c:v>2010</c:v>
                </c:pt>
                <c:pt idx="2">
                  <c:v>2011</c:v>
                </c:pt>
                <c:pt idx="3">
                  <c:v>2012</c:v>
                </c:pt>
                <c:pt idx="4">
                  <c:v>2013</c:v>
                </c:pt>
                <c:pt idx="5">
                  <c:v>2014</c:v>
                </c:pt>
                <c:pt idx="6">
                  <c:v>2015</c:v>
                </c:pt>
                <c:pt idx="7">
                  <c:v>2016</c:v>
                </c:pt>
                <c:pt idx="8">
                  <c:v>2017</c:v>
                </c:pt>
                <c:pt idx="9">
                  <c:v>2018</c:v>
                </c:pt>
                <c:pt idx="10">
                  <c:v>2019F</c:v>
                </c:pt>
                <c:pt idx="11">
                  <c:v>2020F</c:v>
                </c:pt>
                <c:pt idx="12">
                  <c:v>2021F</c:v>
                </c:pt>
                <c:pt idx="13">
                  <c:v>2022F</c:v>
                </c:pt>
              </c:strCache>
            </c:strRef>
          </c:cat>
          <c:val>
            <c:numRef>
              <c:f>'Graf 18+Tab 6 '!$L$6:$Y$6</c:f>
              <c:numCache>
                <c:formatCode>0.0</c:formatCode>
                <c:ptCount val="14"/>
                <c:pt idx="0">
                  <c:v>-0.24412296348542997</c:v>
                </c:pt>
                <c:pt idx="1">
                  <c:v>-0.1766986569936107</c:v>
                </c:pt>
                <c:pt idx="2">
                  <c:v>0.46589927136759257</c:v>
                </c:pt>
                <c:pt idx="3">
                  <c:v>0.148530526628394</c:v>
                </c:pt>
                <c:pt idx="4">
                  <c:v>0.11474616106826208</c:v>
                </c:pt>
                <c:pt idx="5">
                  <c:v>0.35896760699153724</c:v>
                </c:pt>
                <c:pt idx="6">
                  <c:v>0.48257579069144863</c:v>
                </c:pt>
                <c:pt idx="7">
                  <c:v>0.52974017829782916</c:v>
                </c:pt>
                <c:pt idx="8">
                  <c:v>0.50146775221868267</c:v>
                </c:pt>
                <c:pt idx="9">
                  <c:v>0.50271121579436362</c:v>
                </c:pt>
                <c:pt idx="10">
                  <c:v>0.47214578243661048</c:v>
                </c:pt>
                <c:pt idx="11">
                  <c:v>0.36565839412244344</c:v>
                </c:pt>
                <c:pt idx="12">
                  <c:v>0.24242048156204832</c:v>
                </c:pt>
                <c:pt idx="13">
                  <c:v>0.19256134400816338</c:v>
                </c:pt>
              </c:numCache>
            </c:numRef>
          </c:val>
          <c:extLst xmlns:c16r2="http://schemas.microsoft.com/office/drawing/2015/06/chart">
            <c:ext xmlns:c16="http://schemas.microsoft.com/office/drawing/2014/chart" uri="{C3380CC4-5D6E-409C-BE32-E72D297353CC}">
              <c16:uniqueId val="{00000000-AB53-43D6-AD88-259B96262364}"/>
            </c:ext>
          </c:extLst>
        </c:ser>
        <c:ser>
          <c:idx val="2"/>
          <c:order val="1"/>
          <c:tx>
            <c:strRef>
              <c:f>'Graf 18+Tab 6 '!$K$7</c:f>
              <c:strCache>
                <c:ptCount val="1"/>
                <c:pt idx="0">
                  <c:v>zásoba kapitálu</c:v>
                </c:pt>
              </c:strCache>
            </c:strRef>
          </c:tx>
          <c:spPr>
            <a:solidFill>
              <a:srgbClr val="D6DCE5"/>
            </a:solidFill>
          </c:spPr>
          <c:invertIfNegative val="0"/>
          <c:cat>
            <c:strRef>
              <c:f>'Graf 18+Tab 6 '!$L$5:$Y$5</c:f>
              <c:strCache>
                <c:ptCount val="14"/>
                <c:pt idx="0">
                  <c:v>2009</c:v>
                </c:pt>
                <c:pt idx="1">
                  <c:v>2010</c:v>
                </c:pt>
                <c:pt idx="2">
                  <c:v>2011</c:v>
                </c:pt>
                <c:pt idx="3">
                  <c:v>2012</c:v>
                </c:pt>
                <c:pt idx="4">
                  <c:v>2013</c:v>
                </c:pt>
                <c:pt idx="5">
                  <c:v>2014</c:v>
                </c:pt>
                <c:pt idx="6">
                  <c:v>2015</c:v>
                </c:pt>
                <c:pt idx="7">
                  <c:v>2016</c:v>
                </c:pt>
                <c:pt idx="8">
                  <c:v>2017</c:v>
                </c:pt>
                <c:pt idx="9">
                  <c:v>2018</c:v>
                </c:pt>
                <c:pt idx="10">
                  <c:v>2019F</c:v>
                </c:pt>
                <c:pt idx="11">
                  <c:v>2020F</c:v>
                </c:pt>
                <c:pt idx="12">
                  <c:v>2021F</c:v>
                </c:pt>
                <c:pt idx="13">
                  <c:v>2022F</c:v>
                </c:pt>
              </c:strCache>
            </c:strRef>
          </c:cat>
          <c:val>
            <c:numRef>
              <c:f>'Graf 18+Tab 6 '!$L$7:$Y$7</c:f>
              <c:numCache>
                <c:formatCode>0.0</c:formatCode>
                <c:ptCount val="14"/>
                <c:pt idx="0">
                  <c:v>1.0323300110905855</c:v>
                </c:pt>
                <c:pt idx="1">
                  <c:v>0.76199253607153861</c:v>
                </c:pt>
                <c:pt idx="2">
                  <c:v>0.93872834530249627</c:v>
                </c:pt>
                <c:pt idx="3">
                  <c:v>0.80231409947606769</c:v>
                </c:pt>
                <c:pt idx="4">
                  <c:v>0.54800982047636504</c:v>
                </c:pt>
                <c:pt idx="5">
                  <c:v>0.51650596807033777</c:v>
                </c:pt>
                <c:pt idx="6">
                  <c:v>0.82227372458251247</c:v>
                </c:pt>
                <c:pt idx="7">
                  <c:v>0.88384384942466943</c:v>
                </c:pt>
                <c:pt idx="8">
                  <c:v>0.64876067811537852</c:v>
                </c:pt>
                <c:pt idx="9">
                  <c:v>0.80581599742624677</c:v>
                </c:pt>
                <c:pt idx="10">
                  <c:v>0.83318352122593431</c:v>
                </c:pt>
                <c:pt idx="11">
                  <c:v>0.82702028661943483</c:v>
                </c:pt>
                <c:pt idx="12">
                  <c:v>0.85414958254054385</c:v>
                </c:pt>
                <c:pt idx="13">
                  <c:v>0.89265402265068916</c:v>
                </c:pt>
              </c:numCache>
            </c:numRef>
          </c:val>
          <c:extLst xmlns:c16r2="http://schemas.microsoft.com/office/drawing/2015/06/chart">
            <c:ext xmlns:c16="http://schemas.microsoft.com/office/drawing/2014/chart" uri="{C3380CC4-5D6E-409C-BE32-E72D297353CC}">
              <c16:uniqueId val="{00000001-AB53-43D6-AD88-259B96262364}"/>
            </c:ext>
          </c:extLst>
        </c:ser>
        <c:ser>
          <c:idx val="3"/>
          <c:order val="2"/>
          <c:tx>
            <c:strRef>
              <c:f>'Graf 18+Tab 6 '!$K$8</c:f>
              <c:strCache>
                <c:ptCount val="1"/>
                <c:pt idx="0">
                  <c:v>TFP</c:v>
                </c:pt>
              </c:strCache>
            </c:strRef>
          </c:tx>
          <c:spPr>
            <a:solidFill>
              <a:srgbClr val="555555"/>
            </a:solidFill>
          </c:spPr>
          <c:invertIfNegative val="0"/>
          <c:cat>
            <c:strRef>
              <c:f>'Graf 18+Tab 6 '!$L$5:$Y$5</c:f>
              <c:strCache>
                <c:ptCount val="14"/>
                <c:pt idx="0">
                  <c:v>2009</c:v>
                </c:pt>
                <c:pt idx="1">
                  <c:v>2010</c:v>
                </c:pt>
                <c:pt idx="2">
                  <c:v>2011</c:v>
                </c:pt>
                <c:pt idx="3">
                  <c:v>2012</c:v>
                </c:pt>
                <c:pt idx="4">
                  <c:v>2013</c:v>
                </c:pt>
                <c:pt idx="5">
                  <c:v>2014</c:v>
                </c:pt>
                <c:pt idx="6">
                  <c:v>2015</c:v>
                </c:pt>
                <c:pt idx="7">
                  <c:v>2016</c:v>
                </c:pt>
                <c:pt idx="8">
                  <c:v>2017</c:v>
                </c:pt>
                <c:pt idx="9">
                  <c:v>2018</c:v>
                </c:pt>
                <c:pt idx="10">
                  <c:v>2019F</c:v>
                </c:pt>
                <c:pt idx="11">
                  <c:v>2020F</c:v>
                </c:pt>
                <c:pt idx="12">
                  <c:v>2021F</c:v>
                </c:pt>
                <c:pt idx="13">
                  <c:v>2022F</c:v>
                </c:pt>
              </c:strCache>
            </c:strRef>
          </c:cat>
          <c:val>
            <c:numRef>
              <c:f>'Graf 18+Tab 6 '!$L$8:$Y$8</c:f>
              <c:numCache>
                <c:formatCode>0.0</c:formatCode>
                <c:ptCount val="14"/>
                <c:pt idx="0">
                  <c:v>0.50390255485329105</c:v>
                </c:pt>
                <c:pt idx="1">
                  <c:v>0.57198636353091015</c:v>
                </c:pt>
                <c:pt idx="2">
                  <c:v>1.0472937833011242</c:v>
                </c:pt>
                <c:pt idx="3">
                  <c:v>1.4064680167044334</c:v>
                </c:pt>
                <c:pt idx="4">
                  <c:v>1.3925280620726288</c:v>
                </c:pt>
                <c:pt idx="5">
                  <c:v>1.5872217703824685</c:v>
                </c:pt>
                <c:pt idx="6">
                  <c:v>1.6630764663857529</c:v>
                </c:pt>
                <c:pt idx="7">
                  <c:v>1.5090329297932015</c:v>
                </c:pt>
                <c:pt idx="8">
                  <c:v>1.8042195755598227</c:v>
                </c:pt>
                <c:pt idx="9">
                  <c:v>2.1543513993278705</c:v>
                </c:pt>
                <c:pt idx="10">
                  <c:v>2.4781869930780407</c:v>
                </c:pt>
                <c:pt idx="11">
                  <c:v>2.5460800802128074</c:v>
                </c:pt>
                <c:pt idx="12">
                  <c:v>2.2647158558901257</c:v>
                </c:pt>
                <c:pt idx="13">
                  <c:v>1.817313216398432</c:v>
                </c:pt>
              </c:numCache>
            </c:numRef>
          </c:val>
          <c:extLst xmlns:c16r2="http://schemas.microsoft.com/office/drawing/2015/06/chart">
            <c:ext xmlns:c16="http://schemas.microsoft.com/office/drawing/2014/chart" uri="{C3380CC4-5D6E-409C-BE32-E72D297353CC}">
              <c16:uniqueId val="{00000002-AB53-43D6-AD88-259B96262364}"/>
            </c:ext>
          </c:extLst>
        </c:ser>
        <c:dLbls>
          <c:showLegendKey val="0"/>
          <c:showVal val="0"/>
          <c:showCatName val="0"/>
          <c:showSerName val="0"/>
          <c:showPercent val="0"/>
          <c:showBubbleSize val="0"/>
        </c:dLbls>
        <c:gapWidth val="150"/>
        <c:overlap val="100"/>
        <c:axId val="283932440"/>
        <c:axId val="283932832"/>
      </c:barChart>
      <c:lineChart>
        <c:grouping val="standard"/>
        <c:varyColors val="0"/>
        <c:ser>
          <c:idx val="0"/>
          <c:order val="3"/>
          <c:tx>
            <c:strRef>
              <c:f>'Graf 18+Tab 6 '!$K$9</c:f>
              <c:strCache>
                <c:ptCount val="1"/>
                <c:pt idx="0">
                  <c:v>pot. produkt</c:v>
                </c:pt>
              </c:strCache>
            </c:strRef>
          </c:tx>
          <c:spPr>
            <a:ln w="19050">
              <a:solidFill>
                <a:schemeClr val="tx1"/>
              </a:solidFill>
            </a:ln>
          </c:spPr>
          <c:marker>
            <c:symbol val="none"/>
          </c:marker>
          <c:cat>
            <c:strRef>
              <c:f>'Graf 18+Tab 6 '!$L$5:$Y$5</c:f>
              <c:strCache>
                <c:ptCount val="14"/>
                <c:pt idx="0">
                  <c:v>2009</c:v>
                </c:pt>
                <c:pt idx="1">
                  <c:v>2010</c:v>
                </c:pt>
                <c:pt idx="2">
                  <c:v>2011</c:v>
                </c:pt>
                <c:pt idx="3">
                  <c:v>2012</c:v>
                </c:pt>
                <c:pt idx="4">
                  <c:v>2013</c:v>
                </c:pt>
                <c:pt idx="5">
                  <c:v>2014</c:v>
                </c:pt>
                <c:pt idx="6">
                  <c:v>2015</c:v>
                </c:pt>
                <c:pt idx="7">
                  <c:v>2016</c:v>
                </c:pt>
                <c:pt idx="8">
                  <c:v>2017</c:v>
                </c:pt>
                <c:pt idx="9">
                  <c:v>2018</c:v>
                </c:pt>
                <c:pt idx="10">
                  <c:v>2019F</c:v>
                </c:pt>
                <c:pt idx="11">
                  <c:v>2020F</c:v>
                </c:pt>
                <c:pt idx="12">
                  <c:v>2021F</c:v>
                </c:pt>
                <c:pt idx="13">
                  <c:v>2022F</c:v>
                </c:pt>
              </c:strCache>
            </c:strRef>
          </c:cat>
          <c:val>
            <c:numRef>
              <c:f>'Graf 18+Tab 6 '!$L$9:$Y$9</c:f>
              <c:numCache>
                <c:formatCode>0.0</c:formatCode>
                <c:ptCount val="14"/>
                <c:pt idx="0">
                  <c:v>1.2921096024584466</c:v>
                </c:pt>
                <c:pt idx="1">
                  <c:v>1.157280242608838</c:v>
                </c:pt>
                <c:pt idx="2">
                  <c:v>2.4519213999712131</c:v>
                </c:pt>
                <c:pt idx="3">
                  <c:v>2.3573126428088953</c:v>
                </c:pt>
                <c:pt idx="4">
                  <c:v>2.0552840436172559</c:v>
                </c:pt>
                <c:pt idx="5">
                  <c:v>2.4626953454443434</c:v>
                </c:pt>
                <c:pt idx="6">
                  <c:v>2.9679259816597137</c:v>
                </c:pt>
                <c:pt idx="7">
                  <c:v>2.9226169575157002</c:v>
                </c:pt>
                <c:pt idx="8">
                  <c:v>2.9544480058938838</c:v>
                </c:pt>
                <c:pt idx="9">
                  <c:v>3.4628786125484812</c:v>
                </c:pt>
                <c:pt idx="10">
                  <c:v>3.7835162967405855</c:v>
                </c:pt>
                <c:pt idx="11">
                  <c:v>3.7387587609546857</c:v>
                </c:pt>
                <c:pt idx="12">
                  <c:v>3.3612859199927181</c:v>
                </c:pt>
                <c:pt idx="13">
                  <c:v>2.9025285830572845</c:v>
                </c:pt>
              </c:numCache>
            </c:numRef>
          </c:val>
          <c:smooth val="0"/>
          <c:extLst xmlns:c16r2="http://schemas.microsoft.com/office/drawing/2015/06/chart">
            <c:ext xmlns:c16="http://schemas.microsoft.com/office/drawing/2014/chart" uri="{C3380CC4-5D6E-409C-BE32-E72D297353CC}">
              <c16:uniqueId val="{00000003-AB53-43D6-AD88-259B96262364}"/>
            </c:ext>
          </c:extLst>
        </c:ser>
        <c:dLbls>
          <c:showLegendKey val="0"/>
          <c:showVal val="0"/>
          <c:showCatName val="0"/>
          <c:showSerName val="0"/>
          <c:showPercent val="0"/>
          <c:showBubbleSize val="0"/>
        </c:dLbls>
        <c:marker val="1"/>
        <c:smooth val="0"/>
        <c:axId val="283932440"/>
        <c:axId val="283932832"/>
      </c:lineChart>
      <c:catAx>
        <c:axId val="283932440"/>
        <c:scaling>
          <c:orientation val="minMax"/>
        </c:scaling>
        <c:delete val="0"/>
        <c:axPos val="b"/>
        <c:numFmt formatCode="General" sourceLinked="1"/>
        <c:majorTickMark val="none"/>
        <c:minorTickMark val="none"/>
        <c:tickLblPos val="low"/>
        <c:spPr>
          <a:ln w="6350">
            <a:solidFill>
              <a:schemeClr val="tx1"/>
            </a:solidFill>
          </a:ln>
        </c:spPr>
        <c:crossAx val="283932832"/>
        <c:crosses val="autoZero"/>
        <c:auto val="1"/>
        <c:lblAlgn val="ctr"/>
        <c:lblOffset val="100"/>
        <c:noMultiLvlLbl val="0"/>
      </c:catAx>
      <c:valAx>
        <c:axId val="283932832"/>
        <c:scaling>
          <c:orientation val="minMax"/>
        </c:scaling>
        <c:delete val="0"/>
        <c:axPos val="l"/>
        <c:majorGridlines>
          <c:spPr>
            <a:ln w="6350">
              <a:solidFill>
                <a:schemeClr val="bg1">
                  <a:lumMod val="95000"/>
                </a:schemeClr>
              </a:solidFill>
              <a:prstDash val="sysDot"/>
            </a:ln>
          </c:spPr>
        </c:majorGridlines>
        <c:numFmt formatCode="0.0" sourceLinked="1"/>
        <c:majorTickMark val="out"/>
        <c:minorTickMark val="none"/>
        <c:tickLblPos val="nextTo"/>
        <c:spPr>
          <a:ln w="6350">
            <a:solidFill>
              <a:schemeClr val="tx1"/>
            </a:solidFill>
          </a:ln>
        </c:spPr>
        <c:crossAx val="283932440"/>
        <c:crosses val="autoZero"/>
        <c:crossBetween val="between"/>
      </c:valAx>
      <c:spPr>
        <a:noFill/>
      </c:spPr>
    </c:plotArea>
    <c:legend>
      <c:legendPos val="r"/>
      <c:layout>
        <c:manualLayout>
          <c:xMode val="edge"/>
          <c:yMode val="edge"/>
          <c:x val="0.10539363138660802"/>
          <c:y val="5.1714434266172827E-3"/>
          <c:w val="0.42080661053015062"/>
          <c:h val="0.29990573254313507"/>
        </c:manualLayout>
      </c:layout>
      <c:overlay val="1"/>
    </c:legend>
    <c:plotVisOnly val="1"/>
    <c:dispBlanksAs val="gap"/>
    <c:showDLblsOverMax val="0"/>
  </c:chart>
  <c:spPr>
    <a:noFill/>
    <a:ln>
      <a:noFill/>
    </a:ln>
  </c:spPr>
  <c:txPr>
    <a:bodyPr/>
    <a:lstStyle/>
    <a:p>
      <a:pPr>
        <a:defRPr sz="800">
          <a:solidFill>
            <a:sysClr val="windowText" lastClr="000000"/>
          </a:solidFill>
          <a:latin typeface="Arial Narrow" panose="020B0606020202030204" pitchFamily="34"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0.44156</cdr:x>
      <cdr:y>0.30207</cdr:y>
    </cdr:from>
    <cdr:to>
      <cdr:x>0.577</cdr:x>
      <cdr:y>0.36978</cdr:y>
    </cdr:to>
    <cdr:sp macro="" textlink="">
      <cdr:nvSpPr>
        <cdr:cNvPr id="2" name="BlokTextu 1"/>
        <cdr:cNvSpPr txBox="1"/>
      </cdr:nvSpPr>
      <cdr:spPr>
        <a:xfrm xmlns:a="http://schemas.openxmlformats.org/drawingml/2006/main">
          <a:off x="3036171" y="944406"/>
          <a:ext cx="931334" cy="211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0.64129</cdr:x>
      <cdr:y>0.07513</cdr:y>
    </cdr:from>
    <cdr:to>
      <cdr:x>0.80925</cdr:x>
      <cdr:y>0.13569</cdr:y>
    </cdr:to>
    <cdr:sp macro="" textlink="">
      <cdr:nvSpPr>
        <cdr:cNvPr id="3" name="BlokTextu 2"/>
        <cdr:cNvSpPr txBox="1"/>
      </cdr:nvSpPr>
      <cdr:spPr>
        <a:xfrm xmlns:a="http://schemas.openxmlformats.org/drawingml/2006/main">
          <a:off x="3686577" y="179200"/>
          <a:ext cx="965544" cy="1444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Narrow" panose="020B0606020202030204" pitchFamily="34" charset="0"/>
            </a:rPr>
            <a:t>(</a:t>
          </a:r>
          <a:r>
            <a:rPr lang="sk-SK" sz="900">
              <a:latin typeface="Arial Narrow" panose="020B0606020202030204" pitchFamily="34" charset="0"/>
            </a:rPr>
            <a:t>-0,83</a:t>
          </a:r>
          <a:r>
            <a:rPr lang="sk-SK" sz="900" baseline="0">
              <a:latin typeface="Arial Narrow" panose="020B0606020202030204" pitchFamily="34" charset="0"/>
            </a:rPr>
            <a:t> </a:t>
          </a:r>
          <a:r>
            <a:rPr lang="en-US" sz="900" baseline="0">
              <a:latin typeface="Arial Narrow" panose="020B0606020202030204" pitchFamily="34" charset="0"/>
            </a:rPr>
            <a:t>% HDP)</a:t>
          </a:r>
          <a:endParaRPr lang="sk-SK" sz="900">
            <a:latin typeface="Arial Narrow" panose="020B0606020202030204" pitchFamily="34" charset="0"/>
          </a:endParaRPr>
        </a:p>
      </cdr:txBody>
    </cdr:sp>
  </cdr:relSizeAnchor>
  <cdr:relSizeAnchor xmlns:cdr="http://schemas.openxmlformats.org/drawingml/2006/chartDrawing">
    <cdr:from>
      <cdr:x>0.64414</cdr:x>
      <cdr:y>0.88927</cdr:y>
    </cdr:from>
    <cdr:to>
      <cdr:x>0.81698</cdr:x>
      <cdr:y>0.96125</cdr:y>
    </cdr:to>
    <cdr:sp macro="" textlink="">
      <cdr:nvSpPr>
        <cdr:cNvPr id="4" name="BlokTextu 1"/>
        <cdr:cNvSpPr txBox="1"/>
      </cdr:nvSpPr>
      <cdr:spPr>
        <a:xfrm xmlns:a="http://schemas.openxmlformats.org/drawingml/2006/main">
          <a:off x="3709906" y="2273438"/>
          <a:ext cx="995444" cy="1840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Narrow" panose="020B0606020202030204" pitchFamily="34" charset="0"/>
            </a:rPr>
            <a:t>(</a:t>
          </a:r>
          <a:r>
            <a:rPr lang="sk-SK" sz="900">
              <a:latin typeface="Arial Narrow" panose="020B0606020202030204" pitchFamily="34" charset="0"/>
            </a:rPr>
            <a:t>-0,</a:t>
          </a:r>
          <a:r>
            <a:rPr lang="en-US" sz="900">
              <a:latin typeface="Arial Narrow" panose="020B0606020202030204" pitchFamily="34" charset="0"/>
            </a:rPr>
            <a:t>70 </a:t>
          </a:r>
          <a:r>
            <a:rPr lang="en-US" sz="900" baseline="0">
              <a:latin typeface="Arial Narrow" panose="020B0606020202030204" pitchFamily="34" charset="0"/>
            </a:rPr>
            <a:t>% HDP)</a:t>
          </a:r>
          <a:endParaRPr lang="sk-SK" sz="900">
            <a:latin typeface="Arial Narrow" panose="020B06060202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0.02699</cdr:x>
      <cdr:y>0.02129</cdr:y>
    </cdr:from>
    <cdr:to>
      <cdr:x>0.40526</cdr:x>
      <cdr:y>0.18977</cdr:y>
    </cdr:to>
    <cdr:sp macro="" textlink="">
      <cdr:nvSpPr>
        <cdr:cNvPr id="39938" name="Rectangle 2"/>
        <cdr:cNvSpPr>
          <a:spLocks xmlns:a="http://schemas.openxmlformats.org/drawingml/2006/main" noChangeArrowheads="1"/>
        </cdr:cNvSpPr>
      </cdr:nvSpPr>
      <cdr:spPr bwMode="auto">
        <a:xfrm xmlns:a="http://schemas.openxmlformats.org/drawingml/2006/main">
          <a:off x="153753" y="40754"/>
          <a:ext cx="2154607" cy="3225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1">
            <a:defRPr sz="1000"/>
          </a:pPr>
          <a:r>
            <a:rPr lang="sk-SK" sz="800" b="1" i="0" strike="noStrike">
              <a:solidFill>
                <a:sysClr val="windowText" lastClr="000000"/>
              </a:solidFill>
              <a:latin typeface="Arial Narrow"/>
            </a:rPr>
            <a:t>Pro-cyklická </a:t>
          </a:r>
        </a:p>
        <a:p xmlns:a="http://schemas.openxmlformats.org/drawingml/2006/main">
          <a:pPr algn="l" rtl="1">
            <a:defRPr sz="1000"/>
          </a:pPr>
          <a:r>
            <a:rPr lang="sk-SK" sz="800" b="1" i="0" strike="noStrike">
              <a:solidFill>
                <a:sysClr val="windowText" lastClr="000000"/>
              </a:solidFill>
              <a:latin typeface="Arial Narrow"/>
            </a:rPr>
            <a:t>fiškálna reštrikcia</a:t>
          </a:r>
        </a:p>
      </cdr:txBody>
    </cdr:sp>
  </cdr:relSizeAnchor>
  <cdr:relSizeAnchor xmlns:cdr="http://schemas.openxmlformats.org/drawingml/2006/chartDrawing">
    <cdr:from>
      <cdr:x>0.028</cdr:x>
      <cdr:y>0.85564</cdr:y>
    </cdr:from>
    <cdr:to>
      <cdr:x>0.44341</cdr:x>
      <cdr:y>0.97715</cdr:y>
    </cdr:to>
    <cdr:sp macro="" textlink="">
      <cdr:nvSpPr>
        <cdr:cNvPr id="270339" name="Rectangle 4"/>
        <cdr:cNvSpPr>
          <a:spLocks xmlns:a="http://schemas.openxmlformats.org/drawingml/2006/main" noChangeArrowheads="1"/>
        </cdr:cNvSpPr>
      </cdr:nvSpPr>
      <cdr:spPr bwMode="auto">
        <a:xfrm xmlns:a="http://schemas.openxmlformats.org/drawingml/2006/main">
          <a:off x="159489" y="2303195"/>
          <a:ext cx="2366155" cy="3270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1">
            <a:defRPr sz="1000"/>
          </a:pPr>
          <a:r>
            <a:rPr lang="cs-CZ" sz="800" b="1" i="0" strike="noStrike">
              <a:solidFill>
                <a:sysClr val="windowText" lastClr="000000"/>
              </a:solidFill>
              <a:latin typeface="Arial Narrow"/>
            </a:rPr>
            <a:t>Proti-cyklická</a:t>
          </a:r>
        </a:p>
        <a:p xmlns:a="http://schemas.openxmlformats.org/drawingml/2006/main">
          <a:pPr algn="l" rtl="1">
            <a:defRPr sz="1000"/>
          </a:pPr>
          <a:r>
            <a:rPr lang="cs-CZ" sz="800" b="1" i="0" strike="noStrike">
              <a:solidFill>
                <a:sysClr val="windowText" lastClr="000000"/>
              </a:solidFill>
              <a:latin typeface="Arial Narrow"/>
            </a:rPr>
            <a:t>fiškálna expanzia</a:t>
          </a:r>
        </a:p>
      </cdr:txBody>
    </cdr:sp>
  </cdr:relSizeAnchor>
  <cdr:relSizeAnchor xmlns:cdr="http://schemas.openxmlformats.org/drawingml/2006/chartDrawing">
    <cdr:from>
      <cdr:x>0.3797</cdr:x>
      <cdr:y>0</cdr:y>
    </cdr:from>
    <cdr:to>
      <cdr:x>0.47256</cdr:x>
      <cdr:y>0.60249</cdr:y>
    </cdr:to>
    <cdr:sp macro="" textlink="">
      <cdr:nvSpPr>
        <cdr:cNvPr id="306182" name="Text Box 7"/>
        <cdr:cNvSpPr txBox="1">
          <a:spLocks xmlns:a="http://schemas.openxmlformats.org/drawingml/2006/main" noChangeArrowheads="1"/>
        </cdr:cNvSpPr>
      </cdr:nvSpPr>
      <cdr:spPr bwMode="auto">
        <a:xfrm xmlns:a="http://schemas.openxmlformats.org/drawingml/2006/main" rot="16200000">
          <a:off x="1616332" y="546420"/>
          <a:ext cx="1621766" cy="5289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7432" rIns="0" bIns="0" anchor="ctr" anchorCtr="1" upright="1"/>
        <a:lstStyle xmlns:a="http://schemas.openxmlformats.org/drawingml/2006/main"/>
        <a:p xmlns:a="http://schemas.openxmlformats.org/drawingml/2006/main">
          <a:pPr algn="ctr" rtl="0">
            <a:defRPr sz="1000"/>
          </a:pPr>
          <a:r>
            <a:rPr lang="sk-SK" sz="800" b="1" i="0" u="none" strike="noStrike" baseline="0">
              <a:solidFill>
                <a:srgbClr val="000000"/>
              </a:solidFill>
              <a:latin typeface="Arial Narrow"/>
            </a:rPr>
            <a:t>∆ prim. štrukturálneho salda (% HDP</a:t>
          </a:r>
          <a:r>
            <a:rPr lang="en-US" sz="800" b="1" i="0" baseline="0">
              <a:effectLst/>
              <a:latin typeface="+mn-lt"/>
              <a:ea typeface="+mn-ea"/>
              <a:cs typeface="+mn-cs"/>
            </a:rPr>
            <a:t>)</a:t>
          </a:r>
          <a:endParaRPr lang="sk-SK" sz="800" b="1" i="0" u="none" strike="noStrike" baseline="0">
            <a:solidFill>
              <a:srgbClr val="000000"/>
            </a:solidFill>
            <a:latin typeface="Arial Narrow"/>
          </a:endParaRPr>
        </a:p>
      </cdr:txBody>
    </cdr:sp>
  </cdr:relSizeAnchor>
  <cdr:relSizeAnchor xmlns:cdr="http://schemas.openxmlformats.org/drawingml/2006/chartDrawing">
    <cdr:from>
      <cdr:x>0.72633</cdr:x>
      <cdr:y>0.03677</cdr:y>
    </cdr:from>
    <cdr:to>
      <cdr:x>0.98639</cdr:x>
      <cdr:y>0.19944</cdr:y>
    </cdr:to>
    <cdr:sp macro="" textlink="">
      <cdr:nvSpPr>
        <cdr:cNvPr id="8" name="Rectangle 2"/>
        <cdr:cNvSpPr>
          <a:spLocks xmlns:a="http://schemas.openxmlformats.org/drawingml/2006/main" noChangeArrowheads="1"/>
        </cdr:cNvSpPr>
      </cdr:nvSpPr>
      <cdr:spPr bwMode="auto">
        <a:xfrm xmlns:a="http://schemas.openxmlformats.org/drawingml/2006/main">
          <a:off x="4037977" y="95753"/>
          <a:ext cx="1445784" cy="4236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sk-SK" sz="800" b="1" i="0" strike="noStrike">
              <a:solidFill>
                <a:sysClr val="windowText" lastClr="000000"/>
              </a:solidFill>
              <a:latin typeface="Arial Narrow"/>
            </a:rPr>
            <a:t>Proti-cyklická </a:t>
          </a:r>
        </a:p>
        <a:p xmlns:a="http://schemas.openxmlformats.org/drawingml/2006/main">
          <a:pPr algn="r" rtl="1">
            <a:defRPr sz="1000"/>
          </a:pPr>
          <a:r>
            <a:rPr lang="sk-SK" sz="800" b="1" i="0" strike="noStrike">
              <a:solidFill>
                <a:sysClr val="windowText" lastClr="000000"/>
              </a:solidFill>
              <a:latin typeface="Arial Narrow"/>
            </a:rPr>
            <a:t>fiškálna reštrikcia</a:t>
          </a:r>
        </a:p>
      </cdr:txBody>
    </cdr:sp>
  </cdr:relSizeAnchor>
  <cdr:relSizeAnchor xmlns:cdr="http://schemas.openxmlformats.org/drawingml/2006/chartDrawing">
    <cdr:from>
      <cdr:x>0.67896</cdr:x>
      <cdr:y>0.84834</cdr:y>
    </cdr:from>
    <cdr:to>
      <cdr:x>0.97976</cdr:x>
      <cdr:y>0.96003</cdr:y>
    </cdr:to>
    <cdr:sp macro="" textlink="">
      <cdr:nvSpPr>
        <cdr:cNvPr id="7" name="Rectangle 4"/>
        <cdr:cNvSpPr>
          <a:spLocks xmlns:a="http://schemas.openxmlformats.org/drawingml/2006/main" noChangeArrowheads="1"/>
        </cdr:cNvSpPr>
      </cdr:nvSpPr>
      <cdr:spPr bwMode="auto">
        <a:xfrm xmlns:a="http://schemas.openxmlformats.org/drawingml/2006/main">
          <a:off x="3774643" y="2209191"/>
          <a:ext cx="1672259" cy="2908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cs-CZ" sz="800" b="1" i="0" strike="noStrike">
              <a:solidFill>
                <a:srgbClr val="7030A0"/>
              </a:solidFill>
              <a:latin typeface="Arial Narrow"/>
            </a:rPr>
            <a:t> </a:t>
          </a:r>
          <a:r>
            <a:rPr lang="cs-CZ" sz="800" b="1" i="0" strike="noStrike">
              <a:solidFill>
                <a:sysClr val="windowText" lastClr="000000"/>
              </a:solidFill>
              <a:latin typeface="Arial Narrow"/>
            </a:rPr>
            <a:t>Pro-cyklická</a:t>
          </a:r>
        </a:p>
        <a:p xmlns:a="http://schemas.openxmlformats.org/drawingml/2006/main">
          <a:pPr algn="r" rtl="1">
            <a:defRPr sz="1000"/>
          </a:pPr>
          <a:r>
            <a:rPr lang="cs-CZ" sz="800" b="1" i="0" strike="noStrike">
              <a:solidFill>
                <a:sysClr val="windowText" lastClr="000000"/>
              </a:solidFill>
              <a:latin typeface="Arial Narrow"/>
            </a:rPr>
            <a:t>fiškálna expanzia</a:t>
          </a:r>
        </a:p>
      </cdr:txBody>
    </cdr:sp>
  </cdr:relSizeAnchor>
  <cdr:relSizeAnchor xmlns:cdr="http://schemas.openxmlformats.org/drawingml/2006/chartDrawing">
    <cdr:from>
      <cdr:x>0.03322</cdr:x>
      <cdr:y>0.46899</cdr:y>
    </cdr:from>
    <cdr:to>
      <cdr:x>0.27796</cdr:x>
      <cdr:y>0.58527</cdr:y>
    </cdr:to>
    <cdr:sp macro="" textlink="">
      <cdr:nvSpPr>
        <cdr:cNvPr id="2" name="BlokTextu 1"/>
        <cdr:cNvSpPr txBox="1"/>
      </cdr:nvSpPr>
      <cdr:spPr>
        <a:xfrm xmlns:a="http://schemas.openxmlformats.org/drawingml/2006/main">
          <a:off x="189193" y="1262401"/>
          <a:ext cx="1394027" cy="312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800" b="1"/>
            <a:t>Produčná medzera (% HDP)</a:t>
          </a:r>
        </a:p>
      </cdr:txBody>
    </cdr:sp>
  </cdr:relSizeAnchor>
</c:userShapes>
</file>

<file path=word/drawings/drawing3.xml><?xml version="1.0" encoding="utf-8"?>
<c:userShapes xmlns:c="http://schemas.openxmlformats.org/drawingml/2006/chart">
  <cdr:relSizeAnchor xmlns:cdr="http://schemas.openxmlformats.org/drawingml/2006/chartDrawing">
    <cdr:from>
      <cdr:x>0.41644</cdr:x>
      <cdr:y>0.29562</cdr:y>
    </cdr:from>
    <cdr:to>
      <cdr:x>0.74547</cdr:x>
      <cdr:y>0.3823</cdr:y>
    </cdr:to>
    <cdr:sp macro="" textlink="">
      <cdr:nvSpPr>
        <cdr:cNvPr id="2" name="BlokTextu 3"/>
        <cdr:cNvSpPr txBox="1"/>
      </cdr:nvSpPr>
      <cdr:spPr>
        <a:xfrm xmlns:a="http://schemas.openxmlformats.org/drawingml/2006/main">
          <a:off x="1173572" y="548319"/>
          <a:ext cx="927249" cy="160777"/>
        </a:xfrm>
        <a:prstGeom xmlns:a="http://schemas.openxmlformats.org/drawingml/2006/main" prst="rect">
          <a:avLst/>
        </a:prstGeom>
        <a:solidFill xmlns:a="http://schemas.openxmlformats.org/drawingml/2006/main">
          <a:srgbClr val="FFFFAF"/>
        </a:solidFill>
        <a:ln xmlns:a="http://schemas.openxmlformats.org/drawingml/2006/main" w="9525" cmpd="sng">
          <a:solidFill>
            <a:srgbClr val="FFFFAF"/>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Stredné riziko</a:t>
          </a:r>
        </a:p>
      </cdr:txBody>
    </cdr:sp>
  </cdr:relSizeAnchor>
  <cdr:relSizeAnchor xmlns:cdr="http://schemas.openxmlformats.org/drawingml/2006/chartDrawing">
    <cdr:from>
      <cdr:x>0.15538</cdr:x>
      <cdr:y>0.51274</cdr:y>
    </cdr:from>
    <cdr:to>
      <cdr:x>0.43773</cdr:x>
      <cdr:y>0.64089</cdr:y>
    </cdr:to>
    <cdr:sp macro="" textlink="">
      <cdr:nvSpPr>
        <cdr:cNvPr id="3" name="BlokTextu 3"/>
        <cdr:cNvSpPr txBox="1"/>
      </cdr:nvSpPr>
      <cdr:spPr>
        <a:xfrm xmlns:a="http://schemas.openxmlformats.org/drawingml/2006/main">
          <a:off x="437881" y="911001"/>
          <a:ext cx="795696" cy="227686"/>
        </a:xfrm>
        <a:prstGeom xmlns:a="http://schemas.openxmlformats.org/drawingml/2006/main" prst="rect">
          <a:avLst/>
        </a:prstGeom>
        <a:solidFill xmlns:a="http://schemas.openxmlformats.org/drawingml/2006/main">
          <a:schemeClr val="accent3"/>
        </a:solidFill>
        <a:ln xmlns:a="http://schemas.openxmlformats.org/drawingml/2006/main" w="9525" cmpd="sng">
          <a:solidFill>
            <a:schemeClr val="accent3"/>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Nízke riziko</a:t>
          </a:r>
        </a:p>
      </cdr:txBody>
    </cdr:sp>
  </cdr:relSizeAnchor>
  <cdr:relSizeAnchor xmlns:cdr="http://schemas.openxmlformats.org/drawingml/2006/chartDrawing">
    <cdr:from>
      <cdr:x>0.42836</cdr:x>
      <cdr:y>0.09491</cdr:y>
    </cdr:from>
    <cdr:to>
      <cdr:x>0.85403</cdr:x>
      <cdr:y>0.2282</cdr:y>
    </cdr:to>
    <cdr:sp macro="" textlink="">
      <cdr:nvSpPr>
        <cdr:cNvPr id="4" name="BlokTextu 3"/>
        <cdr:cNvSpPr txBox="1"/>
      </cdr:nvSpPr>
      <cdr:spPr>
        <a:xfrm xmlns:a="http://schemas.openxmlformats.org/drawingml/2006/main">
          <a:off x="1207185" y="168632"/>
          <a:ext cx="1199584" cy="236809"/>
        </a:xfrm>
        <a:prstGeom xmlns:a="http://schemas.openxmlformats.org/drawingml/2006/main" prst="rect">
          <a:avLst/>
        </a:prstGeom>
        <a:solidFill xmlns:a="http://schemas.openxmlformats.org/drawingml/2006/main">
          <a:schemeClr val="accent6"/>
        </a:solidFill>
        <a:ln xmlns:a="http://schemas.openxmlformats.org/drawingml/2006/main" w="9525" cmpd="sng">
          <a:solidFill>
            <a:schemeClr val="accent6"/>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Vysoké riziko</a:t>
          </a:r>
        </a:p>
      </cdr:txBody>
    </cdr:sp>
  </cdr:relSizeAnchor>
</c:userShapes>
</file>

<file path=word/drawings/drawing4.xml><?xml version="1.0" encoding="utf-8"?>
<c:userShapes xmlns:c="http://schemas.openxmlformats.org/drawingml/2006/chart">
  <cdr:relSizeAnchor xmlns:cdr="http://schemas.openxmlformats.org/drawingml/2006/chartDrawing">
    <cdr:from>
      <cdr:x>0.45444</cdr:x>
      <cdr:y>0.09575</cdr:y>
    </cdr:from>
    <cdr:to>
      <cdr:x>0.87467</cdr:x>
      <cdr:y>0.19997</cdr:y>
    </cdr:to>
    <cdr:sp macro="" textlink="">
      <cdr:nvSpPr>
        <cdr:cNvPr id="3" name="BlokTextu 3"/>
        <cdr:cNvSpPr txBox="1"/>
      </cdr:nvSpPr>
      <cdr:spPr>
        <a:xfrm xmlns:a="http://schemas.openxmlformats.org/drawingml/2006/main">
          <a:off x="1224977" y="185869"/>
          <a:ext cx="1132762" cy="202319"/>
        </a:xfrm>
        <a:prstGeom xmlns:a="http://schemas.openxmlformats.org/drawingml/2006/main" prst="rect">
          <a:avLst/>
        </a:prstGeom>
        <a:solidFill xmlns:a="http://schemas.openxmlformats.org/drawingml/2006/main">
          <a:schemeClr val="accent6"/>
        </a:solidFill>
        <a:ln xmlns:a="http://schemas.openxmlformats.org/drawingml/2006/main" w="9525" cmpd="sng">
          <a:solidFill>
            <a:schemeClr val="accent6"/>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Vysoké riziko</a:t>
          </a:r>
        </a:p>
      </cdr:txBody>
    </cdr:sp>
  </cdr:relSizeAnchor>
  <cdr:relSizeAnchor xmlns:cdr="http://schemas.openxmlformats.org/drawingml/2006/chartDrawing">
    <cdr:from>
      <cdr:x>0.46526</cdr:x>
      <cdr:y>0.25352</cdr:y>
    </cdr:from>
    <cdr:to>
      <cdr:x>0.88461</cdr:x>
      <cdr:y>0.37782</cdr:y>
    </cdr:to>
    <cdr:sp macro="" textlink="">
      <cdr:nvSpPr>
        <cdr:cNvPr id="4" name="BlokTextu 3"/>
        <cdr:cNvSpPr txBox="1"/>
      </cdr:nvSpPr>
      <cdr:spPr>
        <a:xfrm xmlns:a="http://schemas.openxmlformats.org/drawingml/2006/main">
          <a:off x="1228725" y="492132"/>
          <a:ext cx="1107490" cy="241293"/>
        </a:xfrm>
        <a:prstGeom xmlns:a="http://schemas.openxmlformats.org/drawingml/2006/main" prst="rect">
          <a:avLst/>
        </a:prstGeom>
        <a:solidFill xmlns:a="http://schemas.openxmlformats.org/drawingml/2006/main">
          <a:srgbClr val="FFFFAF"/>
        </a:solidFill>
        <a:ln xmlns:a="http://schemas.openxmlformats.org/drawingml/2006/main" w="9525" cmpd="sng">
          <a:solidFill>
            <a:srgbClr val="FFFFAF"/>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Stredné riziko</a:t>
          </a:r>
        </a:p>
      </cdr:txBody>
    </cdr:sp>
  </cdr:relSizeAnchor>
  <cdr:relSizeAnchor xmlns:cdr="http://schemas.openxmlformats.org/drawingml/2006/chartDrawing">
    <cdr:from>
      <cdr:x>0.81986</cdr:x>
      <cdr:y>0.60195</cdr:y>
    </cdr:from>
    <cdr:to>
      <cdr:x>1</cdr:x>
      <cdr:y>0.74425</cdr:y>
    </cdr:to>
    <cdr:sp macro="" textlink="">
      <cdr:nvSpPr>
        <cdr:cNvPr id="5" name="BlokTextu 3"/>
        <cdr:cNvSpPr txBox="1"/>
      </cdr:nvSpPr>
      <cdr:spPr>
        <a:xfrm xmlns:a="http://schemas.openxmlformats.org/drawingml/2006/main">
          <a:off x="2165230" y="1168510"/>
          <a:ext cx="475735" cy="276232"/>
        </a:xfrm>
        <a:prstGeom xmlns:a="http://schemas.openxmlformats.org/drawingml/2006/main" prst="rect">
          <a:avLst/>
        </a:prstGeom>
        <a:solidFill xmlns:a="http://schemas.openxmlformats.org/drawingml/2006/main">
          <a:schemeClr val="accent3">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k-SK" sz="1000" b="1">
              <a:latin typeface="Arial Narrow" panose="020B0606020202030204" pitchFamily="34" charset="0"/>
            </a:rPr>
            <a:t>Nízke   </a:t>
          </a:r>
          <a:r>
            <a:rPr lang="sk-SK" sz="1000" b="1" baseline="0">
              <a:latin typeface="Arial Narrow" panose="020B0606020202030204" pitchFamily="34" charset="0"/>
            </a:rPr>
            <a:t> </a:t>
          </a:r>
          <a:r>
            <a:rPr lang="sk-SK" sz="1000" b="1">
              <a:latin typeface="Arial Narrow" panose="020B0606020202030204" pitchFamily="34" charset="0"/>
            </a:rPr>
            <a:t> riziko</a:t>
          </a:r>
        </a:p>
      </cdr:txBody>
    </cdr:sp>
  </cdr:relSizeAnchor>
</c:userShapes>
</file>

<file path=word/drawings/drawing5.xml><?xml version="1.0" encoding="utf-8"?>
<c:userShapes xmlns:c="http://schemas.openxmlformats.org/drawingml/2006/chart">
  <cdr:relSizeAnchor xmlns:cdr="http://schemas.openxmlformats.org/drawingml/2006/chartDrawing">
    <cdr:from>
      <cdr:x>0.73746</cdr:x>
      <cdr:y>0.07539</cdr:y>
    </cdr:from>
    <cdr:to>
      <cdr:x>0.91832</cdr:x>
      <cdr:y>0.17477</cdr:y>
    </cdr:to>
    <cdr:sp macro="" textlink="">
      <cdr:nvSpPr>
        <cdr:cNvPr id="2" name="BlokTextu 1"/>
        <cdr:cNvSpPr txBox="1"/>
      </cdr:nvSpPr>
      <cdr:spPr>
        <a:xfrm xmlns:a="http://schemas.openxmlformats.org/drawingml/2006/main">
          <a:off x="2063738" y="116613"/>
          <a:ext cx="506126" cy="1537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800" b="1">
              <a:latin typeface="Arial Narrow" panose="020B0606020202030204" pitchFamily="34" charset="0"/>
            </a:rPr>
            <a:t>Eurozona 19</a:t>
          </a:r>
        </a:p>
      </cdr:txBody>
    </cdr:sp>
  </cdr:relSizeAnchor>
  <cdr:relSizeAnchor xmlns:cdr="http://schemas.openxmlformats.org/drawingml/2006/chartDrawing">
    <cdr:from>
      <cdr:x>0.86818</cdr:x>
      <cdr:y>0.30622</cdr:y>
    </cdr:from>
    <cdr:to>
      <cdr:x>0.95129</cdr:x>
      <cdr:y>0.37589</cdr:y>
    </cdr:to>
    <cdr:sp macro="" textlink="">
      <cdr:nvSpPr>
        <cdr:cNvPr id="3" name="BlokTextu 1"/>
        <cdr:cNvSpPr txBox="1"/>
      </cdr:nvSpPr>
      <cdr:spPr>
        <a:xfrm xmlns:a="http://schemas.openxmlformats.org/drawingml/2006/main">
          <a:off x="2429542" y="473681"/>
          <a:ext cx="232578" cy="1077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solidFill>
                <a:schemeClr val="bg1">
                  <a:lumMod val="50000"/>
                </a:schemeClr>
              </a:solidFill>
              <a:latin typeface="Arial Narrow" panose="020B0606020202030204" pitchFamily="34" charset="0"/>
            </a:rPr>
            <a:t>V3</a:t>
          </a:r>
        </a:p>
      </cdr:txBody>
    </cdr:sp>
  </cdr:relSizeAnchor>
  <cdr:relSizeAnchor xmlns:cdr="http://schemas.openxmlformats.org/drawingml/2006/chartDrawing">
    <cdr:from>
      <cdr:x>0.76351</cdr:x>
      <cdr:y>0.47524</cdr:y>
    </cdr:from>
    <cdr:to>
      <cdr:x>0.84661</cdr:x>
      <cdr:y>0.54491</cdr:y>
    </cdr:to>
    <cdr:sp macro="" textlink="">
      <cdr:nvSpPr>
        <cdr:cNvPr id="4" name="BlokTextu 1"/>
        <cdr:cNvSpPr txBox="1"/>
      </cdr:nvSpPr>
      <cdr:spPr>
        <a:xfrm xmlns:a="http://schemas.openxmlformats.org/drawingml/2006/main">
          <a:off x="2136633" y="735125"/>
          <a:ext cx="232550" cy="1077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solidFill>
                <a:srgbClr val="2C9BDC"/>
              </a:solidFill>
              <a:latin typeface="Arial Narrow" panose="020B0606020202030204" pitchFamily="34" charset="0"/>
            </a:rPr>
            <a:t>Slovensko</a:t>
          </a:r>
        </a:p>
      </cdr:txBody>
    </cdr:sp>
  </cdr:relSizeAnchor>
</c:userShapes>
</file>

<file path=word/drawings/drawing6.xml><?xml version="1.0" encoding="utf-8"?>
<c:userShapes xmlns:c="http://schemas.openxmlformats.org/drawingml/2006/chart">
  <cdr:relSizeAnchor xmlns:cdr="http://schemas.openxmlformats.org/drawingml/2006/chartDrawing">
    <cdr:from>
      <cdr:x>0.76568</cdr:x>
      <cdr:y>0.52569</cdr:y>
    </cdr:from>
    <cdr:to>
      <cdr:x>0.84222</cdr:x>
      <cdr:y>0.59756</cdr:y>
    </cdr:to>
    <cdr:sp macro="" textlink="">
      <cdr:nvSpPr>
        <cdr:cNvPr id="2" name="BlokTextu 1"/>
        <cdr:cNvSpPr txBox="1"/>
      </cdr:nvSpPr>
      <cdr:spPr>
        <a:xfrm xmlns:a="http://schemas.openxmlformats.org/drawingml/2006/main">
          <a:off x="2054216" y="695995"/>
          <a:ext cx="205347" cy="951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solidFill>
                <a:srgbClr val="2C9BDC"/>
              </a:solidFill>
              <a:latin typeface="Arial Narrow" panose="020B0606020202030204" pitchFamily="34" charset="0"/>
            </a:rPr>
            <a:t>Slovensko</a:t>
          </a:r>
        </a:p>
      </cdr:txBody>
    </cdr:sp>
  </cdr:relSizeAnchor>
  <cdr:relSizeAnchor xmlns:cdr="http://schemas.openxmlformats.org/drawingml/2006/chartDrawing">
    <cdr:from>
      <cdr:x>0.88129</cdr:x>
      <cdr:y>0.26511</cdr:y>
    </cdr:from>
    <cdr:to>
      <cdr:x>0.95785</cdr:x>
      <cdr:y>0.33698</cdr:y>
    </cdr:to>
    <cdr:sp macro="" textlink="">
      <cdr:nvSpPr>
        <cdr:cNvPr id="3" name="BlokTextu 1"/>
        <cdr:cNvSpPr txBox="1"/>
      </cdr:nvSpPr>
      <cdr:spPr>
        <a:xfrm xmlns:a="http://schemas.openxmlformats.org/drawingml/2006/main">
          <a:off x="2364402" y="380460"/>
          <a:ext cx="205400" cy="1031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solidFill>
                <a:schemeClr val="bg1">
                  <a:lumMod val="50000"/>
                </a:schemeClr>
              </a:solidFill>
              <a:latin typeface="Arial Narrow" panose="020B0606020202030204" pitchFamily="34" charset="0"/>
            </a:rPr>
            <a:t>V3</a:t>
          </a:r>
        </a:p>
      </cdr:txBody>
    </cdr:sp>
  </cdr:relSizeAnchor>
  <cdr:relSizeAnchor xmlns:cdr="http://schemas.openxmlformats.org/drawingml/2006/chartDrawing">
    <cdr:from>
      <cdr:x>0.73007</cdr:x>
      <cdr:y>0.12829</cdr:y>
    </cdr:from>
    <cdr:to>
      <cdr:x>0.89667</cdr:x>
      <cdr:y>0.1947</cdr:y>
    </cdr:to>
    <cdr:sp macro="" textlink="">
      <cdr:nvSpPr>
        <cdr:cNvPr id="4" name="BlokTextu 1"/>
        <cdr:cNvSpPr txBox="1"/>
      </cdr:nvSpPr>
      <cdr:spPr>
        <a:xfrm xmlns:a="http://schemas.openxmlformats.org/drawingml/2006/main">
          <a:off x="1958688" y="184115"/>
          <a:ext cx="446967" cy="953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latin typeface="Arial Narrow" panose="020B0606020202030204" pitchFamily="34" charset="0"/>
            </a:rPr>
            <a:t>Eurozona 19</a:t>
          </a:r>
        </a:p>
      </cdr:txBody>
    </cdr:sp>
  </cdr:relSizeAnchor>
</c:userShapes>
</file>

<file path=word/theme/theme1.xml><?xml version="1.0" encoding="utf-8"?>
<a:theme xmlns:a="http://schemas.openxmlformats.org/drawingml/2006/main" name="Office Theme">
  <a:themeElements>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75000"/>
          </a:schemeClr>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IFP farby">
    <a:dk1>
      <a:sysClr val="windowText" lastClr="000000"/>
    </a:dk1>
    <a:lt1>
      <a:sysClr val="window" lastClr="FFFFFF"/>
    </a:lt1>
    <a:dk2>
      <a:srgbClr val="44546A"/>
    </a:dk2>
    <a:lt2>
      <a:srgbClr val="E7E6E6"/>
    </a:lt2>
    <a:accent1>
      <a:srgbClr val="2C9ADC"/>
    </a:accent1>
    <a:accent2>
      <a:srgbClr val="B0D6AF"/>
    </a:accent2>
    <a:accent3>
      <a:srgbClr val="D3BEDE"/>
    </a:accent3>
    <a:accent4>
      <a:srgbClr val="D9D3AB"/>
    </a:accent4>
    <a:accent5>
      <a:srgbClr val="AAD3F2"/>
    </a:accent5>
    <a:accent6>
      <a:srgbClr val="F9C9BA"/>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521FF-180B-441C-9B02-21828D02D5EB}">
  <ds:schemaRefs>
    <ds:schemaRef ds:uri="http://schemas.openxmlformats.org/officeDocument/2006/bibliography"/>
  </ds:schemaRefs>
</ds:datastoreItem>
</file>

<file path=customXml/itemProps2.xml><?xml version="1.0" encoding="utf-8"?>
<ds:datastoreItem xmlns:ds="http://schemas.openxmlformats.org/officeDocument/2006/customXml" ds:itemID="{F8501EDF-AADA-44F1-88D9-85ADD122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25049</Words>
  <Characters>142785</Characters>
  <Application>Microsoft Office Word</Application>
  <DocSecurity>0</DocSecurity>
  <Lines>1189</Lines>
  <Paragraphs>334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Ministerstvo financií</Company>
  <LinksUpToDate>false</LinksUpToDate>
  <CharactersWithSpaces>167500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Suchta Juraj</dc:creator>
  <cp:keywords/>
  <dc:description/>
  <cp:lastModifiedBy>Ujlakyova Andrea</cp:lastModifiedBy>
  <cp:revision>2</cp:revision>
  <cp:lastPrinted>2019-04-17T12:05:00Z</cp:lastPrinted>
  <dcterms:created xsi:type="dcterms:W3CDTF">2019-04-17T13:00:00Z</dcterms:created>
  <dcterms:modified xsi:type="dcterms:W3CDTF">2019-04-17T13:00:00Z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980647295</vt:i4>
  </property>
</Properties>
</file>