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D5" w:rsidRPr="0071222B" w:rsidRDefault="00F50ED5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B26BD" w:rsidRDefault="003B26BD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B26BD" w:rsidRDefault="003B26BD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B26BD" w:rsidRDefault="003B26BD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B26BD" w:rsidRDefault="003B26BD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B26BD" w:rsidRDefault="003B26BD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B26BD" w:rsidRDefault="003B26BD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B26BD" w:rsidRDefault="003B26BD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2E7" w:rsidRDefault="002E62E7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B26BD" w:rsidRDefault="003B26BD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2E7" w:rsidRDefault="002E62E7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2E7" w:rsidRDefault="002E62E7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2E7" w:rsidRDefault="002E62E7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B26BD" w:rsidRDefault="003B26BD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71222B" w:rsidRDefault="008C322D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25B79">
        <w:rPr>
          <w:rFonts w:ascii="Times New Roman" w:hAnsi="Times New Roman"/>
          <w:sz w:val="24"/>
          <w:szCs w:val="24"/>
        </w:rPr>
        <w:t> 2. apríla</w:t>
      </w:r>
      <w:r>
        <w:rPr>
          <w:rFonts w:ascii="Times New Roman" w:hAnsi="Times New Roman"/>
          <w:sz w:val="24"/>
          <w:szCs w:val="24"/>
        </w:rPr>
        <w:t xml:space="preserve"> 2019</w:t>
      </w:r>
      <w:r w:rsidR="00F50ED5" w:rsidRPr="0071222B">
        <w:rPr>
          <w:rFonts w:ascii="Times New Roman" w:hAnsi="Times New Roman"/>
          <w:sz w:val="24"/>
          <w:szCs w:val="24"/>
        </w:rPr>
        <w:t>,</w:t>
      </w:r>
    </w:p>
    <w:p w:rsidR="00F50ED5" w:rsidRPr="0071222B" w:rsidRDefault="00F50ED5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71222B" w:rsidRDefault="008C322D" w:rsidP="002E62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>ktorým sa mení a dopĺňa zákon Slovenskej národnej rady č. </w:t>
      </w:r>
      <w:hyperlink r:id="rId7" w:tooltip="Odkaz na predpis alebo ustanovenie" w:history="1">
        <w:r w:rsidRPr="008C322D">
          <w:rPr>
            <w:rFonts w:ascii="Times New Roman" w:hAnsi="Times New Roman"/>
            <w:b/>
            <w:bCs/>
            <w:iCs/>
            <w:sz w:val="24"/>
            <w:szCs w:val="24"/>
            <w:lang w:eastAsia="sk-SK"/>
          </w:rPr>
          <w:t>330/1991 Zb</w:t>
        </w:r>
        <w:r w:rsidRPr="008C322D">
          <w:rPr>
            <w:rFonts w:ascii="Times New Roman" w:hAnsi="Times New Roman"/>
            <w:bCs/>
            <w:iCs/>
            <w:sz w:val="24"/>
            <w:szCs w:val="24"/>
            <w:lang w:eastAsia="sk-SK"/>
          </w:rPr>
          <w:t>.</w:t>
        </w:r>
      </w:hyperlink>
      <w:r w:rsidRPr="008C322D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 </w:t>
      </w: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>o pozemkových úpravách, usporiadaní pozemkového vlastníctva, pozemkových úradoch, pozemkovom fonde a o pozemkových spoločenstvá</w:t>
      </w:r>
      <w:r w:rsidR="004E66E4">
        <w:rPr>
          <w:rFonts w:ascii="Times New Roman" w:hAnsi="Times New Roman"/>
          <w:b/>
          <w:bCs/>
          <w:sz w:val="24"/>
          <w:szCs w:val="24"/>
          <w:lang w:eastAsia="sk-SK"/>
        </w:rPr>
        <w:t>ch v znení neskorších predpisov</w:t>
      </w:r>
      <w:r w:rsidR="00A4050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a o zmene zákona č.</w:t>
      </w:r>
      <w:r w:rsidR="00A40508" w:rsidRPr="00A40508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 </w:t>
      </w:r>
      <w:r w:rsidR="00A40508" w:rsidRPr="00A40508">
        <w:rPr>
          <w:rFonts w:ascii="Times New Roman" w:hAnsi="Times New Roman"/>
          <w:b/>
          <w:bCs/>
          <w:iCs/>
          <w:sz w:val="24"/>
          <w:szCs w:val="24"/>
          <w:lang w:eastAsia="sk-SK"/>
        </w:rPr>
        <w:t>170/2018 Z. z. o zájazdoch, spojených službách cestovného ruchu, niektorých podmienkach podnikania v cestovnom ruchu a o zmene a doplnení niektorých zákonov</w:t>
      </w:r>
    </w:p>
    <w:p w:rsidR="00F50ED5" w:rsidRDefault="00F50ED5" w:rsidP="000A33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389" w:rsidRPr="0071222B" w:rsidRDefault="000A3389" w:rsidP="000A33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0ED5" w:rsidRPr="0071222B" w:rsidRDefault="00F50ED5" w:rsidP="00DE5F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F50ED5" w:rsidRDefault="00F50ED5" w:rsidP="00DE5F0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E66E4" w:rsidRPr="0071222B" w:rsidRDefault="004E66E4" w:rsidP="00DE5F0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50ED5" w:rsidRDefault="00F50ED5" w:rsidP="007E08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>Čl. I</w:t>
      </w:r>
    </w:p>
    <w:p w:rsidR="003216E4" w:rsidRPr="0071222B" w:rsidRDefault="003216E4" w:rsidP="00DE5F0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C322D" w:rsidRPr="008C322D" w:rsidRDefault="008C322D" w:rsidP="00DE5F00">
      <w:pPr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C322D">
        <w:rPr>
          <w:rFonts w:ascii="Times New Roman" w:hAnsi="Times New Roman"/>
          <w:sz w:val="24"/>
          <w:szCs w:val="24"/>
          <w:lang w:eastAsia="sk-SK"/>
        </w:rPr>
        <w:t>Zákon Slovenskej národnej rady č. </w:t>
      </w:r>
      <w:hyperlink r:id="rId8" w:tooltip="Odkaz na predpis alebo ustanovenie" w:history="1">
        <w:r w:rsidRPr="008C322D">
          <w:rPr>
            <w:rFonts w:ascii="Times New Roman" w:hAnsi="Times New Roman"/>
            <w:iCs/>
            <w:sz w:val="24"/>
            <w:szCs w:val="24"/>
            <w:lang w:eastAsia="sk-SK"/>
          </w:rPr>
          <w:t>330/1991 Zb.</w:t>
        </w:r>
      </w:hyperlink>
      <w:r w:rsidRPr="008C322D">
        <w:rPr>
          <w:rFonts w:ascii="Times New Roman" w:hAnsi="Times New Roman"/>
          <w:sz w:val="24"/>
          <w:szCs w:val="24"/>
          <w:lang w:eastAsia="sk-SK"/>
        </w:rPr>
        <w:t xml:space="preserve"> o pozemkových úpravách, usporiadaní pozemkového vlastníctva, pozemkových úradoch, pozemkovom fonde a o pozemkových spoločenstvách v znení zákona Slovenskej národnej rady č. 293/1992 Zb., zákona Slovenskej národnej rady č. 323/1992 Zb., zákona Národnej rady Slovenskej republiky č. 187/1993 Z. z., zákona Národnej rady Slovenskej republiky č. 180/1995 Z. z., zákona Národnej rady Slovenskej republiky č. 222/1996 Z. z., zákona č. 80/1998 Z. z., zákona č. 256/2001 Z. z., zákona č. 420/2002 Z. z., zákona č. 518/2003 Z. z., zákona č. 217/2004 Z. z., zákona č. 523/2004 Z. z., zákona č. 549/2004 Z. z., zákona č. 571/2007 Z. z., zákona č. 285/2008 Z. z., zákona č. 66/2009 Z. z., zákona č. 499/2009 Z. z., zákona č. 136/2010 Z. z., zákona č. 139/2010 Z. z., zákona č. 559/2010 Z. z., zákona č. 547/2011 Z. z., zákona č. 345/2012 Z. z., zákona č. 145/2013 Z. z., zákona č. 180/2013 Z. z., zákona č. 115/2014 Z. z., zákona č. 363/2014 Z. z., zákona č. 122/2015 Z. z.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8C322D">
        <w:rPr>
          <w:rFonts w:ascii="Times New Roman" w:hAnsi="Times New Roman"/>
          <w:sz w:val="24"/>
          <w:szCs w:val="24"/>
          <w:lang w:eastAsia="sk-SK"/>
        </w:rPr>
        <w:t>zákona č. 125/2016 Z. z.</w:t>
      </w:r>
      <w:r>
        <w:rPr>
          <w:rFonts w:ascii="Times New Roman" w:hAnsi="Times New Roman"/>
          <w:sz w:val="24"/>
          <w:szCs w:val="24"/>
          <w:lang w:eastAsia="sk-SK"/>
        </w:rPr>
        <w:t xml:space="preserve">, zákona č. 153/2017 Z. z. a zákona č. 177/2018 Z. z </w:t>
      </w:r>
      <w:r w:rsidRPr="008C322D">
        <w:rPr>
          <w:rFonts w:ascii="Times New Roman" w:hAnsi="Times New Roman"/>
          <w:sz w:val="24"/>
          <w:szCs w:val="24"/>
          <w:lang w:eastAsia="sk-SK"/>
        </w:rPr>
        <w:t>sa mení a dopĺňa takto:</w:t>
      </w:r>
    </w:p>
    <w:p w:rsidR="00EF6EBF" w:rsidRDefault="00EF6EBF" w:rsidP="00DE5F00">
      <w:pPr>
        <w:tabs>
          <w:tab w:val="left" w:pos="567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62E7" w:rsidRDefault="002E62E7" w:rsidP="00DE5F00">
      <w:pPr>
        <w:tabs>
          <w:tab w:val="left" w:pos="567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322D" w:rsidRPr="008C322D" w:rsidRDefault="008C322D" w:rsidP="00DE5F00">
      <w:pPr>
        <w:pStyle w:val="Odsekzoznamu"/>
        <w:widowControl w:val="0"/>
        <w:numPr>
          <w:ilvl w:val="0"/>
          <w:numId w:val="25"/>
        </w:numPr>
        <w:shd w:val="clear" w:color="auto" w:fill="FFFFFF"/>
        <w:spacing w:after="60"/>
        <w:ind w:left="0" w:firstLine="0"/>
        <w:jc w:val="both"/>
        <w:rPr>
          <w:rFonts w:ascii="Times New Roman" w:eastAsia="MS Mincho" w:hAnsi="Times New Roman"/>
          <w:sz w:val="24"/>
          <w:szCs w:val="24"/>
          <w:lang w:eastAsia="sk-SK"/>
        </w:rPr>
      </w:pPr>
      <w:r w:rsidRPr="008C322D">
        <w:rPr>
          <w:rFonts w:ascii="Times New Roman" w:eastAsia="MS Mincho" w:hAnsi="Times New Roman"/>
          <w:sz w:val="24"/>
          <w:szCs w:val="24"/>
          <w:lang w:eastAsia="sk-SK"/>
        </w:rPr>
        <w:lastRenderedPageBreak/>
        <w:t>V § 35a ods.1 prvá a druhá veta znejú:</w:t>
      </w:r>
    </w:p>
    <w:p w:rsidR="008C322D" w:rsidRPr="008C322D" w:rsidRDefault="008C322D" w:rsidP="000A3389">
      <w:pPr>
        <w:widowControl w:val="0"/>
        <w:shd w:val="clear" w:color="auto" w:fill="FFFFFF"/>
        <w:spacing w:after="60"/>
        <w:ind w:left="786"/>
        <w:jc w:val="both"/>
        <w:rPr>
          <w:rFonts w:ascii="Segoe UI" w:hAnsi="Segoe UI" w:cs="Segoe UI"/>
          <w:color w:val="494949"/>
          <w:sz w:val="21"/>
          <w:szCs w:val="21"/>
        </w:rPr>
      </w:pPr>
    </w:p>
    <w:p w:rsidR="004330FB" w:rsidRDefault="004330FB" w:rsidP="00DE5F00">
      <w:pPr>
        <w:widowControl w:val="0"/>
        <w:shd w:val="clear" w:color="auto" w:fill="FFFFFF"/>
        <w:spacing w:after="60"/>
        <w:ind w:left="709"/>
        <w:jc w:val="both"/>
        <w:rPr>
          <w:rFonts w:ascii="Times New Roman" w:hAnsi="Times New Roman"/>
          <w:sz w:val="24"/>
          <w:szCs w:val="24"/>
        </w:rPr>
      </w:pPr>
      <w:r w:rsidRPr="004330FB">
        <w:rPr>
          <w:rFonts w:ascii="Times New Roman" w:hAnsi="Times New Roman"/>
          <w:sz w:val="24"/>
          <w:szCs w:val="24"/>
        </w:rPr>
        <w:t xml:space="preserve">„Činnosť a hospodárenie pozemkového </w:t>
      </w:r>
      <w:r w:rsidR="003D070A">
        <w:rPr>
          <w:rFonts w:ascii="Times New Roman" w:hAnsi="Times New Roman"/>
          <w:sz w:val="24"/>
          <w:szCs w:val="24"/>
        </w:rPr>
        <w:t xml:space="preserve">fondu kontroluje trinásťčlenná </w:t>
      </w:r>
      <w:r w:rsidRPr="004330FB">
        <w:rPr>
          <w:rFonts w:ascii="Times New Roman" w:hAnsi="Times New Roman"/>
          <w:sz w:val="24"/>
          <w:szCs w:val="24"/>
        </w:rPr>
        <w:t xml:space="preserve">rada. Členov rady volí a odvoláva Národná rada Slovenskej republiky, a to ôsmich členov na návrh vlády Slovenskej republiky, z toho </w:t>
      </w:r>
      <w:r w:rsidR="003D070A">
        <w:rPr>
          <w:rFonts w:ascii="Times New Roman" w:hAnsi="Times New Roman"/>
          <w:sz w:val="24"/>
          <w:szCs w:val="24"/>
        </w:rPr>
        <w:t>jedného člena</w:t>
      </w:r>
      <w:r w:rsidR="003B26BD">
        <w:rPr>
          <w:rFonts w:ascii="Times New Roman" w:hAnsi="Times New Roman"/>
          <w:sz w:val="24"/>
          <w:szCs w:val="24"/>
        </w:rPr>
        <w:t xml:space="preserve"> </w:t>
      </w:r>
      <w:r w:rsidR="003B26BD" w:rsidRPr="003B26BD">
        <w:rPr>
          <w:rFonts w:ascii="Times New Roman" w:hAnsi="Times New Roman"/>
          <w:sz w:val="24"/>
          <w:szCs w:val="24"/>
        </w:rPr>
        <w:t>vláde Slovenskej republiky navrhne združenie miest a obcí, ktoré spĺňa podmienky reprezentatívneho združenia zamestnávateľov podľa osobitného predpisu</w:t>
      </w:r>
      <w:r w:rsidR="003B26BD" w:rsidRPr="00A224FA">
        <w:rPr>
          <w:rFonts w:ascii="Times New Roman" w:hAnsi="Times New Roman"/>
          <w:sz w:val="24"/>
          <w:szCs w:val="24"/>
          <w:vertAlign w:val="superscript"/>
        </w:rPr>
        <w:t>2</w:t>
      </w:r>
      <w:r w:rsidR="003B26BD" w:rsidRPr="003B26BD">
        <w:rPr>
          <w:rFonts w:ascii="Times New Roman" w:hAnsi="Times New Roman"/>
          <w:sz w:val="24"/>
          <w:szCs w:val="24"/>
          <w:vertAlign w:val="superscript"/>
        </w:rPr>
        <w:t>3sa</w:t>
      </w:r>
      <w:r w:rsidR="003B26BD" w:rsidRPr="003B26BD">
        <w:rPr>
          <w:rFonts w:ascii="Times New Roman" w:hAnsi="Times New Roman"/>
          <w:sz w:val="24"/>
          <w:szCs w:val="24"/>
        </w:rPr>
        <w:t>) (ďalej len „reprezentatívne združenie miest a obcí“) a jedného člena vláde Slovenskej republiky navrhne Slovenská poľnohospodárska a potravinárska komora,</w:t>
      </w:r>
      <w:r w:rsidR="003B26BD" w:rsidRPr="003B26BD">
        <w:rPr>
          <w:rFonts w:ascii="Times New Roman" w:hAnsi="Times New Roman"/>
          <w:sz w:val="24"/>
          <w:szCs w:val="24"/>
          <w:vertAlign w:val="superscript"/>
        </w:rPr>
        <w:t>23sb</w:t>
      </w:r>
      <w:r w:rsidR="003B26BD">
        <w:rPr>
          <w:rFonts w:ascii="Times New Roman" w:hAnsi="Times New Roman"/>
          <w:sz w:val="24"/>
          <w:szCs w:val="24"/>
        </w:rPr>
        <w:t>)</w:t>
      </w:r>
      <w:r w:rsidRPr="004330FB">
        <w:rPr>
          <w:rFonts w:ascii="Times New Roman" w:hAnsi="Times New Roman"/>
          <w:sz w:val="24"/>
          <w:szCs w:val="24"/>
        </w:rPr>
        <w:t xml:space="preserve"> a piatich členov na základe princípu pomerného zastúpenia politických strán a  politických hnutí, za ktoré boli poslanci zvolení do Národnej rady Slovenskej republiky, na návrh výboru.“.</w:t>
      </w:r>
    </w:p>
    <w:p w:rsidR="003B26BD" w:rsidRPr="004330FB" w:rsidRDefault="003B26BD" w:rsidP="00DE5F00">
      <w:pPr>
        <w:widowControl w:val="0"/>
        <w:shd w:val="clear" w:color="auto" w:fill="FFFFFF"/>
        <w:spacing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3B26BD" w:rsidRPr="003B26BD" w:rsidRDefault="003B26BD" w:rsidP="003B26BD">
      <w:pPr>
        <w:widowControl w:val="0"/>
        <w:shd w:val="clear" w:color="auto" w:fill="FFFFFF"/>
        <w:spacing w:after="60"/>
        <w:ind w:left="709"/>
        <w:jc w:val="both"/>
        <w:rPr>
          <w:rFonts w:ascii="Times New Roman" w:hAnsi="Times New Roman"/>
          <w:sz w:val="24"/>
          <w:szCs w:val="24"/>
        </w:rPr>
      </w:pPr>
      <w:r w:rsidRPr="003B26BD">
        <w:rPr>
          <w:rFonts w:ascii="Times New Roman" w:hAnsi="Times New Roman"/>
          <w:sz w:val="24"/>
          <w:szCs w:val="24"/>
        </w:rPr>
        <w:t>Poznámky pod čiarou k odkazom 23sa a 23sb znejú:</w:t>
      </w:r>
    </w:p>
    <w:p w:rsidR="003B26BD" w:rsidRPr="003B26BD" w:rsidRDefault="003B26BD" w:rsidP="003B26BD">
      <w:pPr>
        <w:widowControl w:val="0"/>
        <w:shd w:val="clear" w:color="auto" w:fill="FFFFFF"/>
        <w:spacing w:after="60"/>
        <w:ind w:left="709"/>
        <w:jc w:val="both"/>
        <w:rPr>
          <w:rFonts w:ascii="Times New Roman" w:hAnsi="Times New Roman"/>
          <w:sz w:val="24"/>
          <w:szCs w:val="24"/>
        </w:rPr>
      </w:pPr>
      <w:r w:rsidRPr="003B26BD">
        <w:rPr>
          <w:rFonts w:ascii="Times New Roman" w:hAnsi="Times New Roman"/>
          <w:sz w:val="24"/>
          <w:szCs w:val="24"/>
        </w:rPr>
        <w:t>„</w:t>
      </w:r>
      <w:r w:rsidRPr="003B26BD">
        <w:rPr>
          <w:rFonts w:ascii="Times New Roman" w:hAnsi="Times New Roman"/>
          <w:sz w:val="24"/>
          <w:szCs w:val="24"/>
          <w:vertAlign w:val="superscript"/>
        </w:rPr>
        <w:t>23sa</w:t>
      </w:r>
      <w:r w:rsidRPr="003B26BD">
        <w:rPr>
          <w:rFonts w:ascii="Times New Roman" w:hAnsi="Times New Roman"/>
          <w:sz w:val="24"/>
          <w:szCs w:val="24"/>
        </w:rPr>
        <w:t>) § 3 ods. 2 druhá veta zákona č. 103/2007 Z. z. o trojstranných konzultáciách na celoštátnej úrovni a o zmene a doplnení niektorých zákonov (zákon o tripartite).</w:t>
      </w:r>
    </w:p>
    <w:p w:rsidR="008C322D" w:rsidRDefault="003B26BD" w:rsidP="003B26BD">
      <w:pPr>
        <w:widowControl w:val="0"/>
        <w:shd w:val="clear" w:color="auto" w:fill="FFFFFF"/>
        <w:spacing w:after="6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3B26BD">
        <w:rPr>
          <w:rFonts w:ascii="Times New Roman" w:hAnsi="Times New Roman"/>
          <w:sz w:val="24"/>
          <w:szCs w:val="24"/>
          <w:vertAlign w:val="superscript"/>
        </w:rPr>
        <w:t>23sb</w:t>
      </w:r>
      <w:r w:rsidRPr="003B26BD">
        <w:rPr>
          <w:rFonts w:ascii="Times New Roman" w:hAnsi="Times New Roman"/>
          <w:sz w:val="24"/>
          <w:szCs w:val="24"/>
        </w:rPr>
        <w:t xml:space="preserve">) Zákon Slovenskej národnej rady č. 30/1992 Zb. </w:t>
      </w:r>
      <w:r w:rsidRPr="003B26BD">
        <w:rPr>
          <w:rFonts w:ascii="Times New Roman" w:hAnsi="Times New Roman"/>
          <w:bCs/>
          <w:sz w:val="24"/>
          <w:szCs w:val="24"/>
        </w:rPr>
        <w:t>o Slovenskej poľnohospodárskej a  potravinárskej komore v znení neskorších predpisov.“.</w:t>
      </w:r>
    </w:p>
    <w:p w:rsidR="003B26BD" w:rsidRPr="008C322D" w:rsidRDefault="003B26BD" w:rsidP="003B26BD">
      <w:pPr>
        <w:widowControl w:val="0"/>
        <w:shd w:val="clear" w:color="auto" w:fill="FFFFFF"/>
        <w:spacing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8C322D" w:rsidRPr="008C322D" w:rsidRDefault="008C322D" w:rsidP="000A3389">
      <w:pPr>
        <w:keepNext/>
        <w:widowControl w:val="0"/>
        <w:numPr>
          <w:ilvl w:val="0"/>
          <w:numId w:val="25"/>
        </w:numPr>
        <w:shd w:val="clear" w:color="auto" w:fill="FFFFFF"/>
        <w:spacing w:after="60"/>
        <w:ind w:left="-284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8C322D">
        <w:rPr>
          <w:rFonts w:ascii="Times New Roman" w:hAnsi="Times New Roman"/>
          <w:sz w:val="24"/>
          <w:szCs w:val="24"/>
          <w:shd w:val="clear" w:color="auto" w:fill="FFFFFF"/>
        </w:rPr>
        <w:t>Za § 42v sa vkladá § 42w, ktorý vrátane nadpisu znie:</w:t>
      </w: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 w:rsidR="008C322D" w:rsidRPr="008C322D" w:rsidRDefault="008C322D" w:rsidP="000A3389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C322D" w:rsidRPr="008C322D" w:rsidRDefault="008C322D" w:rsidP="000A338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>„</w:t>
      </w:r>
      <w:r w:rsidR="003B26B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§ </w:t>
      </w: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>42w</w:t>
      </w:r>
    </w:p>
    <w:p w:rsidR="008C322D" w:rsidRDefault="008C322D" w:rsidP="000A3389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C322D" w:rsidRPr="008C322D" w:rsidRDefault="008C322D" w:rsidP="007E08E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>Prechodné ustanovenia k úpravá</w:t>
      </w:r>
      <w:r w:rsidR="00A5583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m účinným od </w:t>
      </w:r>
      <w:r w:rsidR="003B26BD">
        <w:rPr>
          <w:rFonts w:ascii="Times New Roman" w:hAnsi="Times New Roman"/>
          <w:b/>
          <w:bCs/>
          <w:sz w:val="24"/>
          <w:szCs w:val="24"/>
          <w:lang w:eastAsia="sk-SK"/>
        </w:rPr>
        <w:t>1. júna</w:t>
      </w:r>
      <w:r w:rsidR="00A5583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>2019</w:t>
      </w:r>
    </w:p>
    <w:p w:rsidR="00991599" w:rsidRDefault="00991599" w:rsidP="00991599">
      <w:pPr>
        <w:keepNext/>
        <w:shd w:val="clear" w:color="auto" w:fill="FFFFFF"/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C322D" w:rsidRPr="008C322D" w:rsidRDefault="00991599" w:rsidP="00BA31BB">
      <w:pPr>
        <w:keepNext/>
        <w:shd w:val="clear" w:color="auto" w:fill="FFFFFF"/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="00E62CED" w:rsidRPr="00E62CED">
        <w:rPr>
          <w:rFonts w:ascii="Times New Roman" w:hAnsi="Times New Roman"/>
          <w:sz w:val="24"/>
          <w:szCs w:val="24"/>
          <w:lang w:eastAsia="sk-SK"/>
        </w:rPr>
        <w:t xml:space="preserve">Funkčné obdobie členov rady </w:t>
      </w:r>
      <w:r w:rsidR="00A427AB">
        <w:rPr>
          <w:rFonts w:ascii="Times New Roman" w:hAnsi="Times New Roman"/>
          <w:sz w:val="24"/>
          <w:szCs w:val="24"/>
          <w:lang w:eastAsia="sk-SK"/>
        </w:rPr>
        <w:t>zvolených</w:t>
      </w:r>
      <w:r w:rsidR="00E62CED" w:rsidRPr="00E62CED">
        <w:rPr>
          <w:rFonts w:ascii="Times New Roman" w:hAnsi="Times New Roman"/>
          <w:sz w:val="24"/>
          <w:szCs w:val="24"/>
          <w:lang w:eastAsia="sk-SK"/>
        </w:rPr>
        <w:t xml:space="preserve"> podľa </w:t>
      </w:r>
      <w:r w:rsidR="003B26BD">
        <w:rPr>
          <w:rFonts w:ascii="Times New Roman" w:hAnsi="Times New Roman"/>
          <w:sz w:val="24"/>
          <w:szCs w:val="24"/>
          <w:lang w:eastAsia="sk-SK"/>
        </w:rPr>
        <w:t>zákona</w:t>
      </w:r>
      <w:r w:rsidR="00E62CED" w:rsidRPr="00E62CED">
        <w:rPr>
          <w:rFonts w:ascii="Times New Roman" w:hAnsi="Times New Roman"/>
          <w:sz w:val="24"/>
          <w:szCs w:val="24"/>
          <w:lang w:eastAsia="sk-SK"/>
        </w:rPr>
        <w:t xml:space="preserve"> účinného do </w:t>
      </w:r>
      <w:r w:rsidR="003B26BD">
        <w:rPr>
          <w:rFonts w:ascii="Times New Roman" w:hAnsi="Times New Roman"/>
          <w:sz w:val="24"/>
          <w:szCs w:val="24"/>
          <w:lang w:eastAsia="sk-SK"/>
        </w:rPr>
        <w:t>31. mája</w:t>
      </w:r>
      <w:r w:rsidR="00E62CED">
        <w:rPr>
          <w:rFonts w:ascii="Times New Roman" w:hAnsi="Times New Roman"/>
          <w:sz w:val="24"/>
          <w:szCs w:val="24"/>
          <w:lang w:eastAsia="sk-SK"/>
        </w:rPr>
        <w:t xml:space="preserve"> 2019</w:t>
      </w:r>
      <w:r w:rsidR="00E62CED" w:rsidRPr="00E62CED">
        <w:rPr>
          <w:rFonts w:ascii="Times New Roman" w:hAnsi="Times New Roman"/>
          <w:sz w:val="24"/>
          <w:szCs w:val="24"/>
          <w:lang w:eastAsia="sk-SK"/>
        </w:rPr>
        <w:t xml:space="preserve"> skončí uplynutím funkčného obdobia, na ktoré boli </w:t>
      </w:r>
      <w:r w:rsidR="00A427AB">
        <w:rPr>
          <w:rFonts w:ascii="Times New Roman" w:hAnsi="Times New Roman"/>
          <w:sz w:val="24"/>
          <w:szCs w:val="24"/>
          <w:lang w:eastAsia="sk-SK"/>
        </w:rPr>
        <w:t>zvolení</w:t>
      </w:r>
      <w:r w:rsidR="00E62CED">
        <w:rPr>
          <w:rFonts w:ascii="Times New Roman" w:hAnsi="Times New Roman"/>
          <w:sz w:val="24"/>
          <w:szCs w:val="24"/>
          <w:lang w:eastAsia="sk-SK"/>
        </w:rPr>
        <w:t xml:space="preserve"> podľa </w:t>
      </w:r>
      <w:r w:rsidR="003B26BD">
        <w:rPr>
          <w:rFonts w:ascii="Times New Roman" w:hAnsi="Times New Roman"/>
          <w:sz w:val="24"/>
          <w:szCs w:val="24"/>
          <w:lang w:eastAsia="sk-SK"/>
        </w:rPr>
        <w:t>zákona</w:t>
      </w:r>
      <w:r w:rsidR="00E62CED">
        <w:rPr>
          <w:rFonts w:ascii="Times New Roman" w:hAnsi="Times New Roman"/>
          <w:sz w:val="24"/>
          <w:szCs w:val="24"/>
          <w:lang w:eastAsia="sk-SK"/>
        </w:rPr>
        <w:t xml:space="preserve"> účinného do </w:t>
      </w:r>
      <w:r w:rsidR="003B26BD">
        <w:rPr>
          <w:rFonts w:ascii="Times New Roman" w:hAnsi="Times New Roman"/>
          <w:sz w:val="24"/>
          <w:szCs w:val="24"/>
          <w:lang w:eastAsia="sk-SK"/>
        </w:rPr>
        <w:t>31. mája</w:t>
      </w:r>
      <w:r w:rsidR="00E62CED">
        <w:rPr>
          <w:rFonts w:ascii="Times New Roman" w:hAnsi="Times New Roman"/>
          <w:sz w:val="24"/>
          <w:szCs w:val="24"/>
          <w:lang w:eastAsia="sk-SK"/>
        </w:rPr>
        <w:t xml:space="preserve"> 2019</w:t>
      </w:r>
      <w:r w:rsidR="00E62CED" w:rsidRPr="00E62CED">
        <w:rPr>
          <w:rFonts w:ascii="Times New Roman" w:hAnsi="Times New Roman"/>
          <w:sz w:val="24"/>
          <w:szCs w:val="24"/>
          <w:lang w:eastAsia="sk-SK"/>
        </w:rPr>
        <w:t>.</w:t>
      </w:r>
      <w:bookmarkStart w:id="0" w:name="_GoBack"/>
      <w:bookmarkEnd w:id="0"/>
    </w:p>
    <w:p w:rsidR="008C322D" w:rsidRPr="008C322D" w:rsidRDefault="008C322D" w:rsidP="00BA31BB">
      <w:pPr>
        <w:shd w:val="clear" w:color="auto" w:fill="FFFFFF"/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C322D" w:rsidRDefault="00991599" w:rsidP="00BA31BB">
      <w:pPr>
        <w:keepNext/>
        <w:widowControl w:val="0"/>
        <w:shd w:val="clear" w:color="auto" w:fill="FFFFFF"/>
        <w:spacing w:after="60"/>
        <w:ind w:left="709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(2) </w:t>
      </w:r>
      <w:r w:rsidR="00DF59FE">
        <w:rPr>
          <w:rFonts w:ascii="Times New Roman" w:hAnsi="Times New Roman"/>
          <w:sz w:val="24"/>
          <w:szCs w:val="24"/>
          <w:lang w:eastAsia="sk-SK"/>
        </w:rPr>
        <w:t xml:space="preserve">Do zvolenia členov rady podľa </w:t>
      </w:r>
      <w:r w:rsidR="003B26BD">
        <w:rPr>
          <w:rFonts w:ascii="Times New Roman" w:hAnsi="Times New Roman"/>
          <w:sz w:val="24"/>
          <w:szCs w:val="24"/>
          <w:lang w:eastAsia="sk-SK"/>
        </w:rPr>
        <w:t>zákona</w:t>
      </w:r>
      <w:r w:rsidR="00DF59FE">
        <w:rPr>
          <w:rFonts w:ascii="Times New Roman" w:hAnsi="Times New Roman"/>
          <w:sz w:val="24"/>
          <w:szCs w:val="24"/>
          <w:lang w:eastAsia="sk-SK"/>
        </w:rPr>
        <w:t xml:space="preserve"> účinného od </w:t>
      </w:r>
      <w:r w:rsidR="003B26BD">
        <w:rPr>
          <w:rFonts w:ascii="Times New Roman" w:hAnsi="Times New Roman"/>
          <w:sz w:val="24"/>
          <w:szCs w:val="24"/>
          <w:lang w:eastAsia="sk-SK"/>
        </w:rPr>
        <w:t>1. júna</w:t>
      </w:r>
      <w:r w:rsidR="00DF59FE">
        <w:rPr>
          <w:rFonts w:ascii="Times New Roman" w:hAnsi="Times New Roman"/>
          <w:sz w:val="24"/>
          <w:szCs w:val="24"/>
          <w:lang w:eastAsia="sk-SK"/>
        </w:rPr>
        <w:t xml:space="preserve"> 2019 rada vykonáva svoju činnosť podľa </w:t>
      </w:r>
      <w:r w:rsidR="003B26BD">
        <w:rPr>
          <w:rFonts w:ascii="Times New Roman" w:hAnsi="Times New Roman"/>
          <w:sz w:val="24"/>
          <w:szCs w:val="24"/>
          <w:lang w:eastAsia="sk-SK"/>
        </w:rPr>
        <w:t>zákona</w:t>
      </w:r>
      <w:r w:rsidR="00DF59FE">
        <w:rPr>
          <w:rFonts w:ascii="Times New Roman" w:hAnsi="Times New Roman"/>
          <w:sz w:val="24"/>
          <w:szCs w:val="24"/>
          <w:lang w:eastAsia="sk-SK"/>
        </w:rPr>
        <w:t xml:space="preserve"> účinného do </w:t>
      </w:r>
      <w:r w:rsidR="003B26BD">
        <w:rPr>
          <w:rFonts w:ascii="Times New Roman" w:hAnsi="Times New Roman"/>
          <w:sz w:val="24"/>
          <w:szCs w:val="24"/>
          <w:lang w:eastAsia="sk-SK"/>
        </w:rPr>
        <w:t>31. mája</w:t>
      </w:r>
      <w:r w:rsidR="00DF59FE">
        <w:rPr>
          <w:rFonts w:ascii="Times New Roman" w:hAnsi="Times New Roman"/>
          <w:sz w:val="24"/>
          <w:szCs w:val="24"/>
          <w:lang w:eastAsia="sk-SK"/>
        </w:rPr>
        <w:t xml:space="preserve"> 2019. </w:t>
      </w:r>
      <w:r w:rsidR="008C322D" w:rsidRPr="008C322D">
        <w:rPr>
          <w:rFonts w:ascii="Times New Roman" w:hAnsi="Times New Roman"/>
          <w:sz w:val="24"/>
          <w:szCs w:val="24"/>
          <w:lang w:eastAsia="sk-SK"/>
        </w:rPr>
        <w:t>Voľba členov rady navrhnutý</w:t>
      </w:r>
      <w:r w:rsidR="00487308">
        <w:rPr>
          <w:rFonts w:ascii="Times New Roman" w:hAnsi="Times New Roman"/>
          <w:sz w:val="24"/>
          <w:szCs w:val="24"/>
          <w:lang w:eastAsia="sk-SK"/>
        </w:rPr>
        <w:t xml:space="preserve">ch vládou Slovenskej republiky </w:t>
      </w:r>
      <w:r w:rsidR="00BA31BB">
        <w:rPr>
          <w:rFonts w:ascii="Times New Roman" w:hAnsi="Times New Roman"/>
          <w:sz w:val="24"/>
          <w:szCs w:val="24"/>
          <w:lang w:eastAsia="sk-SK"/>
        </w:rPr>
        <w:t xml:space="preserve">na základe </w:t>
      </w:r>
      <w:r w:rsidR="003B26BD" w:rsidRPr="003B26BD">
        <w:rPr>
          <w:rFonts w:ascii="Times New Roman" w:hAnsi="Times New Roman"/>
          <w:sz w:val="24"/>
          <w:szCs w:val="24"/>
          <w:lang w:eastAsia="sk-SK"/>
        </w:rPr>
        <w:t>návrhu reprezentatívneho združenia miest a obcí</w:t>
      </w:r>
      <w:r w:rsidR="003B26BD" w:rsidRPr="003B26BD" w:rsidDel="003B26B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330FB">
        <w:rPr>
          <w:rFonts w:ascii="Times New Roman" w:hAnsi="Times New Roman"/>
          <w:sz w:val="24"/>
          <w:szCs w:val="24"/>
        </w:rPr>
        <w:t>a</w:t>
      </w:r>
      <w:r w:rsidR="00DF59FE">
        <w:rPr>
          <w:rFonts w:ascii="Times New Roman" w:hAnsi="Times New Roman"/>
          <w:sz w:val="24"/>
          <w:szCs w:val="24"/>
        </w:rPr>
        <w:t xml:space="preserve"> návrhu Slovenskej </w:t>
      </w:r>
      <w:r w:rsidR="00A427AB">
        <w:rPr>
          <w:rFonts w:ascii="Times New Roman" w:hAnsi="Times New Roman"/>
          <w:sz w:val="24"/>
          <w:szCs w:val="24"/>
        </w:rPr>
        <w:t>poľnohospodársk</w:t>
      </w:r>
      <w:r w:rsidR="00DF59FE">
        <w:rPr>
          <w:rFonts w:ascii="Times New Roman" w:hAnsi="Times New Roman"/>
          <w:sz w:val="24"/>
          <w:szCs w:val="24"/>
        </w:rPr>
        <w:t>e</w:t>
      </w:r>
      <w:r w:rsidR="00A427AB">
        <w:rPr>
          <w:rFonts w:ascii="Times New Roman" w:hAnsi="Times New Roman"/>
          <w:sz w:val="24"/>
          <w:szCs w:val="24"/>
        </w:rPr>
        <w:t>j</w:t>
      </w:r>
      <w:r w:rsidR="00DF59FE">
        <w:rPr>
          <w:rFonts w:ascii="Times New Roman" w:hAnsi="Times New Roman"/>
          <w:sz w:val="24"/>
          <w:szCs w:val="24"/>
        </w:rPr>
        <w:t xml:space="preserve"> a potravinárskej komory</w:t>
      </w:r>
      <w:r w:rsidR="004330FB">
        <w:rPr>
          <w:rFonts w:ascii="Times New Roman" w:hAnsi="Times New Roman"/>
          <w:sz w:val="24"/>
          <w:szCs w:val="24"/>
        </w:rPr>
        <w:t xml:space="preserve"> </w:t>
      </w:r>
      <w:r w:rsidR="008C322D" w:rsidRPr="008C322D">
        <w:rPr>
          <w:rFonts w:ascii="Times New Roman" w:hAnsi="Times New Roman"/>
          <w:sz w:val="24"/>
          <w:szCs w:val="24"/>
        </w:rPr>
        <w:t xml:space="preserve">sa v </w:t>
      </w:r>
      <w:r w:rsidR="008C322D" w:rsidRPr="008C322D">
        <w:rPr>
          <w:rFonts w:ascii="Times New Roman" w:hAnsi="Times New Roman"/>
          <w:sz w:val="24"/>
          <w:szCs w:val="24"/>
          <w:lang w:eastAsia="sk-SK"/>
        </w:rPr>
        <w:t xml:space="preserve">Národnej rade Slovenskej republiky uskutoční najneskôr do šiestich mesiacov odo dňa </w:t>
      </w:r>
      <w:r w:rsidR="008E0367">
        <w:rPr>
          <w:rFonts w:ascii="Times New Roman" w:hAnsi="Times New Roman"/>
          <w:sz w:val="24"/>
          <w:szCs w:val="24"/>
          <w:lang w:eastAsia="sk-SK"/>
        </w:rPr>
        <w:t xml:space="preserve">nadobudnutia </w:t>
      </w:r>
      <w:r w:rsidR="008C322D" w:rsidRPr="008C322D">
        <w:rPr>
          <w:rFonts w:ascii="Times New Roman" w:hAnsi="Times New Roman"/>
          <w:sz w:val="24"/>
          <w:szCs w:val="24"/>
          <w:lang w:eastAsia="sk-SK"/>
        </w:rPr>
        <w:t>účinnosti tohto zákona</w:t>
      </w:r>
      <w:r w:rsidR="00A427AB">
        <w:rPr>
          <w:rFonts w:ascii="Times New Roman" w:hAnsi="Times New Roman"/>
          <w:sz w:val="24"/>
          <w:szCs w:val="24"/>
          <w:lang w:eastAsia="sk-SK"/>
        </w:rPr>
        <w:t>;</w:t>
      </w:r>
      <w:r w:rsidR="00DF59F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427AB">
        <w:rPr>
          <w:rFonts w:ascii="Times New Roman" w:hAnsi="Times New Roman"/>
          <w:sz w:val="24"/>
          <w:szCs w:val="24"/>
          <w:lang w:eastAsia="sk-SK"/>
        </w:rPr>
        <w:t xml:space="preserve">funkčné obdobie týchto členov rady sa skončí uplynutím funkčného obdobia členov rady, ktorí boli zvolení podľa </w:t>
      </w:r>
      <w:r w:rsidR="003B26BD">
        <w:rPr>
          <w:rFonts w:ascii="Times New Roman" w:hAnsi="Times New Roman"/>
          <w:sz w:val="24"/>
          <w:szCs w:val="24"/>
          <w:lang w:eastAsia="sk-SK"/>
        </w:rPr>
        <w:t>zákona</w:t>
      </w:r>
      <w:r w:rsidR="00A427AB">
        <w:rPr>
          <w:rFonts w:ascii="Times New Roman" w:hAnsi="Times New Roman"/>
          <w:sz w:val="24"/>
          <w:szCs w:val="24"/>
          <w:lang w:eastAsia="sk-SK"/>
        </w:rPr>
        <w:t xml:space="preserve"> účinného do </w:t>
      </w:r>
      <w:r w:rsidR="00417C19">
        <w:rPr>
          <w:rFonts w:ascii="Times New Roman" w:hAnsi="Times New Roman"/>
          <w:sz w:val="24"/>
          <w:szCs w:val="24"/>
          <w:lang w:eastAsia="sk-SK"/>
        </w:rPr>
        <w:t>31. mája</w:t>
      </w:r>
      <w:r w:rsidR="00A427AB">
        <w:rPr>
          <w:rFonts w:ascii="Times New Roman" w:hAnsi="Times New Roman"/>
          <w:sz w:val="24"/>
          <w:szCs w:val="24"/>
          <w:lang w:eastAsia="sk-SK"/>
        </w:rPr>
        <w:t xml:space="preserve"> 2019.</w:t>
      </w:r>
      <w:r w:rsidR="00300CBA">
        <w:rPr>
          <w:rFonts w:ascii="Times New Roman" w:hAnsi="Times New Roman"/>
          <w:sz w:val="24"/>
          <w:szCs w:val="24"/>
          <w:lang w:eastAsia="sk-SK"/>
        </w:rPr>
        <w:t>“.</w:t>
      </w:r>
    </w:p>
    <w:p w:rsidR="00A40508" w:rsidRDefault="00A40508" w:rsidP="00A4050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</w:p>
    <w:p w:rsidR="00A40508" w:rsidRPr="00A40508" w:rsidRDefault="00A40508" w:rsidP="00A4050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  <w:r w:rsidRPr="00A40508">
        <w:rPr>
          <w:rFonts w:ascii="Times New Roman" w:hAnsi="Times New Roman"/>
          <w:b/>
          <w:bCs/>
          <w:iCs/>
          <w:sz w:val="24"/>
          <w:szCs w:val="24"/>
          <w:lang w:eastAsia="sk-SK"/>
        </w:rPr>
        <w:t>Čl. II</w:t>
      </w:r>
    </w:p>
    <w:p w:rsidR="00A40508" w:rsidRPr="00A40508" w:rsidRDefault="00A40508" w:rsidP="00A4050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</w:p>
    <w:p w:rsidR="00A40508" w:rsidRPr="00A40508" w:rsidRDefault="00A40508" w:rsidP="00D13BFD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sk-SK"/>
        </w:rPr>
      </w:pPr>
      <w:r w:rsidRPr="00A40508">
        <w:rPr>
          <w:rFonts w:ascii="Times New Roman" w:hAnsi="Times New Roman"/>
          <w:bCs/>
          <w:iCs/>
          <w:sz w:val="24"/>
          <w:szCs w:val="24"/>
          <w:lang w:eastAsia="sk-SK"/>
        </w:rPr>
        <w:t>Zákon č. 170/2018 Z. z. o zájazdoch, spojených službách cestovného ruchu, niektorých podmienkach podnikania v cestovnom ruchu a o zmene a doplnení niektorých zákonov sa mení takto: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autoSpaceDE w:val="0"/>
        <w:autoSpaceDN w:val="0"/>
        <w:spacing w:before="120" w:after="0"/>
        <w:ind w:left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lastRenderedPageBreak/>
        <w:t>V Prílohe č. 1, časti A, B a C sa text za vetou „</w:t>
      </w:r>
      <w:r w:rsidRPr="00A4050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Základné práva podľa zákona č. 170/2018 Z. z.:“ nahrádza textom, ktorý znie: </w:t>
      </w:r>
    </w:p>
    <w:p w:rsidR="00A40508" w:rsidRPr="00A40508" w:rsidRDefault="00A40508" w:rsidP="00A40508">
      <w:pPr>
        <w:autoSpaceDE w:val="0"/>
        <w:autoSpaceDN w:val="0"/>
        <w:spacing w:before="120"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Pr="00A40508">
        <w:rPr>
          <w:rFonts w:ascii="Times New Roman" w:hAnsi="Times New Roman"/>
          <w:sz w:val="24"/>
          <w:szCs w:val="24"/>
          <w:lang w:eastAsia="sk-SK"/>
        </w:rPr>
        <w:t>„</w:t>
      </w:r>
    </w:p>
    <w:p w:rsidR="00A40508" w:rsidRPr="00A40508" w:rsidRDefault="00A40508" w:rsidP="00A4050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 xml:space="preserve">cestujúci dostane všetky podstatné informácie o zájazde pred uzavretím zmluvy o zájazde v zmysle § 14 </w:t>
      </w:r>
      <w:r w:rsidRPr="00A40508">
        <w:rPr>
          <w:rFonts w:ascii="Times New Roman" w:hAnsi="Times New Roman"/>
          <w:color w:val="000000"/>
          <w:sz w:val="24"/>
          <w:szCs w:val="24"/>
          <w:lang w:eastAsia="sk-SK"/>
        </w:rPr>
        <w:t>zákona č. 170/2018 Z. z.</w:t>
      </w:r>
      <w:r w:rsidRPr="00A40508">
        <w:rPr>
          <w:rFonts w:ascii="Times New Roman" w:hAnsi="Times New Roman"/>
          <w:sz w:val="24"/>
          <w:szCs w:val="24"/>
          <w:lang w:eastAsia="sk-SK"/>
        </w:rPr>
        <w:t>, napr. miesto pobytu, spôsob dopravy, základné znaky ubytovacieho zariadenia,</w:t>
      </w:r>
    </w:p>
    <w:p w:rsidR="00A40508" w:rsidRPr="00A40508" w:rsidRDefault="00A40508" w:rsidP="00A40508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>cestovná kancelária nesie zodpovednosť za riadne poskytnutie všetkých služieb cestovného ruchu zahrnutých v zmluve o zájazde,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>cestujúci dostane telefónne číslo pre núdzové situácie alebo údaje o kontaktnom mieste, prostredníctvom ktorých sa môže spojiť s cestovnou kanceláriou alebo cestovnou agentúrou, prostredníctvom ktorej si zájazd zakúpil,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>cestujúci je oprávnený postúpiť zmluvu o zájazde inej osobe v primeranej lehote a s ďalšími primeranými nákladmi,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>cena zájazdu sa môže zvýšiť, len ak sa zvýšia osobitné náklady (napríklad zmena cien pohonných látok), a ak je to výslovne stanovené v zmluve o zájazde a v žiadnom prípade nie neskôr ako 20 dní pred začatím zájazdu. Ak zvýšenie ceny zájazdu presiahne 8 % ceny zájazdu, cestujúci je oprávnený od zmluvy o zájazde odstúpiť. Ak si cestovná kancelária vyhradí právo na zvýšenie ceny zájazdu, cestujúci má nárok na zníženie ceny zájazdu, ak sa znížili príslušné náklady.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>cestujúci je oprávnený od zmluvy o zájazde odstúpiť bez zaplatenia odstupného a dostať úplnú refundáciu všetkých platieb, ak sa podstatným spôsobom zmení niektorý zo základných znakov služieb cestovného ruchu okrem ceny zájazdu. Ak cestovná kancelária zruší zájazd pre začatím zájazdu, cestujúci je v zmysle zákona č. 170/2018 Z. z. oprávnený na vrátenie zaplatenej ceny zájazdu a prípadnú náhradu škody.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 xml:space="preserve">cestujúci je oprávnený odstúpiť od zmluvy o zájazde pred začatím zájazdu bez zaplatenia odstupného, ak v cieľovom mieste alebo v jeho bezprostrednej blízkosti nastanú neodvrátiteľné a mimoriadne okolnosti, ktoré významne ovplyvnia poskytovanie zájazdu, alebo prepravu cestujúcich do cieľového miesta,  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>cestujúci je oprávnený okrem toho kedykoľvek pred začatím zájazdu odstúpiť od zmluvy o zájazde za primerané a odôvodnené odstupné,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>ak po začatí zájazdu nie je možné niektoré podstatné prvky služieb cestovného ruchu poskytnúť v súlade so zmluvou o zájazde,  je cestovná kancelária povinná cestujúcemu ponúknuť vhodné náhradné riešenie bez dodatočných nákladov. Cestujúci je oprávnený odstúpiť od zmluvy o zájazde bez zaplatenia odstupného v prípade, ak služby cestovného ruchu nie sú poskytnuté v súlade so zmluvou o zájazde, táto je porušená podstatným spôsobom a cestovná kancelária nevykoná nápravné kroky v zmysle zákona č. 170/2018 Z. z.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>cestujúci má v zmysle zákona č. 170/2018 Z. z. právo na zníženie ceny zájazdu alebo na náhradu škody, alebo na oba tieto nároky, ak služby cestovného ruchu neboli poskytnuté alebo neboli poskytnuté riadne</w:t>
      </w:r>
      <w:r w:rsidR="00D13BFD">
        <w:rPr>
          <w:rFonts w:ascii="Times New Roman" w:hAnsi="Times New Roman"/>
          <w:sz w:val="24"/>
          <w:szCs w:val="24"/>
          <w:lang w:eastAsia="sk-SK"/>
        </w:rPr>
        <w:t>,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>cestovná kancelária je povinná poskytnúť pomoc, ak sa cestujúci ocitne v ťažkostiach,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>ak sa cestovná kancelária dostane do úpadku, platby cestujúceho budú refundované,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>ak sa cestovná kancelária dostane do úpadku po začatí poskytovania zájazdu a ak zájazd zahŕňa prepravu, zabezpečená je repatriácia cestujúceho,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 xml:space="preserve">cestovná kancelária uzatvorila zmluvu zabezpečujúcu ochranu pre prípad úpadku s poskytovateľom ochrany pre prípad úpadku [obchodné meno, identifikačné číslo organizácie, sídlo, telefónne číslo a adresa elektronickej pošty] (ďalej len „poskytovateľ ochrany pre prípad úpadku“), 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>cestujúci sa môže obrátiť na poskytovateľa ochrany pre prípad úpadku, ak sú služby cestovného ruchu odmietnuté z dôvodu úpadku cestovnej kancelárie.</w:t>
      </w: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40508" w:rsidRPr="00A40508" w:rsidRDefault="00A40508" w:rsidP="00A40508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0508">
        <w:rPr>
          <w:rFonts w:ascii="Times New Roman" w:hAnsi="Times New Roman"/>
          <w:sz w:val="24"/>
          <w:szCs w:val="24"/>
          <w:lang w:eastAsia="sk-SK"/>
        </w:rPr>
        <w:t xml:space="preserve">Zákon č. 170/2018 Z. z. [HYPERTEXTOVÝ ODKAZ].“. </w:t>
      </w:r>
    </w:p>
    <w:p w:rsidR="003564A3" w:rsidRDefault="003564A3" w:rsidP="00BA31BB">
      <w:pPr>
        <w:keepNext/>
        <w:widowControl w:val="0"/>
        <w:shd w:val="clear" w:color="auto" w:fill="FFFFFF"/>
        <w:spacing w:after="60"/>
        <w:ind w:left="709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C322D" w:rsidRDefault="008C322D" w:rsidP="00991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322D" w:rsidRPr="0071222B" w:rsidRDefault="008C322D" w:rsidP="007E08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  <w:r w:rsidR="00A40508">
        <w:rPr>
          <w:rFonts w:ascii="Times New Roman" w:hAnsi="Times New Roman"/>
          <w:b/>
          <w:sz w:val="24"/>
          <w:szCs w:val="24"/>
        </w:rPr>
        <w:t>I</w:t>
      </w:r>
    </w:p>
    <w:p w:rsidR="008C322D" w:rsidRPr="008C322D" w:rsidRDefault="008C322D" w:rsidP="000A3389">
      <w:pPr>
        <w:widowControl w:val="0"/>
        <w:shd w:val="clear" w:color="auto" w:fill="FFFFFF"/>
        <w:spacing w:after="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C322D" w:rsidRPr="008C322D" w:rsidRDefault="008C322D" w:rsidP="008E0367">
      <w:pPr>
        <w:widowControl w:val="0"/>
        <w:shd w:val="clear" w:color="auto" w:fill="FFFFFF"/>
        <w:spacing w:after="60"/>
        <w:ind w:firstLine="708"/>
        <w:jc w:val="both"/>
        <w:rPr>
          <w:rFonts w:ascii="Times New Roman" w:hAnsi="Times New Roman"/>
          <w:sz w:val="24"/>
          <w:szCs w:val="24"/>
        </w:rPr>
      </w:pPr>
      <w:r w:rsidRPr="008C322D"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</w:t>
      </w:r>
      <w:r w:rsidR="00487308">
        <w:rPr>
          <w:rFonts w:ascii="Times New Roman" w:hAnsi="Times New Roman"/>
          <w:sz w:val="24"/>
          <w:szCs w:val="24"/>
          <w:shd w:val="clear" w:color="auto" w:fill="FFFFFF"/>
        </w:rPr>
        <w:t xml:space="preserve">účinnosť </w:t>
      </w:r>
      <w:r w:rsidR="00417C19">
        <w:rPr>
          <w:rFonts w:ascii="Times New Roman" w:hAnsi="Times New Roman"/>
          <w:sz w:val="24"/>
          <w:szCs w:val="24"/>
          <w:shd w:val="clear" w:color="auto" w:fill="FFFFFF"/>
        </w:rPr>
        <w:t>1. júna</w:t>
      </w:r>
      <w:r w:rsidR="004873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C322D">
        <w:rPr>
          <w:rFonts w:ascii="Times New Roman" w:hAnsi="Times New Roman"/>
          <w:sz w:val="24"/>
          <w:szCs w:val="24"/>
          <w:shd w:val="clear" w:color="auto" w:fill="FFFFFF"/>
        </w:rPr>
        <w:t xml:space="preserve">2019.  </w:t>
      </w:r>
    </w:p>
    <w:p w:rsidR="00C9296C" w:rsidRDefault="00C9296C" w:rsidP="000A338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EF1BD8" w:rsidRDefault="00EF1BD8" w:rsidP="000A338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EF1BD8" w:rsidRDefault="00EF1BD8" w:rsidP="000A338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EF1BD8" w:rsidRDefault="00EF1BD8" w:rsidP="000A338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EF1BD8" w:rsidRDefault="00EF1BD8" w:rsidP="000A338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EF1BD8" w:rsidRDefault="00EF1BD8" w:rsidP="000A338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EF1BD8" w:rsidRDefault="00EF1BD8" w:rsidP="000A338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prezident Slovenskej republiky</w:t>
      </w: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predseda Národnej rady Slovenskej republiky</w:t>
      </w: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F1BD8" w:rsidRPr="00E106F1" w:rsidRDefault="00EF1BD8" w:rsidP="00EF1BD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50ED5" w:rsidRPr="00D13BFD" w:rsidRDefault="00EF1BD8" w:rsidP="00D13BFD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predseda vlády Slovenskej republiky</w:t>
      </w:r>
    </w:p>
    <w:sectPr w:rsidR="00F50ED5" w:rsidRPr="00D13BFD" w:rsidSect="008B67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2E7" w:rsidRDefault="002E62E7" w:rsidP="002E62E7">
      <w:pPr>
        <w:spacing w:after="0" w:line="240" w:lineRule="auto"/>
      </w:pPr>
      <w:r>
        <w:separator/>
      </w:r>
    </w:p>
  </w:endnote>
  <w:endnote w:type="continuationSeparator" w:id="0">
    <w:p w:rsidR="002E62E7" w:rsidRDefault="002E62E7" w:rsidP="002E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453056"/>
      <w:docPartObj>
        <w:docPartGallery w:val="Page Numbers (Bottom of Page)"/>
        <w:docPartUnique/>
      </w:docPartObj>
    </w:sdtPr>
    <w:sdtEndPr/>
    <w:sdtContent>
      <w:p w:rsidR="002E62E7" w:rsidRDefault="002E62E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4FA">
          <w:rPr>
            <w:noProof/>
          </w:rPr>
          <w:t>2</w:t>
        </w:r>
        <w:r>
          <w:fldChar w:fldCharType="end"/>
        </w:r>
      </w:p>
    </w:sdtContent>
  </w:sdt>
  <w:p w:rsidR="002E62E7" w:rsidRDefault="002E62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2E7" w:rsidRDefault="002E62E7" w:rsidP="002E62E7">
      <w:pPr>
        <w:spacing w:after="0" w:line="240" w:lineRule="auto"/>
      </w:pPr>
      <w:r>
        <w:separator/>
      </w:r>
    </w:p>
  </w:footnote>
  <w:footnote w:type="continuationSeparator" w:id="0">
    <w:p w:rsidR="002E62E7" w:rsidRDefault="002E62E7" w:rsidP="002E6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55E9"/>
    <w:multiLevelType w:val="hybridMultilevel"/>
    <w:tmpl w:val="2FC0314E"/>
    <w:lvl w:ilvl="0" w:tplc="AC0A9784">
      <w:start w:val="1"/>
      <w:numFmt w:val="lowerLetter"/>
      <w:lvlText w:val="%1)"/>
      <w:lvlJc w:val="left"/>
      <w:pPr>
        <w:ind w:left="1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  <w:rPr>
        <w:rFonts w:cs="Times New Roman"/>
      </w:rPr>
    </w:lvl>
  </w:abstractNum>
  <w:abstractNum w:abstractNumId="1" w15:restartNumberingAfterBreak="0">
    <w:nsid w:val="11B90BCC"/>
    <w:multiLevelType w:val="hybridMultilevel"/>
    <w:tmpl w:val="D79C1374"/>
    <w:lvl w:ilvl="0" w:tplc="DD7EA6A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FC73C9"/>
    <w:multiLevelType w:val="hybridMultilevel"/>
    <w:tmpl w:val="548E270E"/>
    <w:lvl w:ilvl="0" w:tplc="44B68212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4F491E"/>
    <w:multiLevelType w:val="hybridMultilevel"/>
    <w:tmpl w:val="99164E58"/>
    <w:lvl w:ilvl="0" w:tplc="CF42BA5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F23960"/>
    <w:multiLevelType w:val="hybridMultilevel"/>
    <w:tmpl w:val="9A82D4DE"/>
    <w:lvl w:ilvl="0" w:tplc="9D3EC1C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792445F"/>
    <w:multiLevelType w:val="hybridMultilevel"/>
    <w:tmpl w:val="BECE9846"/>
    <w:lvl w:ilvl="0" w:tplc="F7C87428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CC7F58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8394211"/>
    <w:multiLevelType w:val="hybridMultilevel"/>
    <w:tmpl w:val="9C027990"/>
    <w:lvl w:ilvl="0" w:tplc="041B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CF3533"/>
    <w:multiLevelType w:val="hybridMultilevel"/>
    <w:tmpl w:val="21702D7A"/>
    <w:lvl w:ilvl="0" w:tplc="5C128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60AD0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E5185F"/>
    <w:multiLevelType w:val="hybridMultilevel"/>
    <w:tmpl w:val="3B769702"/>
    <w:lvl w:ilvl="0" w:tplc="9E1AE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83D"/>
    <w:multiLevelType w:val="hybridMultilevel"/>
    <w:tmpl w:val="ED08DDA2"/>
    <w:lvl w:ilvl="0" w:tplc="6C8E26B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E47211"/>
    <w:multiLevelType w:val="hybridMultilevel"/>
    <w:tmpl w:val="0FE88C5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D9B2A53"/>
    <w:multiLevelType w:val="hybridMultilevel"/>
    <w:tmpl w:val="BBB491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AF6D70"/>
    <w:multiLevelType w:val="hybridMultilevel"/>
    <w:tmpl w:val="917E1D04"/>
    <w:lvl w:ilvl="0" w:tplc="8FD8CF68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072ED6"/>
    <w:multiLevelType w:val="hybridMultilevel"/>
    <w:tmpl w:val="03EA92F2"/>
    <w:lvl w:ilvl="0" w:tplc="5612753A">
      <w:start w:val="1"/>
      <w:numFmt w:val="upperRoman"/>
      <w:lvlText w:val="Čl. %1"/>
      <w:lvlJc w:val="left"/>
      <w:pPr>
        <w:ind w:left="77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382D22"/>
    <w:multiLevelType w:val="hybridMultilevel"/>
    <w:tmpl w:val="380480F2"/>
    <w:lvl w:ilvl="0" w:tplc="E02ED064">
      <w:start w:val="4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5" w15:restartNumberingAfterBreak="0">
    <w:nsid w:val="50F21920"/>
    <w:multiLevelType w:val="hybridMultilevel"/>
    <w:tmpl w:val="F9D86AAC"/>
    <w:lvl w:ilvl="0" w:tplc="041B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413CC5"/>
    <w:multiLevelType w:val="hybridMultilevel"/>
    <w:tmpl w:val="0E0A0330"/>
    <w:lvl w:ilvl="0" w:tplc="62CA37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A123814"/>
    <w:multiLevelType w:val="hybridMultilevel"/>
    <w:tmpl w:val="08B0C912"/>
    <w:lvl w:ilvl="0" w:tplc="00528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624C6F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B516B4"/>
    <w:multiLevelType w:val="hybridMultilevel"/>
    <w:tmpl w:val="4F004C9E"/>
    <w:lvl w:ilvl="0" w:tplc="AC1C1ED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F10888"/>
    <w:multiLevelType w:val="hybridMultilevel"/>
    <w:tmpl w:val="2962F204"/>
    <w:lvl w:ilvl="0" w:tplc="41DE37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921376"/>
    <w:multiLevelType w:val="hybridMultilevel"/>
    <w:tmpl w:val="1A0470D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30C5CCC"/>
    <w:multiLevelType w:val="hybridMultilevel"/>
    <w:tmpl w:val="8A1826B6"/>
    <w:lvl w:ilvl="0" w:tplc="041B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8352B8"/>
    <w:multiLevelType w:val="hybridMultilevel"/>
    <w:tmpl w:val="917CB934"/>
    <w:lvl w:ilvl="0" w:tplc="8C8C54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1713A3"/>
    <w:multiLevelType w:val="hybridMultilevel"/>
    <w:tmpl w:val="1404574A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25424F"/>
    <w:multiLevelType w:val="hybridMultilevel"/>
    <w:tmpl w:val="50508F44"/>
    <w:lvl w:ilvl="0" w:tplc="642C491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0"/>
  </w:num>
  <w:num w:numId="6">
    <w:abstractNumId w:val="5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5"/>
  </w:num>
  <w:num w:numId="10">
    <w:abstractNumId w:val="16"/>
  </w:num>
  <w:num w:numId="11">
    <w:abstractNumId w:val="6"/>
  </w:num>
  <w:num w:numId="12">
    <w:abstractNumId w:val="19"/>
  </w:num>
  <w:num w:numId="13">
    <w:abstractNumId w:val="1"/>
  </w:num>
  <w:num w:numId="14">
    <w:abstractNumId w:val="4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23"/>
  </w:num>
  <w:num w:numId="20">
    <w:abstractNumId w:val="24"/>
  </w:num>
  <w:num w:numId="2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0"/>
  </w:num>
  <w:num w:numId="24">
    <w:abstractNumId w:val="13"/>
  </w:num>
  <w:num w:numId="25">
    <w:abstractNumId w:val="22"/>
  </w:num>
  <w:num w:numId="26">
    <w:abstractNumId w:val="2"/>
  </w:num>
  <w:num w:numId="27">
    <w:abstractNumId w:val="24"/>
  </w:num>
  <w:num w:numId="28">
    <w:abstractNumId w:val="1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DE"/>
    <w:rsid w:val="00025388"/>
    <w:rsid w:val="000271A5"/>
    <w:rsid w:val="000820D8"/>
    <w:rsid w:val="000865CF"/>
    <w:rsid w:val="000A3389"/>
    <w:rsid w:val="000B34B1"/>
    <w:rsid w:val="000F238F"/>
    <w:rsid w:val="00107BFC"/>
    <w:rsid w:val="00115D00"/>
    <w:rsid w:val="00125B79"/>
    <w:rsid w:val="00141421"/>
    <w:rsid w:val="00141F9A"/>
    <w:rsid w:val="0014497D"/>
    <w:rsid w:val="001B6B39"/>
    <w:rsid w:val="001B79A3"/>
    <w:rsid w:val="001D2CB5"/>
    <w:rsid w:val="001D68E8"/>
    <w:rsid w:val="002122A4"/>
    <w:rsid w:val="00215128"/>
    <w:rsid w:val="0023368B"/>
    <w:rsid w:val="002411FA"/>
    <w:rsid w:val="002528B1"/>
    <w:rsid w:val="002B5BA4"/>
    <w:rsid w:val="002C01FD"/>
    <w:rsid w:val="002D282F"/>
    <w:rsid w:val="002E540B"/>
    <w:rsid w:val="002E62E7"/>
    <w:rsid w:val="002F0E90"/>
    <w:rsid w:val="00300CBA"/>
    <w:rsid w:val="003078F4"/>
    <w:rsid w:val="003216E4"/>
    <w:rsid w:val="00327B43"/>
    <w:rsid w:val="00330D48"/>
    <w:rsid w:val="003564A3"/>
    <w:rsid w:val="00361A1E"/>
    <w:rsid w:val="00373F46"/>
    <w:rsid w:val="00376CCA"/>
    <w:rsid w:val="00380B75"/>
    <w:rsid w:val="003931D4"/>
    <w:rsid w:val="00394E6E"/>
    <w:rsid w:val="003B26BD"/>
    <w:rsid w:val="003D070A"/>
    <w:rsid w:val="003E3D08"/>
    <w:rsid w:val="003E7800"/>
    <w:rsid w:val="0041028D"/>
    <w:rsid w:val="00414ED5"/>
    <w:rsid w:val="00417C19"/>
    <w:rsid w:val="004257A5"/>
    <w:rsid w:val="004330FB"/>
    <w:rsid w:val="0043366B"/>
    <w:rsid w:val="00441329"/>
    <w:rsid w:val="00446941"/>
    <w:rsid w:val="00453953"/>
    <w:rsid w:val="0048067F"/>
    <w:rsid w:val="00481EF8"/>
    <w:rsid w:val="00487308"/>
    <w:rsid w:val="004A17BD"/>
    <w:rsid w:val="004A245A"/>
    <w:rsid w:val="004C4789"/>
    <w:rsid w:val="004C73A0"/>
    <w:rsid w:val="004E3662"/>
    <w:rsid w:val="004E66E4"/>
    <w:rsid w:val="00505BF1"/>
    <w:rsid w:val="005104F5"/>
    <w:rsid w:val="00534B92"/>
    <w:rsid w:val="005365F6"/>
    <w:rsid w:val="00547BB3"/>
    <w:rsid w:val="005523B3"/>
    <w:rsid w:val="00561777"/>
    <w:rsid w:val="00592B73"/>
    <w:rsid w:val="00593671"/>
    <w:rsid w:val="00593D96"/>
    <w:rsid w:val="005A1C36"/>
    <w:rsid w:val="005A7DE6"/>
    <w:rsid w:val="005B25B2"/>
    <w:rsid w:val="005C5230"/>
    <w:rsid w:val="005D384D"/>
    <w:rsid w:val="005D52FC"/>
    <w:rsid w:val="005F40A2"/>
    <w:rsid w:val="00606607"/>
    <w:rsid w:val="00621D0E"/>
    <w:rsid w:val="0062248F"/>
    <w:rsid w:val="00642EAE"/>
    <w:rsid w:val="00645B91"/>
    <w:rsid w:val="0065129F"/>
    <w:rsid w:val="006570B2"/>
    <w:rsid w:val="006650D0"/>
    <w:rsid w:val="00683D0B"/>
    <w:rsid w:val="006860DC"/>
    <w:rsid w:val="006B3F32"/>
    <w:rsid w:val="006B5EEF"/>
    <w:rsid w:val="006C1F5C"/>
    <w:rsid w:val="006D2B85"/>
    <w:rsid w:val="00701238"/>
    <w:rsid w:val="0071222B"/>
    <w:rsid w:val="007127CF"/>
    <w:rsid w:val="007144B5"/>
    <w:rsid w:val="0071520C"/>
    <w:rsid w:val="007155BB"/>
    <w:rsid w:val="00764A6D"/>
    <w:rsid w:val="007701C3"/>
    <w:rsid w:val="007875C6"/>
    <w:rsid w:val="007D7C72"/>
    <w:rsid w:val="007E08EA"/>
    <w:rsid w:val="007E3E4A"/>
    <w:rsid w:val="007F417C"/>
    <w:rsid w:val="0082143B"/>
    <w:rsid w:val="008350FF"/>
    <w:rsid w:val="008433A7"/>
    <w:rsid w:val="0085040F"/>
    <w:rsid w:val="00856F27"/>
    <w:rsid w:val="008676AD"/>
    <w:rsid w:val="00880B14"/>
    <w:rsid w:val="008B171E"/>
    <w:rsid w:val="008B672C"/>
    <w:rsid w:val="008C322D"/>
    <w:rsid w:val="008C7C31"/>
    <w:rsid w:val="008D2319"/>
    <w:rsid w:val="008E0367"/>
    <w:rsid w:val="008F0B5B"/>
    <w:rsid w:val="008F1D2B"/>
    <w:rsid w:val="00904677"/>
    <w:rsid w:val="00904CA7"/>
    <w:rsid w:val="009116FB"/>
    <w:rsid w:val="009208B5"/>
    <w:rsid w:val="00921D11"/>
    <w:rsid w:val="00957787"/>
    <w:rsid w:val="00980961"/>
    <w:rsid w:val="0098395C"/>
    <w:rsid w:val="00987609"/>
    <w:rsid w:val="00991599"/>
    <w:rsid w:val="009A0D23"/>
    <w:rsid w:val="009C5E5A"/>
    <w:rsid w:val="009E5CCA"/>
    <w:rsid w:val="00A16A64"/>
    <w:rsid w:val="00A224FA"/>
    <w:rsid w:val="00A31A42"/>
    <w:rsid w:val="00A35F54"/>
    <w:rsid w:val="00A36D60"/>
    <w:rsid w:val="00A40508"/>
    <w:rsid w:val="00A427AB"/>
    <w:rsid w:val="00A5583D"/>
    <w:rsid w:val="00A63169"/>
    <w:rsid w:val="00A77C2E"/>
    <w:rsid w:val="00AA1E0B"/>
    <w:rsid w:val="00AB2F1B"/>
    <w:rsid w:val="00AC70DE"/>
    <w:rsid w:val="00AD0A7A"/>
    <w:rsid w:val="00AD4D32"/>
    <w:rsid w:val="00AE1736"/>
    <w:rsid w:val="00AE2E57"/>
    <w:rsid w:val="00AE7B1E"/>
    <w:rsid w:val="00B0199F"/>
    <w:rsid w:val="00B07C82"/>
    <w:rsid w:val="00B200A6"/>
    <w:rsid w:val="00B230F1"/>
    <w:rsid w:val="00B26E7C"/>
    <w:rsid w:val="00B429CF"/>
    <w:rsid w:val="00B505A1"/>
    <w:rsid w:val="00B52935"/>
    <w:rsid w:val="00B63F58"/>
    <w:rsid w:val="00B679A4"/>
    <w:rsid w:val="00B774ED"/>
    <w:rsid w:val="00B91A5E"/>
    <w:rsid w:val="00BA31BB"/>
    <w:rsid w:val="00BA3A0E"/>
    <w:rsid w:val="00BB160D"/>
    <w:rsid w:val="00BB5928"/>
    <w:rsid w:val="00BC00D6"/>
    <w:rsid w:val="00BC140A"/>
    <w:rsid w:val="00BE5837"/>
    <w:rsid w:val="00BF1CC5"/>
    <w:rsid w:val="00C05622"/>
    <w:rsid w:val="00C14730"/>
    <w:rsid w:val="00C174F2"/>
    <w:rsid w:val="00C37329"/>
    <w:rsid w:val="00C450C7"/>
    <w:rsid w:val="00C46725"/>
    <w:rsid w:val="00C5513B"/>
    <w:rsid w:val="00C63A99"/>
    <w:rsid w:val="00C644F9"/>
    <w:rsid w:val="00C66531"/>
    <w:rsid w:val="00C70D02"/>
    <w:rsid w:val="00C742F6"/>
    <w:rsid w:val="00C9296C"/>
    <w:rsid w:val="00CB07EE"/>
    <w:rsid w:val="00CC18DC"/>
    <w:rsid w:val="00CD5F9F"/>
    <w:rsid w:val="00CF1FD0"/>
    <w:rsid w:val="00CF6F14"/>
    <w:rsid w:val="00D13BFD"/>
    <w:rsid w:val="00D27AE2"/>
    <w:rsid w:val="00D40060"/>
    <w:rsid w:val="00D449FC"/>
    <w:rsid w:val="00D52E15"/>
    <w:rsid w:val="00D55B00"/>
    <w:rsid w:val="00D6199C"/>
    <w:rsid w:val="00D73A2A"/>
    <w:rsid w:val="00D956CD"/>
    <w:rsid w:val="00DA4050"/>
    <w:rsid w:val="00DB3223"/>
    <w:rsid w:val="00DC381F"/>
    <w:rsid w:val="00DC5E5A"/>
    <w:rsid w:val="00DE5F00"/>
    <w:rsid w:val="00DF59FE"/>
    <w:rsid w:val="00DF76E9"/>
    <w:rsid w:val="00E1638F"/>
    <w:rsid w:val="00E26DF4"/>
    <w:rsid w:val="00E34CBF"/>
    <w:rsid w:val="00E62CED"/>
    <w:rsid w:val="00E668CF"/>
    <w:rsid w:val="00E92BDE"/>
    <w:rsid w:val="00EB76D7"/>
    <w:rsid w:val="00ED1F64"/>
    <w:rsid w:val="00ED2828"/>
    <w:rsid w:val="00ED44C6"/>
    <w:rsid w:val="00EE486E"/>
    <w:rsid w:val="00EF04D3"/>
    <w:rsid w:val="00EF1BD8"/>
    <w:rsid w:val="00EF372B"/>
    <w:rsid w:val="00EF5ABF"/>
    <w:rsid w:val="00EF6EBF"/>
    <w:rsid w:val="00F022AC"/>
    <w:rsid w:val="00F50ED5"/>
    <w:rsid w:val="00F75A57"/>
    <w:rsid w:val="00F954EF"/>
    <w:rsid w:val="00F954FD"/>
    <w:rsid w:val="00F97295"/>
    <w:rsid w:val="00F97EE5"/>
    <w:rsid w:val="00FA0DDF"/>
    <w:rsid w:val="00FB5664"/>
    <w:rsid w:val="00FB7711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93323B-813D-4541-ACF7-C9744B00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672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245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E92BDE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sz w:val="24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A245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E92BDE"/>
    <w:rPr>
      <w:rFonts w:ascii="Times New Roman" w:hAnsi="Times New Roman" w:cs="Arial"/>
      <w:b/>
      <w:bCs/>
      <w:sz w:val="26"/>
      <w:szCs w:val="26"/>
      <w:lang w:val="x-none" w:eastAsia="sk-SK"/>
    </w:rPr>
  </w:style>
  <w:style w:type="paragraph" w:customStyle="1" w:styleId="odsek">
    <w:name w:val="odsek"/>
    <w:basedOn w:val="Normlny"/>
    <w:uiPriority w:val="99"/>
    <w:qFormat/>
    <w:rsid w:val="004A245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92BDE"/>
    <w:pPr>
      <w:ind w:left="720"/>
      <w:contextualSpacing/>
    </w:pPr>
  </w:style>
  <w:style w:type="paragraph" w:customStyle="1" w:styleId="odsek1">
    <w:name w:val="odsek1"/>
    <w:basedOn w:val="Normlny"/>
    <w:qFormat/>
    <w:rsid w:val="00606607"/>
    <w:pPr>
      <w:keepNext/>
      <w:numPr>
        <w:numId w:val="3"/>
      </w:numPr>
      <w:spacing w:before="120" w:after="120" w:line="240" w:lineRule="auto"/>
      <w:ind w:left="357" w:firstLine="567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dda">
    <w:name w:val="adda"/>
    <w:basedOn w:val="Normlny"/>
    <w:uiPriority w:val="99"/>
    <w:qFormat/>
    <w:rsid w:val="006B3F32"/>
    <w:pPr>
      <w:keepNext/>
      <w:numPr>
        <w:numId w:val="4"/>
      </w:numPr>
      <w:spacing w:before="60" w:after="6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14497D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14497D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2E540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rsid w:val="005B25B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B25B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25B2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B25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B25B2"/>
    <w:rPr>
      <w:rFonts w:cs="Times New Roman"/>
      <w:b/>
      <w:bCs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5B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B25B2"/>
    <w:rPr>
      <w:rFonts w:ascii="Tahoma" w:hAnsi="Tahoma" w:cs="Tahoma"/>
      <w:sz w:val="16"/>
      <w:szCs w:val="16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C92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9296C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rsid w:val="00C9296C"/>
  </w:style>
  <w:style w:type="character" w:styleId="Siln">
    <w:name w:val="Strong"/>
    <w:basedOn w:val="Predvolenpsmoodseku"/>
    <w:uiPriority w:val="22"/>
    <w:qFormat/>
    <w:rsid w:val="00C9296C"/>
    <w:rPr>
      <w:rFonts w:cs="Times New Roman"/>
      <w:b/>
    </w:rPr>
  </w:style>
  <w:style w:type="paragraph" w:styleId="Zkladntext2">
    <w:name w:val="Body Text 2"/>
    <w:basedOn w:val="Normlny"/>
    <w:link w:val="Zkladntext2Char"/>
    <w:uiPriority w:val="99"/>
    <w:rsid w:val="00C9296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C9296C"/>
    <w:rPr>
      <w:rFonts w:cs="Times New Roman"/>
      <w:sz w:val="22"/>
      <w:szCs w:val="22"/>
      <w:lang w:val="x-none" w:eastAsia="en-US"/>
    </w:rPr>
  </w:style>
  <w:style w:type="paragraph" w:styleId="Nzov">
    <w:name w:val="Title"/>
    <w:basedOn w:val="Normlny"/>
    <w:link w:val="NzovChar"/>
    <w:uiPriority w:val="10"/>
    <w:qFormat/>
    <w:rsid w:val="00C9296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C9296C"/>
    <w:rPr>
      <w:rFonts w:ascii="Times New Roman" w:hAnsi="Times New Roman" w:cs="Times New Roman"/>
      <w:b/>
      <w:bCs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7127CF"/>
    <w:rPr>
      <w:sz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2E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62E7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2E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62E7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1/3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1/3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Batková</dc:creator>
  <cp:lastModifiedBy>Szabóová, Diana</cp:lastModifiedBy>
  <cp:revision>3</cp:revision>
  <cp:lastPrinted>2019-04-02T07:15:00Z</cp:lastPrinted>
  <dcterms:created xsi:type="dcterms:W3CDTF">2019-04-02T07:15:00Z</dcterms:created>
  <dcterms:modified xsi:type="dcterms:W3CDTF">2019-04-03T08:08:00Z</dcterms:modified>
</cp:coreProperties>
</file>