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A1" w:rsidRPr="001C729D" w:rsidRDefault="00C75BA1" w:rsidP="00C75BA1">
      <w:pPr>
        <w:pStyle w:val="Nadpis2"/>
        <w:ind w:hanging="3649"/>
        <w:jc w:val="left"/>
      </w:pPr>
      <w:r w:rsidRPr="001C729D">
        <w:t>ÚSTAVNOPRÁVNY VÝBOR</w:t>
      </w:r>
    </w:p>
    <w:p w:rsidR="00C75BA1" w:rsidRDefault="00C75BA1" w:rsidP="00C75BA1">
      <w:pPr>
        <w:rPr>
          <w:b/>
        </w:rPr>
      </w:pPr>
      <w:r w:rsidRPr="001C729D">
        <w:rPr>
          <w:b/>
        </w:rPr>
        <w:t>NÁRODNEJ RADY SLOVENSKEJ REPUBLIKY</w:t>
      </w:r>
    </w:p>
    <w:p w:rsidR="00C75BA1" w:rsidRPr="001C729D" w:rsidRDefault="00C75BA1" w:rsidP="00C75BA1">
      <w:pPr>
        <w:rPr>
          <w:b/>
        </w:rPr>
      </w:pPr>
    </w:p>
    <w:p w:rsidR="00C75BA1" w:rsidRPr="001C729D" w:rsidRDefault="00C75BA1" w:rsidP="00C75BA1">
      <w:r w:rsidRPr="001C729D">
        <w:tab/>
      </w:r>
      <w:r w:rsidRPr="001C729D">
        <w:tab/>
      </w:r>
      <w:r w:rsidRPr="001C729D">
        <w:tab/>
      </w:r>
      <w:r w:rsidRPr="001C729D">
        <w:tab/>
      </w:r>
      <w:r w:rsidRPr="001C729D">
        <w:tab/>
      </w:r>
      <w:r w:rsidRPr="001C729D">
        <w:tab/>
      </w:r>
      <w:r w:rsidRPr="001C729D">
        <w:tab/>
      </w:r>
      <w:r w:rsidRPr="001C729D">
        <w:tab/>
        <w:t xml:space="preserve"> </w:t>
      </w:r>
      <w:r w:rsidRPr="001C729D">
        <w:tab/>
      </w:r>
      <w:r w:rsidR="005923D8">
        <w:t>93</w:t>
      </w:r>
      <w:r w:rsidRPr="001C729D">
        <w:t>. schôdza</w:t>
      </w:r>
    </w:p>
    <w:p w:rsidR="00C75BA1" w:rsidRPr="001C729D" w:rsidRDefault="00C75BA1" w:rsidP="00C75BA1">
      <w:pPr>
        <w:ind w:left="5592" w:hanging="12"/>
      </w:pPr>
      <w:r w:rsidRPr="001C729D">
        <w:t xml:space="preserve"> </w:t>
      </w:r>
      <w:r w:rsidRPr="001C729D">
        <w:tab/>
        <w:t xml:space="preserve"> </w:t>
      </w:r>
      <w:r w:rsidRPr="001C729D">
        <w:tab/>
        <w:t>Číslo: CRD-</w:t>
      </w:r>
      <w:r w:rsidR="005923D8">
        <w:t>621</w:t>
      </w:r>
      <w:r w:rsidRPr="001C729D">
        <w:t>/201</w:t>
      </w:r>
      <w:r>
        <w:t>9</w:t>
      </w:r>
    </w:p>
    <w:p w:rsidR="00C75BA1" w:rsidRDefault="00C75BA1" w:rsidP="00C75BA1"/>
    <w:p w:rsidR="00C75BA1" w:rsidRPr="001C729D" w:rsidRDefault="00C75BA1" w:rsidP="00C75BA1"/>
    <w:p w:rsidR="00C75BA1" w:rsidRPr="007F2BF4" w:rsidRDefault="007F2BF4" w:rsidP="004F082F">
      <w:pPr>
        <w:jc w:val="center"/>
        <w:rPr>
          <w:sz w:val="36"/>
          <w:szCs w:val="36"/>
        </w:rPr>
      </w:pPr>
      <w:r w:rsidRPr="007F2BF4">
        <w:rPr>
          <w:sz w:val="36"/>
          <w:szCs w:val="36"/>
        </w:rPr>
        <w:t>591</w:t>
      </w:r>
    </w:p>
    <w:p w:rsidR="00C75BA1" w:rsidRPr="001C729D" w:rsidRDefault="00C75BA1" w:rsidP="00C75BA1">
      <w:pPr>
        <w:jc w:val="center"/>
        <w:rPr>
          <w:b/>
        </w:rPr>
      </w:pPr>
      <w:r w:rsidRPr="001C729D">
        <w:rPr>
          <w:b/>
        </w:rPr>
        <w:t>U z n e s e n i e</w:t>
      </w:r>
    </w:p>
    <w:p w:rsidR="00C75BA1" w:rsidRPr="001C729D" w:rsidRDefault="00C75BA1" w:rsidP="00C75BA1">
      <w:pPr>
        <w:jc w:val="center"/>
        <w:rPr>
          <w:b/>
        </w:rPr>
      </w:pPr>
      <w:r w:rsidRPr="001C729D">
        <w:rPr>
          <w:b/>
        </w:rPr>
        <w:t>Ústavnoprávneho výboru Národnej rady Slovenskej republiky</w:t>
      </w:r>
    </w:p>
    <w:p w:rsidR="00C75BA1" w:rsidRPr="001C729D" w:rsidRDefault="00C75BA1" w:rsidP="00C75BA1">
      <w:pPr>
        <w:jc w:val="center"/>
        <w:rPr>
          <w:b/>
        </w:rPr>
      </w:pPr>
      <w:r>
        <w:rPr>
          <w:b/>
        </w:rPr>
        <w:t>z</w:t>
      </w:r>
      <w:r w:rsidR="00C242A5">
        <w:rPr>
          <w:b/>
        </w:rPr>
        <w:t> 27. marca</w:t>
      </w:r>
      <w:r>
        <w:rPr>
          <w:b/>
        </w:rPr>
        <w:t xml:space="preserve"> </w:t>
      </w:r>
      <w:r w:rsidRPr="001C729D">
        <w:rPr>
          <w:b/>
        </w:rPr>
        <w:t>201</w:t>
      </w:r>
      <w:r>
        <w:rPr>
          <w:b/>
        </w:rPr>
        <w:t>9</w:t>
      </w:r>
    </w:p>
    <w:p w:rsidR="00C75BA1" w:rsidRPr="005637E9" w:rsidRDefault="00C75BA1" w:rsidP="00C75BA1">
      <w:pPr>
        <w:rPr>
          <w:lang w:val="en-US"/>
        </w:rPr>
      </w:pPr>
    </w:p>
    <w:p w:rsidR="005637E9" w:rsidRPr="005637E9" w:rsidRDefault="005637E9" w:rsidP="005637E9">
      <w:pPr>
        <w:tabs>
          <w:tab w:val="left" w:pos="3969"/>
        </w:tabs>
        <w:jc w:val="both"/>
        <w:rPr>
          <w:iCs/>
        </w:rPr>
      </w:pPr>
      <w:r w:rsidRPr="005637E9">
        <w:rPr>
          <w:noProof/>
        </w:rPr>
        <w:t xml:space="preserve">k vládnemu návrhu zákona, ktorým sa menia a dopĺňajú niektoré zákony v súvislosti s vystúpením Spojeného kráľovstva Veľkej Británie a Severného Írska z Európskej únie bez dohody </w:t>
      </w:r>
      <w:r w:rsidRPr="005637E9">
        <w:t>(tlač 1398)</w:t>
      </w:r>
    </w:p>
    <w:p w:rsidR="005637E9" w:rsidRPr="005637E9" w:rsidRDefault="005637E9" w:rsidP="005637E9">
      <w:pPr>
        <w:tabs>
          <w:tab w:val="left" w:pos="3969"/>
        </w:tabs>
        <w:ind w:left="1416" w:hanging="1416"/>
        <w:jc w:val="both"/>
        <w:rPr>
          <w:iCs/>
        </w:rPr>
      </w:pPr>
    </w:p>
    <w:p w:rsidR="00C75BA1" w:rsidRPr="005637E9" w:rsidRDefault="00C75BA1" w:rsidP="00C75BA1">
      <w:pPr>
        <w:tabs>
          <w:tab w:val="left" w:pos="851"/>
          <w:tab w:val="left" w:pos="993"/>
        </w:tabs>
      </w:pPr>
    </w:p>
    <w:p w:rsidR="00C75BA1" w:rsidRDefault="00C75BA1" w:rsidP="00C75BA1">
      <w:pPr>
        <w:tabs>
          <w:tab w:val="left" w:pos="851"/>
          <w:tab w:val="left" w:pos="993"/>
        </w:tabs>
      </w:pPr>
    </w:p>
    <w:p w:rsidR="00C75BA1" w:rsidRPr="00EC0BB9" w:rsidRDefault="00C75BA1" w:rsidP="00C75BA1">
      <w:pPr>
        <w:tabs>
          <w:tab w:val="left" w:pos="851"/>
          <w:tab w:val="left" w:pos="993"/>
        </w:tabs>
        <w:rPr>
          <w:b/>
          <w:lang w:eastAsia="en-US"/>
        </w:rPr>
      </w:pPr>
      <w:r w:rsidRPr="00EC0BB9">
        <w:tab/>
      </w:r>
      <w:r w:rsidRPr="00EC0BB9">
        <w:rPr>
          <w:b/>
        </w:rPr>
        <w:t>Ústavnoprávny výbor Národnej rady Slovenskej republiky</w:t>
      </w:r>
    </w:p>
    <w:p w:rsidR="00C75BA1" w:rsidRPr="00EC0BB9" w:rsidRDefault="00C75BA1" w:rsidP="00C75BA1">
      <w:pPr>
        <w:tabs>
          <w:tab w:val="left" w:pos="851"/>
          <w:tab w:val="left" w:pos="993"/>
        </w:tabs>
        <w:jc w:val="both"/>
        <w:rPr>
          <w:b/>
        </w:rPr>
      </w:pPr>
    </w:p>
    <w:p w:rsidR="00C75BA1" w:rsidRPr="00EC0BB9" w:rsidRDefault="00C75BA1" w:rsidP="00C75BA1">
      <w:pPr>
        <w:tabs>
          <w:tab w:val="left" w:pos="851"/>
          <w:tab w:val="left" w:pos="993"/>
          <w:tab w:val="left" w:pos="1276"/>
        </w:tabs>
        <w:jc w:val="both"/>
        <w:rPr>
          <w:lang w:eastAsia="en-US"/>
        </w:rPr>
      </w:pPr>
      <w:r w:rsidRPr="00EC0BB9">
        <w:rPr>
          <w:b/>
        </w:rPr>
        <w:tab/>
        <w:t>A.  s ú h l a s í</w:t>
      </w:r>
      <w:r w:rsidRPr="00EC0BB9">
        <w:t xml:space="preserve"> </w:t>
      </w:r>
    </w:p>
    <w:p w:rsidR="00C75BA1" w:rsidRPr="00954358" w:rsidRDefault="00C75BA1" w:rsidP="00C75BA1">
      <w:pPr>
        <w:tabs>
          <w:tab w:val="left" w:pos="284"/>
          <w:tab w:val="left" w:pos="851"/>
          <w:tab w:val="left" w:pos="993"/>
          <w:tab w:val="left" w:pos="1276"/>
        </w:tabs>
        <w:jc w:val="both"/>
      </w:pPr>
    </w:p>
    <w:p w:rsidR="005637E9" w:rsidRPr="005637E9" w:rsidRDefault="005637E9" w:rsidP="005637E9">
      <w:pPr>
        <w:tabs>
          <w:tab w:val="left" w:pos="1134"/>
        </w:tabs>
        <w:jc w:val="both"/>
        <w:rPr>
          <w:iCs/>
        </w:rPr>
      </w:pPr>
      <w:r>
        <w:tab/>
      </w:r>
      <w:r w:rsidR="00C75BA1">
        <w:t xml:space="preserve"> </w:t>
      </w:r>
      <w:r w:rsidR="00C75BA1" w:rsidRPr="00584D6D">
        <w:t>s v</w:t>
      </w:r>
      <w:r w:rsidR="00C75BA1" w:rsidRPr="00584D6D">
        <w:rPr>
          <w:rFonts w:cs="Arial"/>
          <w:noProof/>
        </w:rPr>
        <w:t>ládnym návrhom zákona</w:t>
      </w:r>
      <w:r w:rsidRPr="005637E9">
        <w:rPr>
          <w:noProof/>
        </w:rPr>
        <w:t xml:space="preserve">, ktorým sa menia a dopĺňajú niektoré zákony v súvislosti s vystúpením Spojeného kráľovstva Veľkej Británie a Severného Írska z Európskej únie bez dohody </w:t>
      </w:r>
      <w:r w:rsidRPr="005637E9">
        <w:t>(tlač 1398)</w:t>
      </w:r>
      <w:r>
        <w:t>;</w:t>
      </w:r>
    </w:p>
    <w:p w:rsidR="00C75BA1" w:rsidRPr="001362F6" w:rsidRDefault="00C75BA1" w:rsidP="00C75BA1">
      <w:pPr>
        <w:tabs>
          <w:tab w:val="left" w:pos="851"/>
          <w:tab w:val="left" w:pos="993"/>
        </w:tabs>
      </w:pPr>
    </w:p>
    <w:p w:rsidR="00C75BA1" w:rsidRPr="000A4F64" w:rsidRDefault="00C75BA1" w:rsidP="00C75BA1">
      <w:pPr>
        <w:tabs>
          <w:tab w:val="left" w:pos="709"/>
          <w:tab w:val="left" w:pos="851"/>
          <w:tab w:val="left" w:pos="993"/>
          <w:tab w:val="left" w:pos="1276"/>
        </w:tabs>
        <w:jc w:val="both"/>
        <w:rPr>
          <w:b/>
        </w:rPr>
      </w:pPr>
      <w:r w:rsidRPr="000A4F64">
        <w:rPr>
          <w:b/>
        </w:rPr>
        <w:tab/>
      </w:r>
      <w:r>
        <w:rPr>
          <w:b/>
        </w:rPr>
        <w:t>  </w:t>
      </w:r>
      <w:r w:rsidRPr="000A4F64">
        <w:rPr>
          <w:b/>
        </w:rPr>
        <w:t>B.  o d p o r ú č a</w:t>
      </w:r>
    </w:p>
    <w:p w:rsidR="00C75BA1" w:rsidRPr="000A4F64" w:rsidRDefault="00C75BA1" w:rsidP="00C75BA1">
      <w:pPr>
        <w:tabs>
          <w:tab w:val="left" w:pos="709"/>
          <w:tab w:val="left" w:pos="851"/>
          <w:tab w:val="left" w:pos="993"/>
          <w:tab w:val="left" w:pos="1276"/>
        </w:tabs>
        <w:jc w:val="both"/>
        <w:rPr>
          <w:b/>
        </w:rPr>
      </w:pPr>
    </w:p>
    <w:p w:rsidR="00C75BA1" w:rsidRPr="000A4F64" w:rsidRDefault="00C75BA1" w:rsidP="00C75BA1">
      <w:pPr>
        <w:tabs>
          <w:tab w:val="left" w:pos="709"/>
          <w:tab w:val="left" w:pos="851"/>
          <w:tab w:val="left" w:pos="993"/>
          <w:tab w:val="left" w:pos="1276"/>
        </w:tabs>
        <w:jc w:val="both"/>
      </w:pPr>
      <w:r w:rsidRPr="000A4F64">
        <w:rPr>
          <w:b/>
        </w:rPr>
        <w:tab/>
      </w:r>
      <w:r w:rsidRPr="000A4F64">
        <w:rPr>
          <w:b/>
        </w:rPr>
        <w:tab/>
      </w:r>
      <w:r w:rsidRPr="000A4F64">
        <w:rPr>
          <w:b/>
        </w:rPr>
        <w:tab/>
        <w:t xml:space="preserve"> </w:t>
      </w:r>
      <w:r>
        <w:rPr>
          <w:b/>
        </w:rPr>
        <w:t xml:space="preserve">   </w:t>
      </w:r>
      <w:r w:rsidRPr="000A4F64">
        <w:t>Národnej rade Slovenskej republiky</w:t>
      </w:r>
    </w:p>
    <w:p w:rsidR="00C75BA1" w:rsidRPr="00584D6D" w:rsidRDefault="00C75BA1" w:rsidP="00C75BA1">
      <w:pPr>
        <w:tabs>
          <w:tab w:val="left" w:pos="709"/>
          <w:tab w:val="left" w:pos="851"/>
          <w:tab w:val="left" w:pos="993"/>
          <w:tab w:val="left" w:pos="1276"/>
        </w:tabs>
        <w:jc w:val="both"/>
      </w:pPr>
    </w:p>
    <w:p w:rsidR="00C75BA1" w:rsidRPr="005637E9" w:rsidRDefault="00C75BA1" w:rsidP="00C75BA1">
      <w:pPr>
        <w:tabs>
          <w:tab w:val="left" w:pos="1134"/>
        </w:tabs>
        <w:jc w:val="both"/>
        <w:rPr>
          <w:iCs/>
        </w:rPr>
      </w:pPr>
      <w:r w:rsidRPr="00584D6D">
        <w:rPr>
          <w:rFonts w:cs="Arial"/>
          <w:noProof/>
        </w:rPr>
        <w:tab/>
        <w:t xml:space="preserve"> </w:t>
      </w:r>
      <w:r w:rsidR="004303E6">
        <w:rPr>
          <w:rFonts w:cs="Arial"/>
          <w:noProof/>
        </w:rPr>
        <w:t xml:space="preserve"> </w:t>
      </w:r>
      <w:r w:rsidRPr="00584D6D">
        <w:rPr>
          <w:rFonts w:cs="Arial"/>
          <w:noProof/>
        </w:rPr>
        <w:t>vládny návrh zákona</w:t>
      </w:r>
      <w:r w:rsidR="005637E9" w:rsidRPr="005637E9">
        <w:rPr>
          <w:noProof/>
        </w:rPr>
        <w:t xml:space="preserve">, ktorým sa menia a dopĺňajú niektoré zákony v súvislosti s vystúpením Spojeného kráľovstva Veľkej Británie a Severného Írska z Európskej únie bez dohody </w:t>
      </w:r>
      <w:r w:rsidR="005637E9" w:rsidRPr="005637E9">
        <w:t>(tlač 1398)</w:t>
      </w:r>
      <w:r w:rsidR="005637E9">
        <w:t xml:space="preserve"> </w:t>
      </w:r>
      <w:r w:rsidRPr="00584D6D">
        <w:rPr>
          <w:b/>
          <w:bCs/>
        </w:rPr>
        <w:t>schváliť</w:t>
      </w:r>
      <w:r w:rsidR="008F7EE3">
        <w:rPr>
          <w:b/>
          <w:bCs/>
        </w:rPr>
        <w:t xml:space="preserve"> </w:t>
      </w:r>
      <w:r w:rsidR="008F7EE3" w:rsidRPr="00830734">
        <w:rPr>
          <w:bCs/>
        </w:rPr>
        <w:t>so zmenami a doplnkami uvedenými v prílohe tohto uznesenia;</w:t>
      </w:r>
      <w:r w:rsidRPr="00584D6D">
        <w:rPr>
          <w:b/>
          <w:bCs/>
        </w:rPr>
        <w:t xml:space="preserve"> </w:t>
      </w:r>
    </w:p>
    <w:p w:rsidR="00C75BA1" w:rsidRPr="00E31D6B" w:rsidRDefault="00C75BA1" w:rsidP="00C75BA1">
      <w:pPr>
        <w:pStyle w:val="TxBrp1"/>
        <w:tabs>
          <w:tab w:val="left" w:pos="720"/>
          <w:tab w:val="left" w:pos="1276"/>
        </w:tabs>
        <w:spacing w:line="240" w:lineRule="auto"/>
        <w:ind w:left="0"/>
        <w:rPr>
          <w:i/>
          <w:sz w:val="24"/>
          <w:lang w:val="sk-SK"/>
        </w:rPr>
      </w:pPr>
    </w:p>
    <w:p w:rsidR="00C75BA1" w:rsidRPr="003D23C8" w:rsidRDefault="00C75BA1" w:rsidP="00C75BA1">
      <w:pPr>
        <w:tabs>
          <w:tab w:val="left" w:pos="1134"/>
          <w:tab w:val="left" w:pos="1276"/>
        </w:tabs>
        <w:ind w:firstLine="708"/>
        <w:rPr>
          <w:b/>
        </w:rPr>
      </w:pPr>
      <w:r w:rsidRPr="003D23C8">
        <w:rPr>
          <w:b/>
        </w:rPr>
        <w:t> C.</w:t>
      </w:r>
      <w:r w:rsidRPr="003D23C8">
        <w:rPr>
          <w:b/>
        </w:rPr>
        <w:tab/>
        <w:t>p o v e r u j e</w:t>
      </w:r>
    </w:p>
    <w:p w:rsidR="00C75BA1" w:rsidRPr="000A4F64" w:rsidRDefault="00C75BA1" w:rsidP="00C75BA1">
      <w:pPr>
        <w:tabs>
          <w:tab w:val="left" w:pos="1134"/>
          <w:tab w:val="left" w:pos="1276"/>
        </w:tabs>
      </w:pPr>
      <w:r w:rsidRPr="000A4F64">
        <w:tab/>
      </w:r>
    </w:p>
    <w:p w:rsidR="00C75BA1" w:rsidRPr="000A4F64" w:rsidRDefault="00C75BA1" w:rsidP="00C75BA1">
      <w:pPr>
        <w:pStyle w:val="Zkladntext"/>
        <w:tabs>
          <w:tab w:val="left" w:pos="1134"/>
          <w:tab w:val="left" w:pos="1276"/>
        </w:tabs>
      </w:pPr>
      <w:r w:rsidRPr="000A4F64">
        <w:tab/>
        <w:t xml:space="preserve">predsedu výboru </w:t>
      </w:r>
    </w:p>
    <w:p w:rsidR="00C75BA1" w:rsidRPr="000A4F64" w:rsidRDefault="00C75BA1" w:rsidP="00C75BA1">
      <w:pPr>
        <w:pStyle w:val="Zkladntext"/>
        <w:tabs>
          <w:tab w:val="left" w:pos="1134"/>
          <w:tab w:val="left" w:pos="1276"/>
        </w:tabs>
      </w:pPr>
    </w:p>
    <w:p w:rsidR="00C75BA1" w:rsidRPr="000A4F64" w:rsidRDefault="00C75BA1" w:rsidP="00C75BA1">
      <w:pPr>
        <w:pStyle w:val="Zkladntext"/>
        <w:tabs>
          <w:tab w:val="left" w:pos="1134"/>
          <w:tab w:val="left" w:pos="1276"/>
        </w:tabs>
        <w:ind w:firstLine="1134"/>
      </w:pPr>
      <w:r w:rsidRPr="000A4F64">
        <w:t>predložiť stanovisko výboru k uvedenému návrhu zákona predsedovi gestorského</w:t>
      </w:r>
      <w:r>
        <w:t xml:space="preserve"> Výboru </w:t>
      </w:r>
      <w:r w:rsidRPr="000A4F64">
        <w:t>Národnej rady Slovenskej republiky</w:t>
      </w:r>
      <w:r>
        <w:t xml:space="preserve"> pre </w:t>
      </w:r>
      <w:r w:rsidR="00D270F8">
        <w:t xml:space="preserve">európske záležitosti. </w:t>
      </w:r>
    </w:p>
    <w:p w:rsidR="00C75BA1" w:rsidRDefault="00C75BA1" w:rsidP="00C75BA1">
      <w:pPr>
        <w:pStyle w:val="Zkladntext"/>
        <w:tabs>
          <w:tab w:val="left" w:pos="1134"/>
        </w:tabs>
      </w:pPr>
    </w:p>
    <w:p w:rsidR="00C75BA1" w:rsidRDefault="00C75BA1" w:rsidP="00C75BA1">
      <w:pPr>
        <w:pStyle w:val="Zkladntext"/>
        <w:tabs>
          <w:tab w:val="left" w:pos="1134"/>
        </w:tabs>
      </w:pPr>
    </w:p>
    <w:p w:rsidR="00C75BA1" w:rsidRPr="000A4F64" w:rsidRDefault="00C75BA1" w:rsidP="00C75BA1">
      <w:pPr>
        <w:jc w:val="both"/>
        <w:rPr>
          <w:rFonts w:ascii="AT*Toronto" w:hAnsi="AT*Toronto"/>
        </w:rPr>
      </w:pPr>
      <w:r w:rsidRPr="000A4F64">
        <w:tab/>
      </w:r>
      <w:r w:rsidRPr="000A4F64">
        <w:tab/>
      </w:r>
      <w:r w:rsidRPr="000A4F64">
        <w:tab/>
      </w:r>
      <w:r w:rsidRPr="000A4F64">
        <w:tab/>
      </w:r>
      <w:r w:rsidRPr="000A4F64">
        <w:tab/>
      </w:r>
      <w:r w:rsidRPr="000A4F64">
        <w:tab/>
      </w:r>
      <w:r w:rsidRPr="000A4F64">
        <w:tab/>
      </w:r>
      <w:r w:rsidRPr="000A4F64">
        <w:tab/>
      </w:r>
      <w:r w:rsidRPr="000A4F64">
        <w:tab/>
        <w:t xml:space="preserve">        </w:t>
      </w:r>
      <w:r>
        <w:t xml:space="preserve">   </w:t>
      </w:r>
      <w:r w:rsidRPr="000A4F64">
        <w:t>Róbert Madej</w:t>
      </w:r>
      <w:r>
        <w:t xml:space="preserve">  </w:t>
      </w:r>
    </w:p>
    <w:p w:rsidR="00C75BA1" w:rsidRPr="000A4F64" w:rsidRDefault="00C75BA1" w:rsidP="00C75BA1">
      <w:pPr>
        <w:ind w:left="5664" w:firstLine="708"/>
        <w:jc w:val="both"/>
        <w:rPr>
          <w:rFonts w:ascii="AT*Toronto" w:hAnsi="AT*Toronto"/>
        </w:rPr>
      </w:pPr>
      <w:r w:rsidRPr="000A4F64">
        <w:t xml:space="preserve">         predseda výboru</w:t>
      </w:r>
    </w:p>
    <w:p w:rsidR="00C75BA1" w:rsidRPr="000A4F64" w:rsidRDefault="00C75BA1" w:rsidP="00C75BA1">
      <w:pPr>
        <w:tabs>
          <w:tab w:val="left" w:pos="1021"/>
        </w:tabs>
        <w:jc w:val="both"/>
      </w:pPr>
      <w:r w:rsidRPr="000A4F64">
        <w:t>overovatelia výboru:</w:t>
      </w:r>
    </w:p>
    <w:p w:rsidR="00C75BA1" w:rsidRDefault="00C75BA1" w:rsidP="00C75BA1">
      <w:pPr>
        <w:tabs>
          <w:tab w:val="left" w:pos="1021"/>
        </w:tabs>
        <w:jc w:val="both"/>
      </w:pPr>
      <w:r w:rsidRPr="000A4F64">
        <w:t>Ondrej Dostál</w:t>
      </w:r>
    </w:p>
    <w:p w:rsidR="005637E9" w:rsidRDefault="005637E9" w:rsidP="00C75BA1">
      <w:pPr>
        <w:tabs>
          <w:tab w:val="left" w:pos="1021"/>
        </w:tabs>
        <w:jc w:val="both"/>
      </w:pPr>
      <w:r>
        <w:t xml:space="preserve">Irén Sárközy </w:t>
      </w:r>
    </w:p>
    <w:p w:rsidR="00D270F8" w:rsidRDefault="00D270F8" w:rsidP="00C75BA1">
      <w:pPr>
        <w:tabs>
          <w:tab w:val="left" w:pos="1021"/>
        </w:tabs>
        <w:jc w:val="both"/>
      </w:pPr>
    </w:p>
    <w:p w:rsidR="00D270F8" w:rsidRDefault="00D270F8" w:rsidP="00C75BA1">
      <w:pPr>
        <w:tabs>
          <w:tab w:val="left" w:pos="1021"/>
        </w:tabs>
        <w:jc w:val="both"/>
      </w:pPr>
    </w:p>
    <w:p w:rsidR="00D270F8" w:rsidRDefault="00D270F8" w:rsidP="00D270F8">
      <w:pPr>
        <w:pStyle w:val="Nadpis2"/>
        <w:jc w:val="left"/>
      </w:pPr>
      <w:r>
        <w:lastRenderedPageBreak/>
        <w:t>P r í l o h a</w:t>
      </w:r>
    </w:p>
    <w:p w:rsidR="00D270F8" w:rsidRDefault="00D270F8" w:rsidP="00D270F8">
      <w:pPr>
        <w:ind w:left="4253" w:firstLine="708"/>
        <w:jc w:val="both"/>
        <w:rPr>
          <w:b/>
          <w:bCs/>
        </w:rPr>
      </w:pPr>
      <w:r>
        <w:rPr>
          <w:b/>
          <w:bCs/>
        </w:rPr>
        <w:t xml:space="preserve">k uzneseniu Ústavnoprávneho </w:t>
      </w:r>
    </w:p>
    <w:p w:rsidR="00D270F8" w:rsidRDefault="00D270F8" w:rsidP="00D270F8">
      <w:pPr>
        <w:ind w:left="4253" w:firstLine="708"/>
        <w:jc w:val="both"/>
        <w:rPr>
          <w:b/>
        </w:rPr>
      </w:pPr>
      <w:r>
        <w:rPr>
          <w:b/>
        </w:rPr>
        <w:t xml:space="preserve">výboru Národnej rady SR č. </w:t>
      </w:r>
      <w:r w:rsidR="00F952C0">
        <w:rPr>
          <w:b/>
        </w:rPr>
        <w:t>591</w:t>
      </w:r>
    </w:p>
    <w:p w:rsidR="00D270F8" w:rsidRDefault="00D270F8" w:rsidP="00D270F8">
      <w:pPr>
        <w:ind w:left="4253" w:firstLine="708"/>
        <w:jc w:val="both"/>
        <w:rPr>
          <w:b/>
        </w:rPr>
      </w:pPr>
      <w:r>
        <w:rPr>
          <w:b/>
        </w:rPr>
        <w:t>z 27. marca 2019</w:t>
      </w:r>
    </w:p>
    <w:p w:rsidR="00D270F8" w:rsidRDefault="00D270F8" w:rsidP="00D270F8">
      <w:pPr>
        <w:ind w:left="4253" w:firstLine="703"/>
        <w:jc w:val="both"/>
        <w:rPr>
          <w:b/>
          <w:bCs/>
          <w:lang w:eastAsia="en-US"/>
        </w:rPr>
      </w:pPr>
      <w:r>
        <w:rPr>
          <w:b/>
          <w:bCs/>
        </w:rPr>
        <w:t>____________________________</w:t>
      </w:r>
    </w:p>
    <w:p w:rsidR="00D270F8" w:rsidRDefault="00D270F8" w:rsidP="00D270F8">
      <w:pPr>
        <w:jc w:val="center"/>
        <w:rPr>
          <w:lang w:eastAsia="en-US"/>
        </w:rPr>
      </w:pPr>
    </w:p>
    <w:p w:rsidR="00D270F8" w:rsidRDefault="00D270F8" w:rsidP="00D270F8">
      <w:pPr>
        <w:jc w:val="center"/>
        <w:rPr>
          <w:lang w:eastAsia="en-US"/>
        </w:rPr>
      </w:pPr>
    </w:p>
    <w:p w:rsidR="00D270F8" w:rsidRDefault="00D270F8" w:rsidP="00D270F8">
      <w:pPr>
        <w:rPr>
          <w:lang w:eastAsia="en-US"/>
        </w:rPr>
      </w:pPr>
    </w:p>
    <w:p w:rsidR="00D270F8" w:rsidRDefault="00D270F8" w:rsidP="00D270F8">
      <w:pPr>
        <w:pStyle w:val="Nadpis2"/>
        <w:ind w:left="0" w:firstLine="0"/>
        <w:jc w:val="center"/>
      </w:pPr>
      <w:r>
        <w:t>Pozmeňujúce a doplňujúce návrhy</w:t>
      </w:r>
    </w:p>
    <w:p w:rsidR="00D270F8" w:rsidRDefault="00D270F8" w:rsidP="00D270F8">
      <w:pPr>
        <w:rPr>
          <w:lang w:eastAsia="en-US"/>
        </w:rPr>
      </w:pPr>
    </w:p>
    <w:p w:rsidR="00D270F8" w:rsidRPr="00D270F8" w:rsidRDefault="00D270F8" w:rsidP="00D270F8">
      <w:pPr>
        <w:tabs>
          <w:tab w:val="left" w:pos="3969"/>
        </w:tabs>
        <w:jc w:val="both"/>
        <w:rPr>
          <w:b/>
          <w:iCs/>
        </w:rPr>
      </w:pPr>
      <w:r w:rsidRPr="00D270F8">
        <w:rPr>
          <w:b/>
          <w:noProof/>
        </w:rPr>
        <w:t xml:space="preserve">k vládnemu návrhu zákona, ktorým sa menia a dopĺňajú niektoré zákony v súvislosti s vystúpením Spojeného kráľovstva Veľkej Británie a Severného Írska z Európskej únie bez dohody </w:t>
      </w:r>
      <w:r w:rsidRPr="00D270F8">
        <w:rPr>
          <w:b/>
        </w:rPr>
        <w:t>(tlač 1398)</w:t>
      </w:r>
    </w:p>
    <w:p w:rsidR="00D270F8" w:rsidRDefault="00D270F8" w:rsidP="00D270F8">
      <w:pPr>
        <w:pBdr>
          <w:bottom w:val="single" w:sz="6" w:space="1" w:color="auto"/>
        </w:pBdr>
      </w:pPr>
    </w:p>
    <w:p w:rsidR="00D270F8" w:rsidRDefault="00D270F8" w:rsidP="00D270F8"/>
    <w:p w:rsidR="002A512D" w:rsidRPr="002A512D" w:rsidRDefault="002A512D" w:rsidP="002A512D">
      <w:pPr>
        <w:jc w:val="both"/>
      </w:pPr>
    </w:p>
    <w:p w:rsidR="002A512D" w:rsidRPr="002A512D" w:rsidRDefault="002A512D" w:rsidP="002A512D">
      <w:pPr>
        <w:pStyle w:val="Odsekzoznamu"/>
        <w:numPr>
          <w:ilvl w:val="0"/>
          <w:numId w:val="31"/>
        </w:numPr>
        <w:ind w:left="426" w:hanging="426"/>
        <w:jc w:val="both"/>
      </w:pPr>
      <w:r w:rsidRPr="002A512D">
        <w:t>V čl. III (§ 293eea), IV (§ 82d), VI v druhom bode (§ 72aj), VII (§ 23aa), VIII (§ 38er), XIV (§ 131h), XVI (§ 56d), XVII v druhom bode (§ 64b) a XIX (§ 42a) v nadpise prechodného ustanovenia sa slovo „ustanovenie“ nahrádza slovom „ustanovenia“.</w:t>
      </w:r>
    </w:p>
    <w:p w:rsidR="002A512D" w:rsidRPr="002A512D" w:rsidRDefault="002A512D" w:rsidP="002A512D">
      <w:pPr>
        <w:jc w:val="both"/>
      </w:pPr>
    </w:p>
    <w:p w:rsidR="002A512D" w:rsidRPr="002A512D" w:rsidRDefault="002A512D" w:rsidP="002A512D">
      <w:pPr>
        <w:ind w:left="4248"/>
        <w:jc w:val="both"/>
      </w:pPr>
      <w:r w:rsidRPr="002A512D">
        <w:t>Legislatívno-technická a štylistická úprava nadpisov prechodných ustanovení.</w:t>
      </w:r>
    </w:p>
    <w:p w:rsidR="002A512D" w:rsidRPr="002A512D" w:rsidRDefault="002A512D" w:rsidP="002A512D">
      <w:pPr>
        <w:ind w:left="4248"/>
        <w:jc w:val="both"/>
      </w:pPr>
    </w:p>
    <w:p w:rsidR="002A512D" w:rsidRPr="002A512D" w:rsidRDefault="002A512D" w:rsidP="002A512D">
      <w:pPr>
        <w:pStyle w:val="Odsekzoznamu"/>
        <w:numPr>
          <w:ilvl w:val="0"/>
          <w:numId w:val="31"/>
        </w:numPr>
        <w:ind w:left="426" w:hanging="426"/>
        <w:jc w:val="both"/>
      </w:pPr>
      <w:r w:rsidRPr="002A512D">
        <w:t>V čl. III v § 293eea ods. 1 písm. b) sa za slová „občan členského štátu Európskej únie,“ vkladajú slová „občan štátu, ktorý je zmluvnou stranou dohody o Európskom hospodárskom priestore, občan Švajčiarskej konfederácie,“.</w:t>
      </w:r>
    </w:p>
    <w:p w:rsidR="002A512D" w:rsidRPr="002A512D" w:rsidRDefault="002A512D" w:rsidP="002A512D">
      <w:pPr>
        <w:jc w:val="both"/>
      </w:pPr>
    </w:p>
    <w:p w:rsidR="002A512D" w:rsidRPr="002A512D" w:rsidRDefault="002A512D" w:rsidP="002A512D">
      <w:pPr>
        <w:ind w:left="4248"/>
        <w:jc w:val="both"/>
        <w:rPr>
          <w:iCs/>
        </w:rPr>
      </w:pPr>
      <w:r w:rsidRPr="002A512D">
        <w:rPr>
          <w:iCs/>
        </w:rPr>
        <w:t>Navrhuje sa precizovanie navrhovaného znenia ustanovenia § 293eea ods. 1 písm. b) v záujme eliminácie možných výkladových problémov, vzhľadom na to, že hoci sú koordinačné pravidlá s významom pre štáty, ktoré sú zmluvnou stranou dohody o Európskom hospodárskom priestore aj Švajčiarsku konfederáciu, recipovaním osobného rozsahu koordinačného nariad</w:t>
      </w:r>
      <w:r w:rsidR="003D45B6">
        <w:rPr>
          <w:iCs/>
        </w:rPr>
        <w:t xml:space="preserve">enia do zákona, ktorým sa menia </w:t>
      </w:r>
      <w:r w:rsidRPr="002A512D">
        <w:rPr>
          <w:iCs/>
        </w:rPr>
        <w:t xml:space="preserve">a </w:t>
      </w:r>
      <w:r w:rsidR="003D45B6">
        <w:rPr>
          <w:iCs/>
        </w:rPr>
        <w:t> </w:t>
      </w:r>
      <w:r w:rsidRPr="002A512D">
        <w:rPr>
          <w:iCs/>
        </w:rPr>
        <w:t>dopĺňaj</w:t>
      </w:r>
      <w:r w:rsidR="003D45B6">
        <w:rPr>
          <w:iCs/>
        </w:rPr>
        <w:t xml:space="preserve">ú  niektoré zákony v súvislosti </w:t>
      </w:r>
      <w:bookmarkStart w:id="0" w:name="_GoBack"/>
      <w:bookmarkEnd w:id="0"/>
      <w:r w:rsidRPr="002A512D">
        <w:rPr>
          <w:iCs/>
        </w:rPr>
        <w:t xml:space="preserve">s </w:t>
      </w:r>
      <w:r w:rsidR="003D45B6">
        <w:rPr>
          <w:iCs/>
        </w:rPr>
        <w:t> </w:t>
      </w:r>
      <w:r w:rsidRPr="002A512D">
        <w:rPr>
          <w:iCs/>
        </w:rPr>
        <w:t xml:space="preserve">vystúpením Spojeného kráľovstva Veľkej Británie a Severného Írska z Európskej únie bez dohody, by sa na základe gramatického výkladu právna úprava prechodného ustanovenia § 293eea na občanov týchto štátov nevzťahovala. </w:t>
      </w:r>
      <w:r w:rsidRPr="002A512D">
        <w:t xml:space="preserve"> </w:t>
      </w:r>
    </w:p>
    <w:p w:rsidR="002A512D" w:rsidRPr="002A512D" w:rsidRDefault="002A512D" w:rsidP="002A512D">
      <w:pPr>
        <w:jc w:val="both"/>
      </w:pPr>
    </w:p>
    <w:p w:rsidR="002A512D" w:rsidRPr="002A512D" w:rsidRDefault="002A512D" w:rsidP="002A512D">
      <w:pPr>
        <w:pStyle w:val="Odsekzoznamu"/>
        <w:numPr>
          <w:ilvl w:val="0"/>
          <w:numId w:val="31"/>
        </w:numPr>
        <w:ind w:left="426" w:hanging="426"/>
        <w:jc w:val="both"/>
      </w:pPr>
      <w:r w:rsidRPr="002A512D">
        <w:rPr>
          <w:iCs/>
        </w:rPr>
        <w:t>V čl. XIII sa doterajší text § 143g označuje ako odsek 1 a dopĺňa sa odsekmi 2 a 3, ktoré znejú:</w:t>
      </w:r>
    </w:p>
    <w:p w:rsidR="002A512D" w:rsidRPr="002A512D" w:rsidRDefault="002A512D" w:rsidP="002A512D">
      <w:pPr>
        <w:jc w:val="both"/>
      </w:pPr>
    </w:p>
    <w:p w:rsidR="002A512D" w:rsidRPr="002A512D" w:rsidRDefault="002A512D" w:rsidP="002A512D">
      <w:pPr>
        <w:pStyle w:val="gmail-msolistparagraph"/>
        <w:tabs>
          <w:tab w:val="left" w:pos="567"/>
        </w:tabs>
        <w:spacing w:before="0" w:beforeAutospacing="0" w:after="0" w:afterAutospacing="0"/>
        <w:ind w:left="357"/>
        <w:jc w:val="both"/>
        <w:rPr>
          <w:iCs/>
        </w:rPr>
      </w:pPr>
      <w:r w:rsidRPr="002A512D">
        <w:rPr>
          <w:iCs/>
        </w:rPr>
        <w:tab/>
        <w:t xml:space="preserve">„(2) Zdravotnícke pomôcky a diagnostické zdravotnícke pomôcky in vitro uvedené na trh v Slovenskej republike, ktorých posudzovanie zhody bolo vykonané </w:t>
      </w:r>
      <w:r w:rsidRPr="002A512D">
        <w:rPr>
          <w:iCs/>
        </w:rPr>
        <w:lastRenderedPageBreak/>
        <w:t>notifikovanou osobou na území Spojeného kráľovstva pred vystúpením Spojeného kráľovstva z Európskej únie a sú označené značkou zhody CE podľa osobitného predpisu,</w:t>
      </w:r>
      <w:r w:rsidRPr="002A512D">
        <w:rPr>
          <w:iCs/>
          <w:vertAlign w:val="superscript"/>
        </w:rPr>
        <w:t>98</w:t>
      </w:r>
      <w:r w:rsidRPr="002A512D">
        <w:rPr>
          <w:iCs/>
        </w:rPr>
        <w:t>) sa považujú za zdravotnícke pomôcky a diagnostické zdravotnícke pomôcky in vitro, ktoré splnili požiadavky na uvedenie na trh v Slovenskej republike až do uplynutia platnosti certifikátu vydaného notifikovanou osobou na území Spojeného kráľovstva.</w:t>
      </w:r>
    </w:p>
    <w:p w:rsidR="002A512D" w:rsidRPr="002A512D" w:rsidRDefault="002A512D" w:rsidP="002A512D">
      <w:pPr>
        <w:pStyle w:val="gmail-msolistparagraph"/>
        <w:tabs>
          <w:tab w:val="left" w:pos="1276"/>
        </w:tabs>
        <w:spacing w:before="0" w:beforeAutospacing="0" w:after="0" w:afterAutospacing="0"/>
        <w:ind w:left="357"/>
        <w:jc w:val="both"/>
        <w:rPr>
          <w:iCs/>
        </w:rPr>
      </w:pPr>
    </w:p>
    <w:p w:rsidR="002A512D" w:rsidRPr="002A512D" w:rsidRDefault="002A512D" w:rsidP="002A512D">
      <w:pPr>
        <w:pStyle w:val="gmail-msolistparagraph"/>
        <w:tabs>
          <w:tab w:val="left" w:pos="1276"/>
        </w:tabs>
        <w:spacing w:before="0" w:beforeAutospacing="0" w:after="0" w:afterAutospacing="0"/>
        <w:ind w:left="360" w:firstLine="348"/>
        <w:jc w:val="both"/>
        <w:rPr>
          <w:iCs/>
        </w:rPr>
      </w:pPr>
      <w:r w:rsidRPr="002A512D">
        <w:rPr>
          <w:iCs/>
        </w:rPr>
        <w:t>(3)</w:t>
      </w:r>
      <w:r w:rsidRPr="002A512D">
        <w:rPr>
          <w:iCs/>
        </w:rPr>
        <w:tab/>
        <w:t>Účinná látka dovezená zo Spojeného kráľovstva po vystúpení Spojeného kráľovstva z Európskej únie sa považuje za účinnú látku dovezenú z členského štátu do 31. decembra 2020.“.</w:t>
      </w:r>
    </w:p>
    <w:p w:rsidR="002A512D" w:rsidRPr="002A512D" w:rsidRDefault="002A512D" w:rsidP="002A512D">
      <w:pPr>
        <w:pStyle w:val="gmail-msolistparagraph"/>
        <w:tabs>
          <w:tab w:val="left" w:pos="1276"/>
        </w:tabs>
        <w:spacing w:before="0" w:beforeAutospacing="0" w:after="0" w:afterAutospacing="0"/>
        <w:ind w:left="360" w:firstLine="348"/>
        <w:jc w:val="both"/>
        <w:rPr>
          <w:iCs/>
        </w:rPr>
      </w:pPr>
    </w:p>
    <w:p w:rsidR="002A512D" w:rsidRPr="002A512D" w:rsidRDefault="002A512D" w:rsidP="002A512D">
      <w:pPr>
        <w:pStyle w:val="gmail-msolistparagraph"/>
        <w:tabs>
          <w:tab w:val="left" w:pos="1276"/>
        </w:tabs>
        <w:spacing w:before="0" w:beforeAutospacing="0" w:after="0" w:afterAutospacing="0"/>
        <w:ind w:left="426"/>
        <w:jc w:val="both"/>
        <w:rPr>
          <w:iCs/>
        </w:rPr>
      </w:pPr>
      <w:r w:rsidRPr="002A512D">
        <w:rPr>
          <w:iCs/>
        </w:rPr>
        <w:t xml:space="preserve">Poznámka pod čiarou k odkazu 98 znie: </w:t>
      </w:r>
    </w:p>
    <w:p w:rsidR="002A512D" w:rsidRPr="002A512D" w:rsidRDefault="002A512D" w:rsidP="002A512D">
      <w:pPr>
        <w:pStyle w:val="gmail-msolistparagraph"/>
        <w:tabs>
          <w:tab w:val="left" w:pos="1276"/>
        </w:tabs>
        <w:spacing w:before="0" w:beforeAutospacing="0" w:after="0" w:afterAutospacing="0"/>
        <w:ind w:left="851" w:hanging="425"/>
        <w:jc w:val="both"/>
        <w:rPr>
          <w:iCs/>
        </w:rPr>
      </w:pPr>
      <w:r w:rsidRPr="002A512D">
        <w:rPr>
          <w:iCs/>
        </w:rPr>
        <w:t>„</w:t>
      </w:r>
      <w:r w:rsidRPr="002A512D">
        <w:rPr>
          <w:iCs/>
          <w:vertAlign w:val="superscript"/>
        </w:rPr>
        <w:t>98</w:t>
      </w:r>
      <w:r w:rsidRPr="002A512D">
        <w:rPr>
          <w:iCs/>
        </w:rPr>
        <w:t>) § 25 zákona č. 56/2018 Z. z. o posudzovaní zhody výrobku, sprístupňovaní určeného výrobku na trhu a o zmene a doplnení niektorých zákonov.“.</w:t>
      </w:r>
    </w:p>
    <w:p w:rsidR="002A512D" w:rsidRPr="002A512D" w:rsidRDefault="002A512D" w:rsidP="002A512D">
      <w:pPr>
        <w:pStyle w:val="gmail-msolistparagraph"/>
        <w:tabs>
          <w:tab w:val="left" w:pos="1276"/>
        </w:tabs>
        <w:spacing w:before="0" w:beforeAutospacing="0" w:after="0" w:afterAutospacing="0"/>
        <w:ind w:left="426"/>
        <w:jc w:val="both"/>
        <w:rPr>
          <w:iCs/>
        </w:rPr>
      </w:pPr>
    </w:p>
    <w:p w:rsidR="002A512D" w:rsidRPr="002A512D" w:rsidRDefault="002A512D" w:rsidP="002A512D">
      <w:pPr>
        <w:pStyle w:val="gmail-msolistparagraph"/>
        <w:tabs>
          <w:tab w:val="left" w:pos="1276"/>
        </w:tabs>
        <w:spacing w:before="0" w:beforeAutospacing="0" w:after="0" w:afterAutospacing="0"/>
        <w:ind w:left="360"/>
        <w:jc w:val="both"/>
        <w:rPr>
          <w:iCs/>
        </w:rPr>
      </w:pPr>
      <w:r w:rsidRPr="002A512D">
        <w:rPr>
          <w:iCs/>
        </w:rPr>
        <w:t xml:space="preserve">V nadväznosti na doplnenie nových odsekov sa v nadpise pod § 143g slová „Prechodné ustanovenie“ nahrádzajú slovami „Prechodné ustanovenia“.  </w:t>
      </w:r>
    </w:p>
    <w:p w:rsidR="002A512D" w:rsidRPr="002A512D" w:rsidRDefault="002A512D" w:rsidP="002A512D">
      <w:pPr>
        <w:jc w:val="both"/>
      </w:pPr>
    </w:p>
    <w:p w:rsidR="002A512D" w:rsidRPr="002A512D" w:rsidRDefault="002A512D" w:rsidP="002A512D">
      <w:pPr>
        <w:pStyle w:val="gmail-msolistparagraph"/>
        <w:spacing w:before="0" w:beforeAutospacing="0" w:after="0" w:afterAutospacing="0"/>
        <w:ind w:left="4253"/>
        <w:jc w:val="both"/>
        <w:rPr>
          <w:rStyle w:val="Zvraznenie"/>
          <w:i w:val="0"/>
          <w:iCs w:val="0"/>
        </w:rPr>
      </w:pPr>
      <w:r w:rsidRPr="002A512D">
        <w:rPr>
          <w:rStyle w:val="Zvraznenie"/>
          <w:i w:val="0"/>
          <w:iCs w:val="0"/>
        </w:rPr>
        <w:t>Zdravotnícke pomôcky a diagnostické zdravotnícke pomôcky in vitro uvedené na trh Slovenskej republiky ako aj účinná látka dovezená zo Spojeného kráľovstva sú považované za zdravotnícke pomôcky a diagnostické zdravotnícke pomôcky in vitro a účinné látky dovezené z členského štátu z dôvodu zachovania kontinuity diagnostických výkonov. Cieľom je zabrániť nedostatku zdravotníckych pomôcok a diagnostických zdravotníckych pomôcok in vitro, ktorých posudzovanie zhody bolo vykonané notifikovanou osobou na území Spojeného kráľovstva pred vystúpením Spojeného kráľovstva z Európskej únie.  Tieto výrobky budú v Slovenskej republike považované za výrobky spĺňajúce požiadavky Európskej únie aj po vystúpení Spojeného kráľovstva z Európskej únie.</w:t>
      </w:r>
    </w:p>
    <w:p w:rsidR="002A512D" w:rsidRPr="002A512D" w:rsidRDefault="002A512D" w:rsidP="002A512D">
      <w:pPr>
        <w:pStyle w:val="gmail-msolistparagraph"/>
        <w:spacing w:before="0" w:beforeAutospacing="0" w:after="0" w:afterAutospacing="0"/>
        <w:jc w:val="both"/>
        <w:rPr>
          <w:rStyle w:val="Zvraznenie"/>
          <w:i w:val="0"/>
          <w:iCs w:val="0"/>
        </w:rPr>
      </w:pPr>
    </w:p>
    <w:p w:rsidR="002A512D" w:rsidRPr="002A512D" w:rsidRDefault="002A512D" w:rsidP="002A512D">
      <w:pPr>
        <w:pStyle w:val="gmail-msolistparagraph"/>
        <w:numPr>
          <w:ilvl w:val="0"/>
          <w:numId w:val="31"/>
        </w:numPr>
        <w:spacing w:before="0" w:beforeAutospacing="0" w:after="0" w:afterAutospacing="0"/>
        <w:ind w:left="284" w:hanging="284"/>
        <w:jc w:val="both"/>
        <w:rPr>
          <w:iCs/>
        </w:rPr>
      </w:pPr>
      <w:r w:rsidRPr="002A512D">
        <w:rPr>
          <w:iCs/>
        </w:rPr>
        <w:t>Za čl. XIII sa vkladá nový čl. XIV, ktorý znie:</w:t>
      </w:r>
    </w:p>
    <w:p w:rsidR="002A512D" w:rsidRPr="002A512D" w:rsidRDefault="002A512D" w:rsidP="002A512D">
      <w:pPr>
        <w:pStyle w:val="gmail-msolistparagraph"/>
        <w:spacing w:before="0" w:beforeAutospacing="0" w:after="0" w:afterAutospacing="0"/>
        <w:ind w:left="357" w:firstLine="69"/>
        <w:jc w:val="center"/>
        <w:rPr>
          <w:iCs/>
        </w:rPr>
      </w:pPr>
    </w:p>
    <w:p w:rsidR="002A512D" w:rsidRPr="002A512D" w:rsidRDefault="002A512D" w:rsidP="002A512D">
      <w:pPr>
        <w:pStyle w:val="gmail-msolistparagraph"/>
        <w:spacing w:before="0" w:beforeAutospacing="0" w:after="0" w:afterAutospacing="0"/>
        <w:jc w:val="center"/>
        <w:rPr>
          <w:b/>
          <w:iCs/>
        </w:rPr>
      </w:pPr>
      <w:r w:rsidRPr="002A512D">
        <w:rPr>
          <w:iCs/>
        </w:rPr>
        <w:t>„</w:t>
      </w:r>
      <w:r w:rsidRPr="002A512D">
        <w:rPr>
          <w:b/>
          <w:iCs/>
        </w:rPr>
        <w:t>Čl. XIV</w:t>
      </w:r>
    </w:p>
    <w:p w:rsidR="002A512D" w:rsidRPr="002A512D" w:rsidRDefault="002A512D" w:rsidP="002A512D">
      <w:pPr>
        <w:pStyle w:val="gmail-msolistparagraph"/>
        <w:spacing w:before="0" w:beforeAutospacing="0" w:after="0" w:afterAutospacing="0"/>
        <w:ind w:left="357" w:firstLine="69"/>
        <w:jc w:val="center"/>
        <w:rPr>
          <w:b/>
          <w:iCs/>
        </w:rPr>
      </w:pPr>
    </w:p>
    <w:p w:rsidR="002A512D" w:rsidRPr="002A512D" w:rsidRDefault="002A512D" w:rsidP="002A512D">
      <w:pPr>
        <w:pStyle w:val="gmail-msolistparagraph"/>
        <w:spacing w:before="0" w:beforeAutospacing="0" w:after="0" w:afterAutospacing="0"/>
        <w:ind w:left="284"/>
        <w:jc w:val="both"/>
        <w:rPr>
          <w:iCs/>
        </w:rPr>
      </w:pPr>
      <w:r w:rsidRPr="002A512D">
        <w:rPr>
          <w:iCs/>
        </w:rPr>
        <w:t>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a zákona č. 374/2018 Z. z. sa dopĺňa takto:</w:t>
      </w:r>
    </w:p>
    <w:p w:rsidR="002A512D" w:rsidRPr="002A512D" w:rsidRDefault="002A512D" w:rsidP="002A512D">
      <w:pPr>
        <w:pStyle w:val="gmail-msolistparagraph"/>
        <w:spacing w:before="0" w:beforeAutospacing="0" w:after="0" w:afterAutospacing="0"/>
        <w:ind w:left="360"/>
        <w:jc w:val="both"/>
        <w:rPr>
          <w:iCs/>
        </w:rPr>
      </w:pPr>
    </w:p>
    <w:p w:rsidR="002A512D" w:rsidRPr="002A512D" w:rsidRDefault="002A512D" w:rsidP="002A512D">
      <w:pPr>
        <w:pStyle w:val="gmail-msolistparagraph"/>
        <w:spacing w:before="0" w:beforeAutospacing="0" w:after="0" w:afterAutospacing="0"/>
        <w:ind w:left="284"/>
        <w:jc w:val="both"/>
        <w:rPr>
          <w:iCs/>
        </w:rPr>
      </w:pPr>
      <w:r w:rsidRPr="002A512D">
        <w:rPr>
          <w:iCs/>
        </w:rPr>
        <w:t>Za § 98c sa vkladá § 98d, ktorý vrátane nadpisu znie:</w:t>
      </w:r>
    </w:p>
    <w:p w:rsidR="002A512D" w:rsidRPr="002A512D" w:rsidRDefault="002A512D" w:rsidP="002A512D">
      <w:pPr>
        <w:pStyle w:val="gmail-msolistparagraph"/>
        <w:spacing w:before="0" w:beforeAutospacing="0" w:after="0" w:afterAutospacing="0"/>
        <w:ind w:left="357"/>
        <w:jc w:val="center"/>
        <w:rPr>
          <w:iCs/>
        </w:rPr>
      </w:pPr>
    </w:p>
    <w:p w:rsidR="002A512D" w:rsidRPr="002A512D" w:rsidRDefault="002A512D" w:rsidP="002A512D">
      <w:pPr>
        <w:pStyle w:val="gmail-msolistparagraph"/>
        <w:spacing w:before="0" w:beforeAutospacing="0" w:after="0" w:afterAutospacing="0"/>
        <w:ind w:left="357"/>
        <w:jc w:val="center"/>
        <w:rPr>
          <w:iCs/>
        </w:rPr>
      </w:pPr>
      <w:r w:rsidRPr="002A512D">
        <w:rPr>
          <w:iCs/>
        </w:rPr>
        <w:lastRenderedPageBreak/>
        <w:t>„§ 98d</w:t>
      </w:r>
    </w:p>
    <w:p w:rsidR="002A512D" w:rsidRPr="002A512D" w:rsidRDefault="002A512D" w:rsidP="002A512D">
      <w:pPr>
        <w:pStyle w:val="gmail-msolistparagraph"/>
        <w:spacing w:before="0" w:beforeAutospacing="0" w:after="0" w:afterAutospacing="0"/>
        <w:ind w:left="357"/>
        <w:jc w:val="center"/>
        <w:rPr>
          <w:iCs/>
        </w:rPr>
      </w:pPr>
      <w:r w:rsidRPr="002A512D">
        <w:rPr>
          <w:iCs/>
        </w:rPr>
        <w:t>Prechodné ustanovenia účinné po vystúpení</w:t>
      </w:r>
    </w:p>
    <w:p w:rsidR="002A512D" w:rsidRPr="002A512D" w:rsidRDefault="002A512D" w:rsidP="002A512D">
      <w:pPr>
        <w:pStyle w:val="gmail-msolistparagraph"/>
        <w:spacing w:before="0" w:beforeAutospacing="0" w:after="0" w:afterAutospacing="0"/>
        <w:ind w:left="357"/>
        <w:jc w:val="center"/>
        <w:rPr>
          <w:iCs/>
        </w:rPr>
      </w:pPr>
      <w:r w:rsidRPr="002A512D">
        <w:rPr>
          <w:iCs/>
        </w:rPr>
        <w:t>Spojeného kráľovstva Veľkej Británie a Severného Írska z Európskej únie</w:t>
      </w:r>
    </w:p>
    <w:p w:rsidR="002A512D" w:rsidRPr="002A512D" w:rsidRDefault="002A512D" w:rsidP="002A512D">
      <w:pPr>
        <w:pStyle w:val="gmail-msolistparagraph"/>
        <w:spacing w:before="0" w:beforeAutospacing="0" w:after="0" w:afterAutospacing="0"/>
        <w:ind w:left="357"/>
        <w:jc w:val="center"/>
        <w:rPr>
          <w:iCs/>
        </w:rPr>
      </w:pPr>
    </w:p>
    <w:p w:rsidR="002A512D" w:rsidRPr="002A512D" w:rsidRDefault="002A512D" w:rsidP="002A512D">
      <w:pPr>
        <w:pStyle w:val="gmail-msolistparagraph"/>
        <w:tabs>
          <w:tab w:val="left" w:pos="1134"/>
        </w:tabs>
        <w:spacing w:before="0" w:beforeAutospacing="0" w:after="0" w:afterAutospacing="0"/>
        <w:ind w:left="357" w:firstLine="346"/>
        <w:jc w:val="both"/>
        <w:rPr>
          <w:iCs/>
        </w:rPr>
      </w:pPr>
      <w:r w:rsidRPr="002A512D">
        <w:rPr>
          <w:iCs/>
        </w:rPr>
        <w:t>(1)</w:t>
      </w:r>
      <w:r w:rsidRPr="002A512D">
        <w:rPr>
          <w:iCs/>
        </w:rPr>
        <w:tab/>
        <w:t>Európska referenčná cena lieku, pri určení kt</w:t>
      </w:r>
      <w:r w:rsidR="003D45B6">
        <w:rPr>
          <w:iCs/>
        </w:rPr>
        <w:t xml:space="preserve">orej bola započítaná cena lieku </w:t>
      </w:r>
      <w:r w:rsidRPr="002A512D">
        <w:rPr>
          <w:iCs/>
        </w:rPr>
        <w:t xml:space="preserve">v </w:t>
      </w:r>
      <w:r w:rsidR="003D45B6">
        <w:rPr>
          <w:iCs/>
        </w:rPr>
        <w:t> </w:t>
      </w:r>
      <w:r w:rsidRPr="002A512D">
        <w:rPr>
          <w:iCs/>
        </w:rPr>
        <w:t>Spojenom kráľovstve Veľkej Británie a Severného Írska (ďalej len „Spojené kráľovstvo“) pred vystúpením Spojeného kráľovstva z Európskej únie zostáva zachovaná do 31. decembra 2020, ak je započítaná cena lieku v Spojenom kráľovstve pred vystúpením Spojeného kráľovstva z Európskej únie nižšia ako cena tretieho najlacnejšieho lieku v členskom štáte.</w:t>
      </w:r>
    </w:p>
    <w:p w:rsidR="002A512D" w:rsidRPr="002A512D" w:rsidRDefault="002A512D" w:rsidP="002A512D">
      <w:pPr>
        <w:pStyle w:val="gmail-msolistparagraph"/>
        <w:tabs>
          <w:tab w:val="left" w:pos="1134"/>
        </w:tabs>
        <w:spacing w:after="0"/>
        <w:ind w:left="360" w:firstLine="348"/>
        <w:jc w:val="both"/>
        <w:rPr>
          <w:iCs/>
        </w:rPr>
      </w:pPr>
      <w:r w:rsidRPr="002A512D">
        <w:rPr>
          <w:iCs/>
        </w:rPr>
        <w:t>(2)</w:t>
      </w:r>
      <w:r w:rsidRPr="002A512D">
        <w:rPr>
          <w:iCs/>
        </w:rPr>
        <w:tab/>
        <w:t>Európska referenčná cena zdravotníckej pomôcky, pri určení ktorej bola započítaná cena zdravotníckej pomôcky v Spojenom kráľovstve pred vystúpením Spojeného kráľovstva z Európskej únie zostáva zachovaná do 31. decembra 2020, ak je započítaná cena zdravotníckej pomôcky v Spojenom kráľovstve pred vystúpením Spojeného kráľovstva z Európskej únie nižšia ako cena tretej najlacnejšej zdravotníckej pomôcky v členskom štáte.</w:t>
      </w:r>
    </w:p>
    <w:p w:rsidR="002A512D" w:rsidRPr="002A512D" w:rsidRDefault="002A512D" w:rsidP="002A512D">
      <w:pPr>
        <w:pStyle w:val="gmail-msolistparagraph"/>
        <w:tabs>
          <w:tab w:val="left" w:pos="1134"/>
        </w:tabs>
        <w:spacing w:before="0" w:beforeAutospacing="0" w:after="0" w:afterAutospacing="0"/>
        <w:ind w:left="357" w:firstLine="346"/>
        <w:jc w:val="both"/>
        <w:rPr>
          <w:iCs/>
        </w:rPr>
      </w:pPr>
      <w:r w:rsidRPr="002A512D">
        <w:rPr>
          <w:iCs/>
        </w:rPr>
        <w:t>(3)</w:t>
      </w:r>
      <w:r w:rsidRPr="002A512D">
        <w:rPr>
          <w:iCs/>
        </w:rPr>
        <w:tab/>
        <w:t>Európska referenčná cena dietetickej potraviny, pri určení ktorej bola započítaná cena dietetickej potraviny  v Spojenom kráľovstve pred vystúpením Spojeného kráľovstva z Európskej únie zostáva zachovaná do 31. decembra 2020, ak je započítaná cena dietetickej potraviny v Spojenom kráľovstve pred vystúpením Spojeného kráľovstva z Európskej únie nižšia ako cena tretej najlacnejšej dietetickej potraviny v členskom štáte.“.</w:t>
      </w:r>
    </w:p>
    <w:p w:rsidR="002A512D" w:rsidRPr="002A512D" w:rsidRDefault="002A512D" w:rsidP="002A512D">
      <w:pPr>
        <w:pStyle w:val="gmail-msolistparagraph"/>
        <w:spacing w:before="0" w:beforeAutospacing="0" w:after="0" w:afterAutospacing="0"/>
        <w:ind w:left="357"/>
        <w:jc w:val="both"/>
        <w:rPr>
          <w:iCs/>
        </w:rPr>
      </w:pPr>
    </w:p>
    <w:p w:rsidR="002A512D" w:rsidRPr="002A512D" w:rsidRDefault="002A512D" w:rsidP="002A512D">
      <w:pPr>
        <w:pStyle w:val="gmail-msolistparagraph"/>
        <w:spacing w:before="0" w:beforeAutospacing="0" w:after="0" w:afterAutospacing="0"/>
        <w:ind w:left="357"/>
        <w:jc w:val="both"/>
        <w:rPr>
          <w:iCs/>
        </w:rPr>
      </w:pPr>
      <w:r w:rsidRPr="002A512D">
        <w:rPr>
          <w:iCs/>
        </w:rPr>
        <w:t>Nasledujúce články sa primerane prečíslujú.</w:t>
      </w:r>
    </w:p>
    <w:p w:rsidR="002A512D" w:rsidRPr="002A512D" w:rsidRDefault="002A512D" w:rsidP="002A512D">
      <w:pPr>
        <w:pStyle w:val="gmail-msolistparagraph"/>
        <w:spacing w:before="0" w:beforeAutospacing="0" w:after="0" w:afterAutospacing="0"/>
        <w:ind w:left="4253"/>
        <w:jc w:val="both"/>
        <w:rPr>
          <w:b/>
        </w:rPr>
      </w:pPr>
    </w:p>
    <w:p w:rsidR="002A512D" w:rsidRPr="002A512D" w:rsidRDefault="002A512D" w:rsidP="002A512D">
      <w:pPr>
        <w:pStyle w:val="gmail-msolistparagraph"/>
        <w:spacing w:before="0" w:beforeAutospacing="0" w:after="0" w:afterAutospacing="0"/>
        <w:ind w:left="4253"/>
        <w:jc w:val="both"/>
      </w:pPr>
      <w:r w:rsidRPr="002A512D">
        <w:rPr>
          <w:rStyle w:val="Zvraznenie"/>
          <w:i w:val="0"/>
          <w:iCs w:val="0"/>
        </w:rPr>
        <w:t>Európske referenčné ceny liekov, zdravotníckych pomôcok a dietetických potravín v Spojenom kráľovstve musia byť zachované do 31. decembra 2020 z dôvodu vykonateľnosti</w:t>
      </w:r>
      <w:r>
        <w:rPr>
          <w:rStyle w:val="Zvraznenie"/>
          <w:i w:val="0"/>
          <w:iCs w:val="0"/>
        </w:rPr>
        <w:t xml:space="preserve"> </w:t>
      </w:r>
      <w:r w:rsidRPr="002A512D">
        <w:rPr>
          <w:rStyle w:val="Zvraznenie"/>
          <w:i w:val="0"/>
          <w:iCs w:val="0"/>
        </w:rPr>
        <w:t>medzinárodného</w:t>
      </w:r>
      <w:r w:rsidR="00596F8C">
        <w:rPr>
          <w:rStyle w:val="Zvraznenie"/>
          <w:i w:val="0"/>
          <w:iCs w:val="0"/>
        </w:rPr>
        <w:t xml:space="preserve"> referen-</w:t>
      </w:r>
      <w:r w:rsidRPr="002A512D">
        <w:rPr>
          <w:rStyle w:val="Zvraznenie"/>
          <w:i w:val="0"/>
          <w:iCs w:val="0"/>
        </w:rPr>
        <w:t xml:space="preserve"> covania</w:t>
      </w:r>
      <w:r w:rsidR="00596F8C">
        <w:rPr>
          <w:rStyle w:val="Zvraznenie"/>
          <w:i w:val="0"/>
          <w:iCs w:val="0"/>
        </w:rPr>
        <w:t xml:space="preserve"> </w:t>
      </w:r>
      <w:r w:rsidR="003D45B6">
        <w:rPr>
          <w:rStyle w:val="Zvraznenie"/>
          <w:i w:val="0"/>
          <w:iCs w:val="0"/>
        </w:rPr>
        <w:t xml:space="preserve">v rámci zákona 363/2011 Z. z </w:t>
      </w:r>
      <w:r w:rsidRPr="002A512D">
        <w:rPr>
          <w:rStyle w:val="Zvraznenie"/>
          <w:i w:val="0"/>
          <w:iCs w:val="0"/>
        </w:rPr>
        <w:t xml:space="preserve">o </w:t>
      </w:r>
      <w:r w:rsidR="003D45B6">
        <w:rPr>
          <w:rStyle w:val="Zvraznenie"/>
          <w:i w:val="0"/>
          <w:iCs w:val="0"/>
        </w:rPr>
        <w:t> </w:t>
      </w:r>
      <w:r w:rsidRPr="002A512D">
        <w:rPr>
          <w:rStyle w:val="Zvraznenie"/>
          <w:i w:val="0"/>
          <w:iCs w:val="0"/>
        </w:rPr>
        <w:t>rozsahu a podmienkach úhrady</w:t>
      </w:r>
      <w:r w:rsidR="003D45B6">
        <w:rPr>
          <w:rStyle w:val="Zvraznenie"/>
          <w:i w:val="0"/>
          <w:iCs w:val="0"/>
        </w:rPr>
        <w:t xml:space="preserve"> liekov </w:t>
      </w:r>
      <w:r w:rsidRPr="002A512D">
        <w:rPr>
          <w:rStyle w:val="Zvraznenie"/>
          <w:i w:val="0"/>
          <w:iCs w:val="0"/>
        </w:rPr>
        <w:t xml:space="preserve">a </w:t>
      </w:r>
      <w:r w:rsidR="003D45B6">
        <w:rPr>
          <w:rStyle w:val="Zvraznenie"/>
          <w:i w:val="0"/>
          <w:iCs w:val="0"/>
        </w:rPr>
        <w:t> </w:t>
      </w:r>
      <w:r w:rsidRPr="002A512D">
        <w:rPr>
          <w:rStyle w:val="Zvraznenie"/>
          <w:i w:val="0"/>
          <w:iCs w:val="0"/>
        </w:rPr>
        <w:t>zdravotníckych pomôcok</w:t>
      </w:r>
      <w:r w:rsidRPr="002A512D">
        <w:t>. Cieľom je zabrániť prepočítavaniu európskej referenčnej ceny lieku zaradeného v zozname kategorizovaných liekov, zdravotníckej pomôcky, ak je zaradená do zoznamu kategorizovaných zdravotníckych pomôcok a dietetickej potraviny, ak je zaradená do zoznamu kategorizovaných dietetických potravín po</w:t>
      </w:r>
      <w:r w:rsidR="003D45B6">
        <w:t xml:space="preserve"> vystúpení Spojeného kráľovstva </w:t>
      </w:r>
      <w:r w:rsidRPr="002A512D">
        <w:t xml:space="preserve">z </w:t>
      </w:r>
      <w:r w:rsidR="003D45B6">
        <w:t> </w:t>
      </w:r>
      <w:r w:rsidRPr="002A512D">
        <w:t>Európskej únie, ak cena lieku, zdravotníckej pomôcky alebo dietetickej potraviny v Spojenom kráľovstve pred vystúpením z Európskej únie bola nižšia ako cena tretej naj</w:t>
      </w:r>
      <w:r w:rsidR="003D45B6">
        <w:t xml:space="preserve">lacnejšej dietetickej potraviny </w:t>
      </w:r>
      <w:r w:rsidRPr="002A512D">
        <w:t xml:space="preserve">v </w:t>
      </w:r>
      <w:r w:rsidR="003D45B6">
        <w:t> </w:t>
      </w:r>
      <w:r w:rsidRPr="002A512D">
        <w:t xml:space="preserve">členskom štáte Európskej únie po vystúpení Spojeného kráľovstva  z Európskej únie. </w:t>
      </w:r>
      <w:r w:rsidRPr="002A512D">
        <w:lastRenderedPageBreak/>
        <w:t>Týmto opatrením sa zabezpečí, že sa nezvýšia výdavky zdravotných poisťovní ani doplatky pacientov oproti súčasnému stavu.</w:t>
      </w:r>
    </w:p>
    <w:p w:rsidR="002A512D" w:rsidRPr="002A512D" w:rsidRDefault="002A512D" w:rsidP="002A512D">
      <w:pPr>
        <w:jc w:val="both"/>
      </w:pPr>
    </w:p>
    <w:p w:rsidR="002A512D" w:rsidRPr="002A512D" w:rsidRDefault="002A512D" w:rsidP="002A512D">
      <w:pPr>
        <w:pStyle w:val="Odsekzoznamu"/>
        <w:numPr>
          <w:ilvl w:val="0"/>
          <w:numId w:val="31"/>
        </w:numPr>
        <w:tabs>
          <w:tab w:val="left" w:pos="426"/>
        </w:tabs>
        <w:ind w:left="426" w:right="57" w:hanging="426"/>
        <w:jc w:val="both"/>
        <w:rPr>
          <w:color w:val="000000"/>
        </w:rPr>
      </w:pPr>
      <w:r w:rsidRPr="002A512D">
        <w:t>V čl. XIV v § 131h ods. 2 sa vypúšťajú slová „Veľkej Británie a Severného Írska (ďalej len „Spojené kráľovstvo“)“, v</w:t>
      </w:r>
      <w:r w:rsidRPr="002A512D">
        <w:rPr>
          <w:color w:val="000000"/>
        </w:rPr>
        <w:t xml:space="preserve"> ods. 3 a 4  sa slová „pred vystúpením“ nahrádzajú slovami „k vystúpeniu“, v </w:t>
      </w:r>
      <w:r w:rsidRPr="002A512D">
        <w:t>ods. 4 sa za slová „rodinnému príslušníkovi“ vkladajú slová „podľa     § 2 ods. 5“ a v ods. 6 sa za slová „rodinný príslušník“ vkladajú slová „podľa § 2 ods. 5“.</w:t>
      </w:r>
    </w:p>
    <w:p w:rsidR="002A512D" w:rsidRPr="002A512D" w:rsidRDefault="002A512D" w:rsidP="002A512D">
      <w:pPr>
        <w:ind w:left="4248"/>
        <w:jc w:val="both"/>
      </w:pPr>
      <w:r w:rsidRPr="002A512D">
        <w:t>Legislatívno-technická úprava používania zavedenej legislatívnej skratky v súlade s bodom 8 prílohy č. 2 k Legislatívnym pravidlám tvorby zákonov a precizovanie znenia normatívneho textu návrhu prechodného ustanovenia § 131h.</w:t>
      </w:r>
    </w:p>
    <w:p w:rsidR="002A512D" w:rsidRPr="002A512D" w:rsidRDefault="002A512D" w:rsidP="002A512D">
      <w:pPr>
        <w:tabs>
          <w:tab w:val="left" w:pos="426"/>
        </w:tabs>
        <w:ind w:right="57"/>
        <w:jc w:val="both"/>
        <w:rPr>
          <w:color w:val="000000"/>
        </w:rPr>
      </w:pPr>
    </w:p>
    <w:p w:rsidR="002A512D" w:rsidRPr="002A512D" w:rsidRDefault="002A512D" w:rsidP="002A512D">
      <w:pPr>
        <w:pStyle w:val="Odsekzoznamu"/>
        <w:numPr>
          <w:ilvl w:val="0"/>
          <w:numId w:val="31"/>
        </w:numPr>
        <w:ind w:left="426" w:hanging="426"/>
        <w:jc w:val="both"/>
      </w:pPr>
      <w:r w:rsidRPr="002A512D">
        <w:t>V čl. XVI v úvodnej vete novelizačného bodu sa označenie „§ 56d“ nahrádza označením „§ 56e“, označenie „§ 56e“ sa nahrádza označením „§ 56f“ a označenie prechodného ustanovenia „§ 56d“ sa nahrádza označením „§ 56f“.</w:t>
      </w:r>
    </w:p>
    <w:p w:rsidR="002A512D" w:rsidRPr="002A512D" w:rsidRDefault="002A512D" w:rsidP="002A512D">
      <w:pPr>
        <w:jc w:val="both"/>
      </w:pPr>
    </w:p>
    <w:p w:rsidR="002A512D" w:rsidRPr="002A512D" w:rsidRDefault="002A512D" w:rsidP="002A512D">
      <w:pPr>
        <w:ind w:left="4248"/>
        <w:jc w:val="both"/>
      </w:pPr>
      <w:r w:rsidRPr="002A512D">
        <w:t>Legislatívno-technická úprava označenia prechodného ustanovenia vzhľadom na skôr prijaté novely.</w:t>
      </w:r>
    </w:p>
    <w:p w:rsidR="002A512D" w:rsidRPr="002A512D" w:rsidRDefault="002A512D" w:rsidP="002A512D">
      <w:pPr>
        <w:jc w:val="both"/>
      </w:pPr>
    </w:p>
    <w:p w:rsidR="002A512D" w:rsidRPr="002A512D" w:rsidRDefault="002A512D" w:rsidP="002A512D">
      <w:pPr>
        <w:pStyle w:val="Odsekzoznamu"/>
        <w:numPr>
          <w:ilvl w:val="0"/>
          <w:numId w:val="31"/>
        </w:numPr>
        <w:ind w:left="426" w:hanging="426"/>
        <w:jc w:val="both"/>
      </w:pPr>
      <w:r w:rsidRPr="002A512D">
        <w:t>V čl. XVII v druhom bode v poznámke pod čiarou k odkazu 17 sa za slová „nariadenia vlády“ vkladajú slová „Slovenskej republiky“ a vypúšťajú sa slová „o odbornej spôsobilosti na výkon zdravotníckeho povolania, spôsobe ďalšieho vzdelávania zdravotníckych pracovníkov, sústave špecializačných odborov a sústave certifikovaných pracovných činností“.</w:t>
      </w:r>
    </w:p>
    <w:p w:rsidR="002A512D" w:rsidRPr="002A512D" w:rsidRDefault="002A512D" w:rsidP="002A512D">
      <w:pPr>
        <w:pStyle w:val="Odsekzoznamu"/>
        <w:ind w:left="3552" w:firstLine="696"/>
        <w:jc w:val="both"/>
        <w:rPr>
          <w:b/>
        </w:rPr>
      </w:pPr>
    </w:p>
    <w:p w:rsidR="002A512D" w:rsidRPr="002A512D" w:rsidRDefault="002A512D" w:rsidP="002A512D">
      <w:pPr>
        <w:ind w:left="4248"/>
        <w:jc w:val="both"/>
      </w:pPr>
      <w:r w:rsidRPr="002A512D">
        <w:t>Legislatívno-technická úprava znenia poznámky pod čiarou v súlade s bodom 41 prílohy č. 2 k Legislatívnym pravidlám tvorby zákonov.</w:t>
      </w:r>
    </w:p>
    <w:p w:rsidR="002A512D" w:rsidRPr="002A512D" w:rsidRDefault="002A512D" w:rsidP="002A512D">
      <w:pPr>
        <w:ind w:left="4248"/>
        <w:jc w:val="both"/>
      </w:pPr>
    </w:p>
    <w:p w:rsidR="002A512D" w:rsidRPr="002A512D" w:rsidRDefault="002A512D" w:rsidP="002A512D">
      <w:pPr>
        <w:pStyle w:val="Odsekzoznamu"/>
        <w:numPr>
          <w:ilvl w:val="0"/>
          <w:numId w:val="31"/>
        </w:numPr>
        <w:ind w:left="426" w:hanging="426"/>
        <w:jc w:val="both"/>
      </w:pPr>
      <w:r w:rsidRPr="002A512D">
        <w:t>V čl. XVIII v úvodnej vete novelizačného bodu sa označenie „§ 193a“ nahrádza označením „§ 193b“, označenie „§ 193aa“ sa nahrádza označením „§ 193c“, označenie prechodného ustanovenia „§ 193aa“ sa nahrádza označením „§ 193c“, odkaz na poznámku pod čiarou „63b“ sa nahrádza odkazom „63c“ a rovnaká zmena označenia sa vykoná aj v poznámke pod čiarou a vo vete, ktorou sa táto poznámka zavádza.</w:t>
      </w:r>
    </w:p>
    <w:p w:rsidR="002A512D" w:rsidRPr="002A512D" w:rsidRDefault="002A512D" w:rsidP="002A512D">
      <w:pPr>
        <w:pStyle w:val="Odsekzoznamu"/>
        <w:ind w:left="3552" w:firstLine="696"/>
        <w:jc w:val="both"/>
        <w:rPr>
          <w:b/>
        </w:rPr>
      </w:pPr>
    </w:p>
    <w:p w:rsidR="002A512D" w:rsidRPr="002A512D" w:rsidRDefault="002A512D" w:rsidP="002A512D">
      <w:pPr>
        <w:ind w:left="4248"/>
        <w:jc w:val="both"/>
      </w:pPr>
      <w:r w:rsidRPr="002A512D">
        <w:t>Legislatívno-technická úprava označenia prechodného ustanovenia vzhľadom na skôr prijaté novely a úprava označenia poznámky pod čiarou v súlade s bodom 34 prílohy č. 2 k Legislatívnym pravidlám tvorby zákonov.</w:t>
      </w:r>
    </w:p>
    <w:p w:rsidR="002A512D" w:rsidRPr="002A512D" w:rsidRDefault="002A512D" w:rsidP="002A512D">
      <w:pPr>
        <w:pStyle w:val="Odsekzoznamu"/>
        <w:ind w:left="4248"/>
        <w:jc w:val="both"/>
      </w:pPr>
    </w:p>
    <w:p w:rsidR="002A512D" w:rsidRPr="002A512D" w:rsidRDefault="002A512D" w:rsidP="002A512D">
      <w:pPr>
        <w:jc w:val="both"/>
      </w:pPr>
    </w:p>
    <w:p w:rsidR="002A512D" w:rsidRPr="002A512D" w:rsidRDefault="002A512D" w:rsidP="00D270F8">
      <w:pPr>
        <w:pStyle w:val="Zkladntext"/>
        <w:spacing w:line="360" w:lineRule="auto"/>
      </w:pPr>
    </w:p>
    <w:p w:rsidR="00D270F8" w:rsidRPr="002A512D" w:rsidRDefault="00D270F8" w:rsidP="00C75BA1">
      <w:pPr>
        <w:tabs>
          <w:tab w:val="left" w:pos="1021"/>
        </w:tabs>
        <w:jc w:val="both"/>
      </w:pPr>
    </w:p>
    <w:p w:rsidR="00D270F8" w:rsidRPr="002A512D" w:rsidRDefault="00D270F8" w:rsidP="00C75BA1">
      <w:pPr>
        <w:tabs>
          <w:tab w:val="left" w:pos="1021"/>
        </w:tabs>
        <w:jc w:val="both"/>
      </w:pPr>
    </w:p>
    <w:p w:rsidR="00D270F8" w:rsidRPr="002A512D" w:rsidRDefault="00D270F8" w:rsidP="00C75BA1">
      <w:pPr>
        <w:tabs>
          <w:tab w:val="left" w:pos="1021"/>
        </w:tabs>
        <w:jc w:val="both"/>
      </w:pPr>
    </w:p>
    <w:p w:rsidR="00D270F8" w:rsidRPr="002A512D" w:rsidRDefault="00D270F8" w:rsidP="00C75BA1">
      <w:pPr>
        <w:tabs>
          <w:tab w:val="left" w:pos="1021"/>
        </w:tabs>
        <w:jc w:val="both"/>
      </w:pPr>
    </w:p>
    <w:p w:rsidR="00D270F8" w:rsidRPr="002A512D" w:rsidRDefault="00D270F8" w:rsidP="00C75BA1">
      <w:pPr>
        <w:tabs>
          <w:tab w:val="left" w:pos="1021"/>
        </w:tabs>
        <w:jc w:val="both"/>
      </w:pPr>
    </w:p>
    <w:p w:rsidR="00D270F8" w:rsidRPr="002A512D" w:rsidRDefault="00D270F8" w:rsidP="00C75BA1">
      <w:pPr>
        <w:tabs>
          <w:tab w:val="left" w:pos="1021"/>
        </w:tabs>
        <w:jc w:val="both"/>
      </w:pPr>
    </w:p>
    <w:p w:rsidR="00C75BA1" w:rsidRPr="002A512D" w:rsidRDefault="00C75BA1" w:rsidP="005D291A">
      <w:pPr>
        <w:pStyle w:val="Nadpis2"/>
        <w:ind w:hanging="3649"/>
        <w:jc w:val="left"/>
      </w:pPr>
    </w:p>
    <w:sectPr w:rsidR="00C75BA1" w:rsidRPr="002A512D" w:rsidSect="00E94D4C">
      <w:pgSz w:w="11906" w:h="16838"/>
      <w:pgMar w:top="1417" w:right="1417" w:bottom="1417" w:left="184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72" w:rsidRDefault="007E2B72">
      <w:r>
        <w:separator/>
      </w:r>
    </w:p>
  </w:endnote>
  <w:endnote w:type="continuationSeparator" w:id="0">
    <w:p w:rsidR="007E2B72" w:rsidRDefault="007E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72" w:rsidRDefault="007E2B72">
      <w:r>
        <w:separator/>
      </w:r>
    </w:p>
  </w:footnote>
  <w:footnote w:type="continuationSeparator" w:id="0">
    <w:p w:rsidR="007E2B72" w:rsidRDefault="007E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62E"/>
    <w:multiLevelType w:val="hybridMultilevel"/>
    <w:tmpl w:val="427052E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CBF2D77"/>
    <w:multiLevelType w:val="hybridMultilevel"/>
    <w:tmpl w:val="F350FB76"/>
    <w:lvl w:ilvl="0" w:tplc="041B000F">
      <w:start w:val="1"/>
      <w:numFmt w:val="decimal"/>
      <w:lvlText w:val="%1."/>
      <w:lvlJc w:val="left"/>
      <w:pPr>
        <w:ind w:left="674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9F510D"/>
    <w:multiLevelType w:val="hybridMultilevel"/>
    <w:tmpl w:val="25209132"/>
    <w:lvl w:ilvl="0" w:tplc="041B000F">
      <w:start w:val="1"/>
      <w:numFmt w:val="decimal"/>
      <w:lvlText w:val="%1."/>
      <w:lvlJc w:val="left"/>
      <w:pPr>
        <w:ind w:left="720" w:hanging="360"/>
      </w:pPr>
      <w:rPr>
        <w:rFonts w:cs="Times New Roman" w:hint="default"/>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0710D8"/>
    <w:multiLevelType w:val="hybridMultilevel"/>
    <w:tmpl w:val="579ED99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BB51B47"/>
    <w:multiLevelType w:val="hybridMultilevel"/>
    <w:tmpl w:val="CF7E898A"/>
    <w:lvl w:ilvl="0" w:tplc="16BA2856">
      <w:start w:val="1"/>
      <w:numFmt w:val="decimal"/>
      <w:lvlText w:val="%1."/>
      <w:lvlJc w:val="left"/>
      <w:pPr>
        <w:ind w:left="36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C1923A7"/>
    <w:multiLevelType w:val="hybridMultilevel"/>
    <w:tmpl w:val="B044B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273EF8"/>
    <w:multiLevelType w:val="hybridMultilevel"/>
    <w:tmpl w:val="69684526"/>
    <w:lvl w:ilvl="0" w:tplc="D5F6CAB2">
      <w:start w:val="1"/>
      <w:numFmt w:val="decimal"/>
      <w:lvlText w:val="%1."/>
      <w:lvlJc w:val="left"/>
      <w:pPr>
        <w:ind w:left="36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F0E2043"/>
    <w:multiLevelType w:val="hybridMultilevel"/>
    <w:tmpl w:val="DD4EA45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7E440A"/>
    <w:multiLevelType w:val="hybridMultilevel"/>
    <w:tmpl w:val="77DA6C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3FF1D3A"/>
    <w:multiLevelType w:val="hybridMultilevel"/>
    <w:tmpl w:val="41B420B6"/>
    <w:lvl w:ilvl="0" w:tplc="041B000F">
      <w:start w:val="9"/>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F8007E2"/>
    <w:multiLevelType w:val="hybridMultilevel"/>
    <w:tmpl w:val="82CE9A5A"/>
    <w:lvl w:ilvl="0" w:tplc="285A70FA">
      <w:start w:val="1"/>
      <w:numFmt w:val="decimal"/>
      <w:lvlText w:val="%1."/>
      <w:lvlJc w:val="left"/>
      <w:pPr>
        <w:ind w:left="360" w:hanging="360"/>
      </w:pPr>
      <w:rPr>
        <w:rFonts w:ascii="Times New Roman" w:hAnsi="Times New Roman" w:cs="Times New Roman" w:hint="default"/>
        <w:b w:val="0"/>
        <w:i w:val="0"/>
        <w:sz w:val="24"/>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1" w15:restartNumberingAfterBreak="0">
    <w:nsid w:val="32D54C65"/>
    <w:multiLevelType w:val="hybridMultilevel"/>
    <w:tmpl w:val="3A5E93F8"/>
    <w:lvl w:ilvl="0" w:tplc="3D042056">
      <w:start w:val="1"/>
      <w:numFmt w:val="decimal"/>
      <w:lvlText w:val="%1."/>
      <w:lvlJc w:val="left"/>
      <w:pPr>
        <w:ind w:left="36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94015AC"/>
    <w:multiLevelType w:val="hybridMultilevel"/>
    <w:tmpl w:val="A782A442"/>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B277C6F"/>
    <w:multiLevelType w:val="hybridMultilevel"/>
    <w:tmpl w:val="32E4A2FC"/>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4DBB47D5"/>
    <w:multiLevelType w:val="hybridMultilevel"/>
    <w:tmpl w:val="833C28F4"/>
    <w:lvl w:ilvl="0" w:tplc="9962CB56">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03A7E94"/>
    <w:multiLevelType w:val="hybridMultilevel"/>
    <w:tmpl w:val="7F72C2C2"/>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58C84892"/>
    <w:multiLevelType w:val="hybridMultilevel"/>
    <w:tmpl w:val="AA54E45C"/>
    <w:lvl w:ilvl="0" w:tplc="585E96C8">
      <w:start w:val="1"/>
      <w:numFmt w:val="upperLetter"/>
      <w:lvlText w:val="%1."/>
      <w:lvlJc w:val="left"/>
      <w:pPr>
        <w:ind w:left="1120" w:hanging="410"/>
      </w:pPr>
      <w:rPr>
        <w:rFonts w:cs="Times New Roman" w:hint="default"/>
        <w:b/>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8" w15:restartNumberingAfterBreak="0">
    <w:nsid w:val="61357E61"/>
    <w:multiLevelType w:val="hybridMultilevel"/>
    <w:tmpl w:val="36C6CA60"/>
    <w:lvl w:ilvl="0" w:tplc="041B000F">
      <w:start w:val="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8F37771"/>
    <w:multiLevelType w:val="hybridMultilevel"/>
    <w:tmpl w:val="E4B45FE6"/>
    <w:lvl w:ilvl="0" w:tplc="94E47462">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E8B28A4"/>
    <w:multiLevelType w:val="hybridMultilevel"/>
    <w:tmpl w:val="FB6E453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2B7E12"/>
    <w:multiLevelType w:val="hybridMultilevel"/>
    <w:tmpl w:val="B9A80232"/>
    <w:lvl w:ilvl="0" w:tplc="9BD6F1E4">
      <w:start w:val="1"/>
      <w:numFmt w:val="decimal"/>
      <w:lvlText w:val="%1."/>
      <w:lvlJc w:val="left"/>
      <w:pPr>
        <w:ind w:left="1778" w:hanging="360"/>
      </w:pPr>
      <w:rPr>
        <w:rFonts w:cs="Times New Roman"/>
        <w:b w:val="0"/>
      </w:rPr>
    </w:lvl>
    <w:lvl w:ilvl="1" w:tplc="041B0019">
      <w:start w:val="1"/>
      <w:numFmt w:val="lowerLetter"/>
      <w:lvlText w:val="%2."/>
      <w:lvlJc w:val="left"/>
      <w:pPr>
        <w:ind w:left="1848" w:hanging="360"/>
      </w:pPr>
      <w:rPr>
        <w:rFonts w:cs="Times New Roman"/>
      </w:rPr>
    </w:lvl>
    <w:lvl w:ilvl="2" w:tplc="041B001B">
      <w:start w:val="1"/>
      <w:numFmt w:val="lowerRoman"/>
      <w:lvlText w:val="%3."/>
      <w:lvlJc w:val="right"/>
      <w:pPr>
        <w:ind w:left="2568" w:hanging="180"/>
      </w:pPr>
      <w:rPr>
        <w:rFonts w:cs="Times New Roman"/>
      </w:rPr>
    </w:lvl>
    <w:lvl w:ilvl="3" w:tplc="041B000F">
      <w:start w:val="1"/>
      <w:numFmt w:val="decimal"/>
      <w:lvlText w:val="%4."/>
      <w:lvlJc w:val="left"/>
      <w:pPr>
        <w:ind w:left="3288" w:hanging="360"/>
      </w:pPr>
      <w:rPr>
        <w:rFonts w:cs="Times New Roman"/>
      </w:rPr>
    </w:lvl>
    <w:lvl w:ilvl="4" w:tplc="041B0019">
      <w:start w:val="1"/>
      <w:numFmt w:val="lowerLetter"/>
      <w:lvlText w:val="%5."/>
      <w:lvlJc w:val="left"/>
      <w:pPr>
        <w:ind w:left="4008" w:hanging="360"/>
      </w:pPr>
      <w:rPr>
        <w:rFonts w:cs="Times New Roman"/>
      </w:rPr>
    </w:lvl>
    <w:lvl w:ilvl="5" w:tplc="041B001B" w:tentative="1">
      <w:start w:val="1"/>
      <w:numFmt w:val="lowerRoman"/>
      <w:lvlText w:val="%6."/>
      <w:lvlJc w:val="right"/>
      <w:pPr>
        <w:ind w:left="4728" w:hanging="180"/>
      </w:pPr>
      <w:rPr>
        <w:rFonts w:cs="Times New Roman"/>
      </w:rPr>
    </w:lvl>
    <w:lvl w:ilvl="6" w:tplc="041B000F" w:tentative="1">
      <w:start w:val="1"/>
      <w:numFmt w:val="decimal"/>
      <w:lvlText w:val="%7."/>
      <w:lvlJc w:val="left"/>
      <w:pPr>
        <w:ind w:left="5448" w:hanging="360"/>
      </w:pPr>
      <w:rPr>
        <w:rFonts w:cs="Times New Roman"/>
      </w:rPr>
    </w:lvl>
    <w:lvl w:ilvl="7" w:tplc="041B0019" w:tentative="1">
      <w:start w:val="1"/>
      <w:numFmt w:val="lowerLetter"/>
      <w:lvlText w:val="%8."/>
      <w:lvlJc w:val="left"/>
      <w:pPr>
        <w:ind w:left="6168" w:hanging="360"/>
      </w:pPr>
      <w:rPr>
        <w:rFonts w:cs="Times New Roman"/>
      </w:rPr>
    </w:lvl>
    <w:lvl w:ilvl="8" w:tplc="041B001B" w:tentative="1">
      <w:start w:val="1"/>
      <w:numFmt w:val="lowerRoman"/>
      <w:lvlText w:val="%9."/>
      <w:lvlJc w:val="right"/>
      <w:pPr>
        <w:ind w:left="6888" w:hanging="180"/>
      </w:pPr>
      <w:rPr>
        <w:rFonts w:cs="Times New Roman"/>
      </w:rPr>
    </w:lvl>
  </w:abstractNum>
  <w:abstractNum w:abstractNumId="22" w15:restartNumberingAfterBreak="0">
    <w:nsid w:val="7099768D"/>
    <w:multiLevelType w:val="hybridMultilevel"/>
    <w:tmpl w:val="33BAB55A"/>
    <w:lvl w:ilvl="0" w:tplc="6C3E2536">
      <w:start w:val="1"/>
      <w:numFmt w:val="decimal"/>
      <w:lvlText w:val="%1."/>
      <w:lvlJc w:val="left"/>
      <w:pPr>
        <w:ind w:left="360" w:hanging="360"/>
      </w:pPr>
      <w:rPr>
        <w:rFonts w:ascii="Times New Roman" w:hAnsi="Times New Roman" w:cs="Times New Roman" w:hint="default"/>
        <w:b w:val="0"/>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5994B0A"/>
    <w:multiLevelType w:val="hybridMultilevel"/>
    <w:tmpl w:val="3CF0499E"/>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706727A"/>
    <w:multiLevelType w:val="hybridMultilevel"/>
    <w:tmpl w:val="2624A7B8"/>
    <w:lvl w:ilvl="0" w:tplc="E746EF26">
      <w:start w:val="1"/>
      <w:numFmt w:val="decimal"/>
      <w:lvlText w:val="%1."/>
      <w:lvlJc w:val="left"/>
      <w:pPr>
        <w:ind w:left="1495" w:hanging="360"/>
      </w:pPr>
      <w:rPr>
        <w:rFonts w:ascii="Times New Roman" w:hAnsi="Times New Roman"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99F14F2"/>
    <w:multiLevelType w:val="hybridMultilevel"/>
    <w:tmpl w:val="C00C421A"/>
    <w:lvl w:ilvl="0" w:tplc="B55C2CB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
  </w:num>
  <w:num w:numId="16">
    <w:abstractNumId w:val="25"/>
  </w:num>
  <w:num w:numId="17">
    <w:abstractNumId w:val="7"/>
  </w:num>
  <w:num w:numId="18">
    <w:abstractNumId w:val="24"/>
  </w:num>
  <w:num w:numId="19">
    <w:abstractNumId w:val="10"/>
  </w:num>
  <w:num w:numId="20">
    <w:abstractNumId w:val="12"/>
  </w:num>
  <w:num w:numId="21">
    <w:abstractNumId w:val="9"/>
  </w:num>
  <w:num w:numId="22">
    <w:abstractNumId w:val="18"/>
  </w:num>
  <w:num w:numId="23">
    <w:abstractNumId w:val="2"/>
  </w:num>
  <w:num w:numId="24">
    <w:abstractNumId w:val="6"/>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 w:numId="29">
    <w:abstractNumId w:val="21"/>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9"/>
    <w:rsid w:val="00003ABF"/>
    <w:rsid w:val="0000531F"/>
    <w:rsid w:val="00005C35"/>
    <w:rsid w:val="0000610D"/>
    <w:rsid w:val="00013123"/>
    <w:rsid w:val="00017101"/>
    <w:rsid w:val="00023782"/>
    <w:rsid w:val="00025261"/>
    <w:rsid w:val="00026536"/>
    <w:rsid w:val="000314C3"/>
    <w:rsid w:val="00033DB5"/>
    <w:rsid w:val="00042741"/>
    <w:rsid w:val="000427EA"/>
    <w:rsid w:val="0004473E"/>
    <w:rsid w:val="00052DC6"/>
    <w:rsid w:val="00054481"/>
    <w:rsid w:val="00056307"/>
    <w:rsid w:val="000569DC"/>
    <w:rsid w:val="00057FB5"/>
    <w:rsid w:val="000617A7"/>
    <w:rsid w:val="00075FF2"/>
    <w:rsid w:val="00080BDB"/>
    <w:rsid w:val="00083AB6"/>
    <w:rsid w:val="00085F65"/>
    <w:rsid w:val="00095773"/>
    <w:rsid w:val="00095D25"/>
    <w:rsid w:val="000A131F"/>
    <w:rsid w:val="000A4F64"/>
    <w:rsid w:val="000B4B0D"/>
    <w:rsid w:val="000B558B"/>
    <w:rsid w:val="000B5629"/>
    <w:rsid w:val="000C04C2"/>
    <w:rsid w:val="000C6EE5"/>
    <w:rsid w:val="000D11D5"/>
    <w:rsid w:val="000D7017"/>
    <w:rsid w:val="000E03CB"/>
    <w:rsid w:val="000E473B"/>
    <w:rsid w:val="000F4A21"/>
    <w:rsid w:val="000F7919"/>
    <w:rsid w:val="00115D42"/>
    <w:rsid w:val="0011659C"/>
    <w:rsid w:val="0012498D"/>
    <w:rsid w:val="001362F6"/>
    <w:rsid w:val="001408B8"/>
    <w:rsid w:val="00145B73"/>
    <w:rsid w:val="0015407E"/>
    <w:rsid w:val="00157ABA"/>
    <w:rsid w:val="0016311B"/>
    <w:rsid w:val="001675FA"/>
    <w:rsid w:val="00177901"/>
    <w:rsid w:val="00180775"/>
    <w:rsid w:val="0019188B"/>
    <w:rsid w:val="00195B23"/>
    <w:rsid w:val="0019642A"/>
    <w:rsid w:val="001C042F"/>
    <w:rsid w:val="001C0674"/>
    <w:rsid w:val="001C4A70"/>
    <w:rsid w:val="001C7017"/>
    <w:rsid w:val="001C729D"/>
    <w:rsid w:val="001D0E8E"/>
    <w:rsid w:val="001D1945"/>
    <w:rsid w:val="001D25B0"/>
    <w:rsid w:val="001D2A4B"/>
    <w:rsid w:val="001D7465"/>
    <w:rsid w:val="001E06A2"/>
    <w:rsid w:val="001E1C36"/>
    <w:rsid w:val="001E4637"/>
    <w:rsid w:val="001E77B1"/>
    <w:rsid w:val="00216CBA"/>
    <w:rsid w:val="002209A7"/>
    <w:rsid w:val="00225EAA"/>
    <w:rsid w:val="0023079A"/>
    <w:rsid w:val="00230C36"/>
    <w:rsid w:val="002321C8"/>
    <w:rsid w:val="00236746"/>
    <w:rsid w:val="00243157"/>
    <w:rsid w:val="00247FA3"/>
    <w:rsid w:val="00253BE5"/>
    <w:rsid w:val="002569C0"/>
    <w:rsid w:val="0026026B"/>
    <w:rsid w:val="0026112B"/>
    <w:rsid w:val="00261C0D"/>
    <w:rsid w:val="002659BB"/>
    <w:rsid w:val="00265D04"/>
    <w:rsid w:val="002774F7"/>
    <w:rsid w:val="00280394"/>
    <w:rsid w:val="00293328"/>
    <w:rsid w:val="00297AEF"/>
    <w:rsid w:val="002A512D"/>
    <w:rsid w:val="002A660F"/>
    <w:rsid w:val="002A7F76"/>
    <w:rsid w:val="002B6E1A"/>
    <w:rsid w:val="002C3458"/>
    <w:rsid w:val="002C425B"/>
    <w:rsid w:val="002C7346"/>
    <w:rsid w:val="002C7E7B"/>
    <w:rsid w:val="002E0F39"/>
    <w:rsid w:val="002F2CA6"/>
    <w:rsid w:val="003024C1"/>
    <w:rsid w:val="00303152"/>
    <w:rsid w:val="00304FB7"/>
    <w:rsid w:val="00305B09"/>
    <w:rsid w:val="00306662"/>
    <w:rsid w:val="00311D17"/>
    <w:rsid w:val="00316036"/>
    <w:rsid w:val="00320B85"/>
    <w:rsid w:val="003248F3"/>
    <w:rsid w:val="003250DB"/>
    <w:rsid w:val="0032619A"/>
    <w:rsid w:val="00327CBF"/>
    <w:rsid w:val="00327EB9"/>
    <w:rsid w:val="00340196"/>
    <w:rsid w:val="00341E2B"/>
    <w:rsid w:val="00342B87"/>
    <w:rsid w:val="003443A9"/>
    <w:rsid w:val="0034502A"/>
    <w:rsid w:val="0034648D"/>
    <w:rsid w:val="003468D1"/>
    <w:rsid w:val="00357A46"/>
    <w:rsid w:val="00365181"/>
    <w:rsid w:val="0037481B"/>
    <w:rsid w:val="00381962"/>
    <w:rsid w:val="003841CF"/>
    <w:rsid w:val="00386D14"/>
    <w:rsid w:val="003871C7"/>
    <w:rsid w:val="00387EB0"/>
    <w:rsid w:val="00390F1E"/>
    <w:rsid w:val="003A2CF6"/>
    <w:rsid w:val="003A3A9C"/>
    <w:rsid w:val="003A4509"/>
    <w:rsid w:val="003B132C"/>
    <w:rsid w:val="003B16E4"/>
    <w:rsid w:val="003B5025"/>
    <w:rsid w:val="003B6B16"/>
    <w:rsid w:val="003D23C8"/>
    <w:rsid w:val="003D45B6"/>
    <w:rsid w:val="003D495E"/>
    <w:rsid w:val="003E56BD"/>
    <w:rsid w:val="003F3FB3"/>
    <w:rsid w:val="003F7533"/>
    <w:rsid w:val="00400444"/>
    <w:rsid w:val="00401DB9"/>
    <w:rsid w:val="00402CA0"/>
    <w:rsid w:val="004048F2"/>
    <w:rsid w:val="0040559F"/>
    <w:rsid w:val="00407ED6"/>
    <w:rsid w:val="00416A3C"/>
    <w:rsid w:val="004207DA"/>
    <w:rsid w:val="0042443B"/>
    <w:rsid w:val="00426EBE"/>
    <w:rsid w:val="004303E6"/>
    <w:rsid w:val="00437585"/>
    <w:rsid w:val="00444C82"/>
    <w:rsid w:val="00445986"/>
    <w:rsid w:val="0045309D"/>
    <w:rsid w:val="00453E60"/>
    <w:rsid w:val="00453FB8"/>
    <w:rsid w:val="004661C7"/>
    <w:rsid w:val="0047563D"/>
    <w:rsid w:val="00475F91"/>
    <w:rsid w:val="004867B1"/>
    <w:rsid w:val="00487919"/>
    <w:rsid w:val="00494410"/>
    <w:rsid w:val="0049464C"/>
    <w:rsid w:val="0049501E"/>
    <w:rsid w:val="004A0985"/>
    <w:rsid w:val="004A4006"/>
    <w:rsid w:val="004B4675"/>
    <w:rsid w:val="004B52C8"/>
    <w:rsid w:val="004C2154"/>
    <w:rsid w:val="004C2167"/>
    <w:rsid w:val="004D304C"/>
    <w:rsid w:val="004E10A5"/>
    <w:rsid w:val="004E53F1"/>
    <w:rsid w:val="004E6ADD"/>
    <w:rsid w:val="004F07EC"/>
    <w:rsid w:val="004F082F"/>
    <w:rsid w:val="004F3E9E"/>
    <w:rsid w:val="004F6ED1"/>
    <w:rsid w:val="004F76D2"/>
    <w:rsid w:val="005019D5"/>
    <w:rsid w:val="00502405"/>
    <w:rsid w:val="00510B80"/>
    <w:rsid w:val="00511D50"/>
    <w:rsid w:val="0052198E"/>
    <w:rsid w:val="0052255B"/>
    <w:rsid w:val="00524F1C"/>
    <w:rsid w:val="00526B55"/>
    <w:rsid w:val="00531B76"/>
    <w:rsid w:val="00532414"/>
    <w:rsid w:val="00533E0E"/>
    <w:rsid w:val="0053517A"/>
    <w:rsid w:val="00541A50"/>
    <w:rsid w:val="00547ACD"/>
    <w:rsid w:val="005502F8"/>
    <w:rsid w:val="005637E9"/>
    <w:rsid w:val="00564826"/>
    <w:rsid w:val="00567A29"/>
    <w:rsid w:val="005800CC"/>
    <w:rsid w:val="00581C83"/>
    <w:rsid w:val="00584D6D"/>
    <w:rsid w:val="005865BB"/>
    <w:rsid w:val="005923D8"/>
    <w:rsid w:val="00592948"/>
    <w:rsid w:val="00595A62"/>
    <w:rsid w:val="005966AE"/>
    <w:rsid w:val="00596F8C"/>
    <w:rsid w:val="005A094E"/>
    <w:rsid w:val="005B5582"/>
    <w:rsid w:val="005C00FF"/>
    <w:rsid w:val="005D15F6"/>
    <w:rsid w:val="005D173A"/>
    <w:rsid w:val="005D291A"/>
    <w:rsid w:val="005D3A23"/>
    <w:rsid w:val="005D4246"/>
    <w:rsid w:val="005E1A3A"/>
    <w:rsid w:val="005F1818"/>
    <w:rsid w:val="005F2668"/>
    <w:rsid w:val="005F4E47"/>
    <w:rsid w:val="005F6D60"/>
    <w:rsid w:val="005F7C19"/>
    <w:rsid w:val="006014AD"/>
    <w:rsid w:val="00607C60"/>
    <w:rsid w:val="00611509"/>
    <w:rsid w:val="0061312C"/>
    <w:rsid w:val="006166AF"/>
    <w:rsid w:val="006205E6"/>
    <w:rsid w:val="006212F7"/>
    <w:rsid w:val="00625598"/>
    <w:rsid w:val="00625A09"/>
    <w:rsid w:val="00626CD4"/>
    <w:rsid w:val="00632B8F"/>
    <w:rsid w:val="00632E90"/>
    <w:rsid w:val="00633163"/>
    <w:rsid w:val="0063357A"/>
    <w:rsid w:val="006338DD"/>
    <w:rsid w:val="006347B8"/>
    <w:rsid w:val="00635BD6"/>
    <w:rsid w:val="00635CF7"/>
    <w:rsid w:val="00636DE5"/>
    <w:rsid w:val="0064039C"/>
    <w:rsid w:val="006423F7"/>
    <w:rsid w:val="00644AC6"/>
    <w:rsid w:val="00645A31"/>
    <w:rsid w:val="00651E0D"/>
    <w:rsid w:val="00652C64"/>
    <w:rsid w:val="006622BA"/>
    <w:rsid w:val="00670F8D"/>
    <w:rsid w:val="006732EA"/>
    <w:rsid w:val="00674F37"/>
    <w:rsid w:val="00675A53"/>
    <w:rsid w:val="00676301"/>
    <w:rsid w:val="006768F7"/>
    <w:rsid w:val="0068555B"/>
    <w:rsid w:val="00686334"/>
    <w:rsid w:val="006906F6"/>
    <w:rsid w:val="00691D31"/>
    <w:rsid w:val="00694809"/>
    <w:rsid w:val="006A1DF7"/>
    <w:rsid w:val="006A3FC4"/>
    <w:rsid w:val="006B660E"/>
    <w:rsid w:val="006C02F7"/>
    <w:rsid w:val="006C157F"/>
    <w:rsid w:val="006C7306"/>
    <w:rsid w:val="006D08DF"/>
    <w:rsid w:val="006D121F"/>
    <w:rsid w:val="006D1A30"/>
    <w:rsid w:val="006D1C71"/>
    <w:rsid w:val="006D62A3"/>
    <w:rsid w:val="006D7226"/>
    <w:rsid w:val="006E65D8"/>
    <w:rsid w:val="007037E2"/>
    <w:rsid w:val="00705B18"/>
    <w:rsid w:val="00716013"/>
    <w:rsid w:val="007228D5"/>
    <w:rsid w:val="007237E5"/>
    <w:rsid w:val="00726B3F"/>
    <w:rsid w:val="0072774C"/>
    <w:rsid w:val="00730B49"/>
    <w:rsid w:val="00737008"/>
    <w:rsid w:val="00740945"/>
    <w:rsid w:val="00741AA6"/>
    <w:rsid w:val="00741BD4"/>
    <w:rsid w:val="00746A4B"/>
    <w:rsid w:val="0075143C"/>
    <w:rsid w:val="0075728A"/>
    <w:rsid w:val="007704C6"/>
    <w:rsid w:val="00774913"/>
    <w:rsid w:val="007769EA"/>
    <w:rsid w:val="00777C2B"/>
    <w:rsid w:val="00777E3C"/>
    <w:rsid w:val="0078002C"/>
    <w:rsid w:val="00780216"/>
    <w:rsid w:val="00784A49"/>
    <w:rsid w:val="0078617F"/>
    <w:rsid w:val="00787357"/>
    <w:rsid w:val="00796A9B"/>
    <w:rsid w:val="00797780"/>
    <w:rsid w:val="007A7F41"/>
    <w:rsid w:val="007B265B"/>
    <w:rsid w:val="007D0990"/>
    <w:rsid w:val="007E16F5"/>
    <w:rsid w:val="007E2B72"/>
    <w:rsid w:val="007F0517"/>
    <w:rsid w:val="007F2BF4"/>
    <w:rsid w:val="007F3316"/>
    <w:rsid w:val="007F4AC6"/>
    <w:rsid w:val="00805D8C"/>
    <w:rsid w:val="00815BB8"/>
    <w:rsid w:val="00816B9F"/>
    <w:rsid w:val="008200B2"/>
    <w:rsid w:val="0082154D"/>
    <w:rsid w:val="0084672F"/>
    <w:rsid w:val="00846FCB"/>
    <w:rsid w:val="008549D2"/>
    <w:rsid w:val="00861751"/>
    <w:rsid w:val="008646D8"/>
    <w:rsid w:val="00866249"/>
    <w:rsid w:val="00866416"/>
    <w:rsid w:val="00867155"/>
    <w:rsid w:val="0087441E"/>
    <w:rsid w:val="00874C19"/>
    <w:rsid w:val="00880B72"/>
    <w:rsid w:val="00881487"/>
    <w:rsid w:val="00884445"/>
    <w:rsid w:val="00887C40"/>
    <w:rsid w:val="008900CF"/>
    <w:rsid w:val="008A2506"/>
    <w:rsid w:val="008A3A78"/>
    <w:rsid w:val="008A450D"/>
    <w:rsid w:val="008B24AB"/>
    <w:rsid w:val="008C2EB6"/>
    <w:rsid w:val="008C5A69"/>
    <w:rsid w:val="008C7312"/>
    <w:rsid w:val="008D03F7"/>
    <w:rsid w:val="008D0889"/>
    <w:rsid w:val="008D6220"/>
    <w:rsid w:val="008D732C"/>
    <w:rsid w:val="008D7A58"/>
    <w:rsid w:val="008E19B6"/>
    <w:rsid w:val="008E3035"/>
    <w:rsid w:val="008E5048"/>
    <w:rsid w:val="008F0520"/>
    <w:rsid w:val="008F2371"/>
    <w:rsid w:val="008F2FF0"/>
    <w:rsid w:val="008F7EE3"/>
    <w:rsid w:val="009056DE"/>
    <w:rsid w:val="009132D2"/>
    <w:rsid w:val="009137E8"/>
    <w:rsid w:val="0091382B"/>
    <w:rsid w:val="009267E2"/>
    <w:rsid w:val="00930238"/>
    <w:rsid w:val="009335B2"/>
    <w:rsid w:val="009346D4"/>
    <w:rsid w:val="00935578"/>
    <w:rsid w:val="009366C4"/>
    <w:rsid w:val="00937E90"/>
    <w:rsid w:val="00946ED3"/>
    <w:rsid w:val="009541E4"/>
    <w:rsid w:val="00954358"/>
    <w:rsid w:val="00960C77"/>
    <w:rsid w:val="009651E9"/>
    <w:rsid w:val="009707B1"/>
    <w:rsid w:val="0097097A"/>
    <w:rsid w:val="00971F79"/>
    <w:rsid w:val="00981E3E"/>
    <w:rsid w:val="00984B6C"/>
    <w:rsid w:val="00984E01"/>
    <w:rsid w:val="009936D3"/>
    <w:rsid w:val="009947FE"/>
    <w:rsid w:val="00994936"/>
    <w:rsid w:val="00995FEA"/>
    <w:rsid w:val="009A1AB5"/>
    <w:rsid w:val="009C0B91"/>
    <w:rsid w:val="009C3A1D"/>
    <w:rsid w:val="009D0BA1"/>
    <w:rsid w:val="009E521F"/>
    <w:rsid w:val="009F42A7"/>
    <w:rsid w:val="009F766B"/>
    <w:rsid w:val="00A033BC"/>
    <w:rsid w:val="00A12B12"/>
    <w:rsid w:val="00A12B56"/>
    <w:rsid w:val="00A150C9"/>
    <w:rsid w:val="00A2253A"/>
    <w:rsid w:val="00A321D5"/>
    <w:rsid w:val="00A325D1"/>
    <w:rsid w:val="00A341D4"/>
    <w:rsid w:val="00A40D67"/>
    <w:rsid w:val="00A4162C"/>
    <w:rsid w:val="00A432BB"/>
    <w:rsid w:val="00A439A2"/>
    <w:rsid w:val="00A559AF"/>
    <w:rsid w:val="00A635E4"/>
    <w:rsid w:val="00A6540E"/>
    <w:rsid w:val="00A65A35"/>
    <w:rsid w:val="00A70AF1"/>
    <w:rsid w:val="00A735B2"/>
    <w:rsid w:val="00A81F9A"/>
    <w:rsid w:val="00A829F5"/>
    <w:rsid w:val="00A8389A"/>
    <w:rsid w:val="00A84156"/>
    <w:rsid w:val="00A874E3"/>
    <w:rsid w:val="00A94248"/>
    <w:rsid w:val="00A961FD"/>
    <w:rsid w:val="00A97450"/>
    <w:rsid w:val="00AA25F6"/>
    <w:rsid w:val="00AB1998"/>
    <w:rsid w:val="00AB2C4B"/>
    <w:rsid w:val="00AC4481"/>
    <w:rsid w:val="00AC655E"/>
    <w:rsid w:val="00AD570A"/>
    <w:rsid w:val="00AE50E4"/>
    <w:rsid w:val="00AE5D87"/>
    <w:rsid w:val="00AF3C7D"/>
    <w:rsid w:val="00AF4252"/>
    <w:rsid w:val="00AF4506"/>
    <w:rsid w:val="00AF4818"/>
    <w:rsid w:val="00B00347"/>
    <w:rsid w:val="00B01563"/>
    <w:rsid w:val="00B06B18"/>
    <w:rsid w:val="00B126C1"/>
    <w:rsid w:val="00B2007A"/>
    <w:rsid w:val="00B20AD2"/>
    <w:rsid w:val="00B252E1"/>
    <w:rsid w:val="00B25410"/>
    <w:rsid w:val="00B26A42"/>
    <w:rsid w:val="00B31384"/>
    <w:rsid w:val="00B32E55"/>
    <w:rsid w:val="00B34001"/>
    <w:rsid w:val="00B348A8"/>
    <w:rsid w:val="00B41517"/>
    <w:rsid w:val="00B61D9F"/>
    <w:rsid w:val="00B76C54"/>
    <w:rsid w:val="00B80D02"/>
    <w:rsid w:val="00B82816"/>
    <w:rsid w:val="00B863B1"/>
    <w:rsid w:val="00B933E0"/>
    <w:rsid w:val="00B93401"/>
    <w:rsid w:val="00BA305A"/>
    <w:rsid w:val="00BA5B59"/>
    <w:rsid w:val="00BA65A4"/>
    <w:rsid w:val="00BB383B"/>
    <w:rsid w:val="00BB39AB"/>
    <w:rsid w:val="00BB6249"/>
    <w:rsid w:val="00BC241B"/>
    <w:rsid w:val="00BC2C6B"/>
    <w:rsid w:val="00BD31F2"/>
    <w:rsid w:val="00BD69BC"/>
    <w:rsid w:val="00BE2A9D"/>
    <w:rsid w:val="00BE64DC"/>
    <w:rsid w:val="00BE6BF3"/>
    <w:rsid w:val="00BE6FE9"/>
    <w:rsid w:val="00BF46D0"/>
    <w:rsid w:val="00BF5636"/>
    <w:rsid w:val="00C10CE9"/>
    <w:rsid w:val="00C14623"/>
    <w:rsid w:val="00C160DD"/>
    <w:rsid w:val="00C21EEF"/>
    <w:rsid w:val="00C242A5"/>
    <w:rsid w:val="00C246F3"/>
    <w:rsid w:val="00C318E0"/>
    <w:rsid w:val="00C34375"/>
    <w:rsid w:val="00C41E08"/>
    <w:rsid w:val="00C43093"/>
    <w:rsid w:val="00C4399B"/>
    <w:rsid w:val="00C45130"/>
    <w:rsid w:val="00C518BC"/>
    <w:rsid w:val="00C53EE1"/>
    <w:rsid w:val="00C620AA"/>
    <w:rsid w:val="00C625ED"/>
    <w:rsid w:val="00C71FF5"/>
    <w:rsid w:val="00C72040"/>
    <w:rsid w:val="00C748DB"/>
    <w:rsid w:val="00C75BA1"/>
    <w:rsid w:val="00C76D2B"/>
    <w:rsid w:val="00C80D37"/>
    <w:rsid w:val="00C84061"/>
    <w:rsid w:val="00C90DE9"/>
    <w:rsid w:val="00C97D6B"/>
    <w:rsid w:val="00CA06A5"/>
    <w:rsid w:val="00CA164F"/>
    <w:rsid w:val="00CA20D0"/>
    <w:rsid w:val="00CA4D35"/>
    <w:rsid w:val="00CA4FF2"/>
    <w:rsid w:val="00CB048A"/>
    <w:rsid w:val="00CD3BED"/>
    <w:rsid w:val="00CD738B"/>
    <w:rsid w:val="00CE06F8"/>
    <w:rsid w:val="00CE6292"/>
    <w:rsid w:val="00CF155E"/>
    <w:rsid w:val="00D063FE"/>
    <w:rsid w:val="00D1165C"/>
    <w:rsid w:val="00D11F39"/>
    <w:rsid w:val="00D14363"/>
    <w:rsid w:val="00D14D38"/>
    <w:rsid w:val="00D2405B"/>
    <w:rsid w:val="00D259F2"/>
    <w:rsid w:val="00D270F8"/>
    <w:rsid w:val="00D346C5"/>
    <w:rsid w:val="00D35424"/>
    <w:rsid w:val="00D55789"/>
    <w:rsid w:val="00D60656"/>
    <w:rsid w:val="00D60B6B"/>
    <w:rsid w:val="00D62315"/>
    <w:rsid w:val="00D626F7"/>
    <w:rsid w:val="00D63F5F"/>
    <w:rsid w:val="00D65F85"/>
    <w:rsid w:val="00D70658"/>
    <w:rsid w:val="00D73193"/>
    <w:rsid w:val="00D73B41"/>
    <w:rsid w:val="00D908DD"/>
    <w:rsid w:val="00D9289F"/>
    <w:rsid w:val="00DA12B9"/>
    <w:rsid w:val="00DA40E6"/>
    <w:rsid w:val="00DA4E8C"/>
    <w:rsid w:val="00DA4F3B"/>
    <w:rsid w:val="00DA5725"/>
    <w:rsid w:val="00DA6FE2"/>
    <w:rsid w:val="00DB0C62"/>
    <w:rsid w:val="00DB4A21"/>
    <w:rsid w:val="00DC1DC2"/>
    <w:rsid w:val="00DC4441"/>
    <w:rsid w:val="00DE1C0E"/>
    <w:rsid w:val="00DE7AB8"/>
    <w:rsid w:val="00DF07DD"/>
    <w:rsid w:val="00DF1C91"/>
    <w:rsid w:val="00DF59B6"/>
    <w:rsid w:val="00DF7C19"/>
    <w:rsid w:val="00E0208B"/>
    <w:rsid w:val="00E04980"/>
    <w:rsid w:val="00E04F5E"/>
    <w:rsid w:val="00E14185"/>
    <w:rsid w:val="00E14D23"/>
    <w:rsid w:val="00E15826"/>
    <w:rsid w:val="00E22D3C"/>
    <w:rsid w:val="00E2388B"/>
    <w:rsid w:val="00E238CD"/>
    <w:rsid w:val="00E279D9"/>
    <w:rsid w:val="00E31D6B"/>
    <w:rsid w:val="00E34AF9"/>
    <w:rsid w:val="00E37C45"/>
    <w:rsid w:val="00E40961"/>
    <w:rsid w:val="00E43E29"/>
    <w:rsid w:val="00E44935"/>
    <w:rsid w:val="00E4618A"/>
    <w:rsid w:val="00E46639"/>
    <w:rsid w:val="00E472C9"/>
    <w:rsid w:val="00E5361E"/>
    <w:rsid w:val="00E6695A"/>
    <w:rsid w:val="00E74566"/>
    <w:rsid w:val="00E774D0"/>
    <w:rsid w:val="00E83C98"/>
    <w:rsid w:val="00E90402"/>
    <w:rsid w:val="00E94D4C"/>
    <w:rsid w:val="00EA0671"/>
    <w:rsid w:val="00EA4B50"/>
    <w:rsid w:val="00EB5413"/>
    <w:rsid w:val="00EB66F4"/>
    <w:rsid w:val="00EB6712"/>
    <w:rsid w:val="00EC0BB9"/>
    <w:rsid w:val="00EC2B90"/>
    <w:rsid w:val="00EC7858"/>
    <w:rsid w:val="00ED1137"/>
    <w:rsid w:val="00ED5E50"/>
    <w:rsid w:val="00EE6E97"/>
    <w:rsid w:val="00EF3675"/>
    <w:rsid w:val="00EF5242"/>
    <w:rsid w:val="00F06FF5"/>
    <w:rsid w:val="00F106AE"/>
    <w:rsid w:val="00F143DE"/>
    <w:rsid w:val="00F21EE5"/>
    <w:rsid w:val="00F23037"/>
    <w:rsid w:val="00F31E96"/>
    <w:rsid w:val="00F35942"/>
    <w:rsid w:val="00F367E9"/>
    <w:rsid w:val="00F412F7"/>
    <w:rsid w:val="00F42119"/>
    <w:rsid w:val="00F4221C"/>
    <w:rsid w:val="00F47EF1"/>
    <w:rsid w:val="00F539C1"/>
    <w:rsid w:val="00F54451"/>
    <w:rsid w:val="00F6356F"/>
    <w:rsid w:val="00F80887"/>
    <w:rsid w:val="00F86A01"/>
    <w:rsid w:val="00F92EF2"/>
    <w:rsid w:val="00F952C0"/>
    <w:rsid w:val="00F955A8"/>
    <w:rsid w:val="00FB0DC5"/>
    <w:rsid w:val="00FC2785"/>
    <w:rsid w:val="00FC4DC4"/>
    <w:rsid w:val="00FD01F4"/>
    <w:rsid w:val="00FD1F5F"/>
    <w:rsid w:val="00FD4D4C"/>
    <w:rsid w:val="00FE126D"/>
    <w:rsid w:val="00FE7790"/>
    <w:rsid w:val="00FF3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2FC78"/>
  <w14:defaultImageDpi w14:val="0"/>
  <w15:docId w15:val="{305230AC-F64B-4B0A-A9AD-3EEF4E9B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0F39"/>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0B4B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2E0F39"/>
    <w:pPr>
      <w:keepNext/>
      <w:ind w:left="4500" w:firstLine="456"/>
      <w:jc w:val="both"/>
      <w:outlineLvl w:val="1"/>
    </w:pPr>
    <w:rPr>
      <w:b/>
      <w:bCs/>
      <w:lang w:eastAsia="en-US"/>
    </w:rPr>
  </w:style>
  <w:style w:type="paragraph" w:styleId="Nadpis3">
    <w:name w:val="heading 3"/>
    <w:basedOn w:val="Normlny"/>
    <w:next w:val="Normlny"/>
    <w:link w:val="Nadpis3Char"/>
    <w:uiPriority w:val="9"/>
    <w:semiHidden/>
    <w:unhideWhenUsed/>
    <w:qFormat/>
    <w:rsid w:val="002E0F39"/>
    <w:pPr>
      <w:keepNext/>
      <w:keepLines/>
      <w:spacing w:before="200"/>
      <w:outlineLvl w:val="2"/>
    </w:pPr>
    <w:rPr>
      <w:rFonts w:asciiTheme="majorHAnsi" w:eastAsiaTheme="majorEastAsia" w:hAnsiTheme="majorHAns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B4B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2Char">
    <w:name w:val="Nadpis 2 Char"/>
    <w:basedOn w:val="Predvolenpsmoodseku"/>
    <w:link w:val="Nadpis2"/>
    <w:uiPriority w:val="9"/>
    <w:semiHidden/>
    <w:locked/>
    <w:rsid w:val="002E0F39"/>
    <w:rPr>
      <w:rFonts w:ascii="Times New Roman" w:hAnsi="Times New Roman" w:cs="Times New Roman"/>
      <w:b/>
      <w:bCs/>
      <w:sz w:val="24"/>
      <w:szCs w:val="24"/>
    </w:rPr>
  </w:style>
  <w:style w:type="character" w:customStyle="1" w:styleId="Nadpis3Char">
    <w:name w:val="Nadpis 3 Char"/>
    <w:basedOn w:val="Predvolenpsmoodseku"/>
    <w:link w:val="Nadpis3"/>
    <w:uiPriority w:val="9"/>
    <w:semiHidden/>
    <w:locked/>
    <w:rsid w:val="002E0F39"/>
    <w:rPr>
      <w:rFonts w:asciiTheme="majorHAnsi" w:eastAsiaTheme="majorEastAsia" w:hAnsiTheme="majorHAnsi" w:cs="Times New Roman"/>
      <w:b/>
      <w:bCs/>
      <w:color w:val="4F81BD" w:themeColor="accent1"/>
      <w:sz w:val="24"/>
      <w:szCs w:val="24"/>
      <w:lang w:val="x-none" w:eastAsia="sk-SK"/>
    </w:rPr>
  </w:style>
  <w:style w:type="paragraph" w:styleId="Zkladntext">
    <w:name w:val="Body Text"/>
    <w:basedOn w:val="Normlny"/>
    <w:link w:val="ZkladntextChar"/>
    <w:uiPriority w:val="99"/>
    <w:unhideWhenUsed/>
    <w:rsid w:val="002E0F39"/>
    <w:pPr>
      <w:jc w:val="both"/>
    </w:pPr>
  </w:style>
  <w:style w:type="character" w:customStyle="1" w:styleId="ZkladntextChar">
    <w:name w:val="Základný text Char"/>
    <w:basedOn w:val="Predvolenpsmoodseku"/>
    <w:link w:val="Zkladntext"/>
    <w:uiPriority w:val="99"/>
    <w:locked/>
    <w:rsid w:val="002E0F39"/>
    <w:rPr>
      <w:rFonts w:ascii="Times New Roman" w:hAnsi="Times New Roman" w:cs="Times New Roman"/>
      <w:sz w:val="24"/>
      <w:szCs w:val="24"/>
      <w:lang w:val="x-none" w:eastAsia="sk-SK"/>
    </w:rPr>
  </w:style>
  <w:style w:type="paragraph" w:styleId="Odsekzoznamu">
    <w:name w:val="List Paragraph"/>
    <w:aliases w:val="body,Odsek,Odsek zoznamu1,Odsek zoznamu2"/>
    <w:basedOn w:val="Normlny"/>
    <w:link w:val="OdsekzoznamuChar"/>
    <w:uiPriority w:val="34"/>
    <w:qFormat/>
    <w:rsid w:val="002E0F39"/>
    <w:pPr>
      <w:ind w:left="720"/>
      <w:contextualSpacing/>
    </w:pPr>
  </w:style>
  <w:style w:type="paragraph" w:styleId="Hlavika">
    <w:name w:val="header"/>
    <w:basedOn w:val="Normlny"/>
    <w:link w:val="HlavikaChar"/>
    <w:uiPriority w:val="99"/>
    <w:unhideWhenUsed/>
    <w:rsid w:val="002E0F39"/>
    <w:pPr>
      <w:tabs>
        <w:tab w:val="center" w:pos="4536"/>
        <w:tab w:val="right" w:pos="9072"/>
      </w:tabs>
    </w:pPr>
  </w:style>
  <w:style w:type="character" w:customStyle="1" w:styleId="HlavikaChar">
    <w:name w:val="Hlavička Char"/>
    <w:basedOn w:val="Predvolenpsmoodseku"/>
    <w:link w:val="Hlavika"/>
    <w:uiPriority w:val="99"/>
    <w:locked/>
    <w:rsid w:val="002E0F39"/>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2E0F39"/>
    <w:pPr>
      <w:tabs>
        <w:tab w:val="center" w:pos="4536"/>
        <w:tab w:val="right" w:pos="9072"/>
      </w:tabs>
    </w:pPr>
  </w:style>
  <w:style w:type="character" w:customStyle="1" w:styleId="PtaChar">
    <w:name w:val="Päta Char"/>
    <w:basedOn w:val="Predvolenpsmoodseku"/>
    <w:link w:val="Pta"/>
    <w:uiPriority w:val="99"/>
    <w:locked/>
    <w:rsid w:val="002E0F39"/>
    <w:rPr>
      <w:rFonts w:ascii="Times New Roman" w:hAnsi="Times New Roman" w:cs="Times New Roman"/>
      <w:sz w:val="24"/>
      <w:szCs w:val="24"/>
      <w:lang w:val="x-none" w:eastAsia="sk-SK"/>
    </w:rPr>
  </w:style>
  <w:style w:type="character" w:styleId="Zvraznenie">
    <w:name w:val="Emphasis"/>
    <w:basedOn w:val="Predvolenpsmoodseku"/>
    <w:uiPriority w:val="20"/>
    <w:qFormat/>
    <w:rsid w:val="0082154D"/>
    <w:rPr>
      <w:rFonts w:ascii="Times New Roman" w:hAnsi="Times New Roman" w:cs="Times New Roman"/>
      <w:i/>
      <w:iCs/>
    </w:rPr>
  </w:style>
  <w:style w:type="paragraph" w:customStyle="1" w:styleId="TxBrp9">
    <w:name w:val="TxBr_p9"/>
    <w:basedOn w:val="Normlny"/>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Zkladntext2">
    <w:name w:val="Body Text 2"/>
    <w:basedOn w:val="Normlny"/>
    <w:link w:val="Zkladntext2Char"/>
    <w:uiPriority w:val="99"/>
    <w:semiHidden/>
    <w:unhideWhenUsed/>
    <w:rsid w:val="000B4B0D"/>
    <w:pPr>
      <w:spacing w:after="120" w:line="480" w:lineRule="auto"/>
    </w:pPr>
  </w:style>
  <w:style w:type="character" w:customStyle="1" w:styleId="Zkladntext2Char">
    <w:name w:val="Základný text 2 Char"/>
    <w:basedOn w:val="Predvolenpsmoodseku"/>
    <w:link w:val="Zkladntext2"/>
    <w:uiPriority w:val="99"/>
    <w:semiHidden/>
    <w:locked/>
    <w:rsid w:val="000B4B0D"/>
    <w:rPr>
      <w:rFonts w:ascii="Times New Roman" w:hAnsi="Times New Roman" w:cs="Times New Roman"/>
      <w:sz w:val="24"/>
      <w:szCs w:val="24"/>
      <w:lang w:val="x-none" w:eastAsia="sk-SK"/>
    </w:rPr>
  </w:style>
  <w:style w:type="paragraph" w:styleId="Zarkazkladnhotextu2">
    <w:name w:val="Body Text Indent 2"/>
    <w:basedOn w:val="Normlny"/>
    <w:link w:val="Zarkazkladnhotextu2Char"/>
    <w:uiPriority w:val="99"/>
    <w:semiHidden/>
    <w:unhideWhenUsed/>
    <w:rsid w:val="000B4B0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B4B0D"/>
    <w:rPr>
      <w:rFonts w:ascii="Times New Roman" w:hAnsi="Times New Roman" w:cs="Times New Roman"/>
      <w:sz w:val="24"/>
      <w:szCs w:val="24"/>
      <w:lang w:val="x-none" w:eastAsia="sk-SK"/>
    </w:rPr>
  </w:style>
  <w:style w:type="character" w:styleId="Hypertextovprepojenie">
    <w:name w:val="Hyperlink"/>
    <w:basedOn w:val="Predvolenpsmoodseku"/>
    <w:uiPriority w:val="99"/>
    <w:semiHidden/>
    <w:unhideWhenUsed/>
    <w:rsid w:val="00316036"/>
    <w:rPr>
      <w:rFonts w:cs="Times New Roman"/>
      <w:color w:val="0000FF"/>
      <w:u w:val="single"/>
    </w:rPr>
  </w:style>
  <w:style w:type="paragraph" w:styleId="Textbubliny">
    <w:name w:val="Balloon Text"/>
    <w:basedOn w:val="Normlny"/>
    <w:link w:val="TextbublinyChar"/>
    <w:uiPriority w:val="99"/>
    <w:semiHidden/>
    <w:unhideWhenUsed/>
    <w:rsid w:val="006A3FC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3FC4"/>
    <w:rPr>
      <w:rFonts w:ascii="Tahoma" w:hAnsi="Tahoma" w:cs="Tahoma"/>
      <w:sz w:val="16"/>
      <w:szCs w:val="16"/>
      <w:lang w:val="x-none" w:eastAsia="sk-SK"/>
    </w:rPr>
  </w:style>
  <w:style w:type="character" w:styleId="Zstupntext">
    <w:name w:val="Placeholder Text"/>
    <w:basedOn w:val="Predvolenpsmoodseku"/>
    <w:uiPriority w:val="99"/>
    <w:semiHidden/>
    <w:rsid w:val="00E774D0"/>
    <w:rPr>
      <w:rFonts w:ascii="Times New Roman" w:hAnsi="Times New Roman" w:cs="Times New Roman"/>
      <w:color w:val="000000"/>
    </w:rPr>
  </w:style>
  <w:style w:type="character" w:customStyle="1" w:styleId="OdsekzoznamuChar">
    <w:name w:val="Odsek zoznamu Char"/>
    <w:aliases w:val="body Char,Odsek Char,Odsek zoznamu1 Char,Odsek zoznamu2 Char"/>
    <w:basedOn w:val="Predvolenpsmoodseku"/>
    <w:link w:val="Odsekzoznamu"/>
    <w:uiPriority w:val="34"/>
    <w:locked/>
    <w:rsid w:val="002A7F76"/>
    <w:rPr>
      <w:rFonts w:ascii="Times New Roman" w:hAnsi="Times New Roman" w:cs="Times New Roman"/>
      <w:sz w:val="24"/>
      <w:szCs w:val="24"/>
      <w:lang w:val="x-none" w:eastAsia="sk-SK"/>
    </w:rPr>
  </w:style>
  <w:style w:type="paragraph" w:customStyle="1" w:styleId="Zkladntext0">
    <w:name w:val="Základní text"/>
    <w:rsid w:val="00730B49"/>
    <w:pPr>
      <w:overflowPunct w:val="0"/>
      <w:autoSpaceDE w:val="0"/>
      <w:autoSpaceDN w:val="0"/>
      <w:adjustRightInd w:val="0"/>
      <w:spacing w:after="0" w:line="240" w:lineRule="auto"/>
    </w:pPr>
    <w:rPr>
      <w:rFonts w:ascii="Times New Roman" w:hAnsi="Times New Roman" w:cs="Times New Roman"/>
      <w:color w:val="000000"/>
      <w:sz w:val="24"/>
      <w:szCs w:val="20"/>
      <w:lang w:eastAsia="cs-CZ"/>
    </w:rPr>
  </w:style>
  <w:style w:type="paragraph" w:customStyle="1" w:styleId="gmail-msolistparagraph">
    <w:name w:val="gmail-msolistparagraph"/>
    <w:basedOn w:val="Normlny"/>
    <w:rsid w:val="002A51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35849">
      <w:marLeft w:val="0"/>
      <w:marRight w:val="0"/>
      <w:marTop w:val="0"/>
      <w:marBottom w:val="0"/>
      <w:divBdr>
        <w:top w:val="none" w:sz="0" w:space="0" w:color="auto"/>
        <w:left w:val="none" w:sz="0" w:space="0" w:color="auto"/>
        <w:bottom w:val="none" w:sz="0" w:space="0" w:color="auto"/>
        <w:right w:val="none" w:sz="0" w:space="0" w:color="auto"/>
      </w:divBdr>
    </w:div>
    <w:div w:id="2142335850">
      <w:marLeft w:val="0"/>
      <w:marRight w:val="0"/>
      <w:marTop w:val="0"/>
      <w:marBottom w:val="0"/>
      <w:divBdr>
        <w:top w:val="none" w:sz="0" w:space="0" w:color="auto"/>
        <w:left w:val="none" w:sz="0" w:space="0" w:color="auto"/>
        <w:bottom w:val="none" w:sz="0" w:space="0" w:color="auto"/>
        <w:right w:val="none" w:sz="0" w:space="0" w:color="auto"/>
      </w:divBdr>
    </w:div>
    <w:div w:id="2142335851">
      <w:marLeft w:val="0"/>
      <w:marRight w:val="0"/>
      <w:marTop w:val="0"/>
      <w:marBottom w:val="0"/>
      <w:divBdr>
        <w:top w:val="none" w:sz="0" w:space="0" w:color="auto"/>
        <w:left w:val="none" w:sz="0" w:space="0" w:color="auto"/>
        <w:bottom w:val="none" w:sz="0" w:space="0" w:color="auto"/>
        <w:right w:val="none" w:sz="0" w:space="0" w:color="auto"/>
      </w:divBdr>
    </w:div>
    <w:div w:id="2142335852">
      <w:marLeft w:val="0"/>
      <w:marRight w:val="0"/>
      <w:marTop w:val="0"/>
      <w:marBottom w:val="0"/>
      <w:divBdr>
        <w:top w:val="none" w:sz="0" w:space="0" w:color="auto"/>
        <w:left w:val="none" w:sz="0" w:space="0" w:color="auto"/>
        <w:bottom w:val="none" w:sz="0" w:space="0" w:color="auto"/>
        <w:right w:val="none" w:sz="0" w:space="0" w:color="auto"/>
      </w:divBdr>
    </w:div>
    <w:div w:id="2142335853">
      <w:marLeft w:val="0"/>
      <w:marRight w:val="0"/>
      <w:marTop w:val="0"/>
      <w:marBottom w:val="0"/>
      <w:divBdr>
        <w:top w:val="none" w:sz="0" w:space="0" w:color="auto"/>
        <w:left w:val="none" w:sz="0" w:space="0" w:color="auto"/>
        <w:bottom w:val="none" w:sz="0" w:space="0" w:color="auto"/>
        <w:right w:val="none" w:sz="0" w:space="0" w:color="auto"/>
      </w:divBdr>
    </w:div>
    <w:div w:id="2142335854">
      <w:marLeft w:val="0"/>
      <w:marRight w:val="0"/>
      <w:marTop w:val="0"/>
      <w:marBottom w:val="0"/>
      <w:divBdr>
        <w:top w:val="none" w:sz="0" w:space="0" w:color="auto"/>
        <w:left w:val="none" w:sz="0" w:space="0" w:color="auto"/>
        <w:bottom w:val="none" w:sz="0" w:space="0" w:color="auto"/>
        <w:right w:val="none" w:sz="0" w:space="0" w:color="auto"/>
      </w:divBdr>
    </w:div>
    <w:div w:id="2142335855">
      <w:marLeft w:val="0"/>
      <w:marRight w:val="0"/>
      <w:marTop w:val="0"/>
      <w:marBottom w:val="0"/>
      <w:divBdr>
        <w:top w:val="none" w:sz="0" w:space="0" w:color="auto"/>
        <w:left w:val="none" w:sz="0" w:space="0" w:color="auto"/>
        <w:bottom w:val="none" w:sz="0" w:space="0" w:color="auto"/>
        <w:right w:val="none" w:sz="0" w:space="0" w:color="auto"/>
      </w:divBdr>
    </w:div>
    <w:div w:id="2142335856">
      <w:marLeft w:val="0"/>
      <w:marRight w:val="0"/>
      <w:marTop w:val="0"/>
      <w:marBottom w:val="0"/>
      <w:divBdr>
        <w:top w:val="none" w:sz="0" w:space="0" w:color="auto"/>
        <w:left w:val="none" w:sz="0" w:space="0" w:color="auto"/>
        <w:bottom w:val="none" w:sz="0" w:space="0" w:color="auto"/>
        <w:right w:val="none" w:sz="0" w:space="0" w:color="auto"/>
      </w:divBdr>
    </w:div>
    <w:div w:id="2142335857">
      <w:marLeft w:val="0"/>
      <w:marRight w:val="0"/>
      <w:marTop w:val="0"/>
      <w:marBottom w:val="0"/>
      <w:divBdr>
        <w:top w:val="none" w:sz="0" w:space="0" w:color="auto"/>
        <w:left w:val="none" w:sz="0" w:space="0" w:color="auto"/>
        <w:bottom w:val="none" w:sz="0" w:space="0" w:color="auto"/>
        <w:right w:val="none" w:sz="0" w:space="0" w:color="auto"/>
      </w:divBdr>
    </w:div>
    <w:div w:id="2142335858">
      <w:marLeft w:val="0"/>
      <w:marRight w:val="0"/>
      <w:marTop w:val="0"/>
      <w:marBottom w:val="0"/>
      <w:divBdr>
        <w:top w:val="none" w:sz="0" w:space="0" w:color="auto"/>
        <w:left w:val="none" w:sz="0" w:space="0" w:color="auto"/>
        <w:bottom w:val="none" w:sz="0" w:space="0" w:color="auto"/>
        <w:right w:val="none" w:sz="0" w:space="0" w:color="auto"/>
      </w:divBdr>
    </w:div>
    <w:div w:id="2142335859">
      <w:marLeft w:val="0"/>
      <w:marRight w:val="0"/>
      <w:marTop w:val="0"/>
      <w:marBottom w:val="0"/>
      <w:divBdr>
        <w:top w:val="none" w:sz="0" w:space="0" w:color="auto"/>
        <w:left w:val="none" w:sz="0" w:space="0" w:color="auto"/>
        <w:bottom w:val="none" w:sz="0" w:space="0" w:color="auto"/>
        <w:right w:val="none" w:sz="0" w:space="0" w:color="auto"/>
      </w:divBdr>
    </w:div>
    <w:div w:id="2142335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E25A-470E-4112-AAEB-A22CF3A4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1458</Words>
  <Characters>8312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lujzinka</dc:creator>
  <cp:keywords/>
  <dc:description/>
  <cp:lastModifiedBy>Ebringerová, Viera</cp:lastModifiedBy>
  <cp:revision>13</cp:revision>
  <cp:lastPrinted>2019-03-26T16:29:00Z</cp:lastPrinted>
  <dcterms:created xsi:type="dcterms:W3CDTF">2019-03-15T09:06:00Z</dcterms:created>
  <dcterms:modified xsi:type="dcterms:W3CDTF">2019-03-27T09:47:00Z</dcterms:modified>
</cp:coreProperties>
</file>