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95D" w:rsidRPr="00E35790" w:rsidRDefault="0085295D" w:rsidP="0085295D">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85295D" w:rsidRPr="00E35790" w:rsidRDefault="0085295D" w:rsidP="0085295D">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 volebné obdobie</w:t>
      </w:r>
      <w:r w:rsidRPr="00E35790">
        <w:rPr>
          <w:rFonts w:ascii="Times New Roman" w:hAnsi="Times New Roman"/>
          <w:b/>
          <w:sz w:val="28"/>
        </w:rPr>
        <w:br/>
      </w:r>
    </w:p>
    <w:p w:rsidR="0085295D" w:rsidRPr="00E35790" w:rsidRDefault="0085295D" w:rsidP="0085295D">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w:t>
      </w:r>
      <w:r w:rsidR="00E90FA9">
        <w:rPr>
          <w:rFonts w:ascii="Times New Roman" w:hAnsi="Times New Roman"/>
          <w:bCs/>
        </w:rPr>
        <w:t>2196</w:t>
      </w:r>
      <w:r>
        <w:rPr>
          <w:rFonts w:ascii="Times New Roman" w:hAnsi="Times New Roman"/>
          <w:bCs/>
        </w:rPr>
        <w:t>/2018</w:t>
      </w:r>
    </w:p>
    <w:p w:rsidR="0085295D" w:rsidRDefault="0085295D" w:rsidP="0085295D">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F5D28" w:rsidRDefault="002F5D28" w:rsidP="0085295D">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85295D" w:rsidRPr="00D25F2F" w:rsidRDefault="00E90FA9" w:rsidP="0085295D">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1238</w:t>
      </w:r>
      <w:r w:rsidR="0085295D" w:rsidRPr="00D25F2F">
        <w:rPr>
          <w:rFonts w:ascii="Times New Roman" w:hAnsi="Times New Roman"/>
          <w:b/>
          <w:bCs/>
          <w:sz w:val="32"/>
          <w:szCs w:val="32"/>
          <w:lang w:eastAsia="sk-SK"/>
        </w:rPr>
        <w:t>a</w:t>
      </w:r>
    </w:p>
    <w:p w:rsidR="0085295D" w:rsidRPr="00E35790" w:rsidRDefault="0085295D" w:rsidP="0085295D">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85295D" w:rsidRPr="00E35790" w:rsidRDefault="0085295D" w:rsidP="0085295D">
      <w:pPr>
        <w:tabs>
          <w:tab w:val="left" w:pos="-1985"/>
          <w:tab w:val="left" w:pos="709"/>
          <w:tab w:val="left" w:pos="1077"/>
        </w:tabs>
        <w:jc w:val="both"/>
        <w:rPr>
          <w:rFonts w:ascii="Times New Roman" w:hAnsi="Times New Roman"/>
        </w:rPr>
      </w:pPr>
    </w:p>
    <w:p w:rsidR="0085295D" w:rsidRPr="00E90FA9" w:rsidRDefault="0085295D" w:rsidP="00213E7D">
      <w:pPr>
        <w:spacing w:line="276" w:lineRule="auto"/>
        <w:jc w:val="both"/>
        <w:rPr>
          <w:rFonts w:ascii="Times New Roman" w:hAnsi="Times New Roman"/>
          <w:b/>
          <w:bCs/>
          <w:szCs w:val="24"/>
        </w:rPr>
      </w:pPr>
      <w:r w:rsidRPr="00E90FA9">
        <w:rPr>
          <w:rFonts w:ascii="Times New Roman" w:hAnsi="Times New Roman"/>
          <w:b/>
          <w:szCs w:val="24"/>
        </w:rPr>
        <w:t xml:space="preserve">výborov Národnej rady Slovenskej republiky o prerokovaní návrhu </w:t>
      </w:r>
      <w:r w:rsidR="00E90FA9" w:rsidRPr="00E90FA9">
        <w:rPr>
          <w:rFonts w:ascii="Times New Roman" w:hAnsi="Times New Roman"/>
          <w:b/>
          <w:bCs/>
        </w:rPr>
        <w:t xml:space="preserve">poslancov Národnej rady Slovenskej republiky Irén Sárközy </w:t>
      </w:r>
      <w:r w:rsidR="00E90FA9" w:rsidRPr="00E90FA9">
        <w:rPr>
          <w:rFonts w:ascii="Times New Roman" w:hAnsi="Times New Roman"/>
          <w:b/>
        </w:rPr>
        <w:t>a Petra A</w:t>
      </w:r>
      <w:r w:rsidR="009722E5">
        <w:rPr>
          <w:rFonts w:ascii="Times New Roman" w:hAnsi="Times New Roman"/>
          <w:b/>
        </w:rPr>
        <w:t>ntala</w:t>
      </w:r>
      <w:r w:rsidR="00E90FA9" w:rsidRPr="00E90FA9">
        <w:rPr>
          <w:rFonts w:ascii="Times New Roman" w:hAnsi="Times New Roman"/>
          <w:b/>
        </w:rPr>
        <w:t xml:space="preserve"> na  vydanie  zákona, ktorým sa mení a dopĺňa zákon č. 461/2003 Z. z. o sociálnom poistení v znení neskorších predpisov (tlač 1238)</w:t>
      </w:r>
    </w:p>
    <w:p w:rsidR="0085295D" w:rsidRDefault="0085295D" w:rsidP="0085295D">
      <w:pPr>
        <w:tabs>
          <w:tab w:val="left" w:pos="-1985"/>
          <w:tab w:val="left" w:pos="709"/>
          <w:tab w:val="left" w:pos="1077"/>
        </w:tabs>
        <w:spacing w:line="276" w:lineRule="auto"/>
        <w:jc w:val="both"/>
        <w:rPr>
          <w:rFonts w:ascii="Times New Roman" w:hAnsi="Times New Roman"/>
        </w:rPr>
      </w:pPr>
      <w:r>
        <w:rPr>
          <w:rFonts w:ascii="Times New Roman" w:hAnsi="Times New Roman"/>
        </w:rPr>
        <w:t>___________________________________________________________________________</w:t>
      </w:r>
    </w:p>
    <w:p w:rsidR="0085295D" w:rsidRPr="00E35790" w:rsidRDefault="0085295D" w:rsidP="0085295D">
      <w:pPr>
        <w:tabs>
          <w:tab w:val="left" w:pos="-1985"/>
          <w:tab w:val="left" w:pos="709"/>
          <w:tab w:val="left" w:pos="1077"/>
        </w:tabs>
        <w:spacing w:line="276" w:lineRule="auto"/>
        <w:jc w:val="both"/>
        <w:rPr>
          <w:rFonts w:ascii="Times New Roman" w:hAnsi="Times New Roman"/>
        </w:rPr>
      </w:pPr>
    </w:p>
    <w:p w:rsidR="0085295D" w:rsidRPr="00E35790" w:rsidRDefault="0085295D" w:rsidP="00E90FA9">
      <w:pPr>
        <w:spacing w:line="276" w:lineRule="auto"/>
        <w:jc w:val="both"/>
        <w:rPr>
          <w:rFonts w:ascii="Times New Roman" w:hAnsi="Times New Roman"/>
        </w:rPr>
      </w:pPr>
      <w:r w:rsidRPr="0085295D">
        <w:rPr>
          <w:rFonts w:ascii="Times New Roman" w:hAnsi="Times New Roman"/>
        </w:rPr>
        <w:tab/>
        <w:t xml:space="preserve">Výbor Národnej rady Slovenskej republiky pre sociálne veci ako gestorský výbor </w:t>
      </w:r>
      <w:r w:rsidRPr="0085295D">
        <w:rPr>
          <w:rFonts w:ascii="Times New Roman" w:hAnsi="Times New Roman"/>
          <w:b/>
          <w:szCs w:val="24"/>
        </w:rPr>
        <w:t xml:space="preserve">k návrhu </w:t>
      </w:r>
      <w:r w:rsidRPr="0085295D">
        <w:rPr>
          <w:rFonts w:ascii="Times New Roman" w:hAnsi="Times New Roman"/>
          <w:b/>
          <w:bCs/>
          <w:szCs w:val="24"/>
        </w:rPr>
        <w:t>poslancov</w:t>
      </w:r>
      <w:r w:rsidRPr="0085295D">
        <w:rPr>
          <w:rFonts w:ascii="Times New Roman" w:hAnsi="Times New Roman"/>
          <w:bCs/>
          <w:szCs w:val="24"/>
        </w:rPr>
        <w:t xml:space="preserve"> </w:t>
      </w:r>
      <w:r w:rsidR="00E90FA9" w:rsidRPr="00E333B8">
        <w:rPr>
          <w:rFonts w:ascii="Times New Roman" w:hAnsi="Times New Roman"/>
          <w:bCs/>
        </w:rPr>
        <w:t>Národnej rady Slovenskej republiky Irén Sárközy</w:t>
      </w:r>
      <w:r w:rsidR="00E90FA9">
        <w:rPr>
          <w:rFonts w:ascii="Times New Roman" w:hAnsi="Times New Roman"/>
          <w:bCs/>
        </w:rPr>
        <w:t xml:space="preserve"> </w:t>
      </w:r>
      <w:r w:rsidR="00E90FA9" w:rsidRPr="001E0B24">
        <w:rPr>
          <w:rFonts w:ascii="Times New Roman" w:hAnsi="Times New Roman"/>
        </w:rPr>
        <w:t>a Petra A</w:t>
      </w:r>
      <w:r w:rsidR="009722E5">
        <w:rPr>
          <w:rFonts w:ascii="Times New Roman" w:hAnsi="Times New Roman"/>
        </w:rPr>
        <w:t>ntala</w:t>
      </w:r>
      <w:r w:rsidR="00E90FA9" w:rsidRPr="001E0B24">
        <w:rPr>
          <w:rFonts w:ascii="Times New Roman" w:hAnsi="Times New Roman"/>
        </w:rPr>
        <w:t xml:space="preserve"> na vydanie  zákona, ktorým  sa mení a dopĺňa zákon č. 461/2003 Z. z. o sociálnom poistení v znení neskorších predpisov </w:t>
      </w:r>
      <w:r w:rsidR="00E90FA9" w:rsidRPr="001E0B24">
        <w:rPr>
          <w:rFonts w:ascii="Times New Roman" w:hAnsi="Times New Roman"/>
          <w:b/>
        </w:rPr>
        <w:t>(tlač 1238)</w:t>
      </w:r>
      <w:r>
        <w:rPr>
          <w:rFonts w:ascii="Times New Roman" w:hAnsi="Times New Roman"/>
          <w:b/>
          <w:szCs w:val="24"/>
        </w:rPr>
        <w:t xml:space="preserve"> </w:t>
      </w:r>
      <w:r w:rsidRPr="00E35790">
        <w:rPr>
          <w:rFonts w:ascii="Times New Roman" w:hAnsi="Times New Roman"/>
        </w:rPr>
        <w:t xml:space="preserve">(ďalej len „gestorský výbor“) podáva Národnej rade Slovenskej republiky v súlade s § 79 ods. 1 zákona Národnej rady Slovenskej republiky </w:t>
      </w:r>
      <w:r w:rsidR="000272F3">
        <w:rPr>
          <w:rFonts w:ascii="Times New Roman" w:hAnsi="Times New Roman"/>
        </w:rPr>
        <w:br/>
      </w:r>
      <w:r w:rsidRPr="00E35790">
        <w:rPr>
          <w:rFonts w:ascii="Times New Roman" w:hAnsi="Times New Roman"/>
        </w:rPr>
        <w:t xml:space="preserve">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85295D" w:rsidRPr="00E35790" w:rsidRDefault="0085295D" w:rsidP="00E90FA9">
      <w:pPr>
        <w:tabs>
          <w:tab w:val="left" w:pos="-1985"/>
          <w:tab w:val="left" w:pos="709"/>
          <w:tab w:val="left" w:pos="1077"/>
        </w:tabs>
        <w:spacing w:line="276" w:lineRule="auto"/>
        <w:jc w:val="both"/>
        <w:rPr>
          <w:rFonts w:ascii="Times New Roman" w:hAnsi="Times New Roman"/>
        </w:rPr>
      </w:pPr>
    </w:p>
    <w:p w:rsidR="0085295D" w:rsidRPr="00E35790" w:rsidRDefault="0085295D" w:rsidP="00E90FA9">
      <w:pPr>
        <w:tabs>
          <w:tab w:val="left" w:pos="-1985"/>
          <w:tab w:val="left" w:pos="709"/>
          <w:tab w:val="left" w:pos="1077"/>
        </w:tabs>
        <w:spacing w:line="276" w:lineRule="auto"/>
        <w:jc w:val="both"/>
        <w:rPr>
          <w:rFonts w:ascii="Times New Roman" w:hAnsi="Times New Roman"/>
        </w:rPr>
      </w:pPr>
    </w:p>
    <w:p w:rsidR="0085295D" w:rsidRPr="00E35790" w:rsidRDefault="0085295D" w:rsidP="0085295D">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85295D" w:rsidRPr="00E35790" w:rsidRDefault="0085295D" w:rsidP="0085295D">
      <w:pPr>
        <w:tabs>
          <w:tab w:val="left" w:pos="-1985"/>
          <w:tab w:val="left" w:pos="709"/>
          <w:tab w:val="left" w:pos="1077"/>
        </w:tabs>
        <w:spacing w:line="276" w:lineRule="auto"/>
        <w:jc w:val="both"/>
        <w:rPr>
          <w:rFonts w:ascii="Times New Roman" w:hAnsi="Times New Roman"/>
        </w:rPr>
      </w:pPr>
    </w:p>
    <w:p w:rsidR="0085295D" w:rsidRPr="00E35790" w:rsidRDefault="0085295D" w:rsidP="0085295D">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616CC5">
        <w:rPr>
          <w:rFonts w:ascii="Times New Roman" w:hAnsi="Times New Roman"/>
          <w:lang w:eastAsia="sk-SK"/>
        </w:rPr>
        <w:t xml:space="preserve"> 1629</w:t>
      </w:r>
      <w:r>
        <w:rPr>
          <w:rFonts w:ascii="Times New Roman" w:hAnsi="Times New Roman"/>
          <w:lang w:eastAsia="sk-SK"/>
        </w:rPr>
        <w:t xml:space="preserve"> </w:t>
      </w:r>
      <w:r w:rsidRPr="00E35790">
        <w:rPr>
          <w:rFonts w:ascii="Times New Roman" w:hAnsi="Times New Roman"/>
          <w:lang w:eastAsia="sk-SK"/>
        </w:rPr>
        <w:t>z</w:t>
      </w:r>
      <w:r w:rsidR="00616CC5">
        <w:rPr>
          <w:rFonts w:ascii="Times New Roman" w:hAnsi="Times New Roman"/>
          <w:lang w:eastAsia="sk-SK"/>
        </w:rPr>
        <w:t>o</w:t>
      </w:r>
      <w:r>
        <w:rPr>
          <w:rFonts w:ascii="Times New Roman" w:hAnsi="Times New Roman"/>
          <w:lang w:eastAsia="sk-SK"/>
        </w:rPr>
        <w:t xml:space="preserve"> </w:t>
      </w:r>
      <w:r w:rsidR="00616CC5">
        <w:rPr>
          <w:rFonts w:ascii="Times New Roman" w:hAnsi="Times New Roman"/>
          <w:lang w:eastAsia="sk-SK"/>
        </w:rPr>
        <w:t>7</w:t>
      </w:r>
      <w:r>
        <w:rPr>
          <w:rFonts w:ascii="Times New Roman" w:hAnsi="Times New Roman"/>
          <w:lang w:eastAsia="sk-SK"/>
        </w:rPr>
        <w:t xml:space="preserve">. </w:t>
      </w:r>
      <w:r w:rsidR="009C18F0">
        <w:rPr>
          <w:rFonts w:ascii="Times New Roman" w:hAnsi="Times New Roman"/>
          <w:lang w:eastAsia="sk-SK"/>
        </w:rPr>
        <w:t>februára</w:t>
      </w:r>
      <w:r w:rsidR="00D3227F">
        <w:rPr>
          <w:rFonts w:ascii="Times New Roman" w:hAnsi="Times New Roman"/>
          <w:lang w:eastAsia="sk-SK"/>
        </w:rPr>
        <w:t xml:space="preserve"> </w:t>
      </w:r>
      <w:r>
        <w:rPr>
          <w:rFonts w:ascii="Times New Roman" w:hAnsi="Times New Roman"/>
          <w:lang w:eastAsia="sk-SK"/>
        </w:rPr>
        <w:t>201</w:t>
      </w:r>
      <w:r w:rsidR="00D3227F">
        <w:rPr>
          <w:rFonts w:ascii="Times New Roman" w:hAnsi="Times New Roman"/>
          <w:lang w:eastAsia="sk-SK"/>
        </w:rPr>
        <w:t>9</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85295D" w:rsidRPr="00E35790" w:rsidRDefault="0085295D" w:rsidP="0085295D">
      <w:pPr>
        <w:tabs>
          <w:tab w:val="left" w:pos="-1985"/>
          <w:tab w:val="left" w:pos="709"/>
          <w:tab w:val="left" w:pos="1077"/>
        </w:tabs>
        <w:spacing w:line="276" w:lineRule="auto"/>
        <w:jc w:val="both"/>
        <w:rPr>
          <w:rFonts w:ascii="Times New Roman" w:hAnsi="Times New Roman"/>
        </w:rPr>
      </w:pPr>
    </w:p>
    <w:p w:rsidR="00E90FA9" w:rsidRDefault="0085295D" w:rsidP="0085295D">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sidR="00E90FA9">
        <w:rPr>
          <w:rFonts w:ascii="Times New Roman" w:hAnsi="Times New Roman"/>
          <w:szCs w:val="24"/>
        </w:rPr>
        <w:t>,</w:t>
      </w:r>
    </w:p>
    <w:p w:rsidR="0085295D" w:rsidRPr="005D244C" w:rsidRDefault="00E90FA9" w:rsidP="0085295D">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financie a rozpočet </w:t>
      </w:r>
      <w:r w:rsidR="0085295D">
        <w:rPr>
          <w:rFonts w:ascii="Times New Roman" w:hAnsi="Times New Roman"/>
          <w:szCs w:val="24"/>
        </w:rPr>
        <w:t>a</w:t>
      </w:r>
      <w:r w:rsidR="0085295D" w:rsidRPr="005D244C">
        <w:rPr>
          <w:rFonts w:ascii="Times New Roman" w:hAnsi="Times New Roman"/>
          <w:szCs w:val="24"/>
        </w:rPr>
        <w:t xml:space="preserve"> </w:t>
      </w:r>
    </w:p>
    <w:p w:rsidR="0085295D" w:rsidRPr="005D244C" w:rsidRDefault="0085295D" w:rsidP="0085295D">
      <w:pPr>
        <w:tabs>
          <w:tab w:val="left" w:pos="-1985"/>
          <w:tab w:val="left" w:pos="709"/>
          <w:tab w:val="left" w:pos="1077"/>
        </w:tabs>
        <w:spacing w:line="276" w:lineRule="auto"/>
        <w:jc w:val="both"/>
        <w:rPr>
          <w:rFonts w:ascii="Times New Roman" w:hAnsi="Times New Roman"/>
          <w:szCs w:val="24"/>
        </w:rPr>
      </w:pPr>
      <w:r w:rsidRPr="005D244C">
        <w:rPr>
          <w:rFonts w:ascii="Times New Roman" w:hAnsi="Times New Roman"/>
          <w:szCs w:val="24"/>
        </w:rPr>
        <w:tab/>
        <w:t>Výboru Národnej rady Slovenskej republiky pre sociálne veci</w:t>
      </w:r>
      <w:r>
        <w:rPr>
          <w:rFonts w:ascii="Times New Roman" w:hAnsi="Times New Roman"/>
          <w:szCs w:val="24"/>
        </w:rPr>
        <w:t>.</w:t>
      </w:r>
    </w:p>
    <w:p w:rsidR="0085295D" w:rsidRDefault="0085295D" w:rsidP="0085295D">
      <w:pPr>
        <w:tabs>
          <w:tab w:val="left" w:pos="-1985"/>
          <w:tab w:val="left" w:pos="709"/>
          <w:tab w:val="left" w:pos="1077"/>
        </w:tabs>
        <w:spacing w:line="276" w:lineRule="auto"/>
        <w:jc w:val="both"/>
        <w:rPr>
          <w:rFonts w:ascii="Times New Roman" w:hAnsi="Times New Roman"/>
        </w:rPr>
      </w:pPr>
    </w:p>
    <w:p w:rsidR="0085295D" w:rsidRPr="003C5E8A" w:rsidRDefault="0085295D" w:rsidP="0085295D">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85295D" w:rsidRDefault="0085295D" w:rsidP="0085295D">
      <w:pPr>
        <w:tabs>
          <w:tab w:val="left" w:pos="-1985"/>
          <w:tab w:val="left" w:pos="709"/>
          <w:tab w:val="left" w:pos="1077"/>
        </w:tabs>
        <w:spacing w:line="276" w:lineRule="auto"/>
        <w:jc w:val="both"/>
        <w:rPr>
          <w:rFonts w:ascii="Times New Roman" w:hAnsi="Times New Roman"/>
        </w:rPr>
      </w:pPr>
    </w:p>
    <w:p w:rsidR="009B69CE" w:rsidRDefault="009B69CE" w:rsidP="0085295D">
      <w:pPr>
        <w:tabs>
          <w:tab w:val="left" w:pos="-1985"/>
          <w:tab w:val="left" w:pos="709"/>
          <w:tab w:val="left" w:pos="1077"/>
        </w:tabs>
        <w:spacing w:line="276" w:lineRule="auto"/>
        <w:jc w:val="both"/>
        <w:rPr>
          <w:rFonts w:ascii="Times New Roman" w:hAnsi="Times New Roman"/>
        </w:rPr>
      </w:pPr>
    </w:p>
    <w:p w:rsidR="0085295D" w:rsidRDefault="0085295D" w:rsidP="0085295D">
      <w:pPr>
        <w:tabs>
          <w:tab w:val="left" w:pos="-1985"/>
          <w:tab w:val="left" w:pos="709"/>
          <w:tab w:val="left" w:pos="1077"/>
        </w:tabs>
        <w:spacing w:line="276" w:lineRule="auto"/>
        <w:jc w:val="both"/>
        <w:rPr>
          <w:rFonts w:ascii="Times New Roman" w:hAnsi="Times New Roman"/>
        </w:rPr>
      </w:pPr>
    </w:p>
    <w:p w:rsidR="0085295D" w:rsidRPr="00E35790" w:rsidRDefault="0085295D" w:rsidP="0085295D">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85295D" w:rsidRPr="00E35790" w:rsidRDefault="0085295D" w:rsidP="00E90FA9">
      <w:pPr>
        <w:tabs>
          <w:tab w:val="left" w:pos="-1985"/>
          <w:tab w:val="left" w:pos="709"/>
          <w:tab w:val="left" w:pos="1077"/>
        </w:tabs>
        <w:spacing w:line="276" w:lineRule="auto"/>
        <w:jc w:val="center"/>
        <w:rPr>
          <w:rFonts w:ascii="Times New Roman" w:hAnsi="Times New Roman"/>
          <w:b/>
          <w:bCs/>
        </w:rPr>
      </w:pPr>
    </w:p>
    <w:p w:rsidR="0085295D" w:rsidRPr="00E35790" w:rsidRDefault="0085295D" w:rsidP="00E90FA9">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85295D" w:rsidRPr="00E35790" w:rsidRDefault="0085295D" w:rsidP="00E90FA9">
      <w:pPr>
        <w:tabs>
          <w:tab w:val="left" w:pos="-1985"/>
          <w:tab w:val="left" w:pos="709"/>
          <w:tab w:val="left" w:pos="1077"/>
        </w:tabs>
        <w:spacing w:line="276" w:lineRule="auto"/>
        <w:jc w:val="both"/>
        <w:rPr>
          <w:rFonts w:ascii="Times New Roman" w:hAnsi="Times New Roman"/>
        </w:rPr>
      </w:pPr>
    </w:p>
    <w:p w:rsidR="0085295D" w:rsidRPr="00D056E2" w:rsidRDefault="0085295D" w:rsidP="00E90FA9">
      <w:pPr>
        <w:tabs>
          <w:tab w:val="left" w:pos="-1985"/>
          <w:tab w:val="left" w:pos="709"/>
          <w:tab w:val="left" w:pos="1077"/>
        </w:tabs>
        <w:spacing w:line="276" w:lineRule="auto"/>
        <w:jc w:val="both"/>
        <w:rPr>
          <w:rFonts w:ascii="Times New Roman" w:hAnsi="Times New Roman"/>
          <w:b/>
        </w:rPr>
      </w:pPr>
    </w:p>
    <w:p w:rsidR="0085295D" w:rsidRPr="00E35790" w:rsidRDefault="0085295D" w:rsidP="00E90FA9">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85295D" w:rsidRPr="00011996" w:rsidRDefault="0085295D" w:rsidP="00E90FA9">
      <w:pPr>
        <w:tabs>
          <w:tab w:val="left" w:pos="-1985"/>
          <w:tab w:val="left" w:pos="709"/>
          <w:tab w:val="left" w:pos="1077"/>
        </w:tabs>
        <w:spacing w:line="276" w:lineRule="auto"/>
        <w:jc w:val="center"/>
        <w:rPr>
          <w:rFonts w:ascii="Times New Roman" w:hAnsi="Times New Roman"/>
          <w:b/>
          <w:bCs/>
          <w:szCs w:val="24"/>
        </w:rPr>
      </w:pPr>
    </w:p>
    <w:p w:rsidR="0085295D" w:rsidRPr="00011996" w:rsidRDefault="0085295D" w:rsidP="00E90FA9">
      <w:pPr>
        <w:spacing w:line="276" w:lineRule="auto"/>
        <w:jc w:val="both"/>
        <w:rPr>
          <w:rFonts w:ascii="Times New Roman" w:hAnsi="Times New Roman"/>
          <w:szCs w:val="24"/>
        </w:rPr>
      </w:pPr>
      <w:r w:rsidRPr="00011996">
        <w:rPr>
          <w:rFonts w:ascii="Times New Roman" w:hAnsi="Times New Roman"/>
          <w:szCs w:val="24"/>
        </w:rPr>
        <w:tab/>
      </w:r>
      <w:r w:rsidRPr="00F83468">
        <w:rPr>
          <w:rFonts w:ascii="Times New Roman" w:hAnsi="Times New Roman"/>
          <w:szCs w:val="24"/>
        </w:rPr>
        <w:t xml:space="preserve">Návrh </w:t>
      </w:r>
      <w:r w:rsidR="00E90FA9" w:rsidRPr="00E333B8">
        <w:rPr>
          <w:rFonts w:ascii="Times New Roman" w:hAnsi="Times New Roman"/>
          <w:bCs/>
        </w:rPr>
        <w:t>poslancov Národnej rady Slovenskej republiky Irén Sárközy</w:t>
      </w:r>
      <w:r w:rsidR="00E90FA9">
        <w:rPr>
          <w:rFonts w:ascii="Times New Roman" w:hAnsi="Times New Roman"/>
          <w:bCs/>
        </w:rPr>
        <w:t xml:space="preserve"> </w:t>
      </w:r>
      <w:r w:rsidR="00E90FA9" w:rsidRPr="001E0B24">
        <w:rPr>
          <w:rFonts w:ascii="Times New Roman" w:hAnsi="Times New Roman"/>
        </w:rPr>
        <w:t>a Petra A</w:t>
      </w:r>
      <w:r w:rsidR="009722E5">
        <w:rPr>
          <w:rFonts w:ascii="Times New Roman" w:hAnsi="Times New Roman"/>
        </w:rPr>
        <w:t>ntala</w:t>
      </w:r>
      <w:r w:rsidR="00E90FA9" w:rsidRPr="001E0B24">
        <w:rPr>
          <w:rFonts w:ascii="Times New Roman" w:hAnsi="Times New Roman"/>
        </w:rPr>
        <w:t xml:space="preserve"> na vydanie zákona, ktorým sa mení a dopĺňa zákon č. 461/2003 Z. z. o sociálnom poistení v znení neskorších predpisov </w:t>
      </w:r>
      <w:r w:rsidR="00E90FA9" w:rsidRPr="001E0B24">
        <w:rPr>
          <w:rFonts w:ascii="Times New Roman" w:hAnsi="Times New Roman"/>
          <w:b/>
        </w:rPr>
        <w:t>(tlač 1238)</w:t>
      </w:r>
      <w:r>
        <w:rPr>
          <w:rFonts w:ascii="Times New Roman" w:hAnsi="Times New Roman"/>
          <w:b/>
          <w:szCs w:val="24"/>
        </w:rPr>
        <w:t xml:space="preserve"> </w:t>
      </w:r>
      <w:r>
        <w:rPr>
          <w:rFonts w:ascii="Times New Roman" w:hAnsi="Times New Roman"/>
          <w:b/>
          <w:lang w:eastAsia="sk-SK"/>
        </w:rPr>
        <w:t xml:space="preserve">prerokovali a </w:t>
      </w:r>
      <w:r w:rsidRPr="00011996">
        <w:rPr>
          <w:rFonts w:ascii="Times New Roman" w:hAnsi="Times New Roman"/>
          <w:b/>
          <w:bCs/>
          <w:szCs w:val="24"/>
        </w:rPr>
        <w:t xml:space="preserve">odporučili </w:t>
      </w:r>
      <w:r w:rsidRPr="00011996">
        <w:rPr>
          <w:rFonts w:ascii="Times New Roman" w:hAnsi="Times New Roman"/>
          <w:szCs w:val="24"/>
        </w:rPr>
        <w:t>Národnej rad</w:t>
      </w:r>
      <w:r>
        <w:rPr>
          <w:rFonts w:ascii="Times New Roman" w:hAnsi="Times New Roman"/>
          <w:szCs w:val="24"/>
        </w:rPr>
        <w:t>e</w:t>
      </w:r>
      <w:r w:rsidRPr="00011996">
        <w:rPr>
          <w:rFonts w:ascii="Times New Roman" w:hAnsi="Times New Roman"/>
          <w:szCs w:val="24"/>
        </w:rPr>
        <w:t xml:space="preserve"> Slovenskej republiky </w:t>
      </w:r>
      <w:r w:rsidRPr="00F83468">
        <w:rPr>
          <w:rFonts w:ascii="Times New Roman" w:hAnsi="Times New Roman"/>
          <w:b/>
          <w:bCs/>
          <w:szCs w:val="24"/>
        </w:rPr>
        <w:t>sc</w:t>
      </w:r>
      <w:r w:rsidRPr="00011996">
        <w:rPr>
          <w:rFonts w:ascii="Times New Roman" w:hAnsi="Times New Roman"/>
          <w:b/>
          <w:bCs/>
          <w:szCs w:val="24"/>
        </w:rPr>
        <w:t>hváliť</w:t>
      </w:r>
      <w:r w:rsidRPr="00011996">
        <w:rPr>
          <w:rFonts w:ascii="Times New Roman" w:hAnsi="Times New Roman"/>
          <w:szCs w:val="24"/>
        </w:rPr>
        <w:t>:</w:t>
      </w:r>
    </w:p>
    <w:p w:rsidR="0085295D" w:rsidRDefault="0085295D" w:rsidP="00E90FA9">
      <w:pPr>
        <w:tabs>
          <w:tab w:val="left" w:pos="-1985"/>
          <w:tab w:val="left" w:pos="709"/>
          <w:tab w:val="left" w:pos="1077"/>
        </w:tabs>
        <w:spacing w:line="276" w:lineRule="auto"/>
        <w:jc w:val="both"/>
        <w:rPr>
          <w:rFonts w:ascii="Times New Roman" w:hAnsi="Times New Roman"/>
          <w:szCs w:val="24"/>
        </w:rPr>
      </w:pPr>
    </w:p>
    <w:p w:rsidR="0085295D" w:rsidRDefault="0085295D" w:rsidP="0085295D">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041C88">
        <w:rPr>
          <w:rFonts w:ascii="Times New Roman" w:hAnsi="Times New Roman"/>
        </w:rPr>
        <w:t xml:space="preserve"> 581</w:t>
      </w:r>
      <w:r>
        <w:rPr>
          <w:rFonts w:ascii="Times New Roman" w:hAnsi="Times New Roman"/>
        </w:rPr>
        <w:t xml:space="preserve"> z</w:t>
      </w:r>
      <w:r w:rsidR="0029043C">
        <w:rPr>
          <w:rFonts w:ascii="Times New Roman" w:hAnsi="Times New Roman"/>
        </w:rPr>
        <w:t xml:space="preserve"> </w:t>
      </w:r>
      <w:r w:rsidR="00041C88">
        <w:rPr>
          <w:rFonts w:ascii="Times New Roman" w:hAnsi="Times New Roman"/>
        </w:rPr>
        <w:t>19</w:t>
      </w:r>
      <w:r>
        <w:rPr>
          <w:rFonts w:ascii="Times New Roman" w:hAnsi="Times New Roman"/>
        </w:rPr>
        <w:t xml:space="preserve">. </w:t>
      </w:r>
      <w:r w:rsidR="00D3227F">
        <w:rPr>
          <w:rFonts w:ascii="Times New Roman" w:hAnsi="Times New Roman"/>
        </w:rPr>
        <w:t>marca</w:t>
      </w:r>
      <w:r>
        <w:rPr>
          <w:rFonts w:ascii="Times New Roman" w:hAnsi="Times New Roman"/>
        </w:rPr>
        <w:t xml:space="preserve"> 201</w:t>
      </w:r>
      <w:r w:rsidR="00E90FA9">
        <w:rPr>
          <w:rFonts w:ascii="Times New Roman" w:hAnsi="Times New Roman"/>
        </w:rPr>
        <w:t>9</w:t>
      </w:r>
      <w:r>
        <w:rPr>
          <w:rFonts w:ascii="Times New Roman" w:hAnsi="Times New Roman"/>
        </w:rPr>
        <w:t>,</w:t>
      </w:r>
    </w:p>
    <w:p w:rsidR="00E90FA9" w:rsidRDefault="00E90FA9" w:rsidP="0085295D">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financie a rozpočet uznesením č. </w:t>
      </w:r>
      <w:r w:rsidR="00CD2E1C">
        <w:rPr>
          <w:rFonts w:ascii="Times New Roman" w:hAnsi="Times New Roman"/>
        </w:rPr>
        <w:t>391</w:t>
      </w:r>
      <w:r>
        <w:rPr>
          <w:rFonts w:ascii="Times New Roman" w:hAnsi="Times New Roman"/>
        </w:rPr>
        <w:t xml:space="preserve"> z </w:t>
      </w:r>
      <w:r w:rsidR="00CD2E1C">
        <w:rPr>
          <w:rFonts w:ascii="Times New Roman" w:hAnsi="Times New Roman"/>
        </w:rPr>
        <w:t>25</w:t>
      </w:r>
      <w:r>
        <w:rPr>
          <w:rFonts w:ascii="Times New Roman" w:hAnsi="Times New Roman"/>
        </w:rPr>
        <w:t xml:space="preserve">. </w:t>
      </w:r>
      <w:r w:rsidR="00D3227F">
        <w:rPr>
          <w:rFonts w:ascii="Times New Roman" w:hAnsi="Times New Roman"/>
        </w:rPr>
        <w:t>marca</w:t>
      </w:r>
      <w:r>
        <w:rPr>
          <w:rFonts w:ascii="Times New Roman" w:hAnsi="Times New Roman"/>
        </w:rPr>
        <w:t xml:space="preserve"> 2019,</w:t>
      </w:r>
    </w:p>
    <w:p w:rsidR="0085295D" w:rsidRDefault="0085295D" w:rsidP="0085295D">
      <w:pPr>
        <w:tabs>
          <w:tab w:val="left" w:pos="-1985"/>
          <w:tab w:val="left" w:pos="709"/>
          <w:tab w:val="left" w:pos="1077"/>
        </w:tabs>
        <w:spacing w:line="276" w:lineRule="auto"/>
        <w:jc w:val="both"/>
        <w:rPr>
          <w:rFonts w:ascii="Times New Roman" w:hAnsi="Times New Roman"/>
        </w:rPr>
      </w:pPr>
      <w:r w:rsidRPr="005D244C">
        <w:rPr>
          <w:rFonts w:ascii="Times New Roman" w:hAnsi="Times New Roman"/>
          <w:szCs w:val="24"/>
        </w:rPr>
        <w:tab/>
      </w:r>
      <w:r>
        <w:rPr>
          <w:rFonts w:ascii="Times New Roman" w:hAnsi="Times New Roman"/>
        </w:rPr>
        <w:t>Výbor Národnej rady Slovenskej republiky pre sociálne veci uznesením č.</w:t>
      </w:r>
      <w:r w:rsidR="00CB6572">
        <w:rPr>
          <w:rFonts w:ascii="Times New Roman" w:hAnsi="Times New Roman"/>
        </w:rPr>
        <w:t>150</w:t>
      </w:r>
      <w:r>
        <w:rPr>
          <w:rFonts w:ascii="Times New Roman" w:hAnsi="Times New Roman"/>
        </w:rPr>
        <w:t xml:space="preserve"> z </w:t>
      </w:r>
      <w:r w:rsidR="00213E7D">
        <w:rPr>
          <w:rFonts w:ascii="Times New Roman" w:hAnsi="Times New Roman"/>
        </w:rPr>
        <w:t>26</w:t>
      </w:r>
      <w:r>
        <w:rPr>
          <w:rFonts w:ascii="Times New Roman" w:hAnsi="Times New Roman"/>
        </w:rPr>
        <w:t xml:space="preserve">. </w:t>
      </w:r>
      <w:r w:rsidR="00D3227F">
        <w:rPr>
          <w:rFonts w:ascii="Times New Roman" w:hAnsi="Times New Roman"/>
        </w:rPr>
        <w:t>marca</w:t>
      </w:r>
      <w:r>
        <w:rPr>
          <w:rFonts w:ascii="Times New Roman" w:hAnsi="Times New Roman"/>
        </w:rPr>
        <w:t xml:space="preserve"> 201</w:t>
      </w:r>
      <w:r w:rsidR="00E90FA9">
        <w:rPr>
          <w:rFonts w:ascii="Times New Roman" w:hAnsi="Times New Roman"/>
        </w:rPr>
        <w:t>9</w:t>
      </w:r>
      <w:r>
        <w:rPr>
          <w:rFonts w:ascii="Times New Roman" w:hAnsi="Times New Roman"/>
        </w:rPr>
        <w:t>.</w:t>
      </w:r>
    </w:p>
    <w:p w:rsidR="0085295D" w:rsidRDefault="0085295D" w:rsidP="0085295D">
      <w:pPr>
        <w:tabs>
          <w:tab w:val="left" w:pos="-1985"/>
          <w:tab w:val="left" w:pos="709"/>
          <w:tab w:val="left" w:pos="1077"/>
        </w:tabs>
        <w:spacing w:line="276" w:lineRule="auto"/>
        <w:jc w:val="both"/>
        <w:rPr>
          <w:rFonts w:ascii="Times New Roman" w:hAnsi="Times New Roman"/>
        </w:rPr>
      </w:pPr>
    </w:p>
    <w:p w:rsidR="0085295D" w:rsidRPr="00E35790" w:rsidRDefault="0085295D" w:rsidP="0085295D">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85295D" w:rsidRPr="00E35790" w:rsidRDefault="0085295D" w:rsidP="0085295D">
      <w:pPr>
        <w:tabs>
          <w:tab w:val="left" w:pos="-1985"/>
          <w:tab w:val="left" w:pos="709"/>
          <w:tab w:val="left" w:pos="1077"/>
        </w:tabs>
        <w:jc w:val="center"/>
        <w:rPr>
          <w:rFonts w:ascii="Times New Roman" w:hAnsi="Times New Roman"/>
          <w:b/>
          <w:bCs/>
        </w:rPr>
      </w:pPr>
    </w:p>
    <w:p w:rsidR="0085295D" w:rsidRDefault="0085295D" w:rsidP="009B69CE">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2057E2" w:rsidRDefault="002057E2" w:rsidP="009B69CE">
      <w:pPr>
        <w:tabs>
          <w:tab w:val="left" w:pos="-1985"/>
          <w:tab w:val="left" w:pos="709"/>
          <w:tab w:val="left" w:pos="1077"/>
        </w:tabs>
        <w:spacing w:line="276" w:lineRule="auto"/>
        <w:jc w:val="both"/>
        <w:rPr>
          <w:rFonts w:ascii="Times New Roman" w:hAnsi="Times New Roman"/>
          <w:bCs/>
        </w:rPr>
      </w:pPr>
    </w:p>
    <w:p w:rsidR="00705A16" w:rsidRPr="00705A16" w:rsidRDefault="00705A16" w:rsidP="00705A16">
      <w:pPr>
        <w:widowControl w:val="0"/>
        <w:autoSpaceDE w:val="0"/>
        <w:autoSpaceDN w:val="0"/>
        <w:adjustRightInd w:val="0"/>
        <w:ind w:left="360" w:right="-6"/>
        <w:jc w:val="both"/>
        <w:rPr>
          <w:rFonts w:ascii="Times New Roman" w:hAnsi="Times New Roman"/>
        </w:rPr>
      </w:pPr>
    </w:p>
    <w:p w:rsidR="00705A16" w:rsidRPr="00705A16" w:rsidRDefault="00705A16" w:rsidP="00705A16">
      <w:pPr>
        <w:numPr>
          <w:ilvl w:val="0"/>
          <w:numId w:val="5"/>
        </w:numPr>
        <w:adjustRightInd w:val="0"/>
        <w:spacing w:line="240" w:lineRule="auto"/>
        <w:jc w:val="both"/>
        <w:rPr>
          <w:rFonts w:ascii="Times New Roman" w:hAnsi="Times New Roman"/>
        </w:rPr>
      </w:pPr>
      <w:r w:rsidRPr="00705A16">
        <w:rPr>
          <w:rFonts w:ascii="Times New Roman" w:hAnsi="Times New Roman"/>
        </w:rPr>
        <w:t>V čl. I bod 1 znie:</w:t>
      </w:r>
    </w:p>
    <w:p w:rsidR="00705A16" w:rsidRPr="00705A16" w:rsidRDefault="00705A16" w:rsidP="00705A16">
      <w:pPr>
        <w:widowControl w:val="0"/>
        <w:autoSpaceDE w:val="0"/>
        <w:autoSpaceDN w:val="0"/>
        <w:adjustRightInd w:val="0"/>
        <w:ind w:left="360" w:right="-6"/>
        <w:jc w:val="both"/>
        <w:rPr>
          <w:rFonts w:ascii="Times New Roman" w:hAnsi="Times New Roman"/>
        </w:rPr>
      </w:pPr>
      <w:r w:rsidRPr="00705A16">
        <w:rPr>
          <w:rFonts w:ascii="Times New Roman" w:hAnsi="Times New Roman"/>
        </w:rPr>
        <w:t>„1. V § 13 ods. 2 písm. a) sa vypúšťa piaty bod.“.</w:t>
      </w:r>
    </w:p>
    <w:p w:rsidR="00705A16" w:rsidRPr="00705A16" w:rsidRDefault="00705A16" w:rsidP="00705A16">
      <w:pPr>
        <w:widowControl w:val="0"/>
        <w:autoSpaceDE w:val="0"/>
        <w:autoSpaceDN w:val="0"/>
        <w:adjustRightInd w:val="0"/>
        <w:ind w:left="360" w:right="-6"/>
        <w:jc w:val="both"/>
        <w:rPr>
          <w:rFonts w:ascii="Times New Roman" w:hAnsi="Times New Roman"/>
        </w:rPr>
      </w:pPr>
    </w:p>
    <w:p w:rsidR="00705A16" w:rsidRPr="00705A16" w:rsidRDefault="00705A16" w:rsidP="00705A16">
      <w:pPr>
        <w:widowControl w:val="0"/>
        <w:autoSpaceDE w:val="0"/>
        <w:autoSpaceDN w:val="0"/>
        <w:adjustRightInd w:val="0"/>
        <w:ind w:left="360" w:right="-6"/>
        <w:jc w:val="both"/>
        <w:rPr>
          <w:rFonts w:ascii="Times New Roman" w:hAnsi="Times New Roman"/>
        </w:rPr>
      </w:pPr>
      <w:r w:rsidRPr="00705A16">
        <w:rPr>
          <w:rFonts w:ascii="Times New Roman" w:hAnsi="Times New Roman"/>
        </w:rPr>
        <w:t>Navrhovaná úprava nadobúda účinnosť 1. januára 2020, čo sa premietne do článku o účinnosti.</w:t>
      </w:r>
    </w:p>
    <w:p w:rsidR="00705A16" w:rsidRPr="00705A16" w:rsidRDefault="00705A16" w:rsidP="00705A16">
      <w:pPr>
        <w:widowControl w:val="0"/>
        <w:autoSpaceDE w:val="0"/>
        <w:autoSpaceDN w:val="0"/>
        <w:adjustRightInd w:val="0"/>
        <w:ind w:left="360" w:right="-6"/>
        <w:jc w:val="both"/>
        <w:rPr>
          <w:rFonts w:ascii="Times New Roman" w:hAnsi="Times New Roman"/>
        </w:rPr>
      </w:pPr>
    </w:p>
    <w:p w:rsid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Navrhuje sa legislatívno-technická úprava, ktorá súvisí s vypustením právnej úpravy vyrovnávacieho príplatku a zavedením právnej úpravy určovania sumy starobného, predčasného alebo invalidného dôchodku dotknutej skupiny poistencov.</w:t>
      </w:r>
    </w:p>
    <w:p w:rsidR="00E96029" w:rsidRDefault="00E96029" w:rsidP="00705A16">
      <w:pPr>
        <w:widowControl w:val="0"/>
        <w:autoSpaceDE w:val="0"/>
        <w:autoSpaceDN w:val="0"/>
        <w:adjustRightInd w:val="0"/>
        <w:ind w:left="2211" w:right="-6"/>
        <w:jc w:val="both"/>
        <w:rPr>
          <w:rFonts w:ascii="Times New Roman" w:hAnsi="Times New Roman"/>
        </w:rPr>
      </w:pPr>
    </w:p>
    <w:p w:rsidR="00E96029" w:rsidRPr="00D24DD7" w:rsidRDefault="00E96029" w:rsidP="00E96029">
      <w:pPr>
        <w:spacing w:line="480" w:lineRule="auto"/>
        <w:ind w:left="3969"/>
        <w:rPr>
          <w:rFonts w:ascii="Times New Roman" w:hAnsi="Times New Roman"/>
          <w:b/>
          <w:szCs w:val="24"/>
        </w:rPr>
      </w:pPr>
      <w:r w:rsidRPr="00D24DD7">
        <w:rPr>
          <w:rFonts w:ascii="Times New Roman" w:hAnsi="Times New Roman"/>
          <w:b/>
          <w:szCs w:val="24"/>
        </w:rPr>
        <w:t>Ústavnoprávny výbor NR SR</w:t>
      </w:r>
    </w:p>
    <w:p w:rsidR="00E96029" w:rsidRPr="00D24DD7" w:rsidRDefault="00E96029" w:rsidP="00E96029">
      <w:pPr>
        <w:spacing w:line="480" w:lineRule="auto"/>
        <w:ind w:left="3969"/>
        <w:jc w:val="both"/>
        <w:rPr>
          <w:rFonts w:ascii="Times New Roman" w:hAnsi="Times New Roman"/>
          <w:iCs/>
          <w:szCs w:val="24"/>
        </w:rPr>
      </w:pPr>
      <w:r w:rsidRPr="00D24DD7">
        <w:rPr>
          <w:rFonts w:ascii="Times New Roman" w:hAnsi="Times New Roman"/>
          <w:b/>
          <w:szCs w:val="24"/>
        </w:rPr>
        <w:t>Gestorský výbor odporúča schváliť.</w:t>
      </w:r>
    </w:p>
    <w:p w:rsidR="00E96029" w:rsidRDefault="00E96029" w:rsidP="00705A16">
      <w:pPr>
        <w:widowControl w:val="0"/>
        <w:autoSpaceDE w:val="0"/>
        <w:autoSpaceDN w:val="0"/>
        <w:adjustRightInd w:val="0"/>
        <w:ind w:left="2211" w:right="-6"/>
        <w:jc w:val="both"/>
        <w:rPr>
          <w:rFonts w:ascii="Times New Roman" w:hAnsi="Times New Roman"/>
        </w:rPr>
      </w:pPr>
    </w:p>
    <w:p w:rsidR="00754061" w:rsidRPr="00705A16" w:rsidRDefault="00754061" w:rsidP="00705A16">
      <w:pPr>
        <w:widowControl w:val="0"/>
        <w:autoSpaceDE w:val="0"/>
        <w:autoSpaceDN w:val="0"/>
        <w:adjustRightInd w:val="0"/>
        <w:ind w:left="2211" w:right="-6"/>
        <w:jc w:val="both"/>
        <w:rPr>
          <w:rFonts w:ascii="Times New Roman" w:hAnsi="Times New Roman"/>
        </w:rPr>
      </w:pPr>
    </w:p>
    <w:p w:rsidR="00705A16" w:rsidRPr="00705A16" w:rsidRDefault="00705A16" w:rsidP="00705A16">
      <w:pPr>
        <w:widowControl w:val="0"/>
        <w:autoSpaceDE w:val="0"/>
        <w:autoSpaceDN w:val="0"/>
        <w:adjustRightInd w:val="0"/>
        <w:ind w:left="360" w:right="-6"/>
        <w:jc w:val="both"/>
        <w:rPr>
          <w:rFonts w:ascii="Times New Roman" w:hAnsi="Times New Roman"/>
        </w:rPr>
      </w:pPr>
    </w:p>
    <w:p w:rsidR="00705A16" w:rsidRPr="00705A16" w:rsidRDefault="00705A16" w:rsidP="00705A16">
      <w:pPr>
        <w:numPr>
          <w:ilvl w:val="0"/>
          <w:numId w:val="5"/>
        </w:numPr>
        <w:adjustRightInd w:val="0"/>
        <w:spacing w:line="240" w:lineRule="auto"/>
        <w:jc w:val="both"/>
        <w:rPr>
          <w:rFonts w:ascii="Times New Roman" w:hAnsi="Times New Roman"/>
        </w:rPr>
      </w:pPr>
      <w:r w:rsidRPr="00705A16">
        <w:rPr>
          <w:rFonts w:ascii="Times New Roman" w:hAnsi="Times New Roman"/>
        </w:rPr>
        <w:t>V čl. I sa za bod 1 vkladajú body 2 až 17, ktoré znejú:</w:t>
      </w: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„2. V § 60 ods. 9 prvej vete sa slová „nároku na vyrovnávací príplatok“ nahrádzajú slovami „určenia sumy starobného dôchodku podľa § 66a, predčasného starobného dôchodku podľa § 68a alebo invalidného dôchodku podľa § 73a“ a v druhej vete sa slová „dôchodok alebo predčasný starobný dôchodok“ nahrádzajú slovami „dôchodok, predčasný starobný dôchodok alebo invalidný dôchodok“.</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3. Nad § 66 sa vkladá nadpis, ktorý znie: „Určenie sumy starobného dôchodku“.</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4. Nadpis § 66 sa vypúšťa.</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5. Za § 66 sa vkladá § 66a, ktorý znie:</w:t>
      </w:r>
    </w:p>
    <w:p w:rsidR="00705A16" w:rsidRPr="00705A16" w:rsidRDefault="00705A16" w:rsidP="00705A16">
      <w:pPr>
        <w:pStyle w:val="Odsekzoznamu"/>
        <w:tabs>
          <w:tab w:val="left" w:pos="426"/>
        </w:tabs>
        <w:ind w:left="426"/>
        <w:jc w:val="center"/>
        <w:rPr>
          <w:rFonts w:ascii="Times New Roman" w:hAnsi="Times New Roman"/>
          <w:sz w:val="24"/>
          <w:szCs w:val="24"/>
        </w:rPr>
      </w:pPr>
      <w:r w:rsidRPr="00705A16">
        <w:rPr>
          <w:rFonts w:ascii="Times New Roman" w:hAnsi="Times New Roman"/>
          <w:b/>
          <w:sz w:val="24"/>
          <w:szCs w:val="24"/>
        </w:rPr>
        <w:t>„§ 66a</w:t>
      </w:r>
    </w:p>
    <w:p w:rsidR="00705A16" w:rsidRPr="00705A16" w:rsidRDefault="00705A16" w:rsidP="00705A16">
      <w:pPr>
        <w:pStyle w:val="Odsekzoznamu"/>
        <w:tabs>
          <w:tab w:val="left" w:pos="0"/>
          <w:tab w:val="left" w:pos="426"/>
        </w:tabs>
        <w:ind w:left="344"/>
        <w:jc w:val="center"/>
        <w:rPr>
          <w:rFonts w:ascii="Times New Roman" w:hAnsi="Times New Roman"/>
          <w:sz w:val="24"/>
          <w:szCs w:val="24"/>
        </w:rPr>
      </w:pPr>
    </w:p>
    <w:p w:rsidR="00705A16" w:rsidRPr="00705A16" w:rsidRDefault="00705A16" w:rsidP="00705A16">
      <w:pPr>
        <w:pStyle w:val="Odsekzoznamu"/>
        <w:tabs>
          <w:tab w:val="left" w:pos="0"/>
          <w:tab w:val="left" w:pos="567"/>
        </w:tabs>
        <w:ind w:left="426"/>
        <w:jc w:val="both"/>
        <w:rPr>
          <w:rFonts w:ascii="Times New Roman" w:hAnsi="Times New Roman"/>
          <w:sz w:val="24"/>
          <w:szCs w:val="24"/>
        </w:rPr>
      </w:pPr>
      <w:r w:rsidRPr="00705A16">
        <w:rPr>
          <w:rFonts w:ascii="Times New Roman" w:hAnsi="Times New Roman"/>
          <w:sz w:val="24"/>
          <w:szCs w:val="24"/>
        </w:rPr>
        <w:t>(1) Suma starobného dôchodku sa určí ako rozdiel fiktívnej sumy starobného dôchodku podľa odseku 2 a sumy starobného dôchodku alebo invalidného dôchodku vyplácaného podľa predpisov Českej republiky, ak ide o poistenca, ktorý získal</w:t>
      </w:r>
    </w:p>
    <w:p w:rsidR="00705A16" w:rsidRPr="00705A16" w:rsidRDefault="00705A16" w:rsidP="00705A16">
      <w:pPr>
        <w:pStyle w:val="Odsekzoznamu"/>
        <w:numPr>
          <w:ilvl w:val="0"/>
          <w:numId w:val="6"/>
        </w:numPr>
        <w:tabs>
          <w:tab w:val="left" w:pos="567"/>
        </w:tabs>
        <w:suppressAutoHyphens/>
        <w:autoSpaceDN w:val="0"/>
        <w:spacing w:after="0"/>
        <w:ind w:left="709" w:hanging="283"/>
        <w:contextualSpacing w:val="0"/>
        <w:jc w:val="both"/>
        <w:textAlignment w:val="baseline"/>
        <w:rPr>
          <w:rFonts w:ascii="Times New Roman" w:hAnsi="Times New Roman"/>
          <w:sz w:val="24"/>
          <w:szCs w:val="24"/>
        </w:rPr>
      </w:pPr>
      <w:r w:rsidRPr="00705A16">
        <w:rPr>
          <w:rFonts w:ascii="Times New Roman" w:hAnsi="Times New Roman"/>
          <w:sz w:val="24"/>
          <w:szCs w:val="24"/>
        </w:rPr>
        <w:t>pred 1. januárom 1993 československé obdobie dôchodkového poistenia, za ktoré mu bol priznaný starobný dôchodok podľa predpisov Českej republiky alebo má priznaný invalidný dôchodok podľa predpisov Českej republiky, a</w:t>
      </w:r>
    </w:p>
    <w:p w:rsidR="00705A16" w:rsidRPr="00705A16" w:rsidRDefault="00705A16" w:rsidP="00705A16">
      <w:pPr>
        <w:pStyle w:val="Odsekzoznamu"/>
        <w:numPr>
          <w:ilvl w:val="0"/>
          <w:numId w:val="6"/>
        </w:numPr>
        <w:tabs>
          <w:tab w:val="left" w:pos="567"/>
        </w:tabs>
        <w:suppressAutoHyphens/>
        <w:autoSpaceDN w:val="0"/>
        <w:spacing w:after="0"/>
        <w:ind w:left="709" w:hanging="283"/>
        <w:contextualSpacing w:val="0"/>
        <w:jc w:val="both"/>
        <w:textAlignment w:val="baseline"/>
        <w:rPr>
          <w:rFonts w:ascii="Times New Roman" w:hAnsi="Times New Roman"/>
          <w:sz w:val="24"/>
          <w:szCs w:val="24"/>
        </w:rPr>
      </w:pPr>
      <w:r w:rsidRPr="00705A16">
        <w:rPr>
          <w:rFonts w:ascii="Times New Roman" w:hAnsi="Times New Roman"/>
          <w:sz w:val="24"/>
          <w:szCs w:val="24"/>
        </w:rPr>
        <w:t>po 31. decembri 1992 najmenej jeden rok dôchodkového poistenia podľa predpisov Slovenskej republiky.</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(2) 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 60 ods. 9.</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(3) 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(4) 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r w:rsidRPr="00705A16">
        <w:rPr>
          <w:rFonts w:ascii="Times New Roman" w:hAnsi="Times New Roman"/>
          <w:sz w:val="24"/>
          <w:szCs w:val="24"/>
          <w:vertAlign w:val="superscript"/>
        </w:rPr>
        <w:t>55a</w:t>
      </w:r>
      <w:r w:rsidRPr="00705A16">
        <w:rPr>
          <w:rFonts w:ascii="Times New Roman" w:hAnsi="Times New Roman"/>
          <w:sz w:val="24"/>
          <w:szCs w:val="24"/>
        </w:rPr>
        <w:t>) ktorý je platný ku dňu, ku ktorému sa určuje suma starobného dôchodku podľa odseku 1.</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(5) Suma starobného dôchodku podľa odseku 1 nesmie byť nižšia ako suma starobného dôchodku, ktorá je v súlade s osobitným predpisom</w:t>
      </w:r>
      <w:r w:rsidRPr="00705A16">
        <w:rPr>
          <w:rFonts w:ascii="Times New Roman" w:hAnsi="Times New Roman"/>
          <w:sz w:val="24"/>
          <w:szCs w:val="24"/>
          <w:vertAlign w:val="superscript"/>
        </w:rPr>
        <w:t>55b</w:t>
      </w:r>
      <w:r w:rsidRPr="00705A16">
        <w:rPr>
          <w:rFonts w:ascii="Times New Roman" w:hAnsi="Times New Roman"/>
          <w:sz w:val="24"/>
          <w:szCs w:val="24"/>
        </w:rPr>
        <w:t>) určená podľa tohto zákona alebo podľa predpisov účinných pred 1. januárom 2004, ak starobný dôchodok bol priznaný podľa predpisov účinných pred 1. januárom 2004.“.</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Poznámky pod čiarou k odkazom 55a a 55b znejú:</w:t>
      </w:r>
    </w:p>
    <w:p w:rsidR="00705A16" w:rsidRPr="00705A16" w:rsidRDefault="00705A16" w:rsidP="00705A16">
      <w:pPr>
        <w:pStyle w:val="Odsekzoznamu"/>
        <w:tabs>
          <w:tab w:val="left" w:pos="0"/>
          <w:tab w:val="left" w:pos="567"/>
        </w:tabs>
        <w:ind w:left="993" w:hanging="643"/>
        <w:jc w:val="both"/>
        <w:rPr>
          <w:rFonts w:ascii="Times New Roman" w:hAnsi="Times New Roman"/>
          <w:sz w:val="24"/>
          <w:szCs w:val="24"/>
        </w:rPr>
      </w:pPr>
      <w:r w:rsidRPr="00705A16">
        <w:rPr>
          <w:rFonts w:ascii="Times New Roman" w:hAnsi="Times New Roman"/>
          <w:sz w:val="24"/>
          <w:szCs w:val="24"/>
        </w:rPr>
        <w:t>„</w:t>
      </w:r>
      <w:r w:rsidRPr="00705A16">
        <w:rPr>
          <w:rFonts w:ascii="Times New Roman" w:hAnsi="Times New Roman"/>
          <w:sz w:val="24"/>
          <w:szCs w:val="24"/>
          <w:vertAlign w:val="superscript"/>
        </w:rPr>
        <w:t>55a</w:t>
      </w:r>
      <w:r w:rsidRPr="00705A16">
        <w:rPr>
          <w:rFonts w:ascii="Times New Roman" w:hAnsi="Times New Roman"/>
          <w:sz w:val="24"/>
          <w:szCs w:val="24"/>
        </w:rPr>
        <w:t xml:space="preserve">)  Čl. 219 ods. 1 až 3 Zmluvy o fungovaní Európskej únie (Ú. v. EÚ C 202, 7.6.2016)   v platnom znení. </w:t>
      </w:r>
    </w:p>
    <w:p w:rsidR="00705A16" w:rsidRPr="00705A16" w:rsidRDefault="00705A16" w:rsidP="00705A16">
      <w:pPr>
        <w:pStyle w:val="Odsekzoznamu"/>
        <w:tabs>
          <w:tab w:val="left" w:pos="567"/>
        </w:tabs>
        <w:ind w:left="993"/>
        <w:jc w:val="both"/>
        <w:rPr>
          <w:rFonts w:ascii="Times New Roman" w:hAnsi="Times New Roman"/>
          <w:sz w:val="24"/>
          <w:szCs w:val="24"/>
        </w:rPr>
      </w:pPr>
      <w:r w:rsidRPr="00705A16">
        <w:rPr>
          <w:rFonts w:ascii="Times New Roman" w:hAnsi="Times New Roman"/>
          <w:sz w:val="24"/>
          <w:szCs w:val="24"/>
        </w:rPr>
        <w:t>Čl. 12 ods. 12.1 Protokolu o Štatúte Európskeho systému centrálnych bánk a Európskej centrálnej banky (Ú. v. EÚ C 202, 7.6.2016).</w:t>
      </w:r>
    </w:p>
    <w:p w:rsidR="00705A16" w:rsidRPr="00705A16" w:rsidRDefault="00705A16" w:rsidP="00705A16">
      <w:pPr>
        <w:pStyle w:val="Odsekzoznamu"/>
        <w:tabs>
          <w:tab w:val="left" w:pos="567"/>
        </w:tabs>
        <w:ind w:left="916" w:hanging="566"/>
        <w:jc w:val="both"/>
        <w:rPr>
          <w:rFonts w:ascii="Times New Roman" w:hAnsi="Times New Roman"/>
          <w:iCs/>
          <w:sz w:val="24"/>
          <w:szCs w:val="24"/>
        </w:rPr>
      </w:pPr>
      <w:r w:rsidRPr="00705A16">
        <w:rPr>
          <w:rFonts w:ascii="Times New Roman" w:hAnsi="Times New Roman"/>
          <w:sz w:val="24"/>
          <w:szCs w:val="24"/>
          <w:vertAlign w:val="superscript"/>
        </w:rPr>
        <w:t xml:space="preserve"> 55b</w:t>
      </w:r>
      <w:r w:rsidRPr="00705A16">
        <w:rPr>
          <w:rFonts w:ascii="Times New Roman" w:hAnsi="Times New Roman"/>
          <w:sz w:val="24"/>
          <w:szCs w:val="24"/>
        </w:rPr>
        <w:t xml:space="preserve">)  Čl. 52 ods. 1 písm. a) </w:t>
      </w:r>
      <w:r w:rsidRPr="00705A16">
        <w:rPr>
          <w:rFonts w:ascii="Times New Roman" w:hAnsi="Times New Roman"/>
          <w:iCs/>
          <w:sz w:val="24"/>
          <w:szCs w:val="24"/>
        </w:rPr>
        <w:t>nariadenia Európskeho parlamentu a Rady (ES) č. 883/2004 z 29. apríla 2004 o koordinácii systémov sociálneho zabezpečenia (Mimoriadne vydanie Ú. v. EÚ, kap. 5/zv. 5; Ú. v. EÚ L 200, 7.6.2004) v platnom znení.“.</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6. Nad § 68 sa vkladá nadpis, ktorý znie: „Určenie sumy predčasného starobného dôchodku“.</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7. Nadpis § 68 sa vypúšťa.</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 xml:space="preserve">8. Za § 68 sa vkladá § 68a, ktorý znie: </w:t>
      </w:r>
    </w:p>
    <w:p w:rsidR="00705A16" w:rsidRPr="00705A16" w:rsidRDefault="00705A16" w:rsidP="00705A16">
      <w:pPr>
        <w:pStyle w:val="Odsekzoznamu"/>
        <w:tabs>
          <w:tab w:val="left" w:pos="426"/>
        </w:tabs>
        <w:ind w:left="350"/>
        <w:jc w:val="center"/>
        <w:rPr>
          <w:rFonts w:ascii="Times New Roman" w:hAnsi="Times New Roman"/>
          <w:b/>
          <w:sz w:val="24"/>
          <w:szCs w:val="24"/>
        </w:rPr>
      </w:pPr>
      <w:r w:rsidRPr="00705A16">
        <w:rPr>
          <w:rFonts w:ascii="Times New Roman" w:hAnsi="Times New Roman"/>
          <w:b/>
          <w:sz w:val="24"/>
          <w:szCs w:val="24"/>
        </w:rPr>
        <w:t>„§ 68a</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Suma predčasného starobného dôchodku sa určí ako rozdiel fiktívnej sumy predčasného starobného dôchodku a sumy starobného dôchodku alebo invalidného dôchodku vyplácaného podľa predpisov Českej republiky, ak ide o poistenca podľa § 66a ods. 1; § 66a ods. 2 až 5 platí rovnako.“.</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9. V prvej časti tretej hlave sa vypúšťa štvrtý diel.</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Doterajší piaty diel až ôsmy diel sa označujú ako štvrtý diel až siedmy diel.</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Poznámky pod čiarou k odkazom 56aa a 56ab sa vypúšťajú.</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10. Nad § 73 sa vkladá nadpis, ktorý znie: „Určenie sumy invalidného dôchodku“.</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11. Nadpis § 73 sa vypúšťa.</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12. Za § 73 sa vkladá § 73a, ktorý znie:</w:t>
      </w:r>
    </w:p>
    <w:p w:rsidR="00705A16" w:rsidRPr="00705A16" w:rsidRDefault="00705A16" w:rsidP="00705A16">
      <w:pPr>
        <w:pStyle w:val="Odsekzoznamu"/>
        <w:tabs>
          <w:tab w:val="left" w:pos="0"/>
        </w:tabs>
        <w:ind w:left="0"/>
        <w:jc w:val="center"/>
        <w:rPr>
          <w:rFonts w:ascii="Times New Roman" w:hAnsi="Times New Roman"/>
          <w:sz w:val="24"/>
          <w:szCs w:val="24"/>
        </w:rPr>
      </w:pPr>
      <w:r w:rsidRPr="00705A16">
        <w:rPr>
          <w:rFonts w:ascii="Times New Roman" w:hAnsi="Times New Roman"/>
          <w:b/>
          <w:sz w:val="24"/>
          <w:szCs w:val="24"/>
        </w:rPr>
        <w:t>„§ 73a</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 Suma invalidného dôchodku sa určí ako rozdiel fiktívnej sumy invalidného dôchodku podľa odseku 2 a sumy invalidného dôchodku alebo starobného dôchodku vyplácaného podľa predpisov Českej republiky, ak ide o poistenca podľa § 66a ods. 1.</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(2) 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 60 ods. 9. Podmienka poklesu zárobku na nárok na výplatu čiastočného invalidného dôchodku podľa predpisov účinných pred 1. januárom 2004 sa považuje za splnenú.</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s>
        <w:ind w:left="350"/>
        <w:jc w:val="both"/>
        <w:rPr>
          <w:rFonts w:ascii="Times New Roman" w:hAnsi="Times New Roman"/>
          <w:sz w:val="24"/>
          <w:szCs w:val="24"/>
        </w:rPr>
      </w:pPr>
      <w:r w:rsidRPr="00705A16">
        <w:rPr>
          <w:rFonts w:ascii="Times New Roman" w:hAnsi="Times New Roman"/>
          <w:sz w:val="24"/>
          <w:szCs w:val="24"/>
        </w:rPr>
        <w:t>(3) Na určenie sumy invalidného dôchodku podľa odseku 1 sa na</w:t>
      </w:r>
    </w:p>
    <w:p w:rsidR="00705A16" w:rsidRPr="00705A16" w:rsidRDefault="00705A16" w:rsidP="00705A16">
      <w:pPr>
        <w:pStyle w:val="Odsekzoznamu"/>
        <w:numPr>
          <w:ilvl w:val="0"/>
          <w:numId w:val="7"/>
        </w:numPr>
        <w:suppressAutoHyphens/>
        <w:autoSpaceDN w:val="0"/>
        <w:spacing w:after="0" w:line="240" w:lineRule="auto"/>
        <w:ind w:left="633" w:hanging="283"/>
        <w:contextualSpacing w:val="0"/>
        <w:jc w:val="both"/>
        <w:textAlignment w:val="baseline"/>
        <w:rPr>
          <w:rFonts w:ascii="Times New Roman" w:hAnsi="Times New Roman"/>
          <w:sz w:val="24"/>
          <w:szCs w:val="24"/>
        </w:rPr>
      </w:pPr>
      <w:r w:rsidRPr="00705A16">
        <w:rPr>
          <w:rFonts w:ascii="Times New Roman" w:hAnsi="Times New Roman"/>
          <w:sz w:val="24"/>
          <w:szCs w:val="24"/>
        </w:rPr>
        <w:t>starobný dôchodok alebo invalidný dôchodok upravený podľa predpisov Českej republiky vzťahuje § 66a ods. 3 rovnako,</w:t>
      </w:r>
    </w:p>
    <w:p w:rsidR="00705A16" w:rsidRPr="00705A16" w:rsidRDefault="00705A16" w:rsidP="00705A16">
      <w:pPr>
        <w:pStyle w:val="Odsekzoznamu"/>
        <w:numPr>
          <w:ilvl w:val="0"/>
          <w:numId w:val="7"/>
        </w:numPr>
        <w:suppressAutoHyphens/>
        <w:autoSpaceDN w:val="0"/>
        <w:spacing w:after="0" w:line="240" w:lineRule="auto"/>
        <w:ind w:left="633" w:hanging="283"/>
        <w:contextualSpacing w:val="0"/>
        <w:jc w:val="both"/>
        <w:textAlignment w:val="baseline"/>
        <w:rPr>
          <w:rFonts w:ascii="Times New Roman" w:hAnsi="Times New Roman"/>
          <w:sz w:val="24"/>
          <w:szCs w:val="24"/>
        </w:rPr>
      </w:pPr>
      <w:r w:rsidRPr="00705A16">
        <w:rPr>
          <w:rFonts w:ascii="Times New Roman" w:hAnsi="Times New Roman"/>
          <w:sz w:val="24"/>
          <w:szCs w:val="24"/>
        </w:rPr>
        <w:t>prepočítanie starobného dôchodku alebo invalidného dôchodku podľa predpisov Českej republiky vzťahuje § 66a ods. 4 rovnako.</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(4) Suma invalidného dôchodku podľa odseku 1 nesmie byť nižšia ako suma invalidného dôchodku, ktorá je v súlade s osobitným predpisom</w:t>
      </w:r>
      <w:r w:rsidRPr="00705A16">
        <w:rPr>
          <w:rFonts w:ascii="Times New Roman" w:hAnsi="Times New Roman"/>
          <w:sz w:val="24"/>
          <w:szCs w:val="24"/>
          <w:vertAlign w:val="superscript"/>
        </w:rPr>
        <w:t>55c</w:t>
      </w:r>
      <w:r w:rsidRPr="00705A16">
        <w:rPr>
          <w:rFonts w:ascii="Times New Roman" w:hAnsi="Times New Roman"/>
          <w:sz w:val="24"/>
          <w:szCs w:val="24"/>
        </w:rPr>
        <w:t>) určená podľa tohto zákona alebo podľa predpisov účinných pred 1. januárom 2004, ak invalidný dôchodok alebo čiastočný invalidný dôchodok je priznaný podľa predpisov účinných pred 1. januárom 2004.“.</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Poznámka pod čiarou k odkazu 55c znie:</w:t>
      </w:r>
    </w:p>
    <w:p w:rsidR="00705A16" w:rsidRPr="00705A16" w:rsidRDefault="00705A16" w:rsidP="00705A16">
      <w:pPr>
        <w:pStyle w:val="Odsekzoznamu"/>
        <w:tabs>
          <w:tab w:val="left" w:pos="0"/>
        </w:tabs>
        <w:ind w:left="851" w:hanging="567"/>
        <w:jc w:val="both"/>
        <w:rPr>
          <w:rFonts w:ascii="Times New Roman" w:hAnsi="Times New Roman"/>
          <w:sz w:val="24"/>
          <w:szCs w:val="24"/>
        </w:rPr>
      </w:pPr>
      <w:r w:rsidRPr="00705A16">
        <w:rPr>
          <w:rFonts w:ascii="Times New Roman" w:hAnsi="Times New Roman"/>
          <w:sz w:val="24"/>
          <w:szCs w:val="24"/>
        </w:rPr>
        <w:t>„</w:t>
      </w:r>
      <w:r w:rsidRPr="00705A16">
        <w:rPr>
          <w:rFonts w:ascii="Times New Roman" w:hAnsi="Times New Roman"/>
          <w:sz w:val="24"/>
          <w:szCs w:val="24"/>
          <w:vertAlign w:val="superscript"/>
        </w:rPr>
        <w:t>55c</w:t>
      </w:r>
      <w:r w:rsidRPr="00705A16">
        <w:rPr>
          <w:rFonts w:ascii="Times New Roman" w:hAnsi="Times New Roman"/>
          <w:sz w:val="24"/>
          <w:szCs w:val="24"/>
        </w:rPr>
        <w:t>) Čl. 46 ods. 1 nariadenia Európskeho parlamentu a Rady (ES) č. 883/2004 z 29. apríla 2004 o koordinácii systémov sociálneho zabezpečenia (Mimoriadne vydanie Ú. v. EÚ, kap. 5/zv. 5; Ú. v. EÚ L 200, 7.6.2004) v platnom znení.“.</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13. V § 81 ods. 7 sa vypúšťa písmeno b).</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ab/>
      </w:r>
      <w:r w:rsidRPr="00705A16">
        <w:rPr>
          <w:rFonts w:ascii="Times New Roman" w:hAnsi="Times New Roman"/>
          <w:sz w:val="24"/>
          <w:szCs w:val="24"/>
        </w:rPr>
        <w:tab/>
        <w:t>Súčasne sa zrušuje označenie písmena a).</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14. V § 82 ods. 1 celom texte sa slová „dávka, okrem vyrovnávacieho príplatku,“ nahrádzajú slovom „dávka“.</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15. V § 82b ods. 3 písm. b) sa nad slovami „suma podľa osobitného predpisu,“ odkaz „56aa)“ nahrádza odkazom „56c)“.</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Poznámka pod čiarou k odkazu 56c znie:</w:t>
      </w:r>
    </w:p>
    <w:p w:rsidR="00705A16" w:rsidRPr="00705A16" w:rsidRDefault="00705A16" w:rsidP="00705A16">
      <w:pPr>
        <w:pStyle w:val="Odsekzoznamu"/>
        <w:overflowPunct w:val="0"/>
        <w:adjustRightInd w:val="0"/>
        <w:ind w:left="284"/>
        <w:rPr>
          <w:rFonts w:ascii="Times New Roman" w:hAnsi="Times New Roman"/>
          <w:sz w:val="24"/>
          <w:szCs w:val="24"/>
        </w:rPr>
      </w:pPr>
      <w:r w:rsidRPr="00705A16">
        <w:rPr>
          <w:rFonts w:ascii="Times New Roman" w:hAnsi="Times New Roman"/>
          <w:sz w:val="24"/>
          <w:szCs w:val="24"/>
        </w:rPr>
        <w:t>„</w:t>
      </w:r>
      <w:r w:rsidRPr="00705A16">
        <w:rPr>
          <w:rFonts w:ascii="Times New Roman" w:hAnsi="Times New Roman"/>
          <w:sz w:val="24"/>
          <w:szCs w:val="24"/>
          <w:vertAlign w:val="superscript"/>
        </w:rPr>
        <w:t>56c</w:t>
      </w:r>
      <w:r w:rsidRPr="00705A16">
        <w:rPr>
          <w:rFonts w:ascii="Times New Roman" w:hAnsi="Times New Roman"/>
          <w:sz w:val="24"/>
          <w:szCs w:val="24"/>
        </w:rPr>
        <w:t>) § 45 ods. 6 zákona č. 43/2004 Z. z. v znení zákona č. 183/2014 Z. z.“.</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16. V § 117 sa vypúšťa odsek 9.</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17. V § 168a ods. 1 sa za slovami „poberateľovi invalidného dôchodku podľa § 70 ods. 2“ čiarka nahrádza slovami „a na“ a vypúšťajú sa slová „a na vyrovnávací príplatok“.“.</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V súvislosti s navrhovanými zmenami sa vykoná prečíslovanie nasledujúcich bodov.</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r w:rsidRPr="00705A16">
        <w:rPr>
          <w:rFonts w:ascii="Times New Roman" w:hAnsi="Times New Roman"/>
          <w:sz w:val="24"/>
          <w:szCs w:val="24"/>
        </w:rPr>
        <w:t>Navrhovaná úprava nadobúda účinnosť 1. januára 2020, čo sa premietne do článku o účinnosti.</w:t>
      </w:r>
    </w:p>
    <w:p w:rsidR="00705A16" w:rsidRPr="00705A16" w:rsidRDefault="00705A16" w:rsidP="00705A16">
      <w:pPr>
        <w:pStyle w:val="Odsekzoznamu"/>
        <w:tabs>
          <w:tab w:val="left" w:pos="0"/>
          <w:tab w:val="left" w:pos="567"/>
        </w:tabs>
        <w:ind w:left="350"/>
        <w:jc w:val="both"/>
        <w:rPr>
          <w:rFonts w:ascii="Times New Roman" w:hAnsi="Times New Roman"/>
          <w:sz w:val="24"/>
          <w:szCs w:val="24"/>
        </w:rPr>
      </w:pP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r w:rsidRPr="00705A16">
        <w:rPr>
          <w:rFonts w:ascii="Times New Roman" w:hAnsi="Times New Roman"/>
          <w:u w:val="single"/>
        </w:rPr>
        <w:t>K bodom 2 až 4, 6, 7, 10, 11, 13 až 17</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Navrhujú sa legislatívno-technické úpravy, ktoré súvisia s vypustením právnej úpravy vyrovnávacieho príplatku a zavedením právnej úpravy určovania sumy starobného, predčasného alebo invalidného dôchodku dotknutej skupiny poistencov.</w:t>
      </w: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r w:rsidRPr="00705A16">
        <w:rPr>
          <w:rFonts w:ascii="Times New Roman" w:hAnsi="Times New Roman"/>
          <w:u w:val="single"/>
        </w:rPr>
        <w:t>K bodom 5 a 8 (§ 66a, 68a)</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 xml:space="preserve">Navrhuje sa právna úprava určenia sumy starobného dôchodku poistencov, ktorí ku dňu rozdelenia ČSFR získali československé obdobie dôchodkového poistenia, za ktoré im bol priznaný starobný dôchodok alebo invalidný dôchodok podľa predpisov Českej republiky a po rozdelení ČSFR získali najmenej jeden rok dôchodkového poistenia podľa právnych predpisov Slovenskej republiky. Podmienka získania aspoň jedného roka dôchodkového poistenia podľa predpisov Slovenskej republiky sa navrhuje z dôvodu, že získaním tohto obdobia v minimálnom rozsahu sa preukazuje, v zásade v súlade s  nariadením  Európskeho parlamentu a Rady (ES) č. 883/2004 z 29. apríla 2004 o koordinácii systémov sociálneho zabezpečenia, príslušnosť dotknutých poistencov k systému dôchodkového poistenia Slovenskej republike. Na určenie sumy starobného dôchodku zostáva aj naďalej zachovaná podmienka priznania starobného dôchodku resp. invalidného dôchodku za československé obdobia dôchodkového poistenia Českou republikou. Táto podmienka je v súlade s judikatúrou súdov, podľa ktorej „starobný dôchodok je potrebné priznať v takej výške, aby súčet starobných dôchodkov z Českej republiky a Slovenskej republiky nebol nižší ako dôchodok poistenca, ktorý počas svojho produktívneho života získal rovnakú dobu poistenia a rovnaké príjmy len u zamestnávateľov, ktorí mali sídlo na území Slovenskej republiky“. Ustanovením tejto podmienky Slovenská republika  dobrovoľne preberá na seba väčšie finančné záväzky než aké jej vyplývajú zo Zmluvy medzi Slovenskou republikou a Českou republikou o sociálnom zabezpečení. Dotknutým poistencom sa v zmysle návrhu určí suma starobného dôchodku zodpovedajúca rozdielu medzi fiktívnou sumou starobného dôchodku určenou podľa predpisov Slovenskej republiky a sumou starobného alebo invalidného dôchodku vyplácaného podľa predpisov Českej republiky, pričom fiktívna suma starobného dôchodku sa bude určovať podľa právneho predpisu, podľa ktorého bol priznaný starobný dôchodok zo Slovenskej republiky (zákona č. 461/2003 Z. z. o sociálnom poistení, resp. zákona č. 100/1988 </w:t>
      </w:r>
      <w:proofErr w:type="spellStart"/>
      <w:r w:rsidRPr="00705A16">
        <w:rPr>
          <w:rFonts w:ascii="Times New Roman" w:hAnsi="Times New Roman"/>
        </w:rPr>
        <w:t>Sb</w:t>
      </w:r>
      <w:proofErr w:type="spellEnd"/>
      <w:r w:rsidRPr="00705A16">
        <w:rPr>
          <w:rFonts w:ascii="Times New Roman" w:hAnsi="Times New Roman"/>
        </w:rPr>
        <w:t>. o sociálnom zabezpečení), a to aj s prihliadnutím na dobu poistenia/zamestnania a vymeriavacie základy získané pred rozdelením ČSFR. Pri určení sumy starobného dôchodku sa navrhuje neprihliadať na úpravu českého starobného alebo invalidného dôchodku z dôvodu súbehu s inou dávkou alebo z dôvodu súbehu s príjmom zo zárobkovej činnosti. To znamená, že sa navrhuje, aby sa český dôchodok prepočítaný na eurá podľa referenčného výmenného kurzu určeného a vyhláseného Európskou centrálnou bankou, ktorý je platný ku dňu, ku ktorému sa určuje starobný dôchodok, podľa navrhovanej úpravy zohľadnil v neupravenej výške.</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Súčasne sa navrhuje uplatňovať ochranný prvok spočívajúci v tom, že suma starobného dôchodku určená podľa novej právnej úpravy nesmie byť nižšia ako suma starobného dôchodku, ktorá je v súlade s nariadením Európskeho parlamentu a Rady (ES) č. 883/2004 z 29. apríla 2004 o koordinácii systémov sociálneho zabezpečenia určená podľa § 66.</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Pri určení sumy predčasného starobného dôchodku dotknutej skupiny poistencov sa navrhuje uplatňovanie rovnakých pravidiel, ako pri určení sumy starobného dôchodku dotknutej skupiny poistencov.</w:t>
      </w: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r w:rsidRPr="00705A16">
        <w:rPr>
          <w:rFonts w:ascii="Times New Roman" w:hAnsi="Times New Roman"/>
          <w:u w:val="single"/>
        </w:rPr>
        <w:t xml:space="preserve">K bodu 9 (§ 69b až 69d) </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Vzhľadom na novú právnu úpravu určovania sumy starobného, predčasného a invalidného dôchodku dotknutej skupiny poistencov sa navrhuje vypustenie právnej úpravy vyrovnávacieho príplatku.</w:t>
      </w: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p>
    <w:p w:rsidR="00705A16" w:rsidRPr="00705A16" w:rsidRDefault="00705A16" w:rsidP="00705A16">
      <w:pPr>
        <w:widowControl w:val="0"/>
        <w:autoSpaceDE w:val="0"/>
        <w:autoSpaceDN w:val="0"/>
        <w:adjustRightInd w:val="0"/>
        <w:ind w:left="2211" w:right="-6"/>
        <w:jc w:val="both"/>
        <w:rPr>
          <w:rFonts w:ascii="Times New Roman" w:hAnsi="Times New Roman"/>
          <w:u w:val="single"/>
        </w:rPr>
      </w:pPr>
      <w:r w:rsidRPr="00705A16">
        <w:rPr>
          <w:rFonts w:ascii="Times New Roman" w:hAnsi="Times New Roman"/>
          <w:u w:val="single"/>
        </w:rPr>
        <w:t>K bodu 12 (§ 73a)</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Navrhuje sa právna úprava spôsobu výpočtu sumy invalidného dôchodku poistencov, ktorí ku dňu rozdelenia ČSFR získali československé obdobie dôchodkového poistenia, za ktoré sa im vypláca starobný alebo invalidný dôchodok podľa predpisov Českej republiky a po rozdelení ČSFR získali najmenej jeden rok obdobia dôchodkového poistenia podľa právnych predpisov Slovenskej republiky. Suma invalidného dôchodku sa určí podľa rovnakých pravidiel ako sa určuje suma starobného dôchodku. Podmienka poklesu zárobku na nárok na výplatu čiastočného invalidného dôchodku podľa predpisov účinných pred 1. januárom 2004 sa pre tieto účely považuje za splnenú. Navrhuje sa ochranný prvok spočívajúci v tom, že suma invalidného dôchodku určená podľa novej právnej úpravy nesmie byť nižšia ako suma invalidného dôchodku, ktorá je v súlade s nariadením Európskeho parlamentu a Rady (ES) č. 883/2004 z 29. apríla 2004 o koordinácii systémov sociálneho zabezpečenia určená podľa § 73.</w:t>
      </w:r>
    </w:p>
    <w:p w:rsidR="00705A16" w:rsidRPr="00705A16" w:rsidRDefault="00705A16" w:rsidP="00705A16">
      <w:pPr>
        <w:widowControl w:val="0"/>
        <w:autoSpaceDE w:val="0"/>
        <w:autoSpaceDN w:val="0"/>
        <w:adjustRightInd w:val="0"/>
        <w:ind w:left="2211" w:right="-6"/>
        <w:jc w:val="both"/>
        <w:rPr>
          <w:rFonts w:ascii="Times New Roman" w:hAnsi="Times New Roman"/>
        </w:rPr>
      </w:pPr>
    </w:p>
    <w:p w:rsid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 xml:space="preserve">Súčasne sa navrhuje sa, aby vzhľadom na potrebu zabezpečenia dostatočne dlhej </w:t>
      </w:r>
      <w:proofErr w:type="spellStart"/>
      <w:r w:rsidRPr="00705A16">
        <w:rPr>
          <w:rFonts w:ascii="Times New Roman" w:hAnsi="Times New Roman"/>
        </w:rPr>
        <w:t>legisvakačnej</w:t>
      </w:r>
      <w:proofErr w:type="spellEnd"/>
      <w:r w:rsidRPr="00705A16">
        <w:rPr>
          <w:rFonts w:ascii="Times New Roman" w:hAnsi="Times New Roman"/>
        </w:rPr>
        <w:t xml:space="preserve"> lehoty na účely prípravy Sociálnej poisťovne na implementáciu novej právnej úpravy (vrátane prípravy technického zabezpečenia) navrhované zmeny nadobudli účinnosť 1. januára 2020.</w:t>
      </w:r>
    </w:p>
    <w:p w:rsidR="00E96029" w:rsidRDefault="00E96029" w:rsidP="00705A16">
      <w:pPr>
        <w:widowControl w:val="0"/>
        <w:autoSpaceDE w:val="0"/>
        <w:autoSpaceDN w:val="0"/>
        <w:adjustRightInd w:val="0"/>
        <w:ind w:left="2211" w:right="-6"/>
        <w:jc w:val="both"/>
        <w:rPr>
          <w:rFonts w:ascii="Times New Roman" w:hAnsi="Times New Roman"/>
        </w:rPr>
      </w:pPr>
    </w:p>
    <w:p w:rsidR="00E96029" w:rsidRPr="00D24DD7" w:rsidRDefault="00E96029" w:rsidP="00E96029">
      <w:pPr>
        <w:spacing w:line="480" w:lineRule="auto"/>
        <w:ind w:left="3969"/>
        <w:rPr>
          <w:rFonts w:ascii="Times New Roman" w:hAnsi="Times New Roman"/>
          <w:b/>
          <w:szCs w:val="24"/>
        </w:rPr>
      </w:pPr>
      <w:r w:rsidRPr="00D24DD7">
        <w:rPr>
          <w:rFonts w:ascii="Times New Roman" w:hAnsi="Times New Roman"/>
          <w:b/>
          <w:szCs w:val="24"/>
        </w:rPr>
        <w:t>Ústavnoprávny výbor NR SR</w:t>
      </w:r>
    </w:p>
    <w:p w:rsidR="00E96029" w:rsidRPr="00D24DD7" w:rsidRDefault="00E96029" w:rsidP="00E96029">
      <w:pPr>
        <w:spacing w:line="480" w:lineRule="auto"/>
        <w:ind w:left="3969"/>
        <w:jc w:val="both"/>
        <w:rPr>
          <w:rFonts w:ascii="Times New Roman" w:hAnsi="Times New Roman"/>
          <w:iCs/>
          <w:szCs w:val="24"/>
        </w:rPr>
      </w:pPr>
      <w:r w:rsidRPr="00D24DD7">
        <w:rPr>
          <w:rFonts w:ascii="Times New Roman" w:hAnsi="Times New Roman"/>
          <w:b/>
          <w:szCs w:val="24"/>
        </w:rPr>
        <w:t>Gestorský výbor odporúča schváliť.</w:t>
      </w:r>
    </w:p>
    <w:p w:rsidR="00E96029" w:rsidRPr="00705A16" w:rsidRDefault="00E96029" w:rsidP="00705A16">
      <w:pPr>
        <w:widowControl w:val="0"/>
        <w:autoSpaceDE w:val="0"/>
        <w:autoSpaceDN w:val="0"/>
        <w:adjustRightInd w:val="0"/>
        <w:ind w:left="2211" w:right="-6"/>
        <w:jc w:val="both"/>
        <w:rPr>
          <w:rFonts w:ascii="Times New Roman" w:hAnsi="Times New Roman"/>
        </w:rPr>
      </w:pPr>
    </w:p>
    <w:p w:rsidR="00705A16" w:rsidRPr="00705A16" w:rsidRDefault="00705A16" w:rsidP="00705A16">
      <w:pPr>
        <w:numPr>
          <w:ilvl w:val="0"/>
          <w:numId w:val="5"/>
        </w:numPr>
        <w:adjustRightInd w:val="0"/>
        <w:spacing w:line="240" w:lineRule="auto"/>
        <w:jc w:val="both"/>
        <w:rPr>
          <w:rFonts w:ascii="Times New Roman" w:hAnsi="Times New Roman"/>
        </w:rPr>
      </w:pPr>
      <w:r w:rsidRPr="00705A16">
        <w:rPr>
          <w:rFonts w:ascii="Times New Roman" w:hAnsi="Times New Roman"/>
        </w:rPr>
        <w:t>V čl. I bode 2 doterajší text znie:</w:t>
      </w:r>
    </w:p>
    <w:p w:rsidR="00705A16" w:rsidRPr="00705A16" w:rsidRDefault="00705A16" w:rsidP="00705A16">
      <w:pPr>
        <w:pStyle w:val="Odsekzoznamu"/>
        <w:tabs>
          <w:tab w:val="left" w:pos="0"/>
        </w:tabs>
        <w:ind w:left="360"/>
        <w:jc w:val="center"/>
        <w:rPr>
          <w:rFonts w:ascii="Times New Roman" w:hAnsi="Times New Roman"/>
          <w:b/>
          <w:sz w:val="24"/>
          <w:szCs w:val="24"/>
        </w:rPr>
      </w:pPr>
      <w:r w:rsidRPr="00705A16">
        <w:rPr>
          <w:rFonts w:ascii="Times New Roman" w:hAnsi="Times New Roman"/>
          <w:b/>
          <w:sz w:val="24"/>
          <w:szCs w:val="24"/>
        </w:rPr>
        <w:t>„§ 293ej</w:t>
      </w:r>
    </w:p>
    <w:p w:rsidR="00705A16" w:rsidRPr="00705A16" w:rsidRDefault="00705A16" w:rsidP="00705A16">
      <w:pPr>
        <w:pStyle w:val="Odsekzoznamu"/>
        <w:ind w:left="360"/>
        <w:jc w:val="center"/>
        <w:rPr>
          <w:rFonts w:ascii="Times New Roman" w:hAnsi="Times New Roman"/>
          <w:b/>
          <w:sz w:val="24"/>
          <w:szCs w:val="24"/>
        </w:rPr>
      </w:pPr>
      <w:r w:rsidRPr="00705A16">
        <w:rPr>
          <w:rFonts w:ascii="Times New Roman" w:hAnsi="Times New Roman"/>
          <w:b/>
          <w:sz w:val="24"/>
          <w:szCs w:val="24"/>
        </w:rPr>
        <w:t>Prechodné ustanovenia k úprave účinnej od 1. januára 2020</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(1) Ak nárok na vyrovnávací príplatok vznikol pred 1. januárom 2020, podmienky nároku na vyrovnávací príplatok a na jeho výplatu sa posudzujú podľa tohto zákona v znení účinnom do 31. decembra 2019.</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(2) Ak poistencovi uvedenému v § 66a ods. 1, § 68a a § 73a ods. 1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(3) 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(4) 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w:t>
      </w:r>
    </w:p>
    <w:p w:rsidR="00705A16" w:rsidRPr="00705A16" w:rsidRDefault="00705A16" w:rsidP="00705A16">
      <w:pPr>
        <w:pStyle w:val="Odsekzoznamu"/>
        <w:tabs>
          <w:tab w:val="left" w:pos="0"/>
        </w:tabs>
        <w:ind w:left="360"/>
        <w:jc w:val="both"/>
        <w:rPr>
          <w:rFonts w:ascii="Times New Roman" w:hAnsi="Times New Roman"/>
          <w:sz w:val="24"/>
          <w:szCs w:val="24"/>
        </w:rPr>
      </w:pPr>
    </w:p>
    <w:p w:rsidR="00705A16" w:rsidRPr="00705A16" w:rsidRDefault="00705A16" w:rsidP="00705A16">
      <w:pPr>
        <w:pStyle w:val="Odsekzoznamu"/>
        <w:tabs>
          <w:tab w:val="left" w:pos="0"/>
        </w:tabs>
        <w:ind w:left="360"/>
        <w:jc w:val="both"/>
        <w:rPr>
          <w:rFonts w:ascii="Times New Roman" w:hAnsi="Times New Roman"/>
          <w:sz w:val="24"/>
          <w:szCs w:val="24"/>
        </w:rPr>
      </w:pPr>
      <w:r w:rsidRPr="00705A16">
        <w:rPr>
          <w:rFonts w:ascii="Times New Roman" w:hAnsi="Times New Roman"/>
          <w:sz w:val="24"/>
          <w:szCs w:val="24"/>
        </w:rPr>
        <w:t>(5) O určení sumy dôchodku podľa odseku 2 Sociálna poisťovňa rozhodne do šiestich mesiacov od začatia konania.“.</w:t>
      </w:r>
    </w:p>
    <w:p w:rsidR="00705A16" w:rsidRPr="00705A16" w:rsidRDefault="00705A16" w:rsidP="00705A16">
      <w:pPr>
        <w:tabs>
          <w:tab w:val="left" w:pos="2487"/>
        </w:tabs>
        <w:ind w:left="360"/>
        <w:jc w:val="both"/>
        <w:rPr>
          <w:rFonts w:ascii="Times New Roman" w:hAnsi="Times New Roman"/>
        </w:rPr>
      </w:pPr>
    </w:p>
    <w:p w:rsidR="00705A16" w:rsidRPr="00705A16" w:rsidRDefault="00705A16" w:rsidP="00705A16">
      <w:pPr>
        <w:widowControl w:val="0"/>
        <w:autoSpaceDE w:val="0"/>
        <w:autoSpaceDN w:val="0"/>
        <w:adjustRightInd w:val="0"/>
        <w:ind w:left="360" w:right="-6"/>
        <w:jc w:val="both"/>
        <w:rPr>
          <w:rFonts w:ascii="Times New Roman" w:hAnsi="Times New Roman"/>
        </w:rPr>
      </w:pPr>
      <w:r w:rsidRPr="00705A16">
        <w:rPr>
          <w:rFonts w:ascii="Times New Roman" w:hAnsi="Times New Roman"/>
        </w:rPr>
        <w:t>Navrhovaná úprava nadobúda účinnosť 1. januára 2020, čo sa premietne do článku o účinnosti.</w:t>
      </w:r>
    </w:p>
    <w:p w:rsidR="00705A16" w:rsidRPr="00705A16" w:rsidRDefault="00705A16" w:rsidP="00705A16">
      <w:pPr>
        <w:widowControl w:val="0"/>
        <w:autoSpaceDE w:val="0"/>
        <w:autoSpaceDN w:val="0"/>
        <w:adjustRightInd w:val="0"/>
        <w:ind w:left="360" w:right="-6"/>
        <w:jc w:val="both"/>
        <w:rPr>
          <w:rFonts w:ascii="Times New Roman" w:hAnsi="Times New Roman"/>
        </w:rPr>
      </w:pPr>
    </w:p>
    <w:p w:rsidR="00705A16" w:rsidRPr="00705A16" w:rsidRDefault="00705A16" w:rsidP="00705A16">
      <w:pPr>
        <w:widowControl w:val="0"/>
        <w:autoSpaceDE w:val="0"/>
        <w:autoSpaceDN w:val="0"/>
        <w:adjustRightInd w:val="0"/>
        <w:ind w:left="360" w:right="-6"/>
        <w:jc w:val="both"/>
        <w:rPr>
          <w:rFonts w:ascii="Times New Roman" w:hAnsi="Times New Roman"/>
        </w:rPr>
      </w:pPr>
      <w:r w:rsidRPr="00705A16">
        <w:rPr>
          <w:rFonts w:ascii="Times New Roman" w:hAnsi="Times New Roman"/>
        </w:rPr>
        <w:t>V súvislosti s navrhovanou zmenou sa primerane upraví úvodná veta.</w:t>
      </w:r>
    </w:p>
    <w:p w:rsidR="00705A16" w:rsidRPr="00705A16" w:rsidRDefault="00705A16" w:rsidP="00705A16">
      <w:pPr>
        <w:tabs>
          <w:tab w:val="left" w:pos="2487"/>
        </w:tabs>
        <w:ind w:left="360"/>
        <w:jc w:val="both"/>
        <w:rPr>
          <w:rFonts w:ascii="Times New Roman" w:hAnsi="Times New Roman"/>
        </w:rPr>
      </w:pP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V § 293ej sa navrhuje, aby sa podmienky nároku na vyrovnávací príplatok a podmienky nároku na jeho výplatu poistencom, ktorým vznikne nárok na vyrovnávací príplatok pred nadobudnutím účinnosti tejto právnej úpravy, posudzovali podľa právnej úpravy účinnej do 31. decembra 2019. Ďalej sa navrhuje, aby dotknutým poistencom, ktorým vznikol nárok na starobný dôchodok, predčasný starobný dôchodok alebo invalidný dôchodok pred 1. januárom 2020, Sociálna poisťovňa určila sumu dôchodku podľa novej právnej úpravy len na ich žiadosť a len raz, a to ku dňu prvého vzniku nároku na výplatu dôchodku po 31. decembri 2019. Sociálna poisťovňa rozhodne o sume takéhoto starobného dôchodku, predčasného starobného dôchodku a invalidného dôchodku na základe žiadosti do šiestich mesiacov odo dňa začatia konania. Dĺžka lehoty je navrhovaná s prihliadnutím na administratívnu náročnosť. Priznaním dôchodku v sume podľa navrhovanej právnej úpravy nárok na vyrovnávací príplatok zo zákona zaniká, pričom ak sa prizná dôchodok určený podľa novej právnej úpravy aj za obdobie, v ktorom sa poistencovi vyplácal vyrovnávací príplatok, Sociálna poisťovňa zúčtuje za toto obdobie priznaný dôchodok s vyrovnávacím príplatkom.</w:t>
      </w: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Suma starobného dôchodku a predčasného starobného dôchodku určená podľa novej právnej úpravy pritom nesmie byť nižšia ako úhrn sumy starobného dôchodku alebo predčasného starobného dôchodku a sumy vyrovnávacieho príplatku. To znamená, že pri určení sumy starobného dôchodku a predčasného starobného dôchodku podľa novej právnej úpravy sa v záujme nezhoršenia postavenia poistenca navrhuje, aby suma starobného dôchodku a predčasného starobného dôchodku podľa novej právnej úpravy zodpovedala minimálne sume úhrnu starobného dôchodku alebo predčasného starobného dôchodku a vyrovnávacieho príplatku, na ktoré mal poistenec nárok ku dňu určenia sumy dôchodku podľa navrhovanej právnej úpravy.</w:t>
      </w:r>
    </w:p>
    <w:p w:rsidR="00705A16" w:rsidRPr="00705A16" w:rsidRDefault="00705A16" w:rsidP="00705A16">
      <w:pPr>
        <w:widowControl w:val="0"/>
        <w:autoSpaceDE w:val="0"/>
        <w:autoSpaceDN w:val="0"/>
        <w:adjustRightInd w:val="0"/>
        <w:ind w:left="2211" w:right="-6"/>
        <w:jc w:val="both"/>
        <w:rPr>
          <w:rFonts w:ascii="Times New Roman" w:hAnsi="Times New Roman"/>
        </w:rPr>
      </w:pPr>
    </w:p>
    <w:p w:rsidR="00705A16" w:rsidRPr="00705A16" w:rsidRDefault="00705A16" w:rsidP="00705A16">
      <w:pPr>
        <w:widowControl w:val="0"/>
        <w:autoSpaceDE w:val="0"/>
        <w:autoSpaceDN w:val="0"/>
        <w:adjustRightInd w:val="0"/>
        <w:ind w:left="2211" w:right="-6"/>
        <w:jc w:val="both"/>
        <w:rPr>
          <w:rFonts w:ascii="Times New Roman" w:hAnsi="Times New Roman"/>
        </w:rPr>
      </w:pPr>
      <w:r w:rsidRPr="00705A16">
        <w:rPr>
          <w:rFonts w:ascii="Times New Roman" w:hAnsi="Times New Roman"/>
        </w:rPr>
        <w:t xml:space="preserve">Súčasne sa navrhuje sa, aby vzhľadom na potrebu zabezpečenia dostatočne dlhej </w:t>
      </w:r>
      <w:proofErr w:type="spellStart"/>
      <w:r w:rsidRPr="00705A16">
        <w:rPr>
          <w:rFonts w:ascii="Times New Roman" w:hAnsi="Times New Roman"/>
        </w:rPr>
        <w:t>legisvakačnej</w:t>
      </w:r>
      <w:proofErr w:type="spellEnd"/>
      <w:r w:rsidRPr="00705A16">
        <w:rPr>
          <w:rFonts w:ascii="Times New Roman" w:hAnsi="Times New Roman"/>
        </w:rPr>
        <w:t xml:space="preserve"> lehoty na účely prípravy Sociálnej poisťovne na implementáciu novej právnej úpravy (vrátane prípravy technického zabezpečenia) navrhované zmeny nadobudli účinnosť 1. januára 2020.</w:t>
      </w:r>
    </w:p>
    <w:p w:rsidR="00705A16" w:rsidRPr="00705A16" w:rsidRDefault="00705A16" w:rsidP="00705A16">
      <w:pPr>
        <w:rPr>
          <w:rFonts w:ascii="Times New Roman" w:hAnsi="Times New Roman"/>
        </w:rPr>
      </w:pPr>
    </w:p>
    <w:p w:rsidR="00705A16" w:rsidRPr="00705A16" w:rsidRDefault="00705A16" w:rsidP="00705A16">
      <w:pPr>
        <w:rPr>
          <w:rFonts w:ascii="Times New Roman" w:hAnsi="Times New Roman"/>
        </w:rPr>
      </w:pPr>
    </w:p>
    <w:p w:rsidR="00E96029" w:rsidRPr="00D24DD7" w:rsidRDefault="00E96029" w:rsidP="00E96029">
      <w:pPr>
        <w:spacing w:line="480" w:lineRule="auto"/>
        <w:ind w:left="3969"/>
        <w:rPr>
          <w:rFonts w:ascii="Times New Roman" w:hAnsi="Times New Roman"/>
          <w:b/>
          <w:szCs w:val="24"/>
        </w:rPr>
      </w:pPr>
      <w:r w:rsidRPr="00D24DD7">
        <w:rPr>
          <w:rFonts w:ascii="Times New Roman" w:hAnsi="Times New Roman"/>
          <w:b/>
          <w:szCs w:val="24"/>
        </w:rPr>
        <w:t>Ústavnoprávny výbor NR SR</w:t>
      </w:r>
    </w:p>
    <w:p w:rsidR="00E96029" w:rsidRPr="00D24DD7" w:rsidRDefault="00E96029" w:rsidP="00E96029">
      <w:pPr>
        <w:spacing w:line="480" w:lineRule="auto"/>
        <w:ind w:left="3969"/>
        <w:jc w:val="both"/>
        <w:rPr>
          <w:rFonts w:ascii="Times New Roman" w:hAnsi="Times New Roman"/>
          <w:iCs/>
          <w:szCs w:val="24"/>
        </w:rPr>
      </w:pPr>
      <w:r w:rsidRPr="00D24DD7">
        <w:rPr>
          <w:rFonts w:ascii="Times New Roman" w:hAnsi="Times New Roman"/>
          <w:b/>
          <w:szCs w:val="24"/>
        </w:rPr>
        <w:t>Gestorský výbor odporúča schváliť.</w:t>
      </w:r>
    </w:p>
    <w:p w:rsidR="00D24DD7" w:rsidRPr="00D24DD7" w:rsidRDefault="00D24DD7" w:rsidP="009B69CE">
      <w:pPr>
        <w:pStyle w:val="TxBrp9"/>
        <w:tabs>
          <w:tab w:val="clear" w:pos="204"/>
          <w:tab w:val="left" w:pos="284"/>
          <w:tab w:val="left" w:pos="1276"/>
        </w:tabs>
        <w:spacing w:line="276" w:lineRule="auto"/>
        <w:rPr>
          <w:sz w:val="24"/>
        </w:rPr>
      </w:pPr>
    </w:p>
    <w:p w:rsidR="0085295D" w:rsidRDefault="0085295D" w:rsidP="0085295D">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85295D" w:rsidRPr="00E35790" w:rsidRDefault="0085295D" w:rsidP="000424BA">
      <w:pPr>
        <w:tabs>
          <w:tab w:val="left" w:pos="-1985"/>
          <w:tab w:val="left" w:pos="709"/>
          <w:tab w:val="left" w:pos="1077"/>
        </w:tabs>
        <w:spacing w:line="276" w:lineRule="auto"/>
        <w:jc w:val="center"/>
        <w:rPr>
          <w:rFonts w:ascii="Times New Roman" w:hAnsi="Times New Roman"/>
          <w:b/>
          <w:bCs/>
        </w:rPr>
      </w:pPr>
    </w:p>
    <w:p w:rsidR="0085295D" w:rsidRPr="00854253" w:rsidRDefault="0085295D" w:rsidP="000424BA">
      <w:pPr>
        <w:spacing w:line="276" w:lineRule="auto"/>
        <w:jc w:val="both"/>
        <w:rPr>
          <w:rFonts w:ascii="Times New Roman" w:hAnsi="Times New Roman"/>
          <w:szCs w:val="24"/>
        </w:rPr>
      </w:pPr>
      <w:r w:rsidRPr="00E35790">
        <w:rPr>
          <w:rFonts w:ascii="Times New Roman" w:hAnsi="Times New Roman"/>
        </w:rPr>
        <w:tab/>
      </w:r>
      <w:r w:rsidRPr="00854253">
        <w:rPr>
          <w:rFonts w:ascii="Times New Roman" w:hAnsi="Times New Roman"/>
          <w:b/>
          <w:szCs w:val="24"/>
        </w:rPr>
        <w:t>Gestorský výbor</w:t>
      </w:r>
      <w:r w:rsidRPr="00854253">
        <w:rPr>
          <w:rFonts w:ascii="Times New Roman" w:hAnsi="Times New Roman"/>
          <w:szCs w:val="24"/>
        </w:rPr>
        <w:t xml:space="preserve"> na základe stanovísk výborov </w:t>
      </w:r>
      <w:r w:rsidRPr="006750A0">
        <w:rPr>
          <w:rFonts w:ascii="Times New Roman" w:hAnsi="Times New Roman"/>
          <w:szCs w:val="24"/>
        </w:rPr>
        <w:t xml:space="preserve">k návrhu </w:t>
      </w:r>
      <w:r w:rsidR="00E90FA9" w:rsidRPr="00E333B8">
        <w:rPr>
          <w:rFonts w:ascii="Times New Roman" w:hAnsi="Times New Roman"/>
          <w:bCs/>
        </w:rPr>
        <w:t>poslancov Národnej rady Slovenskej republiky Irén Sárközy</w:t>
      </w:r>
      <w:r w:rsidR="00E90FA9">
        <w:rPr>
          <w:rFonts w:ascii="Times New Roman" w:hAnsi="Times New Roman"/>
          <w:bCs/>
        </w:rPr>
        <w:t xml:space="preserve"> </w:t>
      </w:r>
      <w:r w:rsidR="00E90FA9" w:rsidRPr="001E0B24">
        <w:rPr>
          <w:rFonts w:ascii="Times New Roman" w:hAnsi="Times New Roman"/>
        </w:rPr>
        <w:t>a Petra A</w:t>
      </w:r>
      <w:r w:rsidR="009722E5">
        <w:rPr>
          <w:rFonts w:ascii="Times New Roman" w:hAnsi="Times New Roman"/>
        </w:rPr>
        <w:t>ntala</w:t>
      </w:r>
      <w:r w:rsidR="00E90FA9" w:rsidRPr="001E0B24">
        <w:rPr>
          <w:rFonts w:ascii="Times New Roman" w:hAnsi="Times New Roman"/>
        </w:rPr>
        <w:t xml:space="preserve"> na vydanie zákona, ktorým sa mení a dopĺňa zákon č. 461/2003 Z. z. o sociálnom poistení v znení neskorších predpisov </w:t>
      </w:r>
      <w:r w:rsidR="00E90FA9" w:rsidRPr="001E0B24">
        <w:rPr>
          <w:rFonts w:ascii="Times New Roman" w:hAnsi="Times New Roman"/>
          <w:b/>
        </w:rPr>
        <w:t>(tlač 1238)</w:t>
      </w:r>
      <w:r w:rsidR="00E90FA9">
        <w:rPr>
          <w:rFonts w:ascii="Times New Roman" w:hAnsi="Times New Roman"/>
          <w:b/>
          <w:szCs w:val="24"/>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v znení schválených pozmeňujúcich a doplňujúcich návrhov </w:t>
      </w:r>
    </w:p>
    <w:p w:rsidR="0085295D" w:rsidRDefault="0085295D" w:rsidP="0085295D">
      <w:pPr>
        <w:tabs>
          <w:tab w:val="left" w:pos="-1985"/>
          <w:tab w:val="left" w:pos="709"/>
          <w:tab w:val="left" w:pos="1077"/>
        </w:tabs>
        <w:jc w:val="center"/>
        <w:rPr>
          <w:rFonts w:ascii="Times New Roman" w:hAnsi="Times New Roman"/>
          <w:b/>
          <w:bCs/>
          <w:spacing w:val="20"/>
        </w:rPr>
      </w:pPr>
    </w:p>
    <w:p w:rsidR="0085295D" w:rsidRPr="00047234" w:rsidRDefault="0085295D" w:rsidP="0085295D">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85295D" w:rsidRPr="002F5D28" w:rsidRDefault="0085295D" w:rsidP="0085295D">
      <w:pPr>
        <w:pStyle w:val="Zkladntext2"/>
        <w:tabs>
          <w:tab w:val="left" w:pos="-1985"/>
          <w:tab w:val="left" w:pos="709"/>
          <w:tab w:val="left" w:pos="1077"/>
        </w:tabs>
        <w:jc w:val="center"/>
        <w:rPr>
          <w:rFonts w:ascii="Times New Roman" w:hAnsi="Times New Roman"/>
          <w:b/>
          <w:sz w:val="20"/>
          <w:szCs w:val="20"/>
          <w:lang w:eastAsia="sk-SK"/>
        </w:rPr>
      </w:pPr>
    </w:p>
    <w:p w:rsidR="0085295D" w:rsidRDefault="0085295D" w:rsidP="0085295D">
      <w:pPr>
        <w:pStyle w:val="Zkladntext2"/>
        <w:tabs>
          <w:tab w:val="left" w:pos="-1985"/>
          <w:tab w:val="left" w:pos="709"/>
          <w:tab w:val="left" w:pos="1077"/>
        </w:tabs>
        <w:jc w:val="center"/>
        <w:rPr>
          <w:rFonts w:ascii="Times New Roman" w:hAnsi="Times New Roman"/>
          <w:b/>
          <w:lang w:eastAsia="sk-SK"/>
        </w:rPr>
      </w:pPr>
      <w:bookmarkStart w:id="0" w:name="_GoBack"/>
      <w:bookmarkEnd w:id="0"/>
      <w:r w:rsidRPr="00E35790">
        <w:rPr>
          <w:rFonts w:ascii="Times New Roman" w:hAnsi="Times New Roman"/>
          <w:b/>
          <w:lang w:eastAsia="sk-SK"/>
        </w:rPr>
        <w:t>VI.</w:t>
      </w:r>
    </w:p>
    <w:p w:rsidR="0085295D" w:rsidRPr="00C8305F" w:rsidRDefault="0085295D" w:rsidP="0085295D">
      <w:pPr>
        <w:tabs>
          <w:tab w:val="left" w:pos="-1985"/>
          <w:tab w:val="left" w:pos="709"/>
          <w:tab w:val="left" w:pos="1077"/>
        </w:tabs>
        <w:spacing w:line="276" w:lineRule="auto"/>
        <w:jc w:val="both"/>
        <w:rPr>
          <w:rFonts w:ascii="Times New Roman" w:hAnsi="Times New Roman"/>
          <w:b/>
          <w:szCs w:val="24"/>
        </w:rPr>
      </w:pPr>
      <w:r>
        <w:rPr>
          <w:rFonts w:ascii="Times New Roman" w:hAnsi="Times New Roman"/>
          <w:szCs w:val="24"/>
        </w:rPr>
        <w:tab/>
      </w:r>
      <w:r w:rsidRPr="00C8305F">
        <w:rPr>
          <w:rFonts w:ascii="Times New Roman" w:hAnsi="Times New Roman"/>
          <w:szCs w:val="24"/>
        </w:rPr>
        <w:t xml:space="preserve">Gestorský výbor odporúča </w:t>
      </w:r>
      <w:r w:rsidRPr="0035450B">
        <w:rPr>
          <w:rFonts w:ascii="Times New Roman" w:hAnsi="Times New Roman"/>
          <w:b/>
          <w:szCs w:val="24"/>
        </w:rPr>
        <w:t>hlasovať o</w:t>
      </w:r>
      <w:r>
        <w:rPr>
          <w:rFonts w:ascii="Times New Roman" w:hAnsi="Times New Roman"/>
          <w:b/>
          <w:szCs w:val="24"/>
        </w:rPr>
        <w:t> </w:t>
      </w:r>
      <w:r w:rsidRPr="0035450B">
        <w:rPr>
          <w:rFonts w:ascii="Times New Roman" w:hAnsi="Times New Roman"/>
          <w:b/>
          <w:szCs w:val="24"/>
        </w:rPr>
        <w:t>návrhoch</w:t>
      </w:r>
      <w:r>
        <w:rPr>
          <w:rFonts w:ascii="Times New Roman" w:hAnsi="Times New Roman"/>
          <w:b/>
          <w:szCs w:val="24"/>
        </w:rPr>
        <w:t xml:space="preserve"> 1</w:t>
      </w:r>
      <w:r w:rsidRPr="00C8305F">
        <w:rPr>
          <w:rFonts w:ascii="Times New Roman" w:hAnsi="Times New Roman"/>
          <w:szCs w:val="24"/>
        </w:rPr>
        <w:t xml:space="preserve"> </w:t>
      </w:r>
      <w:r w:rsidRPr="00C8305F">
        <w:rPr>
          <w:rFonts w:ascii="Times New Roman" w:hAnsi="Times New Roman"/>
          <w:b/>
          <w:szCs w:val="24"/>
        </w:rPr>
        <w:t>a</w:t>
      </w:r>
      <w:r>
        <w:rPr>
          <w:rFonts w:ascii="Times New Roman" w:hAnsi="Times New Roman"/>
          <w:b/>
          <w:szCs w:val="24"/>
        </w:rPr>
        <w:t xml:space="preserve">ž </w:t>
      </w:r>
      <w:r w:rsidR="00CD2E1C">
        <w:rPr>
          <w:rFonts w:ascii="Times New Roman" w:hAnsi="Times New Roman"/>
          <w:b/>
          <w:szCs w:val="24"/>
        </w:rPr>
        <w:t>3</w:t>
      </w:r>
      <w:r>
        <w:rPr>
          <w:rFonts w:ascii="Times New Roman" w:hAnsi="Times New Roman"/>
          <w:b/>
          <w:szCs w:val="24"/>
        </w:rPr>
        <w:t xml:space="preserve"> </w:t>
      </w:r>
      <w:r w:rsidRPr="00C8305F">
        <w:rPr>
          <w:rFonts w:ascii="Times New Roman" w:hAnsi="Times New Roman"/>
          <w:szCs w:val="24"/>
        </w:rPr>
        <w:t xml:space="preserve">v štvrtej časti tejto spoločnej správy </w:t>
      </w:r>
      <w:r w:rsidRPr="0035450B">
        <w:rPr>
          <w:rFonts w:ascii="Times New Roman" w:hAnsi="Times New Roman"/>
          <w:b/>
          <w:szCs w:val="24"/>
        </w:rPr>
        <w:t>spoločne</w:t>
      </w:r>
      <w:r w:rsidRPr="00C8305F">
        <w:rPr>
          <w:rFonts w:ascii="Times New Roman" w:hAnsi="Times New Roman"/>
          <w:szCs w:val="24"/>
        </w:rPr>
        <w:t xml:space="preserve"> so stanoviskom gestorského výboru </w:t>
      </w:r>
      <w:r w:rsidRPr="00C8305F">
        <w:rPr>
          <w:rFonts w:ascii="Times New Roman" w:hAnsi="Times New Roman"/>
          <w:b/>
          <w:szCs w:val="24"/>
        </w:rPr>
        <w:t>schváliť.</w:t>
      </w:r>
    </w:p>
    <w:p w:rsidR="0085295D" w:rsidRDefault="0085295D" w:rsidP="0085295D">
      <w:pPr>
        <w:tabs>
          <w:tab w:val="left" w:pos="-1985"/>
          <w:tab w:val="left" w:pos="709"/>
          <w:tab w:val="left" w:pos="1077"/>
        </w:tabs>
        <w:spacing w:line="276" w:lineRule="auto"/>
        <w:jc w:val="both"/>
        <w:rPr>
          <w:rFonts w:ascii="Times New Roman" w:hAnsi="Times New Roman"/>
          <w:b/>
          <w:bCs/>
        </w:rPr>
      </w:pPr>
    </w:p>
    <w:p w:rsidR="0085295D" w:rsidRPr="00011996" w:rsidRDefault="0085295D" w:rsidP="00E90FA9">
      <w:pPr>
        <w:tabs>
          <w:tab w:val="left" w:pos="-1985"/>
          <w:tab w:val="left" w:pos="709"/>
          <w:tab w:val="left" w:pos="1077"/>
        </w:tabs>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sidR="000272F3">
        <w:rPr>
          <w:rFonts w:ascii="Times New Roman" w:hAnsi="Times New Roman"/>
          <w:bCs/>
        </w:rPr>
        <w:t xml:space="preserve"> </w:t>
      </w:r>
      <w:r w:rsidRPr="00011996">
        <w:rPr>
          <w:rFonts w:ascii="Times New Roman" w:hAnsi="Times New Roman"/>
          <w:bCs/>
        </w:rPr>
        <w:t>č.</w:t>
      </w:r>
      <w:r w:rsidR="002F5D28">
        <w:rPr>
          <w:rFonts w:ascii="Times New Roman" w:hAnsi="Times New Roman"/>
          <w:bCs/>
        </w:rPr>
        <w:t xml:space="preserve"> </w:t>
      </w:r>
      <w:r w:rsidR="00CB6572">
        <w:rPr>
          <w:rFonts w:ascii="Times New Roman" w:hAnsi="Times New Roman"/>
          <w:bCs/>
        </w:rPr>
        <w:t>151</w:t>
      </w:r>
      <w:r w:rsidRPr="00011996">
        <w:rPr>
          <w:rFonts w:ascii="Times New Roman" w:hAnsi="Times New Roman"/>
          <w:bCs/>
        </w:rPr>
        <w:t xml:space="preserve"> z</w:t>
      </w:r>
      <w:r>
        <w:rPr>
          <w:rFonts w:ascii="Times New Roman" w:hAnsi="Times New Roman"/>
          <w:bCs/>
        </w:rPr>
        <w:t> </w:t>
      </w:r>
      <w:r w:rsidR="000A0BEB">
        <w:rPr>
          <w:rFonts w:ascii="Times New Roman" w:hAnsi="Times New Roman"/>
          <w:bCs/>
        </w:rPr>
        <w:t>26</w:t>
      </w:r>
      <w:r>
        <w:rPr>
          <w:rFonts w:ascii="Times New Roman" w:hAnsi="Times New Roman"/>
          <w:bCs/>
        </w:rPr>
        <w:t xml:space="preserve">. </w:t>
      </w:r>
      <w:r w:rsidR="00D3227F">
        <w:rPr>
          <w:rFonts w:ascii="Times New Roman" w:hAnsi="Times New Roman"/>
          <w:bCs/>
        </w:rPr>
        <w:t>marca</w:t>
      </w:r>
      <w:r>
        <w:rPr>
          <w:rFonts w:ascii="Times New Roman" w:hAnsi="Times New Roman"/>
          <w:bCs/>
        </w:rPr>
        <w:t xml:space="preserve"> 201</w:t>
      </w:r>
      <w:r w:rsidR="00E90FA9">
        <w:rPr>
          <w:rFonts w:ascii="Times New Roman" w:hAnsi="Times New Roman"/>
          <w:bCs/>
        </w:rPr>
        <w:t>9</w:t>
      </w:r>
      <w:r>
        <w:rPr>
          <w:rFonts w:ascii="Times New Roman" w:hAnsi="Times New Roman"/>
          <w:bCs/>
        </w:rPr>
        <w:t>.</w:t>
      </w:r>
    </w:p>
    <w:p w:rsidR="0085295D" w:rsidRPr="00E35790" w:rsidRDefault="0085295D" w:rsidP="00E90FA9">
      <w:pPr>
        <w:tabs>
          <w:tab w:val="left" w:pos="-1985"/>
          <w:tab w:val="left" w:pos="709"/>
          <w:tab w:val="left" w:pos="1077"/>
        </w:tabs>
        <w:spacing w:line="276" w:lineRule="auto"/>
        <w:jc w:val="both"/>
        <w:rPr>
          <w:rFonts w:ascii="Times New Roman" w:hAnsi="Times New Roman"/>
        </w:rPr>
      </w:pPr>
    </w:p>
    <w:p w:rsidR="0085295D" w:rsidRPr="00E35790" w:rsidRDefault="0085295D" w:rsidP="00E90FA9">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spoločnú spravodajkyňu</w:t>
      </w:r>
      <w:r>
        <w:rPr>
          <w:rFonts w:ascii="Times New Roman" w:hAnsi="Times New Roman"/>
        </w:rPr>
        <w:t xml:space="preserve"> </w:t>
      </w:r>
      <w:r w:rsidR="009722E5">
        <w:rPr>
          <w:rFonts w:ascii="Times New Roman" w:hAnsi="Times New Roman"/>
          <w:b/>
        </w:rPr>
        <w:t xml:space="preserve">Magdalénu </w:t>
      </w:r>
      <w:proofErr w:type="spellStart"/>
      <w:r w:rsidR="009722E5">
        <w:rPr>
          <w:rFonts w:ascii="Times New Roman" w:hAnsi="Times New Roman"/>
          <w:b/>
        </w:rPr>
        <w:t>Kuciaňovú</w:t>
      </w:r>
      <w:proofErr w:type="spellEnd"/>
      <w:r>
        <w:rPr>
          <w:rFonts w:ascii="Times New Roman" w:hAnsi="Times New Roman"/>
          <w:b/>
        </w:rPr>
        <w:t>,</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informoval</w:t>
      </w:r>
      <w:r>
        <w:rPr>
          <w:rFonts w:ascii="Times New Roman" w:hAnsi="Times New Roman"/>
          <w:bCs/>
        </w:rPr>
        <w:t>a</w:t>
      </w:r>
      <w:r w:rsidRPr="00E35790">
        <w:rPr>
          <w:rFonts w:ascii="Times New Roman" w:hAnsi="Times New Roman"/>
          <w:bCs/>
        </w:rPr>
        <w:t xml:space="preserve"> o výsledku rokovania výborov a </w:t>
      </w:r>
      <w:r w:rsidRPr="00E35790">
        <w:rPr>
          <w:rFonts w:ascii="Times New Roman" w:hAnsi="Times New Roman"/>
        </w:rPr>
        <w:t>predkladal</w:t>
      </w:r>
      <w:r>
        <w:rPr>
          <w:rFonts w:ascii="Times New Roman" w:hAnsi="Times New Roman"/>
        </w:rPr>
        <w:t>a</w:t>
      </w:r>
      <w:r w:rsidRPr="00E35790">
        <w:rPr>
          <w:rFonts w:ascii="Times New Roman" w:hAnsi="Times New Roman"/>
        </w:rPr>
        <w:t xml:space="preserve"> návrhy v zmysle príslušných ustanovení zákona č. 350/1996 Z. z. o rokovacom poriadku Národnej rady Slovenskej republiky v znení neskorších predpisov.</w:t>
      </w:r>
    </w:p>
    <w:p w:rsidR="0085295D" w:rsidRDefault="0085295D" w:rsidP="00E90FA9">
      <w:pPr>
        <w:spacing w:line="276" w:lineRule="auto"/>
        <w:jc w:val="center"/>
        <w:rPr>
          <w:rFonts w:ascii="Times New Roman" w:hAnsi="Times New Roman"/>
        </w:rPr>
      </w:pPr>
    </w:p>
    <w:p w:rsidR="00D3227F" w:rsidRDefault="00D3227F" w:rsidP="00E90FA9">
      <w:pPr>
        <w:spacing w:line="276" w:lineRule="auto"/>
        <w:jc w:val="center"/>
        <w:rPr>
          <w:rFonts w:ascii="Times New Roman" w:hAnsi="Times New Roman"/>
        </w:rPr>
      </w:pPr>
    </w:p>
    <w:p w:rsidR="00D3227F" w:rsidRDefault="00D3227F" w:rsidP="00E90FA9">
      <w:pPr>
        <w:spacing w:line="276" w:lineRule="auto"/>
        <w:jc w:val="center"/>
        <w:rPr>
          <w:rFonts w:ascii="Times New Roman" w:hAnsi="Times New Roman"/>
        </w:rPr>
      </w:pPr>
    </w:p>
    <w:p w:rsidR="000272F3" w:rsidRDefault="000272F3" w:rsidP="00E90FA9">
      <w:pPr>
        <w:spacing w:line="276" w:lineRule="auto"/>
        <w:jc w:val="center"/>
        <w:rPr>
          <w:rFonts w:ascii="Times New Roman" w:hAnsi="Times New Roman"/>
        </w:rPr>
      </w:pPr>
    </w:p>
    <w:p w:rsidR="000272F3" w:rsidRDefault="000272F3" w:rsidP="00E90FA9">
      <w:pPr>
        <w:spacing w:line="276" w:lineRule="auto"/>
        <w:jc w:val="center"/>
        <w:rPr>
          <w:rFonts w:ascii="Times New Roman" w:hAnsi="Times New Roman"/>
        </w:rPr>
      </w:pPr>
    </w:p>
    <w:p w:rsidR="00D3227F" w:rsidRDefault="00D3227F" w:rsidP="00E90FA9">
      <w:pPr>
        <w:spacing w:line="276" w:lineRule="auto"/>
        <w:jc w:val="center"/>
        <w:rPr>
          <w:rFonts w:ascii="Times New Roman" w:hAnsi="Times New Roman"/>
        </w:rPr>
      </w:pPr>
    </w:p>
    <w:p w:rsidR="001212AE" w:rsidRDefault="001212AE" w:rsidP="00E90FA9">
      <w:pPr>
        <w:spacing w:line="276" w:lineRule="auto"/>
        <w:jc w:val="center"/>
        <w:rPr>
          <w:rFonts w:ascii="Times New Roman" w:hAnsi="Times New Roman"/>
        </w:rPr>
      </w:pPr>
    </w:p>
    <w:p w:rsidR="0085295D" w:rsidRPr="00E35790" w:rsidRDefault="0085295D" w:rsidP="0085295D">
      <w:pPr>
        <w:jc w:val="center"/>
        <w:rPr>
          <w:rFonts w:ascii="Times New Roman" w:hAnsi="Times New Roman"/>
        </w:rPr>
      </w:pPr>
      <w:r w:rsidRPr="00E35790">
        <w:rPr>
          <w:rFonts w:ascii="Times New Roman" w:hAnsi="Times New Roman"/>
        </w:rPr>
        <w:t> Bratislava</w:t>
      </w:r>
      <w:r w:rsidR="0029043C">
        <w:rPr>
          <w:rFonts w:ascii="Times New Roman" w:hAnsi="Times New Roman"/>
        </w:rPr>
        <w:t xml:space="preserve"> </w:t>
      </w:r>
      <w:r w:rsidR="00213E7D">
        <w:rPr>
          <w:rFonts w:ascii="Times New Roman" w:hAnsi="Times New Roman"/>
        </w:rPr>
        <w:t>26</w:t>
      </w:r>
      <w:r>
        <w:rPr>
          <w:rFonts w:ascii="Times New Roman" w:hAnsi="Times New Roman"/>
        </w:rPr>
        <w:t xml:space="preserve">. </w:t>
      </w:r>
      <w:r w:rsidR="00D3227F">
        <w:rPr>
          <w:rFonts w:ascii="Times New Roman" w:hAnsi="Times New Roman"/>
        </w:rPr>
        <w:t>marec</w:t>
      </w:r>
      <w:r>
        <w:rPr>
          <w:rFonts w:ascii="Times New Roman" w:hAnsi="Times New Roman"/>
        </w:rPr>
        <w:t xml:space="preserve"> 201</w:t>
      </w:r>
      <w:r w:rsidR="000272F3">
        <w:rPr>
          <w:rFonts w:ascii="Times New Roman" w:hAnsi="Times New Roman"/>
        </w:rPr>
        <w:t>9</w:t>
      </w:r>
    </w:p>
    <w:p w:rsidR="0085295D" w:rsidRDefault="0085295D" w:rsidP="0085295D">
      <w:pPr>
        <w:rPr>
          <w:rFonts w:ascii="Times New Roman" w:hAnsi="Times New Roman"/>
        </w:rPr>
      </w:pPr>
    </w:p>
    <w:p w:rsidR="00D3227F" w:rsidRDefault="00D3227F" w:rsidP="0085295D">
      <w:pPr>
        <w:rPr>
          <w:rFonts w:ascii="Times New Roman" w:hAnsi="Times New Roman"/>
        </w:rPr>
      </w:pPr>
    </w:p>
    <w:p w:rsidR="00D3227F" w:rsidRDefault="00D3227F" w:rsidP="0085295D">
      <w:pPr>
        <w:rPr>
          <w:rFonts w:ascii="Times New Roman" w:hAnsi="Times New Roman"/>
        </w:rPr>
      </w:pPr>
    </w:p>
    <w:p w:rsidR="00D3227F" w:rsidRDefault="00D3227F" w:rsidP="0085295D">
      <w:pPr>
        <w:rPr>
          <w:rFonts w:ascii="Times New Roman" w:hAnsi="Times New Roman"/>
        </w:rPr>
      </w:pPr>
    </w:p>
    <w:p w:rsidR="009B69CE" w:rsidRDefault="009B69CE" w:rsidP="0085295D">
      <w:pPr>
        <w:rPr>
          <w:rFonts w:ascii="Times New Roman" w:hAnsi="Times New Roman"/>
        </w:rPr>
      </w:pPr>
    </w:p>
    <w:p w:rsidR="0085295D" w:rsidRPr="006E7634" w:rsidRDefault="0085295D" w:rsidP="0085295D">
      <w:pPr>
        <w:jc w:val="center"/>
        <w:rPr>
          <w:rFonts w:ascii="Times New Roman" w:hAnsi="Times New Roman"/>
          <w:b/>
        </w:rPr>
      </w:pPr>
      <w:r w:rsidRPr="006E7634">
        <w:rPr>
          <w:rFonts w:ascii="Times New Roman" w:hAnsi="Times New Roman"/>
          <w:b/>
        </w:rPr>
        <w:t xml:space="preserve">Alena  B a š i s t o v á </w:t>
      </w:r>
      <w:r>
        <w:rPr>
          <w:rFonts w:ascii="Times New Roman" w:hAnsi="Times New Roman"/>
          <w:b/>
        </w:rPr>
        <w:t xml:space="preserve"> v. r.</w:t>
      </w:r>
    </w:p>
    <w:p w:rsidR="0085295D" w:rsidRPr="006E7634" w:rsidRDefault="0085295D" w:rsidP="0085295D">
      <w:pPr>
        <w:jc w:val="center"/>
        <w:rPr>
          <w:rFonts w:ascii="Times New Roman" w:hAnsi="Times New Roman"/>
          <w:b/>
        </w:rPr>
      </w:pPr>
      <w:r w:rsidRPr="006E7634">
        <w:rPr>
          <w:rFonts w:ascii="Times New Roman" w:hAnsi="Times New Roman"/>
          <w:b/>
        </w:rPr>
        <w:t xml:space="preserve">predsedníčka výboru </w:t>
      </w:r>
    </w:p>
    <w:sectPr w:rsidR="0085295D" w:rsidRPr="006E7634" w:rsidSect="009941E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CA2" w:rsidRDefault="00FE0CA2">
      <w:pPr>
        <w:spacing w:line="240" w:lineRule="auto"/>
      </w:pPr>
      <w:r>
        <w:separator/>
      </w:r>
    </w:p>
  </w:endnote>
  <w:endnote w:type="continuationSeparator" w:id="0">
    <w:p w:rsidR="00FE0CA2" w:rsidRDefault="00FE0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9941E3" w:rsidRDefault="00467749">
    <w:pPr>
      <w:pStyle w:val="Pta"/>
      <w:jc w:val="right"/>
      <w:rPr>
        <w:rFonts w:ascii="Times New Roman" w:hAnsi="Times New Roman"/>
        <w:sz w:val="22"/>
      </w:rPr>
    </w:pPr>
    <w:r w:rsidRPr="009941E3">
      <w:rPr>
        <w:rFonts w:ascii="Times New Roman" w:hAnsi="Times New Roman"/>
        <w:sz w:val="22"/>
      </w:rPr>
      <w:fldChar w:fldCharType="begin"/>
    </w:r>
    <w:r w:rsidRPr="009941E3">
      <w:rPr>
        <w:rFonts w:ascii="Times New Roman" w:hAnsi="Times New Roman"/>
        <w:sz w:val="22"/>
      </w:rPr>
      <w:instrText>PAGE   \* MERGEFORMAT</w:instrText>
    </w:r>
    <w:r w:rsidRPr="009941E3">
      <w:rPr>
        <w:rFonts w:ascii="Times New Roman" w:hAnsi="Times New Roman"/>
        <w:sz w:val="22"/>
      </w:rPr>
      <w:fldChar w:fldCharType="separate"/>
    </w:r>
    <w:r w:rsidR="00754061">
      <w:rPr>
        <w:rFonts w:ascii="Times New Roman" w:hAnsi="Times New Roman"/>
        <w:noProof/>
        <w:sz w:val="22"/>
      </w:rPr>
      <w:t>9</w:t>
    </w:r>
    <w:r w:rsidRPr="009941E3">
      <w:rPr>
        <w:rFonts w:ascii="Times New Roman" w:hAnsi="Times New Roman"/>
        <w:sz w:val="22"/>
      </w:rPr>
      <w:fldChar w:fldCharType="end"/>
    </w:r>
  </w:p>
  <w:p w:rsidR="00467749" w:rsidRDefault="004677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CA2" w:rsidRDefault="00FE0CA2">
      <w:pPr>
        <w:spacing w:line="240" w:lineRule="auto"/>
      </w:pPr>
      <w:r>
        <w:separator/>
      </w:r>
    </w:p>
  </w:footnote>
  <w:footnote w:type="continuationSeparator" w:id="0">
    <w:p w:rsidR="00FE0CA2" w:rsidRDefault="00FE0C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ED7"/>
    <w:multiLevelType w:val="hybridMultilevel"/>
    <w:tmpl w:val="25D82AF2"/>
    <w:lvl w:ilvl="0" w:tplc="05921BAA">
      <w:start w:val="1"/>
      <w:numFmt w:val="decimal"/>
      <w:lvlText w:val="%1."/>
      <w:lvlJc w:val="left"/>
      <w:pPr>
        <w:ind w:left="360" w:hanging="360"/>
      </w:pPr>
      <w:rPr>
        <w:rFonts w:cs="Times New Roman"/>
        <w:b/>
      </w:rPr>
    </w:lvl>
    <w:lvl w:ilvl="1" w:tplc="041B0003">
      <w:start w:val="1"/>
      <w:numFmt w:val="bullet"/>
      <w:lvlText w:val="o"/>
      <w:lvlJc w:val="left"/>
      <w:pPr>
        <w:ind w:left="1080" w:hanging="360"/>
      </w:pPr>
      <w:rPr>
        <w:rFonts w:ascii="Courier New" w:hAnsi="Courier New"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Times New Roman"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Times New Roman" w:hint="default"/>
      </w:rPr>
    </w:lvl>
    <w:lvl w:ilvl="8" w:tplc="041B0005">
      <w:start w:val="1"/>
      <w:numFmt w:val="bullet"/>
      <w:lvlText w:val=""/>
      <w:lvlJc w:val="left"/>
      <w:pPr>
        <w:ind w:left="6120" w:hanging="360"/>
      </w:pPr>
      <w:rPr>
        <w:rFonts w:ascii="Wingdings" w:hAnsi="Wingdings" w:hint="default"/>
      </w:rPr>
    </w:lvl>
  </w:abstractNum>
  <w:abstractNum w:abstractNumId="1" w15:restartNumberingAfterBreak="0">
    <w:nsid w:val="0BED40CF"/>
    <w:multiLevelType w:val="hybridMultilevel"/>
    <w:tmpl w:val="99B8C2B2"/>
    <w:lvl w:ilvl="0" w:tplc="CE16C1CE">
      <w:start w:val="1"/>
      <w:numFmt w:val="decimal"/>
      <w:lvlText w:val="%1."/>
      <w:lvlJc w:val="left"/>
      <w:pPr>
        <w:ind w:left="360" w:hanging="360"/>
      </w:pPr>
      <w:rPr>
        <w:rFonts w:ascii="Times New Roman" w:hAnsi="Times New Roman" w:cs="Times New Roman" w:hint="default"/>
        <w:b/>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2A0A0E98"/>
    <w:multiLevelType w:val="hybridMultilevel"/>
    <w:tmpl w:val="B7D4C3A4"/>
    <w:lvl w:ilvl="0" w:tplc="67EEA64C">
      <w:start w:val="1"/>
      <w:numFmt w:val="decimal"/>
      <w:lvlText w:val="%1."/>
      <w:lvlJc w:val="left"/>
      <w:pPr>
        <w:ind w:left="360" w:hanging="360"/>
      </w:pPr>
      <w:rPr>
        <w:rFonts w:cs="Times New Roman"/>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2AC156E4"/>
    <w:multiLevelType w:val="hybridMultilevel"/>
    <w:tmpl w:val="5520405E"/>
    <w:lvl w:ilvl="0" w:tplc="AFB8C81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6854FB2"/>
    <w:multiLevelType w:val="hybridMultilevel"/>
    <w:tmpl w:val="4DB8EE22"/>
    <w:lvl w:ilvl="0" w:tplc="F592AB96">
      <w:start w:val="1"/>
      <w:numFmt w:val="lowerLetter"/>
      <w:lvlText w:val="%1)"/>
      <w:lvlJc w:val="left"/>
      <w:pPr>
        <w:ind w:left="786"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5" w15:restartNumberingAfterBreak="0">
    <w:nsid w:val="5E4B2D37"/>
    <w:multiLevelType w:val="hybridMultilevel"/>
    <w:tmpl w:val="B4CEE1C8"/>
    <w:lvl w:ilvl="0" w:tplc="6B2CF258">
      <w:start w:val="1"/>
      <w:numFmt w:val="lowerLetter"/>
      <w:lvlText w:val="%1)"/>
      <w:lvlJc w:val="left"/>
      <w:pPr>
        <w:ind w:left="786"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70AA7928"/>
    <w:multiLevelType w:val="hybridMultilevel"/>
    <w:tmpl w:val="AB06A38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5D"/>
    <w:rsid w:val="00011996"/>
    <w:rsid w:val="000272F3"/>
    <w:rsid w:val="00036C35"/>
    <w:rsid w:val="00041C88"/>
    <w:rsid w:val="000424BA"/>
    <w:rsid w:val="00047234"/>
    <w:rsid w:val="00070F86"/>
    <w:rsid w:val="000A0BEB"/>
    <w:rsid w:val="000F6E8E"/>
    <w:rsid w:val="001212AE"/>
    <w:rsid w:val="00167443"/>
    <w:rsid w:val="002057E2"/>
    <w:rsid w:val="00213E7D"/>
    <w:rsid w:val="0029043C"/>
    <w:rsid w:val="002F5D28"/>
    <w:rsid w:val="00324E35"/>
    <w:rsid w:val="00343656"/>
    <w:rsid w:val="0035450B"/>
    <w:rsid w:val="003C5E8A"/>
    <w:rsid w:val="00467749"/>
    <w:rsid w:val="004B056F"/>
    <w:rsid w:val="004F3FD7"/>
    <w:rsid w:val="00567BA2"/>
    <w:rsid w:val="005A3A77"/>
    <w:rsid w:val="005D244C"/>
    <w:rsid w:val="005D74E1"/>
    <w:rsid w:val="005F6304"/>
    <w:rsid w:val="00616CC5"/>
    <w:rsid w:val="006750A0"/>
    <w:rsid w:val="006E7634"/>
    <w:rsid w:val="00705A16"/>
    <w:rsid w:val="00754061"/>
    <w:rsid w:val="0085295D"/>
    <w:rsid w:val="00854253"/>
    <w:rsid w:val="0087709E"/>
    <w:rsid w:val="00922C10"/>
    <w:rsid w:val="00926F6C"/>
    <w:rsid w:val="00946877"/>
    <w:rsid w:val="009722E5"/>
    <w:rsid w:val="009941E3"/>
    <w:rsid w:val="009B69CE"/>
    <w:rsid w:val="009B7444"/>
    <w:rsid w:val="009C18F0"/>
    <w:rsid w:val="00A06644"/>
    <w:rsid w:val="00AB127F"/>
    <w:rsid w:val="00B12224"/>
    <w:rsid w:val="00B413D0"/>
    <w:rsid w:val="00B625BD"/>
    <w:rsid w:val="00B77DD6"/>
    <w:rsid w:val="00BC6A84"/>
    <w:rsid w:val="00C64E90"/>
    <w:rsid w:val="00C77D5E"/>
    <w:rsid w:val="00C8305F"/>
    <w:rsid w:val="00CB6572"/>
    <w:rsid w:val="00CC54D2"/>
    <w:rsid w:val="00CD2E1C"/>
    <w:rsid w:val="00CD74C0"/>
    <w:rsid w:val="00D056E2"/>
    <w:rsid w:val="00D24DD7"/>
    <w:rsid w:val="00D25F2F"/>
    <w:rsid w:val="00D3227F"/>
    <w:rsid w:val="00D63B13"/>
    <w:rsid w:val="00D74E7A"/>
    <w:rsid w:val="00D76F22"/>
    <w:rsid w:val="00E13FDB"/>
    <w:rsid w:val="00E35790"/>
    <w:rsid w:val="00E90FA9"/>
    <w:rsid w:val="00E96029"/>
    <w:rsid w:val="00F50600"/>
    <w:rsid w:val="00F83468"/>
    <w:rsid w:val="00FC49A1"/>
    <w:rsid w:val="00FE0C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49EE7"/>
  <w14:defaultImageDpi w14:val="0"/>
  <w15:docId w15:val="{D8FC17CD-5AC7-42FC-8788-2265537E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295D"/>
    <w:pPr>
      <w:spacing w:after="0"/>
    </w:pPr>
    <w:rPr>
      <w:rFonts w:ascii="Arial" w:hAnsi="Arial" w:cs="Times New Roman"/>
      <w:sz w:val="24"/>
    </w:rPr>
  </w:style>
  <w:style w:type="paragraph" w:styleId="Nadpis1">
    <w:name w:val="heading 1"/>
    <w:basedOn w:val="Normlny"/>
    <w:next w:val="Normlny"/>
    <w:link w:val="Nadpis1Char"/>
    <w:uiPriority w:val="9"/>
    <w:qFormat/>
    <w:rsid w:val="0085295D"/>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5295D"/>
    <w:rPr>
      <w:rFonts w:ascii="Arial" w:hAnsi="Arial" w:cs="Arial"/>
      <w:b/>
      <w:bCs/>
      <w:kern w:val="32"/>
      <w:sz w:val="32"/>
      <w:szCs w:val="32"/>
      <w:lang w:val="x-none" w:eastAsia="sk-SK"/>
    </w:rPr>
  </w:style>
  <w:style w:type="paragraph" w:styleId="Zkladntext2">
    <w:name w:val="Body Text 2"/>
    <w:basedOn w:val="Normlny"/>
    <w:link w:val="Zkladntext2Char"/>
    <w:uiPriority w:val="99"/>
    <w:unhideWhenUsed/>
    <w:rsid w:val="0085295D"/>
    <w:pPr>
      <w:spacing w:after="120" w:line="480" w:lineRule="auto"/>
    </w:pPr>
  </w:style>
  <w:style w:type="character" w:customStyle="1" w:styleId="Zkladntext2Char">
    <w:name w:val="Základný text 2 Char"/>
    <w:basedOn w:val="Predvolenpsmoodseku"/>
    <w:link w:val="Zkladntext2"/>
    <w:uiPriority w:val="99"/>
    <w:locked/>
    <w:rsid w:val="0085295D"/>
    <w:rPr>
      <w:rFonts w:ascii="Arial" w:hAnsi="Arial" w:cs="Times New Roman"/>
      <w:sz w:val="24"/>
    </w:rPr>
  </w:style>
  <w:style w:type="paragraph" w:styleId="Pta">
    <w:name w:val="footer"/>
    <w:basedOn w:val="Normlny"/>
    <w:link w:val="PtaChar"/>
    <w:uiPriority w:val="99"/>
    <w:unhideWhenUsed/>
    <w:rsid w:val="0085295D"/>
    <w:pPr>
      <w:tabs>
        <w:tab w:val="center" w:pos="4536"/>
        <w:tab w:val="right" w:pos="9072"/>
      </w:tabs>
      <w:spacing w:line="240" w:lineRule="auto"/>
    </w:pPr>
  </w:style>
  <w:style w:type="character" w:customStyle="1" w:styleId="PtaChar">
    <w:name w:val="Päta Char"/>
    <w:basedOn w:val="Predvolenpsmoodseku"/>
    <w:link w:val="Pta"/>
    <w:uiPriority w:val="99"/>
    <w:locked/>
    <w:rsid w:val="0085295D"/>
    <w:rPr>
      <w:rFonts w:ascii="Arial" w:hAnsi="Arial" w:cs="Times New Roman"/>
      <w:sz w:val="24"/>
    </w:rPr>
  </w:style>
  <w:style w:type="paragraph" w:styleId="Odsekzoznamu">
    <w:name w:val="List Paragraph"/>
    <w:aliases w:val="body,Odsek zoznamu1,Odsek,Odsek zoznamu2"/>
    <w:basedOn w:val="Normlny"/>
    <w:link w:val="OdsekzoznamuChar"/>
    <w:uiPriority w:val="34"/>
    <w:qFormat/>
    <w:rsid w:val="0085295D"/>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1 Char,Odsek Char,Odsek zoznamu2 Char"/>
    <w:basedOn w:val="Predvolenpsmoodseku"/>
    <w:link w:val="Odsekzoznamu"/>
    <w:uiPriority w:val="34"/>
    <w:locked/>
    <w:rsid w:val="0085295D"/>
    <w:rPr>
      <w:rFonts w:eastAsiaTheme="minorEastAsia" w:cs="Times New Roman"/>
      <w:lang w:val="x-none" w:eastAsia="sk-SK"/>
    </w:rPr>
  </w:style>
  <w:style w:type="character" w:styleId="Zstupntext">
    <w:name w:val="Placeholder Text"/>
    <w:basedOn w:val="Predvolenpsmoodseku"/>
    <w:uiPriority w:val="99"/>
    <w:semiHidden/>
    <w:rsid w:val="0085295D"/>
    <w:rPr>
      <w:rFonts w:ascii="Times New Roman" w:hAnsi="Times New Roman" w:cs="Times New Roman"/>
      <w:color w:val="808080"/>
    </w:rPr>
  </w:style>
  <w:style w:type="paragraph" w:customStyle="1" w:styleId="TxBrp9">
    <w:name w:val="TxBr_p9"/>
    <w:basedOn w:val="Normlny"/>
    <w:rsid w:val="004F3FD7"/>
    <w:pPr>
      <w:widowControl w:val="0"/>
      <w:tabs>
        <w:tab w:val="left" w:pos="204"/>
      </w:tabs>
      <w:autoSpaceDE w:val="0"/>
      <w:autoSpaceDN w:val="0"/>
      <w:adjustRightInd w:val="0"/>
      <w:spacing w:line="240" w:lineRule="atLeast"/>
      <w:jc w:val="both"/>
    </w:pPr>
    <w:rPr>
      <w:rFonts w:ascii="Times New Roman" w:hAnsi="Times New Roman"/>
      <w:sz w:val="20"/>
      <w:szCs w:val="24"/>
      <w:lang w:val="en-US" w:eastAsia="sk-SK"/>
    </w:rPr>
  </w:style>
  <w:style w:type="paragraph" w:styleId="Hlavika">
    <w:name w:val="header"/>
    <w:basedOn w:val="Normlny"/>
    <w:link w:val="HlavikaChar"/>
    <w:uiPriority w:val="99"/>
    <w:unhideWhenUsed/>
    <w:rsid w:val="009941E3"/>
    <w:pPr>
      <w:tabs>
        <w:tab w:val="center" w:pos="4536"/>
        <w:tab w:val="right" w:pos="9072"/>
      </w:tabs>
      <w:spacing w:line="240" w:lineRule="auto"/>
    </w:pPr>
  </w:style>
  <w:style w:type="character" w:customStyle="1" w:styleId="HlavikaChar">
    <w:name w:val="Hlavička Char"/>
    <w:basedOn w:val="Predvolenpsmoodseku"/>
    <w:link w:val="Hlavika"/>
    <w:uiPriority w:val="99"/>
    <w:rsid w:val="009941E3"/>
    <w:rPr>
      <w:rFonts w:ascii="Arial" w:hAnsi="Arial" w:cs="Times New Roman"/>
      <w:sz w:val="24"/>
    </w:rPr>
  </w:style>
  <w:style w:type="paragraph" w:styleId="Textbubliny">
    <w:name w:val="Balloon Text"/>
    <w:basedOn w:val="Normlny"/>
    <w:link w:val="TextbublinyChar"/>
    <w:uiPriority w:val="99"/>
    <w:semiHidden/>
    <w:unhideWhenUsed/>
    <w:rsid w:val="00CB657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6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2920</Words>
  <Characters>17031</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34</cp:revision>
  <cp:lastPrinted>2019-03-26T08:10:00Z</cp:lastPrinted>
  <dcterms:created xsi:type="dcterms:W3CDTF">2018-09-04T10:44:00Z</dcterms:created>
  <dcterms:modified xsi:type="dcterms:W3CDTF">2019-03-26T08:15:00Z</dcterms:modified>
</cp:coreProperties>
</file>