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FB" w:rsidRPr="004C37D7" w:rsidRDefault="000947FB" w:rsidP="000947FB">
      <w:pPr>
        <w:pStyle w:val="Nadpis2"/>
        <w:ind w:hanging="3649"/>
        <w:jc w:val="left"/>
      </w:pPr>
      <w:r w:rsidRPr="004C37D7">
        <w:t>ÚSTAVNOPRÁVNY VÝBOR</w:t>
      </w:r>
    </w:p>
    <w:p w:rsidR="000947FB" w:rsidRPr="004C37D7" w:rsidRDefault="000947FB" w:rsidP="000947FB">
      <w:pPr>
        <w:spacing w:line="360" w:lineRule="auto"/>
        <w:rPr>
          <w:b/>
        </w:rPr>
      </w:pPr>
      <w:r w:rsidRPr="004C37D7">
        <w:rPr>
          <w:b/>
        </w:rPr>
        <w:t>NÁRODNEJ RADY SLOVENSKEJ REPUBLIKY</w:t>
      </w:r>
    </w:p>
    <w:p w:rsidR="000947FB" w:rsidRPr="004C37D7" w:rsidRDefault="000947FB" w:rsidP="000947FB"/>
    <w:p w:rsidR="000947FB" w:rsidRPr="004C37D7" w:rsidRDefault="000947FB" w:rsidP="000947FB">
      <w:r w:rsidRPr="004C37D7">
        <w:tab/>
      </w:r>
      <w:r w:rsidRPr="004C37D7">
        <w:tab/>
      </w:r>
      <w:r w:rsidRPr="004C37D7">
        <w:tab/>
      </w:r>
      <w:r w:rsidRPr="004C37D7">
        <w:tab/>
      </w:r>
      <w:r w:rsidRPr="004C37D7">
        <w:tab/>
      </w:r>
      <w:r w:rsidRPr="004C37D7">
        <w:tab/>
      </w:r>
      <w:r w:rsidRPr="004C37D7">
        <w:tab/>
      </w:r>
      <w:r w:rsidRPr="004C37D7">
        <w:tab/>
        <w:t xml:space="preserve"> </w:t>
      </w:r>
      <w:r w:rsidRPr="004C37D7">
        <w:tab/>
        <w:t>91. schôdza</w:t>
      </w:r>
    </w:p>
    <w:p w:rsidR="000947FB" w:rsidRPr="004C37D7" w:rsidRDefault="000947FB" w:rsidP="000947FB">
      <w:pPr>
        <w:ind w:left="5592" w:hanging="12"/>
      </w:pPr>
      <w:r w:rsidRPr="004C37D7">
        <w:t xml:space="preserve"> </w:t>
      </w:r>
      <w:r w:rsidRPr="004C37D7">
        <w:tab/>
        <w:t xml:space="preserve"> </w:t>
      </w:r>
      <w:r w:rsidRPr="004C37D7">
        <w:tab/>
      </w:r>
      <w:r w:rsidR="002E514C" w:rsidRPr="004C37D7">
        <w:t>Číslo: CRD-2196/2018</w:t>
      </w:r>
    </w:p>
    <w:p w:rsidR="000947FB" w:rsidRPr="004C37D7" w:rsidRDefault="000947FB" w:rsidP="000947FB"/>
    <w:p w:rsidR="000947FB" w:rsidRPr="004C37D7" w:rsidRDefault="0087646A" w:rsidP="000947FB">
      <w:pPr>
        <w:jc w:val="center"/>
        <w:rPr>
          <w:sz w:val="36"/>
          <w:szCs w:val="36"/>
        </w:rPr>
      </w:pPr>
      <w:r>
        <w:rPr>
          <w:sz w:val="36"/>
          <w:szCs w:val="36"/>
        </w:rPr>
        <w:t>581</w:t>
      </w:r>
    </w:p>
    <w:p w:rsidR="000947FB" w:rsidRPr="004C37D7" w:rsidRDefault="000947FB" w:rsidP="000947FB">
      <w:pPr>
        <w:jc w:val="center"/>
        <w:rPr>
          <w:b/>
        </w:rPr>
      </w:pPr>
      <w:r w:rsidRPr="004C37D7">
        <w:rPr>
          <w:b/>
        </w:rPr>
        <w:t>U z n e s e n i e</w:t>
      </w:r>
    </w:p>
    <w:p w:rsidR="000947FB" w:rsidRPr="004C37D7" w:rsidRDefault="000947FB" w:rsidP="000947FB">
      <w:pPr>
        <w:jc w:val="center"/>
        <w:rPr>
          <w:b/>
        </w:rPr>
      </w:pPr>
      <w:r w:rsidRPr="004C37D7">
        <w:rPr>
          <w:b/>
        </w:rPr>
        <w:t>Ústavnoprávneho výboru Národnej rady Slovenskej republiky</w:t>
      </w:r>
    </w:p>
    <w:p w:rsidR="000947FB" w:rsidRPr="004C37D7" w:rsidRDefault="000947FB" w:rsidP="000947FB">
      <w:pPr>
        <w:jc w:val="center"/>
        <w:rPr>
          <w:b/>
        </w:rPr>
      </w:pPr>
      <w:r w:rsidRPr="004C37D7">
        <w:rPr>
          <w:b/>
        </w:rPr>
        <w:t>z 19. marca 2019</w:t>
      </w:r>
    </w:p>
    <w:p w:rsidR="000947FB" w:rsidRPr="004C37D7" w:rsidRDefault="000947FB" w:rsidP="000947FB">
      <w:pPr>
        <w:pStyle w:val="TxBrp9"/>
        <w:tabs>
          <w:tab w:val="clear" w:pos="204"/>
          <w:tab w:val="left" w:pos="284"/>
        </w:tabs>
        <w:spacing w:line="240" w:lineRule="auto"/>
        <w:rPr>
          <w:sz w:val="24"/>
        </w:rPr>
      </w:pPr>
    </w:p>
    <w:p w:rsidR="00C97CBE" w:rsidRPr="004C37D7" w:rsidRDefault="000947FB" w:rsidP="00C97CBE">
      <w:pPr>
        <w:pStyle w:val="TxBrp9"/>
        <w:tabs>
          <w:tab w:val="clear" w:pos="204"/>
          <w:tab w:val="left" w:pos="426"/>
        </w:tabs>
        <w:spacing w:line="240" w:lineRule="auto"/>
        <w:rPr>
          <w:sz w:val="24"/>
        </w:rPr>
      </w:pPr>
      <w:proofErr w:type="gramStart"/>
      <w:r w:rsidRPr="004C37D7">
        <w:rPr>
          <w:color w:val="333333"/>
          <w:sz w:val="24"/>
        </w:rPr>
        <w:t>k</w:t>
      </w:r>
      <w:proofErr w:type="gramEnd"/>
      <w:r w:rsidR="00C97CBE" w:rsidRPr="004C37D7">
        <w:rPr>
          <w:color w:val="333333"/>
          <w:sz w:val="24"/>
        </w:rPr>
        <w:t xml:space="preserve"> </w:t>
      </w:r>
      <w:proofErr w:type="spellStart"/>
      <w:r w:rsidR="00C97CBE" w:rsidRPr="004C37D7">
        <w:rPr>
          <w:color w:val="333333"/>
          <w:sz w:val="24"/>
        </w:rPr>
        <w:t>n</w:t>
      </w:r>
      <w:r w:rsidR="00C97CBE" w:rsidRPr="004C37D7">
        <w:rPr>
          <w:sz w:val="24"/>
        </w:rPr>
        <w:t>ávrhu</w:t>
      </w:r>
      <w:proofErr w:type="spellEnd"/>
      <w:r w:rsidR="00C97CBE" w:rsidRPr="004C37D7">
        <w:rPr>
          <w:sz w:val="24"/>
        </w:rPr>
        <w:t xml:space="preserve"> </w:t>
      </w:r>
      <w:proofErr w:type="spellStart"/>
      <w:r w:rsidR="00C97CBE" w:rsidRPr="004C37D7">
        <w:rPr>
          <w:sz w:val="24"/>
        </w:rPr>
        <w:t>poslancov</w:t>
      </w:r>
      <w:proofErr w:type="spellEnd"/>
      <w:r w:rsidR="00C97CBE" w:rsidRPr="004C37D7">
        <w:rPr>
          <w:sz w:val="24"/>
        </w:rPr>
        <w:t xml:space="preserve"> </w:t>
      </w:r>
      <w:proofErr w:type="spellStart"/>
      <w:r w:rsidR="00C97CBE" w:rsidRPr="004C37D7">
        <w:rPr>
          <w:sz w:val="24"/>
        </w:rPr>
        <w:t>Národnej</w:t>
      </w:r>
      <w:proofErr w:type="spellEnd"/>
      <w:r w:rsidR="00C97CBE" w:rsidRPr="004C37D7">
        <w:rPr>
          <w:sz w:val="24"/>
        </w:rPr>
        <w:t xml:space="preserve"> rady </w:t>
      </w:r>
      <w:proofErr w:type="spellStart"/>
      <w:r w:rsidR="00C97CBE" w:rsidRPr="004C37D7">
        <w:rPr>
          <w:sz w:val="24"/>
        </w:rPr>
        <w:t>Slovenskej</w:t>
      </w:r>
      <w:proofErr w:type="spellEnd"/>
      <w:r w:rsidR="00C97CBE" w:rsidRPr="004C37D7">
        <w:rPr>
          <w:sz w:val="24"/>
        </w:rPr>
        <w:t xml:space="preserve"> </w:t>
      </w:r>
      <w:proofErr w:type="spellStart"/>
      <w:r w:rsidR="00C97CBE" w:rsidRPr="004C37D7">
        <w:rPr>
          <w:sz w:val="24"/>
        </w:rPr>
        <w:t>republiky</w:t>
      </w:r>
      <w:proofErr w:type="spellEnd"/>
      <w:r w:rsidR="00C97CBE" w:rsidRPr="004C37D7">
        <w:rPr>
          <w:sz w:val="24"/>
        </w:rPr>
        <w:t xml:space="preserve"> Irén </w:t>
      </w:r>
      <w:proofErr w:type="spellStart"/>
      <w:r w:rsidR="00C97CBE" w:rsidRPr="004C37D7">
        <w:rPr>
          <w:sz w:val="24"/>
        </w:rPr>
        <w:t>Sárközy</w:t>
      </w:r>
      <w:proofErr w:type="spellEnd"/>
      <w:r w:rsidR="00C97CBE" w:rsidRPr="004C37D7">
        <w:rPr>
          <w:sz w:val="24"/>
        </w:rPr>
        <w:t xml:space="preserve"> a Petra </w:t>
      </w:r>
      <w:proofErr w:type="spellStart"/>
      <w:r w:rsidR="00C97CBE" w:rsidRPr="004C37D7">
        <w:rPr>
          <w:sz w:val="24"/>
        </w:rPr>
        <w:t>Antala</w:t>
      </w:r>
      <w:proofErr w:type="spellEnd"/>
      <w:r w:rsidR="00C97CBE" w:rsidRPr="004C37D7">
        <w:rPr>
          <w:sz w:val="24"/>
        </w:rPr>
        <w:t xml:space="preserve"> </w:t>
      </w:r>
      <w:proofErr w:type="spellStart"/>
      <w:r w:rsidR="00C97CBE" w:rsidRPr="004C37D7">
        <w:rPr>
          <w:sz w:val="24"/>
        </w:rPr>
        <w:t>na</w:t>
      </w:r>
      <w:proofErr w:type="spellEnd"/>
      <w:r w:rsidR="00C97CBE" w:rsidRPr="004C37D7">
        <w:rPr>
          <w:sz w:val="24"/>
        </w:rPr>
        <w:t xml:space="preserve">  </w:t>
      </w:r>
      <w:proofErr w:type="spellStart"/>
      <w:r w:rsidR="00C97CBE" w:rsidRPr="004C37D7">
        <w:rPr>
          <w:sz w:val="24"/>
        </w:rPr>
        <w:t>vydanie</w:t>
      </w:r>
      <w:proofErr w:type="spellEnd"/>
      <w:r w:rsidR="00C97CBE" w:rsidRPr="004C37D7">
        <w:rPr>
          <w:sz w:val="24"/>
        </w:rPr>
        <w:t xml:space="preserve"> </w:t>
      </w:r>
      <w:proofErr w:type="spellStart"/>
      <w:r w:rsidR="00C97CBE" w:rsidRPr="004C37D7">
        <w:rPr>
          <w:sz w:val="24"/>
        </w:rPr>
        <w:t>zákona</w:t>
      </w:r>
      <w:proofErr w:type="spellEnd"/>
      <w:r w:rsidR="00C97CBE" w:rsidRPr="004C37D7">
        <w:rPr>
          <w:sz w:val="24"/>
        </w:rPr>
        <w:t xml:space="preserve">, </w:t>
      </w:r>
      <w:proofErr w:type="spellStart"/>
      <w:r w:rsidR="00C97CBE" w:rsidRPr="004C37D7">
        <w:rPr>
          <w:sz w:val="24"/>
        </w:rPr>
        <w:t>ktorým</w:t>
      </w:r>
      <w:proofErr w:type="spellEnd"/>
      <w:r w:rsidR="00C97CBE" w:rsidRPr="004C37D7">
        <w:rPr>
          <w:sz w:val="24"/>
        </w:rPr>
        <w:t xml:space="preserve"> </w:t>
      </w:r>
      <w:proofErr w:type="spellStart"/>
      <w:r w:rsidR="00C97CBE" w:rsidRPr="004C37D7">
        <w:rPr>
          <w:sz w:val="24"/>
        </w:rPr>
        <w:t>sa</w:t>
      </w:r>
      <w:proofErr w:type="spellEnd"/>
      <w:r w:rsidR="00C97CBE" w:rsidRPr="004C37D7">
        <w:rPr>
          <w:sz w:val="24"/>
        </w:rPr>
        <w:t xml:space="preserve"> </w:t>
      </w:r>
      <w:proofErr w:type="spellStart"/>
      <w:r w:rsidR="00C97CBE" w:rsidRPr="004C37D7">
        <w:rPr>
          <w:sz w:val="24"/>
        </w:rPr>
        <w:t>mení</w:t>
      </w:r>
      <w:proofErr w:type="spellEnd"/>
      <w:r w:rsidR="00C97CBE" w:rsidRPr="004C37D7">
        <w:rPr>
          <w:sz w:val="24"/>
        </w:rPr>
        <w:t xml:space="preserve"> a </w:t>
      </w:r>
      <w:proofErr w:type="spellStart"/>
      <w:r w:rsidR="00C97CBE" w:rsidRPr="004C37D7">
        <w:rPr>
          <w:sz w:val="24"/>
        </w:rPr>
        <w:t>dopĺňa</w:t>
      </w:r>
      <w:proofErr w:type="spellEnd"/>
      <w:r w:rsidR="00C97CBE" w:rsidRPr="004C37D7">
        <w:rPr>
          <w:sz w:val="24"/>
        </w:rPr>
        <w:t xml:space="preserve"> </w:t>
      </w:r>
      <w:proofErr w:type="spellStart"/>
      <w:r w:rsidR="00C97CBE" w:rsidRPr="004C37D7">
        <w:rPr>
          <w:sz w:val="24"/>
        </w:rPr>
        <w:t>zákon</w:t>
      </w:r>
      <w:proofErr w:type="spellEnd"/>
      <w:r w:rsidR="00C97CBE" w:rsidRPr="004C37D7">
        <w:rPr>
          <w:sz w:val="24"/>
        </w:rPr>
        <w:t xml:space="preserve"> č. 461/2003 Z. z. o </w:t>
      </w:r>
      <w:proofErr w:type="spellStart"/>
      <w:r w:rsidR="00C97CBE" w:rsidRPr="004C37D7">
        <w:rPr>
          <w:sz w:val="24"/>
        </w:rPr>
        <w:t>sociálnom</w:t>
      </w:r>
      <w:proofErr w:type="spellEnd"/>
      <w:r w:rsidR="00C97CBE" w:rsidRPr="004C37D7">
        <w:rPr>
          <w:sz w:val="24"/>
        </w:rPr>
        <w:t xml:space="preserve"> </w:t>
      </w:r>
      <w:proofErr w:type="spellStart"/>
      <w:r w:rsidR="00C97CBE" w:rsidRPr="004C37D7">
        <w:rPr>
          <w:sz w:val="24"/>
        </w:rPr>
        <w:t>poistení</w:t>
      </w:r>
      <w:proofErr w:type="spellEnd"/>
      <w:r w:rsidR="00C97CBE" w:rsidRPr="004C37D7">
        <w:rPr>
          <w:sz w:val="24"/>
        </w:rPr>
        <w:t xml:space="preserve"> v </w:t>
      </w:r>
      <w:proofErr w:type="spellStart"/>
      <w:r w:rsidR="00C97CBE" w:rsidRPr="004C37D7">
        <w:rPr>
          <w:sz w:val="24"/>
        </w:rPr>
        <w:t>znení</w:t>
      </w:r>
      <w:proofErr w:type="spellEnd"/>
      <w:r w:rsidR="00C97CBE" w:rsidRPr="004C37D7">
        <w:rPr>
          <w:sz w:val="24"/>
        </w:rPr>
        <w:t xml:space="preserve"> </w:t>
      </w:r>
      <w:proofErr w:type="spellStart"/>
      <w:r w:rsidR="00C97CBE" w:rsidRPr="004C37D7">
        <w:rPr>
          <w:sz w:val="24"/>
        </w:rPr>
        <w:t>neskorších</w:t>
      </w:r>
      <w:proofErr w:type="spellEnd"/>
      <w:r w:rsidR="00C97CBE" w:rsidRPr="004C37D7">
        <w:rPr>
          <w:sz w:val="24"/>
        </w:rPr>
        <w:t xml:space="preserve"> </w:t>
      </w:r>
      <w:proofErr w:type="spellStart"/>
      <w:r w:rsidR="00C97CBE" w:rsidRPr="004C37D7">
        <w:rPr>
          <w:sz w:val="24"/>
        </w:rPr>
        <w:t>predpisov</w:t>
      </w:r>
      <w:proofErr w:type="spellEnd"/>
      <w:r w:rsidR="00C97CBE" w:rsidRPr="004C37D7">
        <w:rPr>
          <w:sz w:val="24"/>
        </w:rPr>
        <w:t xml:space="preserve"> (</w:t>
      </w:r>
      <w:proofErr w:type="spellStart"/>
      <w:r w:rsidR="00C97CBE" w:rsidRPr="004C37D7">
        <w:rPr>
          <w:sz w:val="24"/>
        </w:rPr>
        <w:t>tlač</w:t>
      </w:r>
      <w:proofErr w:type="spellEnd"/>
      <w:r w:rsidR="00C97CBE" w:rsidRPr="004C37D7">
        <w:rPr>
          <w:sz w:val="24"/>
        </w:rPr>
        <w:t xml:space="preserve"> 1238) </w:t>
      </w:r>
    </w:p>
    <w:p w:rsidR="00C97CBE" w:rsidRPr="004C37D7" w:rsidRDefault="00C97CBE" w:rsidP="00C97CBE">
      <w:pPr>
        <w:ind w:left="3827" w:firstLine="421"/>
        <w:jc w:val="both"/>
        <w:rPr>
          <w:color w:val="333333"/>
        </w:rPr>
      </w:pPr>
    </w:p>
    <w:p w:rsidR="000947FB" w:rsidRPr="004C37D7" w:rsidRDefault="000947FB" w:rsidP="000947FB">
      <w:pPr>
        <w:tabs>
          <w:tab w:val="left" w:pos="851"/>
          <w:tab w:val="left" w:pos="993"/>
        </w:tabs>
      </w:pPr>
    </w:p>
    <w:p w:rsidR="000947FB" w:rsidRPr="004C37D7" w:rsidRDefault="000947FB" w:rsidP="000947FB">
      <w:pPr>
        <w:tabs>
          <w:tab w:val="left" w:pos="851"/>
          <w:tab w:val="left" w:pos="993"/>
        </w:tabs>
        <w:rPr>
          <w:b/>
          <w:lang w:eastAsia="en-US"/>
        </w:rPr>
      </w:pPr>
      <w:r w:rsidRPr="004C37D7">
        <w:tab/>
      </w:r>
      <w:r w:rsidRPr="004C37D7">
        <w:rPr>
          <w:b/>
        </w:rPr>
        <w:t>Ústavnoprávny výbor Národnej rady Slovenskej republiky</w:t>
      </w:r>
    </w:p>
    <w:p w:rsidR="000947FB" w:rsidRPr="004C37D7" w:rsidRDefault="000947FB" w:rsidP="000947FB">
      <w:pPr>
        <w:tabs>
          <w:tab w:val="left" w:pos="851"/>
          <w:tab w:val="left" w:pos="993"/>
        </w:tabs>
        <w:jc w:val="both"/>
        <w:rPr>
          <w:b/>
        </w:rPr>
      </w:pPr>
    </w:p>
    <w:p w:rsidR="000947FB" w:rsidRPr="004C37D7" w:rsidRDefault="000947FB" w:rsidP="000947FB">
      <w:pPr>
        <w:tabs>
          <w:tab w:val="left" w:pos="851"/>
          <w:tab w:val="left" w:pos="993"/>
          <w:tab w:val="left" w:pos="1276"/>
        </w:tabs>
        <w:jc w:val="both"/>
        <w:rPr>
          <w:lang w:eastAsia="en-US"/>
        </w:rPr>
      </w:pPr>
      <w:r w:rsidRPr="004C37D7">
        <w:rPr>
          <w:b/>
        </w:rPr>
        <w:tab/>
        <w:t>A.  s ú h l a s í</w:t>
      </w:r>
      <w:r w:rsidRPr="004C37D7">
        <w:t xml:space="preserve"> </w:t>
      </w:r>
    </w:p>
    <w:p w:rsidR="000947FB" w:rsidRPr="004C37D7" w:rsidRDefault="000947FB" w:rsidP="000947FB">
      <w:pPr>
        <w:tabs>
          <w:tab w:val="left" w:pos="284"/>
          <w:tab w:val="left" w:pos="851"/>
          <w:tab w:val="left" w:pos="993"/>
          <w:tab w:val="left" w:pos="1276"/>
        </w:tabs>
        <w:jc w:val="both"/>
      </w:pPr>
    </w:p>
    <w:p w:rsidR="00C97CBE" w:rsidRPr="004C37D7" w:rsidRDefault="000947FB" w:rsidP="00C97CBE">
      <w:pPr>
        <w:pStyle w:val="TxBrp9"/>
        <w:tabs>
          <w:tab w:val="clear" w:pos="204"/>
          <w:tab w:val="left" w:pos="426"/>
          <w:tab w:val="left" w:pos="1134"/>
        </w:tabs>
        <w:spacing w:line="240" w:lineRule="auto"/>
        <w:rPr>
          <w:sz w:val="24"/>
        </w:rPr>
      </w:pPr>
      <w:r w:rsidRPr="004C37D7">
        <w:rPr>
          <w:sz w:val="24"/>
        </w:rPr>
        <w:tab/>
      </w:r>
      <w:r w:rsidRPr="004C37D7">
        <w:rPr>
          <w:sz w:val="24"/>
        </w:rPr>
        <w:tab/>
      </w:r>
      <w:proofErr w:type="gramStart"/>
      <w:r w:rsidRPr="004C37D7">
        <w:rPr>
          <w:sz w:val="24"/>
        </w:rPr>
        <w:t>s</w:t>
      </w:r>
      <w:proofErr w:type="gramEnd"/>
      <w:r w:rsidRPr="004C37D7">
        <w:rPr>
          <w:sz w:val="24"/>
        </w:rPr>
        <w:t xml:space="preserve"> </w:t>
      </w:r>
      <w:r w:rsidRPr="004C37D7">
        <w:rPr>
          <w:rFonts w:cs="Arial"/>
          <w:noProof/>
          <w:sz w:val="24"/>
        </w:rPr>
        <w:t xml:space="preserve">návrhom </w:t>
      </w:r>
      <w:proofErr w:type="spellStart"/>
      <w:r w:rsidR="00C97CBE" w:rsidRPr="004C37D7">
        <w:rPr>
          <w:sz w:val="24"/>
        </w:rPr>
        <w:t>poslancov</w:t>
      </w:r>
      <w:proofErr w:type="spellEnd"/>
      <w:r w:rsidR="00C97CBE" w:rsidRPr="004C37D7">
        <w:rPr>
          <w:sz w:val="24"/>
        </w:rPr>
        <w:t xml:space="preserve"> </w:t>
      </w:r>
      <w:proofErr w:type="spellStart"/>
      <w:r w:rsidR="00C97CBE" w:rsidRPr="004C37D7">
        <w:rPr>
          <w:sz w:val="24"/>
        </w:rPr>
        <w:t>Národnej</w:t>
      </w:r>
      <w:proofErr w:type="spellEnd"/>
      <w:r w:rsidR="00C97CBE" w:rsidRPr="004C37D7">
        <w:rPr>
          <w:sz w:val="24"/>
        </w:rPr>
        <w:t xml:space="preserve"> rady </w:t>
      </w:r>
      <w:proofErr w:type="spellStart"/>
      <w:r w:rsidR="00C97CBE" w:rsidRPr="004C37D7">
        <w:rPr>
          <w:sz w:val="24"/>
        </w:rPr>
        <w:t>Slovenskej</w:t>
      </w:r>
      <w:proofErr w:type="spellEnd"/>
      <w:r w:rsidR="00C97CBE" w:rsidRPr="004C37D7">
        <w:rPr>
          <w:sz w:val="24"/>
        </w:rPr>
        <w:t xml:space="preserve"> </w:t>
      </w:r>
      <w:proofErr w:type="spellStart"/>
      <w:r w:rsidR="00C97CBE" w:rsidRPr="004C37D7">
        <w:rPr>
          <w:sz w:val="24"/>
        </w:rPr>
        <w:t>republiky</w:t>
      </w:r>
      <w:proofErr w:type="spellEnd"/>
      <w:r w:rsidR="00C97CBE" w:rsidRPr="004C37D7">
        <w:rPr>
          <w:sz w:val="24"/>
        </w:rPr>
        <w:t xml:space="preserve"> Irén </w:t>
      </w:r>
      <w:proofErr w:type="spellStart"/>
      <w:r w:rsidR="00C97CBE" w:rsidRPr="004C37D7">
        <w:rPr>
          <w:sz w:val="24"/>
        </w:rPr>
        <w:t>Sárközy</w:t>
      </w:r>
      <w:proofErr w:type="spellEnd"/>
      <w:r w:rsidR="00C97CBE" w:rsidRPr="004C37D7">
        <w:rPr>
          <w:sz w:val="24"/>
        </w:rPr>
        <w:t xml:space="preserve"> a Petra </w:t>
      </w:r>
      <w:proofErr w:type="spellStart"/>
      <w:r w:rsidR="00C97CBE" w:rsidRPr="004C37D7">
        <w:rPr>
          <w:sz w:val="24"/>
        </w:rPr>
        <w:t>Antala</w:t>
      </w:r>
      <w:proofErr w:type="spellEnd"/>
      <w:r w:rsidR="00C97CBE" w:rsidRPr="004C37D7">
        <w:rPr>
          <w:sz w:val="24"/>
        </w:rPr>
        <w:t xml:space="preserve"> </w:t>
      </w:r>
      <w:proofErr w:type="spellStart"/>
      <w:r w:rsidR="00C97CBE" w:rsidRPr="004C37D7">
        <w:rPr>
          <w:sz w:val="24"/>
        </w:rPr>
        <w:t>na</w:t>
      </w:r>
      <w:proofErr w:type="spellEnd"/>
      <w:r w:rsidR="00C97CBE" w:rsidRPr="004C37D7">
        <w:rPr>
          <w:sz w:val="24"/>
        </w:rPr>
        <w:t xml:space="preserve">  </w:t>
      </w:r>
      <w:proofErr w:type="spellStart"/>
      <w:r w:rsidR="00C97CBE" w:rsidRPr="004C37D7">
        <w:rPr>
          <w:sz w:val="24"/>
        </w:rPr>
        <w:t>vydanie</w:t>
      </w:r>
      <w:proofErr w:type="spellEnd"/>
      <w:r w:rsidR="00C97CBE" w:rsidRPr="004C37D7">
        <w:rPr>
          <w:sz w:val="24"/>
        </w:rPr>
        <w:t xml:space="preserve"> </w:t>
      </w:r>
      <w:proofErr w:type="spellStart"/>
      <w:r w:rsidR="00C97CBE" w:rsidRPr="004C37D7">
        <w:rPr>
          <w:sz w:val="24"/>
        </w:rPr>
        <w:t>zákona</w:t>
      </w:r>
      <w:proofErr w:type="spellEnd"/>
      <w:r w:rsidR="00C97CBE" w:rsidRPr="004C37D7">
        <w:rPr>
          <w:sz w:val="24"/>
        </w:rPr>
        <w:t xml:space="preserve">, </w:t>
      </w:r>
      <w:proofErr w:type="spellStart"/>
      <w:r w:rsidR="00C97CBE" w:rsidRPr="004C37D7">
        <w:rPr>
          <w:sz w:val="24"/>
        </w:rPr>
        <w:t>ktorým</w:t>
      </w:r>
      <w:proofErr w:type="spellEnd"/>
      <w:r w:rsidR="00C97CBE" w:rsidRPr="004C37D7">
        <w:rPr>
          <w:sz w:val="24"/>
        </w:rPr>
        <w:t xml:space="preserve"> </w:t>
      </w:r>
      <w:proofErr w:type="spellStart"/>
      <w:r w:rsidR="00C97CBE" w:rsidRPr="004C37D7">
        <w:rPr>
          <w:sz w:val="24"/>
        </w:rPr>
        <w:t>sa</w:t>
      </w:r>
      <w:proofErr w:type="spellEnd"/>
      <w:r w:rsidR="00C97CBE" w:rsidRPr="004C37D7">
        <w:rPr>
          <w:sz w:val="24"/>
        </w:rPr>
        <w:t xml:space="preserve"> </w:t>
      </w:r>
      <w:proofErr w:type="spellStart"/>
      <w:r w:rsidR="00C97CBE" w:rsidRPr="004C37D7">
        <w:rPr>
          <w:sz w:val="24"/>
        </w:rPr>
        <w:t>mení</w:t>
      </w:r>
      <w:proofErr w:type="spellEnd"/>
      <w:r w:rsidR="00C97CBE" w:rsidRPr="004C37D7">
        <w:rPr>
          <w:sz w:val="24"/>
        </w:rPr>
        <w:t xml:space="preserve"> a </w:t>
      </w:r>
      <w:proofErr w:type="spellStart"/>
      <w:r w:rsidR="00C97CBE" w:rsidRPr="004C37D7">
        <w:rPr>
          <w:sz w:val="24"/>
        </w:rPr>
        <w:t>dopĺňa</w:t>
      </w:r>
      <w:proofErr w:type="spellEnd"/>
      <w:r w:rsidR="00C97CBE" w:rsidRPr="004C37D7">
        <w:rPr>
          <w:sz w:val="24"/>
        </w:rPr>
        <w:t xml:space="preserve"> </w:t>
      </w:r>
      <w:proofErr w:type="spellStart"/>
      <w:r w:rsidR="00C97CBE" w:rsidRPr="004C37D7">
        <w:rPr>
          <w:sz w:val="24"/>
        </w:rPr>
        <w:t>zákon</w:t>
      </w:r>
      <w:proofErr w:type="spellEnd"/>
      <w:r w:rsidR="00C97CBE" w:rsidRPr="004C37D7">
        <w:rPr>
          <w:sz w:val="24"/>
        </w:rPr>
        <w:t xml:space="preserve"> č. 461/2003 Z. z. o </w:t>
      </w:r>
      <w:proofErr w:type="spellStart"/>
      <w:r w:rsidR="00C97CBE" w:rsidRPr="004C37D7">
        <w:rPr>
          <w:sz w:val="24"/>
        </w:rPr>
        <w:t>sociálnom</w:t>
      </w:r>
      <w:proofErr w:type="spellEnd"/>
      <w:r w:rsidR="00C97CBE" w:rsidRPr="004C37D7">
        <w:rPr>
          <w:sz w:val="24"/>
        </w:rPr>
        <w:t xml:space="preserve"> </w:t>
      </w:r>
      <w:proofErr w:type="spellStart"/>
      <w:r w:rsidR="00C97CBE" w:rsidRPr="004C37D7">
        <w:rPr>
          <w:sz w:val="24"/>
        </w:rPr>
        <w:t>poistení</w:t>
      </w:r>
      <w:proofErr w:type="spellEnd"/>
      <w:r w:rsidR="00C97CBE" w:rsidRPr="004C37D7">
        <w:rPr>
          <w:sz w:val="24"/>
        </w:rPr>
        <w:t xml:space="preserve"> v </w:t>
      </w:r>
      <w:proofErr w:type="spellStart"/>
      <w:r w:rsidR="00C97CBE" w:rsidRPr="004C37D7">
        <w:rPr>
          <w:sz w:val="24"/>
        </w:rPr>
        <w:t>znení</w:t>
      </w:r>
      <w:proofErr w:type="spellEnd"/>
      <w:r w:rsidR="00C97CBE" w:rsidRPr="004C37D7">
        <w:rPr>
          <w:sz w:val="24"/>
        </w:rPr>
        <w:t xml:space="preserve"> </w:t>
      </w:r>
      <w:proofErr w:type="spellStart"/>
      <w:r w:rsidR="00C97CBE" w:rsidRPr="004C37D7">
        <w:rPr>
          <w:sz w:val="24"/>
        </w:rPr>
        <w:t>neskorších</w:t>
      </w:r>
      <w:proofErr w:type="spellEnd"/>
      <w:r w:rsidR="00C97CBE" w:rsidRPr="004C37D7">
        <w:rPr>
          <w:sz w:val="24"/>
        </w:rPr>
        <w:t xml:space="preserve"> </w:t>
      </w:r>
      <w:proofErr w:type="spellStart"/>
      <w:r w:rsidR="00C97CBE" w:rsidRPr="004C37D7">
        <w:rPr>
          <w:sz w:val="24"/>
        </w:rPr>
        <w:t>predpisov</w:t>
      </w:r>
      <w:proofErr w:type="spellEnd"/>
      <w:r w:rsidR="00C97CBE" w:rsidRPr="004C37D7">
        <w:rPr>
          <w:sz w:val="24"/>
        </w:rPr>
        <w:t xml:space="preserve"> (</w:t>
      </w:r>
      <w:proofErr w:type="spellStart"/>
      <w:r w:rsidR="00C97CBE" w:rsidRPr="004C37D7">
        <w:rPr>
          <w:sz w:val="24"/>
        </w:rPr>
        <w:t>tlač</w:t>
      </w:r>
      <w:proofErr w:type="spellEnd"/>
      <w:r w:rsidR="00C97CBE" w:rsidRPr="004C37D7">
        <w:rPr>
          <w:sz w:val="24"/>
        </w:rPr>
        <w:t xml:space="preserve"> 1238); </w:t>
      </w:r>
    </w:p>
    <w:p w:rsidR="00C97CBE" w:rsidRPr="004C37D7" w:rsidRDefault="00C97CBE" w:rsidP="00C97CBE">
      <w:pPr>
        <w:ind w:left="3827" w:firstLine="421"/>
        <w:jc w:val="both"/>
        <w:rPr>
          <w:color w:val="333333"/>
        </w:rPr>
      </w:pPr>
    </w:p>
    <w:p w:rsidR="000947FB" w:rsidRPr="004C37D7" w:rsidRDefault="000947FB" w:rsidP="000947FB">
      <w:pPr>
        <w:tabs>
          <w:tab w:val="left" w:pos="709"/>
          <w:tab w:val="left" w:pos="851"/>
          <w:tab w:val="left" w:pos="993"/>
          <w:tab w:val="left" w:pos="1276"/>
        </w:tabs>
        <w:jc w:val="both"/>
        <w:rPr>
          <w:b/>
        </w:rPr>
      </w:pPr>
    </w:p>
    <w:p w:rsidR="000947FB" w:rsidRPr="004C37D7" w:rsidRDefault="000947FB" w:rsidP="000947FB">
      <w:pPr>
        <w:tabs>
          <w:tab w:val="left" w:pos="709"/>
          <w:tab w:val="left" w:pos="851"/>
          <w:tab w:val="left" w:pos="993"/>
          <w:tab w:val="left" w:pos="1276"/>
        </w:tabs>
        <w:jc w:val="both"/>
        <w:rPr>
          <w:b/>
        </w:rPr>
      </w:pPr>
      <w:r w:rsidRPr="004C37D7">
        <w:rPr>
          <w:b/>
        </w:rPr>
        <w:tab/>
        <w:t>  B.  o d p o r ú č a</w:t>
      </w:r>
    </w:p>
    <w:p w:rsidR="000947FB" w:rsidRPr="004C37D7" w:rsidRDefault="000947FB" w:rsidP="000947FB">
      <w:pPr>
        <w:tabs>
          <w:tab w:val="left" w:pos="709"/>
          <w:tab w:val="left" w:pos="851"/>
          <w:tab w:val="left" w:pos="993"/>
          <w:tab w:val="left" w:pos="1276"/>
        </w:tabs>
        <w:jc w:val="both"/>
        <w:rPr>
          <w:b/>
        </w:rPr>
      </w:pPr>
    </w:p>
    <w:p w:rsidR="000947FB" w:rsidRPr="004C37D7" w:rsidRDefault="000947FB" w:rsidP="000947FB">
      <w:pPr>
        <w:tabs>
          <w:tab w:val="left" w:pos="709"/>
          <w:tab w:val="left" w:pos="851"/>
          <w:tab w:val="left" w:pos="993"/>
          <w:tab w:val="left" w:pos="1276"/>
        </w:tabs>
        <w:jc w:val="both"/>
      </w:pPr>
      <w:r w:rsidRPr="004C37D7">
        <w:rPr>
          <w:b/>
        </w:rPr>
        <w:tab/>
      </w:r>
      <w:r w:rsidRPr="004C37D7">
        <w:rPr>
          <w:b/>
        </w:rPr>
        <w:tab/>
      </w:r>
      <w:r w:rsidRPr="004C37D7">
        <w:rPr>
          <w:b/>
        </w:rPr>
        <w:tab/>
        <w:t xml:space="preserve">    </w:t>
      </w:r>
      <w:r w:rsidRPr="004C37D7">
        <w:t>Národnej rade Slovenskej republiky</w:t>
      </w:r>
    </w:p>
    <w:p w:rsidR="000947FB" w:rsidRPr="004C37D7" w:rsidRDefault="000947FB" w:rsidP="000947FB">
      <w:pPr>
        <w:tabs>
          <w:tab w:val="left" w:pos="709"/>
          <w:tab w:val="left" w:pos="851"/>
          <w:tab w:val="left" w:pos="993"/>
          <w:tab w:val="left" w:pos="1276"/>
        </w:tabs>
        <w:jc w:val="both"/>
      </w:pPr>
    </w:p>
    <w:p w:rsidR="000947FB" w:rsidRPr="004C37D7" w:rsidRDefault="000947FB" w:rsidP="003A241D">
      <w:pPr>
        <w:pStyle w:val="TxBrp9"/>
        <w:tabs>
          <w:tab w:val="clear" w:pos="204"/>
          <w:tab w:val="left" w:pos="426"/>
          <w:tab w:val="left" w:pos="1276"/>
        </w:tabs>
        <w:spacing w:line="240" w:lineRule="auto"/>
        <w:rPr>
          <w:bCs/>
          <w:sz w:val="24"/>
        </w:rPr>
      </w:pPr>
      <w:r w:rsidRPr="004C37D7">
        <w:rPr>
          <w:rFonts w:cs="Arial"/>
          <w:noProof/>
          <w:sz w:val="24"/>
        </w:rPr>
        <w:tab/>
      </w:r>
      <w:r w:rsidRPr="004C37D7">
        <w:rPr>
          <w:rFonts w:cs="Arial"/>
          <w:noProof/>
          <w:sz w:val="24"/>
        </w:rPr>
        <w:tab/>
      </w:r>
      <w:r w:rsidR="00C97CBE" w:rsidRPr="004C37D7">
        <w:rPr>
          <w:rFonts w:cs="Arial"/>
          <w:noProof/>
          <w:sz w:val="24"/>
        </w:rPr>
        <w:t xml:space="preserve">návrh </w:t>
      </w:r>
      <w:proofErr w:type="spellStart"/>
      <w:r w:rsidR="00C97CBE" w:rsidRPr="004C37D7">
        <w:rPr>
          <w:sz w:val="24"/>
        </w:rPr>
        <w:t>poslancov</w:t>
      </w:r>
      <w:proofErr w:type="spellEnd"/>
      <w:r w:rsidR="00C97CBE" w:rsidRPr="004C37D7">
        <w:rPr>
          <w:sz w:val="24"/>
        </w:rPr>
        <w:t xml:space="preserve"> </w:t>
      </w:r>
      <w:proofErr w:type="spellStart"/>
      <w:r w:rsidR="00C97CBE" w:rsidRPr="004C37D7">
        <w:rPr>
          <w:sz w:val="24"/>
        </w:rPr>
        <w:t>Národnej</w:t>
      </w:r>
      <w:proofErr w:type="spellEnd"/>
      <w:r w:rsidR="00C97CBE" w:rsidRPr="004C37D7">
        <w:rPr>
          <w:sz w:val="24"/>
        </w:rPr>
        <w:t xml:space="preserve"> rady </w:t>
      </w:r>
      <w:proofErr w:type="spellStart"/>
      <w:r w:rsidR="00C97CBE" w:rsidRPr="004C37D7">
        <w:rPr>
          <w:sz w:val="24"/>
        </w:rPr>
        <w:t>Slovenskej</w:t>
      </w:r>
      <w:proofErr w:type="spellEnd"/>
      <w:r w:rsidR="00C97CBE" w:rsidRPr="004C37D7">
        <w:rPr>
          <w:sz w:val="24"/>
        </w:rPr>
        <w:t xml:space="preserve"> </w:t>
      </w:r>
      <w:proofErr w:type="spellStart"/>
      <w:r w:rsidR="00C97CBE" w:rsidRPr="004C37D7">
        <w:rPr>
          <w:sz w:val="24"/>
        </w:rPr>
        <w:t>republiky</w:t>
      </w:r>
      <w:proofErr w:type="spellEnd"/>
      <w:r w:rsidR="00C97CBE" w:rsidRPr="004C37D7">
        <w:rPr>
          <w:sz w:val="24"/>
        </w:rPr>
        <w:t xml:space="preserve"> Irén </w:t>
      </w:r>
      <w:proofErr w:type="spellStart"/>
      <w:r w:rsidR="00C97CBE" w:rsidRPr="004C37D7">
        <w:rPr>
          <w:sz w:val="24"/>
        </w:rPr>
        <w:t>Sárközy</w:t>
      </w:r>
      <w:proofErr w:type="spellEnd"/>
      <w:r w:rsidR="00C97CBE" w:rsidRPr="004C37D7">
        <w:rPr>
          <w:sz w:val="24"/>
        </w:rPr>
        <w:t xml:space="preserve"> a Petra </w:t>
      </w:r>
      <w:proofErr w:type="spellStart"/>
      <w:r w:rsidR="00C97CBE" w:rsidRPr="004C37D7">
        <w:rPr>
          <w:sz w:val="24"/>
        </w:rPr>
        <w:t>Antala</w:t>
      </w:r>
      <w:proofErr w:type="spellEnd"/>
      <w:r w:rsidR="00C97CBE" w:rsidRPr="004C37D7">
        <w:rPr>
          <w:sz w:val="24"/>
        </w:rPr>
        <w:t xml:space="preserve"> </w:t>
      </w:r>
      <w:proofErr w:type="spellStart"/>
      <w:proofErr w:type="gramStart"/>
      <w:r w:rsidR="00C97CBE" w:rsidRPr="004C37D7">
        <w:rPr>
          <w:sz w:val="24"/>
        </w:rPr>
        <w:t>na</w:t>
      </w:r>
      <w:proofErr w:type="spellEnd"/>
      <w:r w:rsidR="00C97CBE" w:rsidRPr="004C37D7">
        <w:rPr>
          <w:sz w:val="24"/>
        </w:rPr>
        <w:t xml:space="preserve">  </w:t>
      </w:r>
      <w:proofErr w:type="spellStart"/>
      <w:r w:rsidR="00C97CBE" w:rsidRPr="004C37D7">
        <w:rPr>
          <w:sz w:val="24"/>
        </w:rPr>
        <w:t>vydanie</w:t>
      </w:r>
      <w:proofErr w:type="spellEnd"/>
      <w:proofErr w:type="gramEnd"/>
      <w:r w:rsidR="00C97CBE" w:rsidRPr="004C37D7">
        <w:rPr>
          <w:sz w:val="24"/>
        </w:rPr>
        <w:t xml:space="preserve"> </w:t>
      </w:r>
      <w:proofErr w:type="spellStart"/>
      <w:r w:rsidR="00C97CBE" w:rsidRPr="004C37D7">
        <w:rPr>
          <w:sz w:val="24"/>
        </w:rPr>
        <w:t>zákona</w:t>
      </w:r>
      <w:proofErr w:type="spellEnd"/>
      <w:r w:rsidR="00C97CBE" w:rsidRPr="004C37D7">
        <w:rPr>
          <w:sz w:val="24"/>
        </w:rPr>
        <w:t xml:space="preserve">, </w:t>
      </w:r>
      <w:proofErr w:type="spellStart"/>
      <w:r w:rsidR="00C97CBE" w:rsidRPr="004C37D7">
        <w:rPr>
          <w:sz w:val="24"/>
        </w:rPr>
        <w:t>ktorým</w:t>
      </w:r>
      <w:proofErr w:type="spellEnd"/>
      <w:r w:rsidR="00C97CBE" w:rsidRPr="004C37D7">
        <w:rPr>
          <w:sz w:val="24"/>
        </w:rPr>
        <w:t xml:space="preserve"> </w:t>
      </w:r>
      <w:proofErr w:type="spellStart"/>
      <w:r w:rsidR="00C97CBE" w:rsidRPr="004C37D7">
        <w:rPr>
          <w:sz w:val="24"/>
        </w:rPr>
        <w:t>sa</w:t>
      </w:r>
      <w:proofErr w:type="spellEnd"/>
      <w:r w:rsidR="00C97CBE" w:rsidRPr="004C37D7">
        <w:rPr>
          <w:sz w:val="24"/>
        </w:rPr>
        <w:t xml:space="preserve"> </w:t>
      </w:r>
      <w:proofErr w:type="spellStart"/>
      <w:r w:rsidR="00C97CBE" w:rsidRPr="004C37D7">
        <w:rPr>
          <w:sz w:val="24"/>
        </w:rPr>
        <w:t>mení</w:t>
      </w:r>
      <w:proofErr w:type="spellEnd"/>
      <w:r w:rsidR="00C97CBE" w:rsidRPr="004C37D7">
        <w:rPr>
          <w:sz w:val="24"/>
        </w:rPr>
        <w:t xml:space="preserve"> a </w:t>
      </w:r>
      <w:proofErr w:type="spellStart"/>
      <w:r w:rsidR="00C97CBE" w:rsidRPr="004C37D7">
        <w:rPr>
          <w:sz w:val="24"/>
        </w:rPr>
        <w:t>dopĺňa</w:t>
      </w:r>
      <w:proofErr w:type="spellEnd"/>
      <w:r w:rsidR="00C97CBE" w:rsidRPr="004C37D7">
        <w:rPr>
          <w:sz w:val="24"/>
        </w:rPr>
        <w:t xml:space="preserve"> </w:t>
      </w:r>
      <w:proofErr w:type="spellStart"/>
      <w:r w:rsidR="00C97CBE" w:rsidRPr="004C37D7">
        <w:rPr>
          <w:sz w:val="24"/>
        </w:rPr>
        <w:t>zákon</w:t>
      </w:r>
      <w:proofErr w:type="spellEnd"/>
      <w:r w:rsidR="00C97CBE" w:rsidRPr="004C37D7">
        <w:rPr>
          <w:sz w:val="24"/>
        </w:rPr>
        <w:t xml:space="preserve"> č. 461/2003 Z. z. o </w:t>
      </w:r>
      <w:proofErr w:type="spellStart"/>
      <w:r w:rsidR="00C97CBE" w:rsidRPr="004C37D7">
        <w:rPr>
          <w:sz w:val="24"/>
        </w:rPr>
        <w:t>sociálnom</w:t>
      </w:r>
      <w:proofErr w:type="spellEnd"/>
      <w:r w:rsidR="00C97CBE" w:rsidRPr="004C37D7">
        <w:rPr>
          <w:sz w:val="24"/>
        </w:rPr>
        <w:t xml:space="preserve"> </w:t>
      </w:r>
      <w:proofErr w:type="spellStart"/>
      <w:r w:rsidR="00C97CBE" w:rsidRPr="004C37D7">
        <w:rPr>
          <w:sz w:val="24"/>
        </w:rPr>
        <w:t>poistení</w:t>
      </w:r>
      <w:proofErr w:type="spellEnd"/>
      <w:r w:rsidR="00C97CBE" w:rsidRPr="004C37D7">
        <w:rPr>
          <w:sz w:val="24"/>
        </w:rPr>
        <w:t xml:space="preserve"> v </w:t>
      </w:r>
      <w:proofErr w:type="spellStart"/>
      <w:r w:rsidR="00C97CBE" w:rsidRPr="004C37D7">
        <w:rPr>
          <w:sz w:val="24"/>
        </w:rPr>
        <w:t>znení</w:t>
      </w:r>
      <w:proofErr w:type="spellEnd"/>
      <w:r w:rsidR="00C97CBE" w:rsidRPr="004C37D7">
        <w:rPr>
          <w:sz w:val="24"/>
        </w:rPr>
        <w:t xml:space="preserve"> </w:t>
      </w:r>
      <w:proofErr w:type="spellStart"/>
      <w:r w:rsidR="00C97CBE" w:rsidRPr="004C37D7">
        <w:rPr>
          <w:sz w:val="24"/>
        </w:rPr>
        <w:t>neskorších</w:t>
      </w:r>
      <w:proofErr w:type="spellEnd"/>
      <w:r w:rsidR="00C97CBE" w:rsidRPr="004C37D7">
        <w:rPr>
          <w:sz w:val="24"/>
        </w:rPr>
        <w:t xml:space="preserve"> </w:t>
      </w:r>
      <w:proofErr w:type="spellStart"/>
      <w:r w:rsidR="00C97CBE" w:rsidRPr="004C37D7">
        <w:rPr>
          <w:sz w:val="24"/>
        </w:rPr>
        <w:t>predpisov</w:t>
      </w:r>
      <w:proofErr w:type="spellEnd"/>
      <w:r w:rsidR="00C97CBE" w:rsidRPr="004C37D7">
        <w:rPr>
          <w:sz w:val="24"/>
        </w:rPr>
        <w:t xml:space="preserve"> (</w:t>
      </w:r>
      <w:proofErr w:type="spellStart"/>
      <w:r w:rsidR="00C97CBE" w:rsidRPr="004C37D7">
        <w:rPr>
          <w:sz w:val="24"/>
        </w:rPr>
        <w:t>tlač</w:t>
      </w:r>
      <w:proofErr w:type="spellEnd"/>
      <w:r w:rsidR="00C97CBE" w:rsidRPr="004C37D7">
        <w:rPr>
          <w:sz w:val="24"/>
        </w:rPr>
        <w:t xml:space="preserve"> 1238) </w:t>
      </w:r>
      <w:proofErr w:type="spellStart"/>
      <w:r w:rsidRPr="004C37D7">
        <w:rPr>
          <w:b/>
          <w:bCs/>
          <w:sz w:val="24"/>
        </w:rPr>
        <w:t>schváliť</w:t>
      </w:r>
      <w:proofErr w:type="spellEnd"/>
      <w:r w:rsidRPr="004C37D7">
        <w:rPr>
          <w:b/>
          <w:bCs/>
          <w:sz w:val="24"/>
        </w:rPr>
        <w:t xml:space="preserve"> </w:t>
      </w:r>
      <w:r w:rsidRPr="004C37D7">
        <w:rPr>
          <w:bCs/>
          <w:sz w:val="24"/>
        </w:rPr>
        <w:t xml:space="preserve">so zmenami a doplnkami uvedenými v prílohe tohto uznesenia; </w:t>
      </w:r>
    </w:p>
    <w:p w:rsidR="000947FB" w:rsidRPr="004C37D7" w:rsidRDefault="000947FB" w:rsidP="000947FB">
      <w:pPr>
        <w:pStyle w:val="TxBrp1"/>
        <w:tabs>
          <w:tab w:val="left" w:pos="720"/>
          <w:tab w:val="left" w:pos="1276"/>
        </w:tabs>
        <w:spacing w:line="240" w:lineRule="auto"/>
        <w:ind w:left="0"/>
        <w:rPr>
          <w:sz w:val="24"/>
          <w:lang w:val="sk-SK"/>
        </w:rPr>
      </w:pPr>
    </w:p>
    <w:p w:rsidR="003A241D" w:rsidRPr="004C37D7" w:rsidRDefault="003A241D" w:rsidP="000947FB">
      <w:pPr>
        <w:pStyle w:val="TxBrp1"/>
        <w:tabs>
          <w:tab w:val="left" w:pos="720"/>
          <w:tab w:val="left" w:pos="1276"/>
        </w:tabs>
        <w:spacing w:line="240" w:lineRule="auto"/>
        <w:ind w:left="0"/>
        <w:rPr>
          <w:sz w:val="24"/>
          <w:lang w:val="sk-SK"/>
        </w:rPr>
      </w:pPr>
    </w:p>
    <w:p w:rsidR="000947FB" w:rsidRPr="004C37D7" w:rsidRDefault="000947FB" w:rsidP="000947FB">
      <w:pPr>
        <w:tabs>
          <w:tab w:val="left" w:pos="1134"/>
          <w:tab w:val="left" w:pos="1276"/>
        </w:tabs>
        <w:ind w:firstLine="708"/>
        <w:rPr>
          <w:b/>
        </w:rPr>
      </w:pPr>
      <w:r w:rsidRPr="004C37D7">
        <w:rPr>
          <w:b/>
        </w:rPr>
        <w:t> C.</w:t>
      </w:r>
      <w:r w:rsidRPr="004C37D7">
        <w:rPr>
          <w:b/>
        </w:rPr>
        <w:tab/>
        <w:t>p o v e r u j e</w:t>
      </w:r>
    </w:p>
    <w:p w:rsidR="000947FB" w:rsidRPr="004C37D7" w:rsidRDefault="000947FB" w:rsidP="000947FB">
      <w:pPr>
        <w:tabs>
          <w:tab w:val="left" w:pos="1134"/>
          <w:tab w:val="left" w:pos="1276"/>
        </w:tabs>
      </w:pPr>
      <w:r w:rsidRPr="004C37D7">
        <w:tab/>
      </w:r>
    </w:p>
    <w:p w:rsidR="000947FB" w:rsidRPr="004C37D7" w:rsidRDefault="000947FB" w:rsidP="000947FB">
      <w:pPr>
        <w:pStyle w:val="Zkladntext"/>
        <w:tabs>
          <w:tab w:val="left" w:pos="1134"/>
          <w:tab w:val="left" w:pos="1276"/>
        </w:tabs>
      </w:pPr>
      <w:r w:rsidRPr="004C37D7">
        <w:tab/>
        <w:t xml:space="preserve">predsedu výboru </w:t>
      </w:r>
    </w:p>
    <w:p w:rsidR="000947FB" w:rsidRPr="004C37D7" w:rsidRDefault="000947FB" w:rsidP="000947FB">
      <w:pPr>
        <w:pStyle w:val="Zkladntext"/>
        <w:tabs>
          <w:tab w:val="left" w:pos="1134"/>
          <w:tab w:val="left" w:pos="1276"/>
        </w:tabs>
      </w:pPr>
    </w:p>
    <w:p w:rsidR="000947FB" w:rsidRPr="004C37D7" w:rsidRDefault="000947FB" w:rsidP="000947FB">
      <w:pPr>
        <w:pStyle w:val="Zkladntext"/>
        <w:tabs>
          <w:tab w:val="left" w:pos="1134"/>
          <w:tab w:val="left" w:pos="1276"/>
        </w:tabs>
        <w:ind w:firstLine="1134"/>
      </w:pPr>
      <w:r w:rsidRPr="004C37D7">
        <w:t>predložiť stanovisko výboru k uvedenému návrhu zákona predsed</w:t>
      </w:r>
      <w:r w:rsidR="007B64A7" w:rsidRPr="004C37D7">
        <w:t>níčke</w:t>
      </w:r>
      <w:r w:rsidRPr="004C37D7">
        <w:t xml:space="preserve"> gestorského Výboru Národnej rady Slovenskej republiky </w:t>
      </w:r>
      <w:r w:rsidR="00492FF8" w:rsidRPr="004C37D7">
        <w:t xml:space="preserve">pre </w:t>
      </w:r>
      <w:r w:rsidRPr="004C37D7">
        <w:t>sociálne veci.</w:t>
      </w:r>
    </w:p>
    <w:p w:rsidR="000947FB" w:rsidRPr="004C37D7" w:rsidRDefault="000947FB" w:rsidP="000947FB">
      <w:pPr>
        <w:pStyle w:val="Zkladntext"/>
        <w:tabs>
          <w:tab w:val="left" w:pos="1134"/>
        </w:tabs>
      </w:pPr>
    </w:p>
    <w:p w:rsidR="000947FB" w:rsidRPr="004C37D7" w:rsidRDefault="000947FB" w:rsidP="000947FB">
      <w:pPr>
        <w:pStyle w:val="Zkladntext"/>
        <w:tabs>
          <w:tab w:val="left" w:pos="1021"/>
        </w:tabs>
        <w:rPr>
          <w:b/>
        </w:rPr>
      </w:pPr>
    </w:p>
    <w:p w:rsidR="000947FB" w:rsidRPr="004C37D7" w:rsidRDefault="000947FB" w:rsidP="000947FB">
      <w:pPr>
        <w:pStyle w:val="Zkladntext"/>
        <w:tabs>
          <w:tab w:val="left" w:pos="1021"/>
        </w:tabs>
        <w:rPr>
          <w:b/>
        </w:rPr>
      </w:pPr>
    </w:p>
    <w:p w:rsidR="000947FB" w:rsidRPr="004C37D7" w:rsidRDefault="000947FB" w:rsidP="000947FB">
      <w:pPr>
        <w:jc w:val="both"/>
        <w:rPr>
          <w:rFonts w:ascii="AT*Toronto" w:hAnsi="AT*Toronto"/>
        </w:rPr>
      </w:pPr>
      <w:r w:rsidRPr="004C37D7">
        <w:tab/>
      </w:r>
      <w:r w:rsidRPr="004C37D7">
        <w:tab/>
      </w:r>
      <w:r w:rsidRPr="004C37D7">
        <w:tab/>
      </w:r>
      <w:r w:rsidRPr="004C37D7">
        <w:tab/>
      </w:r>
      <w:r w:rsidRPr="004C37D7">
        <w:tab/>
      </w:r>
      <w:r w:rsidRPr="004C37D7">
        <w:tab/>
      </w:r>
      <w:r w:rsidRPr="004C37D7">
        <w:tab/>
      </w:r>
      <w:r w:rsidRPr="004C37D7">
        <w:tab/>
      </w:r>
      <w:r w:rsidRPr="004C37D7">
        <w:tab/>
        <w:t xml:space="preserve">          Róbert Madej  </w:t>
      </w:r>
    </w:p>
    <w:p w:rsidR="000947FB" w:rsidRPr="004C37D7" w:rsidRDefault="000947FB" w:rsidP="000947FB">
      <w:pPr>
        <w:ind w:left="5664" w:firstLine="708"/>
        <w:jc w:val="both"/>
        <w:rPr>
          <w:rFonts w:ascii="AT*Toronto" w:hAnsi="AT*Toronto"/>
        </w:rPr>
      </w:pPr>
      <w:r w:rsidRPr="004C37D7">
        <w:t xml:space="preserve">         predseda výboru</w:t>
      </w:r>
    </w:p>
    <w:p w:rsidR="000947FB" w:rsidRPr="004C37D7" w:rsidRDefault="000947FB" w:rsidP="000947FB">
      <w:pPr>
        <w:tabs>
          <w:tab w:val="left" w:pos="1021"/>
        </w:tabs>
        <w:jc w:val="both"/>
      </w:pPr>
      <w:r w:rsidRPr="004C37D7">
        <w:t>overovatelia výboru:</w:t>
      </w:r>
    </w:p>
    <w:p w:rsidR="000947FB" w:rsidRPr="004C37D7" w:rsidRDefault="000947FB" w:rsidP="000947FB">
      <w:pPr>
        <w:tabs>
          <w:tab w:val="left" w:pos="1021"/>
        </w:tabs>
        <w:jc w:val="both"/>
      </w:pPr>
      <w:r w:rsidRPr="004C37D7">
        <w:t>Ondrej Dostál</w:t>
      </w:r>
    </w:p>
    <w:p w:rsidR="00EC512E" w:rsidRPr="004C37D7" w:rsidRDefault="00EC512E" w:rsidP="00EC512E">
      <w:pPr>
        <w:tabs>
          <w:tab w:val="left" w:pos="1021"/>
        </w:tabs>
        <w:jc w:val="both"/>
      </w:pPr>
      <w:r w:rsidRPr="004C37D7">
        <w:t xml:space="preserve">Irén </w:t>
      </w:r>
      <w:proofErr w:type="spellStart"/>
      <w:r w:rsidRPr="004C37D7">
        <w:t>Sárkӧzy</w:t>
      </w:r>
      <w:proofErr w:type="spellEnd"/>
    </w:p>
    <w:p w:rsidR="000947FB" w:rsidRPr="004C37D7" w:rsidRDefault="000947FB" w:rsidP="000947FB"/>
    <w:p w:rsidR="003A241D" w:rsidRPr="004C37D7" w:rsidRDefault="003A241D" w:rsidP="003A241D">
      <w:pPr>
        <w:pStyle w:val="Nadpis2"/>
        <w:jc w:val="left"/>
      </w:pPr>
      <w:r w:rsidRPr="004C37D7">
        <w:t>P r í l o h a</w:t>
      </w:r>
    </w:p>
    <w:p w:rsidR="003A241D" w:rsidRPr="004C37D7" w:rsidRDefault="003A241D" w:rsidP="003A241D">
      <w:pPr>
        <w:ind w:left="4253" w:firstLine="708"/>
        <w:jc w:val="both"/>
        <w:rPr>
          <w:b/>
          <w:bCs/>
        </w:rPr>
      </w:pPr>
      <w:r w:rsidRPr="004C37D7">
        <w:rPr>
          <w:b/>
          <w:bCs/>
        </w:rPr>
        <w:t xml:space="preserve">k uzneseniu Ústavnoprávneho </w:t>
      </w:r>
    </w:p>
    <w:p w:rsidR="003A241D" w:rsidRPr="004C37D7" w:rsidRDefault="003A241D" w:rsidP="003A241D">
      <w:pPr>
        <w:ind w:left="4253" w:firstLine="708"/>
        <w:jc w:val="both"/>
        <w:rPr>
          <w:b/>
        </w:rPr>
      </w:pPr>
      <w:r w:rsidRPr="004C37D7">
        <w:rPr>
          <w:b/>
        </w:rPr>
        <w:t xml:space="preserve">výboru Národnej rady SR č. </w:t>
      </w:r>
      <w:r w:rsidR="0087646A">
        <w:rPr>
          <w:b/>
        </w:rPr>
        <w:t>581</w:t>
      </w:r>
    </w:p>
    <w:p w:rsidR="003A241D" w:rsidRPr="004C37D7" w:rsidRDefault="003A241D" w:rsidP="003A241D">
      <w:pPr>
        <w:ind w:left="4253" w:firstLine="708"/>
        <w:jc w:val="both"/>
        <w:rPr>
          <w:b/>
        </w:rPr>
      </w:pPr>
      <w:r w:rsidRPr="004C37D7">
        <w:rPr>
          <w:b/>
        </w:rPr>
        <w:t>z</w:t>
      </w:r>
      <w:r w:rsidR="00C97CBE" w:rsidRPr="004C37D7">
        <w:rPr>
          <w:b/>
        </w:rPr>
        <w:t> 19.</w:t>
      </w:r>
      <w:r w:rsidRPr="004C37D7">
        <w:rPr>
          <w:b/>
        </w:rPr>
        <w:t xml:space="preserve">  marca 2019</w:t>
      </w:r>
    </w:p>
    <w:p w:rsidR="003A241D" w:rsidRPr="004C37D7" w:rsidRDefault="003A241D" w:rsidP="003A241D">
      <w:pPr>
        <w:ind w:left="4253" w:firstLine="703"/>
        <w:jc w:val="both"/>
        <w:rPr>
          <w:b/>
          <w:bCs/>
          <w:lang w:eastAsia="en-US"/>
        </w:rPr>
      </w:pPr>
      <w:r w:rsidRPr="004C37D7">
        <w:rPr>
          <w:b/>
          <w:bCs/>
        </w:rPr>
        <w:t>____________________________</w:t>
      </w:r>
    </w:p>
    <w:p w:rsidR="003A241D" w:rsidRPr="004C37D7" w:rsidRDefault="003A241D" w:rsidP="003A241D">
      <w:pPr>
        <w:jc w:val="center"/>
        <w:rPr>
          <w:lang w:eastAsia="en-US"/>
        </w:rPr>
      </w:pPr>
    </w:p>
    <w:p w:rsidR="003A241D" w:rsidRPr="004C37D7" w:rsidRDefault="003A241D" w:rsidP="003A241D">
      <w:pPr>
        <w:jc w:val="center"/>
        <w:rPr>
          <w:lang w:eastAsia="en-US"/>
        </w:rPr>
      </w:pPr>
    </w:p>
    <w:p w:rsidR="003A241D" w:rsidRPr="004C37D7" w:rsidRDefault="003A241D" w:rsidP="003A241D">
      <w:pPr>
        <w:jc w:val="center"/>
        <w:rPr>
          <w:lang w:eastAsia="en-US"/>
        </w:rPr>
      </w:pPr>
    </w:p>
    <w:p w:rsidR="003A241D" w:rsidRPr="004C37D7" w:rsidRDefault="003A241D" w:rsidP="003A241D">
      <w:pPr>
        <w:jc w:val="center"/>
        <w:rPr>
          <w:lang w:eastAsia="en-US"/>
        </w:rPr>
      </w:pPr>
    </w:p>
    <w:p w:rsidR="003A241D" w:rsidRPr="004C37D7" w:rsidRDefault="003A241D" w:rsidP="003A241D">
      <w:pPr>
        <w:rPr>
          <w:lang w:eastAsia="en-US"/>
        </w:rPr>
      </w:pPr>
    </w:p>
    <w:p w:rsidR="003A241D" w:rsidRPr="004C37D7" w:rsidRDefault="003A241D" w:rsidP="003A241D">
      <w:pPr>
        <w:pStyle w:val="Nadpis2"/>
        <w:ind w:left="0" w:firstLine="0"/>
        <w:jc w:val="center"/>
      </w:pPr>
      <w:r w:rsidRPr="004C37D7">
        <w:t>Pozmeňujúce a doplňujúce návrhy</w:t>
      </w:r>
    </w:p>
    <w:p w:rsidR="003A241D" w:rsidRPr="004C37D7" w:rsidRDefault="003A241D" w:rsidP="003A241D">
      <w:pPr>
        <w:jc w:val="both"/>
        <w:rPr>
          <w:b/>
        </w:rPr>
      </w:pPr>
    </w:p>
    <w:p w:rsidR="00C97CBE" w:rsidRPr="004C37D7" w:rsidRDefault="003A241D" w:rsidP="00C97CBE">
      <w:pPr>
        <w:pStyle w:val="TxBrp9"/>
        <w:tabs>
          <w:tab w:val="clear" w:pos="204"/>
          <w:tab w:val="left" w:pos="426"/>
        </w:tabs>
        <w:spacing w:line="240" w:lineRule="auto"/>
        <w:rPr>
          <w:b/>
          <w:sz w:val="24"/>
        </w:rPr>
      </w:pPr>
      <w:proofErr w:type="gramStart"/>
      <w:r w:rsidRPr="004C37D7">
        <w:rPr>
          <w:b/>
          <w:color w:val="333333"/>
          <w:sz w:val="24"/>
        </w:rPr>
        <w:t>k</w:t>
      </w:r>
      <w:proofErr w:type="gramEnd"/>
      <w:r w:rsidRPr="004C37D7">
        <w:rPr>
          <w:b/>
          <w:color w:val="333333"/>
          <w:sz w:val="24"/>
        </w:rPr>
        <w:t xml:space="preserve"> </w:t>
      </w:r>
      <w:proofErr w:type="spellStart"/>
      <w:r w:rsidR="00C97CBE" w:rsidRPr="004C37D7">
        <w:rPr>
          <w:b/>
          <w:color w:val="333333"/>
          <w:sz w:val="24"/>
        </w:rPr>
        <w:t>návrhu</w:t>
      </w:r>
      <w:proofErr w:type="spellEnd"/>
      <w:r w:rsidR="00C97CBE" w:rsidRPr="004C37D7">
        <w:rPr>
          <w:b/>
          <w:color w:val="333333"/>
          <w:sz w:val="24"/>
        </w:rPr>
        <w:t xml:space="preserve"> </w:t>
      </w:r>
      <w:proofErr w:type="spellStart"/>
      <w:r w:rsidR="00C97CBE" w:rsidRPr="004C37D7">
        <w:rPr>
          <w:b/>
          <w:sz w:val="24"/>
        </w:rPr>
        <w:t>poslancov</w:t>
      </w:r>
      <w:proofErr w:type="spellEnd"/>
      <w:r w:rsidR="00C97CBE" w:rsidRPr="004C37D7">
        <w:rPr>
          <w:b/>
          <w:sz w:val="24"/>
        </w:rPr>
        <w:t xml:space="preserve"> </w:t>
      </w:r>
      <w:proofErr w:type="spellStart"/>
      <w:r w:rsidR="00C97CBE" w:rsidRPr="004C37D7">
        <w:rPr>
          <w:b/>
          <w:sz w:val="24"/>
        </w:rPr>
        <w:t>Národnej</w:t>
      </w:r>
      <w:proofErr w:type="spellEnd"/>
      <w:r w:rsidR="00C97CBE" w:rsidRPr="004C37D7">
        <w:rPr>
          <w:b/>
          <w:sz w:val="24"/>
        </w:rPr>
        <w:t xml:space="preserve"> rady </w:t>
      </w:r>
      <w:proofErr w:type="spellStart"/>
      <w:r w:rsidR="00C97CBE" w:rsidRPr="004C37D7">
        <w:rPr>
          <w:b/>
          <w:sz w:val="24"/>
        </w:rPr>
        <w:t>Slovenskej</w:t>
      </w:r>
      <w:proofErr w:type="spellEnd"/>
      <w:r w:rsidR="00C97CBE" w:rsidRPr="004C37D7">
        <w:rPr>
          <w:b/>
          <w:sz w:val="24"/>
        </w:rPr>
        <w:t xml:space="preserve"> </w:t>
      </w:r>
      <w:proofErr w:type="spellStart"/>
      <w:r w:rsidR="00C97CBE" w:rsidRPr="004C37D7">
        <w:rPr>
          <w:b/>
          <w:sz w:val="24"/>
        </w:rPr>
        <w:t>republiky</w:t>
      </w:r>
      <w:proofErr w:type="spellEnd"/>
      <w:r w:rsidR="00C97CBE" w:rsidRPr="004C37D7">
        <w:rPr>
          <w:b/>
          <w:sz w:val="24"/>
        </w:rPr>
        <w:t xml:space="preserve"> Irén </w:t>
      </w:r>
      <w:proofErr w:type="spellStart"/>
      <w:r w:rsidR="00C97CBE" w:rsidRPr="004C37D7">
        <w:rPr>
          <w:b/>
          <w:sz w:val="24"/>
        </w:rPr>
        <w:t>Sárközy</w:t>
      </w:r>
      <w:proofErr w:type="spellEnd"/>
      <w:r w:rsidR="00C97CBE" w:rsidRPr="004C37D7">
        <w:rPr>
          <w:b/>
          <w:sz w:val="24"/>
        </w:rPr>
        <w:t xml:space="preserve"> a Petra </w:t>
      </w:r>
      <w:proofErr w:type="spellStart"/>
      <w:r w:rsidR="00C97CBE" w:rsidRPr="004C37D7">
        <w:rPr>
          <w:b/>
          <w:sz w:val="24"/>
        </w:rPr>
        <w:t>Antala</w:t>
      </w:r>
      <w:proofErr w:type="spellEnd"/>
      <w:r w:rsidR="00C97CBE" w:rsidRPr="004C37D7">
        <w:rPr>
          <w:b/>
          <w:sz w:val="24"/>
        </w:rPr>
        <w:t xml:space="preserve"> </w:t>
      </w:r>
      <w:proofErr w:type="spellStart"/>
      <w:r w:rsidR="00C97CBE" w:rsidRPr="004C37D7">
        <w:rPr>
          <w:b/>
          <w:sz w:val="24"/>
        </w:rPr>
        <w:t>na</w:t>
      </w:r>
      <w:proofErr w:type="spellEnd"/>
      <w:r w:rsidR="00C97CBE" w:rsidRPr="004C37D7">
        <w:rPr>
          <w:b/>
          <w:sz w:val="24"/>
        </w:rPr>
        <w:t xml:space="preserve">  </w:t>
      </w:r>
      <w:proofErr w:type="spellStart"/>
      <w:r w:rsidR="00C97CBE" w:rsidRPr="004C37D7">
        <w:rPr>
          <w:b/>
          <w:sz w:val="24"/>
        </w:rPr>
        <w:t>vydanie</w:t>
      </w:r>
      <w:proofErr w:type="spellEnd"/>
      <w:r w:rsidR="00C97CBE" w:rsidRPr="004C37D7">
        <w:rPr>
          <w:b/>
          <w:sz w:val="24"/>
        </w:rPr>
        <w:t xml:space="preserve"> </w:t>
      </w:r>
      <w:proofErr w:type="spellStart"/>
      <w:r w:rsidR="00C97CBE" w:rsidRPr="004C37D7">
        <w:rPr>
          <w:b/>
          <w:sz w:val="24"/>
        </w:rPr>
        <w:t>zákona</w:t>
      </w:r>
      <w:proofErr w:type="spellEnd"/>
      <w:r w:rsidR="00C97CBE" w:rsidRPr="004C37D7">
        <w:rPr>
          <w:b/>
          <w:sz w:val="24"/>
        </w:rPr>
        <w:t xml:space="preserve">, </w:t>
      </w:r>
      <w:proofErr w:type="spellStart"/>
      <w:r w:rsidR="00C97CBE" w:rsidRPr="004C37D7">
        <w:rPr>
          <w:b/>
          <w:sz w:val="24"/>
        </w:rPr>
        <w:t>ktorým</w:t>
      </w:r>
      <w:proofErr w:type="spellEnd"/>
      <w:r w:rsidR="00C97CBE" w:rsidRPr="004C37D7">
        <w:rPr>
          <w:b/>
          <w:sz w:val="24"/>
        </w:rPr>
        <w:t xml:space="preserve"> </w:t>
      </w:r>
      <w:proofErr w:type="spellStart"/>
      <w:r w:rsidR="00C97CBE" w:rsidRPr="004C37D7">
        <w:rPr>
          <w:b/>
          <w:sz w:val="24"/>
        </w:rPr>
        <w:t>sa</w:t>
      </w:r>
      <w:proofErr w:type="spellEnd"/>
      <w:r w:rsidR="00C97CBE" w:rsidRPr="004C37D7">
        <w:rPr>
          <w:b/>
          <w:sz w:val="24"/>
        </w:rPr>
        <w:t xml:space="preserve"> </w:t>
      </w:r>
      <w:proofErr w:type="spellStart"/>
      <w:r w:rsidR="00C97CBE" w:rsidRPr="004C37D7">
        <w:rPr>
          <w:b/>
          <w:sz w:val="24"/>
        </w:rPr>
        <w:t>mení</w:t>
      </w:r>
      <w:proofErr w:type="spellEnd"/>
      <w:r w:rsidR="00C97CBE" w:rsidRPr="004C37D7">
        <w:rPr>
          <w:b/>
          <w:sz w:val="24"/>
        </w:rPr>
        <w:t xml:space="preserve"> a </w:t>
      </w:r>
      <w:proofErr w:type="spellStart"/>
      <w:r w:rsidR="00C97CBE" w:rsidRPr="004C37D7">
        <w:rPr>
          <w:b/>
          <w:sz w:val="24"/>
        </w:rPr>
        <w:t>dopĺňa</w:t>
      </w:r>
      <w:proofErr w:type="spellEnd"/>
      <w:r w:rsidR="00C97CBE" w:rsidRPr="004C37D7">
        <w:rPr>
          <w:b/>
          <w:sz w:val="24"/>
        </w:rPr>
        <w:t xml:space="preserve"> </w:t>
      </w:r>
      <w:proofErr w:type="spellStart"/>
      <w:r w:rsidR="00C97CBE" w:rsidRPr="004C37D7">
        <w:rPr>
          <w:b/>
          <w:sz w:val="24"/>
        </w:rPr>
        <w:t>zákon</w:t>
      </w:r>
      <w:proofErr w:type="spellEnd"/>
      <w:r w:rsidR="00C97CBE" w:rsidRPr="004C37D7">
        <w:rPr>
          <w:b/>
          <w:sz w:val="24"/>
        </w:rPr>
        <w:t xml:space="preserve"> č. 461/2003 Z. z. o </w:t>
      </w:r>
      <w:proofErr w:type="spellStart"/>
      <w:r w:rsidR="00C97CBE" w:rsidRPr="004C37D7">
        <w:rPr>
          <w:b/>
          <w:sz w:val="24"/>
        </w:rPr>
        <w:t>sociálnom</w:t>
      </w:r>
      <w:proofErr w:type="spellEnd"/>
      <w:r w:rsidR="00C97CBE" w:rsidRPr="004C37D7">
        <w:rPr>
          <w:b/>
          <w:sz w:val="24"/>
        </w:rPr>
        <w:t xml:space="preserve"> </w:t>
      </w:r>
      <w:proofErr w:type="spellStart"/>
      <w:r w:rsidR="00C97CBE" w:rsidRPr="004C37D7">
        <w:rPr>
          <w:b/>
          <w:sz w:val="24"/>
        </w:rPr>
        <w:t>poistení</w:t>
      </w:r>
      <w:proofErr w:type="spellEnd"/>
      <w:r w:rsidR="00C97CBE" w:rsidRPr="004C37D7">
        <w:rPr>
          <w:b/>
          <w:sz w:val="24"/>
        </w:rPr>
        <w:t xml:space="preserve"> v </w:t>
      </w:r>
      <w:proofErr w:type="spellStart"/>
      <w:r w:rsidR="00C97CBE" w:rsidRPr="004C37D7">
        <w:rPr>
          <w:b/>
          <w:sz w:val="24"/>
        </w:rPr>
        <w:t>znení</w:t>
      </w:r>
      <w:proofErr w:type="spellEnd"/>
      <w:r w:rsidR="00C97CBE" w:rsidRPr="004C37D7">
        <w:rPr>
          <w:b/>
          <w:sz w:val="24"/>
        </w:rPr>
        <w:t xml:space="preserve"> </w:t>
      </w:r>
      <w:proofErr w:type="spellStart"/>
      <w:r w:rsidR="00C97CBE" w:rsidRPr="004C37D7">
        <w:rPr>
          <w:b/>
          <w:sz w:val="24"/>
        </w:rPr>
        <w:t>neskorších</w:t>
      </w:r>
      <w:proofErr w:type="spellEnd"/>
      <w:r w:rsidR="00C97CBE" w:rsidRPr="004C37D7">
        <w:rPr>
          <w:b/>
          <w:sz w:val="24"/>
        </w:rPr>
        <w:t xml:space="preserve"> </w:t>
      </w:r>
      <w:proofErr w:type="spellStart"/>
      <w:r w:rsidR="00C97CBE" w:rsidRPr="004C37D7">
        <w:rPr>
          <w:b/>
          <w:sz w:val="24"/>
        </w:rPr>
        <w:t>predpisov</w:t>
      </w:r>
      <w:proofErr w:type="spellEnd"/>
      <w:r w:rsidR="00C97CBE" w:rsidRPr="004C37D7">
        <w:rPr>
          <w:b/>
          <w:sz w:val="24"/>
        </w:rPr>
        <w:t xml:space="preserve"> (</w:t>
      </w:r>
      <w:proofErr w:type="spellStart"/>
      <w:r w:rsidR="00C97CBE" w:rsidRPr="004C37D7">
        <w:rPr>
          <w:b/>
          <w:sz w:val="24"/>
        </w:rPr>
        <w:t>tlač</w:t>
      </w:r>
      <w:proofErr w:type="spellEnd"/>
      <w:r w:rsidR="00C97CBE" w:rsidRPr="004C37D7">
        <w:rPr>
          <w:b/>
          <w:sz w:val="24"/>
        </w:rPr>
        <w:t xml:space="preserve"> 1238) </w:t>
      </w:r>
    </w:p>
    <w:p w:rsidR="003A241D" w:rsidRPr="004C37D7" w:rsidRDefault="003A241D" w:rsidP="003A241D">
      <w:pPr>
        <w:jc w:val="both"/>
        <w:rPr>
          <w:b/>
        </w:rPr>
      </w:pPr>
      <w:r w:rsidRPr="004C37D7">
        <w:rPr>
          <w:b/>
        </w:rPr>
        <w:t>___________________________________________________________________________</w:t>
      </w:r>
    </w:p>
    <w:p w:rsidR="004C37D7" w:rsidRDefault="004C37D7" w:rsidP="004C37D7">
      <w:pPr>
        <w:widowControl w:val="0"/>
        <w:autoSpaceDE w:val="0"/>
        <w:autoSpaceDN w:val="0"/>
        <w:adjustRightInd w:val="0"/>
        <w:ind w:left="360" w:right="-6"/>
        <w:jc w:val="both"/>
      </w:pPr>
    </w:p>
    <w:p w:rsidR="004C37D7" w:rsidRPr="004C37D7" w:rsidRDefault="004C37D7" w:rsidP="004C37D7">
      <w:pPr>
        <w:widowControl w:val="0"/>
        <w:autoSpaceDE w:val="0"/>
        <w:autoSpaceDN w:val="0"/>
        <w:adjustRightInd w:val="0"/>
        <w:ind w:left="360" w:right="-6"/>
        <w:jc w:val="both"/>
      </w:pPr>
    </w:p>
    <w:p w:rsidR="004C37D7" w:rsidRPr="004C37D7" w:rsidRDefault="004C37D7" w:rsidP="004C37D7">
      <w:pPr>
        <w:numPr>
          <w:ilvl w:val="0"/>
          <w:numId w:val="3"/>
        </w:numPr>
        <w:adjustRightInd w:val="0"/>
        <w:jc w:val="both"/>
      </w:pPr>
      <w:r w:rsidRPr="004C37D7">
        <w:t>V čl. I bod 1 znie:</w:t>
      </w:r>
    </w:p>
    <w:p w:rsidR="004C37D7" w:rsidRPr="004C37D7" w:rsidRDefault="004C37D7" w:rsidP="004C37D7">
      <w:pPr>
        <w:widowControl w:val="0"/>
        <w:autoSpaceDE w:val="0"/>
        <w:autoSpaceDN w:val="0"/>
        <w:adjustRightInd w:val="0"/>
        <w:ind w:left="360" w:right="-6"/>
        <w:jc w:val="both"/>
      </w:pPr>
      <w:r w:rsidRPr="004C37D7">
        <w:t>„1. V § 13 ods. 2 písm. a) sa vypúšťa piaty bod.“.</w:t>
      </w:r>
    </w:p>
    <w:p w:rsidR="004C37D7" w:rsidRPr="004C37D7" w:rsidRDefault="004C37D7" w:rsidP="004C37D7">
      <w:pPr>
        <w:widowControl w:val="0"/>
        <w:autoSpaceDE w:val="0"/>
        <w:autoSpaceDN w:val="0"/>
        <w:adjustRightInd w:val="0"/>
        <w:ind w:left="360" w:right="-6"/>
        <w:jc w:val="both"/>
      </w:pPr>
    </w:p>
    <w:p w:rsidR="004C37D7" w:rsidRPr="004C37D7" w:rsidRDefault="004C37D7" w:rsidP="004C37D7">
      <w:pPr>
        <w:widowControl w:val="0"/>
        <w:autoSpaceDE w:val="0"/>
        <w:autoSpaceDN w:val="0"/>
        <w:adjustRightInd w:val="0"/>
        <w:ind w:left="360" w:right="-6"/>
        <w:jc w:val="both"/>
      </w:pPr>
      <w:r w:rsidRPr="004C37D7">
        <w:t>Navrhovaná úprava nadobúda účinnosť 1. januára 2020, čo sa premietne do článku o účinnosti.</w:t>
      </w:r>
    </w:p>
    <w:p w:rsidR="004C37D7" w:rsidRPr="004C37D7" w:rsidRDefault="004C37D7" w:rsidP="004C37D7">
      <w:pPr>
        <w:widowControl w:val="0"/>
        <w:autoSpaceDE w:val="0"/>
        <w:autoSpaceDN w:val="0"/>
        <w:adjustRightInd w:val="0"/>
        <w:ind w:left="360" w:right="-6"/>
        <w:jc w:val="both"/>
      </w:pPr>
    </w:p>
    <w:p w:rsidR="004C37D7" w:rsidRPr="004C37D7" w:rsidRDefault="004C37D7" w:rsidP="004C37D7">
      <w:pPr>
        <w:widowControl w:val="0"/>
        <w:autoSpaceDE w:val="0"/>
        <w:autoSpaceDN w:val="0"/>
        <w:adjustRightInd w:val="0"/>
        <w:ind w:left="2211" w:right="-6"/>
        <w:jc w:val="both"/>
      </w:pPr>
      <w:r w:rsidRPr="004C37D7">
        <w:t>Navrhuje sa legislatívno-technická úprava, ktorá súvisí s vypustením právnej úpravy vyrovnávacieho príplatku a zavedením právnej úpravy určovania sumy starobného, predčasného alebo invalidného dôchodku dotknutej skupiny poistencov.</w:t>
      </w:r>
    </w:p>
    <w:p w:rsidR="004C37D7" w:rsidRPr="004C37D7" w:rsidRDefault="004C37D7" w:rsidP="004C37D7">
      <w:pPr>
        <w:widowControl w:val="0"/>
        <w:autoSpaceDE w:val="0"/>
        <w:autoSpaceDN w:val="0"/>
        <w:adjustRightInd w:val="0"/>
        <w:ind w:left="360" w:right="-6"/>
        <w:jc w:val="both"/>
      </w:pPr>
    </w:p>
    <w:p w:rsidR="004C37D7" w:rsidRPr="004C37D7" w:rsidRDefault="004C37D7" w:rsidP="004C37D7">
      <w:pPr>
        <w:numPr>
          <w:ilvl w:val="0"/>
          <w:numId w:val="3"/>
        </w:numPr>
        <w:adjustRightInd w:val="0"/>
        <w:jc w:val="both"/>
      </w:pPr>
      <w:r w:rsidRPr="004C37D7">
        <w:t>V čl. I sa za bod 1 vkladajú body 2 až 17, ktoré znejú:</w:t>
      </w:r>
    </w:p>
    <w:p w:rsidR="004C37D7" w:rsidRPr="004C37D7" w:rsidRDefault="004C37D7" w:rsidP="004C37D7">
      <w:pPr>
        <w:pStyle w:val="Odsekzoznamu"/>
        <w:widowControl/>
        <w:tabs>
          <w:tab w:val="left" w:pos="0"/>
        </w:tabs>
        <w:suppressAutoHyphens w:val="0"/>
        <w:ind w:left="360"/>
        <w:contextualSpacing/>
        <w:jc w:val="both"/>
        <w:textAlignment w:val="auto"/>
        <w:rPr>
          <w:rFonts w:ascii="Times New Roman" w:hAnsi="Times New Roman"/>
          <w:sz w:val="24"/>
          <w:szCs w:val="24"/>
        </w:rPr>
      </w:pPr>
      <w:r w:rsidRPr="004C37D7">
        <w:rPr>
          <w:rFonts w:ascii="Times New Roman" w:hAnsi="Times New Roman"/>
          <w:sz w:val="24"/>
          <w:szCs w:val="24"/>
        </w:rPr>
        <w:t>„2. V § 60 ods. 9 prvej vete sa slová „nároku na vyrovnávací príplatok“ nahrádzajú slovami „určenia sumy starobného dôchodku podľa § 66a, predčasného starobného dôchodku podľa § 68a alebo invalidného dôchodku podľa § 73a“ a v druhej vete sa slová „dôchodok alebo predčasný starobný dôchodok“ nahrádzajú slovami „dôchodok, predčasný starobný dôchodok alebo invalidný dôchodok“.</w:t>
      </w:r>
    </w:p>
    <w:p w:rsidR="004C37D7" w:rsidRPr="004C37D7" w:rsidRDefault="004C37D7" w:rsidP="004C37D7">
      <w:pPr>
        <w:pStyle w:val="Odsekzoznamu"/>
        <w:widowControl/>
        <w:tabs>
          <w:tab w:val="left" w:pos="0"/>
        </w:tabs>
        <w:suppressAutoHyphens w:val="0"/>
        <w:ind w:left="360"/>
        <w:contextualSpacing/>
        <w:jc w:val="both"/>
        <w:textAlignment w:val="auto"/>
        <w:rPr>
          <w:rFonts w:ascii="Times New Roman" w:hAnsi="Times New Roman"/>
          <w:sz w:val="24"/>
          <w:szCs w:val="24"/>
        </w:rPr>
      </w:pPr>
    </w:p>
    <w:p w:rsidR="004C37D7" w:rsidRPr="004C37D7" w:rsidRDefault="004C37D7" w:rsidP="004C37D7">
      <w:pPr>
        <w:pStyle w:val="Odsekzoznamu"/>
        <w:widowControl/>
        <w:tabs>
          <w:tab w:val="left" w:pos="0"/>
        </w:tabs>
        <w:suppressAutoHyphens w:val="0"/>
        <w:ind w:left="360"/>
        <w:contextualSpacing/>
        <w:jc w:val="both"/>
        <w:textAlignment w:val="auto"/>
        <w:rPr>
          <w:rFonts w:ascii="Times New Roman" w:hAnsi="Times New Roman"/>
          <w:sz w:val="24"/>
          <w:szCs w:val="24"/>
        </w:rPr>
      </w:pPr>
      <w:r w:rsidRPr="004C37D7">
        <w:rPr>
          <w:rFonts w:ascii="Times New Roman" w:hAnsi="Times New Roman"/>
          <w:sz w:val="24"/>
          <w:szCs w:val="24"/>
        </w:rPr>
        <w:t>3. Nad § 66 sa vkladá nadpis, ktorý znie: „Určenie sumy starobného dôchodku“.</w:t>
      </w:r>
    </w:p>
    <w:p w:rsidR="004C37D7" w:rsidRPr="004C37D7" w:rsidRDefault="004C37D7" w:rsidP="004C37D7">
      <w:pPr>
        <w:pStyle w:val="Odsekzoznamu"/>
        <w:widowControl/>
        <w:tabs>
          <w:tab w:val="left" w:pos="0"/>
        </w:tabs>
        <w:suppressAutoHyphens w:val="0"/>
        <w:ind w:left="360"/>
        <w:contextualSpacing/>
        <w:jc w:val="both"/>
        <w:textAlignment w:val="auto"/>
        <w:rPr>
          <w:rFonts w:ascii="Times New Roman" w:hAnsi="Times New Roman"/>
          <w:sz w:val="24"/>
          <w:szCs w:val="24"/>
        </w:rPr>
      </w:pPr>
    </w:p>
    <w:p w:rsidR="004C37D7" w:rsidRPr="004C37D7" w:rsidRDefault="004C37D7" w:rsidP="004C37D7">
      <w:pPr>
        <w:pStyle w:val="Odsekzoznamu"/>
        <w:widowControl/>
        <w:tabs>
          <w:tab w:val="left" w:pos="0"/>
        </w:tabs>
        <w:suppressAutoHyphens w:val="0"/>
        <w:ind w:left="360"/>
        <w:contextualSpacing/>
        <w:jc w:val="both"/>
        <w:textAlignment w:val="auto"/>
        <w:rPr>
          <w:rFonts w:ascii="Times New Roman" w:hAnsi="Times New Roman"/>
          <w:sz w:val="24"/>
          <w:szCs w:val="24"/>
        </w:rPr>
      </w:pPr>
      <w:r w:rsidRPr="004C37D7">
        <w:rPr>
          <w:rFonts w:ascii="Times New Roman" w:hAnsi="Times New Roman"/>
          <w:sz w:val="24"/>
          <w:szCs w:val="24"/>
        </w:rPr>
        <w:t>4. Nadpis § 66 sa vypúšťa.</w:t>
      </w:r>
    </w:p>
    <w:p w:rsidR="004C37D7" w:rsidRPr="004C37D7" w:rsidRDefault="004C37D7" w:rsidP="004C37D7">
      <w:pPr>
        <w:pStyle w:val="Odsekzoznamu"/>
        <w:widowControl/>
        <w:tabs>
          <w:tab w:val="left" w:pos="0"/>
        </w:tabs>
        <w:suppressAutoHyphens w:val="0"/>
        <w:ind w:left="360"/>
        <w:contextualSpacing/>
        <w:jc w:val="both"/>
        <w:textAlignment w:val="auto"/>
        <w:rPr>
          <w:rFonts w:ascii="Times New Roman" w:hAnsi="Times New Roman"/>
          <w:sz w:val="24"/>
          <w:szCs w:val="24"/>
        </w:rPr>
      </w:pPr>
    </w:p>
    <w:p w:rsidR="004C37D7" w:rsidRPr="004C37D7" w:rsidRDefault="004C37D7" w:rsidP="004C37D7">
      <w:pPr>
        <w:pStyle w:val="Odsekzoznamu"/>
        <w:widowControl/>
        <w:tabs>
          <w:tab w:val="left" w:pos="0"/>
        </w:tabs>
        <w:suppressAutoHyphens w:val="0"/>
        <w:ind w:left="360"/>
        <w:contextualSpacing/>
        <w:jc w:val="both"/>
        <w:textAlignment w:val="auto"/>
        <w:rPr>
          <w:rFonts w:ascii="Times New Roman" w:hAnsi="Times New Roman"/>
          <w:sz w:val="24"/>
          <w:szCs w:val="24"/>
        </w:rPr>
      </w:pPr>
      <w:r w:rsidRPr="004C37D7">
        <w:rPr>
          <w:rFonts w:ascii="Times New Roman" w:hAnsi="Times New Roman"/>
          <w:sz w:val="24"/>
          <w:szCs w:val="24"/>
        </w:rPr>
        <w:t>5. Za § 66 sa vkladá § 66a, ktorý znie:</w:t>
      </w:r>
    </w:p>
    <w:p w:rsidR="004C37D7" w:rsidRPr="004C37D7" w:rsidRDefault="004C37D7" w:rsidP="004C37D7">
      <w:pPr>
        <w:pStyle w:val="Odsekzoznamu"/>
        <w:widowControl/>
        <w:tabs>
          <w:tab w:val="left" w:pos="426"/>
        </w:tabs>
        <w:ind w:left="426"/>
        <w:jc w:val="center"/>
        <w:rPr>
          <w:rFonts w:ascii="Times New Roman" w:hAnsi="Times New Roman"/>
          <w:sz w:val="24"/>
          <w:szCs w:val="24"/>
        </w:rPr>
      </w:pPr>
      <w:r w:rsidRPr="004C37D7">
        <w:rPr>
          <w:rFonts w:ascii="Times New Roman" w:hAnsi="Times New Roman"/>
          <w:b/>
          <w:sz w:val="24"/>
          <w:szCs w:val="24"/>
        </w:rPr>
        <w:t>„§ 66a</w:t>
      </w:r>
    </w:p>
    <w:p w:rsidR="004C37D7" w:rsidRPr="004C37D7" w:rsidRDefault="004C37D7" w:rsidP="004C37D7">
      <w:pPr>
        <w:pStyle w:val="Odsekzoznamu"/>
        <w:widowControl/>
        <w:tabs>
          <w:tab w:val="left" w:pos="0"/>
          <w:tab w:val="left" w:pos="426"/>
        </w:tabs>
        <w:ind w:left="344"/>
        <w:jc w:val="center"/>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426"/>
        <w:jc w:val="both"/>
        <w:textAlignment w:val="auto"/>
        <w:rPr>
          <w:rFonts w:ascii="Times New Roman" w:hAnsi="Times New Roman"/>
          <w:sz w:val="24"/>
          <w:szCs w:val="24"/>
        </w:rPr>
      </w:pPr>
      <w:r w:rsidRPr="004C37D7">
        <w:rPr>
          <w:rFonts w:ascii="Times New Roman" w:hAnsi="Times New Roman"/>
          <w:sz w:val="24"/>
          <w:szCs w:val="24"/>
        </w:rPr>
        <w:t xml:space="preserve">(1) Suma starobného dôchodku sa určí </w:t>
      </w:r>
      <w:r w:rsidRPr="004C37D7">
        <w:rPr>
          <w:rFonts w:ascii="Times New Roman" w:hAnsi="Times New Roman"/>
          <w:kern w:val="0"/>
          <w:sz w:val="24"/>
          <w:szCs w:val="24"/>
        </w:rPr>
        <w:t>ako rozdiel fiktívnej sumy starobného dôchodku podľa odseku 2 a sumy starobného dôchodku alebo invalidného dôchodku vyplácaného podľa predpisov Českej republiky</w:t>
      </w:r>
      <w:r w:rsidRPr="004C37D7">
        <w:rPr>
          <w:rFonts w:ascii="Times New Roman" w:hAnsi="Times New Roman"/>
          <w:sz w:val="24"/>
          <w:szCs w:val="24"/>
        </w:rPr>
        <w:t xml:space="preserve">, ak ide o poistenca, ktorý </w:t>
      </w:r>
      <w:r w:rsidRPr="004C37D7">
        <w:rPr>
          <w:rFonts w:ascii="Times New Roman" w:hAnsi="Times New Roman"/>
          <w:kern w:val="0"/>
          <w:sz w:val="24"/>
          <w:szCs w:val="24"/>
        </w:rPr>
        <w:t>získal</w:t>
      </w:r>
    </w:p>
    <w:p w:rsidR="004C37D7" w:rsidRPr="004C37D7" w:rsidRDefault="004C37D7" w:rsidP="004C37D7">
      <w:pPr>
        <w:pStyle w:val="Odsekzoznamu"/>
        <w:widowControl/>
        <w:numPr>
          <w:ilvl w:val="0"/>
          <w:numId w:val="4"/>
        </w:numPr>
        <w:tabs>
          <w:tab w:val="left" w:pos="567"/>
        </w:tabs>
        <w:ind w:left="709" w:hanging="283"/>
        <w:jc w:val="both"/>
        <w:rPr>
          <w:rFonts w:ascii="Times New Roman" w:hAnsi="Times New Roman"/>
          <w:kern w:val="0"/>
          <w:sz w:val="24"/>
          <w:szCs w:val="24"/>
        </w:rPr>
      </w:pPr>
      <w:r w:rsidRPr="004C37D7">
        <w:rPr>
          <w:rFonts w:ascii="Times New Roman" w:hAnsi="Times New Roman"/>
          <w:kern w:val="0"/>
          <w:sz w:val="24"/>
          <w:szCs w:val="24"/>
        </w:rPr>
        <w:t>pred 1. januárom 1993 československé obdobie dôchodkového poistenia, za ktoré mu bol priznaný starobný dôchodok podľa predpisov Českej republiky alebo má priznaný invalidný dôchodok podľa predpisov Českej republiky, a</w:t>
      </w:r>
    </w:p>
    <w:p w:rsidR="004C37D7" w:rsidRPr="004C37D7" w:rsidRDefault="004C37D7" w:rsidP="004C37D7">
      <w:pPr>
        <w:pStyle w:val="Odsekzoznamu"/>
        <w:widowControl/>
        <w:numPr>
          <w:ilvl w:val="0"/>
          <w:numId w:val="4"/>
        </w:numPr>
        <w:tabs>
          <w:tab w:val="left" w:pos="567"/>
        </w:tabs>
        <w:ind w:left="709" w:hanging="283"/>
        <w:jc w:val="both"/>
        <w:rPr>
          <w:rFonts w:ascii="Times New Roman" w:hAnsi="Times New Roman"/>
          <w:kern w:val="0"/>
          <w:sz w:val="24"/>
          <w:szCs w:val="24"/>
        </w:rPr>
      </w:pPr>
      <w:r w:rsidRPr="004C37D7">
        <w:rPr>
          <w:rFonts w:ascii="Times New Roman" w:hAnsi="Times New Roman"/>
          <w:kern w:val="0"/>
          <w:sz w:val="24"/>
          <w:szCs w:val="24"/>
        </w:rPr>
        <w:lastRenderedPageBreak/>
        <w:t>po 31. decembri 1992 najmenej jeden rok dôchodkového poistenia podľa predpisov Slovenskej republiky.</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(2) 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(3) 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(4) 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sidRPr="004C37D7">
        <w:rPr>
          <w:rFonts w:ascii="Times New Roman" w:hAnsi="Times New Roman"/>
          <w:sz w:val="24"/>
          <w:szCs w:val="24"/>
          <w:vertAlign w:val="superscript"/>
        </w:rPr>
        <w:t>55a</w:t>
      </w:r>
      <w:r w:rsidRPr="004C37D7">
        <w:rPr>
          <w:rFonts w:ascii="Times New Roman" w:hAnsi="Times New Roman"/>
          <w:sz w:val="24"/>
          <w:szCs w:val="24"/>
        </w:rPr>
        <w:t>) ktorý je platný ku dňu, ku ktorému sa určuje suma starobného dôchodku podľa odseku 1.</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(5) Suma starobného dôchodku podľa odseku 1 nesmie byť nižšia ako suma starobného dôchodku, ktorá je v súlade s osobitným predpisom</w:t>
      </w:r>
      <w:r w:rsidRPr="004C37D7">
        <w:rPr>
          <w:rFonts w:ascii="Times New Roman" w:hAnsi="Times New Roman"/>
          <w:sz w:val="24"/>
          <w:szCs w:val="24"/>
          <w:vertAlign w:val="superscript"/>
        </w:rPr>
        <w:t>55b</w:t>
      </w:r>
      <w:r w:rsidRPr="004C37D7">
        <w:rPr>
          <w:rFonts w:ascii="Times New Roman" w:hAnsi="Times New Roman"/>
          <w:sz w:val="24"/>
          <w:szCs w:val="24"/>
        </w:rPr>
        <w:t>) určená podľa tohto zákona alebo podľa predpisov účinných pred 1. januárom 2004, ak starobný dôchodok bol priznaný podľa predpisov účinných pred 1. januárom 2004.“.</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Poznámky pod čiarou k odkazom 55a a 55b znejú:</w:t>
      </w:r>
    </w:p>
    <w:p w:rsidR="004C37D7" w:rsidRPr="004C37D7" w:rsidRDefault="004C37D7" w:rsidP="004C37D7">
      <w:pPr>
        <w:pStyle w:val="Odsekzoznamu"/>
        <w:widowControl/>
        <w:tabs>
          <w:tab w:val="left" w:pos="0"/>
          <w:tab w:val="left" w:pos="567"/>
        </w:tabs>
        <w:suppressAutoHyphens w:val="0"/>
        <w:ind w:left="993" w:hanging="643"/>
        <w:jc w:val="both"/>
        <w:textAlignment w:val="auto"/>
        <w:rPr>
          <w:rFonts w:ascii="Times New Roman" w:hAnsi="Times New Roman"/>
          <w:sz w:val="24"/>
          <w:szCs w:val="24"/>
        </w:rPr>
      </w:pPr>
      <w:r w:rsidRPr="004C37D7">
        <w:rPr>
          <w:rFonts w:ascii="Times New Roman" w:hAnsi="Times New Roman"/>
          <w:sz w:val="24"/>
          <w:szCs w:val="24"/>
        </w:rPr>
        <w:t>„</w:t>
      </w:r>
      <w:r w:rsidRPr="004C37D7">
        <w:rPr>
          <w:rFonts w:ascii="Times New Roman" w:hAnsi="Times New Roman"/>
          <w:sz w:val="24"/>
          <w:szCs w:val="24"/>
          <w:vertAlign w:val="superscript"/>
        </w:rPr>
        <w:t>55a</w:t>
      </w:r>
      <w:r w:rsidRPr="004C37D7">
        <w:rPr>
          <w:rFonts w:ascii="Times New Roman" w:hAnsi="Times New Roman"/>
          <w:sz w:val="24"/>
          <w:szCs w:val="24"/>
        </w:rPr>
        <w:t xml:space="preserve">)  Čl. 219 ods. 1 až 3 Zmluvy o fungovaní Európskej únie (Ú. v. EÚ C 202, 7.6.2016)   v platnom znení. </w:t>
      </w:r>
    </w:p>
    <w:p w:rsidR="004C37D7" w:rsidRPr="004C37D7" w:rsidRDefault="004C37D7" w:rsidP="004C37D7">
      <w:pPr>
        <w:pStyle w:val="Odsekzoznamu"/>
        <w:widowControl/>
        <w:tabs>
          <w:tab w:val="left" w:pos="567"/>
        </w:tabs>
        <w:ind w:left="993"/>
        <w:jc w:val="both"/>
        <w:rPr>
          <w:rFonts w:ascii="Times New Roman" w:hAnsi="Times New Roman"/>
          <w:sz w:val="24"/>
          <w:szCs w:val="24"/>
        </w:rPr>
      </w:pPr>
      <w:r w:rsidRPr="004C37D7">
        <w:rPr>
          <w:rFonts w:ascii="Times New Roman" w:hAnsi="Times New Roman"/>
          <w:sz w:val="24"/>
          <w:szCs w:val="24"/>
        </w:rPr>
        <w:t>Čl. 12 ods. 12.1 Protokolu o Štatúte Európskeho systému centrálnych bánk a Európskej centrálnej banky (Ú. v. EÚ C 202, 7.6.2016).</w:t>
      </w:r>
    </w:p>
    <w:p w:rsidR="004C37D7" w:rsidRPr="004C37D7" w:rsidRDefault="004C37D7" w:rsidP="004C37D7">
      <w:pPr>
        <w:pStyle w:val="Odsekzoznamu"/>
        <w:widowControl/>
        <w:tabs>
          <w:tab w:val="left" w:pos="567"/>
        </w:tabs>
        <w:ind w:left="916" w:hanging="566"/>
        <w:jc w:val="both"/>
        <w:rPr>
          <w:rFonts w:ascii="Times New Roman" w:hAnsi="Times New Roman"/>
          <w:iCs/>
          <w:sz w:val="24"/>
          <w:szCs w:val="24"/>
        </w:rPr>
      </w:pPr>
      <w:r w:rsidRPr="004C37D7">
        <w:rPr>
          <w:rFonts w:ascii="Times New Roman" w:hAnsi="Times New Roman"/>
          <w:sz w:val="24"/>
          <w:szCs w:val="24"/>
          <w:vertAlign w:val="superscript"/>
        </w:rPr>
        <w:t xml:space="preserve"> 55b</w:t>
      </w:r>
      <w:r w:rsidRPr="004C37D7">
        <w:rPr>
          <w:rFonts w:ascii="Times New Roman" w:hAnsi="Times New Roman"/>
          <w:sz w:val="24"/>
          <w:szCs w:val="24"/>
        </w:rPr>
        <w:t xml:space="preserve">)  Čl. 52 ods. 1 písm. a) </w:t>
      </w:r>
      <w:r w:rsidRPr="004C37D7">
        <w:rPr>
          <w:rFonts w:ascii="Times New Roman" w:hAnsi="Times New Roman"/>
          <w:iCs/>
          <w:sz w:val="24"/>
          <w:szCs w:val="24"/>
        </w:rPr>
        <w:t>nariadenia Európskeho parlamentu a Rady (ES) č. 883/2004 z 29. apríla 2004 o koordinácii systémov sociálneho zabezpečenia (Mimoriadne vydanie Ú. v. EÚ, kap. 5/zv. 5; Ú. v. EÚ L 200, 7.6.2004) v platnom znení.“.</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6. Nad § 68 sa vkladá nadpis, ktorý znie: „Určenie sumy predčasného starobného dôchodku“.</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7. Nadpis § 68 sa vypúšťa.</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 xml:space="preserve">8. Za § 68 sa vkladá § 68a, ktorý znie: </w:t>
      </w:r>
    </w:p>
    <w:p w:rsidR="004C37D7" w:rsidRPr="004C37D7" w:rsidRDefault="004C37D7" w:rsidP="004C37D7">
      <w:pPr>
        <w:pStyle w:val="Odsekzoznamu"/>
        <w:widowControl/>
        <w:tabs>
          <w:tab w:val="left" w:pos="426"/>
        </w:tabs>
        <w:ind w:left="350"/>
        <w:jc w:val="center"/>
        <w:rPr>
          <w:rFonts w:ascii="Times New Roman" w:hAnsi="Times New Roman"/>
          <w:b/>
          <w:sz w:val="24"/>
          <w:szCs w:val="24"/>
        </w:rPr>
      </w:pPr>
      <w:r w:rsidRPr="004C37D7">
        <w:rPr>
          <w:rFonts w:ascii="Times New Roman" w:hAnsi="Times New Roman"/>
          <w:b/>
          <w:sz w:val="24"/>
          <w:szCs w:val="24"/>
        </w:rPr>
        <w:t>„§ 68a</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9. V prvej časti tretej hlave sa vypúšťa štvrtý diel.</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Doterajší piaty diel až ôsmy diel sa označujú ako štvrtý diel až siedmy diel.</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Poznámky pod čiarou k odkazom 56aa a 56ab sa vypúšťajú.</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10. Nad § 73 sa vkladá nadpis, ktorý znie: „Určenie sumy invalidného dôchodku“.</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11. Nadpis § 73 sa vypúšťa.</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12. Za § 73 sa vkladá § 73a, ktorý znie:</w:t>
      </w:r>
    </w:p>
    <w:p w:rsidR="004C37D7" w:rsidRPr="004C37D7" w:rsidRDefault="004C37D7" w:rsidP="004C37D7">
      <w:pPr>
        <w:pStyle w:val="Odsekzoznamu"/>
        <w:widowControl/>
        <w:tabs>
          <w:tab w:val="left" w:pos="0"/>
        </w:tabs>
        <w:ind w:left="0"/>
        <w:jc w:val="center"/>
        <w:rPr>
          <w:rFonts w:ascii="Times New Roman" w:hAnsi="Times New Roman"/>
          <w:sz w:val="24"/>
          <w:szCs w:val="24"/>
        </w:rPr>
      </w:pPr>
      <w:r w:rsidRPr="004C37D7">
        <w:rPr>
          <w:rFonts w:ascii="Times New Roman" w:hAnsi="Times New Roman"/>
          <w:b/>
          <w:sz w:val="24"/>
          <w:szCs w:val="24"/>
        </w:rPr>
        <w:t>„§ 73a</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(1) Suma invalidného dôchodku sa určí ako rozdiel fiktívnej sumy invalidného dôchodku podľa odseku 2 a sumy invalidného dôchodku alebo starobného dôchodku vyplácaného podľa predpisov Českej republiky, ak ide o poistenca podľa § 66a ods. 1.</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(2) 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(3) Na určenie sumy invalidného dôchodku podľa odseku 1 sa na</w:t>
      </w:r>
    </w:p>
    <w:p w:rsidR="004C37D7" w:rsidRPr="004C37D7" w:rsidRDefault="004C37D7" w:rsidP="004C37D7">
      <w:pPr>
        <w:pStyle w:val="Odsekzoznamu"/>
        <w:widowControl/>
        <w:numPr>
          <w:ilvl w:val="0"/>
          <w:numId w:val="5"/>
        </w:numPr>
        <w:ind w:left="633" w:hanging="283"/>
        <w:jc w:val="both"/>
        <w:rPr>
          <w:rFonts w:ascii="Times New Roman" w:hAnsi="Times New Roman"/>
          <w:kern w:val="0"/>
          <w:sz w:val="24"/>
          <w:szCs w:val="24"/>
        </w:rPr>
      </w:pPr>
      <w:r w:rsidRPr="004C37D7">
        <w:rPr>
          <w:rFonts w:ascii="Times New Roman" w:hAnsi="Times New Roman"/>
          <w:kern w:val="0"/>
          <w:sz w:val="24"/>
          <w:szCs w:val="24"/>
        </w:rPr>
        <w:t>starobný dôchodok alebo invalidný dôchodok upravený podľa predpisov Českej republiky vzťahuje § 66a ods. 3 rovnako,</w:t>
      </w:r>
    </w:p>
    <w:p w:rsidR="004C37D7" w:rsidRPr="004C37D7" w:rsidRDefault="004C37D7" w:rsidP="004C37D7">
      <w:pPr>
        <w:pStyle w:val="Odsekzoznamu"/>
        <w:widowControl/>
        <w:numPr>
          <w:ilvl w:val="0"/>
          <w:numId w:val="5"/>
        </w:numPr>
        <w:ind w:left="633" w:hanging="283"/>
        <w:jc w:val="both"/>
        <w:rPr>
          <w:rFonts w:ascii="Times New Roman" w:hAnsi="Times New Roman"/>
          <w:kern w:val="0"/>
          <w:sz w:val="24"/>
          <w:szCs w:val="24"/>
        </w:rPr>
      </w:pPr>
      <w:r w:rsidRPr="004C37D7">
        <w:rPr>
          <w:rFonts w:ascii="Times New Roman" w:hAnsi="Times New Roman"/>
          <w:kern w:val="0"/>
          <w:sz w:val="24"/>
          <w:szCs w:val="24"/>
        </w:rPr>
        <w:t>prepočítanie starobného dôchodku alebo invalidného dôchodku podľa predpisov Českej republiky vzťahuje § 66a ods. 4 rovnako.</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(4) Suma invalidného dôchodku podľa odseku 1 nesmie byť nižšia ako suma invalidného dôchodku, ktorá je v súlade s osobitným predpisom</w:t>
      </w:r>
      <w:r w:rsidRPr="004C37D7">
        <w:rPr>
          <w:rFonts w:ascii="Times New Roman" w:hAnsi="Times New Roman"/>
          <w:sz w:val="24"/>
          <w:szCs w:val="24"/>
          <w:vertAlign w:val="superscript"/>
        </w:rPr>
        <w:t>55c</w:t>
      </w:r>
      <w:r w:rsidRPr="004C37D7">
        <w:rPr>
          <w:rFonts w:ascii="Times New Roman" w:hAnsi="Times New Roman"/>
          <w:sz w:val="24"/>
          <w:szCs w:val="24"/>
        </w:rPr>
        <w:t>) určená podľa tohto zákona alebo podľa predpisov účinných pred 1. januárom 2004, ak invalidný dôchodok alebo čiastočný invalidný dôchodok je priznaný podľa predpisov účinných pred 1. januárom 2004.“.</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Poznámka pod čiarou k odkazu 55c znie:</w:t>
      </w:r>
    </w:p>
    <w:p w:rsidR="004C37D7" w:rsidRPr="004C37D7" w:rsidRDefault="004C37D7" w:rsidP="004C37D7">
      <w:pPr>
        <w:pStyle w:val="Odsekzoznamu"/>
        <w:widowControl/>
        <w:tabs>
          <w:tab w:val="left" w:pos="0"/>
        </w:tabs>
        <w:suppressAutoHyphens w:val="0"/>
        <w:ind w:left="851" w:hanging="567"/>
        <w:jc w:val="both"/>
        <w:textAlignment w:val="auto"/>
        <w:rPr>
          <w:rFonts w:ascii="Times New Roman" w:hAnsi="Times New Roman"/>
          <w:sz w:val="24"/>
          <w:szCs w:val="24"/>
        </w:rPr>
      </w:pPr>
      <w:r w:rsidRPr="004C37D7">
        <w:rPr>
          <w:rFonts w:ascii="Times New Roman" w:hAnsi="Times New Roman"/>
          <w:sz w:val="24"/>
          <w:szCs w:val="24"/>
        </w:rPr>
        <w:t>„</w:t>
      </w:r>
      <w:r w:rsidRPr="004C37D7">
        <w:rPr>
          <w:rFonts w:ascii="Times New Roman" w:hAnsi="Times New Roman"/>
          <w:sz w:val="24"/>
          <w:szCs w:val="24"/>
          <w:vertAlign w:val="superscript"/>
        </w:rPr>
        <w:t>55c</w:t>
      </w:r>
      <w:r w:rsidRPr="004C37D7">
        <w:rPr>
          <w:rFonts w:ascii="Times New Roman" w:hAnsi="Times New Roman"/>
          <w:sz w:val="24"/>
          <w:szCs w:val="24"/>
        </w:rPr>
        <w:t>) Čl. 46 ods. 1 nariadenia Európskeho parlamentu a Rady (ES) č. 883/2004 z 29. apríla 2004 o koordinácii systémov sociálneho zabezpečenia (Mimoriadne vydanie Ú. v. EÚ, kap. 5/zv. 5; Ú. v. EÚ L 200, 7.6.2004) v platnom znení.“.</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13. V § 81 ods. 7 sa vypúšťa písmeno b).</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ab/>
      </w:r>
      <w:r w:rsidRPr="004C37D7">
        <w:rPr>
          <w:rFonts w:ascii="Times New Roman" w:hAnsi="Times New Roman"/>
          <w:sz w:val="24"/>
          <w:szCs w:val="24"/>
        </w:rPr>
        <w:tab/>
        <w:t>Súčasne sa zrušuje označenie písmena a).</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14. V § 82 ods. 1 celom texte sa slová „dávka, okrem vyrovnávacieho príplatku,“ nahrádzajú slovom „dávka“.</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15. V § 82b ods. 3 písm. b) sa nad slovami „suma podľa osobitného predpisu,“ odkaz „56aa)“ nahrádza odkazom „56c)“.</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lastRenderedPageBreak/>
        <w:t>Poznámka pod čiarou k odkazu 56c znie:</w:t>
      </w:r>
    </w:p>
    <w:p w:rsidR="004C37D7" w:rsidRPr="004C37D7" w:rsidRDefault="004C37D7" w:rsidP="004C37D7">
      <w:pPr>
        <w:pStyle w:val="Odsekzoznamu"/>
        <w:suppressAutoHyphens w:val="0"/>
        <w:overflowPunct w:val="0"/>
        <w:adjustRightInd w:val="0"/>
        <w:ind w:left="284"/>
        <w:contextualSpacing/>
        <w:textAlignment w:val="auto"/>
        <w:rPr>
          <w:rFonts w:ascii="Times New Roman" w:hAnsi="Times New Roman"/>
          <w:sz w:val="24"/>
          <w:szCs w:val="24"/>
        </w:rPr>
      </w:pPr>
      <w:r w:rsidRPr="004C37D7">
        <w:rPr>
          <w:rFonts w:ascii="Times New Roman" w:hAnsi="Times New Roman"/>
          <w:sz w:val="24"/>
          <w:szCs w:val="24"/>
        </w:rPr>
        <w:t>„</w:t>
      </w:r>
      <w:r w:rsidRPr="004C37D7">
        <w:rPr>
          <w:rFonts w:ascii="Times New Roman" w:hAnsi="Times New Roman"/>
          <w:sz w:val="24"/>
          <w:szCs w:val="24"/>
          <w:vertAlign w:val="superscript"/>
        </w:rPr>
        <w:t>56c</w:t>
      </w:r>
      <w:r w:rsidRPr="004C37D7">
        <w:rPr>
          <w:rFonts w:ascii="Times New Roman" w:hAnsi="Times New Roman"/>
          <w:sz w:val="24"/>
          <w:szCs w:val="24"/>
        </w:rPr>
        <w:t>) § 45 ods. 6 zákona č. 43/2004 Z. z. v znení zákona č. 183/2014 Z. z.“.</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16. V § 117 sa vypúšťa odsek 9.</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17. V § 168a ods. 1 sa za slovami „poberateľovi invalidného dôchodku podľa § 70 ods. 2“ čiarka nahrádza slovami „a na“ a vypúšťajú sa slová „a na vyrovnávací príplatok“.“.</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V súvislosti s navrhovanými zmenami sa vykoná prečíslovanie nasledujúcich bodov.</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r w:rsidRPr="004C37D7">
        <w:rPr>
          <w:rFonts w:ascii="Times New Roman" w:hAnsi="Times New Roman"/>
          <w:sz w:val="24"/>
          <w:szCs w:val="24"/>
        </w:rPr>
        <w:t>Navrhovaná úprava nadobúda účinnosť 1. januára 2020, čo sa premietne do článku o účinnosti.</w:t>
      </w:r>
    </w:p>
    <w:p w:rsidR="004C37D7" w:rsidRPr="004C37D7" w:rsidRDefault="004C37D7" w:rsidP="004C37D7">
      <w:pPr>
        <w:pStyle w:val="Odsekzoznamu"/>
        <w:widowControl/>
        <w:tabs>
          <w:tab w:val="left" w:pos="0"/>
          <w:tab w:val="left" w:pos="567"/>
        </w:tabs>
        <w:suppressAutoHyphens w:val="0"/>
        <w:ind w:left="350"/>
        <w:jc w:val="both"/>
        <w:textAlignment w:val="auto"/>
        <w:rPr>
          <w:rFonts w:ascii="Times New Roman" w:hAnsi="Times New Roman"/>
          <w:sz w:val="24"/>
          <w:szCs w:val="24"/>
        </w:rPr>
      </w:pPr>
    </w:p>
    <w:p w:rsidR="004C37D7" w:rsidRPr="004C37D7" w:rsidRDefault="004C37D7" w:rsidP="004C37D7">
      <w:pPr>
        <w:widowControl w:val="0"/>
        <w:autoSpaceDE w:val="0"/>
        <w:autoSpaceDN w:val="0"/>
        <w:adjustRightInd w:val="0"/>
        <w:ind w:left="2211" w:right="-6"/>
        <w:jc w:val="both"/>
        <w:rPr>
          <w:u w:val="single"/>
        </w:rPr>
      </w:pPr>
      <w:r w:rsidRPr="004C37D7">
        <w:rPr>
          <w:u w:val="single"/>
        </w:rPr>
        <w:t>K bodom 2 až 4, 6, 7, 10, 11, 13 až 17</w:t>
      </w:r>
    </w:p>
    <w:p w:rsidR="004C37D7" w:rsidRPr="004C37D7" w:rsidRDefault="004C37D7" w:rsidP="004C37D7">
      <w:pPr>
        <w:widowControl w:val="0"/>
        <w:autoSpaceDE w:val="0"/>
        <w:autoSpaceDN w:val="0"/>
        <w:adjustRightInd w:val="0"/>
        <w:ind w:left="2211" w:right="-6"/>
        <w:jc w:val="both"/>
      </w:pPr>
      <w:r w:rsidRPr="004C37D7">
        <w:t>Navrhujú sa legislatívno-technické úpravy, ktoré súvisia s vypustením právnej úpravy vyrovnávacieho príplatku a zavedením právnej úpravy určovania sumy starobného, predčasného alebo invalidného dôchodku dotknutej skupiny poistencov.</w:t>
      </w:r>
    </w:p>
    <w:p w:rsidR="004C37D7" w:rsidRPr="004C37D7" w:rsidRDefault="004C37D7" w:rsidP="004C37D7">
      <w:pPr>
        <w:widowControl w:val="0"/>
        <w:autoSpaceDE w:val="0"/>
        <w:autoSpaceDN w:val="0"/>
        <w:adjustRightInd w:val="0"/>
        <w:ind w:left="2211" w:right="-6"/>
        <w:jc w:val="both"/>
        <w:rPr>
          <w:u w:val="single"/>
        </w:rPr>
      </w:pPr>
    </w:p>
    <w:p w:rsidR="004C37D7" w:rsidRPr="004C37D7" w:rsidRDefault="004C37D7" w:rsidP="004C37D7">
      <w:pPr>
        <w:widowControl w:val="0"/>
        <w:autoSpaceDE w:val="0"/>
        <w:autoSpaceDN w:val="0"/>
        <w:adjustRightInd w:val="0"/>
        <w:ind w:left="2211" w:right="-6"/>
        <w:jc w:val="both"/>
        <w:rPr>
          <w:u w:val="single"/>
        </w:rPr>
      </w:pPr>
      <w:r w:rsidRPr="004C37D7">
        <w:rPr>
          <w:u w:val="single"/>
        </w:rPr>
        <w:t>K bodom 5 a 8 (§ 66a, 68a)</w:t>
      </w:r>
    </w:p>
    <w:p w:rsidR="004C37D7" w:rsidRPr="004C37D7" w:rsidRDefault="004C37D7" w:rsidP="004C37D7">
      <w:pPr>
        <w:widowControl w:val="0"/>
        <w:autoSpaceDE w:val="0"/>
        <w:autoSpaceDN w:val="0"/>
        <w:adjustRightInd w:val="0"/>
        <w:ind w:left="2211" w:right="-6"/>
        <w:jc w:val="both"/>
      </w:pPr>
      <w:r w:rsidRPr="004C37D7">
        <w:t xml:space="preserve">Navrhuje sa právna úprava určenia sumy starobného dôchodku poistencov, ktorí ku dňu rozdelenia ČSFR získali československé obdobie dôchodkového poistenia, za ktoré im bol priznaný starobný dôchodok alebo invalidný dôchodok podľa predpisov Českej republiky a po rozdelení ČSFR získali najmenej jeden rok dôchodkového poistenia podľa právnych predpisov Slovenskej republiky. Podmienka získania aspoň jedného roka dôchodkového poistenia podľa predpisov Slovenskej republiky sa navrhuje z dôvodu, že získaním tohto obdobia v minimálnom rozsahu sa preukazuje, v zásade v súlade s  nariadením  Európskeho parlamentu a Rady (ES) č. 883/2004 z 29. apríla 2004 o koordinácii systémov sociálneho zabezpečenia, príslušnosť dotknutých poistencov k systému dôchodkového poistenia Slovenskej republike. Na určenie sumy starobného dôchodku zostáva aj naďalej zachovaná podmienka priznania starobného dôchodku resp. invalidného dôchodku za československé obdobia dôchodkového poistenia Českou republikou. Táto podmienka je v súlade s judikatúrou súdov, podľa ktorej „starobný dôchodok je potrebné priznať v takej výške, aby súčet starobných dôchodkov z Českej republiky a Slovenskej republiky nebol nižší ako dôchodok poistenca, ktorý počas svojho produktívneho života získal rovnakú dobu poistenia a rovnaké príjmy len u zamestnávateľov, ktorí mali sídlo na území Slovenskej republiky“. Ustanovením tejto podmienky Slovenská republika  dobrovoľne preberá na seba väčšie finančné záväzky než aké jej vyplývajú zo Zmluvy medzi Slovenskou republikou a Českou republikou o sociálnom zabezpečení. Dotknutým poistencom sa v zmysle návrhu určí suma starobného dôchodku zodpovedajúca rozdielu medzi fiktívnou sumou starobného dôchodku určenou podľa predpisov Slovenskej republiky a sumou starobného alebo invalidného dôchodku vyplácaného podľa predpisov Českej republiky, pričom fiktívna suma starobného dôchodku sa bude určovať podľa právneho predpisu, podľa ktorého bol priznaný starobný </w:t>
      </w:r>
      <w:r w:rsidRPr="004C37D7">
        <w:lastRenderedPageBreak/>
        <w:t xml:space="preserve">dôchodok zo Slovenskej republiky (zákona č. 461/2003 Z. z. o sociálnom poistení, resp. zákona č. 100/1988 </w:t>
      </w:r>
      <w:proofErr w:type="spellStart"/>
      <w:r w:rsidRPr="004C37D7">
        <w:t>Sb</w:t>
      </w:r>
      <w:proofErr w:type="spellEnd"/>
      <w:r w:rsidRPr="004C37D7">
        <w:t>. o sociálnom zabezpečení), a to aj s prihliadnutím na dobu poistenia/zamestnania a vymeriavacie základy získané pred rozdelením ČSFR. Pri určení sumy starobného dôchodku sa navrhuje neprihliadať na úpravu českého starobného alebo invalidného dôchodku z dôvodu súbehu s inou dávkou alebo z dôvodu súbehu s príjmom zo zárobkovej činnosti. To znamená, že sa navrhuje, aby sa český dôchodok prepočítaný na eurá podľa referenčného výmenného kurzu určeného a vyhláseného Európskou centrálnou bankou, ktorý je platný ku dňu, ku ktorému sa určuje starobný dôchodok, podľa navrhovanej úpravy zohľadnil v neupravenej výške.</w:t>
      </w:r>
    </w:p>
    <w:p w:rsidR="004C37D7" w:rsidRPr="004C37D7" w:rsidRDefault="004C37D7" w:rsidP="004C37D7">
      <w:pPr>
        <w:widowControl w:val="0"/>
        <w:autoSpaceDE w:val="0"/>
        <w:autoSpaceDN w:val="0"/>
        <w:adjustRightInd w:val="0"/>
        <w:ind w:left="2211" w:right="-6"/>
        <w:jc w:val="both"/>
      </w:pPr>
      <w:r w:rsidRPr="004C37D7">
        <w:t>Súčasne sa navrhuje uplatňovať ochranný prvok spočívajúci v tom, že suma starobného dôchodku určená podľa novej právnej úpravy nesmie byť nižšia ako suma starobného dôchodku, ktorá je v súlade s nariadením Európskeho parlamentu a Rady (ES) č. 883/2004 z 29. apríla 2004 o koordinácii systémov sociálneho zabezpečenia určená podľa § 66.</w:t>
      </w:r>
    </w:p>
    <w:p w:rsidR="004C37D7" w:rsidRPr="004C37D7" w:rsidRDefault="004C37D7" w:rsidP="004C37D7">
      <w:pPr>
        <w:widowControl w:val="0"/>
        <w:autoSpaceDE w:val="0"/>
        <w:autoSpaceDN w:val="0"/>
        <w:adjustRightInd w:val="0"/>
        <w:ind w:left="2211" w:right="-6"/>
        <w:jc w:val="both"/>
      </w:pPr>
      <w:r w:rsidRPr="004C37D7">
        <w:t>Pri určení sumy predčasného starobného dôchodku dotknutej skupiny poistencov sa navrhuje uplatňovanie rovnakých pravidiel, ako pri určení sumy starobného dôchodku dotknutej skupiny poistencov.</w:t>
      </w:r>
    </w:p>
    <w:p w:rsidR="004C37D7" w:rsidRPr="004C37D7" w:rsidRDefault="004C37D7" w:rsidP="004C37D7">
      <w:pPr>
        <w:widowControl w:val="0"/>
        <w:autoSpaceDE w:val="0"/>
        <w:autoSpaceDN w:val="0"/>
        <w:adjustRightInd w:val="0"/>
        <w:ind w:left="2211" w:right="-6"/>
        <w:jc w:val="both"/>
        <w:rPr>
          <w:u w:val="single"/>
        </w:rPr>
      </w:pPr>
    </w:p>
    <w:p w:rsidR="004C37D7" w:rsidRPr="004C37D7" w:rsidRDefault="004C37D7" w:rsidP="004C37D7">
      <w:pPr>
        <w:widowControl w:val="0"/>
        <w:autoSpaceDE w:val="0"/>
        <w:autoSpaceDN w:val="0"/>
        <w:adjustRightInd w:val="0"/>
        <w:ind w:left="2211" w:right="-6"/>
        <w:jc w:val="both"/>
        <w:rPr>
          <w:u w:val="single"/>
        </w:rPr>
      </w:pPr>
      <w:r w:rsidRPr="004C37D7">
        <w:rPr>
          <w:u w:val="single"/>
        </w:rPr>
        <w:t xml:space="preserve">K bodu 9 (§ 69b až 69d) </w:t>
      </w:r>
    </w:p>
    <w:p w:rsidR="004C37D7" w:rsidRPr="004C37D7" w:rsidRDefault="004C37D7" w:rsidP="004C37D7">
      <w:pPr>
        <w:widowControl w:val="0"/>
        <w:autoSpaceDE w:val="0"/>
        <w:autoSpaceDN w:val="0"/>
        <w:adjustRightInd w:val="0"/>
        <w:ind w:left="2211" w:right="-6"/>
        <w:jc w:val="both"/>
      </w:pPr>
      <w:r w:rsidRPr="004C37D7">
        <w:t>Vzhľadom na novú právnu úpravu určovania sumy starobného, predčasného a invalidného dôchodku dotknutej skupiny poistencov sa navrhuje vypustenie právnej úpravy vyrovnávacieho príplatku.</w:t>
      </w:r>
    </w:p>
    <w:p w:rsidR="004C37D7" w:rsidRPr="004C37D7" w:rsidRDefault="004C37D7" w:rsidP="004C37D7">
      <w:pPr>
        <w:widowControl w:val="0"/>
        <w:autoSpaceDE w:val="0"/>
        <w:autoSpaceDN w:val="0"/>
        <w:adjustRightInd w:val="0"/>
        <w:ind w:left="2211" w:right="-6"/>
        <w:jc w:val="both"/>
        <w:rPr>
          <w:u w:val="single"/>
        </w:rPr>
      </w:pPr>
    </w:p>
    <w:p w:rsidR="004C37D7" w:rsidRPr="004C37D7" w:rsidRDefault="004C37D7" w:rsidP="004C37D7">
      <w:pPr>
        <w:widowControl w:val="0"/>
        <w:autoSpaceDE w:val="0"/>
        <w:autoSpaceDN w:val="0"/>
        <w:adjustRightInd w:val="0"/>
        <w:ind w:left="2211" w:right="-6"/>
        <w:jc w:val="both"/>
        <w:rPr>
          <w:u w:val="single"/>
        </w:rPr>
      </w:pPr>
      <w:r w:rsidRPr="004C37D7">
        <w:rPr>
          <w:u w:val="single"/>
        </w:rPr>
        <w:t>K bodu 12 (§ 73a)</w:t>
      </w:r>
    </w:p>
    <w:p w:rsidR="004C37D7" w:rsidRPr="004C37D7" w:rsidRDefault="004C37D7" w:rsidP="004C37D7">
      <w:pPr>
        <w:widowControl w:val="0"/>
        <w:autoSpaceDE w:val="0"/>
        <w:autoSpaceDN w:val="0"/>
        <w:adjustRightInd w:val="0"/>
        <w:ind w:left="2211" w:right="-6"/>
        <w:jc w:val="both"/>
      </w:pPr>
      <w:r w:rsidRPr="004C37D7">
        <w:t>Navrhuje sa právna úprava spôsobu výpočtu sumy invalidného dôchodku poistencov, ktorí ku dňu rozdelenia ČSFR získali československé obdobie dôchodkového poistenia, za ktoré sa im vypláca starobný alebo invalidný dôchodok podľa predpisov Českej republiky a po rozdelení ČSFR získali najmenej jeden rok obdobia dôchodkového poistenia podľa právnych predpisov Slovenskej republiky. Suma invalidného dôchodku sa určí podľa rovnakých pravidiel ako sa určuje suma starobného dôchodku. Podmienka poklesu zárobku na nárok na výplatu čiastočného invalidného dôchodku podľa predpisov účinných pred 1. januárom 2004 sa pre tieto účely považuje za splnenú. Navrhuje sa ochranný prvok spočívajúci v tom, že suma invalidného dôchodku určená podľa novej právnej úpravy nesmie byť nižšia ako suma invalidného dôchodku, ktorá je v súlade s nariadením Európskeho parlamentu a Rady (ES) č. 883/2004 z 29. apríla 2004 o koordinácii systémov sociálneho zabezpečenia určená podľa § 73.</w:t>
      </w:r>
    </w:p>
    <w:p w:rsidR="004C37D7" w:rsidRPr="004C37D7" w:rsidRDefault="004C37D7" w:rsidP="004C37D7">
      <w:pPr>
        <w:widowControl w:val="0"/>
        <w:autoSpaceDE w:val="0"/>
        <w:autoSpaceDN w:val="0"/>
        <w:adjustRightInd w:val="0"/>
        <w:ind w:left="2211" w:right="-6"/>
        <w:jc w:val="both"/>
      </w:pPr>
    </w:p>
    <w:p w:rsidR="004C37D7" w:rsidRPr="004C37D7" w:rsidRDefault="004C37D7" w:rsidP="004C37D7">
      <w:pPr>
        <w:widowControl w:val="0"/>
        <w:autoSpaceDE w:val="0"/>
        <w:autoSpaceDN w:val="0"/>
        <w:adjustRightInd w:val="0"/>
        <w:ind w:left="2211" w:right="-6"/>
        <w:jc w:val="both"/>
      </w:pPr>
      <w:r w:rsidRPr="004C37D7">
        <w:t xml:space="preserve">Súčasne sa navrhuje sa, aby vzhľadom na potrebu zabezpečenia dostatočne dlhej </w:t>
      </w:r>
      <w:proofErr w:type="spellStart"/>
      <w:r w:rsidRPr="004C37D7">
        <w:t>legisvakačnej</w:t>
      </w:r>
      <w:proofErr w:type="spellEnd"/>
      <w:r w:rsidRPr="004C37D7">
        <w:t xml:space="preserve"> lehoty na účely prípravy Sociálnej poisťovne na implementáciu novej právnej úpravy (vrátane prípravy technického zabezpečenia) navrhované zmeny nadobudli účinnosť 1. januára 2020.</w:t>
      </w:r>
    </w:p>
    <w:p w:rsidR="004C37D7" w:rsidRPr="004C37D7" w:rsidRDefault="004C37D7" w:rsidP="004C37D7">
      <w:pPr>
        <w:pStyle w:val="Odsekzoznamu"/>
        <w:widowControl/>
        <w:tabs>
          <w:tab w:val="left" w:pos="0"/>
        </w:tabs>
        <w:suppressAutoHyphens w:val="0"/>
        <w:ind w:left="0"/>
        <w:jc w:val="both"/>
        <w:textAlignment w:val="auto"/>
        <w:rPr>
          <w:rFonts w:ascii="Times New Roman" w:hAnsi="Times New Roman"/>
          <w:sz w:val="24"/>
          <w:szCs w:val="24"/>
        </w:rPr>
      </w:pPr>
    </w:p>
    <w:p w:rsidR="004C37D7" w:rsidRPr="004C37D7" w:rsidRDefault="004C37D7" w:rsidP="004C37D7">
      <w:pPr>
        <w:numPr>
          <w:ilvl w:val="0"/>
          <w:numId w:val="3"/>
        </w:numPr>
        <w:adjustRightInd w:val="0"/>
        <w:jc w:val="both"/>
      </w:pPr>
      <w:r w:rsidRPr="004C37D7">
        <w:lastRenderedPageBreak/>
        <w:t>V čl. I bode 2 doterajší text znie:</w:t>
      </w:r>
    </w:p>
    <w:p w:rsidR="004C37D7" w:rsidRPr="004C37D7" w:rsidRDefault="004C37D7" w:rsidP="004C37D7">
      <w:pPr>
        <w:pStyle w:val="Odsekzoznamu"/>
        <w:widowControl/>
        <w:tabs>
          <w:tab w:val="left" w:pos="0"/>
        </w:tabs>
        <w:ind w:left="360"/>
        <w:jc w:val="center"/>
        <w:rPr>
          <w:rFonts w:ascii="Times New Roman" w:hAnsi="Times New Roman"/>
          <w:b/>
          <w:sz w:val="24"/>
          <w:szCs w:val="24"/>
        </w:rPr>
      </w:pPr>
      <w:r w:rsidRPr="004C37D7">
        <w:rPr>
          <w:rFonts w:ascii="Times New Roman" w:hAnsi="Times New Roman"/>
          <w:b/>
          <w:sz w:val="24"/>
          <w:szCs w:val="24"/>
        </w:rPr>
        <w:t>„§ 293ej</w:t>
      </w:r>
    </w:p>
    <w:p w:rsidR="004C37D7" w:rsidRPr="004C37D7" w:rsidRDefault="004C37D7" w:rsidP="004C37D7">
      <w:pPr>
        <w:pStyle w:val="Odsekzoznamu"/>
        <w:widowControl/>
        <w:ind w:left="360"/>
        <w:jc w:val="center"/>
        <w:rPr>
          <w:rFonts w:ascii="Times New Roman" w:hAnsi="Times New Roman"/>
          <w:b/>
          <w:sz w:val="24"/>
          <w:szCs w:val="24"/>
        </w:rPr>
      </w:pPr>
      <w:r w:rsidRPr="004C37D7">
        <w:rPr>
          <w:rFonts w:ascii="Times New Roman" w:hAnsi="Times New Roman"/>
          <w:b/>
          <w:sz w:val="24"/>
          <w:szCs w:val="24"/>
        </w:rPr>
        <w:t>Prechodné ustanovenia k úprave účinnej od 1. januára 2020</w:t>
      </w: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r w:rsidRPr="004C37D7">
        <w:rPr>
          <w:rFonts w:ascii="Times New Roman" w:hAnsi="Times New Roman"/>
          <w:sz w:val="24"/>
          <w:szCs w:val="24"/>
        </w:rPr>
        <w:t>(1) Ak nárok na vyrovnávací príplatok vznikol pred 1. januárom 2020, podmienky nároku na vyrovnávací príplatok a na jeho výplatu sa posudzujú podľa tohto zákona v znení účinnom do 31. decembra 2019.</w:t>
      </w: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r w:rsidRPr="004C37D7">
        <w:rPr>
          <w:rFonts w:ascii="Times New Roman" w:hAnsi="Times New Roman"/>
          <w:sz w:val="24"/>
          <w:szCs w:val="24"/>
        </w:rPr>
        <w:t>(2) 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w:t>
      </w: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r w:rsidRPr="004C37D7">
        <w:rPr>
          <w:rFonts w:ascii="Times New Roman" w:hAnsi="Times New Roman"/>
          <w:sz w:val="24"/>
          <w:szCs w:val="24"/>
        </w:rPr>
        <w:t>(3) 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w:t>
      </w: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r w:rsidRPr="004C37D7">
        <w:rPr>
          <w:rFonts w:ascii="Times New Roman" w:hAnsi="Times New Roman"/>
          <w:sz w:val="24"/>
          <w:szCs w:val="24"/>
        </w:rPr>
        <w:t>(4) 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w:t>
      </w: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p>
    <w:p w:rsidR="004C37D7" w:rsidRPr="004C37D7" w:rsidRDefault="004C37D7" w:rsidP="004C37D7">
      <w:pPr>
        <w:pStyle w:val="Odsekzoznamu"/>
        <w:widowControl/>
        <w:tabs>
          <w:tab w:val="left" w:pos="0"/>
        </w:tabs>
        <w:suppressAutoHyphens w:val="0"/>
        <w:ind w:left="360"/>
        <w:jc w:val="both"/>
        <w:textAlignment w:val="auto"/>
        <w:rPr>
          <w:rFonts w:ascii="Times New Roman" w:hAnsi="Times New Roman"/>
          <w:sz w:val="24"/>
          <w:szCs w:val="24"/>
        </w:rPr>
      </w:pPr>
      <w:r w:rsidRPr="004C37D7">
        <w:rPr>
          <w:rFonts w:ascii="Times New Roman" w:hAnsi="Times New Roman"/>
          <w:sz w:val="24"/>
          <w:szCs w:val="24"/>
        </w:rPr>
        <w:t>(5) O určení sumy dôchodku podľa odseku 2 Sociálna poisťovňa rozhodne do šiestich mesiacov od začatia konania.“.</w:t>
      </w:r>
    </w:p>
    <w:p w:rsidR="004C37D7" w:rsidRPr="004C37D7" w:rsidRDefault="004C37D7" w:rsidP="004C37D7">
      <w:pPr>
        <w:tabs>
          <w:tab w:val="left" w:pos="2487"/>
        </w:tabs>
        <w:ind w:left="360"/>
        <w:jc w:val="both"/>
        <w:rPr>
          <w:lang w:eastAsia="en-US"/>
        </w:rPr>
      </w:pPr>
    </w:p>
    <w:p w:rsidR="004C37D7" w:rsidRPr="004C37D7" w:rsidRDefault="004C37D7" w:rsidP="004C37D7">
      <w:pPr>
        <w:widowControl w:val="0"/>
        <w:autoSpaceDE w:val="0"/>
        <w:autoSpaceDN w:val="0"/>
        <w:adjustRightInd w:val="0"/>
        <w:ind w:left="360" w:right="-6"/>
        <w:jc w:val="both"/>
      </w:pPr>
      <w:r w:rsidRPr="004C37D7">
        <w:t>Navrhovaná úprava nadobúda účinnosť 1. januára 2020, čo sa premietne do článku o účinnosti.</w:t>
      </w:r>
    </w:p>
    <w:p w:rsidR="004C37D7" w:rsidRPr="004C37D7" w:rsidRDefault="004C37D7" w:rsidP="004C37D7">
      <w:pPr>
        <w:widowControl w:val="0"/>
        <w:autoSpaceDE w:val="0"/>
        <w:autoSpaceDN w:val="0"/>
        <w:adjustRightInd w:val="0"/>
        <w:ind w:left="360" w:right="-6"/>
        <w:jc w:val="both"/>
      </w:pPr>
    </w:p>
    <w:p w:rsidR="004C37D7" w:rsidRPr="004C37D7" w:rsidRDefault="004C37D7" w:rsidP="004C37D7">
      <w:pPr>
        <w:widowControl w:val="0"/>
        <w:autoSpaceDE w:val="0"/>
        <w:autoSpaceDN w:val="0"/>
        <w:adjustRightInd w:val="0"/>
        <w:ind w:left="360" w:right="-6"/>
        <w:jc w:val="both"/>
      </w:pPr>
      <w:r w:rsidRPr="004C37D7">
        <w:t>V súvislosti s navrhovanou zmenou sa primerane upraví úvodná veta.</w:t>
      </w:r>
    </w:p>
    <w:p w:rsidR="004C37D7" w:rsidRPr="004C37D7" w:rsidRDefault="004C37D7" w:rsidP="004C37D7">
      <w:pPr>
        <w:tabs>
          <w:tab w:val="left" w:pos="2487"/>
        </w:tabs>
        <w:ind w:left="360"/>
        <w:jc w:val="both"/>
        <w:rPr>
          <w:lang w:eastAsia="en-US"/>
        </w:rPr>
      </w:pPr>
    </w:p>
    <w:p w:rsidR="004C37D7" w:rsidRPr="004C37D7" w:rsidRDefault="004C37D7" w:rsidP="004C37D7">
      <w:pPr>
        <w:widowControl w:val="0"/>
        <w:autoSpaceDE w:val="0"/>
        <w:autoSpaceDN w:val="0"/>
        <w:adjustRightInd w:val="0"/>
        <w:ind w:left="2211" w:right="-6"/>
        <w:jc w:val="both"/>
      </w:pPr>
      <w:r w:rsidRPr="004C37D7">
        <w:t xml:space="preserve">V § 293ej sa navrhuje, aby sa podmienky nároku na vyrovnávací príplatok a podmienky nároku na jeho výplatu poistencom, ktorým vznikne nárok na vyrovnávací príplatok pred nadobudnutím účinnosti tejto právnej úpravy, posudzovali podľa právnej úpravy účinnej do 31. decembra 2019. Ďalej sa navrhuje, aby dotknutým poistencom, ktorým vznikol nárok na starobný dôchodok, predčasný starobný dôchodok alebo invalidný dôchodok pred 1. januárom 2020, Sociálna poisťovňa určila sumu dôchodku podľa novej právnej úpravy len na ich žiadosť a len raz, a to ku dňu prvého vzniku nároku na výplatu dôchodku po 31. decembri 2019. Sociálna poisťovňa rozhodne o sume takéhoto starobného dôchodku, predčasného starobného dôchodku a invalidného dôchodku na základe žiadosti do šiestich mesiacov odo dňa začatia konania. Dĺžka lehoty je navrhovaná s prihliadnutím na administratívnu náročnosť. Priznaním dôchodku v sume podľa navrhovanej právnej </w:t>
      </w:r>
      <w:r w:rsidRPr="004C37D7">
        <w:lastRenderedPageBreak/>
        <w:t>úpravy nárok na vyrovnávací príplatok zo zákona zaniká, pričom ak sa prizná dôchodok určený podľa novej právnej úpravy aj za obdobie, v ktorom sa poistencovi vyplácal vyrovnávací príplatok, Sociálna poisťovňa zúčtuje za toto obdobie priznaný dôchodok s vyrovnávacím príplatkom.</w:t>
      </w:r>
    </w:p>
    <w:p w:rsidR="004C37D7" w:rsidRPr="004C37D7" w:rsidRDefault="004C37D7" w:rsidP="004C37D7">
      <w:pPr>
        <w:widowControl w:val="0"/>
        <w:autoSpaceDE w:val="0"/>
        <w:autoSpaceDN w:val="0"/>
        <w:adjustRightInd w:val="0"/>
        <w:ind w:left="2211" w:right="-6"/>
        <w:jc w:val="both"/>
      </w:pPr>
      <w:r w:rsidRPr="004C37D7">
        <w:t>Suma starobného dôchodku a predčasného starobného dôchodku určená podľa novej právnej úpravy pritom nesmie byť nižšia ako úhrn sumy starobného dôchodku alebo predčasného starobného dôchodku a sumy vyrovnávacieho príplatku. To znamená, že pri určení sumy starobného dôchodku a predčasného starobného dôchodku podľa novej právnej úpravy sa v záujme nezhoršenia postavenia poistenca navrhuje, aby suma starobného dôchodku a predčasného starobného dôchodku podľa novej právnej úpravy zodpovedala minimálne sume úhrnu starobného dôchodku alebo predčasného starobného dôchodku a vyrovnávacieho príplatku, na ktoré mal poistenec nárok ku dňu určenia sumy dôchodku podľa navrhovanej právnej úpravy.</w:t>
      </w:r>
    </w:p>
    <w:p w:rsidR="004C37D7" w:rsidRPr="004C37D7" w:rsidRDefault="004C37D7" w:rsidP="004C37D7">
      <w:pPr>
        <w:widowControl w:val="0"/>
        <w:autoSpaceDE w:val="0"/>
        <w:autoSpaceDN w:val="0"/>
        <w:adjustRightInd w:val="0"/>
        <w:ind w:left="2211" w:right="-6"/>
        <w:jc w:val="both"/>
      </w:pPr>
    </w:p>
    <w:p w:rsidR="004C37D7" w:rsidRPr="004C37D7" w:rsidRDefault="004C37D7" w:rsidP="004C37D7">
      <w:pPr>
        <w:widowControl w:val="0"/>
        <w:autoSpaceDE w:val="0"/>
        <w:autoSpaceDN w:val="0"/>
        <w:adjustRightInd w:val="0"/>
        <w:ind w:left="2211" w:right="-6"/>
        <w:jc w:val="both"/>
      </w:pPr>
      <w:r w:rsidRPr="004C37D7">
        <w:t xml:space="preserve">Súčasne sa navrhuje sa, aby vzhľadom na potrebu zabezpečenia dostatočne dlhej </w:t>
      </w:r>
      <w:proofErr w:type="spellStart"/>
      <w:r w:rsidRPr="004C37D7">
        <w:t>legisvakačnej</w:t>
      </w:r>
      <w:proofErr w:type="spellEnd"/>
      <w:r w:rsidRPr="004C37D7">
        <w:t xml:space="preserve"> lehoty na účely prípravy Sociálnej poisťovne na implementáciu novej právnej úpravy (vrátane prípravy technického zabezpečenia) navrhované zmeny nadobudli účinnosť 1. januára 2020.</w:t>
      </w:r>
    </w:p>
    <w:p w:rsidR="004C37D7" w:rsidRPr="004C37D7" w:rsidRDefault="004C37D7" w:rsidP="004C37D7"/>
    <w:p w:rsidR="00B14438" w:rsidRPr="004C37D7" w:rsidRDefault="00B14438">
      <w:bookmarkStart w:id="0" w:name="_GoBack"/>
      <w:bookmarkEnd w:id="0"/>
    </w:p>
    <w:sectPr w:rsidR="00B14438" w:rsidRPr="004C3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0CF"/>
    <w:multiLevelType w:val="hybridMultilevel"/>
    <w:tmpl w:val="F600F620"/>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2AC156E4"/>
    <w:multiLevelType w:val="hybridMultilevel"/>
    <w:tmpl w:val="28EE8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854FB2"/>
    <w:multiLevelType w:val="hybridMultilevel"/>
    <w:tmpl w:val="4DB8EE22"/>
    <w:lvl w:ilvl="0" w:tplc="F592AB96">
      <w:start w:val="1"/>
      <w:numFmt w:val="lowerLetter"/>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 w15:restartNumberingAfterBreak="0">
    <w:nsid w:val="4BB22B81"/>
    <w:multiLevelType w:val="hybridMultilevel"/>
    <w:tmpl w:val="7A1293C8"/>
    <w:lvl w:ilvl="0" w:tplc="C30AD87E">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E4B2D37"/>
    <w:multiLevelType w:val="hybridMultilevel"/>
    <w:tmpl w:val="B4CEE1C8"/>
    <w:lvl w:ilvl="0" w:tplc="6B2CF258">
      <w:start w:val="1"/>
      <w:numFmt w:val="lowerLetter"/>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FB"/>
    <w:rsid w:val="000947FB"/>
    <w:rsid w:val="00207DE5"/>
    <w:rsid w:val="002E514C"/>
    <w:rsid w:val="003A241D"/>
    <w:rsid w:val="00492FF8"/>
    <w:rsid w:val="004C37D7"/>
    <w:rsid w:val="005F11B4"/>
    <w:rsid w:val="00762790"/>
    <w:rsid w:val="007B64A7"/>
    <w:rsid w:val="0087646A"/>
    <w:rsid w:val="00B14438"/>
    <w:rsid w:val="00C97CBE"/>
    <w:rsid w:val="00D0481A"/>
    <w:rsid w:val="00EC51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04EDD-FA53-4A07-ACB3-2CFEB777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47FB"/>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0947FB"/>
    <w:pPr>
      <w:keepNext/>
      <w:ind w:left="4500" w:firstLine="456"/>
      <w:jc w:val="both"/>
      <w:outlineLvl w:val="1"/>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0947FB"/>
    <w:rPr>
      <w:rFonts w:ascii="Times New Roman" w:eastAsia="Times New Roman" w:hAnsi="Times New Roman" w:cs="Times New Roman"/>
      <w:b/>
      <w:bCs/>
      <w:sz w:val="24"/>
      <w:szCs w:val="24"/>
    </w:rPr>
  </w:style>
  <w:style w:type="paragraph" w:styleId="Zkladntext">
    <w:name w:val="Body Text"/>
    <w:basedOn w:val="Normlny"/>
    <w:link w:val="ZkladntextChar"/>
    <w:uiPriority w:val="99"/>
    <w:semiHidden/>
    <w:unhideWhenUsed/>
    <w:rsid w:val="000947FB"/>
    <w:pPr>
      <w:jc w:val="both"/>
    </w:pPr>
  </w:style>
  <w:style w:type="character" w:customStyle="1" w:styleId="ZkladntextChar">
    <w:name w:val="Základný text Char"/>
    <w:basedOn w:val="Predvolenpsmoodseku"/>
    <w:link w:val="Zkladntext"/>
    <w:uiPriority w:val="99"/>
    <w:semiHidden/>
    <w:rsid w:val="000947FB"/>
    <w:rPr>
      <w:rFonts w:ascii="Times New Roman" w:eastAsia="Times New Roman" w:hAnsi="Times New Roman" w:cs="Times New Roman"/>
      <w:sz w:val="24"/>
      <w:szCs w:val="24"/>
      <w:lang w:eastAsia="sk-SK"/>
    </w:rPr>
  </w:style>
  <w:style w:type="paragraph" w:customStyle="1" w:styleId="TxBrp9">
    <w:name w:val="TxBr_p9"/>
    <w:basedOn w:val="Normlny"/>
    <w:rsid w:val="000947FB"/>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0947FB"/>
    <w:pPr>
      <w:widowControl w:val="0"/>
      <w:tabs>
        <w:tab w:val="left" w:pos="1020"/>
      </w:tabs>
      <w:autoSpaceDE w:val="0"/>
      <w:autoSpaceDN w:val="0"/>
      <w:adjustRightInd w:val="0"/>
      <w:spacing w:line="240" w:lineRule="atLeast"/>
      <w:ind w:left="346"/>
      <w:jc w:val="both"/>
    </w:pPr>
    <w:rPr>
      <w:sz w:val="20"/>
      <w:lang w:val="en-US"/>
    </w:rPr>
  </w:style>
  <w:style w:type="paragraph" w:styleId="Odsekzoznamu">
    <w:name w:val="List Paragraph"/>
    <w:aliases w:val="body,Odsek zoznamu2,Odsek,Odsek zoznamu1"/>
    <w:basedOn w:val="Normlny"/>
    <w:link w:val="OdsekzoznamuChar"/>
    <w:uiPriority w:val="34"/>
    <w:qFormat/>
    <w:rsid w:val="004C37D7"/>
    <w:pPr>
      <w:widowControl w:val="0"/>
      <w:suppressAutoHyphens/>
      <w:autoSpaceDN w:val="0"/>
      <w:ind w:left="720"/>
      <w:textAlignment w:val="baseline"/>
    </w:pPr>
    <w:rPr>
      <w:rFonts w:ascii="Calibri" w:eastAsiaTheme="minorEastAsia" w:hAnsi="Calibri"/>
      <w:kern w:val="3"/>
      <w:sz w:val="22"/>
      <w:szCs w:val="22"/>
    </w:rPr>
  </w:style>
  <w:style w:type="character" w:customStyle="1" w:styleId="OdsekzoznamuChar">
    <w:name w:val="Odsek zoznamu Char"/>
    <w:aliases w:val="body Char,Odsek zoznamu2 Char,Odsek Char,Odsek zoznamu1 Char"/>
    <w:link w:val="Odsekzoznamu"/>
    <w:uiPriority w:val="34"/>
    <w:locked/>
    <w:rsid w:val="004C37D7"/>
    <w:rPr>
      <w:rFonts w:ascii="Calibri" w:eastAsiaTheme="minorEastAsia" w:hAnsi="Calibri" w:cs="Times New Roman"/>
      <w:kern w:val="3"/>
      <w:lang w:eastAsia="sk-SK"/>
    </w:rPr>
  </w:style>
  <w:style w:type="paragraph" w:styleId="Textbubliny">
    <w:name w:val="Balloon Text"/>
    <w:basedOn w:val="Normlny"/>
    <w:link w:val="TextbublinyChar"/>
    <w:uiPriority w:val="99"/>
    <w:semiHidden/>
    <w:unhideWhenUsed/>
    <w:rsid w:val="008764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646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662">
      <w:bodyDiv w:val="1"/>
      <w:marLeft w:val="0"/>
      <w:marRight w:val="0"/>
      <w:marTop w:val="0"/>
      <w:marBottom w:val="0"/>
      <w:divBdr>
        <w:top w:val="none" w:sz="0" w:space="0" w:color="auto"/>
        <w:left w:val="none" w:sz="0" w:space="0" w:color="auto"/>
        <w:bottom w:val="none" w:sz="0" w:space="0" w:color="auto"/>
        <w:right w:val="none" w:sz="0" w:space="0" w:color="auto"/>
      </w:divBdr>
    </w:div>
    <w:div w:id="12643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2643</Words>
  <Characters>15066</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dc:creator>
  <cp:keywords/>
  <dc:description/>
  <cp:lastModifiedBy>Ebringerová, Viera</cp:lastModifiedBy>
  <cp:revision>12</cp:revision>
  <cp:lastPrinted>2019-03-19T10:59:00Z</cp:lastPrinted>
  <dcterms:created xsi:type="dcterms:W3CDTF">2019-02-13T12:00:00Z</dcterms:created>
  <dcterms:modified xsi:type="dcterms:W3CDTF">2019-03-19T10:59:00Z</dcterms:modified>
</cp:coreProperties>
</file>