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E6B41">
        <w:rPr>
          <w:sz w:val="22"/>
          <w:szCs w:val="22"/>
        </w:rPr>
        <w:t>498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6B41">
      <w:pPr>
        <w:pStyle w:val="rozhodnutia"/>
      </w:pPr>
      <w:r>
        <w:t>1420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6B41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E6B41">
        <w:rPr>
          <w:rFonts w:cs="Arial"/>
          <w:szCs w:val="22"/>
        </w:rPr>
        <w:t>Evy SMOLÍKOVEJ, Tibora BERNAŤÁKA, Jaroslava PAŠKU a Antona HRNKA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E6B41">
        <w:rPr>
          <w:rFonts w:cs="Arial"/>
          <w:szCs w:val="22"/>
        </w:rPr>
        <w:t xml:space="preserve">zákon č. 185/2009 Z. z. o stimuloch pre výskum a vývoj a o doplnení zákona </w:t>
      </w:r>
      <w:r w:rsidR="002E6B41">
        <w:rPr>
          <w:rFonts w:cs="Arial"/>
          <w:szCs w:val="22"/>
        </w:rPr>
        <w:br/>
        <w:t>č. 595/2003 Z. z. o dani z príjmov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6B41">
        <w:rPr>
          <w:rFonts w:cs="Arial"/>
          <w:szCs w:val="22"/>
        </w:rPr>
        <w:t>1343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E6B41">
        <w:rPr>
          <w:rFonts w:cs="Arial"/>
          <w:szCs w:val="22"/>
        </w:rPr>
        <w:t>6.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36926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36926">
        <w:rPr>
          <w:rFonts w:ascii="Arial" w:hAnsi="Arial" w:cs="Arial"/>
          <w:sz w:val="22"/>
          <w:szCs w:val="22"/>
        </w:rPr>
        <w:t>hospodárske záležitosti a</w:t>
      </w:r>
    </w:p>
    <w:p w:rsidR="00236926" w:rsidRDefault="0023692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236926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36926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2E6B41" w:rsidRDefault="00EF4E86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p w:rsidR="002E6B41" w:rsidRDefault="002E6B41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2E6B41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36926"/>
    <w:rsid w:val="00244D40"/>
    <w:rsid w:val="00294C93"/>
    <w:rsid w:val="002B2F61"/>
    <w:rsid w:val="002C7297"/>
    <w:rsid w:val="002E6B41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321C9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93C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2019-03-11T09:23:00Z</cp:lastPrinted>
  <dcterms:created xsi:type="dcterms:W3CDTF">2019-03-11T08:44:00Z</dcterms:created>
  <dcterms:modified xsi:type="dcterms:W3CDTF">2019-03-11T09:24:00Z</dcterms:modified>
</cp:coreProperties>
</file>