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F73" w:rsidRDefault="00277F73" w:rsidP="00043D8B">
      <w:pPr>
        <w:pStyle w:val="Nadpis2"/>
        <w:spacing w:after="51"/>
        <w:ind w:right="2"/>
        <w:jc w:val="center"/>
      </w:pPr>
      <w:bookmarkStart w:id="0" w:name="_GoBack"/>
      <w:bookmarkEnd w:id="0"/>
      <w:r>
        <w:t>Legislatívny a pracovný program EK na rok 2019</w:t>
      </w:r>
    </w:p>
    <w:p w:rsidR="00043D8B" w:rsidRDefault="00043D8B" w:rsidP="00043D8B">
      <w:pPr>
        <w:pStyle w:val="Nadpis2"/>
        <w:spacing w:after="51"/>
        <w:ind w:right="2"/>
        <w:jc w:val="center"/>
      </w:pPr>
      <w:r>
        <w:t xml:space="preserve">Príloha I: Nové iniciatívy </w:t>
      </w:r>
    </w:p>
    <w:tbl>
      <w:tblPr>
        <w:tblStyle w:val="ablnaChar"/>
        <w:tblW w:w="14537" w:type="dxa"/>
        <w:tblInd w:w="-83" w:type="dxa"/>
        <w:tblCellMar>
          <w:top w:w="61" w:type="dxa"/>
          <w:left w:w="83" w:type="dxa"/>
          <w:right w:w="32" w:type="dxa"/>
        </w:tblCellMar>
        <w:tblLook w:val="04A0" w:firstRow="1" w:lastRow="0" w:firstColumn="1" w:lastColumn="0" w:noHBand="0" w:noVBand="1"/>
      </w:tblPr>
      <w:tblGrid>
        <w:gridCol w:w="541"/>
        <w:gridCol w:w="1805"/>
        <w:gridCol w:w="2268"/>
        <w:gridCol w:w="4536"/>
        <w:gridCol w:w="1418"/>
        <w:gridCol w:w="3969"/>
      </w:tblGrid>
      <w:tr w:rsidR="00043D8B" w:rsidTr="00043D8B">
        <w:trPr>
          <w:trHeight w:val="374"/>
        </w:trPr>
        <w:tc>
          <w:tcPr>
            <w:tcW w:w="541" w:type="dxa"/>
            <w:tcBorders>
              <w:top w:val="single" w:sz="4" w:space="0" w:color="000000"/>
              <w:left w:val="single" w:sz="4" w:space="0" w:color="000000"/>
              <w:bottom w:val="single" w:sz="34" w:space="0" w:color="92D050"/>
              <w:right w:val="single" w:sz="4" w:space="0" w:color="000000"/>
            </w:tcBorders>
            <w:shd w:val="clear" w:color="auto" w:fill="99CCFF"/>
          </w:tcPr>
          <w:p w:rsidR="00043D8B" w:rsidRDefault="00043D8B" w:rsidP="00043D8B">
            <w:pPr>
              <w:ind w:right="55"/>
              <w:jc w:val="center"/>
            </w:pPr>
            <w:r>
              <w:rPr>
                <w:rFonts w:ascii="Times New Roman" w:hAnsi="Times New Roman"/>
                <w:b/>
                <w:sz w:val="20"/>
              </w:rPr>
              <w:t xml:space="preserve">Č. </w:t>
            </w:r>
          </w:p>
        </w:tc>
        <w:tc>
          <w:tcPr>
            <w:tcW w:w="1805" w:type="dxa"/>
            <w:tcBorders>
              <w:top w:val="single" w:sz="4" w:space="0" w:color="000000"/>
              <w:left w:val="single" w:sz="4" w:space="0" w:color="000000"/>
              <w:bottom w:val="single" w:sz="34" w:space="0" w:color="92D050"/>
              <w:right w:val="single" w:sz="4" w:space="0" w:color="000000"/>
            </w:tcBorders>
            <w:shd w:val="clear" w:color="auto" w:fill="99CCFF"/>
          </w:tcPr>
          <w:p w:rsidR="00043D8B" w:rsidRDefault="00043D8B" w:rsidP="00043D8B">
            <w:pPr>
              <w:ind w:right="54"/>
              <w:jc w:val="center"/>
            </w:pPr>
            <w:r>
              <w:rPr>
                <w:rFonts w:ascii="Times New Roman" w:hAnsi="Times New Roman"/>
                <w:b/>
                <w:sz w:val="20"/>
              </w:rPr>
              <w:t xml:space="preserve">Názov </w:t>
            </w:r>
          </w:p>
        </w:tc>
        <w:tc>
          <w:tcPr>
            <w:tcW w:w="2268" w:type="dxa"/>
            <w:tcBorders>
              <w:top w:val="single" w:sz="4" w:space="0" w:color="000000"/>
              <w:left w:val="single" w:sz="4" w:space="0" w:color="000000"/>
              <w:bottom w:val="single" w:sz="34" w:space="0" w:color="92D050"/>
              <w:right w:val="single" w:sz="4" w:space="0" w:color="000000"/>
            </w:tcBorders>
            <w:shd w:val="clear" w:color="auto" w:fill="99CCFF"/>
          </w:tcPr>
          <w:p w:rsidR="00043D8B" w:rsidRDefault="00043D8B" w:rsidP="00043D8B">
            <w:pPr>
              <w:ind w:right="50"/>
              <w:jc w:val="center"/>
            </w:pPr>
            <w:r>
              <w:rPr>
                <w:rFonts w:ascii="Times New Roman" w:hAnsi="Times New Roman"/>
                <w:b/>
                <w:sz w:val="20"/>
              </w:rPr>
              <w:t>Typ Iniciatívy</w:t>
            </w:r>
            <w:r>
              <w:rPr>
                <w:rFonts w:ascii="Times New Roman" w:hAnsi="Times New Roman"/>
                <w:b/>
                <w:sz w:val="20"/>
                <w:vertAlign w:val="superscript"/>
              </w:rPr>
              <w:footnoteReference w:id="1"/>
            </w:r>
            <w:r>
              <w:rPr>
                <w:rFonts w:ascii="Times New Roman" w:hAnsi="Times New Roman"/>
                <w:b/>
                <w:sz w:val="20"/>
              </w:rPr>
              <w:t xml:space="preserve">  </w:t>
            </w:r>
          </w:p>
        </w:tc>
        <w:tc>
          <w:tcPr>
            <w:tcW w:w="4536" w:type="dxa"/>
            <w:tcBorders>
              <w:top w:val="single" w:sz="4" w:space="0" w:color="000000"/>
              <w:left w:val="single" w:sz="4" w:space="0" w:color="000000"/>
              <w:bottom w:val="single" w:sz="34" w:space="0" w:color="92D050"/>
              <w:right w:val="single" w:sz="4" w:space="0" w:color="000000"/>
            </w:tcBorders>
            <w:shd w:val="clear" w:color="auto" w:fill="99CCFF"/>
          </w:tcPr>
          <w:p w:rsidR="00043D8B" w:rsidRDefault="00043D8B" w:rsidP="00043D8B">
            <w:pPr>
              <w:ind w:right="50"/>
              <w:jc w:val="center"/>
              <w:rPr>
                <w:rFonts w:ascii="Times New Roman" w:hAnsi="Times New Roman"/>
                <w:b/>
                <w:sz w:val="20"/>
              </w:rPr>
            </w:pPr>
            <w:r>
              <w:rPr>
                <w:rFonts w:ascii="Times New Roman" w:hAnsi="Times New Roman"/>
                <w:b/>
                <w:sz w:val="20"/>
              </w:rPr>
              <w:t>Opis</w:t>
            </w:r>
          </w:p>
        </w:tc>
        <w:tc>
          <w:tcPr>
            <w:tcW w:w="1418" w:type="dxa"/>
            <w:tcBorders>
              <w:top w:val="single" w:sz="4" w:space="0" w:color="000000"/>
              <w:left w:val="single" w:sz="4" w:space="0" w:color="000000"/>
              <w:bottom w:val="single" w:sz="34" w:space="0" w:color="92D050"/>
              <w:right w:val="single" w:sz="4" w:space="0" w:color="000000"/>
            </w:tcBorders>
            <w:shd w:val="clear" w:color="auto" w:fill="99CCFF"/>
          </w:tcPr>
          <w:p w:rsidR="00043D8B" w:rsidRPr="0071778D" w:rsidRDefault="00043D8B" w:rsidP="00043D8B">
            <w:pPr>
              <w:ind w:right="50"/>
              <w:jc w:val="center"/>
              <w:rPr>
                <w:rFonts w:ascii="Times New Roman" w:hAnsi="Times New Roman"/>
                <w:b/>
                <w:sz w:val="20"/>
              </w:rPr>
            </w:pPr>
            <w:r w:rsidRPr="0071778D">
              <w:rPr>
                <w:rFonts w:ascii="Times New Roman" w:hAnsi="Times New Roman"/>
                <w:b/>
                <w:sz w:val="20"/>
              </w:rPr>
              <w:t>Gestor</w:t>
            </w:r>
          </w:p>
        </w:tc>
        <w:tc>
          <w:tcPr>
            <w:tcW w:w="3969" w:type="dxa"/>
            <w:tcBorders>
              <w:top w:val="single" w:sz="4" w:space="0" w:color="000000"/>
              <w:left w:val="single" w:sz="4" w:space="0" w:color="000000"/>
              <w:bottom w:val="single" w:sz="34" w:space="0" w:color="92D050"/>
              <w:right w:val="single" w:sz="4" w:space="0" w:color="000000"/>
            </w:tcBorders>
            <w:shd w:val="clear" w:color="auto" w:fill="99CCFF"/>
          </w:tcPr>
          <w:p w:rsidR="00043D8B" w:rsidRPr="0071778D" w:rsidRDefault="00043D8B" w:rsidP="00043D8B">
            <w:pPr>
              <w:ind w:right="50"/>
              <w:jc w:val="both"/>
              <w:rPr>
                <w:rFonts w:ascii="Times New Roman" w:hAnsi="Times New Roman"/>
                <w:b/>
                <w:sz w:val="20"/>
                <w:szCs w:val="20"/>
              </w:rPr>
            </w:pPr>
            <w:r w:rsidRPr="0071778D">
              <w:rPr>
                <w:rFonts w:ascii="Times New Roman" w:hAnsi="Times New Roman"/>
                <w:b/>
                <w:sz w:val="20"/>
                <w:szCs w:val="20"/>
              </w:rPr>
              <w:t xml:space="preserve">Stupeň priority a pozícia SR </w:t>
            </w:r>
          </w:p>
        </w:tc>
      </w:tr>
      <w:tr w:rsidR="00B1660F" w:rsidTr="00DE6A1C">
        <w:trPr>
          <w:trHeight w:val="497"/>
        </w:trPr>
        <w:tc>
          <w:tcPr>
            <w:tcW w:w="14537" w:type="dxa"/>
            <w:gridSpan w:val="6"/>
            <w:tcBorders>
              <w:top w:val="single" w:sz="34" w:space="0" w:color="92D050"/>
              <w:left w:val="single" w:sz="4" w:space="0" w:color="000000"/>
              <w:bottom w:val="single" w:sz="4" w:space="0" w:color="000000"/>
              <w:right w:val="single" w:sz="4" w:space="0" w:color="000000"/>
            </w:tcBorders>
            <w:shd w:val="clear" w:color="auto" w:fill="92D050"/>
            <w:vAlign w:val="center"/>
          </w:tcPr>
          <w:p w:rsidR="00B1660F" w:rsidRPr="0071778D" w:rsidRDefault="00B1660F" w:rsidP="00043D8B">
            <w:pPr>
              <w:jc w:val="both"/>
              <w:rPr>
                <w:rFonts w:ascii="Times New Roman" w:hAnsi="Times New Roman"/>
                <w:b/>
                <w:sz w:val="20"/>
                <w:szCs w:val="20"/>
              </w:rPr>
            </w:pPr>
            <w:r>
              <w:rPr>
                <w:rFonts w:ascii="Times New Roman" w:hAnsi="Times New Roman"/>
                <w:b/>
                <w:sz w:val="20"/>
              </w:rPr>
              <w:t xml:space="preserve">Nový impulz pre zamestnanosť, rast a investície </w:t>
            </w:r>
          </w:p>
        </w:tc>
      </w:tr>
      <w:tr w:rsidR="00043D8B" w:rsidTr="00043D8B">
        <w:trPr>
          <w:trHeight w:val="1145"/>
        </w:trPr>
        <w:tc>
          <w:tcPr>
            <w:tcW w:w="541" w:type="dxa"/>
            <w:tcBorders>
              <w:top w:val="single" w:sz="4" w:space="0" w:color="000000"/>
              <w:left w:val="single" w:sz="4" w:space="0" w:color="000000"/>
              <w:bottom w:val="single" w:sz="34" w:space="0" w:color="B2B2B2"/>
              <w:right w:val="single" w:sz="4" w:space="0" w:color="000000"/>
            </w:tcBorders>
            <w:vAlign w:val="center"/>
          </w:tcPr>
          <w:p w:rsidR="00043D8B" w:rsidRDefault="00043D8B" w:rsidP="003847E2">
            <w:pPr>
              <w:spacing w:after="0"/>
            </w:pPr>
            <w:r>
              <w:rPr>
                <w:rFonts w:ascii="Times New Roman" w:hAnsi="Times New Roman"/>
                <w:sz w:val="20"/>
              </w:rPr>
              <w:t>1.</w:t>
            </w:r>
            <w:r>
              <w:rPr>
                <w:rFonts w:ascii="Arial" w:hAnsi="Arial" w:cs="Arial"/>
                <w:sz w:val="20"/>
              </w:rPr>
              <w:t xml:space="preserve"> </w:t>
            </w:r>
          </w:p>
        </w:tc>
        <w:tc>
          <w:tcPr>
            <w:tcW w:w="1805" w:type="dxa"/>
            <w:tcBorders>
              <w:top w:val="single" w:sz="4" w:space="0" w:color="000000"/>
              <w:left w:val="single" w:sz="4" w:space="0" w:color="000000"/>
              <w:bottom w:val="single" w:sz="34" w:space="0" w:color="B2B2B2"/>
              <w:right w:val="single" w:sz="4" w:space="0" w:color="000000"/>
            </w:tcBorders>
            <w:vAlign w:val="center"/>
          </w:tcPr>
          <w:p w:rsidR="00043D8B" w:rsidRDefault="00043D8B" w:rsidP="003847E2">
            <w:pPr>
              <w:spacing w:after="0"/>
              <w:ind w:left="1"/>
            </w:pPr>
            <w:r>
              <w:rPr>
                <w:rFonts w:ascii="Times New Roman" w:hAnsi="Times New Roman"/>
                <w:b/>
                <w:sz w:val="20"/>
              </w:rPr>
              <w:t>Oznámenie o investičnom pláne pre Európu</w:t>
            </w:r>
          </w:p>
        </w:tc>
        <w:tc>
          <w:tcPr>
            <w:tcW w:w="2268" w:type="dxa"/>
            <w:tcBorders>
              <w:top w:val="single" w:sz="4" w:space="0" w:color="000000"/>
              <w:left w:val="single" w:sz="4" w:space="0" w:color="000000"/>
              <w:bottom w:val="single" w:sz="34" w:space="0" w:color="B2B2B2"/>
              <w:right w:val="single" w:sz="4" w:space="0" w:color="000000"/>
            </w:tcBorders>
            <w:vAlign w:val="center"/>
          </w:tcPr>
          <w:p w:rsidR="00043D8B" w:rsidRDefault="00043D8B" w:rsidP="003847E2">
            <w:pPr>
              <w:spacing w:after="0"/>
              <w:ind w:left="2"/>
            </w:pPr>
            <w:r>
              <w:rPr>
                <w:rFonts w:ascii="Times New Roman" w:hAnsi="Times New Roman"/>
                <w:b/>
                <w:sz w:val="20"/>
              </w:rPr>
              <w:t xml:space="preserve"> </w:t>
            </w:r>
            <w:r>
              <w:rPr>
                <w:rFonts w:ascii="Times New Roman" w:hAnsi="Times New Roman"/>
                <w:sz w:val="20"/>
              </w:rPr>
              <w:t>(nelegislatívna iniciatíva, 4. štvrťrok 2018)</w:t>
            </w:r>
            <w:r>
              <w:rPr>
                <w:rFonts w:ascii="Times New Roman" w:hAnsi="Times New Roman"/>
                <w:b/>
                <w:sz w:val="20"/>
              </w:rPr>
              <w:t xml:space="preserve"> </w:t>
            </w:r>
          </w:p>
        </w:tc>
        <w:tc>
          <w:tcPr>
            <w:tcW w:w="4536" w:type="dxa"/>
            <w:tcBorders>
              <w:top w:val="single" w:sz="4" w:space="0" w:color="000000"/>
              <w:left w:val="single" w:sz="4" w:space="0" w:color="000000"/>
              <w:bottom w:val="single" w:sz="34" w:space="0" w:color="B2B2B2"/>
              <w:right w:val="single" w:sz="4" w:space="0" w:color="000000"/>
            </w:tcBorders>
          </w:tcPr>
          <w:p w:rsidR="00043D8B" w:rsidRDefault="00043D8B" w:rsidP="003847E2">
            <w:pPr>
              <w:spacing w:after="0"/>
              <w:ind w:left="2"/>
              <w:rPr>
                <w:rFonts w:ascii="Times New Roman" w:hAnsi="Times New Roman"/>
                <w:b/>
                <w:sz w:val="20"/>
              </w:rPr>
            </w:pPr>
            <w:r>
              <w:rPr>
                <w:rFonts w:ascii="Times New Roman" w:hAnsi="Times New Roman"/>
                <w:b/>
                <w:sz w:val="20"/>
              </w:rPr>
              <w:t>hodnotenie a ďalšie kroky  - umožnime Európe znovu investovať</w:t>
            </w:r>
          </w:p>
        </w:tc>
        <w:tc>
          <w:tcPr>
            <w:tcW w:w="1418" w:type="dxa"/>
            <w:tcBorders>
              <w:top w:val="single" w:sz="4" w:space="0" w:color="000000"/>
              <w:left w:val="single" w:sz="4" w:space="0" w:color="000000"/>
              <w:bottom w:val="single" w:sz="34" w:space="0" w:color="B2B2B2"/>
              <w:right w:val="single" w:sz="4" w:space="0" w:color="000000"/>
            </w:tcBorders>
          </w:tcPr>
          <w:p w:rsidR="00043D8B" w:rsidRPr="0071778D" w:rsidRDefault="00043D8B" w:rsidP="003847E2">
            <w:pPr>
              <w:spacing w:after="0"/>
              <w:ind w:left="2"/>
              <w:rPr>
                <w:rFonts w:ascii="Times New Roman" w:hAnsi="Times New Roman"/>
                <w:b/>
                <w:sz w:val="20"/>
              </w:rPr>
            </w:pPr>
            <w:r w:rsidRPr="0071778D">
              <w:rPr>
                <w:rFonts w:ascii="Times New Roman" w:hAnsi="Times New Roman"/>
                <w:b/>
                <w:sz w:val="20"/>
              </w:rPr>
              <w:t>MH SR</w:t>
            </w:r>
          </w:p>
          <w:p w:rsidR="00043D8B" w:rsidRPr="0071778D" w:rsidRDefault="00043D8B" w:rsidP="003847E2">
            <w:pPr>
              <w:spacing w:after="0"/>
              <w:ind w:left="2"/>
              <w:rPr>
                <w:rFonts w:ascii="Times New Roman" w:hAnsi="Times New Roman"/>
                <w:b/>
                <w:sz w:val="20"/>
              </w:rPr>
            </w:pPr>
            <w:r w:rsidRPr="0071778D">
              <w:rPr>
                <w:rFonts w:ascii="Times New Roman" w:hAnsi="Times New Roman"/>
                <w:b/>
                <w:sz w:val="20"/>
              </w:rPr>
              <w:t>MF SR</w:t>
            </w:r>
          </w:p>
        </w:tc>
        <w:tc>
          <w:tcPr>
            <w:tcW w:w="3969" w:type="dxa"/>
            <w:tcBorders>
              <w:top w:val="single" w:sz="4" w:space="0" w:color="000000"/>
              <w:left w:val="single" w:sz="4" w:space="0" w:color="000000"/>
              <w:bottom w:val="single" w:sz="34" w:space="0" w:color="B2B2B2"/>
              <w:right w:val="single" w:sz="4" w:space="0" w:color="000000"/>
            </w:tcBorders>
          </w:tcPr>
          <w:p w:rsidR="00043D8B" w:rsidRDefault="00E300D4" w:rsidP="003847E2">
            <w:pPr>
              <w:spacing w:after="0"/>
              <w:ind w:left="2"/>
              <w:jc w:val="both"/>
              <w:rPr>
                <w:rFonts w:ascii="Times New Roman" w:hAnsi="Times New Roman"/>
                <w:b/>
                <w:color w:val="auto"/>
                <w:sz w:val="20"/>
                <w:szCs w:val="20"/>
                <w:u w:val="single"/>
              </w:rPr>
            </w:pPr>
            <w:r>
              <w:rPr>
                <w:rFonts w:ascii="Times New Roman" w:hAnsi="Times New Roman"/>
                <w:b/>
                <w:color w:val="auto"/>
                <w:sz w:val="20"/>
                <w:szCs w:val="20"/>
                <w:u w:val="single"/>
              </w:rPr>
              <w:t>Stredná</w:t>
            </w:r>
            <w:r w:rsidR="00043D8B">
              <w:rPr>
                <w:rFonts w:ascii="Times New Roman" w:hAnsi="Times New Roman"/>
                <w:b/>
                <w:color w:val="auto"/>
                <w:sz w:val="20"/>
                <w:szCs w:val="20"/>
                <w:u w:val="single"/>
              </w:rPr>
              <w:t xml:space="preserve"> priorita</w:t>
            </w:r>
          </w:p>
          <w:p w:rsidR="00043D8B" w:rsidRPr="00043D8B" w:rsidRDefault="00043D8B" w:rsidP="003847E2">
            <w:pPr>
              <w:spacing w:after="0"/>
              <w:ind w:left="2"/>
              <w:jc w:val="both"/>
              <w:rPr>
                <w:rFonts w:ascii="Times New Roman" w:hAnsi="Times New Roman"/>
                <w:sz w:val="20"/>
                <w:szCs w:val="20"/>
              </w:rPr>
            </w:pPr>
            <w:r w:rsidRPr="00043D8B">
              <w:rPr>
                <w:rFonts w:ascii="Times New Roman" w:hAnsi="Times New Roman"/>
                <w:sz w:val="20"/>
                <w:szCs w:val="20"/>
              </w:rPr>
              <w:t>Pozícia SR: oznámenie EK vzaté na vedomie.  Investičný plán pre Európu sa ukázal ako užitočný nástroj na dosahovanie konkrétnych výsledkov a podporu udržateľného zvyšovania nízkej úrovne investícií v Európe po finančnej kríze. Štruktúra záruky z rozpočtu EÚ zabezpečuje optimálne využívanie a pákový efekt obmedzených verejných zdrojov na dosiahnutie hmatateľných výsledkov v oblasti  zamestnanosti a rastu. Skupina Európskej investičnej banky, ktorá je strategickým partnerom EK pre Investičný plán pre Európu, mobilizovala prostredníctvom EFSI za takmer štyri roky 360 miliárd EUR v 28 členských štátoch. V rovnakom období využilo EFSI už viac než 850 000 malých a stredných podnikov (MSP). Na Slovensku investície EFSI sú vo výške 537 mil. EUR pre 7 projektov, ktoré prispievajú k zlepšeniu dopravnej infraštruktúry, inováciám a podpore MSP (očakáva sa podpora 11 531 MSP a podnikov so strednou kapitalizáciou).</w:t>
            </w:r>
          </w:p>
        </w:tc>
      </w:tr>
      <w:tr w:rsidR="00043D8B" w:rsidTr="005D6916">
        <w:trPr>
          <w:trHeight w:val="575"/>
        </w:trPr>
        <w:tc>
          <w:tcPr>
            <w:tcW w:w="541" w:type="dxa"/>
            <w:tcBorders>
              <w:top w:val="single" w:sz="34" w:space="0" w:color="B2B2B2"/>
              <w:left w:val="single" w:sz="4" w:space="0" w:color="000000"/>
              <w:bottom w:val="single" w:sz="4" w:space="0" w:color="auto"/>
              <w:right w:val="single" w:sz="4" w:space="0" w:color="000000"/>
            </w:tcBorders>
            <w:shd w:val="clear" w:color="auto" w:fill="B2B2B2"/>
          </w:tcPr>
          <w:p w:rsidR="00043D8B" w:rsidRDefault="00043D8B" w:rsidP="003847E2">
            <w:pPr>
              <w:spacing w:after="0"/>
            </w:pPr>
            <w:r>
              <w:rPr>
                <w:rFonts w:ascii="Times New Roman" w:hAnsi="Times New Roman"/>
                <w:sz w:val="20"/>
              </w:rPr>
              <w:t>2.</w:t>
            </w:r>
            <w:r>
              <w:rPr>
                <w:rFonts w:ascii="Arial" w:hAnsi="Arial" w:cs="Arial"/>
                <w:sz w:val="20"/>
              </w:rPr>
              <w:t xml:space="preserve"> </w:t>
            </w:r>
          </w:p>
        </w:tc>
        <w:tc>
          <w:tcPr>
            <w:tcW w:w="1805" w:type="dxa"/>
            <w:tcBorders>
              <w:top w:val="single" w:sz="34" w:space="0" w:color="B2B2B2"/>
              <w:left w:val="single" w:sz="4" w:space="0" w:color="000000"/>
              <w:bottom w:val="single" w:sz="4" w:space="0" w:color="auto"/>
              <w:right w:val="single" w:sz="4" w:space="0" w:color="000000"/>
            </w:tcBorders>
            <w:shd w:val="clear" w:color="auto" w:fill="B2B2B2"/>
          </w:tcPr>
          <w:p w:rsidR="00043D8B" w:rsidRDefault="00043D8B" w:rsidP="003847E2">
            <w:pPr>
              <w:spacing w:after="0"/>
              <w:ind w:left="1"/>
            </w:pPr>
            <w:r>
              <w:rPr>
                <w:rFonts w:ascii="Times New Roman" w:hAnsi="Times New Roman"/>
                <w:b/>
                <w:sz w:val="20"/>
              </w:rPr>
              <w:t xml:space="preserve">Udržateľná európska budúcnosť </w:t>
            </w:r>
          </w:p>
        </w:tc>
        <w:tc>
          <w:tcPr>
            <w:tcW w:w="2268" w:type="dxa"/>
            <w:tcBorders>
              <w:top w:val="single" w:sz="34" w:space="0" w:color="B2B2B2"/>
              <w:left w:val="single" w:sz="4" w:space="0" w:color="000000"/>
              <w:bottom w:val="single" w:sz="4" w:space="0" w:color="auto"/>
              <w:right w:val="single" w:sz="4" w:space="0" w:color="000000"/>
            </w:tcBorders>
            <w:shd w:val="clear" w:color="auto" w:fill="B2B2B2"/>
          </w:tcPr>
          <w:p w:rsidR="00043D8B" w:rsidRDefault="00043D8B" w:rsidP="003847E2">
            <w:pPr>
              <w:spacing w:after="0"/>
              <w:ind w:left="2"/>
              <w:jc w:val="both"/>
            </w:pPr>
            <w:r>
              <w:rPr>
                <w:rFonts w:ascii="Times New Roman" w:hAnsi="Times New Roman"/>
                <w:b/>
                <w:sz w:val="20"/>
              </w:rPr>
              <w:t xml:space="preserve"> </w:t>
            </w:r>
            <w:r>
              <w:rPr>
                <w:rFonts w:ascii="Times New Roman" w:hAnsi="Times New Roman"/>
                <w:sz w:val="20"/>
              </w:rPr>
              <w:t>(nelegislatívna iniciatíva, 2. štvrťrok 2018)</w:t>
            </w:r>
            <w:r>
              <w:rPr>
                <w:rFonts w:ascii="Times New Roman" w:hAnsi="Times New Roman"/>
                <w:b/>
                <w:sz w:val="20"/>
              </w:rPr>
              <w:t xml:space="preserve"> </w:t>
            </w:r>
          </w:p>
        </w:tc>
        <w:tc>
          <w:tcPr>
            <w:tcW w:w="4536" w:type="dxa"/>
            <w:tcBorders>
              <w:top w:val="single" w:sz="34" w:space="0" w:color="B2B2B2"/>
              <w:left w:val="single" w:sz="4" w:space="0" w:color="000000"/>
              <w:bottom w:val="single" w:sz="4" w:space="0" w:color="auto"/>
              <w:right w:val="single" w:sz="4" w:space="0" w:color="000000"/>
            </w:tcBorders>
            <w:shd w:val="clear" w:color="auto" w:fill="B2B2B2"/>
          </w:tcPr>
          <w:p w:rsidR="00043D8B" w:rsidRDefault="00043D8B" w:rsidP="003847E2">
            <w:pPr>
              <w:spacing w:after="0"/>
              <w:ind w:left="2"/>
              <w:jc w:val="both"/>
              <w:rPr>
                <w:rFonts w:ascii="Times New Roman" w:hAnsi="Times New Roman"/>
                <w:b/>
                <w:sz w:val="20"/>
              </w:rPr>
            </w:pPr>
            <w:r>
              <w:rPr>
                <w:rFonts w:ascii="Times New Roman" w:hAnsi="Times New Roman"/>
                <w:b/>
                <w:sz w:val="20"/>
              </w:rPr>
              <w:t>Diskusný dokument „Smerom k udržateľnej Európe do roku 2030 v nadväznosti na ciele trvalo udržateľného rozvoja OSN vrátane Parížskej dohody o zmene klímy“</w:t>
            </w:r>
          </w:p>
          <w:p w:rsidR="00043D8B" w:rsidRDefault="00043D8B" w:rsidP="003847E2">
            <w:pPr>
              <w:spacing w:after="0"/>
              <w:ind w:left="2"/>
              <w:jc w:val="both"/>
              <w:rPr>
                <w:rFonts w:ascii="Times New Roman" w:hAnsi="Times New Roman"/>
                <w:b/>
                <w:sz w:val="20"/>
              </w:rPr>
            </w:pPr>
          </w:p>
          <w:p w:rsidR="00043D8B" w:rsidRDefault="00043D8B" w:rsidP="003847E2">
            <w:pPr>
              <w:spacing w:after="0"/>
              <w:ind w:left="2"/>
              <w:jc w:val="both"/>
              <w:rPr>
                <w:rFonts w:ascii="Times New Roman" w:hAnsi="Times New Roman"/>
                <w:b/>
                <w:sz w:val="20"/>
              </w:rPr>
            </w:pPr>
          </w:p>
        </w:tc>
        <w:tc>
          <w:tcPr>
            <w:tcW w:w="1418" w:type="dxa"/>
            <w:tcBorders>
              <w:top w:val="single" w:sz="34" w:space="0" w:color="B2B2B2"/>
              <w:left w:val="single" w:sz="4" w:space="0" w:color="000000"/>
              <w:bottom w:val="single" w:sz="4" w:space="0" w:color="auto"/>
              <w:right w:val="single" w:sz="4" w:space="0" w:color="000000"/>
            </w:tcBorders>
            <w:shd w:val="clear" w:color="auto" w:fill="B2B2B2"/>
          </w:tcPr>
          <w:p w:rsidR="00043D8B" w:rsidRPr="0071778D" w:rsidRDefault="00043D8B" w:rsidP="003847E2">
            <w:pPr>
              <w:spacing w:after="0"/>
              <w:ind w:left="2"/>
              <w:jc w:val="both"/>
              <w:rPr>
                <w:rFonts w:ascii="Times New Roman" w:hAnsi="Times New Roman"/>
                <w:b/>
                <w:sz w:val="20"/>
              </w:rPr>
            </w:pPr>
            <w:r w:rsidRPr="0071778D">
              <w:rPr>
                <w:rFonts w:ascii="Times New Roman" w:hAnsi="Times New Roman"/>
                <w:b/>
                <w:sz w:val="20"/>
              </w:rPr>
              <w:lastRenderedPageBreak/>
              <w:t>MŽP SR</w:t>
            </w:r>
          </w:p>
          <w:p w:rsidR="00043D8B" w:rsidRPr="0071778D" w:rsidRDefault="00043D8B" w:rsidP="003847E2">
            <w:pPr>
              <w:spacing w:after="0"/>
              <w:ind w:left="2"/>
              <w:jc w:val="both"/>
              <w:rPr>
                <w:rFonts w:ascii="Times New Roman" w:hAnsi="Times New Roman"/>
                <w:b/>
                <w:sz w:val="20"/>
              </w:rPr>
            </w:pPr>
            <w:r w:rsidRPr="0071778D">
              <w:rPr>
                <w:rFonts w:ascii="Times New Roman" w:hAnsi="Times New Roman"/>
                <w:b/>
                <w:sz w:val="20"/>
              </w:rPr>
              <w:t>MH SR</w:t>
            </w:r>
          </w:p>
          <w:p w:rsidR="00043D8B" w:rsidRPr="0071778D" w:rsidRDefault="00214D18" w:rsidP="003847E2">
            <w:pPr>
              <w:spacing w:after="0"/>
              <w:ind w:left="2"/>
              <w:jc w:val="both"/>
              <w:rPr>
                <w:rFonts w:ascii="Times New Roman" w:hAnsi="Times New Roman"/>
                <w:b/>
                <w:sz w:val="20"/>
              </w:rPr>
            </w:pPr>
            <w:r>
              <w:rPr>
                <w:rFonts w:ascii="Times New Roman" w:hAnsi="Times New Roman"/>
                <w:b/>
                <w:sz w:val="20"/>
              </w:rPr>
              <w:t>ÚPPVII</w:t>
            </w:r>
            <w:r w:rsidR="00043D8B" w:rsidRPr="0071778D">
              <w:rPr>
                <w:rFonts w:ascii="Times New Roman" w:hAnsi="Times New Roman"/>
                <w:b/>
                <w:sz w:val="20"/>
              </w:rPr>
              <w:t xml:space="preserve"> SR</w:t>
            </w:r>
          </w:p>
        </w:tc>
        <w:tc>
          <w:tcPr>
            <w:tcW w:w="3969" w:type="dxa"/>
            <w:tcBorders>
              <w:top w:val="single" w:sz="34" w:space="0" w:color="B2B2B2"/>
              <w:left w:val="single" w:sz="4" w:space="0" w:color="000000"/>
              <w:bottom w:val="single" w:sz="4" w:space="0" w:color="auto"/>
              <w:right w:val="single" w:sz="4" w:space="0" w:color="000000"/>
            </w:tcBorders>
            <w:shd w:val="clear" w:color="auto" w:fill="B2B2B2"/>
          </w:tcPr>
          <w:p w:rsidR="00043D8B" w:rsidRPr="0071778D" w:rsidRDefault="00043D8B" w:rsidP="003847E2">
            <w:pPr>
              <w:spacing w:after="0"/>
              <w:jc w:val="both"/>
              <w:rPr>
                <w:rFonts w:ascii="Times New Roman" w:hAnsi="Times New Roman"/>
                <w:b/>
                <w:color w:val="auto"/>
                <w:sz w:val="20"/>
                <w:szCs w:val="20"/>
                <w:u w:val="single"/>
              </w:rPr>
            </w:pPr>
            <w:r w:rsidRPr="0071778D">
              <w:rPr>
                <w:rFonts w:ascii="Times New Roman" w:hAnsi="Times New Roman"/>
                <w:b/>
                <w:color w:val="auto"/>
                <w:sz w:val="20"/>
                <w:szCs w:val="20"/>
                <w:u w:val="single"/>
              </w:rPr>
              <w:t xml:space="preserve">Vysoká priorita </w:t>
            </w:r>
          </w:p>
          <w:p w:rsidR="00043D8B" w:rsidRPr="0071778D" w:rsidRDefault="00043D8B" w:rsidP="003847E2">
            <w:pPr>
              <w:spacing w:after="0"/>
              <w:jc w:val="both"/>
              <w:rPr>
                <w:rFonts w:ascii="Times New Roman" w:hAnsi="Times New Roman"/>
                <w:color w:val="auto"/>
                <w:sz w:val="20"/>
                <w:szCs w:val="20"/>
              </w:rPr>
            </w:pPr>
            <w:r w:rsidRPr="0071778D">
              <w:rPr>
                <w:rFonts w:ascii="Times New Roman" w:hAnsi="Times New Roman"/>
                <w:color w:val="auto"/>
                <w:sz w:val="20"/>
                <w:szCs w:val="20"/>
              </w:rPr>
              <w:t xml:space="preserve">Iniciatíva ešte nebola predložená, očakáva sa predloženie v prvej polovici 2019. Implementácia Parížskej dohody je prioritou </w:t>
            </w:r>
            <w:r w:rsidRPr="0071778D">
              <w:rPr>
                <w:rFonts w:ascii="Times New Roman" w:hAnsi="Times New Roman"/>
                <w:color w:val="auto"/>
                <w:sz w:val="20"/>
                <w:szCs w:val="20"/>
              </w:rPr>
              <w:lastRenderedPageBreak/>
              <w:t>pre SR, čo vyplýva aj z Programového vyhlásenia vlády</w:t>
            </w:r>
          </w:p>
        </w:tc>
      </w:tr>
      <w:tr w:rsidR="00B1660F" w:rsidTr="005D6916">
        <w:trPr>
          <w:trHeight w:val="529"/>
        </w:trPr>
        <w:tc>
          <w:tcPr>
            <w:tcW w:w="14537" w:type="dxa"/>
            <w:gridSpan w:val="6"/>
            <w:tcBorders>
              <w:top w:val="single" w:sz="4" w:space="0" w:color="auto"/>
              <w:left w:val="single" w:sz="4" w:space="0" w:color="auto"/>
              <w:bottom w:val="single" w:sz="4" w:space="0" w:color="auto"/>
              <w:right w:val="single" w:sz="4" w:space="0" w:color="auto"/>
            </w:tcBorders>
            <w:shd w:val="clear" w:color="auto" w:fill="92D050"/>
            <w:vAlign w:val="center"/>
          </w:tcPr>
          <w:p w:rsidR="00B1660F" w:rsidRPr="0071778D" w:rsidRDefault="00B1660F" w:rsidP="00043D8B">
            <w:pPr>
              <w:jc w:val="both"/>
              <w:rPr>
                <w:rFonts w:ascii="Times New Roman" w:hAnsi="Times New Roman"/>
                <w:b/>
                <w:sz w:val="20"/>
                <w:szCs w:val="20"/>
              </w:rPr>
            </w:pPr>
            <w:r>
              <w:rPr>
                <w:rFonts w:ascii="Times New Roman" w:hAnsi="Times New Roman"/>
                <w:b/>
                <w:sz w:val="20"/>
              </w:rPr>
              <w:lastRenderedPageBreak/>
              <w:t>Prepojený digitálny jednotný trh</w:t>
            </w:r>
            <w:r>
              <w:rPr>
                <w:rFonts w:ascii="Times New Roman" w:hAnsi="Times New Roman"/>
                <w:sz w:val="20"/>
              </w:rPr>
              <w:t xml:space="preserve"> </w:t>
            </w:r>
          </w:p>
        </w:tc>
      </w:tr>
      <w:tr w:rsidR="00043D8B" w:rsidTr="005D6916">
        <w:trPr>
          <w:trHeight w:val="936"/>
        </w:trPr>
        <w:tc>
          <w:tcPr>
            <w:tcW w:w="541" w:type="dxa"/>
            <w:tcBorders>
              <w:top w:val="single" w:sz="4" w:space="0" w:color="auto"/>
              <w:left w:val="single" w:sz="4" w:space="0" w:color="000000"/>
              <w:bottom w:val="single" w:sz="34" w:space="0" w:color="92D050"/>
              <w:right w:val="single" w:sz="4" w:space="0" w:color="000000"/>
            </w:tcBorders>
          </w:tcPr>
          <w:p w:rsidR="00043D8B" w:rsidRDefault="00043D8B" w:rsidP="00043D8B">
            <w:r>
              <w:rPr>
                <w:rFonts w:ascii="Times New Roman" w:hAnsi="Times New Roman"/>
                <w:sz w:val="20"/>
              </w:rPr>
              <w:t>3.</w:t>
            </w:r>
            <w:r>
              <w:rPr>
                <w:rFonts w:ascii="Arial" w:hAnsi="Arial" w:cs="Arial"/>
                <w:sz w:val="20"/>
              </w:rPr>
              <w:t xml:space="preserve"> </w:t>
            </w:r>
          </w:p>
        </w:tc>
        <w:tc>
          <w:tcPr>
            <w:tcW w:w="1805" w:type="dxa"/>
            <w:tcBorders>
              <w:top w:val="single" w:sz="4" w:space="0" w:color="auto"/>
              <w:left w:val="single" w:sz="4" w:space="0" w:color="000000"/>
              <w:bottom w:val="single" w:sz="34" w:space="0" w:color="92D050"/>
              <w:right w:val="single" w:sz="4" w:space="0" w:color="000000"/>
            </w:tcBorders>
          </w:tcPr>
          <w:p w:rsidR="00043D8B" w:rsidRPr="00540422" w:rsidRDefault="00043D8B" w:rsidP="00043D8B">
            <w:pPr>
              <w:ind w:left="1"/>
              <w:rPr>
                <w:color w:val="auto"/>
              </w:rPr>
            </w:pPr>
            <w:r w:rsidRPr="00540422">
              <w:rPr>
                <w:rFonts w:ascii="Times New Roman" w:hAnsi="Times New Roman"/>
                <w:b/>
                <w:color w:val="auto"/>
                <w:sz w:val="20"/>
              </w:rPr>
              <w:t xml:space="preserve">Dobudovanie digitálneho jednotného trhu  </w:t>
            </w:r>
          </w:p>
        </w:tc>
        <w:tc>
          <w:tcPr>
            <w:tcW w:w="2268" w:type="dxa"/>
            <w:tcBorders>
              <w:top w:val="single" w:sz="4" w:space="0" w:color="auto"/>
              <w:left w:val="single" w:sz="4" w:space="0" w:color="000000"/>
              <w:bottom w:val="single" w:sz="34" w:space="0" w:color="92D050"/>
              <w:right w:val="single" w:sz="4" w:space="0" w:color="000000"/>
            </w:tcBorders>
            <w:vAlign w:val="center"/>
          </w:tcPr>
          <w:p w:rsidR="00043D8B" w:rsidRPr="00540422" w:rsidRDefault="00043D8B" w:rsidP="00043D8B">
            <w:pPr>
              <w:ind w:left="2" w:right="52"/>
              <w:jc w:val="both"/>
              <w:rPr>
                <w:color w:val="auto"/>
              </w:rPr>
            </w:pPr>
            <w:r w:rsidRPr="00540422">
              <w:rPr>
                <w:rFonts w:ascii="Times New Roman" w:hAnsi="Times New Roman"/>
                <w:color w:val="auto"/>
                <w:sz w:val="20"/>
              </w:rPr>
              <w:t>(nelegislatívna iniciatíva 4. štvrťrok 2018)</w:t>
            </w:r>
          </w:p>
        </w:tc>
        <w:tc>
          <w:tcPr>
            <w:tcW w:w="4536" w:type="dxa"/>
            <w:tcBorders>
              <w:top w:val="single" w:sz="4" w:space="0" w:color="auto"/>
              <w:left w:val="single" w:sz="4" w:space="0" w:color="000000"/>
              <w:bottom w:val="single" w:sz="34" w:space="0" w:color="92D050"/>
              <w:right w:val="single" w:sz="4" w:space="0" w:color="000000"/>
            </w:tcBorders>
          </w:tcPr>
          <w:p w:rsidR="00043D8B" w:rsidRPr="00540422" w:rsidRDefault="00043D8B" w:rsidP="00043D8B">
            <w:pPr>
              <w:ind w:left="2" w:right="52"/>
              <w:jc w:val="both"/>
              <w:rPr>
                <w:rFonts w:ascii="Times New Roman" w:hAnsi="Times New Roman"/>
                <w:b/>
                <w:color w:val="auto"/>
                <w:sz w:val="20"/>
              </w:rPr>
            </w:pPr>
            <w:r w:rsidRPr="00540422">
              <w:rPr>
                <w:rFonts w:ascii="Times New Roman" w:hAnsi="Times New Roman"/>
                <w:b/>
                <w:color w:val="auto"/>
                <w:sz w:val="20"/>
              </w:rPr>
              <w:t>Koordinovaný plán rozvoja umelej inteligencie v Európe</w:t>
            </w:r>
            <w:r w:rsidRPr="00540422">
              <w:rPr>
                <w:rFonts w:ascii="Times New Roman" w:hAnsi="Times New Roman"/>
                <w:color w:val="auto"/>
                <w:sz w:val="20"/>
              </w:rPr>
              <w:t xml:space="preserve"> (nelegislatívna iniciatíva, 4. štvrťrok 2018),</w:t>
            </w:r>
            <w:r w:rsidRPr="00540422">
              <w:rPr>
                <w:rFonts w:ascii="Times New Roman" w:hAnsi="Times New Roman"/>
                <w:b/>
                <w:color w:val="auto"/>
                <w:sz w:val="20"/>
              </w:rPr>
              <w:t xml:space="preserve"> </w:t>
            </w:r>
          </w:p>
          <w:p w:rsidR="00043D8B" w:rsidRPr="00540422" w:rsidRDefault="00043D8B" w:rsidP="00043D8B">
            <w:pPr>
              <w:ind w:left="2" w:right="52"/>
              <w:jc w:val="both"/>
              <w:rPr>
                <w:rFonts w:ascii="Times New Roman" w:hAnsi="Times New Roman"/>
                <w:b/>
                <w:color w:val="auto"/>
                <w:sz w:val="20"/>
              </w:rPr>
            </w:pPr>
          </w:p>
          <w:p w:rsidR="00043D8B" w:rsidRPr="00540422" w:rsidRDefault="00043D8B" w:rsidP="00043D8B">
            <w:pPr>
              <w:ind w:left="2" w:right="52"/>
              <w:jc w:val="both"/>
              <w:rPr>
                <w:rFonts w:ascii="Times New Roman" w:hAnsi="Times New Roman"/>
                <w:color w:val="auto"/>
                <w:sz w:val="20"/>
              </w:rPr>
            </w:pPr>
            <w:r w:rsidRPr="00540422">
              <w:rPr>
                <w:rFonts w:ascii="Times New Roman" w:hAnsi="Times New Roman"/>
                <w:b/>
                <w:color w:val="auto"/>
                <w:sz w:val="20"/>
              </w:rPr>
              <w:t>Akčný plán v oblasti dezinformácií</w:t>
            </w:r>
            <w:r w:rsidRPr="00540422">
              <w:rPr>
                <w:rFonts w:ascii="Times New Roman" w:hAnsi="Times New Roman"/>
                <w:color w:val="auto"/>
                <w:sz w:val="20"/>
              </w:rPr>
              <w:t xml:space="preserve"> (nelegislatívna iniciatíva, 4. štvrťrok 2018), </w:t>
            </w:r>
          </w:p>
          <w:p w:rsidR="00043D8B" w:rsidRPr="00540422" w:rsidRDefault="00043D8B" w:rsidP="00043D8B">
            <w:pPr>
              <w:ind w:left="2" w:right="52"/>
              <w:jc w:val="both"/>
              <w:rPr>
                <w:rFonts w:ascii="Times New Roman" w:hAnsi="Times New Roman"/>
                <w:color w:val="auto"/>
                <w:sz w:val="20"/>
              </w:rPr>
            </w:pPr>
          </w:p>
          <w:p w:rsidR="00F9780E" w:rsidRDefault="00F9780E" w:rsidP="00043D8B">
            <w:pPr>
              <w:ind w:left="2" w:right="52"/>
              <w:jc w:val="both"/>
              <w:rPr>
                <w:rFonts w:ascii="Times New Roman" w:hAnsi="Times New Roman"/>
                <w:b/>
                <w:color w:val="auto"/>
                <w:sz w:val="20"/>
              </w:rPr>
            </w:pPr>
          </w:p>
          <w:p w:rsidR="00F9780E" w:rsidRDefault="00F9780E" w:rsidP="00043D8B">
            <w:pPr>
              <w:ind w:left="2" w:right="52"/>
              <w:jc w:val="both"/>
              <w:rPr>
                <w:rFonts w:ascii="Times New Roman" w:hAnsi="Times New Roman"/>
                <w:b/>
                <w:color w:val="auto"/>
                <w:sz w:val="20"/>
              </w:rPr>
            </w:pPr>
          </w:p>
          <w:p w:rsidR="00F9780E" w:rsidRDefault="00F9780E" w:rsidP="00043D8B">
            <w:pPr>
              <w:ind w:left="2" w:right="52"/>
              <w:jc w:val="both"/>
              <w:rPr>
                <w:rFonts w:ascii="Times New Roman" w:hAnsi="Times New Roman"/>
                <w:b/>
                <w:color w:val="auto"/>
                <w:sz w:val="20"/>
              </w:rPr>
            </w:pPr>
          </w:p>
          <w:p w:rsidR="00F9780E" w:rsidRDefault="00F9780E" w:rsidP="00043D8B">
            <w:pPr>
              <w:ind w:left="2" w:right="52"/>
              <w:jc w:val="both"/>
              <w:rPr>
                <w:rFonts w:ascii="Times New Roman" w:hAnsi="Times New Roman"/>
                <w:b/>
                <w:color w:val="auto"/>
                <w:sz w:val="20"/>
              </w:rPr>
            </w:pPr>
          </w:p>
          <w:p w:rsidR="00F9780E" w:rsidRDefault="00F9780E" w:rsidP="00043D8B">
            <w:pPr>
              <w:ind w:left="2" w:right="52"/>
              <w:jc w:val="both"/>
              <w:rPr>
                <w:rFonts w:ascii="Times New Roman" w:hAnsi="Times New Roman"/>
                <w:b/>
                <w:color w:val="auto"/>
                <w:sz w:val="20"/>
              </w:rPr>
            </w:pPr>
          </w:p>
          <w:p w:rsidR="00F9780E" w:rsidRDefault="00F9780E" w:rsidP="00043D8B">
            <w:pPr>
              <w:ind w:left="2" w:right="52"/>
              <w:jc w:val="both"/>
              <w:rPr>
                <w:rFonts w:ascii="Times New Roman" w:hAnsi="Times New Roman"/>
                <w:b/>
                <w:color w:val="auto"/>
                <w:sz w:val="20"/>
              </w:rPr>
            </w:pPr>
          </w:p>
          <w:p w:rsidR="00F9780E" w:rsidRDefault="00F9780E" w:rsidP="00043D8B">
            <w:pPr>
              <w:ind w:left="2" w:right="52"/>
              <w:jc w:val="both"/>
              <w:rPr>
                <w:rFonts w:ascii="Times New Roman" w:hAnsi="Times New Roman"/>
                <w:b/>
                <w:color w:val="auto"/>
                <w:sz w:val="20"/>
              </w:rPr>
            </w:pPr>
          </w:p>
          <w:p w:rsidR="00F9780E" w:rsidRDefault="00F9780E" w:rsidP="00043D8B">
            <w:pPr>
              <w:ind w:left="2" w:right="52"/>
              <w:jc w:val="both"/>
              <w:rPr>
                <w:rFonts w:ascii="Times New Roman" w:hAnsi="Times New Roman"/>
                <w:b/>
                <w:color w:val="auto"/>
                <w:sz w:val="20"/>
              </w:rPr>
            </w:pPr>
          </w:p>
          <w:p w:rsidR="00632382" w:rsidRDefault="00632382" w:rsidP="00043D8B">
            <w:pPr>
              <w:ind w:left="2" w:right="52"/>
              <w:jc w:val="both"/>
              <w:rPr>
                <w:rFonts w:ascii="Times New Roman" w:hAnsi="Times New Roman"/>
                <w:b/>
                <w:color w:val="auto"/>
                <w:sz w:val="20"/>
              </w:rPr>
            </w:pPr>
          </w:p>
          <w:p w:rsidR="00043D8B" w:rsidRPr="00540422" w:rsidRDefault="00043D8B" w:rsidP="00043D8B">
            <w:pPr>
              <w:ind w:left="2" w:right="52"/>
              <w:jc w:val="both"/>
              <w:rPr>
                <w:rFonts w:ascii="Times New Roman" w:hAnsi="Times New Roman"/>
                <w:color w:val="auto"/>
                <w:sz w:val="20"/>
              </w:rPr>
            </w:pPr>
            <w:r w:rsidRPr="00540422">
              <w:rPr>
                <w:rFonts w:ascii="Times New Roman" w:hAnsi="Times New Roman"/>
                <w:b/>
                <w:color w:val="auto"/>
                <w:sz w:val="20"/>
              </w:rPr>
              <w:t>Odporúčanie Komisie zaviesť jednotný formát elektronických zdravotných záznamov</w:t>
            </w:r>
            <w:r w:rsidRPr="00540422">
              <w:rPr>
                <w:rFonts w:ascii="Times New Roman" w:hAnsi="Times New Roman"/>
                <w:color w:val="auto"/>
                <w:sz w:val="20"/>
              </w:rPr>
              <w:t xml:space="preserve"> (nelegislatívna iniciatíva, 1. štvrťrok 2019),</w:t>
            </w:r>
          </w:p>
          <w:p w:rsidR="00043D8B" w:rsidRPr="00540422" w:rsidRDefault="00043D8B" w:rsidP="00043D8B">
            <w:pPr>
              <w:ind w:left="2" w:right="52"/>
              <w:jc w:val="both"/>
              <w:rPr>
                <w:rFonts w:ascii="Times New Roman" w:hAnsi="Times New Roman"/>
                <w:color w:val="auto"/>
                <w:sz w:val="20"/>
              </w:rPr>
            </w:pPr>
          </w:p>
        </w:tc>
        <w:tc>
          <w:tcPr>
            <w:tcW w:w="1418" w:type="dxa"/>
            <w:tcBorders>
              <w:top w:val="single" w:sz="4" w:space="0" w:color="auto"/>
              <w:left w:val="single" w:sz="4" w:space="0" w:color="000000"/>
              <w:bottom w:val="single" w:sz="34" w:space="0" w:color="92D050"/>
              <w:right w:val="single" w:sz="4" w:space="0" w:color="000000"/>
            </w:tcBorders>
          </w:tcPr>
          <w:p w:rsidR="00043D8B" w:rsidRPr="0071778D" w:rsidRDefault="00043D8B" w:rsidP="003847E2">
            <w:pPr>
              <w:spacing w:after="0"/>
              <w:ind w:left="2" w:right="52"/>
              <w:jc w:val="both"/>
              <w:rPr>
                <w:rFonts w:ascii="Times New Roman" w:hAnsi="Times New Roman"/>
                <w:b/>
                <w:color w:val="auto"/>
                <w:sz w:val="20"/>
              </w:rPr>
            </w:pPr>
            <w:r w:rsidRPr="0071778D">
              <w:rPr>
                <w:rFonts w:ascii="Times New Roman" w:hAnsi="Times New Roman"/>
                <w:b/>
                <w:color w:val="auto"/>
                <w:sz w:val="20"/>
              </w:rPr>
              <w:t>ÚPPVII</w:t>
            </w:r>
          </w:p>
          <w:p w:rsidR="00043D8B" w:rsidRPr="0071778D" w:rsidRDefault="00043D8B" w:rsidP="003847E2">
            <w:pPr>
              <w:spacing w:after="0"/>
              <w:ind w:left="2" w:right="52"/>
              <w:jc w:val="both"/>
              <w:rPr>
                <w:rFonts w:ascii="Times New Roman" w:hAnsi="Times New Roman"/>
                <w:b/>
                <w:color w:val="auto"/>
                <w:sz w:val="20"/>
              </w:rPr>
            </w:pPr>
            <w:r w:rsidRPr="0071778D">
              <w:rPr>
                <w:rFonts w:ascii="Times New Roman" w:hAnsi="Times New Roman"/>
                <w:b/>
                <w:color w:val="auto"/>
                <w:sz w:val="20"/>
              </w:rPr>
              <w:t>MH SR</w:t>
            </w:r>
          </w:p>
          <w:p w:rsidR="00043D8B" w:rsidRPr="0071778D" w:rsidRDefault="00043D8B" w:rsidP="003847E2">
            <w:pPr>
              <w:spacing w:after="0"/>
              <w:ind w:left="2" w:right="52"/>
              <w:jc w:val="both"/>
              <w:rPr>
                <w:rFonts w:ascii="Times New Roman" w:hAnsi="Times New Roman"/>
                <w:b/>
                <w:color w:val="auto"/>
                <w:sz w:val="20"/>
              </w:rPr>
            </w:pPr>
            <w:r w:rsidRPr="0071778D">
              <w:rPr>
                <w:rFonts w:ascii="Times New Roman" w:hAnsi="Times New Roman"/>
                <w:b/>
                <w:color w:val="auto"/>
                <w:sz w:val="20"/>
              </w:rPr>
              <w:t>MŠVVaŠ SR</w:t>
            </w:r>
          </w:p>
          <w:p w:rsidR="00043D8B" w:rsidRDefault="00043D8B" w:rsidP="00043D8B">
            <w:pPr>
              <w:ind w:left="2" w:right="52"/>
              <w:jc w:val="both"/>
              <w:rPr>
                <w:rFonts w:ascii="Times New Roman" w:hAnsi="Times New Roman"/>
                <w:b/>
                <w:color w:val="auto"/>
                <w:sz w:val="20"/>
              </w:rPr>
            </w:pPr>
          </w:p>
          <w:p w:rsidR="00043D8B" w:rsidRPr="0071778D" w:rsidRDefault="002A2EFE" w:rsidP="003847E2">
            <w:pPr>
              <w:spacing w:after="0"/>
              <w:ind w:left="2" w:right="52"/>
              <w:jc w:val="both"/>
              <w:rPr>
                <w:rFonts w:ascii="Times New Roman" w:hAnsi="Times New Roman"/>
                <w:b/>
                <w:color w:val="auto"/>
                <w:sz w:val="20"/>
              </w:rPr>
            </w:pPr>
            <w:r>
              <w:rPr>
                <w:rFonts w:ascii="Times New Roman" w:hAnsi="Times New Roman"/>
                <w:b/>
                <w:color w:val="auto"/>
                <w:sz w:val="20"/>
              </w:rPr>
              <w:t xml:space="preserve">MZVEZ SR </w:t>
            </w:r>
          </w:p>
          <w:p w:rsidR="00043D8B" w:rsidRDefault="00043D8B" w:rsidP="00043D8B">
            <w:pPr>
              <w:ind w:left="2" w:right="52"/>
              <w:jc w:val="both"/>
              <w:rPr>
                <w:rFonts w:ascii="Times New Roman" w:hAnsi="Times New Roman"/>
                <w:b/>
                <w:color w:val="auto"/>
                <w:sz w:val="20"/>
              </w:rPr>
            </w:pPr>
          </w:p>
          <w:p w:rsidR="006070A6" w:rsidRPr="0071778D" w:rsidRDefault="006070A6" w:rsidP="00043D8B">
            <w:pPr>
              <w:ind w:left="2" w:right="52"/>
              <w:jc w:val="both"/>
              <w:rPr>
                <w:rFonts w:ascii="Times New Roman" w:hAnsi="Times New Roman"/>
                <w:b/>
                <w:color w:val="auto"/>
                <w:sz w:val="20"/>
              </w:rPr>
            </w:pPr>
          </w:p>
          <w:p w:rsidR="00F9780E" w:rsidRDefault="00F9780E" w:rsidP="00043D8B">
            <w:pPr>
              <w:ind w:left="2" w:right="52"/>
              <w:jc w:val="both"/>
              <w:rPr>
                <w:rFonts w:ascii="Times New Roman" w:hAnsi="Times New Roman"/>
                <w:b/>
                <w:color w:val="auto"/>
                <w:sz w:val="20"/>
              </w:rPr>
            </w:pPr>
          </w:p>
          <w:p w:rsidR="00F9780E" w:rsidRDefault="00F9780E" w:rsidP="00043D8B">
            <w:pPr>
              <w:ind w:left="2" w:right="52"/>
              <w:jc w:val="both"/>
              <w:rPr>
                <w:rFonts w:ascii="Times New Roman" w:hAnsi="Times New Roman"/>
                <w:b/>
                <w:color w:val="auto"/>
                <w:sz w:val="20"/>
              </w:rPr>
            </w:pPr>
          </w:p>
          <w:p w:rsidR="00F9780E" w:rsidRDefault="00F9780E" w:rsidP="00043D8B">
            <w:pPr>
              <w:ind w:left="2" w:right="52"/>
              <w:jc w:val="both"/>
              <w:rPr>
                <w:rFonts w:ascii="Times New Roman" w:hAnsi="Times New Roman"/>
                <w:b/>
                <w:color w:val="auto"/>
                <w:sz w:val="20"/>
              </w:rPr>
            </w:pPr>
          </w:p>
          <w:p w:rsidR="00F9780E" w:rsidRDefault="00F9780E" w:rsidP="00043D8B">
            <w:pPr>
              <w:ind w:left="2" w:right="52"/>
              <w:jc w:val="both"/>
              <w:rPr>
                <w:rFonts w:ascii="Times New Roman" w:hAnsi="Times New Roman"/>
                <w:b/>
                <w:color w:val="auto"/>
                <w:sz w:val="20"/>
              </w:rPr>
            </w:pPr>
          </w:p>
          <w:p w:rsidR="00F9780E" w:rsidRDefault="00F9780E" w:rsidP="00043D8B">
            <w:pPr>
              <w:ind w:left="2" w:right="52"/>
              <w:jc w:val="both"/>
              <w:rPr>
                <w:rFonts w:ascii="Times New Roman" w:hAnsi="Times New Roman"/>
                <w:b/>
                <w:color w:val="auto"/>
                <w:sz w:val="20"/>
              </w:rPr>
            </w:pPr>
          </w:p>
          <w:p w:rsidR="00F9780E" w:rsidRDefault="00F9780E" w:rsidP="00043D8B">
            <w:pPr>
              <w:ind w:left="2" w:right="52"/>
              <w:jc w:val="both"/>
              <w:rPr>
                <w:rFonts w:ascii="Times New Roman" w:hAnsi="Times New Roman"/>
                <w:b/>
                <w:color w:val="auto"/>
                <w:sz w:val="20"/>
              </w:rPr>
            </w:pPr>
          </w:p>
          <w:p w:rsidR="00F9780E" w:rsidRDefault="00F9780E" w:rsidP="00043D8B">
            <w:pPr>
              <w:ind w:left="2" w:right="52"/>
              <w:jc w:val="both"/>
              <w:rPr>
                <w:rFonts w:ascii="Times New Roman" w:hAnsi="Times New Roman"/>
                <w:b/>
                <w:color w:val="auto"/>
                <w:sz w:val="20"/>
              </w:rPr>
            </w:pPr>
          </w:p>
          <w:p w:rsidR="00F9780E" w:rsidRDefault="00F9780E" w:rsidP="00043D8B">
            <w:pPr>
              <w:ind w:left="2" w:right="52"/>
              <w:jc w:val="both"/>
              <w:rPr>
                <w:rFonts w:ascii="Times New Roman" w:hAnsi="Times New Roman"/>
                <w:b/>
                <w:color w:val="auto"/>
                <w:sz w:val="20"/>
              </w:rPr>
            </w:pPr>
          </w:p>
          <w:p w:rsidR="00632382" w:rsidRDefault="00632382" w:rsidP="00043D8B">
            <w:pPr>
              <w:ind w:left="2" w:right="52"/>
              <w:jc w:val="both"/>
              <w:rPr>
                <w:rFonts w:ascii="Times New Roman" w:hAnsi="Times New Roman"/>
                <w:b/>
                <w:color w:val="auto"/>
                <w:sz w:val="20"/>
              </w:rPr>
            </w:pPr>
          </w:p>
          <w:p w:rsidR="00043D8B" w:rsidRPr="0071778D" w:rsidRDefault="00043D8B" w:rsidP="00043D8B">
            <w:pPr>
              <w:ind w:left="2" w:right="52"/>
              <w:jc w:val="both"/>
              <w:rPr>
                <w:rFonts w:ascii="Times New Roman" w:hAnsi="Times New Roman"/>
                <w:b/>
                <w:color w:val="auto"/>
                <w:sz w:val="20"/>
              </w:rPr>
            </w:pPr>
            <w:r w:rsidRPr="0071778D">
              <w:rPr>
                <w:rFonts w:ascii="Times New Roman" w:hAnsi="Times New Roman"/>
                <w:b/>
                <w:color w:val="auto"/>
                <w:sz w:val="20"/>
              </w:rPr>
              <w:t>MZ SR</w:t>
            </w:r>
          </w:p>
        </w:tc>
        <w:tc>
          <w:tcPr>
            <w:tcW w:w="3969" w:type="dxa"/>
            <w:tcBorders>
              <w:top w:val="single" w:sz="4" w:space="0" w:color="auto"/>
              <w:left w:val="single" w:sz="4" w:space="0" w:color="000000"/>
              <w:bottom w:val="single" w:sz="34" w:space="0" w:color="92D050"/>
              <w:right w:val="single" w:sz="4" w:space="0" w:color="000000"/>
            </w:tcBorders>
          </w:tcPr>
          <w:p w:rsidR="00043D8B" w:rsidRPr="00F9780E" w:rsidRDefault="00043D8B" w:rsidP="00043D8B">
            <w:pPr>
              <w:spacing w:after="28"/>
              <w:ind w:left="2"/>
              <w:jc w:val="both"/>
              <w:rPr>
                <w:rFonts w:ascii="Times New Roman" w:hAnsi="Times New Roman"/>
                <w:b/>
                <w:sz w:val="20"/>
                <w:szCs w:val="20"/>
                <w:u w:val="single"/>
              </w:rPr>
            </w:pPr>
            <w:r w:rsidRPr="00F9780E">
              <w:rPr>
                <w:rFonts w:ascii="Times New Roman" w:hAnsi="Times New Roman"/>
                <w:b/>
                <w:sz w:val="20"/>
                <w:szCs w:val="20"/>
                <w:u w:val="single"/>
              </w:rPr>
              <w:t>Vysoká priorita</w:t>
            </w:r>
          </w:p>
          <w:p w:rsidR="00043D8B" w:rsidRDefault="00043D8B" w:rsidP="00043D8B">
            <w:pPr>
              <w:ind w:right="52"/>
              <w:jc w:val="both"/>
              <w:rPr>
                <w:rFonts w:ascii="Times New Roman" w:hAnsi="Times New Roman"/>
                <w:color w:val="auto"/>
                <w:sz w:val="20"/>
                <w:szCs w:val="20"/>
              </w:rPr>
            </w:pPr>
            <w:r>
              <w:rPr>
                <w:rFonts w:ascii="Times New Roman" w:hAnsi="Times New Roman"/>
                <w:color w:val="auto"/>
                <w:sz w:val="20"/>
                <w:szCs w:val="20"/>
              </w:rPr>
              <w:t>K</w:t>
            </w:r>
            <w:r w:rsidRPr="0071778D">
              <w:rPr>
                <w:rFonts w:ascii="Times New Roman" w:hAnsi="Times New Roman"/>
                <w:color w:val="auto"/>
                <w:sz w:val="20"/>
                <w:szCs w:val="20"/>
              </w:rPr>
              <w:t>oordinovaný plán rozvoja umelej inteligencie bude nadväzovať vládny materiál – Stratégia digitálnej transformácie Slovenska</w:t>
            </w:r>
          </w:p>
          <w:p w:rsidR="002A2EFE" w:rsidRPr="00F9780E" w:rsidRDefault="002A2EFE" w:rsidP="002A2EFE">
            <w:pPr>
              <w:spacing w:after="28"/>
              <w:ind w:left="2"/>
              <w:jc w:val="both"/>
              <w:rPr>
                <w:rFonts w:ascii="Times New Roman" w:hAnsi="Times New Roman"/>
                <w:b/>
                <w:sz w:val="20"/>
                <w:szCs w:val="20"/>
                <w:u w:val="single"/>
              </w:rPr>
            </w:pPr>
            <w:r w:rsidRPr="00F9780E">
              <w:rPr>
                <w:rFonts w:ascii="Times New Roman" w:hAnsi="Times New Roman"/>
                <w:b/>
                <w:sz w:val="20"/>
                <w:szCs w:val="20"/>
                <w:u w:val="single"/>
              </w:rPr>
              <w:t>Vysoká priorita</w:t>
            </w:r>
          </w:p>
          <w:p w:rsidR="00522112" w:rsidRPr="00F9780E" w:rsidRDefault="00522112" w:rsidP="00F9780E">
            <w:pPr>
              <w:jc w:val="both"/>
              <w:rPr>
                <w:rFonts w:ascii="Times New Roman" w:hAnsi="Times New Roman"/>
                <w:color w:val="auto"/>
                <w:sz w:val="20"/>
                <w:szCs w:val="20"/>
              </w:rPr>
            </w:pPr>
            <w:r w:rsidRPr="002A2EFE">
              <w:rPr>
                <w:rFonts w:ascii="Times New Roman" w:hAnsi="Times New Roman"/>
                <w:color w:val="auto"/>
                <w:sz w:val="20"/>
                <w:szCs w:val="20"/>
              </w:rPr>
              <w:t>Akčný plán kladie osobitný dôraz práve na mobilizáciu inštitúcií EÚ a členských štátov v 1. polroku pred európskymi voľbami v máji 2019.</w:t>
            </w:r>
            <w:r w:rsidR="002A2EFE" w:rsidRPr="00F9780E">
              <w:rPr>
                <w:rFonts w:ascii="Times New Roman" w:hAnsi="Times New Roman"/>
                <w:color w:val="auto"/>
                <w:sz w:val="20"/>
                <w:szCs w:val="20"/>
              </w:rPr>
              <w:t xml:space="preserve"> Akčný plán reaguje na strategickú hrozbu – virálne šírenie dezinformácií (t.j. úmyselne falošných a zavádzajúcich informácií) s cieľom ovplyvňovania verejnej mienky a politických procesov – s potenciálom zásadne ovplyvniť aj výsledky volieb do Európskeho parlamentu. Akčný plán stavia na doterajších krokoch EÚ v boji s hybridnými hrozbami a dezinformáciami (Akčný plán pre strategickú komunikáciu z júna 2015; Spoločný rámec pre čelenie hybridným hrozbám z apríla 2016; Oznámenie EK Boj proti dezinformáciám na internete z apríla 201</w:t>
            </w:r>
          </w:p>
          <w:p w:rsidR="00632382" w:rsidRPr="00F9780E" w:rsidRDefault="00632382" w:rsidP="00632382">
            <w:pPr>
              <w:spacing w:after="28"/>
              <w:ind w:left="2"/>
              <w:jc w:val="both"/>
              <w:rPr>
                <w:rFonts w:ascii="Times New Roman" w:hAnsi="Times New Roman"/>
                <w:b/>
                <w:sz w:val="20"/>
                <w:szCs w:val="20"/>
                <w:u w:val="single"/>
              </w:rPr>
            </w:pPr>
            <w:r>
              <w:rPr>
                <w:rFonts w:ascii="Times New Roman" w:hAnsi="Times New Roman"/>
                <w:b/>
                <w:sz w:val="20"/>
                <w:szCs w:val="20"/>
                <w:u w:val="single"/>
              </w:rPr>
              <w:t xml:space="preserve">Stredná </w:t>
            </w:r>
            <w:r w:rsidRPr="00F9780E">
              <w:rPr>
                <w:rFonts w:ascii="Times New Roman" w:hAnsi="Times New Roman"/>
                <w:b/>
                <w:sz w:val="20"/>
                <w:szCs w:val="20"/>
                <w:u w:val="single"/>
              </w:rPr>
              <w:t xml:space="preserve"> priorita</w:t>
            </w:r>
          </w:p>
          <w:p w:rsidR="00522112" w:rsidRPr="00F9780E" w:rsidRDefault="00632382" w:rsidP="00043D8B">
            <w:pPr>
              <w:ind w:right="52"/>
              <w:jc w:val="both"/>
              <w:rPr>
                <w:rFonts w:ascii="Times New Roman" w:hAnsi="Times New Roman"/>
                <w:color w:val="auto"/>
                <w:sz w:val="20"/>
                <w:szCs w:val="20"/>
              </w:rPr>
            </w:pPr>
            <w:r w:rsidRPr="00632382">
              <w:rPr>
                <w:rFonts w:ascii="Times New Roman" w:hAnsi="Times New Roman"/>
                <w:color w:val="auto"/>
                <w:sz w:val="20"/>
                <w:szCs w:val="20"/>
              </w:rPr>
              <w:t>Zástupcovia MZ SR  a NCZI SR sa aktívne zúčastňovali na súvisiacich workshopoch a telekonferenciách, podieľali sa na posudzovaní a pripomienkovaní draft verzií príslušného dokumentu a s obsahom jeho finálnej verzie súhlasia. Dokument bol už EK publikovaný. V budúcnosti sa tento dokument bude priebežne aktualizovať podľa nových požiadaviek</w:t>
            </w:r>
          </w:p>
        </w:tc>
      </w:tr>
      <w:tr w:rsidR="00B1660F" w:rsidTr="00DE6A1C">
        <w:trPr>
          <w:trHeight w:val="463"/>
        </w:trPr>
        <w:tc>
          <w:tcPr>
            <w:tcW w:w="14537" w:type="dxa"/>
            <w:gridSpan w:val="6"/>
            <w:tcBorders>
              <w:top w:val="single" w:sz="34" w:space="0" w:color="92D050"/>
              <w:left w:val="single" w:sz="4" w:space="0" w:color="000000"/>
              <w:bottom w:val="single" w:sz="4" w:space="0" w:color="000000"/>
              <w:right w:val="single" w:sz="4" w:space="0" w:color="000000"/>
            </w:tcBorders>
            <w:shd w:val="clear" w:color="auto" w:fill="92D050"/>
            <w:vAlign w:val="center"/>
          </w:tcPr>
          <w:p w:rsidR="00B1660F" w:rsidRPr="0071778D" w:rsidRDefault="00B1660F" w:rsidP="00043D8B">
            <w:pPr>
              <w:jc w:val="both"/>
              <w:rPr>
                <w:rFonts w:ascii="Times New Roman" w:hAnsi="Times New Roman"/>
                <w:b/>
                <w:sz w:val="20"/>
                <w:szCs w:val="20"/>
              </w:rPr>
            </w:pPr>
            <w:r>
              <w:rPr>
                <w:rFonts w:ascii="Times New Roman" w:hAnsi="Times New Roman"/>
                <w:b/>
                <w:sz w:val="20"/>
              </w:rPr>
              <w:lastRenderedPageBreak/>
              <w:t>Odolná energetická únia a politika v oblasti zmeny klímy orientovaná na budúcnosť</w:t>
            </w:r>
            <w:r>
              <w:rPr>
                <w:rFonts w:ascii="Times New Roman" w:hAnsi="Times New Roman"/>
                <w:sz w:val="20"/>
              </w:rPr>
              <w:t xml:space="preserve"> </w:t>
            </w:r>
          </w:p>
        </w:tc>
      </w:tr>
      <w:tr w:rsidR="00043D8B" w:rsidTr="00043D8B">
        <w:trPr>
          <w:trHeight w:val="359"/>
        </w:trPr>
        <w:tc>
          <w:tcPr>
            <w:tcW w:w="541" w:type="dxa"/>
            <w:tcBorders>
              <w:top w:val="single" w:sz="4" w:space="0" w:color="000000"/>
              <w:left w:val="single" w:sz="4" w:space="0" w:color="000000"/>
              <w:bottom w:val="single" w:sz="4" w:space="0" w:color="000000"/>
              <w:right w:val="single" w:sz="4" w:space="0" w:color="000000"/>
            </w:tcBorders>
          </w:tcPr>
          <w:p w:rsidR="00043D8B" w:rsidRDefault="00043D8B" w:rsidP="00043D8B">
            <w:r>
              <w:rPr>
                <w:rFonts w:ascii="Times New Roman" w:hAnsi="Times New Roman"/>
                <w:sz w:val="20"/>
              </w:rPr>
              <w:t>4.</w:t>
            </w:r>
            <w:r>
              <w:rPr>
                <w:rFonts w:ascii="Arial" w:hAnsi="Arial" w:cs="Arial"/>
                <w:sz w:val="20"/>
              </w:rPr>
              <w:t xml:space="preserve"> </w:t>
            </w:r>
          </w:p>
        </w:tc>
        <w:tc>
          <w:tcPr>
            <w:tcW w:w="1805" w:type="dxa"/>
            <w:tcBorders>
              <w:top w:val="single" w:sz="4" w:space="0" w:color="000000"/>
              <w:left w:val="single" w:sz="4" w:space="0" w:color="000000"/>
              <w:bottom w:val="single" w:sz="4" w:space="0" w:color="000000"/>
              <w:right w:val="single" w:sz="4" w:space="0" w:color="000000"/>
            </w:tcBorders>
          </w:tcPr>
          <w:p w:rsidR="00043D8B" w:rsidRDefault="00043D8B" w:rsidP="00043D8B">
            <w:pPr>
              <w:ind w:left="1"/>
            </w:pPr>
            <w:r>
              <w:rPr>
                <w:rFonts w:ascii="Times New Roman" w:hAnsi="Times New Roman"/>
                <w:b/>
                <w:sz w:val="20"/>
              </w:rPr>
              <w:t xml:space="preserve">Vykonávanie Parížskej dohody </w:t>
            </w:r>
          </w:p>
        </w:tc>
        <w:tc>
          <w:tcPr>
            <w:tcW w:w="2268" w:type="dxa"/>
            <w:tcBorders>
              <w:top w:val="single" w:sz="4" w:space="0" w:color="000000"/>
              <w:left w:val="single" w:sz="4" w:space="0" w:color="000000"/>
              <w:bottom w:val="single" w:sz="4" w:space="0" w:color="000000"/>
              <w:right w:val="single" w:sz="4" w:space="0" w:color="000000"/>
            </w:tcBorders>
          </w:tcPr>
          <w:p w:rsidR="00043D8B" w:rsidRDefault="00043D8B" w:rsidP="00043D8B">
            <w:pPr>
              <w:spacing w:after="28" w:line="250" w:lineRule="auto"/>
              <w:ind w:left="2"/>
              <w:jc w:val="both"/>
            </w:pPr>
            <w:r>
              <w:rPr>
                <w:rFonts w:ascii="Times New Roman" w:hAnsi="Times New Roman"/>
                <w:sz w:val="20"/>
              </w:rPr>
              <w:t xml:space="preserve"> (nelegislatívna iniciatíva, 4. </w:t>
            </w:r>
          </w:p>
          <w:p w:rsidR="00043D8B" w:rsidRDefault="00043D8B" w:rsidP="00043D8B">
            <w:pPr>
              <w:ind w:left="2"/>
            </w:pPr>
            <w:r>
              <w:rPr>
                <w:rFonts w:ascii="Times New Roman" w:hAnsi="Times New Roman"/>
                <w:sz w:val="20"/>
              </w:rPr>
              <w:t>štvrťrok 2018)</w:t>
            </w:r>
            <w:r>
              <w:rPr>
                <w:rFonts w:ascii="Times New Roman" w:hAnsi="Times New Roman"/>
                <w:b/>
                <w:sz w:val="20"/>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043D8B" w:rsidRDefault="00043D8B" w:rsidP="00043D8B">
            <w:pPr>
              <w:spacing w:after="28" w:line="250" w:lineRule="auto"/>
              <w:ind w:left="2"/>
              <w:jc w:val="both"/>
              <w:rPr>
                <w:rFonts w:ascii="Times New Roman" w:hAnsi="Times New Roman"/>
                <w:b/>
                <w:sz w:val="20"/>
              </w:rPr>
            </w:pPr>
            <w:r>
              <w:rPr>
                <w:rFonts w:ascii="Times New Roman" w:hAnsi="Times New Roman"/>
                <w:b/>
                <w:sz w:val="20"/>
              </w:rPr>
              <w:t>Stratégia pre dlhodobé zníženie emisií skleníkových plynov v EÚ v súlade s Parížskou dohodou (iniciatíva pred konferenciou o zmene klímy v Katoviciach, ktorá sa uskutoční 3. – 14. decembra)</w:t>
            </w:r>
          </w:p>
        </w:tc>
        <w:tc>
          <w:tcPr>
            <w:tcW w:w="1418" w:type="dxa"/>
            <w:tcBorders>
              <w:top w:val="single" w:sz="4" w:space="0" w:color="000000"/>
              <w:left w:val="single" w:sz="4" w:space="0" w:color="000000"/>
              <w:bottom w:val="single" w:sz="4" w:space="0" w:color="000000"/>
              <w:right w:val="single" w:sz="4" w:space="0" w:color="000000"/>
            </w:tcBorders>
          </w:tcPr>
          <w:p w:rsidR="00043D8B" w:rsidRPr="0071778D" w:rsidRDefault="00043D8B" w:rsidP="00043D8B">
            <w:pPr>
              <w:spacing w:after="28" w:line="250" w:lineRule="auto"/>
              <w:ind w:left="2"/>
              <w:jc w:val="both"/>
              <w:rPr>
                <w:rFonts w:ascii="Times New Roman" w:hAnsi="Times New Roman"/>
                <w:b/>
                <w:sz w:val="20"/>
              </w:rPr>
            </w:pPr>
            <w:r w:rsidRPr="0071778D">
              <w:rPr>
                <w:rFonts w:ascii="Times New Roman" w:hAnsi="Times New Roman"/>
                <w:b/>
                <w:sz w:val="20"/>
              </w:rPr>
              <w:t>MŽP SR</w:t>
            </w:r>
          </w:p>
          <w:p w:rsidR="00043D8B" w:rsidRPr="0071778D" w:rsidRDefault="00043D8B" w:rsidP="00043D8B">
            <w:pPr>
              <w:spacing w:after="28" w:line="250" w:lineRule="auto"/>
              <w:ind w:left="2"/>
              <w:jc w:val="both"/>
              <w:rPr>
                <w:rFonts w:ascii="Times New Roman" w:hAnsi="Times New Roman"/>
                <w:b/>
                <w:sz w:val="20"/>
              </w:rPr>
            </w:pPr>
            <w:r w:rsidRPr="0071778D">
              <w:rPr>
                <w:rFonts w:ascii="Times New Roman" w:hAnsi="Times New Roman"/>
                <w:b/>
                <w:sz w:val="20"/>
              </w:rPr>
              <w:t xml:space="preserve">MH SR, </w:t>
            </w:r>
          </w:p>
          <w:p w:rsidR="00043D8B" w:rsidRPr="0071778D" w:rsidRDefault="00043D8B" w:rsidP="00043D8B">
            <w:pPr>
              <w:spacing w:after="28" w:line="250" w:lineRule="auto"/>
              <w:ind w:left="2"/>
              <w:rPr>
                <w:rFonts w:ascii="Times New Roman" w:hAnsi="Times New Roman"/>
                <w:b/>
                <w:sz w:val="20"/>
              </w:rPr>
            </w:pPr>
            <w:r w:rsidRPr="0071778D">
              <w:rPr>
                <w:rFonts w:ascii="Times New Roman" w:hAnsi="Times New Roman"/>
                <w:b/>
                <w:sz w:val="20"/>
              </w:rPr>
              <w:t>MV SR, MPaRV SR, MDV SR  MŠVVaŠ SR</w:t>
            </w:r>
          </w:p>
        </w:tc>
        <w:tc>
          <w:tcPr>
            <w:tcW w:w="3969" w:type="dxa"/>
            <w:tcBorders>
              <w:top w:val="single" w:sz="4" w:space="0" w:color="000000"/>
              <w:left w:val="single" w:sz="4" w:space="0" w:color="000000"/>
              <w:bottom w:val="single" w:sz="4" w:space="0" w:color="000000"/>
              <w:right w:val="single" w:sz="4" w:space="0" w:color="000000"/>
            </w:tcBorders>
          </w:tcPr>
          <w:p w:rsidR="00043D8B" w:rsidRPr="0071778D" w:rsidRDefault="00043D8B" w:rsidP="00043D8B">
            <w:pPr>
              <w:spacing w:after="28"/>
              <w:ind w:left="2"/>
              <w:jc w:val="both"/>
              <w:rPr>
                <w:rFonts w:ascii="Times New Roman" w:hAnsi="Times New Roman"/>
                <w:b/>
                <w:sz w:val="20"/>
                <w:szCs w:val="20"/>
                <w:u w:val="single"/>
              </w:rPr>
            </w:pPr>
            <w:r w:rsidRPr="0071778D">
              <w:rPr>
                <w:rFonts w:ascii="Times New Roman" w:hAnsi="Times New Roman"/>
                <w:b/>
                <w:sz w:val="20"/>
                <w:szCs w:val="20"/>
                <w:u w:val="single"/>
              </w:rPr>
              <w:t>Vysoká priorita</w:t>
            </w:r>
          </w:p>
          <w:p w:rsidR="00043D8B" w:rsidRPr="0071778D" w:rsidRDefault="00043D8B" w:rsidP="00043D8B">
            <w:pPr>
              <w:spacing w:after="28"/>
              <w:ind w:left="2"/>
              <w:jc w:val="both"/>
              <w:rPr>
                <w:rFonts w:ascii="Times New Roman" w:hAnsi="Times New Roman"/>
                <w:sz w:val="20"/>
                <w:szCs w:val="20"/>
              </w:rPr>
            </w:pPr>
            <w:r w:rsidRPr="0071778D">
              <w:rPr>
                <w:rFonts w:ascii="Times New Roman" w:hAnsi="Times New Roman"/>
                <w:sz w:val="20"/>
                <w:szCs w:val="20"/>
              </w:rPr>
              <w:t>Primárnym cieľom tohto oznámenia je modelové cvičenie EK s víziou ako splniť ciele Parížskej dohody. EK predstavila 8 scenárov, ktorými by EÚ mala pomôcť tieto globálne ciele dosiahnuť. Akoukoľvek cestou sa však EÚ vydá, táto transformácia predstavená vo všetkých scenároch je technologicky, ekonomicky a sociálne možná, aj keď veľmi náročná; a bude si vyžadovať obrovské zmeny vo všetkých oblastiach hospodárstva,   života a  fungovania občanov EÚ v priebehu jednej generácie.EK postupne prezentuje EU LTS na rôznych zoskupeniach Rady (dňa 19.12.2018 prebehla politická diskusia na TTE Rade pre energetiku a dňa 20.12.2018 politická diskusia na ENVI Rade). Zámerom EK je počas roka 2019 diskutovať v EP a v Rade, (vrátane jej všetkých formácií), tak aby EÚ lídri mohli prijať usmernenie  v máji na Summite v Sibiu. Zároveň bude EK v prvom polroku 2019 debatovať o svojej vízii so všetkými zainteresovanými stranami z EÚ. LTS by sa mala prijať na začiatku roku 2020 a mala by odzrkadľovať ambiciózny záväzok v rámci UNFCCC.SK zatiaľ nemá prijatú predbežnú pozíciu a k návrhu si uplatňujeme výhradu preskúmania.</w:t>
            </w:r>
          </w:p>
        </w:tc>
      </w:tr>
      <w:tr w:rsidR="00043D8B" w:rsidTr="00043D8B">
        <w:trPr>
          <w:trHeight w:val="674"/>
        </w:trPr>
        <w:tc>
          <w:tcPr>
            <w:tcW w:w="541" w:type="dxa"/>
            <w:tcBorders>
              <w:top w:val="single" w:sz="4" w:space="0" w:color="000000"/>
              <w:left w:val="single" w:sz="4" w:space="0" w:color="000000"/>
              <w:bottom w:val="single" w:sz="34" w:space="0" w:color="B2B2B2"/>
              <w:right w:val="single" w:sz="4" w:space="0" w:color="000000"/>
            </w:tcBorders>
          </w:tcPr>
          <w:p w:rsidR="00043D8B" w:rsidRDefault="00043D8B" w:rsidP="00043D8B">
            <w:r>
              <w:rPr>
                <w:rFonts w:ascii="Times New Roman" w:hAnsi="Times New Roman"/>
                <w:sz w:val="20"/>
              </w:rPr>
              <w:t>5.</w:t>
            </w:r>
            <w:r>
              <w:rPr>
                <w:rFonts w:ascii="Arial" w:hAnsi="Arial" w:cs="Arial"/>
                <w:sz w:val="20"/>
              </w:rPr>
              <w:t xml:space="preserve"> </w:t>
            </w:r>
          </w:p>
        </w:tc>
        <w:tc>
          <w:tcPr>
            <w:tcW w:w="1805" w:type="dxa"/>
            <w:tcBorders>
              <w:top w:val="single" w:sz="4" w:space="0" w:color="000000"/>
              <w:left w:val="single" w:sz="4" w:space="0" w:color="000000"/>
              <w:bottom w:val="single" w:sz="34" w:space="0" w:color="B2B2B2"/>
              <w:right w:val="single" w:sz="4" w:space="0" w:color="000000"/>
            </w:tcBorders>
          </w:tcPr>
          <w:p w:rsidR="00043D8B" w:rsidRDefault="00043D8B" w:rsidP="00043D8B">
            <w:pPr>
              <w:ind w:left="1"/>
            </w:pPr>
            <w:r>
              <w:rPr>
                <w:rFonts w:ascii="Times New Roman" w:hAnsi="Times New Roman"/>
                <w:b/>
                <w:sz w:val="20"/>
              </w:rPr>
              <w:t xml:space="preserve">Dobudovanie energetickej únie </w:t>
            </w:r>
          </w:p>
        </w:tc>
        <w:tc>
          <w:tcPr>
            <w:tcW w:w="2268" w:type="dxa"/>
            <w:tcBorders>
              <w:top w:val="single" w:sz="4" w:space="0" w:color="000000"/>
              <w:left w:val="single" w:sz="4" w:space="0" w:color="000000"/>
              <w:bottom w:val="single" w:sz="34" w:space="0" w:color="B2B2B2"/>
              <w:right w:val="single" w:sz="4" w:space="0" w:color="000000"/>
            </w:tcBorders>
            <w:vAlign w:val="center"/>
          </w:tcPr>
          <w:p w:rsidR="00043D8B" w:rsidRDefault="00043D8B" w:rsidP="00043D8B">
            <w:pPr>
              <w:ind w:left="2"/>
              <w:jc w:val="both"/>
            </w:pPr>
            <w:r>
              <w:t>(</w:t>
            </w:r>
            <w:r>
              <w:rPr>
                <w:rFonts w:ascii="Times New Roman" w:hAnsi="Times New Roman"/>
                <w:sz w:val="20"/>
              </w:rPr>
              <w:t xml:space="preserve">nelegislatívna iniciatíva) </w:t>
            </w:r>
          </w:p>
        </w:tc>
        <w:tc>
          <w:tcPr>
            <w:tcW w:w="4536" w:type="dxa"/>
            <w:tcBorders>
              <w:top w:val="single" w:sz="4" w:space="0" w:color="000000"/>
              <w:left w:val="single" w:sz="4" w:space="0" w:color="000000"/>
              <w:bottom w:val="single" w:sz="34" w:space="0" w:color="B2B2B2"/>
              <w:right w:val="single" w:sz="4" w:space="0" w:color="000000"/>
            </w:tcBorders>
          </w:tcPr>
          <w:p w:rsidR="00043D8B" w:rsidRDefault="00043D8B" w:rsidP="00043D8B">
            <w:pPr>
              <w:ind w:left="2"/>
              <w:jc w:val="both"/>
              <w:rPr>
                <w:rFonts w:ascii="Times New Roman" w:hAnsi="Times New Roman"/>
                <w:sz w:val="20"/>
              </w:rPr>
            </w:pPr>
            <w:r>
              <w:rPr>
                <w:rFonts w:ascii="Times New Roman" w:hAnsi="Times New Roman"/>
                <w:b/>
                <w:sz w:val="20"/>
              </w:rPr>
              <w:t>4. správa o stave energetickej únie</w:t>
            </w:r>
            <w:r>
              <w:rPr>
                <w:rFonts w:ascii="Times New Roman" w:hAnsi="Times New Roman"/>
                <w:sz w:val="20"/>
              </w:rPr>
              <w:t xml:space="preserve"> (nelegislatívna iniciatíva, 1. štvrťrok 2019), </w:t>
            </w:r>
            <w:r>
              <w:rPr>
                <w:rFonts w:ascii="Times New Roman" w:hAnsi="Times New Roman"/>
                <w:b/>
                <w:sz w:val="20"/>
              </w:rPr>
              <w:t>Správa o strategickom akčnom pláne pre batérie</w:t>
            </w:r>
            <w:r>
              <w:rPr>
                <w:rFonts w:ascii="Times New Roman" w:hAnsi="Times New Roman"/>
                <w:sz w:val="20"/>
              </w:rPr>
              <w:t xml:space="preserve"> (nelegislatívna iniciatíva, 1. štvrťrok 2019)</w:t>
            </w:r>
          </w:p>
          <w:p w:rsidR="00043D8B" w:rsidRDefault="00043D8B" w:rsidP="00043D8B">
            <w:pPr>
              <w:ind w:left="2"/>
              <w:jc w:val="both"/>
              <w:rPr>
                <w:rFonts w:ascii="Times New Roman" w:hAnsi="Times New Roman"/>
                <w:b/>
                <w:sz w:val="20"/>
              </w:rPr>
            </w:pPr>
          </w:p>
        </w:tc>
        <w:tc>
          <w:tcPr>
            <w:tcW w:w="1418" w:type="dxa"/>
            <w:tcBorders>
              <w:top w:val="single" w:sz="4" w:space="0" w:color="000000"/>
              <w:left w:val="single" w:sz="4" w:space="0" w:color="000000"/>
              <w:bottom w:val="single" w:sz="34" w:space="0" w:color="B2B2B2"/>
              <w:right w:val="single" w:sz="4" w:space="0" w:color="000000"/>
            </w:tcBorders>
          </w:tcPr>
          <w:p w:rsidR="00043D8B" w:rsidRPr="0071778D" w:rsidRDefault="00043D8B" w:rsidP="00043D8B">
            <w:pPr>
              <w:ind w:left="2"/>
              <w:jc w:val="both"/>
              <w:rPr>
                <w:rFonts w:ascii="Times New Roman" w:hAnsi="Times New Roman"/>
                <w:b/>
                <w:sz w:val="20"/>
              </w:rPr>
            </w:pPr>
            <w:r w:rsidRPr="0071778D">
              <w:rPr>
                <w:rFonts w:ascii="Times New Roman" w:hAnsi="Times New Roman"/>
                <w:b/>
                <w:sz w:val="20"/>
              </w:rPr>
              <w:t>MH SR</w:t>
            </w:r>
          </w:p>
        </w:tc>
        <w:tc>
          <w:tcPr>
            <w:tcW w:w="3969" w:type="dxa"/>
            <w:tcBorders>
              <w:top w:val="single" w:sz="4" w:space="0" w:color="000000"/>
              <w:left w:val="single" w:sz="4" w:space="0" w:color="000000"/>
              <w:bottom w:val="single" w:sz="34" w:space="0" w:color="B2B2B2"/>
              <w:right w:val="single" w:sz="4" w:space="0" w:color="000000"/>
            </w:tcBorders>
          </w:tcPr>
          <w:p w:rsidR="00043D8B" w:rsidRPr="0071778D" w:rsidRDefault="00043D8B" w:rsidP="00043D8B">
            <w:pPr>
              <w:jc w:val="both"/>
              <w:rPr>
                <w:rFonts w:ascii="Times New Roman" w:hAnsi="Times New Roman"/>
                <w:b/>
                <w:sz w:val="20"/>
                <w:szCs w:val="20"/>
                <w:u w:val="single"/>
              </w:rPr>
            </w:pPr>
            <w:r w:rsidRPr="0071778D">
              <w:rPr>
                <w:rFonts w:ascii="Times New Roman" w:hAnsi="Times New Roman"/>
                <w:b/>
                <w:sz w:val="20"/>
                <w:szCs w:val="20"/>
                <w:u w:val="single"/>
              </w:rPr>
              <w:t xml:space="preserve">Nízka priorita </w:t>
            </w:r>
          </w:p>
          <w:p w:rsidR="00043D8B" w:rsidRPr="00043D8B" w:rsidRDefault="00043D8B" w:rsidP="00043D8B">
            <w:pPr>
              <w:jc w:val="both"/>
              <w:rPr>
                <w:rFonts w:ascii="Times New Roman" w:hAnsi="Times New Roman"/>
                <w:color w:val="auto"/>
                <w:sz w:val="20"/>
                <w:szCs w:val="20"/>
              </w:rPr>
            </w:pPr>
            <w:r w:rsidRPr="0071778D">
              <w:rPr>
                <w:rFonts w:ascii="Times New Roman" w:hAnsi="Times New Roman"/>
                <w:sz w:val="20"/>
                <w:szCs w:val="20"/>
              </w:rPr>
              <w:t xml:space="preserve">Výročná správa o pokroku pri dobudovaní energetickej únie a správa o strategickom akčnom pláne pre batérie. Ide o hodnotiace správy bez priamych záväzkov pre ČŠ.  </w:t>
            </w:r>
            <w:r w:rsidRPr="00043D8B">
              <w:rPr>
                <w:rFonts w:ascii="Times New Roman" w:hAnsi="Times New Roman"/>
                <w:color w:val="auto"/>
                <w:sz w:val="20"/>
                <w:szCs w:val="20"/>
              </w:rPr>
              <w:t xml:space="preserve"> </w:t>
            </w:r>
          </w:p>
        </w:tc>
      </w:tr>
      <w:tr w:rsidR="00043D8B" w:rsidTr="00043D8B">
        <w:trPr>
          <w:trHeight w:val="804"/>
        </w:trPr>
        <w:tc>
          <w:tcPr>
            <w:tcW w:w="541" w:type="dxa"/>
            <w:tcBorders>
              <w:top w:val="single" w:sz="34" w:space="0" w:color="B2B2B2"/>
              <w:left w:val="single" w:sz="4" w:space="0" w:color="000000"/>
              <w:bottom w:val="single" w:sz="4" w:space="0" w:color="000000"/>
              <w:right w:val="single" w:sz="4" w:space="0" w:color="000000"/>
            </w:tcBorders>
            <w:shd w:val="clear" w:color="auto" w:fill="B2B2B2"/>
          </w:tcPr>
          <w:p w:rsidR="00043D8B" w:rsidRDefault="00043D8B" w:rsidP="003847E2">
            <w:pPr>
              <w:spacing w:after="0"/>
            </w:pPr>
            <w:r>
              <w:rPr>
                <w:rFonts w:ascii="Times New Roman" w:hAnsi="Times New Roman"/>
                <w:sz w:val="20"/>
              </w:rPr>
              <w:lastRenderedPageBreak/>
              <w:t>6.</w:t>
            </w:r>
            <w:r>
              <w:rPr>
                <w:rFonts w:ascii="Arial" w:hAnsi="Arial" w:cs="Arial"/>
                <w:sz w:val="20"/>
              </w:rPr>
              <w:t xml:space="preserve"> </w:t>
            </w:r>
          </w:p>
        </w:tc>
        <w:tc>
          <w:tcPr>
            <w:tcW w:w="1805" w:type="dxa"/>
            <w:tcBorders>
              <w:top w:val="single" w:sz="34" w:space="0" w:color="B2B2B2"/>
              <w:left w:val="single" w:sz="4" w:space="0" w:color="000000"/>
              <w:bottom w:val="single" w:sz="4" w:space="0" w:color="000000"/>
              <w:right w:val="single" w:sz="4" w:space="0" w:color="000000"/>
            </w:tcBorders>
            <w:shd w:val="clear" w:color="auto" w:fill="B2B2B2"/>
          </w:tcPr>
          <w:p w:rsidR="00043D8B" w:rsidRDefault="00043D8B" w:rsidP="003847E2">
            <w:pPr>
              <w:spacing w:after="0"/>
              <w:ind w:left="1"/>
            </w:pPr>
            <w:r>
              <w:rPr>
                <w:rFonts w:ascii="Times New Roman" w:hAnsi="Times New Roman"/>
                <w:b/>
                <w:sz w:val="20"/>
              </w:rPr>
              <w:t xml:space="preserve">Budúcnosť politiky v oblasti klímy a energetiky </w:t>
            </w:r>
          </w:p>
        </w:tc>
        <w:tc>
          <w:tcPr>
            <w:tcW w:w="2268" w:type="dxa"/>
            <w:tcBorders>
              <w:top w:val="single" w:sz="34" w:space="0" w:color="B2B2B2"/>
              <w:left w:val="single" w:sz="4" w:space="0" w:color="000000"/>
              <w:bottom w:val="single" w:sz="4" w:space="0" w:color="000000"/>
              <w:right w:val="single" w:sz="4" w:space="0" w:color="000000"/>
            </w:tcBorders>
            <w:shd w:val="clear" w:color="auto" w:fill="B2B2B2"/>
          </w:tcPr>
          <w:p w:rsidR="00043D8B" w:rsidRDefault="00043D8B" w:rsidP="003847E2">
            <w:pPr>
              <w:spacing w:after="0"/>
              <w:ind w:left="2"/>
            </w:pPr>
            <w:r>
              <w:rPr>
                <w:rFonts w:ascii="Times New Roman" w:hAnsi="Times New Roman"/>
                <w:sz w:val="20"/>
              </w:rPr>
              <w:t xml:space="preserve"> (nelegislatívna iniciatíva, 1. štvrťrok 2019)</w:t>
            </w:r>
            <w:r>
              <w:rPr>
                <w:rFonts w:ascii="Times New Roman" w:hAnsi="Times New Roman"/>
                <w:b/>
                <w:sz w:val="20"/>
              </w:rPr>
              <w:t xml:space="preserve"> </w:t>
            </w:r>
          </w:p>
        </w:tc>
        <w:tc>
          <w:tcPr>
            <w:tcW w:w="4536" w:type="dxa"/>
            <w:tcBorders>
              <w:top w:val="single" w:sz="34" w:space="0" w:color="B2B2B2"/>
              <w:left w:val="single" w:sz="4" w:space="0" w:color="000000"/>
              <w:bottom w:val="single" w:sz="4" w:space="0" w:color="000000"/>
              <w:right w:val="single" w:sz="4" w:space="0" w:color="000000"/>
            </w:tcBorders>
            <w:shd w:val="clear" w:color="auto" w:fill="B2B2B2"/>
          </w:tcPr>
          <w:p w:rsidR="00043D8B" w:rsidRDefault="00043D8B" w:rsidP="003847E2">
            <w:pPr>
              <w:spacing w:after="0" w:line="277" w:lineRule="auto"/>
              <w:ind w:left="2"/>
              <w:jc w:val="both"/>
            </w:pPr>
            <w:r>
              <w:rPr>
                <w:rFonts w:ascii="Times New Roman" w:hAnsi="Times New Roman"/>
                <w:b/>
                <w:sz w:val="20"/>
              </w:rPr>
              <w:t>Smerom k vytvoreniu nového inštitucionálneho rámca pre našu energetickú a klimatickú politiku do roku 2025: možnosti rozšírenia hlasovania kvalifikovanou väčšinou a možnosti prípadnej reformy Zmluvy o Euratome</w:t>
            </w:r>
            <w:r>
              <w:rPr>
                <w:rFonts w:ascii="Times New Roman" w:hAnsi="Times New Roman"/>
                <w:sz w:val="20"/>
              </w:rPr>
              <w:t xml:space="preserve"> </w:t>
            </w:r>
          </w:p>
          <w:p w:rsidR="00043D8B" w:rsidRDefault="00043D8B" w:rsidP="003847E2">
            <w:pPr>
              <w:spacing w:after="0" w:line="277" w:lineRule="auto"/>
              <w:ind w:left="2"/>
              <w:jc w:val="both"/>
              <w:rPr>
                <w:rFonts w:ascii="Times New Roman" w:hAnsi="Times New Roman"/>
                <w:b/>
                <w:sz w:val="20"/>
              </w:rPr>
            </w:pPr>
          </w:p>
        </w:tc>
        <w:tc>
          <w:tcPr>
            <w:tcW w:w="1418" w:type="dxa"/>
            <w:tcBorders>
              <w:top w:val="single" w:sz="34" w:space="0" w:color="B2B2B2"/>
              <w:left w:val="single" w:sz="4" w:space="0" w:color="000000"/>
              <w:bottom w:val="single" w:sz="4" w:space="0" w:color="000000"/>
              <w:right w:val="single" w:sz="4" w:space="0" w:color="000000"/>
            </w:tcBorders>
            <w:shd w:val="clear" w:color="auto" w:fill="B2B2B2"/>
          </w:tcPr>
          <w:p w:rsidR="00043D8B" w:rsidRPr="0071778D" w:rsidRDefault="00043D8B" w:rsidP="003847E2">
            <w:pPr>
              <w:spacing w:after="0" w:line="277" w:lineRule="auto"/>
              <w:ind w:left="2"/>
              <w:jc w:val="both"/>
              <w:rPr>
                <w:rFonts w:ascii="Times New Roman" w:hAnsi="Times New Roman"/>
                <w:b/>
                <w:sz w:val="20"/>
              </w:rPr>
            </w:pPr>
            <w:r w:rsidRPr="0071778D">
              <w:rPr>
                <w:rFonts w:ascii="Times New Roman" w:hAnsi="Times New Roman"/>
                <w:b/>
                <w:sz w:val="20"/>
              </w:rPr>
              <w:t>MH SR</w:t>
            </w:r>
          </w:p>
          <w:p w:rsidR="00043D8B" w:rsidRPr="0071778D" w:rsidRDefault="00043D8B" w:rsidP="003847E2">
            <w:pPr>
              <w:spacing w:after="0" w:line="277" w:lineRule="auto"/>
              <w:ind w:left="2"/>
              <w:jc w:val="both"/>
              <w:rPr>
                <w:rFonts w:ascii="Times New Roman" w:hAnsi="Times New Roman"/>
                <w:b/>
                <w:sz w:val="20"/>
              </w:rPr>
            </w:pPr>
            <w:r w:rsidRPr="0071778D">
              <w:rPr>
                <w:rFonts w:ascii="Times New Roman" w:hAnsi="Times New Roman"/>
                <w:b/>
                <w:sz w:val="20"/>
              </w:rPr>
              <w:t>MŽP SR</w:t>
            </w:r>
          </w:p>
          <w:p w:rsidR="00043D8B" w:rsidRPr="0071778D" w:rsidRDefault="00043D8B" w:rsidP="003847E2">
            <w:pPr>
              <w:spacing w:after="0" w:line="277" w:lineRule="auto"/>
              <w:ind w:left="2"/>
              <w:jc w:val="both"/>
              <w:rPr>
                <w:rFonts w:ascii="Times New Roman" w:hAnsi="Times New Roman"/>
                <w:b/>
                <w:sz w:val="20"/>
              </w:rPr>
            </w:pPr>
            <w:r w:rsidRPr="0071778D">
              <w:rPr>
                <w:rFonts w:ascii="Times New Roman" w:hAnsi="Times New Roman"/>
                <w:b/>
                <w:sz w:val="20"/>
              </w:rPr>
              <w:t>ÚJD SR</w:t>
            </w:r>
          </w:p>
        </w:tc>
        <w:tc>
          <w:tcPr>
            <w:tcW w:w="3969" w:type="dxa"/>
            <w:tcBorders>
              <w:top w:val="single" w:sz="34" w:space="0" w:color="B2B2B2"/>
              <w:left w:val="single" w:sz="4" w:space="0" w:color="000000"/>
              <w:bottom w:val="single" w:sz="4" w:space="0" w:color="000000"/>
              <w:right w:val="single" w:sz="4" w:space="0" w:color="000000"/>
            </w:tcBorders>
            <w:shd w:val="clear" w:color="auto" w:fill="B2B2B2"/>
          </w:tcPr>
          <w:p w:rsidR="00043D8B" w:rsidRPr="0071778D" w:rsidRDefault="00043D8B" w:rsidP="003847E2">
            <w:pPr>
              <w:spacing w:after="0"/>
              <w:ind w:left="2"/>
              <w:jc w:val="both"/>
              <w:rPr>
                <w:rFonts w:ascii="Times New Roman" w:hAnsi="Times New Roman"/>
                <w:b/>
                <w:sz w:val="20"/>
                <w:szCs w:val="20"/>
                <w:u w:val="single"/>
              </w:rPr>
            </w:pPr>
            <w:r w:rsidRPr="0071778D">
              <w:rPr>
                <w:rFonts w:ascii="Times New Roman" w:hAnsi="Times New Roman"/>
                <w:b/>
                <w:sz w:val="20"/>
                <w:szCs w:val="20"/>
                <w:u w:val="single"/>
              </w:rPr>
              <w:t>Vysoká priorita</w:t>
            </w:r>
          </w:p>
          <w:p w:rsidR="00043D8B" w:rsidRPr="0071778D" w:rsidRDefault="00043D8B" w:rsidP="003847E2">
            <w:pPr>
              <w:spacing w:after="0"/>
              <w:ind w:left="2"/>
              <w:jc w:val="both"/>
              <w:rPr>
                <w:rFonts w:ascii="Times New Roman" w:hAnsi="Times New Roman"/>
                <w:sz w:val="20"/>
                <w:szCs w:val="20"/>
              </w:rPr>
            </w:pPr>
            <w:r w:rsidRPr="0071778D">
              <w:rPr>
                <w:rFonts w:ascii="Times New Roman" w:hAnsi="Times New Roman"/>
                <w:sz w:val="20"/>
                <w:szCs w:val="20"/>
              </w:rPr>
              <w:t>Podporujeme optimalizáciu inštitucionálneho rámca v zmysle zvýšenia jeho efektívnosti a zabezpečenia akciechopnosti v rámci konceptu Energetickej Únie a v súlade s procesom implementácie Parížskej dohody. Zároveň však SR bude sledovať potenciálne návrhy v oblasti možnej zmeny inštitucionálneho rámca a hlasovacích</w:t>
            </w:r>
            <w:r w:rsidR="0051652B">
              <w:rPr>
                <w:rFonts w:ascii="Times New Roman" w:hAnsi="Times New Roman"/>
                <w:sz w:val="20"/>
                <w:szCs w:val="20"/>
              </w:rPr>
              <w:t xml:space="preserve"> pravidiel v oblasti energetiky </w:t>
            </w:r>
            <w:r w:rsidR="0051652B" w:rsidRPr="0051652B">
              <w:rPr>
                <w:rFonts w:ascii="Times New Roman" w:hAnsi="Times New Roman"/>
                <w:color w:val="auto"/>
                <w:sz w:val="20"/>
                <w:szCs w:val="20"/>
              </w:rPr>
              <w:t>ako aj reformy Zmluvy o Euratome, čo SR vníma problematicky</w:t>
            </w:r>
          </w:p>
        </w:tc>
      </w:tr>
      <w:tr w:rsidR="00043D8B" w:rsidTr="00043D8B">
        <w:trPr>
          <w:trHeight w:val="706"/>
        </w:trPr>
        <w:tc>
          <w:tcPr>
            <w:tcW w:w="541" w:type="dxa"/>
            <w:tcBorders>
              <w:top w:val="single" w:sz="4" w:space="0" w:color="000000"/>
              <w:left w:val="single" w:sz="4" w:space="0" w:color="000000"/>
              <w:bottom w:val="single" w:sz="34" w:space="0" w:color="92D050"/>
              <w:right w:val="single" w:sz="4" w:space="0" w:color="000000"/>
            </w:tcBorders>
          </w:tcPr>
          <w:p w:rsidR="00043D8B" w:rsidRDefault="00043D8B" w:rsidP="003847E2">
            <w:pPr>
              <w:spacing w:after="0"/>
            </w:pPr>
            <w:r>
              <w:rPr>
                <w:rFonts w:ascii="Times New Roman" w:hAnsi="Times New Roman"/>
                <w:sz w:val="20"/>
              </w:rPr>
              <w:t>7.</w:t>
            </w:r>
            <w:r>
              <w:rPr>
                <w:rFonts w:ascii="Arial" w:hAnsi="Arial" w:cs="Arial"/>
                <w:sz w:val="20"/>
              </w:rPr>
              <w:t xml:space="preserve"> </w:t>
            </w:r>
          </w:p>
        </w:tc>
        <w:tc>
          <w:tcPr>
            <w:tcW w:w="1805" w:type="dxa"/>
            <w:tcBorders>
              <w:top w:val="single" w:sz="4" w:space="0" w:color="000000"/>
              <w:left w:val="single" w:sz="4" w:space="0" w:color="000000"/>
              <w:bottom w:val="single" w:sz="34" w:space="0" w:color="92D050"/>
              <w:right w:val="single" w:sz="4" w:space="0" w:color="000000"/>
            </w:tcBorders>
            <w:vAlign w:val="center"/>
          </w:tcPr>
          <w:p w:rsidR="00043D8B" w:rsidRPr="00540422" w:rsidRDefault="00043D8B" w:rsidP="003847E2">
            <w:pPr>
              <w:spacing w:after="0"/>
              <w:ind w:left="1"/>
            </w:pPr>
            <w:r>
              <w:rPr>
                <w:rFonts w:ascii="Times New Roman" w:hAnsi="Times New Roman"/>
                <w:b/>
                <w:sz w:val="20"/>
              </w:rPr>
              <w:t xml:space="preserve">Ciele </w:t>
            </w:r>
            <w:r>
              <w:rPr>
                <w:rFonts w:ascii="Times New Roman" w:hAnsi="Times New Roman"/>
                <w:b/>
                <w:sz w:val="20"/>
              </w:rPr>
              <w:tab/>
              <w:t xml:space="preserve">v oblasti energetickej </w:t>
            </w:r>
            <w:r w:rsidRPr="00540422">
              <w:rPr>
                <w:rFonts w:ascii="Times New Roman" w:hAnsi="Times New Roman"/>
                <w:b/>
                <w:sz w:val="20"/>
              </w:rPr>
              <w:t xml:space="preserve">efektívnosti </w:t>
            </w:r>
            <w:r w:rsidRPr="00540422">
              <w:rPr>
                <w:rFonts w:ascii="Times New Roman" w:hAnsi="Times New Roman"/>
                <w:b/>
                <w:sz w:val="20"/>
              </w:rPr>
              <w:tab/>
              <w:t xml:space="preserve">– pripravenosť na brexit </w:t>
            </w:r>
          </w:p>
        </w:tc>
        <w:tc>
          <w:tcPr>
            <w:tcW w:w="2268" w:type="dxa"/>
            <w:tcBorders>
              <w:top w:val="single" w:sz="4" w:space="0" w:color="000000"/>
              <w:left w:val="single" w:sz="4" w:space="0" w:color="000000"/>
              <w:bottom w:val="single" w:sz="34" w:space="0" w:color="92D050"/>
              <w:right w:val="single" w:sz="4" w:space="0" w:color="000000"/>
            </w:tcBorders>
            <w:vAlign w:val="center"/>
          </w:tcPr>
          <w:p w:rsidR="00043D8B" w:rsidRPr="00540422" w:rsidRDefault="00043D8B" w:rsidP="003847E2">
            <w:pPr>
              <w:spacing w:after="0"/>
              <w:ind w:left="2"/>
              <w:jc w:val="both"/>
            </w:pPr>
            <w:r w:rsidRPr="00540422">
              <w:rPr>
                <w:rFonts w:ascii="Times New Roman" w:hAnsi="Times New Roman"/>
                <w:sz w:val="20"/>
              </w:rPr>
              <w:t xml:space="preserve"> (legislatívna iniciatíva, článok 194 ZFEÚ, 4. štvrťrok 2018) (pripravenosť na brexit)</w:t>
            </w:r>
            <w:r w:rsidRPr="00540422">
              <w:rPr>
                <w:rFonts w:ascii="Times New Roman" w:hAnsi="Times New Roman"/>
                <w:b/>
                <w:sz w:val="20"/>
              </w:rPr>
              <w:t xml:space="preserve"> </w:t>
            </w:r>
          </w:p>
        </w:tc>
        <w:tc>
          <w:tcPr>
            <w:tcW w:w="4536" w:type="dxa"/>
            <w:tcBorders>
              <w:top w:val="single" w:sz="4" w:space="0" w:color="000000"/>
              <w:left w:val="single" w:sz="4" w:space="0" w:color="000000"/>
              <w:bottom w:val="single" w:sz="34" w:space="0" w:color="92D050"/>
              <w:right w:val="single" w:sz="4" w:space="0" w:color="000000"/>
            </w:tcBorders>
          </w:tcPr>
          <w:p w:rsidR="00043D8B" w:rsidRPr="00540422" w:rsidRDefault="00043D8B" w:rsidP="003847E2">
            <w:pPr>
              <w:spacing w:after="0"/>
              <w:ind w:left="2"/>
              <w:jc w:val="both"/>
              <w:rPr>
                <w:rFonts w:ascii="Times New Roman" w:hAnsi="Times New Roman"/>
                <w:b/>
                <w:sz w:val="20"/>
              </w:rPr>
            </w:pPr>
            <w:r w:rsidRPr="00540422">
              <w:rPr>
                <w:rFonts w:ascii="Times New Roman" w:hAnsi="Times New Roman"/>
                <w:b/>
                <w:sz w:val="20"/>
              </w:rPr>
              <w:t>Návrh na prispôsobenie odkazov na ciele EÚ v oblasti energetickej efektívnosti (vyjadrené v absolútnych hodnotách) do roku 2030 pre EÚ s 27 členmi</w:t>
            </w:r>
          </w:p>
        </w:tc>
        <w:tc>
          <w:tcPr>
            <w:tcW w:w="1418" w:type="dxa"/>
            <w:tcBorders>
              <w:top w:val="single" w:sz="4" w:space="0" w:color="000000"/>
              <w:left w:val="single" w:sz="4" w:space="0" w:color="000000"/>
              <w:bottom w:val="single" w:sz="34" w:space="0" w:color="92D050"/>
              <w:right w:val="single" w:sz="4" w:space="0" w:color="000000"/>
            </w:tcBorders>
          </w:tcPr>
          <w:p w:rsidR="00043D8B" w:rsidRPr="0071778D" w:rsidRDefault="00043D8B" w:rsidP="003847E2">
            <w:pPr>
              <w:spacing w:after="0"/>
              <w:ind w:left="2"/>
              <w:jc w:val="both"/>
              <w:rPr>
                <w:rFonts w:ascii="Times New Roman" w:hAnsi="Times New Roman"/>
                <w:b/>
                <w:sz w:val="20"/>
              </w:rPr>
            </w:pPr>
            <w:r w:rsidRPr="0071778D">
              <w:rPr>
                <w:rFonts w:ascii="Times New Roman" w:hAnsi="Times New Roman"/>
                <w:b/>
                <w:sz w:val="20"/>
              </w:rPr>
              <w:t xml:space="preserve">MH SR </w:t>
            </w:r>
          </w:p>
          <w:p w:rsidR="00043D8B" w:rsidRPr="0071778D" w:rsidRDefault="00043D8B" w:rsidP="003847E2">
            <w:pPr>
              <w:spacing w:after="0"/>
              <w:ind w:left="2"/>
              <w:jc w:val="both"/>
              <w:rPr>
                <w:rFonts w:ascii="Times New Roman" w:hAnsi="Times New Roman"/>
                <w:b/>
                <w:sz w:val="20"/>
              </w:rPr>
            </w:pPr>
            <w:r>
              <w:rPr>
                <w:rFonts w:ascii="Times New Roman" w:hAnsi="Times New Roman"/>
                <w:b/>
                <w:sz w:val="20"/>
              </w:rPr>
              <w:t>MZVEZ SR</w:t>
            </w:r>
          </w:p>
        </w:tc>
        <w:tc>
          <w:tcPr>
            <w:tcW w:w="3969" w:type="dxa"/>
            <w:tcBorders>
              <w:top w:val="single" w:sz="4" w:space="0" w:color="000000"/>
              <w:left w:val="single" w:sz="4" w:space="0" w:color="000000"/>
              <w:bottom w:val="single" w:sz="34" w:space="0" w:color="92D050"/>
              <w:right w:val="single" w:sz="4" w:space="0" w:color="000000"/>
            </w:tcBorders>
          </w:tcPr>
          <w:p w:rsidR="00043D8B" w:rsidRPr="0071778D" w:rsidRDefault="00043D8B" w:rsidP="003847E2">
            <w:pPr>
              <w:spacing w:after="0"/>
              <w:ind w:left="2"/>
              <w:jc w:val="both"/>
              <w:rPr>
                <w:rFonts w:ascii="Times New Roman" w:hAnsi="Times New Roman"/>
                <w:b/>
                <w:sz w:val="20"/>
                <w:szCs w:val="20"/>
                <w:u w:val="single"/>
              </w:rPr>
            </w:pPr>
            <w:r w:rsidRPr="0071778D">
              <w:rPr>
                <w:rFonts w:ascii="Times New Roman" w:hAnsi="Times New Roman"/>
                <w:b/>
                <w:sz w:val="20"/>
                <w:szCs w:val="20"/>
                <w:u w:val="single"/>
              </w:rPr>
              <w:t xml:space="preserve">Nízka priorita </w:t>
            </w:r>
          </w:p>
          <w:p w:rsidR="00043D8B" w:rsidRPr="00043D8B" w:rsidRDefault="00043D8B" w:rsidP="003847E2">
            <w:pPr>
              <w:spacing w:after="0"/>
              <w:jc w:val="both"/>
              <w:rPr>
                <w:rFonts w:ascii="Times New Roman" w:hAnsi="Times New Roman"/>
                <w:color w:val="auto"/>
                <w:sz w:val="20"/>
                <w:szCs w:val="20"/>
              </w:rPr>
            </w:pPr>
            <w:r w:rsidRPr="0071778D">
              <w:rPr>
                <w:rFonts w:ascii="Times New Roman" w:hAnsi="Times New Roman"/>
                <w:sz w:val="20"/>
                <w:szCs w:val="20"/>
              </w:rPr>
              <w:t>prepočítanie a úprava schválených cieľov v oblasti energetickej efektívnosti v súvislosti s Brexitom – technické úpravy.</w:t>
            </w:r>
            <w:r w:rsidRPr="00043D8B">
              <w:rPr>
                <w:rFonts w:ascii="Times New Roman" w:hAnsi="Times New Roman"/>
                <w:color w:val="auto"/>
                <w:sz w:val="20"/>
                <w:szCs w:val="20"/>
              </w:rPr>
              <w:t xml:space="preserve"> </w:t>
            </w:r>
          </w:p>
          <w:p w:rsidR="00043D8B" w:rsidRPr="0071778D" w:rsidRDefault="00043D8B" w:rsidP="003847E2">
            <w:pPr>
              <w:pStyle w:val="Textkomentra"/>
              <w:spacing w:after="0"/>
              <w:jc w:val="both"/>
              <w:rPr>
                <w:rFonts w:ascii="Times New Roman" w:hAnsi="Times New Roman"/>
              </w:rPr>
            </w:pPr>
            <w:r w:rsidRPr="0071778D">
              <w:rPr>
                <w:rStyle w:val="Odkaznakomentr"/>
                <w:rFonts w:ascii="Times New Roman" w:hAnsi="Times New Roman"/>
                <w:sz w:val="20"/>
              </w:rPr>
              <w:t/>
            </w:r>
          </w:p>
        </w:tc>
      </w:tr>
      <w:tr w:rsidR="00B1660F" w:rsidTr="00DE6A1C">
        <w:trPr>
          <w:trHeight w:val="463"/>
        </w:trPr>
        <w:tc>
          <w:tcPr>
            <w:tcW w:w="14537" w:type="dxa"/>
            <w:gridSpan w:val="6"/>
            <w:tcBorders>
              <w:top w:val="single" w:sz="34" w:space="0" w:color="92D050"/>
              <w:left w:val="single" w:sz="4" w:space="0" w:color="000000"/>
              <w:bottom w:val="single" w:sz="4" w:space="0" w:color="000000"/>
              <w:right w:val="single" w:sz="4" w:space="0" w:color="000000"/>
            </w:tcBorders>
            <w:shd w:val="clear" w:color="auto" w:fill="92D050"/>
            <w:vAlign w:val="center"/>
          </w:tcPr>
          <w:p w:rsidR="00B1660F" w:rsidRPr="0071778D" w:rsidRDefault="00B1660F" w:rsidP="00043D8B">
            <w:pPr>
              <w:jc w:val="both"/>
              <w:rPr>
                <w:rFonts w:ascii="Times New Roman" w:hAnsi="Times New Roman"/>
                <w:b/>
                <w:sz w:val="20"/>
                <w:szCs w:val="20"/>
              </w:rPr>
            </w:pPr>
            <w:r>
              <w:rPr>
                <w:rFonts w:ascii="Times New Roman" w:hAnsi="Times New Roman"/>
                <w:b/>
                <w:sz w:val="20"/>
              </w:rPr>
              <w:t xml:space="preserve">Hlbší a spravodlivejší vnútorný trh so silnejšou priemyselnou základňou </w:t>
            </w:r>
          </w:p>
        </w:tc>
      </w:tr>
      <w:tr w:rsidR="00043D8B" w:rsidTr="00043D8B">
        <w:trPr>
          <w:trHeight w:val="675"/>
        </w:trPr>
        <w:tc>
          <w:tcPr>
            <w:tcW w:w="541" w:type="dxa"/>
            <w:tcBorders>
              <w:top w:val="single" w:sz="4" w:space="0" w:color="000000"/>
              <w:left w:val="single" w:sz="4" w:space="0" w:color="000000"/>
              <w:bottom w:val="single" w:sz="4" w:space="0" w:color="000000"/>
              <w:right w:val="single" w:sz="4" w:space="0" w:color="000000"/>
            </w:tcBorders>
          </w:tcPr>
          <w:p w:rsidR="00043D8B" w:rsidRDefault="00043D8B" w:rsidP="003847E2">
            <w:pPr>
              <w:spacing w:after="0"/>
            </w:pPr>
            <w:r>
              <w:rPr>
                <w:rFonts w:ascii="Times New Roman" w:hAnsi="Times New Roman"/>
                <w:sz w:val="20"/>
              </w:rPr>
              <w:t>8.</w:t>
            </w:r>
            <w:r>
              <w:rPr>
                <w:rFonts w:ascii="Arial" w:hAnsi="Arial" w:cs="Arial"/>
                <w:sz w:val="20"/>
              </w:rPr>
              <w:t xml:space="preserve"> </w:t>
            </w:r>
          </w:p>
        </w:tc>
        <w:tc>
          <w:tcPr>
            <w:tcW w:w="1805" w:type="dxa"/>
            <w:tcBorders>
              <w:top w:val="single" w:sz="4" w:space="0" w:color="000000"/>
              <w:left w:val="single" w:sz="4" w:space="0" w:color="000000"/>
              <w:bottom w:val="single" w:sz="4" w:space="0" w:color="000000"/>
              <w:right w:val="single" w:sz="4" w:space="0" w:color="000000"/>
            </w:tcBorders>
          </w:tcPr>
          <w:p w:rsidR="00043D8B" w:rsidRDefault="00043D8B" w:rsidP="003847E2">
            <w:pPr>
              <w:spacing w:after="0"/>
              <w:ind w:left="1"/>
            </w:pPr>
            <w:r>
              <w:rPr>
                <w:rFonts w:ascii="Times New Roman" w:hAnsi="Times New Roman"/>
                <w:b/>
                <w:sz w:val="20"/>
              </w:rPr>
              <w:t>Spravodlivý a nadčasový jednotný trh</w:t>
            </w:r>
            <w:r>
              <w:rPr>
                <w:rFonts w:ascii="Times New Roman" w:hAnsi="Times New Roman"/>
                <w:sz w:val="20"/>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043D8B" w:rsidRDefault="00043D8B" w:rsidP="003847E2">
            <w:pPr>
              <w:spacing w:after="0"/>
              <w:ind w:left="2"/>
            </w:pPr>
            <w:r>
              <w:rPr>
                <w:rFonts w:ascii="Times New Roman" w:hAnsi="Times New Roman"/>
                <w:sz w:val="20"/>
              </w:rPr>
              <w:t xml:space="preserve"> (nelegislatívna iniciatíva, 4. štvrťrok 2018)</w:t>
            </w:r>
            <w:r>
              <w:rPr>
                <w:rFonts w:ascii="Times New Roman" w:hAnsi="Times New Roman"/>
                <w:b/>
                <w:sz w:val="20"/>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043D8B" w:rsidRDefault="00043D8B" w:rsidP="003847E2">
            <w:pPr>
              <w:spacing w:after="0"/>
              <w:ind w:left="2"/>
              <w:rPr>
                <w:rFonts w:ascii="Times New Roman" w:hAnsi="Times New Roman"/>
                <w:b/>
                <w:sz w:val="20"/>
              </w:rPr>
            </w:pPr>
            <w:r>
              <w:rPr>
                <w:rFonts w:ascii="Times New Roman" w:hAnsi="Times New Roman"/>
                <w:b/>
                <w:sz w:val="20"/>
              </w:rPr>
              <w:t>Oznámenie „Smerom k plne funkčnému jednotnému trhu v rýchlo sa meniacom globálnom prostredí: odstránenie prekážok a využitie nových príležitostí v prospech občanov a podnikov</w:t>
            </w:r>
          </w:p>
          <w:p w:rsidR="00043D8B" w:rsidRDefault="00043D8B" w:rsidP="003847E2">
            <w:pPr>
              <w:spacing w:after="0"/>
              <w:ind w:left="2"/>
              <w:rPr>
                <w:rFonts w:ascii="Times New Roman" w:hAnsi="Times New Roman"/>
                <w:b/>
                <w:sz w:val="20"/>
              </w:rPr>
            </w:pPr>
          </w:p>
          <w:p w:rsidR="00043D8B" w:rsidRDefault="00043D8B" w:rsidP="003847E2">
            <w:pPr>
              <w:spacing w:after="0"/>
              <w:ind w:left="2"/>
              <w:rPr>
                <w:rFonts w:ascii="Times New Roman" w:hAnsi="Times New Roman"/>
                <w:b/>
                <w:sz w:val="20"/>
              </w:rPr>
            </w:pPr>
          </w:p>
        </w:tc>
        <w:tc>
          <w:tcPr>
            <w:tcW w:w="1418" w:type="dxa"/>
            <w:tcBorders>
              <w:top w:val="single" w:sz="4" w:space="0" w:color="000000"/>
              <w:left w:val="single" w:sz="4" w:space="0" w:color="000000"/>
              <w:bottom w:val="single" w:sz="4" w:space="0" w:color="000000"/>
              <w:right w:val="single" w:sz="4" w:space="0" w:color="000000"/>
            </w:tcBorders>
          </w:tcPr>
          <w:p w:rsidR="00043D8B" w:rsidRPr="0071778D" w:rsidRDefault="00043D8B" w:rsidP="003847E2">
            <w:pPr>
              <w:spacing w:after="0"/>
              <w:ind w:left="2"/>
              <w:rPr>
                <w:rFonts w:ascii="Times New Roman" w:hAnsi="Times New Roman"/>
                <w:b/>
                <w:sz w:val="20"/>
              </w:rPr>
            </w:pPr>
            <w:r w:rsidRPr="0071778D">
              <w:rPr>
                <w:rFonts w:ascii="Times New Roman" w:hAnsi="Times New Roman"/>
                <w:b/>
                <w:sz w:val="20"/>
              </w:rPr>
              <w:t>MH SR</w:t>
            </w:r>
          </w:p>
        </w:tc>
        <w:tc>
          <w:tcPr>
            <w:tcW w:w="3969" w:type="dxa"/>
            <w:tcBorders>
              <w:top w:val="single" w:sz="4" w:space="0" w:color="000000"/>
              <w:left w:val="single" w:sz="4" w:space="0" w:color="000000"/>
              <w:bottom w:val="single" w:sz="4" w:space="0" w:color="000000"/>
              <w:right w:val="single" w:sz="4" w:space="0" w:color="000000"/>
            </w:tcBorders>
          </w:tcPr>
          <w:p w:rsidR="00043D8B" w:rsidRPr="0071778D" w:rsidRDefault="00043D8B" w:rsidP="003847E2">
            <w:pPr>
              <w:spacing w:after="0"/>
              <w:jc w:val="both"/>
              <w:rPr>
                <w:rFonts w:ascii="Times New Roman" w:hAnsi="Times New Roman"/>
                <w:b/>
                <w:bCs/>
                <w:color w:val="auto"/>
                <w:sz w:val="20"/>
                <w:szCs w:val="20"/>
                <w:u w:val="single"/>
              </w:rPr>
            </w:pPr>
            <w:r w:rsidRPr="0071778D">
              <w:rPr>
                <w:rFonts w:ascii="Times New Roman" w:hAnsi="Times New Roman"/>
                <w:b/>
                <w:bCs/>
                <w:color w:val="auto"/>
                <w:sz w:val="20"/>
                <w:szCs w:val="20"/>
                <w:u w:val="single"/>
              </w:rPr>
              <w:t>Stredná  priorita</w:t>
            </w:r>
          </w:p>
          <w:p w:rsidR="00043D8B" w:rsidRPr="0071778D" w:rsidRDefault="00043D8B" w:rsidP="003847E2">
            <w:pPr>
              <w:spacing w:after="0"/>
              <w:ind w:left="2"/>
              <w:jc w:val="both"/>
              <w:rPr>
                <w:rFonts w:ascii="Times New Roman" w:hAnsi="Times New Roman"/>
                <w:b/>
                <w:sz w:val="20"/>
                <w:szCs w:val="20"/>
              </w:rPr>
            </w:pPr>
            <w:r w:rsidRPr="0071778D">
              <w:rPr>
                <w:rFonts w:ascii="Times New Roman" w:hAnsi="Times New Roman"/>
                <w:sz w:val="20"/>
                <w:szCs w:val="20"/>
              </w:rPr>
              <w:t>Oznámenie je prvou reakciou na výzvu Európskej Rady z marca 2018. Oznámenie vyzdvihuje prínosy JT a načrtáva oblasti, kde nie je potenciál JT ešte využitý a kde bude potrebné prijať opatrenia. Oznámenie však neprináša žiadne významné faktické zistenia, ani hĺbkovú analýzu prekážok na jednotnom trhu. SR preto podporuje záväzok KOM, že KOM bude v spolupráci s ČŠ pokračovať v monitorovaní a analyzovaní JT a predkladaní návrhov na jeho zlepšenie.</w:t>
            </w:r>
          </w:p>
        </w:tc>
      </w:tr>
      <w:tr w:rsidR="00043D8B" w:rsidTr="00043D8B">
        <w:trPr>
          <w:trHeight w:val="708"/>
        </w:trPr>
        <w:tc>
          <w:tcPr>
            <w:tcW w:w="541" w:type="dxa"/>
            <w:tcBorders>
              <w:top w:val="single" w:sz="4" w:space="0" w:color="000000"/>
              <w:left w:val="single" w:sz="4" w:space="0" w:color="000000"/>
              <w:bottom w:val="single" w:sz="34" w:space="0" w:color="B2B2B2"/>
              <w:right w:val="single" w:sz="4" w:space="0" w:color="000000"/>
            </w:tcBorders>
          </w:tcPr>
          <w:p w:rsidR="00043D8B" w:rsidRDefault="00043D8B" w:rsidP="003847E2">
            <w:pPr>
              <w:spacing w:after="0"/>
            </w:pPr>
            <w:r>
              <w:rPr>
                <w:rFonts w:ascii="Times New Roman" w:hAnsi="Times New Roman"/>
                <w:sz w:val="20"/>
              </w:rPr>
              <w:t>9.</w:t>
            </w:r>
            <w:r>
              <w:rPr>
                <w:rFonts w:ascii="Arial" w:hAnsi="Arial" w:cs="Arial"/>
                <w:sz w:val="20"/>
              </w:rPr>
              <w:t xml:space="preserve"> </w:t>
            </w:r>
          </w:p>
        </w:tc>
        <w:tc>
          <w:tcPr>
            <w:tcW w:w="1805" w:type="dxa"/>
            <w:tcBorders>
              <w:top w:val="single" w:sz="4" w:space="0" w:color="000000"/>
              <w:left w:val="single" w:sz="4" w:space="0" w:color="000000"/>
              <w:bottom w:val="single" w:sz="34" w:space="0" w:color="B2B2B2"/>
              <w:right w:val="single" w:sz="4" w:space="0" w:color="000000"/>
            </w:tcBorders>
          </w:tcPr>
          <w:p w:rsidR="00043D8B" w:rsidRDefault="00043D8B" w:rsidP="003847E2">
            <w:pPr>
              <w:spacing w:after="0"/>
              <w:ind w:left="1"/>
            </w:pPr>
            <w:r>
              <w:rPr>
                <w:rFonts w:ascii="Times New Roman" w:hAnsi="Times New Roman"/>
                <w:b/>
                <w:sz w:val="20"/>
              </w:rPr>
              <w:t xml:space="preserve">Zdravotná starostlivosť </w:t>
            </w:r>
          </w:p>
        </w:tc>
        <w:tc>
          <w:tcPr>
            <w:tcW w:w="2268" w:type="dxa"/>
            <w:tcBorders>
              <w:top w:val="single" w:sz="4" w:space="0" w:color="000000"/>
              <w:left w:val="single" w:sz="4" w:space="0" w:color="000000"/>
              <w:bottom w:val="single" w:sz="34" w:space="0" w:color="B2B2B2"/>
              <w:right w:val="single" w:sz="4" w:space="0" w:color="000000"/>
            </w:tcBorders>
            <w:vAlign w:val="center"/>
          </w:tcPr>
          <w:p w:rsidR="00043D8B" w:rsidRDefault="00043D8B" w:rsidP="00632382">
            <w:pPr>
              <w:spacing w:after="0"/>
              <w:jc w:val="both"/>
            </w:pPr>
            <w:r>
              <w:rPr>
                <w:rFonts w:ascii="Times New Roman" w:hAnsi="Times New Roman"/>
                <w:sz w:val="20"/>
              </w:rPr>
              <w:t xml:space="preserve">(nelegislatívna iniciatíva, 4. </w:t>
            </w:r>
          </w:p>
          <w:p w:rsidR="00043D8B" w:rsidRDefault="00043D8B" w:rsidP="003847E2">
            <w:pPr>
              <w:spacing w:after="0"/>
              <w:ind w:left="2"/>
            </w:pPr>
            <w:r>
              <w:rPr>
                <w:rFonts w:ascii="Times New Roman" w:hAnsi="Times New Roman"/>
                <w:sz w:val="20"/>
              </w:rPr>
              <w:t>štvrťrok 2018)</w:t>
            </w:r>
            <w:r>
              <w:rPr>
                <w:rFonts w:ascii="Times New Roman" w:hAnsi="Times New Roman"/>
                <w:b/>
                <w:sz w:val="20"/>
              </w:rPr>
              <w:t xml:space="preserve"> </w:t>
            </w:r>
          </w:p>
        </w:tc>
        <w:tc>
          <w:tcPr>
            <w:tcW w:w="4536" w:type="dxa"/>
            <w:tcBorders>
              <w:top w:val="single" w:sz="4" w:space="0" w:color="000000"/>
              <w:left w:val="single" w:sz="4" w:space="0" w:color="000000"/>
              <w:bottom w:val="single" w:sz="34" w:space="0" w:color="B2B2B2"/>
              <w:right w:val="single" w:sz="4" w:space="0" w:color="000000"/>
            </w:tcBorders>
          </w:tcPr>
          <w:p w:rsidR="00043D8B" w:rsidRDefault="00043D8B" w:rsidP="003847E2">
            <w:pPr>
              <w:spacing w:after="0"/>
              <w:ind w:left="2"/>
              <w:jc w:val="both"/>
              <w:rPr>
                <w:rFonts w:ascii="Times New Roman" w:hAnsi="Times New Roman"/>
                <w:b/>
                <w:sz w:val="20"/>
              </w:rPr>
            </w:pPr>
            <w:r>
              <w:rPr>
                <w:rFonts w:ascii="Times New Roman" w:hAnsi="Times New Roman"/>
                <w:b/>
                <w:sz w:val="20"/>
              </w:rPr>
              <w:t>Oznámenie o komplexnom rámci Európskej únie v oblasti endokrinných disruptorov</w:t>
            </w:r>
          </w:p>
          <w:p w:rsidR="00043D8B" w:rsidRDefault="00043D8B" w:rsidP="003847E2">
            <w:pPr>
              <w:spacing w:after="0"/>
              <w:ind w:left="2"/>
              <w:jc w:val="both"/>
              <w:rPr>
                <w:rFonts w:ascii="Times New Roman" w:hAnsi="Times New Roman"/>
                <w:b/>
                <w:sz w:val="20"/>
              </w:rPr>
            </w:pPr>
          </w:p>
        </w:tc>
        <w:tc>
          <w:tcPr>
            <w:tcW w:w="1418" w:type="dxa"/>
            <w:tcBorders>
              <w:top w:val="single" w:sz="4" w:space="0" w:color="000000"/>
              <w:left w:val="single" w:sz="4" w:space="0" w:color="000000"/>
              <w:bottom w:val="single" w:sz="34" w:space="0" w:color="B2B2B2"/>
              <w:right w:val="single" w:sz="4" w:space="0" w:color="000000"/>
            </w:tcBorders>
          </w:tcPr>
          <w:p w:rsidR="00043D8B" w:rsidRPr="0071778D" w:rsidRDefault="00043D8B" w:rsidP="003847E2">
            <w:pPr>
              <w:spacing w:after="0"/>
              <w:ind w:left="2"/>
              <w:jc w:val="both"/>
              <w:rPr>
                <w:rFonts w:ascii="Times New Roman" w:hAnsi="Times New Roman"/>
                <w:b/>
                <w:sz w:val="20"/>
              </w:rPr>
            </w:pPr>
            <w:r w:rsidRPr="0071778D">
              <w:rPr>
                <w:rFonts w:ascii="Times New Roman" w:hAnsi="Times New Roman"/>
                <w:b/>
                <w:sz w:val="20"/>
              </w:rPr>
              <w:t>MZ SR</w:t>
            </w:r>
          </w:p>
        </w:tc>
        <w:tc>
          <w:tcPr>
            <w:tcW w:w="3969" w:type="dxa"/>
            <w:tcBorders>
              <w:top w:val="single" w:sz="4" w:space="0" w:color="000000"/>
              <w:left w:val="single" w:sz="4" w:space="0" w:color="000000"/>
              <w:bottom w:val="single" w:sz="34" w:space="0" w:color="B2B2B2"/>
              <w:right w:val="single" w:sz="4" w:space="0" w:color="000000"/>
            </w:tcBorders>
          </w:tcPr>
          <w:p w:rsidR="00043D8B" w:rsidRPr="0071778D" w:rsidRDefault="00043D8B" w:rsidP="003847E2">
            <w:pPr>
              <w:spacing w:after="0"/>
              <w:jc w:val="both"/>
              <w:rPr>
                <w:rFonts w:ascii="Times New Roman" w:hAnsi="Times New Roman"/>
                <w:b/>
                <w:bCs/>
                <w:color w:val="auto"/>
                <w:sz w:val="20"/>
                <w:szCs w:val="20"/>
                <w:u w:val="single"/>
              </w:rPr>
            </w:pPr>
            <w:r w:rsidRPr="0071778D">
              <w:rPr>
                <w:rFonts w:ascii="Times New Roman" w:hAnsi="Times New Roman"/>
                <w:b/>
                <w:bCs/>
                <w:color w:val="auto"/>
                <w:sz w:val="20"/>
                <w:szCs w:val="20"/>
                <w:u w:val="single"/>
              </w:rPr>
              <w:t>Vysoká priorita</w:t>
            </w:r>
          </w:p>
          <w:p w:rsidR="00043D8B" w:rsidRPr="0071778D" w:rsidRDefault="00043D8B" w:rsidP="003847E2">
            <w:pPr>
              <w:spacing w:after="0"/>
              <w:jc w:val="both"/>
              <w:rPr>
                <w:rFonts w:ascii="Times New Roman" w:hAnsi="Times New Roman"/>
                <w:bCs/>
                <w:color w:val="auto"/>
                <w:sz w:val="20"/>
                <w:szCs w:val="20"/>
              </w:rPr>
            </w:pPr>
            <w:r w:rsidRPr="0071778D">
              <w:rPr>
                <w:rFonts w:ascii="Times New Roman" w:hAnsi="Times New Roman"/>
                <w:bCs/>
                <w:color w:val="auto"/>
                <w:sz w:val="20"/>
                <w:szCs w:val="20"/>
              </w:rPr>
              <w:t xml:space="preserve">V oblasti pesticídov Komisia prijala v posledných rokoch opatrenia proti endokrinným disruptorom v súlade s požiadavkami stanovenými v nariadení Európskeho parlamentu a Rady č. 1107/2009 o uvádzaní prípravkov na ochranu rastlín na trh. V rámci EÚ sa dosiahol značný pokrok v oblasti pesticídov odzrkadľujúci sa napr. v usmerňujúcom dokumente ohľadom identifikácie endokrinných disruptorov v súlade s nariadením  (EÚ) č. 528/2012 a nariadením (EC) č. 1107/2009 (EFSA Journal 2018;16(6):5311), v nariadení komisie (EÚ) 2018/605, ktorým sa mení príloha II k nariadeniu (ES) č. 1107/2009 stanovením vedeckých kritérií určovania vlastností narúšajúcich endokrinný systém a vo vykonávacom nariadení Komisie (EÚ) 2018/1659, ktorým sa mení vykonávacie nariadenie (EÚ) č. 844/2012 z hľadiska vedeckých kritérií určovania vlastností narúšajúcich endokrinný systém zavedených nariadením (EÚ) 2018/605. </w:t>
            </w:r>
          </w:p>
          <w:p w:rsidR="00043D8B" w:rsidRPr="0071778D" w:rsidRDefault="00043D8B" w:rsidP="003847E2">
            <w:pPr>
              <w:spacing w:after="0"/>
              <w:jc w:val="both"/>
              <w:rPr>
                <w:rFonts w:ascii="Times New Roman" w:hAnsi="Times New Roman"/>
                <w:bCs/>
                <w:color w:val="auto"/>
                <w:sz w:val="20"/>
                <w:szCs w:val="20"/>
              </w:rPr>
            </w:pPr>
            <w:r w:rsidRPr="0071778D">
              <w:rPr>
                <w:rFonts w:ascii="Times New Roman" w:hAnsi="Times New Roman"/>
                <w:bCs/>
                <w:color w:val="auto"/>
                <w:sz w:val="20"/>
                <w:szCs w:val="20"/>
              </w:rPr>
              <w:t>Nedávno stanovené kritériá pre pesticídy a biocídy predstavujú prvý krok v horizontálnom prístupe k identifikácii endokrinných disruptorov, ktorý by mal byť nasledovaný aj v iných oblastiach s cieľom zabezpečiť vysokú úroveň ochrany občanov EÚ a životného prostredia.</w:t>
            </w:r>
          </w:p>
        </w:tc>
      </w:tr>
      <w:tr w:rsidR="00043D8B" w:rsidTr="00043D8B">
        <w:trPr>
          <w:trHeight w:val="1065"/>
        </w:trPr>
        <w:tc>
          <w:tcPr>
            <w:tcW w:w="541" w:type="dxa"/>
            <w:tcBorders>
              <w:top w:val="single" w:sz="34" w:space="0" w:color="B2B2B2"/>
              <w:left w:val="single" w:sz="4" w:space="0" w:color="000000"/>
              <w:bottom w:val="single" w:sz="34" w:space="0" w:color="92D050"/>
              <w:right w:val="single" w:sz="4" w:space="0" w:color="000000"/>
            </w:tcBorders>
            <w:shd w:val="clear" w:color="auto" w:fill="B2B2B2"/>
          </w:tcPr>
          <w:p w:rsidR="00043D8B" w:rsidRDefault="00043D8B" w:rsidP="00043D8B">
            <w:r>
              <w:rPr>
                <w:rFonts w:ascii="Times New Roman" w:hAnsi="Times New Roman"/>
                <w:sz w:val="20"/>
              </w:rPr>
              <w:t>10.</w:t>
            </w:r>
            <w:r>
              <w:rPr>
                <w:rFonts w:ascii="Arial" w:hAnsi="Arial" w:cs="Arial"/>
                <w:sz w:val="20"/>
              </w:rPr>
              <w:t xml:space="preserve"> </w:t>
            </w:r>
          </w:p>
        </w:tc>
        <w:tc>
          <w:tcPr>
            <w:tcW w:w="1805" w:type="dxa"/>
            <w:tcBorders>
              <w:top w:val="single" w:sz="34" w:space="0" w:color="B2B2B2"/>
              <w:left w:val="single" w:sz="4" w:space="0" w:color="000000"/>
              <w:bottom w:val="single" w:sz="34" w:space="0" w:color="92D050"/>
              <w:right w:val="single" w:sz="4" w:space="0" w:color="000000"/>
            </w:tcBorders>
            <w:shd w:val="clear" w:color="auto" w:fill="B2B2B2"/>
          </w:tcPr>
          <w:p w:rsidR="00043D8B" w:rsidRDefault="00043D8B" w:rsidP="00043D8B">
            <w:pPr>
              <w:ind w:left="1"/>
            </w:pPr>
            <w:r>
              <w:rPr>
                <w:rFonts w:ascii="Times New Roman" w:hAnsi="Times New Roman"/>
                <w:b/>
                <w:sz w:val="20"/>
              </w:rPr>
              <w:t>Efektívnejšia tvorba právnych predpisov v oblasti jednotného trhu</w:t>
            </w:r>
            <w:r>
              <w:rPr>
                <w:rFonts w:ascii="Times New Roman" w:hAnsi="Times New Roman"/>
                <w:sz w:val="20"/>
              </w:rPr>
              <w:t xml:space="preserve"> </w:t>
            </w:r>
          </w:p>
        </w:tc>
        <w:tc>
          <w:tcPr>
            <w:tcW w:w="2268" w:type="dxa"/>
            <w:tcBorders>
              <w:top w:val="single" w:sz="34" w:space="0" w:color="B2B2B2"/>
              <w:left w:val="single" w:sz="4" w:space="0" w:color="000000"/>
              <w:bottom w:val="single" w:sz="34" w:space="0" w:color="92D050"/>
              <w:right w:val="single" w:sz="4" w:space="0" w:color="000000"/>
            </w:tcBorders>
            <w:shd w:val="clear" w:color="auto" w:fill="B2B2B2"/>
          </w:tcPr>
          <w:p w:rsidR="00043D8B" w:rsidRDefault="00043D8B" w:rsidP="00043D8B">
            <w:pPr>
              <w:ind w:left="2"/>
            </w:pPr>
            <w:r>
              <w:rPr>
                <w:rFonts w:ascii="Times New Roman" w:hAnsi="Times New Roman"/>
                <w:b/>
                <w:sz w:val="20"/>
              </w:rPr>
              <w:t xml:space="preserve"> </w:t>
            </w:r>
            <w:r>
              <w:rPr>
                <w:rFonts w:ascii="Times New Roman" w:hAnsi="Times New Roman"/>
                <w:sz w:val="20"/>
              </w:rPr>
              <w:t>(nelegislatívna iniciatíva, 1. štvrťrok 2019)</w:t>
            </w:r>
          </w:p>
        </w:tc>
        <w:tc>
          <w:tcPr>
            <w:tcW w:w="4536" w:type="dxa"/>
            <w:tcBorders>
              <w:top w:val="single" w:sz="34" w:space="0" w:color="B2B2B2"/>
              <w:left w:val="single" w:sz="4" w:space="0" w:color="000000"/>
              <w:bottom w:val="single" w:sz="34" w:space="0" w:color="92D050"/>
              <w:right w:val="single" w:sz="4" w:space="0" w:color="000000"/>
            </w:tcBorders>
            <w:shd w:val="clear" w:color="auto" w:fill="B2B2B2"/>
          </w:tcPr>
          <w:p w:rsidR="00043D8B" w:rsidRDefault="00043D8B" w:rsidP="00043D8B">
            <w:pPr>
              <w:spacing w:after="4" w:line="271" w:lineRule="auto"/>
              <w:ind w:left="2" w:right="52"/>
              <w:jc w:val="both"/>
              <w:rPr>
                <w:rFonts w:ascii="Times New Roman" w:hAnsi="Times New Roman"/>
                <w:sz w:val="20"/>
              </w:rPr>
            </w:pPr>
            <w:r>
              <w:rPr>
                <w:rFonts w:ascii="Times New Roman" w:hAnsi="Times New Roman"/>
                <w:b/>
                <w:sz w:val="20"/>
              </w:rPr>
              <w:t>Efektívnejšia tvorba právnych predpisov v oblasti daní: určenie oblastí, v ktorých by sa prešlo na hlasovanie kvalifikovanou väčšinou</w:t>
            </w:r>
            <w:r>
              <w:rPr>
                <w:rFonts w:ascii="Times New Roman" w:hAnsi="Times New Roman"/>
                <w:sz w:val="20"/>
              </w:rPr>
              <w:t xml:space="preserve"> (nelegislatívna iniciatíva, 1. štvrťrok 2019); </w:t>
            </w:r>
          </w:p>
          <w:p w:rsidR="00043D8B" w:rsidRDefault="00043D8B" w:rsidP="00043D8B">
            <w:pPr>
              <w:spacing w:after="4" w:line="271" w:lineRule="auto"/>
              <w:ind w:left="2" w:right="52"/>
              <w:jc w:val="both"/>
              <w:rPr>
                <w:rFonts w:ascii="Times New Roman" w:hAnsi="Times New Roman"/>
                <w:sz w:val="20"/>
              </w:rPr>
            </w:pPr>
          </w:p>
          <w:p w:rsidR="00BC4F85" w:rsidRDefault="00BC4F85" w:rsidP="00043D8B">
            <w:pPr>
              <w:spacing w:after="4" w:line="271" w:lineRule="auto"/>
              <w:ind w:left="2" w:right="52"/>
              <w:jc w:val="both"/>
              <w:rPr>
                <w:rFonts w:ascii="Times New Roman" w:hAnsi="Times New Roman"/>
                <w:b/>
                <w:sz w:val="20"/>
              </w:rPr>
            </w:pPr>
          </w:p>
          <w:p w:rsidR="00BC4F85" w:rsidRDefault="00BC4F85" w:rsidP="00043D8B">
            <w:pPr>
              <w:spacing w:after="4" w:line="271" w:lineRule="auto"/>
              <w:ind w:left="2" w:right="52"/>
              <w:jc w:val="both"/>
              <w:rPr>
                <w:rFonts w:ascii="Times New Roman" w:hAnsi="Times New Roman"/>
                <w:b/>
                <w:sz w:val="20"/>
              </w:rPr>
            </w:pPr>
          </w:p>
          <w:p w:rsidR="00BC4F85" w:rsidRDefault="00BC4F85" w:rsidP="00043D8B">
            <w:pPr>
              <w:spacing w:after="4" w:line="271" w:lineRule="auto"/>
              <w:ind w:left="2" w:right="52"/>
              <w:jc w:val="both"/>
              <w:rPr>
                <w:rFonts w:ascii="Times New Roman" w:hAnsi="Times New Roman"/>
                <w:b/>
                <w:sz w:val="20"/>
              </w:rPr>
            </w:pPr>
          </w:p>
          <w:p w:rsidR="00BC4F85" w:rsidRDefault="00BC4F85" w:rsidP="00043D8B">
            <w:pPr>
              <w:spacing w:after="4" w:line="271" w:lineRule="auto"/>
              <w:ind w:left="2" w:right="52"/>
              <w:jc w:val="both"/>
              <w:rPr>
                <w:rFonts w:ascii="Times New Roman" w:hAnsi="Times New Roman"/>
                <w:b/>
                <w:sz w:val="20"/>
              </w:rPr>
            </w:pPr>
          </w:p>
          <w:p w:rsidR="00BC4F85" w:rsidRDefault="00BC4F85" w:rsidP="00043D8B">
            <w:pPr>
              <w:spacing w:after="4" w:line="271" w:lineRule="auto"/>
              <w:ind w:left="2" w:right="52"/>
              <w:jc w:val="both"/>
              <w:rPr>
                <w:rFonts w:ascii="Times New Roman" w:hAnsi="Times New Roman"/>
                <w:b/>
                <w:sz w:val="20"/>
              </w:rPr>
            </w:pPr>
          </w:p>
          <w:p w:rsidR="00BC4F85" w:rsidRDefault="00BC4F85" w:rsidP="00043D8B">
            <w:pPr>
              <w:spacing w:after="4" w:line="271" w:lineRule="auto"/>
              <w:ind w:left="2" w:right="52"/>
              <w:jc w:val="both"/>
              <w:rPr>
                <w:rFonts w:ascii="Times New Roman" w:hAnsi="Times New Roman"/>
                <w:b/>
                <w:sz w:val="20"/>
              </w:rPr>
            </w:pPr>
          </w:p>
          <w:p w:rsidR="00BC4F85" w:rsidRDefault="00BC4F85" w:rsidP="00043D8B">
            <w:pPr>
              <w:spacing w:after="4" w:line="271" w:lineRule="auto"/>
              <w:ind w:left="2" w:right="52"/>
              <w:jc w:val="both"/>
              <w:rPr>
                <w:rFonts w:ascii="Times New Roman" w:hAnsi="Times New Roman"/>
                <w:b/>
                <w:sz w:val="20"/>
              </w:rPr>
            </w:pPr>
          </w:p>
          <w:p w:rsidR="00BC4F85" w:rsidRDefault="00BC4F85" w:rsidP="00043D8B">
            <w:pPr>
              <w:spacing w:after="4" w:line="271" w:lineRule="auto"/>
              <w:ind w:left="2" w:right="52"/>
              <w:jc w:val="both"/>
              <w:rPr>
                <w:rFonts w:ascii="Times New Roman" w:hAnsi="Times New Roman"/>
                <w:b/>
                <w:sz w:val="20"/>
              </w:rPr>
            </w:pPr>
          </w:p>
          <w:p w:rsidR="00BC4F85" w:rsidRDefault="00BC4F85" w:rsidP="00043D8B">
            <w:pPr>
              <w:spacing w:after="4" w:line="271" w:lineRule="auto"/>
              <w:ind w:left="2" w:right="52"/>
              <w:jc w:val="both"/>
              <w:rPr>
                <w:rFonts w:ascii="Times New Roman" w:hAnsi="Times New Roman"/>
                <w:b/>
                <w:sz w:val="20"/>
              </w:rPr>
            </w:pPr>
          </w:p>
          <w:p w:rsidR="00BC4F85" w:rsidRDefault="00BC4F85" w:rsidP="00043D8B">
            <w:pPr>
              <w:spacing w:after="4" w:line="271" w:lineRule="auto"/>
              <w:ind w:left="2" w:right="52"/>
              <w:jc w:val="both"/>
              <w:rPr>
                <w:rFonts w:ascii="Times New Roman" w:hAnsi="Times New Roman"/>
                <w:b/>
                <w:sz w:val="20"/>
              </w:rPr>
            </w:pPr>
          </w:p>
          <w:p w:rsidR="00BC4F85" w:rsidRDefault="00BC4F85" w:rsidP="00043D8B">
            <w:pPr>
              <w:spacing w:after="4" w:line="271" w:lineRule="auto"/>
              <w:ind w:left="2" w:right="52"/>
              <w:jc w:val="both"/>
              <w:rPr>
                <w:rFonts w:ascii="Times New Roman" w:hAnsi="Times New Roman"/>
                <w:b/>
                <w:sz w:val="20"/>
              </w:rPr>
            </w:pPr>
          </w:p>
          <w:p w:rsidR="00BC4F85" w:rsidRDefault="00BC4F85" w:rsidP="00043D8B">
            <w:pPr>
              <w:spacing w:after="4" w:line="271" w:lineRule="auto"/>
              <w:ind w:left="2" w:right="52"/>
              <w:jc w:val="both"/>
              <w:rPr>
                <w:rFonts w:ascii="Times New Roman" w:hAnsi="Times New Roman"/>
                <w:b/>
                <w:sz w:val="20"/>
              </w:rPr>
            </w:pPr>
          </w:p>
          <w:p w:rsidR="00BC4F85" w:rsidRDefault="00BC4F85" w:rsidP="00043D8B">
            <w:pPr>
              <w:spacing w:after="4" w:line="271" w:lineRule="auto"/>
              <w:ind w:left="2" w:right="52"/>
              <w:jc w:val="both"/>
              <w:rPr>
                <w:rFonts w:ascii="Times New Roman" w:hAnsi="Times New Roman"/>
                <w:b/>
                <w:sz w:val="20"/>
              </w:rPr>
            </w:pPr>
          </w:p>
          <w:p w:rsidR="00BC4F85" w:rsidRDefault="00BC4F85" w:rsidP="00043D8B">
            <w:pPr>
              <w:spacing w:after="4" w:line="271" w:lineRule="auto"/>
              <w:ind w:left="2" w:right="52"/>
              <w:jc w:val="both"/>
              <w:rPr>
                <w:rFonts w:ascii="Times New Roman" w:hAnsi="Times New Roman"/>
                <w:b/>
                <w:sz w:val="20"/>
              </w:rPr>
            </w:pPr>
          </w:p>
          <w:p w:rsidR="00043D8B" w:rsidRDefault="00043D8B" w:rsidP="00043D8B">
            <w:pPr>
              <w:spacing w:after="4" w:line="271" w:lineRule="auto"/>
              <w:ind w:left="2" w:right="52"/>
              <w:jc w:val="both"/>
            </w:pPr>
            <w:r>
              <w:rPr>
                <w:rFonts w:ascii="Times New Roman" w:hAnsi="Times New Roman"/>
                <w:b/>
                <w:sz w:val="20"/>
              </w:rPr>
              <w:t>efektívnejšia tvorba právnych predpisov v sociálnej oblasti: určenie oblastí, v ktorých by sa posilnil prechod na hlasovanie kvalifikovanou väčšinou</w:t>
            </w:r>
            <w:r>
              <w:rPr>
                <w:rFonts w:ascii="Times New Roman" w:hAnsi="Times New Roman"/>
                <w:sz w:val="20"/>
              </w:rPr>
              <w:t xml:space="preserve"> </w:t>
            </w:r>
          </w:p>
          <w:p w:rsidR="00043D8B" w:rsidRDefault="00043D8B" w:rsidP="00043D8B">
            <w:pPr>
              <w:spacing w:after="4" w:line="271" w:lineRule="auto"/>
              <w:ind w:left="2" w:right="52"/>
              <w:jc w:val="both"/>
              <w:rPr>
                <w:rFonts w:ascii="Times New Roman" w:hAnsi="Times New Roman"/>
                <w:b/>
                <w:sz w:val="20"/>
              </w:rPr>
            </w:pPr>
            <w:r>
              <w:rPr>
                <w:rFonts w:ascii="Times New Roman" w:hAnsi="Times New Roman"/>
                <w:sz w:val="20"/>
              </w:rPr>
              <w:t>(nelegislatívna iniciatíva, 1. štvrťrok 2019);</w:t>
            </w:r>
          </w:p>
        </w:tc>
        <w:tc>
          <w:tcPr>
            <w:tcW w:w="1418" w:type="dxa"/>
            <w:tcBorders>
              <w:top w:val="single" w:sz="34" w:space="0" w:color="B2B2B2"/>
              <w:left w:val="single" w:sz="4" w:space="0" w:color="000000"/>
              <w:bottom w:val="single" w:sz="34" w:space="0" w:color="92D050"/>
              <w:right w:val="single" w:sz="4" w:space="0" w:color="000000"/>
            </w:tcBorders>
            <w:shd w:val="clear" w:color="auto" w:fill="B2B2B2"/>
          </w:tcPr>
          <w:p w:rsidR="00043D8B" w:rsidRPr="0071778D" w:rsidRDefault="00043D8B" w:rsidP="003847E2">
            <w:pPr>
              <w:spacing w:after="0" w:line="271" w:lineRule="auto"/>
              <w:ind w:left="2" w:right="52"/>
              <w:jc w:val="both"/>
              <w:rPr>
                <w:rFonts w:ascii="Times New Roman" w:hAnsi="Times New Roman"/>
                <w:b/>
                <w:sz w:val="20"/>
              </w:rPr>
            </w:pPr>
            <w:r w:rsidRPr="0071778D">
              <w:rPr>
                <w:rFonts w:ascii="Times New Roman" w:hAnsi="Times New Roman"/>
                <w:b/>
                <w:sz w:val="20"/>
              </w:rPr>
              <w:t xml:space="preserve">MF SR </w:t>
            </w:r>
          </w:p>
          <w:p w:rsidR="00043D8B" w:rsidRPr="0071778D" w:rsidRDefault="00043D8B" w:rsidP="003847E2">
            <w:pPr>
              <w:spacing w:after="0" w:line="271" w:lineRule="auto"/>
              <w:ind w:left="2" w:right="52"/>
              <w:jc w:val="both"/>
              <w:rPr>
                <w:rFonts w:ascii="Times New Roman" w:hAnsi="Times New Roman"/>
                <w:b/>
                <w:sz w:val="20"/>
              </w:rPr>
            </w:pPr>
          </w:p>
          <w:p w:rsidR="00043D8B" w:rsidRPr="0071778D" w:rsidRDefault="00043D8B" w:rsidP="00043D8B">
            <w:pPr>
              <w:spacing w:after="4" w:line="271" w:lineRule="auto"/>
              <w:ind w:left="2" w:right="52"/>
              <w:jc w:val="both"/>
              <w:rPr>
                <w:rFonts w:ascii="Times New Roman" w:hAnsi="Times New Roman"/>
                <w:b/>
                <w:sz w:val="20"/>
              </w:rPr>
            </w:pPr>
          </w:p>
          <w:p w:rsidR="00043D8B" w:rsidRPr="0071778D" w:rsidRDefault="00043D8B" w:rsidP="00043D8B">
            <w:pPr>
              <w:spacing w:after="4" w:line="271" w:lineRule="auto"/>
              <w:ind w:left="2" w:right="52"/>
              <w:jc w:val="both"/>
              <w:rPr>
                <w:rFonts w:ascii="Times New Roman" w:hAnsi="Times New Roman"/>
                <w:b/>
                <w:sz w:val="20"/>
              </w:rPr>
            </w:pPr>
          </w:p>
          <w:p w:rsidR="00043D8B" w:rsidRDefault="00043D8B" w:rsidP="00043D8B">
            <w:pPr>
              <w:spacing w:after="4" w:line="271" w:lineRule="auto"/>
              <w:ind w:left="2" w:right="52"/>
              <w:jc w:val="both"/>
              <w:rPr>
                <w:rFonts w:ascii="Times New Roman" w:hAnsi="Times New Roman"/>
                <w:b/>
                <w:sz w:val="20"/>
              </w:rPr>
            </w:pPr>
          </w:p>
          <w:p w:rsidR="00BC4F85" w:rsidRDefault="00BC4F85" w:rsidP="00043D8B">
            <w:pPr>
              <w:spacing w:after="4" w:line="271" w:lineRule="auto"/>
              <w:ind w:left="2" w:right="52"/>
              <w:jc w:val="both"/>
              <w:rPr>
                <w:rFonts w:ascii="Times New Roman" w:hAnsi="Times New Roman"/>
                <w:b/>
                <w:sz w:val="20"/>
              </w:rPr>
            </w:pPr>
          </w:p>
          <w:p w:rsidR="00BC4F85" w:rsidRDefault="00BC4F85" w:rsidP="00043D8B">
            <w:pPr>
              <w:spacing w:after="4" w:line="271" w:lineRule="auto"/>
              <w:ind w:left="2" w:right="52"/>
              <w:jc w:val="both"/>
              <w:rPr>
                <w:rFonts w:ascii="Times New Roman" w:hAnsi="Times New Roman"/>
                <w:b/>
                <w:sz w:val="20"/>
              </w:rPr>
            </w:pPr>
          </w:p>
          <w:p w:rsidR="00BC4F85" w:rsidRDefault="00BC4F85" w:rsidP="00043D8B">
            <w:pPr>
              <w:spacing w:after="4" w:line="271" w:lineRule="auto"/>
              <w:ind w:left="2" w:right="52"/>
              <w:jc w:val="both"/>
              <w:rPr>
                <w:rFonts w:ascii="Times New Roman" w:hAnsi="Times New Roman"/>
                <w:b/>
                <w:sz w:val="20"/>
              </w:rPr>
            </w:pPr>
          </w:p>
          <w:p w:rsidR="00BC4F85" w:rsidRDefault="00BC4F85" w:rsidP="00043D8B">
            <w:pPr>
              <w:spacing w:after="4" w:line="271" w:lineRule="auto"/>
              <w:ind w:left="2" w:right="52"/>
              <w:jc w:val="both"/>
              <w:rPr>
                <w:rFonts w:ascii="Times New Roman" w:hAnsi="Times New Roman"/>
                <w:b/>
                <w:sz w:val="20"/>
              </w:rPr>
            </w:pPr>
          </w:p>
          <w:p w:rsidR="00BC4F85" w:rsidRDefault="00BC4F85" w:rsidP="00043D8B">
            <w:pPr>
              <w:spacing w:after="4" w:line="271" w:lineRule="auto"/>
              <w:ind w:left="2" w:right="52"/>
              <w:jc w:val="both"/>
              <w:rPr>
                <w:rFonts w:ascii="Times New Roman" w:hAnsi="Times New Roman"/>
                <w:b/>
                <w:sz w:val="20"/>
              </w:rPr>
            </w:pPr>
          </w:p>
          <w:p w:rsidR="00BC4F85" w:rsidRDefault="00BC4F85" w:rsidP="00043D8B">
            <w:pPr>
              <w:spacing w:after="4" w:line="271" w:lineRule="auto"/>
              <w:ind w:left="2" w:right="52"/>
              <w:jc w:val="both"/>
              <w:rPr>
                <w:rFonts w:ascii="Times New Roman" w:hAnsi="Times New Roman"/>
                <w:b/>
                <w:sz w:val="20"/>
              </w:rPr>
            </w:pPr>
          </w:p>
          <w:p w:rsidR="00BC4F85" w:rsidRDefault="00BC4F85" w:rsidP="00043D8B">
            <w:pPr>
              <w:spacing w:after="4" w:line="271" w:lineRule="auto"/>
              <w:ind w:left="2" w:right="52"/>
              <w:jc w:val="both"/>
              <w:rPr>
                <w:rFonts w:ascii="Times New Roman" w:hAnsi="Times New Roman"/>
                <w:b/>
                <w:sz w:val="20"/>
              </w:rPr>
            </w:pPr>
          </w:p>
          <w:p w:rsidR="00BC4F85" w:rsidRDefault="00BC4F85" w:rsidP="00043D8B">
            <w:pPr>
              <w:spacing w:after="4" w:line="271" w:lineRule="auto"/>
              <w:ind w:left="2" w:right="52"/>
              <w:jc w:val="both"/>
              <w:rPr>
                <w:rFonts w:ascii="Times New Roman" w:hAnsi="Times New Roman"/>
                <w:b/>
                <w:sz w:val="20"/>
              </w:rPr>
            </w:pPr>
          </w:p>
          <w:p w:rsidR="00BC4F85" w:rsidRDefault="00BC4F85" w:rsidP="00043D8B">
            <w:pPr>
              <w:spacing w:after="4" w:line="271" w:lineRule="auto"/>
              <w:ind w:left="2" w:right="52"/>
              <w:jc w:val="both"/>
              <w:rPr>
                <w:rFonts w:ascii="Times New Roman" w:hAnsi="Times New Roman"/>
                <w:b/>
                <w:sz w:val="20"/>
              </w:rPr>
            </w:pPr>
          </w:p>
          <w:p w:rsidR="00BC4F85" w:rsidRDefault="00BC4F85" w:rsidP="00043D8B">
            <w:pPr>
              <w:spacing w:after="4" w:line="271" w:lineRule="auto"/>
              <w:ind w:left="2" w:right="52"/>
              <w:jc w:val="both"/>
              <w:rPr>
                <w:rFonts w:ascii="Times New Roman" w:hAnsi="Times New Roman"/>
                <w:b/>
                <w:sz w:val="20"/>
              </w:rPr>
            </w:pPr>
          </w:p>
          <w:p w:rsidR="00BC4F85" w:rsidRDefault="00BC4F85" w:rsidP="00043D8B">
            <w:pPr>
              <w:spacing w:after="4" w:line="271" w:lineRule="auto"/>
              <w:ind w:left="2" w:right="52"/>
              <w:jc w:val="both"/>
              <w:rPr>
                <w:rFonts w:ascii="Times New Roman" w:hAnsi="Times New Roman"/>
                <w:b/>
                <w:sz w:val="20"/>
              </w:rPr>
            </w:pPr>
          </w:p>
          <w:p w:rsidR="00BC4F85" w:rsidRDefault="00BC4F85" w:rsidP="00043D8B">
            <w:pPr>
              <w:spacing w:after="4" w:line="271" w:lineRule="auto"/>
              <w:ind w:left="2" w:right="52"/>
              <w:jc w:val="both"/>
              <w:rPr>
                <w:rFonts w:ascii="Times New Roman" w:hAnsi="Times New Roman"/>
                <w:b/>
                <w:sz w:val="20"/>
              </w:rPr>
            </w:pPr>
          </w:p>
          <w:p w:rsidR="00BC4F85" w:rsidRDefault="00BC4F85" w:rsidP="00043D8B">
            <w:pPr>
              <w:spacing w:after="4" w:line="271" w:lineRule="auto"/>
              <w:ind w:left="2" w:right="52"/>
              <w:jc w:val="both"/>
              <w:rPr>
                <w:rFonts w:ascii="Times New Roman" w:hAnsi="Times New Roman"/>
                <w:b/>
                <w:sz w:val="20"/>
              </w:rPr>
            </w:pPr>
          </w:p>
          <w:p w:rsidR="00BC4F85" w:rsidRPr="0071778D" w:rsidRDefault="00BC4F85" w:rsidP="00BC4F85">
            <w:pPr>
              <w:spacing w:after="4" w:line="271" w:lineRule="auto"/>
              <w:ind w:right="52"/>
              <w:jc w:val="both"/>
              <w:rPr>
                <w:rFonts w:ascii="Times New Roman" w:hAnsi="Times New Roman"/>
                <w:b/>
                <w:sz w:val="20"/>
              </w:rPr>
            </w:pPr>
          </w:p>
          <w:p w:rsidR="00043D8B" w:rsidRPr="0071778D" w:rsidRDefault="00043D8B" w:rsidP="00043D8B">
            <w:pPr>
              <w:spacing w:after="4" w:line="271" w:lineRule="auto"/>
              <w:ind w:left="2" w:right="52"/>
              <w:jc w:val="both"/>
              <w:rPr>
                <w:rFonts w:ascii="Times New Roman" w:hAnsi="Times New Roman"/>
                <w:b/>
                <w:sz w:val="20"/>
              </w:rPr>
            </w:pPr>
            <w:r w:rsidRPr="0071778D">
              <w:rPr>
                <w:rFonts w:ascii="Times New Roman" w:hAnsi="Times New Roman"/>
                <w:b/>
                <w:sz w:val="20"/>
              </w:rPr>
              <w:t>MPSaVR SR</w:t>
            </w:r>
          </w:p>
          <w:p w:rsidR="00043D8B" w:rsidRPr="0071778D" w:rsidRDefault="00043D8B" w:rsidP="00043D8B">
            <w:pPr>
              <w:spacing w:after="4" w:line="271" w:lineRule="auto"/>
              <w:ind w:left="2" w:right="52"/>
              <w:jc w:val="both"/>
              <w:rPr>
                <w:rFonts w:ascii="Times New Roman" w:hAnsi="Times New Roman"/>
                <w:b/>
                <w:sz w:val="20"/>
              </w:rPr>
            </w:pPr>
          </w:p>
        </w:tc>
        <w:tc>
          <w:tcPr>
            <w:tcW w:w="3969" w:type="dxa"/>
            <w:tcBorders>
              <w:top w:val="single" w:sz="34" w:space="0" w:color="B2B2B2"/>
              <w:left w:val="single" w:sz="4" w:space="0" w:color="000000"/>
              <w:bottom w:val="single" w:sz="34" w:space="0" w:color="92D050"/>
              <w:right w:val="single" w:sz="4" w:space="0" w:color="000000"/>
            </w:tcBorders>
            <w:shd w:val="clear" w:color="auto" w:fill="B2B2B2"/>
          </w:tcPr>
          <w:p w:rsidR="00BC4F85" w:rsidRPr="0071778D" w:rsidRDefault="00BC4F85" w:rsidP="00BC4F85">
            <w:pPr>
              <w:spacing w:after="0"/>
              <w:jc w:val="both"/>
              <w:rPr>
                <w:rFonts w:ascii="Times New Roman" w:hAnsi="Times New Roman"/>
                <w:b/>
                <w:bCs/>
                <w:color w:val="auto"/>
                <w:sz w:val="20"/>
                <w:szCs w:val="20"/>
                <w:u w:val="single"/>
              </w:rPr>
            </w:pPr>
            <w:r w:rsidRPr="0071778D">
              <w:rPr>
                <w:rFonts w:ascii="Times New Roman" w:hAnsi="Times New Roman"/>
                <w:b/>
                <w:bCs/>
                <w:color w:val="auto"/>
                <w:sz w:val="20"/>
                <w:szCs w:val="20"/>
                <w:u w:val="single"/>
              </w:rPr>
              <w:t>Vysoká priorita</w:t>
            </w:r>
          </w:p>
          <w:p w:rsidR="00BC4F85" w:rsidRPr="00BC4F85" w:rsidRDefault="00BC4F85" w:rsidP="00BC4F85">
            <w:pPr>
              <w:jc w:val="both"/>
              <w:rPr>
                <w:rFonts w:ascii="Times New Roman" w:hAnsi="Times New Roman"/>
                <w:bCs/>
                <w:color w:val="auto"/>
                <w:sz w:val="20"/>
                <w:szCs w:val="20"/>
              </w:rPr>
            </w:pPr>
            <w:r w:rsidRPr="00BC4F85">
              <w:rPr>
                <w:rFonts w:ascii="Times New Roman" w:hAnsi="Times New Roman"/>
                <w:bCs/>
                <w:color w:val="auto"/>
                <w:sz w:val="20"/>
                <w:szCs w:val="20"/>
              </w:rPr>
              <w:t>Myšlienku na zmenu súčasnej hlasovacej procedúry v daňových otázkach na QMV a navrhovaný postup EK</w:t>
            </w:r>
            <w:r>
              <w:rPr>
                <w:rFonts w:ascii="Times New Roman" w:hAnsi="Times New Roman"/>
                <w:bCs/>
                <w:color w:val="auto"/>
                <w:sz w:val="20"/>
                <w:szCs w:val="20"/>
              </w:rPr>
              <w:t>, SR  nepodporuje</w:t>
            </w:r>
            <w:r w:rsidRPr="00BC4F85">
              <w:rPr>
                <w:rFonts w:ascii="Times New Roman" w:hAnsi="Times New Roman"/>
                <w:bCs/>
                <w:color w:val="auto"/>
                <w:sz w:val="20"/>
                <w:szCs w:val="20"/>
              </w:rPr>
              <w:t xml:space="preserve">. Rozfázovanie postupu, ako aj argumenty EK nie sú odôvodnené. Už v súčasnosti ČŠ v prípade iniciatív, kde vidia potrebu spoločného postupu, dokážu dosiahnuť jednomyseľnú dohodu. Svedčí o tom aj rad schválených legislatívnych aktov počas posledných troch rokov (napr. smernice ATAD, DAC, etc.)Na druhej strane, EK potrebuje presadiť QMV aj pre iniciatívy, ktoré v súčasnosti narážajú na kritiku ČŠ a potrebu udržania suverenity v daných otázkach, ako aj z dôvodu eliminovania rizika vzniku nových daňových podvodov a zvyšovania administratívnej záťaže pre daňové správy ako aj pre podniky.  </w:t>
            </w:r>
          </w:p>
          <w:p w:rsidR="00043D8B" w:rsidRPr="00BC4F85" w:rsidRDefault="00043D8B" w:rsidP="00BC4F85">
            <w:pPr>
              <w:spacing w:after="4"/>
              <w:ind w:left="2" w:right="52"/>
              <w:jc w:val="both"/>
              <w:rPr>
                <w:rFonts w:ascii="Times New Roman" w:hAnsi="Times New Roman"/>
                <w:bCs/>
                <w:color w:val="auto"/>
                <w:sz w:val="20"/>
                <w:szCs w:val="20"/>
              </w:rPr>
            </w:pPr>
          </w:p>
          <w:p w:rsidR="00BC4F85" w:rsidRDefault="00BC4F85" w:rsidP="00043D8B">
            <w:pPr>
              <w:spacing w:after="4"/>
              <w:ind w:right="52"/>
              <w:jc w:val="both"/>
              <w:rPr>
                <w:rFonts w:ascii="Times New Roman" w:hAnsi="Times New Roman"/>
                <w:bCs/>
                <w:color w:val="auto"/>
                <w:sz w:val="20"/>
                <w:szCs w:val="20"/>
              </w:rPr>
            </w:pPr>
          </w:p>
          <w:p w:rsidR="00043D8B" w:rsidRPr="00A914EF" w:rsidRDefault="00043D8B" w:rsidP="00043D8B">
            <w:pPr>
              <w:spacing w:after="4"/>
              <w:ind w:right="52"/>
              <w:jc w:val="both"/>
              <w:rPr>
                <w:rFonts w:ascii="Times New Roman" w:hAnsi="Times New Roman"/>
                <w:sz w:val="20"/>
                <w:szCs w:val="20"/>
              </w:rPr>
            </w:pPr>
            <w:r w:rsidRPr="00A914EF">
              <w:rPr>
                <w:rFonts w:ascii="Times New Roman" w:hAnsi="Times New Roman"/>
                <w:sz w:val="20"/>
              </w:rPr>
              <w:t>Dokument EK by mal slúžiť na podnietenie diskusií o prechode na hlasovanie kvalifikovanou väčšinou.</w:t>
            </w:r>
          </w:p>
        </w:tc>
      </w:tr>
      <w:tr w:rsidR="00043D8B" w:rsidTr="00043D8B">
        <w:trPr>
          <w:trHeight w:val="531"/>
        </w:trPr>
        <w:tc>
          <w:tcPr>
            <w:tcW w:w="4614" w:type="dxa"/>
            <w:gridSpan w:val="3"/>
            <w:tcBorders>
              <w:top w:val="single" w:sz="34" w:space="0" w:color="92D050"/>
              <w:left w:val="single" w:sz="4" w:space="0" w:color="000000"/>
              <w:bottom w:val="single" w:sz="34" w:space="0" w:color="B2B2B2"/>
              <w:right w:val="single" w:sz="4" w:space="0" w:color="000000"/>
            </w:tcBorders>
            <w:shd w:val="clear" w:color="auto" w:fill="92D050"/>
            <w:vAlign w:val="center"/>
          </w:tcPr>
          <w:p w:rsidR="00043D8B" w:rsidRDefault="00043D8B" w:rsidP="00043D8B">
            <w:r>
              <w:rPr>
                <w:rFonts w:ascii="Times New Roman" w:hAnsi="Times New Roman"/>
                <w:b/>
                <w:sz w:val="20"/>
              </w:rPr>
              <w:t xml:space="preserve">Hlbšia a spravodlivejšia hospodárska a menová únia </w:t>
            </w:r>
          </w:p>
        </w:tc>
        <w:tc>
          <w:tcPr>
            <w:tcW w:w="4536" w:type="dxa"/>
            <w:tcBorders>
              <w:top w:val="single" w:sz="34" w:space="0" w:color="92D050"/>
              <w:left w:val="single" w:sz="4" w:space="0" w:color="000000"/>
              <w:bottom w:val="single" w:sz="34" w:space="0" w:color="B2B2B2"/>
              <w:right w:val="single" w:sz="4" w:space="0" w:color="000000"/>
            </w:tcBorders>
            <w:shd w:val="clear" w:color="auto" w:fill="92D050"/>
          </w:tcPr>
          <w:p w:rsidR="00043D8B" w:rsidRDefault="00043D8B" w:rsidP="00043D8B">
            <w:pPr>
              <w:rPr>
                <w:rFonts w:ascii="Times New Roman" w:hAnsi="Times New Roman"/>
                <w:b/>
                <w:sz w:val="20"/>
              </w:rPr>
            </w:pPr>
          </w:p>
        </w:tc>
        <w:tc>
          <w:tcPr>
            <w:tcW w:w="1418" w:type="dxa"/>
            <w:tcBorders>
              <w:top w:val="single" w:sz="34" w:space="0" w:color="92D050"/>
              <w:left w:val="single" w:sz="4" w:space="0" w:color="000000"/>
              <w:bottom w:val="single" w:sz="34" w:space="0" w:color="B2B2B2"/>
              <w:right w:val="single" w:sz="4" w:space="0" w:color="000000"/>
            </w:tcBorders>
            <w:shd w:val="clear" w:color="auto" w:fill="92D050"/>
          </w:tcPr>
          <w:p w:rsidR="00043D8B" w:rsidRPr="0071778D" w:rsidRDefault="00043D8B" w:rsidP="00043D8B">
            <w:pPr>
              <w:rPr>
                <w:rFonts w:ascii="Times New Roman" w:hAnsi="Times New Roman"/>
                <w:b/>
                <w:sz w:val="20"/>
              </w:rPr>
            </w:pPr>
          </w:p>
        </w:tc>
        <w:tc>
          <w:tcPr>
            <w:tcW w:w="3969" w:type="dxa"/>
            <w:tcBorders>
              <w:top w:val="single" w:sz="34" w:space="0" w:color="92D050"/>
              <w:left w:val="single" w:sz="4" w:space="0" w:color="000000"/>
              <w:bottom w:val="single" w:sz="34" w:space="0" w:color="B2B2B2"/>
              <w:right w:val="single" w:sz="4" w:space="0" w:color="000000"/>
            </w:tcBorders>
            <w:shd w:val="clear" w:color="auto" w:fill="92D050"/>
          </w:tcPr>
          <w:p w:rsidR="00043D8B" w:rsidRPr="0071778D" w:rsidRDefault="00043D8B" w:rsidP="00043D8B">
            <w:pPr>
              <w:jc w:val="both"/>
              <w:rPr>
                <w:rFonts w:ascii="Times New Roman" w:hAnsi="Times New Roman"/>
                <w:b/>
                <w:sz w:val="20"/>
                <w:szCs w:val="20"/>
              </w:rPr>
            </w:pPr>
          </w:p>
        </w:tc>
      </w:tr>
      <w:tr w:rsidR="00043D8B" w:rsidTr="00043D8B">
        <w:trPr>
          <w:trHeight w:val="410"/>
        </w:trPr>
        <w:tc>
          <w:tcPr>
            <w:tcW w:w="541" w:type="dxa"/>
            <w:tcBorders>
              <w:top w:val="single" w:sz="34" w:space="0" w:color="B2B2B2"/>
              <w:left w:val="single" w:sz="4" w:space="0" w:color="000000"/>
              <w:bottom w:val="single" w:sz="34" w:space="0" w:color="92D050"/>
              <w:right w:val="single" w:sz="4" w:space="0" w:color="000000"/>
            </w:tcBorders>
            <w:shd w:val="clear" w:color="auto" w:fill="B2B2B2"/>
          </w:tcPr>
          <w:p w:rsidR="00043D8B" w:rsidRDefault="00043D8B" w:rsidP="00043D8B">
            <w:r>
              <w:rPr>
                <w:rFonts w:ascii="Times New Roman" w:hAnsi="Times New Roman"/>
                <w:sz w:val="20"/>
              </w:rPr>
              <w:t>11.</w:t>
            </w:r>
            <w:r>
              <w:rPr>
                <w:rFonts w:ascii="Arial" w:hAnsi="Arial" w:cs="Arial"/>
                <w:sz w:val="20"/>
              </w:rPr>
              <w:t xml:space="preserve"> </w:t>
            </w:r>
          </w:p>
        </w:tc>
        <w:tc>
          <w:tcPr>
            <w:tcW w:w="1805" w:type="dxa"/>
            <w:tcBorders>
              <w:top w:val="single" w:sz="34" w:space="0" w:color="B2B2B2"/>
              <w:left w:val="single" w:sz="4" w:space="0" w:color="000000"/>
              <w:bottom w:val="single" w:sz="34" w:space="0" w:color="92D050"/>
              <w:right w:val="single" w:sz="4" w:space="0" w:color="000000"/>
            </w:tcBorders>
            <w:shd w:val="clear" w:color="auto" w:fill="B2B2B2"/>
          </w:tcPr>
          <w:p w:rsidR="00043D8B" w:rsidRDefault="00043D8B" w:rsidP="00043D8B">
            <w:pPr>
              <w:ind w:left="1"/>
            </w:pPr>
            <w:r>
              <w:rPr>
                <w:rFonts w:ascii="Times New Roman" w:hAnsi="Times New Roman"/>
                <w:b/>
                <w:sz w:val="20"/>
              </w:rPr>
              <w:t xml:space="preserve">Podpora medzinárodnej úlohy eura </w:t>
            </w:r>
          </w:p>
        </w:tc>
        <w:tc>
          <w:tcPr>
            <w:tcW w:w="2268" w:type="dxa"/>
            <w:tcBorders>
              <w:top w:val="single" w:sz="34" w:space="0" w:color="B2B2B2"/>
              <w:left w:val="single" w:sz="4" w:space="0" w:color="000000"/>
              <w:bottom w:val="single" w:sz="34" w:space="0" w:color="92D050"/>
              <w:right w:val="single" w:sz="4" w:space="0" w:color="000000"/>
            </w:tcBorders>
            <w:shd w:val="clear" w:color="auto" w:fill="B2B2B2"/>
          </w:tcPr>
          <w:p w:rsidR="00043D8B" w:rsidRDefault="00043D8B" w:rsidP="00043D8B">
            <w:pPr>
              <w:ind w:left="2"/>
            </w:pPr>
            <w:r>
              <w:rPr>
                <w:rFonts w:ascii="Times New Roman" w:hAnsi="Times New Roman"/>
                <w:sz w:val="20"/>
              </w:rPr>
              <w:t xml:space="preserve"> (nelegislatívna iniciatíva, 4. štvrťrok 2018)</w:t>
            </w:r>
            <w:r>
              <w:rPr>
                <w:rFonts w:ascii="Times New Roman" w:hAnsi="Times New Roman"/>
                <w:b/>
                <w:sz w:val="20"/>
              </w:rPr>
              <w:t xml:space="preserve"> </w:t>
            </w:r>
          </w:p>
        </w:tc>
        <w:tc>
          <w:tcPr>
            <w:tcW w:w="4536" w:type="dxa"/>
            <w:tcBorders>
              <w:top w:val="single" w:sz="34" w:space="0" w:color="B2B2B2"/>
              <w:left w:val="single" w:sz="4" w:space="0" w:color="000000"/>
              <w:bottom w:val="single" w:sz="34" w:space="0" w:color="92D050"/>
              <w:right w:val="single" w:sz="4" w:space="0" w:color="000000"/>
            </w:tcBorders>
            <w:shd w:val="clear" w:color="auto" w:fill="B2B2B2"/>
          </w:tcPr>
          <w:p w:rsidR="00043D8B" w:rsidRDefault="00043D8B" w:rsidP="00043D8B">
            <w:pPr>
              <w:ind w:left="2"/>
              <w:rPr>
                <w:rFonts w:ascii="Times New Roman" w:hAnsi="Times New Roman"/>
                <w:b/>
                <w:sz w:val="20"/>
              </w:rPr>
            </w:pPr>
            <w:r>
              <w:rPr>
                <w:rFonts w:ascii="Times New Roman" w:hAnsi="Times New Roman"/>
                <w:b/>
                <w:sz w:val="20"/>
              </w:rPr>
              <w:t>Oznámenie o posilnení medzinárodnej úlohy eura</w:t>
            </w:r>
          </w:p>
        </w:tc>
        <w:tc>
          <w:tcPr>
            <w:tcW w:w="1418" w:type="dxa"/>
            <w:tcBorders>
              <w:top w:val="single" w:sz="34" w:space="0" w:color="B2B2B2"/>
              <w:left w:val="single" w:sz="4" w:space="0" w:color="000000"/>
              <w:bottom w:val="single" w:sz="34" w:space="0" w:color="92D050"/>
              <w:right w:val="single" w:sz="4" w:space="0" w:color="000000"/>
            </w:tcBorders>
            <w:shd w:val="clear" w:color="auto" w:fill="B2B2B2"/>
          </w:tcPr>
          <w:p w:rsidR="00043D8B" w:rsidRPr="0071778D" w:rsidRDefault="00043D8B" w:rsidP="00043D8B">
            <w:pPr>
              <w:ind w:left="2"/>
              <w:rPr>
                <w:rFonts w:ascii="Times New Roman" w:hAnsi="Times New Roman"/>
                <w:b/>
                <w:sz w:val="20"/>
              </w:rPr>
            </w:pPr>
            <w:r w:rsidRPr="0071778D">
              <w:rPr>
                <w:rFonts w:ascii="Times New Roman" w:hAnsi="Times New Roman"/>
                <w:b/>
                <w:sz w:val="20"/>
              </w:rPr>
              <w:t xml:space="preserve">MF SR </w:t>
            </w:r>
          </w:p>
          <w:p w:rsidR="00043D8B" w:rsidRPr="0071778D" w:rsidRDefault="00043D8B" w:rsidP="00043D8B">
            <w:pPr>
              <w:ind w:left="2"/>
              <w:rPr>
                <w:rFonts w:ascii="Times New Roman" w:hAnsi="Times New Roman"/>
                <w:b/>
                <w:sz w:val="20"/>
              </w:rPr>
            </w:pPr>
            <w:r w:rsidRPr="0071778D">
              <w:rPr>
                <w:rFonts w:ascii="Times New Roman" w:hAnsi="Times New Roman"/>
                <w:b/>
                <w:sz w:val="20"/>
              </w:rPr>
              <w:t>NBS SR</w:t>
            </w:r>
          </w:p>
        </w:tc>
        <w:tc>
          <w:tcPr>
            <w:tcW w:w="3969" w:type="dxa"/>
            <w:tcBorders>
              <w:top w:val="single" w:sz="34" w:space="0" w:color="B2B2B2"/>
              <w:left w:val="single" w:sz="4" w:space="0" w:color="000000"/>
              <w:bottom w:val="single" w:sz="34" w:space="0" w:color="92D050"/>
              <w:right w:val="single" w:sz="4" w:space="0" w:color="000000"/>
            </w:tcBorders>
            <w:shd w:val="clear" w:color="auto" w:fill="B2B2B2"/>
          </w:tcPr>
          <w:p w:rsidR="00043D8B" w:rsidRPr="0071778D" w:rsidRDefault="00043D8B" w:rsidP="00043D8B">
            <w:pPr>
              <w:ind w:left="2"/>
              <w:jc w:val="both"/>
              <w:rPr>
                <w:rFonts w:ascii="Times New Roman" w:hAnsi="Times New Roman"/>
                <w:b/>
                <w:sz w:val="20"/>
                <w:szCs w:val="20"/>
              </w:rPr>
            </w:pPr>
            <w:r w:rsidRPr="00043D8B">
              <w:rPr>
                <w:rFonts w:ascii="Times New Roman" w:hAnsi="Times New Roman"/>
                <w:sz w:val="20"/>
                <w:szCs w:val="20"/>
              </w:rPr>
              <w:t>Slovenská republika víta snahu EK o hlbšie preskúmanie predmetnej problematiky s cieľom identifikovať a eliminovať možné prekážky v používaní eura ako medzinárodnej finančnej a fakturačnej meny. Slovenská republika by uvítala predmetnejšie politické a hospodárske odporúčania a konkrétnejšie kroky na prekonávanie identifikovaných prekážok, napríklad vo forme akčného plánu. V súvislosti s dokončením Bankovej únie a EMU je potrebné zlepšiť reputáciu Eurozóny znižovaním rizík a vyriešením tzv. „legacy assets“ vo finančnom sektore, keďže predstavujú prekážku pre ďalšiu integráciu. Potrebné je tiež zdôrazniť potrebu dokončenia Únie kapitálovej únie (CMU), ako aj znižovať závislosť na externých finančných infraštruktúrach a pracovať na posilňovaní vonkajšej reprezentácie eurozóny.</w:t>
            </w:r>
          </w:p>
        </w:tc>
      </w:tr>
      <w:tr w:rsidR="00043D8B" w:rsidTr="00043D8B">
        <w:trPr>
          <w:trHeight w:val="530"/>
        </w:trPr>
        <w:tc>
          <w:tcPr>
            <w:tcW w:w="4614" w:type="dxa"/>
            <w:gridSpan w:val="3"/>
            <w:tcBorders>
              <w:top w:val="single" w:sz="34" w:space="0" w:color="92D050"/>
              <w:left w:val="single" w:sz="4" w:space="0" w:color="000000"/>
              <w:bottom w:val="single" w:sz="34" w:space="0" w:color="B2B2B2"/>
              <w:right w:val="single" w:sz="4" w:space="0" w:color="000000"/>
            </w:tcBorders>
            <w:shd w:val="clear" w:color="auto" w:fill="92D050"/>
            <w:vAlign w:val="center"/>
          </w:tcPr>
          <w:p w:rsidR="00043D8B" w:rsidRDefault="00043D8B" w:rsidP="00043D8B">
            <w:r>
              <w:rPr>
                <w:rFonts w:ascii="Times New Roman" w:hAnsi="Times New Roman"/>
                <w:b/>
                <w:sz w:val="20"/>
              </w:rPr>
              <w:t>Oblasť spravodlivosti a základných práv založená na vzájomnej dôvere</w:t>
            </w:r>
            <w:r>
              <w:rPr>
                <w:rFonts w:ascii="Times New Roman" w:hAnsi="Times New Roman"/>
                <w:sz w:val="20"/>
              </w:rPr>
              <w:t xml:space="preserve"> </w:t>
            </w:r>
          </w:p>
        </w:tc>
        <w:tc>
          <w:tcPr>
            <w:tcW w:w="4536" w:type="dxa"/>
            <w:tcBorders>
              <w:top w:val="single" w:sz="34" w:space="0" w:color="92D050"/>
              <w:left w:val="single" w:sz="4" w:space="0" w:color="000000"/>
              <w:bottom w:val="single" w:sz="34" w:space="0" w:color="B2B2B2"/>
              <w:right w:val="single" w:sz="4" w:space="0" w:color="000000"/>
            </w:tcBorders>
            <w:shd w:val="clear" w:color="auto" w:fill="92D050"/>
          </w:tcPr>
          <w:p w:rsidR="00043D8B" w:rsidRDefault="00043D8B" w:rsidP="00043D8B">
            <w:pPr>
              <w:rPr>
                <w:rFonts w:ascii="Times New Roman" w:hAnsi="Times New Roman"/>
                <w:b/>
                <w:sz w:val="20"/>
              </w:rPr>
            </w:pPr>
          </w:p>
        </w:tc>
        <w:tc>
          <w:tcPr>
            <w:tcW w:w="1418" w:type="dxa"/>
            <w:tcBorders>
              <w:top w:val="single" w:sz="34" w:space="0" w:color="92D050"/>
              <w:left w:val="single" w:sz="4" w:space="0" w:color="000000"/>
              <w:bottom w:val="single" w:sz="34" w:space="0" w:color="B2B2B2"/>
              <w:right w:val="single" w:sz="4" w:space="0" w:color="000000"/>
            </w:tcBorders>
            <w:shd w:val="clear" w:color="auto" w:fill="92D050"/>
          </w:tcPr>
          <w:p w:rsidR="00043D8B" w:rsidRPr="0071778D" w:rsidRDefault="00043D8B" w:rsidP="00043D8B">
            <w:pPr>
              <w:rPr>
                <w:rFonts w:ascii="Times New Roman" w:hAnsi="Times New Roman"/>
                <w:b/>
                <w:sz w:val="20"/>
              </w:rPr>
            </w:pPr>
          </w:p>
        </w:tc>
        <w:tc>
          <w:tcPr>
            <w:tcW w:w="3969" w:type="dxa"/>
            <w:tcBorders>
              <w:top w:val="single" w:sz="34" w:space="0" w:color="92D050"/>
              <w:left w:val="single" w:sz="4" w:space="0" w:color="000000"/>
              <w:bottom w:val="single" w:sz="34" w:space="0" w:color="B2B2B2"/>
              <w:right w:val="single" w:sz="4" w:space="0" w:color="000000"/>
            </w:tcBorders>
            <w:shd w:val="clear" w:color="auto" w:fill="92D050"/>
          </w:tcPr>
          <w:p w:rsidR="00043D8B" w:rsidRPr="0071778D" w:rsidRDefault="00043D8B" w:rsidP="00043D8B">
            <w:pPr>
              <w:jc w:val="both"/>
              <w:rPr>
                <w:rFonts w:ascii="Times New Roman" w:hAnsi="Times New Roman"/>
                <w:b/>
                <w:sz w:val="20"/>
                <w:szCs w:val="20"/>
              </w:rPr>
            </w:pPr>
          </w:p>
        </w:tc>
      </w:tr>
      <w:tr w:rsidR="00043D8B" w:rsidTr="00043D8B">
        <w:trPr>
          <w:trHeight w:val="378"/>
        </w:trPr>
        <w:tc>
          <w:tcPr>
            <w:tcW w:w="541" w:type="dxa"/>
            <w:tcBorders>
              <w:top w:val="single" w:sz="4" w:space="0" w:color="000000"/>
              <w:left w:val="single" w:sz="4" w:space="0" w:color="000000"/>
              <w:bottom w:val="single" w:sz="4" w:space="0" w:color="000000"/>
              <w:right w:val="single" w:sz="4" w:space="0" w:color="000000"/>
            </w:tcBorders>
            <w:shd w:val="clear" w:color="auto" w:fill="B2B2B2"/>
          </w:tcPr>
          <w:p w:rsidR="00043D8B" w:rsidRDefault="00043D8B" w:rsidP="00043D8B">
            <w:r>
              <w:rPr>
                <w:rFonts w:ascii="Times New Roman" w:hAnsi="Times New Roman"/>
                <w:sz w:val="20"/>
              </w:rPr>
              <w:t>12.</w:t>
            </w:r>
            <w:r>
              <w:rPr>
                <w:rFonts w:ascii="Arial" w:hAnsi="Arial" w:cs="Arial"/>
                <w:sz w:val="20"/>
              </w:rPr>
              <w:t xml:space="preserve"> </w:t>
            </w:r>
          </w:p>
        </w:tc>
        <w:tc>
          <w:tcPr>
            <w:tcW w:w="1805" w:type="dxa"/>
            <w:tcBorders>
              <w:top w:val="single" w:sz="34" w:space="0" w:color="B2B2B2"/>
              <w:left w:val="single" w:sz="4" w:space="0" w:color="000000"/>
              <w:bottom w:val="single" w:sz="4" w:space="0" w:color="000000"/>
              <w:right w:val="single" w:sz="4" w:space="0" w:color="000000"/>
            </w:tcBorders>
            <w:shd w:val="clear" w:color="auto" w:fill="B2B2B2"/>
          </w:tcPr>
          <w:p w:rsidR="00043D8B" w:rsidRDefault="00043D8B" w:rsidP="00043D8B">
            <w:pPr>
              <w:ind w:left="1"/>
            </w:pPr>
            <w:r>
              <w:rPr>
                <w:rFonts w:ascii="Times New Roman" w:hAnsi="Times New Roman"/>
                <w:b/>
                <w:sz w:val="20"/>
              </w:rPr>
              <w:t xml:space="preserve">Právny štát </w:t>
            </w:r>
          </w:p>
        </w:tc>
        <w:tc>
          <w:tcPr>
            <w:tcW w:w="2268" w:type="dxa"/>
            <w:tcBorders>
              <w:top w:val="single" w:sz="34" w:space="0" w:color="B2B2B2"/>
              <w:left w:val="single" w:sz="4" w:space="0" w:color="000000"/>
              <w:bottom w:val="single" w:sz="4" w:space="0" w:color="000000"/>
              <w:right w:val="single" w:sz="4" w:space="0" w:color="000000"/>
            </w:tcBorders>
            <w:shd w:val="clear" w:color="auto" w:fill="B2B2B2"/>
          </w:tcPr>
          <w:p w:rsidR="00043D8B" w:rsidRDefault="00F9780E" w:rsidP="00043D8B">
            <w:pPr>
              <w:ind w:left="2"/>
            </w:pPr>
            <w:r>
              <w:rPr>
                <w:rFonts w:ascii="Times New Roman" w:hAnsi="Times New Roman"/>
                <w:sz w:val="20"/>
              </w:rPr>
              <w:t xml:space="preserve"> (nelegislatívna iniciatíva, 3</w:t>
            </w:r>
            <w:r w:rsidR="00043D8B">
              <w:rPr>
                <w:rFonts w:ascii="Times New Roman" w:hAnsi="Times New Roman"/>
                <w:sz w:val="20"/>
              </w:rPr>
              <w:t>. štvrťrok 2019)</w:t>
            </w:r>
            <w:r w:rsidR="00043D8B">
              <w:rPr>
                <w:rFonts w:ascii="Times New Roman" w:hAnsi="Times New Roman"/>
                <w:b/>
                <w:sz w:val="20"/>
              </w:rPr>
              <w:t xml:space="preserve"> </w:t>
            </w:r>
          </w:p>
        </w:tc>
        <w:tc>
          <w:tcPr>
            <w:tcW w:w="4536" w:type="dxa"/>
            <w:tcBorders>
              <w:top w:val="single" w:sz="34" w:space="0" w:color="B2B2B2"/>
              <w:left w:val="single" w:sz="4" w:space="0" w:color="000000"/>
              <w:bottom w:val="single" w:sz="4" w:space="0" w:color="000000"/>
              <w:right w:val="single" w:sz="4" w:space="0" w:color="000000"/>
            </w:tcBorders>
            <w:shd w:val="clear" w:color="auto" w:fill="B2B2B2"/>
          </w:tcPr>
          <w:p w:rsidR="00043D8B" w:rsidRDefault="00043D8B" w:rsidP="00043D8B">
            <w:pPr>
              <w:ind w:left="2"/>
              <w:rPr>
                <w:rFonts w:ascii="Times New Roman" w:hAnsi="Times New Roman"/>
                <w:b/>
                <w:sz w:val="20"/>
              </w:rPr>
            </w:pPr>
            <w:r>
              <w:rPr>
                <w:rFonts w:ascii="Times New Roman" w:hAnsi="Times New Roman"/>
                <w:b/>
                <w:sz w:val="20"/>
              </w:rPr>
              <w:t>Ďalšie posilnenie rámca na podporu právneho štátu z roku 2014</w:t>
            </w:r>
          </w:p>
        </w:tc>
        <w:tc>
          <w:tcPr>
            <w:tcW w:w="1418" w:type="dxa"/>
            <w:tcBorders>
              <w:top w:val="single" w:sz="34" w:space="0" w:color="B2B2B2"/>
              <w:left w:val="single" w:sz="4" w:space="0" w:color="000000"/>
              <w:bottom w:val="single" w:sz="4" w:space="0" w:color="000000"/>
              <w:right w:val="single" w:sz="4" w:space="0" w:color="000000"/>
            </w:tcBorders>
            <w:shd w:val="clear" w:color="auto" w:fill="B2B2B2"/>
          </w:tcPr>
          <w:p w:rsidR="00043D8B" w:rsidRPr="0071778D" w:rsidRDefault="00043D8B" w:rsidP="00043D8B">
            <w:pPr>
              <w:ind w:left="2"/>
              <w:rPr>
                <w:rFonts w:ascii="Times New Roman" w:hAnsi="Times New Roman"/>
                <w:b/>
                <w:sz w:val="20"/>
              </w:rPr>
            </w:pPr>
          </w:p>
          <w:p w:rsidR="00043D8B" w:rsidRPr="0071778D" w:rsidRDefault="00043D8B" w:rsidP="00043D8B">
            <w:pPr>
              <w:ind w:left="2"/>
              <w:rPr>
                <w:rFonts w:ascii="Times New Roman" w:hAnsi="Times New Roman"/>
                <w:b/>
                <w:sz w:val="20"/>
              </w:rPr>
            </w:pPr>
          </w:p>
        </w:tc>
        <w:tc>
          <w:tcPr>
            <w:tcW w:w="3969" w:type="dxa"/>
            <w:tcBorders>
              <w:top w:val="single" w:sz="34" w:space="0" w:color="B2B2B2"/>
              <w:left w:val="single" w:sz="4" w:space="0" w:color="000000"/>
              <w:bottom w:val="single" w:sz="4" w:space="0" w:color="000000"/>
              <w:right w:val="single" w:sz="4" w:space="0" w:color="000000"/>
            </w:tcBorders>
            <w:shd w:val="clear" w:color="auto" w:fill="B2B2B2"/>
          </w:tcPr>
          <w:p w:rsidR="00043D8B" w:rsidRPr="0071778D" w:rsidRDefault="00F9780E" w:rsidP="00043D8B">
            <w:pPr>
              <w:ind w:left="2"/>
              <w:jc w:val="both"/>
              <w:rPr>
                <w:rFonts w:ascii="Times New Roman" w:hAnsi="Times New Roman"/>
                <w:b/>
                <w:sz w:val="20"/>
                <w:szCs w:val="20"/>
              </w:rPr>
            </w:pPr>
            <w:r w:rsidRPr="007C01D9">
              <w:rPr>
                <w:rFonts w:ascii="Times New Roman" w:hAnsi="Times New Roman"/>
                <w:sz w:val="20"/>
                <w:szCs w:val="20"/>
              </w:rPr>
              <w:t>Materiál ešte nebol predstavený.</w:t>
            </w:r>
          </w:p>
        </w:tc>
      </w:tr>
      <w:tr w:rsidR="00043D8B" w:rsidTr="00043D8B">
        <w:trPr>
          <w:trHeight w:val="561"/>
        </w:trPr>
        <w:tc>
          <w:tcPr>
            <w:tcW w:w="4614" w:type="dxa"/>
            <w:gridSpan w:val="3"/>
            <w:tcBorders>
              <w:top w:val="single" w:sz="4" w:space="0" w:color="000000"/>
              <w:left w:val="single" w:sz="4" w:space="0" w:color="000000"/>
              <w:bottom w:val="single" w:sz="34" w:space="0" w:color="FFFFFF"/>
              <w:right w:val="single" w:sz="4" w:space="0" w:color="000000"/>
            </w:tcBorders>
            <w:shd w:val="clear" w:color="auto" w:fill="92D050"/>
            <w:vAlign w:val="center"/>
          </w:tcPr>
          <w:p w:rsidR="00043D8B" w:rsidRDefault="00043D8B" w:rsidP="00043D8B">
            <w:r>
              <w:rPr>
                <w:rFonts w:ascii="Times New Roman" w:hAnsi="Times New Roman"/>
                <w:b/>
                <w:sz w:val="20"/>
              </w:rPr>
              <w:t>Smerom k novej politike v oblasti migrácie</w:t>
            </w:r>
            <w:r>
              <w:rPr>
                <w:rFonts w:ascii="Times New Roman" w:hAnsi="Times New Roman"/>
                <w:sz w:val="20"/>
              </w:rPr>
              <w:t xml:space="preserve"> </w:t>
            </w:r>
          </w:p>
        </w:tc>
        <w:tc>
          <w:tcPr>
            <w:tcW w:w="4536" w:type="dxa"/>
            <w:tcBorders>
              <w:top w:val="single" w:sz="4" w:space="0" w:color="000000"/>
              <w:left w:val="single" w:sz="4" w:space="0" w:color="000000"/>
              <w:bottom w:val="single" w:sz="34" w:space="0" w:color="FFFFFF"/>
              <w:right w:val="single" w:sz="4" w:space="0" w:color="000000"/>
            </w:tcBorders>
            <w:shd w:val="clear" w:color="auto" w:fill="92D050"/>
          </w:tcPr>
          <w:p w:rsidR="00043D8B" w:rsidRDefault="00043D8B" w:rsidP="00043D8B">
            <w:pPr>
              <w:rPr>
                <w:rFonts w:ascii="Times New Roman" w:hAnsi="Times New Roman"/>
                <w:b/>
                <w:sz w:val="20"/>
              </w:rPr>
            </w:pPr>
          </w:p>
        </w:tc>
        <w:tc>
          <w:tcPr>
            <w:tcW w:w="1418" w:type="dxa"/>
            <w:tcBorders>
              <w:top w:val="single" w:sz="4" w:space="0" w:color="000000"/>
              <w:left w:val="single" w:sz="4" w:space="0" w:color="000000"/>
              <w:bottom w:val="single" w:sz="34" w:space="0" w:color="FFFFFF"/>
              <w:right w:val="single" w:sz="4" w:space="0" w:color="000000"/>
            </w:tcBorders>
            <w:shd w:val="clear" w:color="auto" w:fill="92D050"/>
          </w:tcPr>
          <w:p w:rsidR="00043D8B" w:rsidRPr="0071778D" w:rsidRDefault="00043D8B" w:rsidP="00043D8B">
            <w:pPr>
              <w:rPr>
                <w:rFonts w:ascii="Times New Roman" w:hAnsi="Times New Roman"/>
                <w:b/>
                <w:sz w:val="20"/>
              </w:rPr>
            </w:pPr>
          </w:p>
        </w:tc>
        <w:tc>
          <w:tcPr>
            <w:tcW w:w="3969" w:type="dxa"/>
            <w:tcBorders>
              <w:top w:val="single" w:sz="4" w:space="0" w:color="000000"/>
              <w:left w:val="single" w:sz="4" w:space="0" w:color="000000"/>
              <w:bottom w:val="single" w:sz="34" w:space="0" w:color="FFFFFF"/>
              <w:right w:val="single" w:sz="4" w:space="0" w:color="000000"/>
            </w:tcBorders>
            <w:shd w:val="clear" w:color="auto" w:fill="92D050"/>
          </w:tcPr>
          <w:p w:rsidR="00043D8B" w:rsidRPr="0071778D" w:rsidRDefault="00043D8B" w:rsidP="00043D8B">
            <w:pPr>
              <w:jc w:val="both"/>
              <w:rPr>
                <w:rFonts w:ascii="Times New Roman" w:hAnsi="Times New Roman"/>
                <w:b/>
                <w:sz w:val="20"/>
                <w:szCs w:val="20"/>
              </w:rPr>
            </w:pPr>
          </w:p>
        </w:tc>
      </w:tr>
      <w:tr w:rsidR="00043D8B" w:rsidTr="00043D8B">
        <w:trPr>
          <w:trHeight w:val="445"/>
        </w:trPr>
        <w:tc>
          <w:tcPr>
            <w:tcW w:w="541" w:type="dxa"/>
            <w:tcBorders>
              <w:top w:val="single" w:sz="34" w:space="0" w:color="FFFFFF"/>
              <w:left w:val="single" w:sz="4" w:space="0" w:color="000000"/>
              <w:bottom w:val="single" w:sz="4" w:space="0" w:color="auto"/>
              <w:right w:val="single" w:sz="4" w:space="0" w:color="000000"/>
            </w:tcBorders>
          </w:tcPr>
          <w:p w:rsidR="00043D8B" w:rsidRDefault="00043D8B" w:rsidP="00043D8B">
            <w:r>
              <w:rPr>
                <w:rFonts w:ascii="Times New Roman" w:hAnsi="Times New Roman"/>
                <w:sz w:val="20"/>
              </w:rPr>
              <w:t>13.</w:t>
            </w:r>
            <w:r>
              <w:rPr>
                <w:rFonts w:ascii="Arial" w:hAnsi="Arial" w:cs="Arial"/>
                <w:sz w:val="20"/>
              </w:rPr>
              <w:t xml:space="preserve"> </w:t>
            </w:r>
          </w:p>
        </w:tc>
        <w:tc>
          <w:tcPr>
            <w:tcW w:w="1805" w:type="dxa"/>
            <w:tcBorders>
              <w:top w:val="single" w:sz="34" w:space="0" w:color="FFFFFF"/>
              <w:left w:val="single" w:sz="4" w:space="0" w:color="000000"/>
              <w:bottom w:val="single" w:sz="4" w:space="0" w:color="auto"/>
              <w:right w:val="single" w:sz="4" w:space="0" w:color="000000"/>
            </w:tcBorders>
            <w:vAlign w:val="center"/>
          </w:tcPr>
          <w:p w:rsidR="00043D8B" w:rsidRDefault="00043D8B" w:rsidP="00043D8B">
            <w:pPr>
              <w:ind w:left="1"/>
            </w:pPr>
            <w:r>
              <w:rPr>
                <w:rFonts w:ascii="Times New Roman" w:hAnsi="Times New Roman"/>
                <w:b/>
                <w:sz w:val="20"/>
              </w:rPr>
              <w:t xml:space="preserve">Vykonávanie spoločnej vízovej politiky </w:t>
            </w:r>
          </w:p>
        </w:tc>
        <w:tc>
          <w:tcPr>
            <w:tcW w:w="2268" w:type="dxa"/>
            <w:tcBorders>
              <w:top w:val="single" w:sz="34" w:space="0" w:color="FFFFFF"/>
              <w:left w:val="single" w:sz="4" w:space="0" w:color="000000"/>
              <w:bottom w:val="single" w:sz="4" w:space="0" w:color="auto"/>
              <w:right w:val="single" w:sz="4" w:space="0" w:color="000000"/>
            </w:tcBorders>
            <w:vAlign w:val="center"/>
          </w:tcPr>
          <w:p w:rsidR="00043D8B" w:rsidRDefault="00043D8B" w:rsidP="00043D8B">
            <w:pPr>
              <w:ind w:left="2"/>
            </w:pPr>
            <w:r>
              <w:rPr>
                <w:rFonts w:ascii="Times New Roman" w:hAnsi="Times New Roman"/>
                <w:sz w:val="20"/>
              </w:rPr>
              <w:t xml:space="preserve"> (nelegislatívna iniciatíva, 4. štvrťrok 2018)</w:t>
            </w:r>
            <w:r>
              <w:rPr>
                <w:rFonts w:ascii="Times New Roman" w:hAnsi="Times New Roman"/>
                <w:b/>
                <w:i/>
                <w:sz w:val="20"/>
              </w:rPr>
              <w:t xml:space="preserve">  </w:t>
            </w:r>
          </w:p>
        </w:tc>
        <w:tc>
          <w:tcPr>
            <w:tcW w:w="4536" w:type="dxa"/>
            <w:tcBorders>
              <w:top w:val="single" w:sz="34" w:space="0" w:color="FFFFFF"/>
              <w:left w:val="single" w:sz="4" w:space="0" w:color="000000"/>
              <w:bottom w:val="single" w:sz="4" w:space="0" w:color="auto"/>
              <w:right w:val="single" w:sz="4" w:space="0" w:color="000000"/>
            </w:tcBorders>
          </w:tcPr>
          <w:p w:rsidR="00043D8B" w:rsidRDefault="00043D8B" w:rsidP="00043D8B">
            <w:pPr>
              <w:ind w:left="2"/>
              <w:rPr>
                <w:rFonts w:ascii="Times New Roman" w:hAnsi="Times New Roman"/>
                <w:b/>
                <w:sz w:val="20"/>
              </w:rPr>
            </w:pPr>
            <w:r>
              <w:rPr>
                <w:rFonts w:ascii="Times New Roman" w:hAnsi="Times New Roman"/>
                <w:b/>
                <w:sz w:val="20"/>
              </w:rPr>
              <w:t>Oznámenie o reciprocite v oblasti víz</w:t>
            </w:r>
          </w:p>
        </w:tc>
        <w:tc>
          <w:tcPr>
            <w:tcW w:w="1418" w:type="dxa"/>
            <w:tcBorders>
              <w:top w:val="single" w:sz="34" w:space="0" w:color="FFFFFF"/>
              <w:left w:val="single" w:sz="4" w:space="0" w:color="000000"/>
              <w:bottom w:val="single" w:sz="4" w:space="0" w:color="auto"/>
              <w:right w:val="single" w:sz="4" w:space="0" w:color="000000"/>
            </w:tcBorders>
          </w:tcPr>
          <w:p w:rsidR="00043D8B" w:rsidRPr="0071778D" w:rsidRDefault="00043D8B" w:rsidP="00043D8B">
            <w:pPr>
              <w:ind w:left="2"/>
              <w:rPr>
                <w:rFonts w:ascii="Times New Roman" w:hAnsi="Times New Roman"/>
                <w:b/>
                <w:sz w:val="20"/>
              </w:rPr>
            </w:pPr>
            <w:r w:rsidRPr="0071778D">
              <w:rPr>
                <w:rFonts w:ascii="Times New Roman" w:hAnsi="Times New Roman"/>
                <w:b/>
                <w:sz w:val="20"/>
              </w:rPr>
              <w:t>MV SR</w:t>
            </w:r>
          </w:p>
        </w:tc>
        <w:tc>
          <w:tcPr>
            <w:tcW w:w="3969" w:type="dxa"/>
            <w:tcBorders>
              <w:top w:val="single" w:sz="34" w:space="0" w:color="FFFFFF"/>
              <w:left w:val="single" w:sz="4" w:space="0" w:color="000000"/>
              <w:bottom w:val="single" w:sz="4" w:space="0" w:color="auto"/>
              <w:right w:val="single" w:sz="4" w:space="0" w:color="000000"/>
            </w:tcBorders>
          </w:tcPr>
          <w:p w:rsidR="00043D8B" w:rsidRPr="007C01D9" w:rsidRDefault="00043D8B" w:rsidP="00043D8B">
            <w:pPr>
              <w:ind w:left="2"/>
              <w:jc w:val="both"/>
              <w:rPr>
                <w:rFonts w:ascii="Times New Roman" w:hAnsi="Times New Roman"/>
                <w:b/>
                <w:sz w:val="20"/>
                <w:szCs w:val="20"/>
                <w:u w:val="single"/>
              </w:rPr>
            </w:pPr>
            <w:r w:rsidRPr="0071778D">
              <w:rPr>
                <w:rFonts w:ascii="Times New Roman" w:hAnsi="Times New Roman"/>
                <w:b/>
                <w:sz w:val="20"/>
                <w:szCs w:val="20"/>
                <w:u w:val="single"/>
              </w:rPr>
              <w:t>Nízka priorita</w:t>
            </w:r>
            <w:r>
              <w:rPr>
                <w:rFonts w:ascii="Times New Roman" w:hAnsi="Times New Roman"/>
                <w:b/>
                <w:sz w:val="20"/>
                <w:szCs w:val="20"/>
                <w:u w:val="single"/>
              </w:rPr>
              <w:t xml:space="preserve"> </w:t>
            </w:r>
            <w:r w:rsidRPr="0071778D">
              <w:rPr>
                <w:rFonts w:ascii="Times New Roman" w:hAnsi="Times New Roman"/>
                <w:sz w:val="20"/>
                <w:szCs w:val="20"/>
              </w:rPr>
              <w:t>Komisia v každoročnej správe zhodnotí vízovú reciprocitu medzi členskými štátmi EÚ a tretími krajinami</w:t>
            </w:r>
          </w:p>
        </w:tc>
      </w:tr>
      <w:tr w:rsidR="00043D8B" w:rsidTr="00043D8B">
        <w:trPr>
          <w:trHeight w:val="608"/>
        </w:trPr>
        <w:tc>
          <w:tcPr>
            <w:tcW w:w="541" w:type="dxa"/>
            <w:tcBorders>
              <w:top w:val="single" w:sz="4" w:space="0" w:color="auto"/>
              <w:left w:val="single" w:sz="4" w:space="0" w:color="auto"/>
              <w:bottom w:val="single" w:sz="4" w:space="0" w:color="auto"/>
              <w:right w:val="single" w:sz="4" w:space="0" w:color="auto"/>
            </w:tcBorders>
          </w:tcPr>
          <w:p w:rsidR="00043D8B" w:rsidRDefault="00043D8B" w:rsidP="00043D8B">
            <w:r>
              <w:rPr>
                <w:rFonts w:ascii="Times New Roman" w:hAnsi="Times New Roman"/>
                <w:sz w:val="20"/>
              </w:rPr>
              <w:t>14.</w:t>
            </w:r>
            <w:r>
              <w:rPr>
                <w:rFonts w:ascii="Arial" w:hAnsi="Arial" w:cs="Arial"/>
                <w:sz w:val="20"/>
              </w:rPr>
              <w:t xml:space="preserve"> </w:t>
            </w:r>
          </w:p>
        </w:tc>
        <w:tc>
          <w:tcPr>
            <w:tcW w:w="1805" w:type="dxa"/>
            <w:tcBorders>
              <w:top w:val="single" w:sz="4" w:space="0" w:color="auto"/>
              <w:left w:val="single" w:sz="4" w:space="0" w:color="auto"/>
              <w:bottom w:val="single" w:sz="4" w:space="0" w:color="auto"/>
              <w:right w:val="single" w:sz="4" w:space="0" w:color="auto"/>
            </w:tcBorders>
          </w:tcPr>
          <w:p w:rsidR="00043D8B" w:rsidRPr="000F492B" w:rsidRDefault="00043D8B" w:rsidP="00043D8B">
            <w:pPr>
              <w:ind w:left="1"/>
            </w:pPr>
            <w:r w:rsidRPr="000F492B">
              <w:rPr>
                <w:rFonts w:ascii="Times New Roman" w:hAnsi="Times New Roman"/>
                <w:b/>
                <w:sz w:val="20"/>
              </w:rPr>
              <w:t xml:space="preserve">Vízová politika – príprava na brexit </w:t>
            </w:r>
          </w:p>
        </w:tc>
        <w:tc>
          <w:tcPr>
            <w:tcW w:w="2268" w:type="dxa"/>
            <w:tcBorders>
              <w:top w:val="single" w:sz="4" w:space="0" w:color="auto"/>
              <w:left w:val="single" w:sz="4" w:space="0" w:color="auto"/>
              <w:bottom w:val="single" w:sz="4" w:space="0" w:color="auto"/>
              <w:right w:val="single" w:sz="4" w:space="0" w:color="auto"/>
            </w:tcBorders>
          </w:tcPr>
          <w:p w:rsidR="00043D8B" w:rsidRPr="000F492B" w:rsidRDefault="00043D8B" w:rsidP="00043D8B">
            <w:pPr>
              <w:ind w:left="2"/>
              <w:jc w:val="both"/>
            </w:pPr>
            <w:r w:rsidRPr="000F492B">
              <w:rPr>
                <w:rFonts w:ascii="Times New Roman" w:hAnsi="Times New Roman"/>
                <w:sz w:val="20"/>
              </w:rPr>
              <w:t xml:space="preserve"> (legislatívna iniciatíva, článok 77 ods. 2 ZFEÚ , 4. štvrťrok 2018) (pripravenosť na brexit) </w:t>
            </w:r>
          </w:p>
        </w:tc>
        <w:tc>
          <w:tcPr>
            <w:tcW w:w="4536" w:type="dxa"/>
            <w:tcBorders>
              <w:top w:val="single" w:sz="4" w:space="0" w:color="auto"/>
              <w:left w:val="single" w:sz="4" w:space="0" w:color="auto"/>
              <w:bottom w:val="single" w:sz="4" w:space="0" w:color="auto"/>
              <w:right w:val="single" w:sz="4" w:space="0" w:color="auto"/>
            </w:tcBorders>
          </w:tcPr>
          <w:p w:rsidR="00043D8B" w:rsidRDefault="00043D8B" w:rsidP="00043D8B">
            <w:pPr>
              <w:ind w:left="2"/>
              <w:jc w:val="both"/>
              <w:rPr>
                <w:rFonts w:ascii="Times New Roman" w:hAnsi="Times New Roman"/>
                <w:b/>
                <w:i/>
                <w:sz w:val="20"/>
              </w:rPr>
            </w:pPr>
            <w:r w:rsidRPr="000F492B">
              <w:rPr>
                <w:rFonts w:ascii="Times New Roman" w:hAnsi="Times New Roman"/>
                <w:b/>
                <w:sz w:val="20"/>
              </w:rPr>
              <w:t>Návrh na umiestnenie Spojeného kráľovstva buď na zoznam tretích krajín s vízovou povinnosťou alebo na zoznam krajín s bezvízovým stykom</w:t>
            </w:r>
          </w:p>
        </w:tc>
        <w:tc>
          <w:tcPr>
            <w:tcW w:w="1418" w:type="dxa"/>
            <w:tcBorders>
              <w:top w:val="single" w:sz="4" w:space="0" w:color="auto"/>
              <w:left w:val="single" w:sz="4" w:space="0" w:color="auto"/>
              <w:bottom w:val="single" w:sz="4" w:space="0" w:color="auto"/>
              <w:right w:val="single" w:sz="4" w:space="0" w:color="auto"/>
            </w:tcBorders>
          </w:tcPr>
          <w:p w:rsidR="00043D8B" w:rsidRPr="0071778D" w:rsidRDefault="00043D8B" w:rsidP="00043D8B">
            <w:pPr>
              <w:ind w:left="2"/>
              <w:jc w:val="both"/>
              <w:rPr>
                <w:rFonts w:ascii="Times New Roman" w:hAnsi="Times New Roman"/>
                <w:b/>
                <w:sz w:val="20"/>
              </w:rPr>
            </w:pPr>
            <w:r w:rsidRPr="0071778D">
              <w:rPr>
                <w:rFonts w:ascii="Times New Roman" w:hAnsi="Times New Roman"/>
                <w:b/>
                <w:sz w:val="20"/>
              </w:rPr>
              <w:t xml:space="preserve">MV SR </w:t>
            </w:r>
          </w:p>
        </w:tc>
        <w:tc>
          <w:tcPr>
            <w:tcW w:w="3969" w:type="dxa"/>
            <w:tcBorders>
              <w:top w:val="single" w:sz="4" w:space="0" w:color="auto"/>
              <w:left w:val="single" w:sz="4" w:space="0" w:color="auto"/>
              <w:bottom w:val="single" w:sz="4" w:space="0" w:color="auto"/>
              <w:right w:val="single" w:sz="4" w:space="0" w:color="auto"/>
            </w:tcBorders>
          </w:tcPr>
          <w:p w:rsidR="00043D8B" w:rsidRPr="0071778D" w:rsidRDefault="00043D8B" w:rsidP="00632382">
            <w:pPr>
              <w:spacing w:after="0"/>
              <w:jc w:val="both"/>
              <w:rPr>
                <w:rFonts w:ascii="Times New Roman" w:hAnsi="Times New Roman"/>
                <w:b/>
                <w:sz w:val="20"/>
                <w:szCs w:val="20"/>
                <w:u w:val="single"/>
              </w:rPr>
            </w:pPr>
            <w:r w:rsidRPr="0071778D">
              <w:rPr>
                <w:rFonts w:ascii="Times New Roman" w:hAnsi="Times New Roman"/>
                <w:b/>
                <w:sz w:val="20"/>
                <w:szCs w:val="20"/>
                <w:u w:val="single"/>
              </w:rPr>
              <w:t>Stredná priorita</w:t>
            </w:r>
          </w:p>
          <w:p w:rsidR="00043D8B" w:rsidRPr="0071778D" w:rsidRDefault="00043D8B" w:rsidP="00632382">
            <w:pPr>
              <w:spacing w:after="0"/>
              <w:ind w:left="2"/>
              <w:jc w:val="both"/>
              <w:rPr>
                <w:rFonts w:ascii="Times New Roman" w:hAnsi="Times New Roman"/>
                <w:b/>
                <w:i/>
                <w:sz w:val="20"/>
                <w:szCs w:val="20"/>
              </w:rPr>
            </w:pPr>
            <w:r w:rsidRPr="0071778D">
              <w:rPr>
                <w:rFonts w:ascii="Times New Roman" w:hAnsi="Times New Roman"/>
                <w:sz w:val="20"/>
                <w:szCs w:val="20"/>
              </w:rPr>
              <w:t>Komisia navrhuje bezvízový režim pre občanov Veľkej Británie pri cestovaní do EÚ po vystúpení Veľkej Británie z EÚ. SR aktuálne nemá voči tomuto návrhu výhrady.</w:t>
            </w:r>
          </w:p>
        </w:tc>
      </w:tr>
      <w:tr w:rsidR="00043D8B" w:rsidTr="00043D8B">
        <w:trPr>
          <w:trHeight w:val="529"/>
        </w:trPr>
        <w:tc>
          <w:tcPr>
            <w:tcW w:w="4614" w:type="dxa"/>
            <w:gridSpan w:val="3"/>
            <w:tcBorders>
              <w:top w:val="single" w:sz="4" w:space="0" w:color="auto"/>
              <w:left w:val="single" w:sz="4" w:space="0" w:color="000000"/>
              <w:bottom w:val="single" w:sz="34" w:space="0" w:color="B2B2B2"/>
              <w:right w:val="single" w:sz="4" w:space="0" w:color="000000"/>
            </w:tcBorders>
            <w:shd w:val="clear" w:color="auto" w:fill="92D050"/>
            <w:vAlign w:val="center"/>
          </w:tcPr>
          <w:p w:rsidR="00043D8B" w:rsidRDefault="00043D8B" w:rsidP="00043D8B">
            <w:r>
              <w:rPr>
                <w:rFonts w:ascii="Times New Roman" w:hAnsi="Times New Roman"/>
                <w:b/>
                <w:sz w:val="20"/>
              </w:rPr>
              <w:t>Únia demokratickej zmeny</w:t>
            </w:r>
            <w:r>
              <w:rPr>
                <w:rFonts w:ascii="Times New Roman" w:hAnsi="Times New Roman"/>
                <w:sz w:val="20"/>
              </w:rPr>
              <w:t xml:space="preserve"> </w:t>
            </w:r>
          </w:p>
        </w:tc>
        <w:tc>
          <w:tcPr>
            <w:tcW w:w="4536" w:type="dxa"/>
            <w:tcBorders>
              <w:top w:val="single" w:sz="4" w:space="0" w:color="auto"/>
              <w:left w:val="single" w:sz="4" w:space="0" w:color="000000"/>
              <w:bottom w:val="single" w:sz="34" w:space="0" w:color="B2B2B2"/>
              <w:right w:val="single" w:sz="4" w:space="0" w:color="000000"/>
            </w:tcBorders>
            <w:shd w:val="clear" w:color="auto" w:fill="92D050"/>
          </w:tcPr>
          <w:p w:rsidR="00043D8B" w:rsidRDefault="00043D8B" w:rsidP="00043D8B">
            <w:pPr>
              <w:rPr>
                <w:rFonts w:ascii="Times New Roman" w:hAnsi="Times New Roman"/>
                <w:b/>
                <w:sz w:val="20"/>
              </w:rPr>
            </w:pPr>
          </w:p>
        </w:tc>
        <w:tc>
          <w:tcPr>
            <w:tcW w:w="1418" w:type="dxa"/>
            <w:tcBorders>
              <w:top w:val="single" w:sz="4" w:space="0" w:color="auto"/>
              <w:left w:val="single" w:sz="4" w:space="0" w:color="000000"/>
              <w:bottom w:val="single" w:sz="34" w:space="0" w:color="B2B2B2"/>
              <w:right w:val="single" w:sz="4" w:space="0" w:color="000000"/>
            </w:tcBorders>
            <w:shd w:val="clear" w:color="auto" w:fill="92D050"/>
          </w:tcPr>
          <w:p w:rsidR="00043D8B" w:rsidRPr="0071778D" w:rsidRDefault="00043D8B" w:rsidP="00043D8B">
            <w:pPr>
              <w:rPr>
                <w:rFonts w:ascii="Times New Roman" w:hAnsi="Times New Roman"/>
                <w:b/>
                <w:sz w:val="20"/>
              </w:rPr>
            </w:pPr>
          </w:p>
        </w:tc>
        <w:tc>
          <w:tcPr>
            <w:tcW w:w="3969" w:type="dxa"/>
            <w:tcBorders>
              <w:top w:val="single" w:sz="4" w:space="0" w:color="auto"/>
              <w:left w:val="single" w:sz="4" w:space="0" w:color="000000"/>
              <w:bottom w:val="single" w:sz="34" w:space="0" w:color="B2B2B2"/>
              <w:right w:val="single" w:sz="4" w:space="0" w:color="000000"/>
            </w:tcBorders>
            <w:shd w:val="clear" w:color="auto" w:fill="92D050"/>
          </w:tcPr>
          <w:p w:rsidR="00043D8B" w:rsidRPr="0071778D" w:rsidRDefault="00043D8B" w:rsidP="00043D8B">
            <w:pPr>
              <w:jc w:val="both"/>
              <w:rPr>
                <w:rFonts w:ascii="Times New Roman" w:hAnsi="Times New Roman"/>
                <w:b/>
                <w:sz w:val="20"/>
                <w:szCs w:val="20"/>
              </w:rPr>
            </w:pPr>
          </w:p>
        </w:tc>
      </w:tr>
      <w:tr w:rsidR="00043D8B" w:rsidTr="00043D8B">
        <w:trPr>
          <w:trHeight w:val="607"/>
        </w:trPr>
        <w:tc>
          <w:tcPr>
            <w:tcW w:w="541" w:type="dxa"/>
            <w:tcBorders>
              <w:top w:val="single" w:sz="4" w:space="0" w:color="000000"/>
              <w:left w:val="single" w:sz="4" w:space="0" w:color="000000"/>
              <w:bottom w:val="single" w:sz="4" w:space="0" w:color="000000"/>
              <w:right w:val="single" w:sz="4" w:space="0" w:color="000000"/>
            </w:tcBorders>
            <w:shd w:val="clear" w:color="auto" w:fill="B2B2B2"/>
          </w:tcPr>
          <w:p w:rsidR="00043D8B" w:rsidRDefault="00043D8B" w:rsidP="00043D8B">
            <w:r>
              <w:rPr>
                <w:rFonts w:ascii="Times New Roman" w:hAnsi="Times New Roman"/>
                <w:sz w:val="20"/>
              </w:rPr>
              <w:t>15.</w:t>
            </w:r>
            <w:r>
              <w:rPr>
                <w:rFonts w:ascii="Arial" w:hAnsi="Arial" w:cs="Arial"/>
                <w:sz w:val="20"/>
              </w:rPr>
              <w:t xml:space="preserve"> </w:t>
            </w:r>
          </w:p>
        </w:tc>
        <w:tc>
          <w:tcPr>
            <w:tcW w:w="1805" w:type="dxa"/>
            <w:tcBorders>
              <w:top w:val="single" w:sz="34" w:space="0" w:color="B2B2B2"/>
              <w:left w:val="single" w:sz="4" w:space="0" w:color="000000"/>
              <w:bottom w:val="single" w:sz="4" w:space="0" w:color="000000"/>
              <w:right w:val="single" w:sz="4" w:space="0" w:color="000000"/>
            </w:tcBorders>
            <w:shd w:val="clear" w:color="auto" w:fill="B2B2B2"/>
          </w:tcPr>
          <w:p w:rsidR="00043D8B" w:rsidRDefault="00043D8B" w:rsidP="00043D8B">
            <w:pPr>
              <w:ind w:left="1"/>
            </w:pPr>
            <w:r>
              <w:rPr>
                <w:rFonts w:ascii="Times New Roman" w:hAnsi="Times New Roman"/>
                <w:b/>
                <w:sz w:val="20"/>
              </w:rPr>
              <w:t xml:space="preserve">Komunikovanie o Európe </w:t>
            </w:r>
          </w:p>
        </w:tc>
        <w:tc>
          <w:tcPr>
            <w:tcW w:w="2268" w:type="dxa"/>
            <w:tcBorders>
              <w:top w:val="single" w:sz="34" w:space="0" w:color="B2B2B2"/>
              <w:left w:val="single" w:sz="4" w:space="0" w:color="000000"/>
              <w:bottom w:val="single" w:sz="4" w:space="0" w:color="000000"/>
              <w:right w:val="single" w:sz="4" w:space="0" w:color="000000"/>
            </w:tcBorders>
            <w:shd w:val="clear" w:color="auto" w:fill="B2B2B2"/>
          </w:tcPr>
          <w:p w:rsidR="00043D8B" w:rsidRDefault="00043D8B" w:rsidP="00043D8B">
            <w:pPr>
              <w:ind w:left="2"/>
              <w:jc w:val="both"/>
            </w:pPr>
            <w:r>
              <w:rPr>
                <w:rFonts w:ascii="Times New Roman" w:hAnsi="Times New Roman"/>
                <w:b/>
                <w:sz w:val="20"/>
              </w:rPr>
              <w:t>Oznámenie o spôsoboch, akými možno dosiahnuť jednotnejšiu, silnejšiu a demokratickejšiu Úniu z hľadiska komunikácie</w:t>
            </w:r>
            <w:r>
              <w:rPr>
                <w:rFonts w:ascii="Times New Roman" w:hAnsi="Times New Roman"/>
                <w:sz w:val="20"/>
              </w:rPr>
              <w:t xml:space="preserve"> (nelegislatívna iniciatíva, 2. štvrťrok 2019).</w:t>
            </w:r>
            <w:r>
              <w:rPr>
                <w:rFonts w:ascii="Times New Roman" w:hAnsi="Times New Roman"/>
                <w:b/>
                <w:sz w:val="20"/>
              </w:rPr>
              <w:t xml:space="preserve"> </w:t>
            </w:r>
          </w:p>
        </w:tc>
        <w:tc>
          <w:tcPr>
            <w:tcW w:w="4536" w:type="dxa"/>
            <w:tcBorders>
              <w:top w:val="single" w:sz="34" w:space="0" w:color="B2B2B2"/>
              <w:left w:val="single" w:sz="4" w:space="0" w:color="000000"/>
              <w:bottom w:val="single" w:sz="4" w:space="0" w:color="000000"/>
              <w:right w:val="single" w:sz="4" w:space="0" w:color="000000"/>
            </w:tcBorders>
            <w:shd w:val="clear" w:color="auto" w:fill="B2B2B2"/>
          </w:tcPr>
          <w:p w:rsidR="00043D8B" w:rsidRDefault="00043D8B" w:rsidP="00043D8B">
            <w:pPr>
              <w:ind w:left="2"/>
              <w:jc w:val="both"/>
              <w:rPr>
                <w:rFonts w:ascii="Times New Roman" w:hAnsi="Times New Roman"/>
                <w:b/>
                <w:sz w:val="20"/>
              </w:rPr>
            </w:pPr>
          </w:p>
        </w:tc>
        <w:tc>
          <w:tcPr>
            <w:tcW w:w="1418" w:type="dxa"/>
            <w:tcBorders>
              <w:top w:val="single" w:sz="34" w:space="0" w:color="B2B2B2"/>
              <w:left w:val="single" w:sz="4" w:space="0" w:color="000000"/>
              <w:bottom w:val="single" w:sz="4" w:space="0" w:color="000000"/>
              <w:right w:val="single" w:sz="4" w:space="0" w:color="000000"/>
            </w:tcBorders>
            <w:shd w:val="clear" w:color="auto" w:fill="B2B2B2"/>
          </w:tcPr>
          <w:p w:rsidR="00043D8B" w:rsidRPr="0071778D" w:rsidRDefault="00043D8B" w:rsidP="00AF4D78">
            <w:pPr>
              <w:ind w:left="2"/>
              <w:rPr>
                <w:rFonts w:ascii="Times New Roman" w:hAnsi="Times New Roman"/>
                <w:b/>
                <w:sz w:val="20"/>
              </w:rPr>
            </w:pPr>
          </w:p>
        </w:tc>
        <w:tc>
          <w:tcPr>
            <w:tcW w:w="3969" w:type="dxa"/>
            <w:tcBorders>
              <w:top w:val="single" w:sz="34" w:space="0" w:color="B2B2B2"/>
              <w:left w:val="single" w:sz="4" w:space="0" w:color="000000"/>
              <w:bottom w:val="single" w:sz="4" w:space="0" w:color="000000"/>
              <w:right w:val="single" w:sz="4" w:space="0" w:color="000000"/>
            </w:tcBorders>
            <w:shd w:val="clear" w:color="auto" w:fill="B2B2B2"/>
          </w:tcPr>
          <w:p w:rsidR="00043D8B" w:rsidRPr="007C01D9" w:rsidRDefault="00043D8B" w:rsidP="00043D8B">
            <w:pPr>
              <w:ind w:left="2"/>
              <w:jc w:val="both"/>
              <w:rPr>
                <w:rFonts w:ascii="Times New Roman" w:hAnsi="Times New Roman"/>
                <w:sz w:val="20"/>
                <w:szCs w:val="20"/>
              </w:rPr>
            </w:pPr>
            <w:r w:rsidRPr="007C01D9">
              <w:rPr>
                <w:rFonts w:ascii="Times New Roman" w:hAnsi="Times New Roman"/>
                <w:sz w:val="20"/>
                <w:szCs w:val="20"/>
              </w:rPr>
              <w:t>Materiál ešte nebol predstavený.</w:t>
            </w:r>
          </w:p>
        </w:tc>
      </w:tr>
    </w:tbl>
    <w:p w:rsidR="003847E2" w:rsidRDefault="003847E2" w:rsidP="00043D8B">
      <w:pPr>
        <w:pStyle w:val="Nadpis2"/>
        <w:spacing w:after="261"/>
        <w:jc w:val="center"/>
      </w:pPr>
    </w:p>
    <w:p w:rsidR="00043D8B" w:rsidRDefault="00043D8B" w:rsidP="00043D8B">
      <w:pPr>
        <w:pStyle w:val="Nadpis2"/>
        <w:spacing w:after="261"/>
        <w:jc w:val="center"/>
      </w:pPr>
      <w:r>
        <w:t>Príloha II: Iniciatívy v rámci programu REFIT</w:t>
      </w:r>
      <w:r>
        <w:rPr>
          <w:vertAlign w:val="superscript"/>
        </w:rPr>
        <w:footnoteReference w:id="2"/>
      </w:r>
      <w:r>
        <w:rPr>
          <w:i/>
          <w:vertAlign w:val="subscript"/>
        </w:rPr>
        <w:t xml:space="preserve"> </w:t>
      </w:r>
    </w:p>
    <w:tbl>
      <w:tblPr>
        <w:tblStyle w:val="ablnaChar"/>
        <w:tblW w:w="14625" w:type="dxa"/>
        <w:tblInd w:w="-83" w:type="dxa"/>
        <w:tblCellMar>
          <w:top w:w="92" w:type="dxa"/>
          <w:left w:w="83" w:type="dxa"/>
          <w:right w:w="32" w:type="dxa"/>
        </w:tblCellMar>
        <w:tblLook w:val="04A0" w:firstRow="1" w:lastRow="0" w:firstColumn="1" w:lastColumn="0" w:noHBand="0" w:noVBand="1"/>
      </w:tblPr>
      <w:tblGrid>
        <w:gridCol w:w="380"/>
        <w:gridCol w:w="1455"/>
        <w:gridCol w:w="1656"/>
        <w:gridCol w:w="5655"/>
        <w:gridCol w:w="1418"/>
        <w:gridCol w:w="4061"/>
      </w:tblGrid>
      <w:tr w:rsidR="00043D8B" w:rsidTr="00043D8B">
        <w:trPr>
          <w:trHeight w:val="407"/>
        </w:trPr>
        <w:tc>
          <w:tcPr>
            <w:tcW w:w="380" w:type="dxa"/>
            <w:tcBorders>
              <w:top w:val="single" w:sz="4" w:space="0" w:color="auto"/>
              <w:left w:val="single" w:sz="4" w:space="0" w:color="auto"/>
              <w:bottom w:val="single" w:sz="4" w:space="0" w:color="auto"/>
              <w:right w:val="single" w:sz="4" w:space="0" w:color="auto"/>
            </w:tcBorders>
            <w:shd w:val="clear" w:color="auto" w:fill="99CCFF"/>
          </w:tcPr>
          <w:p w:rsidR="00043D8B" w:rsidRDefault="00043D8B" w:rsidP="00043D8B">
            <w:pPr>
              <w:ind w:left="17"/>
            </w:pPr>
            <w:r>
              <w:rPr>
                <w:rFonts w:ascii="Times New Roman" w:hAnsi="Times New Roman"/>
                <w:b/>
                <w:sz w:val="20"/>
              </w:rPr>
              <w:t xml:space="preserve">Č. </w:t>
            </w:r>
          </w:p>
        </w:tc>
        <w:tc>
          <w:tcPr>
            <w:tcW w:w="1455" w:type="dxa"/>
            <w:tcBorders>
              <w:top w:val="single" w:sz="4" w:space="0" w:color="auto"/>
              <w:left w:val="single" w:sz="4" w:space="0" w:color="auto"/>
              <w:bottom w:val="single" w:sz="4" w:space="0" w:color="auto"/>
              <w:right w:val="single" w:sz="4" w:space="0" w:color="auto"/>
            </w:tcBorders>
            <w:shd w:val="clear" w:color="auto" w:fill="99CCFF"/>
          </w:tcPr>
          <w:p w:rsidR="00043D8B" w:rsidRDefault="00043D8B" w:rsidP="00043D8B">
            <w:pPr>
              <w:ind w:right="55"/>
              <w:jc w:val="center"/>
              <w:rPr>
                <w:rFonts w:ascii="Times New Roman" w:hAnsi="Times New Roman"/>
                <w:b/>
                <w:sz w:val="20"/>
              </w:rPr>
            </w:pP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43D8B" w:rsidRPr="00846493" w:rsidRDefault="00043D8B" w:rsidP="00043D8B">
            <w:pPr>
              <w:ind w:right="55"/>
              <w:jc w:val="center"/>
              <w:rPr>
                <w:rFonts w:ascii="Times New Roman" w:hAnsi="Times New Roman"/>
                <w:b/>
                <w:sz w:val="20"/>
              </w:rPr>
            </w:pPr>
            <w:r>
              <w:rPr>
                <w:rFonts w:ascii="Times New Roman" w:hAnsi="Times New Roman"/>
                <w:b/>
                <w:sz w:val="20"/>
              </w:rPr>
              <w:t xml:space="preserve">Názov </w:t>
            </w:r>
          </w:p>
        </w:tc>
        <w:tc>
          <w:tcPr>
            <w:tcW w:w="5655" w:type="dxa"/>
            <w:tcBorders>
              <w:top w:val="single" w:sz="4" w:space="0" w:color="auto"/>
              <w:left w:val="single" w:sz="4" w:space="0" w:color="auto"/>
              <w:bottom w:val="single" w:sz="4" w:space="0" w:color="auto"/>
              <w:right w:val="single" w:sz="4" w:space="0" w:color="auto"/>
            </w:tcBorders>
            <w:shd w:val="clear" w:color="auto" w:fill="99CCFF"/>
          </w:tcPr>
          <w:p w:rsidR="00043D8B" w:rsidRDefault="00043D8B" w:rsidP="00043D8B">
            <w:pPr>
              <w:ind w:right="55"/>
              <w:jc w:val="center"/>
              <w:rPr>
                <w:rFonts w:ascii="Times New Roman" w:hAnsi="Times New Roman"/>
                <w:b/>
                <w:sz w:val="20"/>
              </w:rPr>
            </w:pPr>
            <w:r>
              <w:rPr>
                <w:rFonts w:ascii="Times New Roman" w:hAnsi="Times New Roman"/>
                <w:b/>
                <w:sz w:val="20"/>
              </w:rPr>
              <w:t>Opis</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043D8B" w:rsidRDefault="00043D8B" w:rsidP="00043D8B">
            <w:pPr>
              <w:ind w:right="55"/>
              <w:jc w:val="center"/>
              <w:rPr>
                <w:rFonts w:ascii="Times New Roman" w:hAnsi="Times New Roman"/>
                <w:b/>
                <w:sz w:val="20"/>
              </w:rPr>
            </w:pPr>
            <w:r>
              <w:rPr>
                <w:rFonts w:ascii="Times New Roman" w:hAnsi="Times New Roman"/>
                <w:b/>
                <w:sz w:val="20"/>
              </w:rPr>
              <w:t>Gestor</w:t>
            </w:r>
          </w:p>
        </w:tc>
        <w:tc>
          <w:tcPr>
            <w:tcW w:w="4061" w:type="dxa"/>
            <w:tcBorders>
              <w:top w:val="single" w:sz="4" w:space="0" w:color="auto"/>
              <w:left w:val="single" w:sz="4" w:space="0" w:color="auto"/>
              <w:bottom w:val="single" w:sz="4" w:space="0" w:color="auto"/>
              <w:right w:val="single" w:sz="4" w:space="0" w:color="auto"/>
            </w:tcBorders>
            <w:shd w:val="clear" w:color="auto" w:fill="99CCFF"/>
          </w:tcPr>
          <w:p w:rsidR="00043D8B" w:rsidRDefault="00043D8B" w:rsidP="00043D8B">
            <w:pPr>
              <w:ind w:right="55"/>
              <w:jc w:val="center"/>
              <w:rPr>
                <w:rFonts w:ascii="Times New Roman" w:hAnsi="Times New Roman"/>
                <w:b/>
                <w:sz w:val="20"/>
              </w:rPr>
            </w:pPr>
            <w:r>
              <w:rPr>
                <w:rFonts w:ascii="Times New Roman" w:hAnsi="Times New Roman"/>
                <w:b/>
                <w:sz w:val="20"/>
              </w:rPr>
              <w:t xml:space="preserve">Stupeň priority a pozícia SR </w:t>
            </w:r>
          </w:p>
        </w:tc>
      </w:tr>
      <w:tr w:rsidR="00B1660F" w:rsidTr="00DE6A1C">
        <w:trPr>
          <w:trHeight w:val="497"/>
        </w:trPr>
        <w:tc>
          <w:tcPr>
            <w:tcW w:w="14625" w:type="dxa"/>
            <w:gridSpan w:val="6"/>
            <w:tcBorders>
              <w:top w:val="single" w:sz="4" w:space="0" w:color="auto"/>
              <w:left w:val="single" w:sz="4" w:space="0" w:color="auto"/>
              <w:bottom w:val="single" w:sz="4" w:space="0" w:color="auto"/>
              <w:right w:val="single" w:sz="4" w:space="0" w:color="000000"/>
            </w:tcBorders>
            <w:shd w:val="clear" w:color="auto" w:fill="92D050"/>
          </w:tcPr>
          <w:p w:rsidR="00B1660F" w:rsidRDefault="00B1660F" w:rsidP="00BC4F85">
            <w:pPr>
              <w:tabs>
                <w:tab w:val="left" w:pos="5850"/>
              </w:tabs>
              <w:rPr>
                <w:rFonts w:ascii="Times New Roman" w:hAnsi="Times New Roman"/>
                <w:b/>
                <w:sz w:val="20"/>
              </w:rPr>
            </w:pPr>
            <w:r>
              <w:rPr>
                <w:rFonts w:ascii="Times New Roman" w:hAnsi="Times New Roman"/>
                <w:b/>
                <w:sz w:val="20"/>
              </w:rPr>
              <w:t xml:space="preserve">Nový impulz pre zamestnanosť, rast a investície  </w:t>
            </w:r>
            <w:r w:rsidR="00BC4F85">
              <w:rPr>
                <w:rFonts w:ascii="Times New Roman" w:hAnsi="Times New Roman"/>
                <w:b/>
                <w:sz w:val="20"/>
              </w:rPr>
              <w:tab/>
            </w:r>
          </w:p>
        </w:tc>
      </w:tr>
      <w:tr w:rsidR="00043D8B" w:rsidTr="00043D8B">
        <w:trPr>
          <w:trHeight w:val="1178"/>
        </w:trPr>
        <w:tc>
          <w:tcPr>
            <w:tcW w:w="380" w:type="dxa"/>
            <w:tcBorders>
              <w:top w:val="single" w:sz="4" w:space="0" w:color="auto"/>
              <w:left w:val="single" w:sz="4" w:space="0" w:color="000000"/>
              <w:bottom w:val="single" w:sz="4" w:space="0" w:color="000000"/>
              <w:right w:val="single" w:sz="4" w:space="0" w:color="000000"/>
            </w:tcBorders>
          </w:tcPr>
          <w:p w:rsidR="00043D8B" w:rsidRDefault="00043D8B" w:rsidP="00043D8B">
            <w:r>
              <w:rPr>
                <w:rFonts w:ascii="Times New Roman" w:hAnsi="Times New Roman"/>
                <w:sz w:val="20"/>
              </w:rPr>
              <w:t>1.</w:t>
            </w:r>
            <w:r>
              <w:rPr>
                <w:rFonts w:ascii="Arial" w:hAnsi="Arial" w:cs="Arial"/>
                <w:sz w:val="20"/>
              </w:rPr>
              <w:t xml:space="preserve"> </w:t>
            </w:r>
          </w:p>
        </w:tc>
        <w:tc>
          <w:tcPr>
            <w:tcW w:w="1455" w:type="dxa"/>
            <w:tcBorders>
              <w:top w:val="single" w:sz="4" w:space="0" w:color="auto"/>
              <w:left w:val="single" w:sz="4" w:space="0" w:color="000000"/>
              <w:bottom w:val="single" w:sz="4" w:space="0" w:color="000000"/>
              <w:right w:val="single" w:sz="4" w:space="0" w:color="000000"/>
            </w:tcBorders>
          </w:tcPr>
          <w:p w:rsidR="00043D8B" w:rsidRDefault="00043D8B" w:rsidP="00043D8B">
            <w:pPr>
              <w:ind w:left="4" w:right="52"/>
              <w:jc w:val="both"/>
              <w:rPr>
                <w:rFonts w:ascii="Times New Roman" w:hAnsi="Times New Roman"/>
                <w:sz w:val="20"/>
              </w:rPr>
            </w:pPr>
          </w:p>
        </w:tc>
        <w:tc>
          <w:tcPr>
            <w:tcW w:w="1656" w:type="dxa"/>
            <w:tcBorders>
              <w:top w:val="single" w:sz="4" w:space="0" w:color="auto"/>
              <w:left w:val="single" w:sz="4" w:space="0" w:color="000000"/>
              <w:bottom w:val="single" w:sz="4" w:space="0" w:color="000000"/>
              <w:right w:val="single" w:sz="4" w:space="0" w:color="000000"/>
            </w:tcBorders>
          </w:tcPr>
          <w:p w:rsidR="00043D8B" w:rsidRDefault="00043D8B" w:rsidP="00043D8B">
            <w:pPr>
              <w:ind w:left="4" w:right="52"/>
            </w:pPr>
            <w:r>
              <w:rPr>
                <w:rFonts w:ascii="Times New Roman" w:hAnsi="Times New Roman"/>
                <w:sz w:val="20"/>
              </w:rPr>
              <w:t xml:space="preserve">Kontrola vhodnosti rámcovej smernice o vode a smerníc o povodniach spolu s hodnotením smernice o čistení komunálnych odpadových vôd </w:t>
            </w:r>
          </w:p>
        </w:tc>
        <w:tc>
          <w:tcPr>
            <w:tcW w:w="5655" w:type="dxa"/>
            <w:tcBorders>
              <w:top w:val="single" w:sz="4" w:space="0" w:color="000000"/>
              <w:left w:val="single" w:sz="4" w:space="0" w:color="000000"/>
              <w:bottom w:val="single" w:sz="4" w:space="0" w:color="000000"/>
              <w:right w:val="single" w:sz="4" w:space="0" w:color="000000"/>
            </w:tcBorders>
          </w:tcPr>
          <w:p w:rsidR="00043D8B" w:rsidRPr="00042A93" w:rsidRDefault="00043D8B" w:rsidP="00043D8B">
            <w:pPr>
              <w:spacing w:after="21"/>
              <w:ind w:left="4"/>
              <w:jc w:val="both"/>
            </w:pPr>
            <w:r>
              <w:rPr>
                <w:rFonts w:ascii="Times New Roman" w:hAnsi="Times New Roman"/>
                <w:sz w:val="20"/>
              </w:rPr>
              <w:t>Rámcová smernica o vode 2000/60/ES je najkomplexnejším nástrojom vodohospodárskej politiky EÚ a jej hlavným účelom je chrániť a zlepšovať vodné zdroje EÚ s cieľom dosiahnuť dobrý stav. Kontrolou vhodnosti sa vyhodnotí táto smernica, dve ďalšie smernice, ktoré s ňou priamo súvisia (smernica 2006/118 o podzemných vodách a 2008/105 o environmentálnych normách kvality) a smernica o povodniach (2007/60), ktoré boli katalyzátorom zavedenia prístupu riadenia rizík k záplavám v celej EÚ. Smernica o čistení komunálnych odpadových vôd (91/271) úzko súvisí s rámcovou smernicou o vode, keďže je nevyhnutná na dosiahnutie jej cieľov.</w:t>
            </w:r>
          </w:p>
        </w:tc>
        <w:tc>
          <w:tcPr>
            <w:tcW w:w="1418" w:type="dxa"/>
            <w:tcBorders>
              <w:top w:val="single" w:sz="4" w:space="0" w:color="000000"/>
              <w:left w:val="single" w:sz="4" w:space="0" w:color="000000"/>
              <w:bottom w:val="single" w:sz="4" w:space="0" w:color="000000"/>
              <w:right w:val="single" w:sz="4" w:space="0" w:color="000000"/>
            </w:tcBorders>
          </w:tcPr>
          <w:p w:rsidR="00043D8B" w:rsidRPr="006458BF" w:rsidRDefault="00043D8B" w:rsidP="00043D8B">
            <w:pPr>
              <w:spacing w:after="21"/>
              <w:ind w:left="4"/>
              <w:jc w:val="both"/>
              <w:rPr>
                <w:rFonts w:ascii="Times New Roman" w:hAnsi="Times New Roman"/>
                <w:b/>
                <w:sz w:val="20"/>
              </w:rPr>
            </w:pPr>
            <w:r w:rsidRPr="006458BF">
              <w:rPr>
                <w:rFonts w:ascii="Times New Roman" w:hAnsi="Times New Roman"/>
                <w:b/>
                <w:sz w:val="20"/>
              </w:rPr>
              <w:t>MŽP SR</w:t>
            </w:r>
          </w:p>
        </w:tc>
        <w:tc>
          <w:tcPr>
            <w:tcW w:w="4061" w:type="dxa"/>
            <w:tcBorders>
              <w:top w:val="single" w:sz="4" w:space="0" w:color="000000"/>
              <w:left w:val="single" w:sz="4" w:space="0" w:color="000000"/>
              <w:bottom w:val="single" w:sz="4" w:space="0" w:color="000000"/>
              <w:right w:val="single" w:sz="4" w:space="0" w:color="000000"/>
            </w:tcBorders>
          </w:tcPr>
          <w:p w:rsidR="00043D8B" w:rsidRPr="003C41B5" w:rsidRDefault="00043D8B" w:rsidP="00043D8B">
            <w:pPr>
              <w:spacing w:after="21"/>
              <w:ind w:left="4"/>
              <w:jc w:val="both"/>
              <w:rPr>
                <w:rFonts w:ascii="Times New Roman" w:hAnsi="Times New Roman"/>
                <w:b/>
                <w:sz w:val="20"/>
                <w:u w:val="single"/>
              </w:rPr>
            </w:pPr>
            <w:r>
              <w:rPr>
                <w:rFonts w:ascii="Times New Roman" w:hAnsi="Times New Roman"/>
                <w:b/>
                <w:sz w:val="20"/>
                <w:u w:val="single"/>
              </w:rPr>
              <w:t>Vysoká priorita</w:t>
            </w:r>
          </w:p>
          <w:p w:rsidR="00043D8B" w:rsidRDefault="00043D8B" w:rsidP="00043D8B">
            <w:pPr>
              <w:spacing w:after="21"/>
              <w:ind w:left="4"/>
              <w:jc w:val="both"/>
              <w:rPr>
                <w:rFonts w:ascii="Times New Roman" w:hAnsi="Times New Roman"/>
                <w:sz w:val="20"/>
              </w:rPr>
            </w:pPr>
            <w:r>
              <w:rPr>
                <w:rFonts w:ascii="Times New Roman" w:hAnsi="Times New Roman"/>
                <w:sz w:val="20"/>
              </w:rPr>
              <w:t>Implementácia rámcovej smernice o vode, jej dcérskych smerníc a smernice o hodnotení a manažmente povodňových rizík určujú rámec ochrany a manažmentu vôd s cieľom dosiahnutia dobrého stavu/potenciálu vodných útvarov, a tým aj ochrany ľudského zdravia a životného prostredia.</w:t>
            </w:r>
          </w:p>
        </w:tc>
      </w:tr>
      <w:tr w:rsidR="00043D8B" w:rsidTr="00043D8B">
        <w:trPr>
          <w:trHeight w:val="749"/>
        </w:trPr>
        <w:tc>
          <w:tcPr>
            <w:tcW w:w="380" w:type="dxa"/>
            <w:tcBorders>
              <w:top w:val="single" w:sz="4" w:space="0" w:color="000000"/>
              <w:left w:val="single" w:sz="4" w:space="0" w:color="000000"/>
              <w:bottom w:val="single" w:sz="4" w:space="0" w:color="000000"/>
              <w:right w:val="single" w:sz="4" w:space="0" w:color="000000"/>
            </w:tcBorders>
          </w:tcPr>
          <w:p w:rsidR="00043D8B" w:rsidRDefault="00043D8B" w:rsidP="003847E2">
            <w:pPr>
              <w:spacing w:after="0"/>
            </w:pPr>
            <w:r>
              <w:rPr>
                <w:rFonts w:ascii="Times New Roman" w:hAnsi="Times New Roman"/>
                <w:sz w:val="20"/>
              </w:rPr>
              <w:t>2.</w:t>
            </w:r>
            <w:r>
              <w:rPr>
                <w:rFonts w:ascii="Arial" w:hAnsi="Arial" w:cs="Arial"/>
                <w:sz w:val="20"/>
              </w:rPr>
              <w:t xml:space="preserve"> </w:t>
            </w:r>
          </w:p>
        </w:tc>
        <w:tc>
          <w:tcPr>
            <w:tcW w:w="1455" w:type="dxa"/>
            <w:tcBorders>
              <w:top w:val="single" w:sz="4" w:space="0" w:color="000000"/>
              <w:left w:val="single" w:sz="4" w:space="0" w:color="000000"/>
              <w:bottom w:val="single" w:sz="4" w:space="0" w:color="000000"/>
              <w:right w:val="single" w:sz="4" w:space="0" w:color="000000"/>
            </w:tcBorders>
          </w:tcPr>
          <w:p w:rsidR="00043D8B" w:rsidRDefault="00043D8B" w:rsidP="003847E2">
            <w:pPr>
              <w:spacing w:after="0"/>
              <w:ind w:left="4"/>
              <w:rPr>
                <w:rFonts w:ascii="Times New Roman" w:hAnsi="Times New Roman"/>
                <w:sz w:val="20"/>
              </w:rPr>
            </w:pPr>
          </w:p>
        </w:tc>
        <w:tc>
          <w:tcPr>
            <w:tcW w:w="1656" w:type="dxa"/>
            <w:tcBorders>
              <w:top w:val="single" w:sz="4" w:space="0" w:color="000000"/>
              <w:left w:val="single" w:sz="4" w:space="0" w:color="000000"/>
              <w:bottom w:val="single" w:sz="4" w:space="0" w:color="000000"/>
              <w:right w:val="single" w:sz="4" w:space="0" w:color="000000"/>
            </w:tcBorders>
          </w:tcPr>
          <w:p w:rsidR="00043D8B" w:rsidRDefault="00043D8B" w:rsidP="003847E2">
            <w:pPr>
              <w:spacing w:after="0"/>
              <w:ind w:left="4"/>
            </w:pPr>
            <w:r>
              <w:rPr>
                <w:rFonts w:ascii="Times New Roman" w:hAnsi="Times New Roman"/>
                <w:sz w:val="20"/>
              </w:rPr>
              <w:t xml:space="preserve">Kontrola vhodnosti smerníc o kvalite ovzdušia </w:t>
            </w:r>
          </w:p>
        </w:tc>
        <w:tc>
          <w:tcPr>
            <w:tcW w:w="5655" w:type="dxa"/>
            <w:tcBorders>
              <w:top w:val="single" w:sz="4" w:space="0" w:color="000000"/>
              <w:left w:val="single" w:sz="4" w:space="0" w:color="000000"/>
              <w:bottom w:val="single" w:sz="4" w:space="0" w:color="000000"/>
              <w:right w:val="single" w:sz="4" w:space="0" w:color="000000"/>
            </w:tcBorders>
          </w:tcPr>
          <w:p w:rsidR="00043D8B" w:rsidRDefault="00043D8B" w:rsidP="003847E2">
            <w:pPr>
              <w:spacing w:after="0"/>
              <w:ind w:left="4" w:right="48"/>
              <w:jc w:val="both"/>
            </w:pPr>
            <w:r>
              <w:rPr>
                <w:rFonts w:ascii="Times New Roman" w:hAnsi="Times New Roman"/>
                <w:sz w:val="20"/>
              </w:rPr>
              <w:t xml:space="preserve">Táto kontrola vhodnosti, ktorá sa očakáva v roku 2019, sa zameria na výsledky smerníc EÚ o kvalite okolitého ovzdušia (2008/50 a 2004/107). V týchto smerniciach sa pre celú EÚ stanovujú normy kvality ovzdušia a požiadavky na zabezpečenie toho, aby členské štáty primerane monitorovali a/alebo hodnotili kvalitu ovzdušia na svojom území, a to harmonizovaným a porovnateľným spôsobom.  </w:t>
            </w:r>
          </w:p>
        </w:tc>
        <w:tc>
          <w:tcPr>
            <w:tcW w:w="1418" w:type="dxa"/>
            <w:tcBorders>
              <w:top w:val="single" w:sz="4" w:space="0" w:color="000000"/>
              <w:left w:val="single" w:sz="4" w:space="0" w:color="000000"/>
              <w:bottom w:val="single" w:sz="4" w:space="0" w:color="000000"/>
              <w:right w:val="single" w:sz="4" w:space="0" w:color="000000"/>
            </w:tcBorders>
          </w:tcPr>
          <w:p w:rsidR="00043D8B" w:rsidRPr="006458BF" w:rsidRDefault="00043D8B" w:rsidP="003847E2">
            <w:pPr>
              <w:spacing w:after="0"/>
              <w:ind w:left="4" w:right="48"/>
              <w:jc w:val="both"/>
              <w:rPr>
                <w:rFonts w:ascii="Times New Roman" w:hAnsi="Times New Roman"/>
                <w:b/>
                <w:sz w:val="20"/>
              </w:rPr>
            </w:pPr>
            <w:r w:rsidRPr="006458BF">
              <w:rPr>
                <w:rFonts w:ascii="Times New Roman" w:hAnsi="Times New Roman"/>
                <w:b/>
                <w:sz w:val="20"/>
              </w:rPr>
              <w:t>MŽP SR</w:t>
            </w:r>
          </w:p>
        </w:tc>
        <w:tc>
          <w:tcPr>
            <w:tcW w:w="4061" w:type="dxa"/>
            <w:tcBorders>
              <w:top w:val="single" w:sz="4" w:space="0" w:color="000000"/>
              <w:left w:val="single" w:sz="4" w:space="0" w:color="000000"/>
              <w:bottom w:val="single" w:sz="4" w:space="0" w:color="000000"/>
              <w:right w:val="single" w:sz="4" w:space="0" w:color="000000"/>
            </w:tcBorders>
          </w:tcPr>
          <w:p w:rsidR="00043D8B" w:rsidRPr="005D4533" w:rsidRDefault="00043D8B" w:rsidP="003847E2">
            <w:pPr>
              <w:spacing w:after="0"/>
              <w:ind w:left="4" w:right="48"/>
              <w:jc w:val="both"/>
              <w:rPr>
                <w:rFonts w:ascii="Times New Roman" w:hAnsi="Times New Roman"/>
                <w:sz w:val="20"/>
                <w:u w:val="single"/>
              </w:rPr>
            </w:pPr>
            <w:r w:rsidRPr="005D4533">
              <w:rPr>
                <w:rFonts w:ascii="Times New Roman" w:hAnsi="Times New Roman"/>
                <w:b/>
                <w:sz w:val="20"/>
                <w:u w:val="single"/>
              </w:rPr>
              <w:t>Vysoká priorita</w:t>
            </w:r>
          </w:p>
          <w:p w:rsidR="00043D8B" w:rsidRDefault="00043D8B" w:rsidP="003847E2">
            <w:pPr>
              <w:spacing w:after="0"/>
              <w:ind w:right="48"/>
              <w:jc w:val="both"/>
              <w:rPr>
                <w:rFonts w:ascii="Times New Roman" w:hAnsi="Times New Roman"/>
                <w:sz w:val="20"/>
              </w:rPr>
            </w:pPr>
            <w:r>
              <w:rPr>
                <w:rFonts w:ascii="Times New Roman" w:hAnsi="Times New Roman"/>
                <w:sz w:val="20"/>
              </w:rPr>
              <w:t>Cieľom je  správne nastavenie noriem   pre kvalitu ovzdušia vzhľadom na ich možný vplyv na zdravie  aj na  životné prostredie. Pre SR je dôležité, aby stanovené ciele  boli dosiahnuteľné za primerané náklady. Nové požiadavky na monitorovanie  kvality ovzdušia  musia byť primerané z hľadiska nákladovej efektívnosti  prostriedkov vynaložených na monitorovanie.</w:t>
            </w:r>
          </w:p>
        </w:tc>
      </w:tr>
      <w:tr w:rsidR="00043D8B" w:rsidTr="00043D8B">
        <w:trPr>
          <w:trHeight w:val="1331"/>
        </w:trPr>
        <w:tc>
          <w:tcPr>
            <w:tcW w:w="380" w:type="dxa"/>
            <w:tcBorders>
              <w:top w:val="single" w:sz="4" w:space="0" w:color="000000"/>
              <w:left w:val="single" w:sz="4" w:space="0" w:color="000000"/>
              <w:bottom w:val="single" w:sz="4" w:space="0" w:color="000000"/>
              <w:right w:val="single" w:sz="4" w:space="0" w:color="000000"/>
            </w:tcBorders>
          </w:tcPr>
          <w:p w:rsidR="00043D8B" w:rsidRDefault="00043D8B" w:rsidP="003847E2">
            <w:pPr>
              <w:spacing w:after="0"/>
            </w:pPr>
            <w:r>
              <w:rPr>
                <w:rFonts w:ascii="Times New Roman" w:hAnsi="Times New Roman"/>
                <w:sz w:val="20"/>
              </w:rPr>
              <w:t>3.</w:t>
            </w:r>
            <w:r>
              <w:rPr>
                <w:rFonts w:ascii="Arial" w:hAnsi="Arial" w:cs="Arial"/>
                <w:sz w:val="20"/>
              </w:rPr>
              <w:t xml:space="preserve"> </w:t>
            </w:r>
          </w:p>
        </w:tc>
        <w:tc>
          <w:tcPr>
            <w:tcW w:w="1455" w:type="dxa"/>
            <w:tcBorders>
              <w:top w:val="single" w:sz="4" w:space="0" w:color="000000"/>
              <w:left w:val="single" w:sz="4" w:space="0" w:color="000000"/>
              <w:bottom w:val="single" w:sz="4" w:space="0" w:color="000000"/>
              <w:right w:val="single" w:sz="4" w:space="0" w:color="000000"/>
            </w:tcBorders>
          </w:tcPr>
          <w:p w:rsidR="00043D8B" w:rsidRPr="00B1660F" w:rsidRDefault="00043D8B" w:rsidP="003847E2">
            <w:pPr>
              <w:spacing w:after="0"/>
              <w:ind w:left="4"/>
              <w:rPr>
                <w:rFonts w:ascii="Times New Roman" w:hAnsi="Times New Roman" w:cs="Times New Roman"/>
                <w:sz w:val="20"/>
              </w:rPr>
            </w:pPr>
          </w:p>
        </w:tc>
        <w:tc>
          <w:tcPr>
            <w:tcW w:w="1656" w:type="dxa"/>
            <w:tcBorders>
              <w:top w:val="single" w:sz="4" w:space="0" w:color="000000"/>
              <w:left w:val="single" w:sz="4" w:space="0" w:color="000000"/>
              <w:bottom w:val="single" w:sz="4" w:space="0" w:color="000000"/>
              <w:right w:val="single" w:sz="4" w:space="0" w:color="000000"/>
            </w:tcBorders>
          </w:tcPr>
          <w:p w:rsidR="00043D8B" w:rsidRDefault="00043D8B" w:rsidP="003847E2">
            <w:pPr>
              <w:spacing w:after="0"/>
              <w:ind w:left="4"/>
            </w:pPr>
            <w:r>
              <w:rPr>
                <w:rFonts w:ascii="Times New Roman" w:hAnsi="Times New Roman"/>
                <w:sz w:val="20"/>
              </w:rPr>
              <w:t xml:space="preserve">Hodnotenie nariadenia o preprave odpadu </w:t>
            </w:r>
          </w:p>
        </w:tc>
        <w:tc>
          <w:tcPr>
            <w:tcW w:w="5655" w:type="dxa"/>
            <w:tcBorders>
              <w:top w:val="single" w:sz="4" w:space="0" w:color="000000"/>
              <w:left w:val="single" w:sz="4" w:space="0" w:color="000000"/>
              <w:bottom w:val="single" w:sz="4" w:space="0" w:color="000000"/>
              <w:right w:val="single" w:sz="4" w:space="0" w:color="000000"/>
            </w:tcBorders>
          </w:tcPr>
          <w:p w:rsidR="00043D8B" w:rsidRDefault="00043D8B" w:rsidP="003847E2">
            <w:pPr>
              <w:spacing w:after="0"/>
              <w:ind w:left="4" w:right="49"/>
              <w:jc w:val="both"/>
              <w:rPr>
                <w:rFonts w:ascii="Times New Roman" w:hAnsi="Times New Roman"/>
                <w:sz w:val="20"/>
              </w:rPr>
            </w:pPr>
            <w:r>
              <w:rPr>
                <w:rFonts w:ascii="Times New Roman" w:hAnsi="Times New Roman"/>
                <w:sz w:val="20"/>
              </w:rPr>
              <w:t xml:space="preserve">V rámci hodnotenia nariadenia (ES) č. 1013/2006 sa posúdia všetky aspekty súvisiace s jeho vykonávaním vrátane otázky nelegálneho obchodu s odpadmi, ako aj opatrenia nadväzujúce na </w:t>
            </w:r>
            <w:hyperlink r:id="rId8">
              <w:r>
                <w:rPr>
                  <w:rFonts w:ascii="Times New Roman" w:hAnsi="Times New Roman"/>
                  <w:color w:val="0000FF"/>
                  <w:sz w:val="20"/>
                  <w:u w:val="single" w:color="0000FF"/>
                </w:rPr>
                <w:t>stanovisko platformy REFIT IX.3.a</w:t>
              </w:r>
            </w:hyperlink>
            <w:hyperlink r:id="rId9">
              <w:r>
                <w:rPr>
                  <w:rFonts w:ascii="Times New Roman" w:hAnsi="Times New Roman"/>
                  <w:color w:val="0000FF"/>
                  <w:sz w:val="20"/>
                  <w:u w:val="single" w:color="0000FF"/>
                </w:rPr>
                <w:t>-</w:t>
              </w:r>
            </w:hyperlink>
            <w:hyperlink r:id="rId10">
              <w:r>
                <w:rPr>
                  <w:rFonts w:ascii="Times New Roman" w:hAnsi="Times New Roman"/>
                  <w:color w:val="0000FF"/>
                  <w:sz w:val="20"/>
                  <w:u w:val="single" w:color="0000FF"/>
                </w:rPr>
                <w:t>c</w:t>
              </w:r>
            </w:hyperlink>
            <w:hyperlink r:id="rId11">
              <w:r>
                <w:rPr>
                  <w:rFonts w:ascii="Times New Roman" w:hAnsi="Times New Roman"/>
                  <w:sz w:val="20"/>
                </w:rPr>
                <w:t xml:space="preserve"> </w:t>
              </w:r>
            </w:hyperlink>
            <w:r>
              <w:rPr>
                <w:rFonts w:ascii="Times New Roman" w:hAnsi="Times New Roman"/>
                <w:sz w:val="20"/>
              </w:rPr>
              <w:t xml:space="preserve">prijaté 19. 3. 2018, v ktorom platforma REFIT vyjadrila názor, že do „zeleného zoznamu“ by sa malo pridať viac druhov odpadu a v ktorom zdôraznila výzvu pre spoločnosti, ktorá im vyplýva z povinnej registrácie prepravcov odpadov vo všetkých členských štátoch.  </w:t>
            </w:r>
          </w:p>
        </w:tc>
        <w:tc>
          <w:tcPr>
            <w:tcW w:w="1418" w:type="dxa"/>
            <w:tcBorders>
              <w:top w:val="single" w:sz="4" w:space="0" w:color="000000"/>
              <w:left w:val="single" w:sz="4" w:space="0" w:color="000000"/>
              <w:bottom w:val="single" w:sz="4" w:space="0" w:color="000000"/>
              <w:right w:val="single" w:sz="4" w:space="0" w:color="000000"/>
            </w:tcBorders>
          </w:tcPr>
          <w:p w:rsidR="00043D8B" w:rsidRPr="006458BF" w:rsidRDefault="00043D8B" w:rsidP="003847E2">
            <w:pPr>
              <w:spacing w:after="0"/>
              <w:ind w:left="4" w:right="49"/>
              <w:jc w:val="both"/>
              <w:rPr>
                <w:rFonts w:ascii="Times New Roman" w:hAnsi="Times New Roman"/>
                <w:b/>
                <w:sz w:val="20"/>
              </w:rPr>
            </w:pPr>
            <w:r w:rsidRPr="006458BF">
              <w:rPr>
                <w:rFonts w:ascii="Times New Roman" w:hAnsi="Times New Roman"/>
                <w:b/>
                <w:sz w:val="20"/>
              </w:rPr>
              <w:t>MŽP SR</w:t>
            </w:r>
          </w:p>
          <w:p w:rsidR="00043D8B" w:rsidRPr="006458BF" w:rsidRDefault="00043D8B" w:rsidP="003847E2">
            <w:pPr>
              <w:spacing w:after="0"/>
              <w:ind w:left="4" w:right="49"/>
              <w:jc w:val="both"/>
              <w:rPr>
                <w:rFonts w:ascii="Times New Roman" w:hAnsi="Times New Roman"/>
                <w:b/>
                <w:sz w:val="20"/>
              </w:rPr>
            </w:pPr>
            <w:r w:rsidRPr="006458BF">
              <w:rPr>
                <w:rFonts w:ascii="Times New Roman" w:hAnsi="Times New Roman"/>
                <w:b/>
                <w:sz w:val="20"/>
              </w:rPr>
              <w:t>MDaV SR</w:t>
            </w:r>
          </w:p>
        </w:tc>
        <w:tc>
          <w:tcPr>
            <w:tcW w:w="4061" w:type="dxa"/>
            <w:tcBorders>
              <w:top w:val="single" w:sz="4" w:space="0" w:color="000000"/>
              <w:left w:val="single" w:sz="4" w:space="0" w:color="000000"/>
              <w:bottom w:val="single" w:sz="4" w:space="0" w:color="000000"/>
              <w:right w:val="single" w:sz="4" w:space="0" w:color="000000"/>
            </w:tcBorders>
          </w:tcPr>
          <w:p w:rsidR="00043D8B" w:rsidRPr="005D4533" w:rsidRDefault="00043D8B" w:rsidP="003847E2">
            <w:pPr>
              <w:spacing w:after="0"/>
              <w:ind w:left="4" w:right="49"/>
              <w:jc w:val="both"/>
              <w:rPr>
                <w:rFonts w:ascii="Times New Roman" w:hAnsi="Times New Roman"/>
                <w:b/>
                <w:sz w:val="20"/>
                <w:szCs w:val="24"/>
                <w:u w:val="single"/>
              </w:rPr>
            </w:pPr>
            <w:r w:rsidRPr="005D4533">
              <w:rPr>
                <w:rFonts w:ascii="Times New Roman" w:hAnsi="Times New Roman"/>
                <w:b/>
                <w:sz w:val="20"/>
                <w:szCs w:val="24"/>
                <w:u w:val="single"/>
              </w:rPr>
              <w:t>Stredná priorita</w:t>
            </w:r>
          </w:p>
          <w:p w:rsidR="00043D8B" w:rsidRDefault="00043D8B" w:rsidP="003847E2">
            <w:pPr>
              <w:spacing w:after="0"/>
              <w:ind w:left="4" w:right="49"/>
              <w:jc w:val="both"/>
              <w:rPr>
                <w:rFonts w:ascii="Times New Roman" w:hAnsi="Times New Roman"/>
                <w:sz w:val="20"/>
              </w:rPr>
            </w:pPr>
            <w:r>
              <w:rPr>
                <w:rFonts w:ascii="Times New Roman" w:hAnsi="Times New Roman"/>
                <w:sz w:val="20"/>
                <w:szCs w:val="24"/>
              </w:rPr>
              <w:t>MŽP SR sleduje vývoj všetkých právnych aktov vrátane procesu hodnotenia vykonávania nariadenia (ES) č. 1013/2006 o preprave odpadu.</w:t>
            </w:r>
          </w:p>
        </w:tc>
      </w:tr>
      <w:tr w:rsidR="00B1660F" w:rsidTr="00DE6A1C">
        <w:trPr>
          <w:trHeight w:val="495"/>
        </w:trPr>
        <w:tc>
          <w:tcPr>
            <w:tcW w:w="14625" w:type="dxa"/>
            <w:gridSpan w:val="6"/>
            <w:tcBorders>
              <w:top w:val="single" w:sz="4" w:space="0" w:color="000000"/>
              <w:left w:val="single" w:sz="4" w:space="0" w:color="000000"/>
              <w:bottom w:val="single" w:sz="4" w:space="0" w:color="000000"/>
              <w:right w:val="single" w:sz="4" w:space="0" w:color="000000"/>
            </w:tcBorders>
            <w:shd w:val="clear" w:color="auto" w:fill="92D050"/>
          </w:tcPr>
          <w:p w:rsidR="00B1660F" w:rsidRPr="00B1660F" w:rsidRDefault="00B1660F" w:rsidP="00043D8B">
            <w:pPr>
              <w:rPr>
                <w:rFonts w:ascii="Times New Roman" w:hAnsi="Times New Roman" w:cs="Times New Roman"/>
                <w:b/>
                <w:sz w:val="20"/>
                <w:szCs w:val="20"/>
              </w:rPr>
            </w:pPr>
            <w:r w:rsidRPr="00B1660F">
              <w:rPr>
                <w:rFonts w:ascii="Times New Roman" w:hAnsi="Times New Roman" w:cs="Times New Roman"/>
                <w:b/>
                <w:sz w:val="20"/>
                <w:szCs w:val="20"/>
              </w:rPr>
              <w:t>Hlbší a spravodlivejší vnútorný trh so silnejšou priemyselnou základňou</w:t>
            </w:r>
          </w:p>
        </w:tc>
      </w:tr>
      <w:tr w:rsidR="00043D8B" w:rsidTr="00043D8B">
        <w:trPr>
          <w:trHeight w:val="466"/>
        </w:trPr>
        <w:tc>
          <w:tcPr>
            <w:tcW w:w="380" w:type="dxa"/>
            <w:tcBorders>
              <w:top w:val="single" w:sz="4" w:space="0" w:color="000000"/>
              <w:left w:val="single" w:sz="4" w:space="0" w:color="000000"/>
              <w:bottom w:val="single" w:sz="4" w:space="0" w:color="000000"/>
              <w:right w:val="single" w:sz="4" w:space="0" w:color="000000"/>
            </w:tcBorders>
          </w:tcPr>
          <w:p w:rsidR="00043D8B" w:rsidRDefault="00043D8B" w:rsidP="00043D8B">
            <w:r>
              <w:rPr>
                <w:rFonts w:ascii="Times New Roman" w:hAnsi="Times New Roman"/>
                <w:sz w:val="20"/>
              </w:rPr>
              <w:t>4.</w:t>
            </w:r>
            <w:r>
              <w:rPr>
                <w:rFonts w:ascii="Arial" w:hAnsi="Arial" w:cs="Arial"/>
                <w:sz w:val="20"/>
              </w:rPr>
              <w:t xml:space="preserve"> </w:t>
            </w:r>
          </w:p>
        </w:tc>
        <w:tc>
          <w:tcPr>
            <w:tcW w:w="1455" w:type="dxa"/>
            <w:tcBorders>
              <w:top w:val="single" w:sz="4" w:space="0" w:color="000000"/>
              <w:left w:val="single" w:sz="4" w:space="0" w:color="000000"/>
              <w:bottom w:val="single" w:sz="4" w:space="0" w:color="000000"/>
              <w:right w:val="single" w:sz="4" w:space="0" w:color="000000"/>
            </w:tcBorders>
          </w:tcPr>
          <w:p w:rsidR="00043D8B" w:rsidRDefault="00043D8B" w:rsidP="00043D8B">
            <w:pPr>
              <w:ind w:left="4"/>
              <w:jc w:val="both"/>
              <w:rPr>
                <w:rFonts w:ascii="Times New Roman" w:hAnsi="Times New Roman"/>
                <w:sz w:val="20"/>
              </w:rPr>
            </w:pPr>
          </w:p>
        </w:tc>
        <w:tc>
          <w:tcPr>
            <w:tcW w:w="1656" w:type="dxa"/>
            <w:tcBorders>
              <w:top w:val="single" w:sz="4" w:space="0" w:color="000000"/>
              <w:left w:val="single" w:sz="4" w:space="0" w:color="000000"/>
              <w:bottom w:val="single" w:sz="4" w:space="0" w:color="000000"/>
              <w:right w:val="single" w:sz="4" w:space="0" w:color="000000"/>
            </w:tcBorders>
          </w:tcPr>
          <w:p w:rsidR="00043D8B" w:rsidRDefault="00043D8B" w:rsidP="00043D8B">
            <w:pPr>
              <w:ind w:left="4"/>
              <w:jc w:val="both"/>
            </w:pPr>
            <w:r>
              <w:rPr>
                <w:rFonts w:ascii="Times New Roman" w:hAnsi="Times New Roman"/>
                <w:sz w:val="20"/>
              </w:rPr>
              <w:t xml:space="preserve">Hodnotenie smernice o právnej ochrane dizajnov a nariadenia o dizajnoch Spoločenstva </w:t>
            </w:r>
          </w:p>
        </w:tc>
        <w:tc>
          <w:tcPr>
            <w:tcW w:w="5655" w:type="dxa"/>
            <w:tcBorders>
              <w:top w:val="single" w:sz="4" w:space="0" w:color="000000"/>
              <w:left w:val="single" w:sz="4" w:space="0" w:color="000000"/>
              <w:bottom w:val="single" w:sz="4" w:space="0" w:color="000000"/>
              <w:right w:val="single" w:sz="4" w:space="0" w:color="000000"/>
            </w:tcBorders>
          </w:tcPr>
          <w:p w:rsidR="00043D8B" w:rsidRDefault="00043D8B" w:rsidP="00043D8B">
            <w:pPr>
              <w:ind w:left="4" w:right="55"/>
              <w:jc w:val="both"/>
            </w:pPr>
            <w:r>
              <w:rPr>
                <w:rFonts w:ascii="Times New Roman" w:hAnsi="Times New Roman"/>
                <w:sz w:val="20"/>
              </w:rPr>
              <w:t xml:space="preserve">Hodnotenie smernice 98/71 a nariadenia (ES) č. 6/2002 poskytne hĺbkové hodnotenie celkového fungovania systému ochrany dizajnov v Európskej únii, a to na úrovni Únie aj na vnútroštátnej úrovni, najmä vzhľadom na nedávnu revíziu systému ochranných známok EÚ, vývoj nových technológií, ako je 3D tlač, a stav trhu náhradných dielov. </w:t>
            </w:r>
          </w:p>
        </w:tc>
        <w:tc>
          <w:tcPr>
            <w:tcW w:w="1418" w:type="dxa"/>
            <w:tcBorders>
              <w:top w:val="single" w:sz="4" w:space="0" w:color="000000"/>
              <w:left w:val="single" w:sz="4" w:space="0" w:color="000000"/>
              <w:bottom w:val="single" w:sz="4" w:space="0" w:color="000000"/>
              <w:right w:val="single" w:sz="4" w:space="0" w:color="000000"/>
            </w:tcBorders>
          </w:tcPr>
          <w:p w:rsidR="00043D8B" w:rsidRPr="006458BF" w:rsidRDefault="00043D8B" w:rsidP="00043D8B">
            <w:pPr>
              <w:ind w:left="4" w:right="55"/>
              <w:jc w:val="both"/>
              <w:rPr>
                <w:rFonts w:ascii="Times New Roman" w:hAnsi="Times New Roman"/>
                <w:b/>
                <w:sz w:val="20"/>
              </w:rPr>
            </w:pPr>
            <w:r w:rsidRPr="006458BF">
              <w:rPr>
                <w:rFonts w:ascii="Times New Roman" w:hAnsi="Times New Roman"/>
                <w:b/>
                <w:sz w:val="20"/>
              </w:rPr>
              <w:t>ÚPV SR</w:t>
            </w:r>
          </w:p>
        </w:tc>
        <w:tc>
          <w:tcPr>
            <w:tcW w:w="4061" w:type="dxa"/>
            <w:tcBorders>
              <w:top w:val="single" w:sz="4" w:space="0" w:color="000000"/>
              <w:left w:val="single" w:sz="4" w:space="0" w:color="000000"/>
              <w:bottom w:val="single" w:sz="4" w:space="0" w:color="000000"/>
              <w:right w:val="single" w:sz="4" w:space="0" w:color="000000"/>
            </w:tcBorders>
          </w:tcPr>
          <w:p w:rsidR="00043D8B" w:rsidRPr="00756657" w:rsidRDefault="00043D8B" w:rsidP="003847E2">
            <w:pPr>
              <w:spacing w:after="0"/>
              <w:ind w:left="4" w:right="55"/>
              <w:jc w:val="both"/>
              <w:rPr>
                <w:rFonts w:ascii="Times New Roman" w:hAnsi="Times New Roman"/>
                <w:b/>
                <w:color w:val="auto"/>
                <w:sz w:val="20"/>
                <w:u w:val="single"/>
              </w:rPr>
            </w:pPr>
            <w:r w:rsidRPr="00756657">
              <w:rPr>
                <w:rFonts w:ascii="Times New Roman" w:hAnsi="Times New Roman"/>
                <w:b/>
                <w:color w:val="auto"/>
                <w:sz w:val="20"/>
                <w:u w:val="single"/>
              </w:rPr>
              <w:t>Stredná priorita</w:t>
            </w:r>
          </w:p>
          <w:p w:rsidR="00043D8B" w:rsidRPr="00756657" w:rsidRDefault="00043D8B" w:rsidP="003847E2">
            <w:pPr>
              <w:spacing w:after="0"/>
              <w:ind w:right="55"/>
              <w:jc w:val="both"/>
              <w:rPr>
                <w:rFonts w:ascii="Times New Roman" w:hAnsi="Times New Roman"/>
                <w:color w:val="auto"/>
                <w:sz w:val="20"/>
              </w:rPr>
            </w:pPr>
            <w:r w:rsidRPr="00756657">
              <w:rPr>
                <w:rFonts w:ascii="Times New Roman" w:hAnsi="Times New Roman"/>
                <w:color w:val="auto"/>
                <w:sz w:val="20"/>
              </w:rPr>
              <w:t>SR víta začatie procesu revízie smernice a nariadenie. Je to dôležité opatrenie na zabezpečenie mode</w:t>
            </w:r>
            <w:r w:rsidR="003847E2">
              <w:rPr>
                <w:rFonts w:ascii="Times New Roman" w:hAnsi="Times New Roman"/>
                <w:color w:val="auto"/>
                <w:sz w:val="20"/>
              </w:rPr>
              <w:t xml:space="preserve">rnizácie ochrany dizajnov v EÚ. </w:t>
            </w:r>
            <w:r w:rsidRPr="00756657">
              <w:rPr>
                <w:rFonts w:ascii="Times New Roman" w:hAnsi="Times New Roman"/>
                <w:color w:val="auto"/>
                <w:sz w:val="20"/>
              </w:rPr>
              <w:t>V období od 18. 12. 2018 do 31.03.2019 prebieha  verejná konzultácia „Hodnotenie smernice 98/71 a nariadenia (ES) č. 6/2002 o dizajnoch spoločenstva. Závery budú podkladom pre revíziu predmetného legislatívneho rámca.</w:t>
            </w:r>
          </w:p>
          <w:p w:rsidR="00043D8B" w:rsidRDefault="00043D8B" w:rsidP="00043D8B">
            <w:pPr>
              <w:ind w:left="4" w:right="55"/>
              <w:jc w:val="both"/>
              <w:rPr>
                <w:rFonts w:ascii="Times New Roman" w:hAnsi="Times New Roman"/>
                <w:sz w:val="20"/>
              </w:rPr>
            </w:pPr>
          </w:p>
        </w:tc>
      </w:tr>
      <w:tr w:rsidR="00043D8B" w:rsidTr="00632382">
        <w:trPr>
          <w:trHeight w:val="1099"/>
        </w:trPr>
        <w:tc>
          <w:tcPr>
            <w:tcW w:w="380" w:type="dxa"/>
            <w:tcBorders>
              <w:top w:val="single" w:sz="4" w:space="0" w:color="000000"/>
              <w:left w:val="single" w:sz="4" w:space="0" w:color="000000"/>
              <w:bottom w:val="single" w:sz="4" w:space="0" w:color="000000"/>
              <w:right w:val="single" w:sz="4" w:space="0" w:color="000000"/>
            </w:tcBorders>
          </w:tcPr>
          <w:p w:rsidR="00043D8B" w:rsidRDefault="00043D8B" w:rsidP="003847E2">
            <w:pPr>
              <w:spacing w:after="0"/>
            </w:pPr>
            <w:r>
              <w:rPr>
                <w:rFonts w:ascii="Times New Roman" w:hAnsi="Times New Roman"/>
                <w:sz w:val="20"/>
              </w:rPr>
              <w:t>5.</w:t>
            </w:r>
            <w:r>
              <w:rPr>
                <w:rFonts w:ascii="Arial" w:hAnsi="Arial" w:cs="Arial"/>
                <w:sz w:val="20"/>
              </w:rPr>
              <w:t xml:space="preserve"> </w:t>
            </w:r>
          </w:p>
        </w:tc>
        <w:tc>
          <w:tcPr>
            <w:tcW w:w="1455" w:type="dxa"/>
            <w:tcBorders>
              <w:top w:val="single" w:sz="4" w:space="0" w:color="000000"/>
              <w:left w:val="single" w:sz="4" w:space="0" w:color="000000"/>
              <w:bottom w:val="single" w:sz="4" w:space="0" w:color="000000"/>
              <w:right w:val="single" w:sz="4" w:space="0" w:color="000000"/>
            </w:tcBorders>
          </w:tcPr>
          <w:p w:rsidR="00043D8B" w:rsidRDefault="00043D8B" w:rsidP="003847E2">
            <w:pPr>
              <w:spacing w:after="0"/>
              <w:ind w:left="4"/>
              <w:rPr>
                <w:rFonts w:ascii="Times New Roman" w:hAnsi="Times New Roman"/>
                <w:sz w:val="20"/>
              </w:rPr>
            </w:pPr>
          </w:p>
        </w:tc>
        <w:tc>
          <w:tcPr>
            <w:tcW w:w="1656" w:type="dxa"/>
            <w:tcBorders>
              <w:top w:val="single" w:sz="4" w:space="0" w:color="000000"/>
              <w:left w:val="single" w:sz="4" w:space="0" w:color="000000"/>
              <w:bottom w:val="single" w:sz="4" w:space="0" w:color="000000"/>
              <w:right w:val="single" w:sz="4" w:space="0" w:color="000000"/>
            </w:tcBorders>
          </w:tcPr>
          <w:p w:rsidR="00043D8B" w:rsidRDefault="00043D8B" w:rsidP="003847E2">
            <w:pPr>
              <w:spacing w:after="0"/>
              <w:ind w:left="4"/>
            </w:pPr>
            <w:r>
              <w:rPr>
                <w:rFonts w:ascii="Times New Roman" w:hAnsi="Times New Roman"/>
                <w:sz w:val="20"/>
              </w:rPr>
              <w:t xml:space="preserve">Hodnotenie nariadenia o stavebných výrobkoch  </w:t>
            </w:r>
          </w:p>
        </w:tc>
        <w:tc>
          <w:tcPr>
            <w:tcW w:w="5655" w:type="dxa"/>
            <w:tcBorders>
              <w:top w:val="single" w:sz="4" w:space="0" w:color="000000"/>
              <w:left w:val="single" w:sz="4" w:space="0" w:color="000000"/>
              <w:bottom w:val="single" w:sz="4" w:space="0" w:color="000000"/>
              <w:right w:val="single" w:sz="4" w:space="0" w:color="000000"/>
            </w:tcBorders>
          </w:tcPr>
          <w:p w:rsidR="00043D8B" w:rsidRDefault="00043D8B" w:rsidP="003847E2">
            <w:pPr>
              <w:spacing w:after="0"/>
              <w:ind w:left="4" w:right="49"/>
              <w:jc w:val="both"/>
              <w:rPr>
                <w:rFonts w:ascii="Times New Roman" w:hAnsi="Times New Roman"/>
                <w:sz w:val="20"/>
              </w:rPr>
            </w:pPr>
            <w:r>
              <w:rPr>
                <w:rFonts w:ascii="Times New Roman" w:hAnsi="Times New Roman"/>
                <w:sz w:val="20"/>
              </w:rPr>
              <w:t xml:space="preserve">Hodnotenie nariadenia (EÚ) č. 305/2011 súvisí so </w:t>
            </w:r>
            <w:hyperlink r:id="rId12">
              <w:r>
                <w:rPr>
                  <w:rFonts w:ascii="Times New Roman" w:hAnsi="Times New Roman"/>
                  <w:color w:val="0000FF"/>
                  <w:sz w:val="20"/>
                  <w:u w:val="single" w:color="0000FF"/>
                </w:rPr>
                <w:t>stanoviskom platformy REFIT XII.8.b</w:t>
              </w:r>
            </w:hyperlink>
            <w:hyperlink r:id="rId13">
              <w:r>
                <w:rPr>
                  <w:rFonts w:ascii="Times New Roman" w:hAnsi="Times New Roman"/>
                  <w:sz w:val="20"/>
                </w:rPr>
                <w:t xml:space="preserve"> </w:t>
              </w:r>
            </w:hyperlink>
            <w:r>
              <w:rPr>
                <w:rFonts w:ascii="Times New Roman" w:hAnsi="Times New Roman"/>
                <w:sz w:val="20"/>
              </w:rPr>
              <w:t xml:space="preserve">prijatým 7. 6. 2017, v ktorom bola Komisia vyzvaná, aby preskúmala otázku povinnosti uchovávať vyhlásenie o parametroch 10 rokov v kontexte rozdielu medzi predajcami, ktoré predávajú podnikateľom a tými, ktorí predávajú koncovým zákazníkom, ako aj so stanoviskom platformy REFIT </w:t>
            </w:r>
            <w:hyperlink r:id="rId14">
              <w:r>
                <w:rPr>
                  <w:rFonts w:ascii="Times New Roman" w:hAnsi="Times New Roman"/>
                  <w:color w:val="0000FF"/>
                  <w:sz w:val="20"/>
                  <w:u w:val="single" w:color="0000FF"/>
                </w:rPr>
                <w:t>XII.8.c</w:t>
              </w:r>
            </w:hyperlink>
            <w:hyperlink r:id="rId15">
              <w:r>
                <w:rPr>
                  <w:rFonts w:ascii="Times New Roman" w:hAnsi="Times New Roman"/>
                  <w:sz w:val="20"/>
                </w:rPr>
                <w:t xml:space="preserve"> </w:t>
              </w:r>
            </w:hyperlink>
            <w:r>
              <w:rPr>
                <w:rFonts w:ascii="Times New Roman" w:hAnsi="Times New Roman"/>
                <w:sz w:val="20"/>
              </w:rPr>
              <w:t xml:space="preserve">prijatým 23. 11. 2017 a stanoviskom tejto platformy </w:t>
            </w:r>
            <w:hyperlink r:id="rId16">
              <w:r>
                <w:rPr>
                  <w:rFonts w:ascii="Times New Roman" w:hAnsi="Times New Roman"/>
                  <w:color w:val="0000FF"/>
                  <w:sz w:val="20"/>
                  <w:u w:val="single" w:color="0000FF"/>
                </w:rPr>
                <w:t>XII.8.a</w:t>
              </w:r>
            </w:hyperlink>
            <w:hyperlink r:id="rId17">
              <w:r>
                <w:rPr>
                  <w:rFonts w:ascii="Times New Roman" w:hAnsi="Times New Roman"/>
                  <w:sz w:val="20"/>
                </w:rPr>
                <w:t xml:space="preserve"> </w:t>
              </w:r>
            </w:hyperlink>
            <w:r>
              <w:rPr>
                <w:rFonts w:ascii="Times New Roman" w:hAnsi="Times New Roman"/>
                <w:sz w:val="20"/>
              </w:rPr>
              <w:t>prijatým 27. až 28. 6. 2016.</w:t>
            </w:r>
          </w:p>
        </w:tc>
        <w:tc>
          <w:tcPr>
            <w:tcW w:w="1418" w:type="dxa"/>
            <w:tcBorders>
              <w:top w:val="single" w:sz="4" w:space="0" w:color="000000"/>
              <w:left w:val="single" w:sz="4" w:space="0" w:color="000000"/>
              <w:bottom w:val="single" w:sz="4" w:space="0" w:color="000000"/>
              <w:right w:val="single" w:sz="4" w:space="0" w:color="000000"/>
            </w:tcBorders>
          </w:tcPr>
          <w:p w:rsidR="00043D8B" w:rsidRPr="00632382" w:rsidRDefault="00043D8B" w:rsidP="003847E2">
            <w:pPr>
              <w:spacing w:after="0"/>
              <w:ind w:left="4" w:right="49"/>
              <w:jc w:val="both"/>
              <w:rPr>
                <w:rFonts w:ascii="Times New Roman" w:hAnsi="Times New Roman"/>
                <w:b/>
                <w:sz w:val="20"/>
              </w:rPr>
            </w:pPr>
            <w:r w:rsidRPr="00632382">
              <w:rPr>
                <w:rFonts w:ascii="Times New Roman" w:hAnsi="Times New Roman"/>
                <w:b/>
                <w:sz w:val="20"/>
              </w:rPr>
              <w:t>MDaV SR</w:t>
            </w:r>
          </w:p>
          <w:p w:rsidR="00012CEF" w:rsidRPr="006451D3" w:rsidRDefault="00012CEF" w:rsidP="003847E2">
            <w:pPr>
              <w:spacing w:after="0"/>
              <w:ind w:left="4" w:right="49"/>
              <w:jc w:val="both"/>
              <w:rPr>
                <w:rFonts w:ascii="Times New Roman" w:hAnsi="Times New Roman"/>
                <w:b/>
                <w:sz w:val="20"/>
                <w:highlight w:val="cyan"/>
              </w:rPr>
            </w:pPr>
          </w:p>
        </w:tc>
        <w:tc>
          <w:tcPr>
            <w:tcW w:w="4061" w:type="dxa"/>
            <w:tcBorders>
              <w:top w:val="single" w:sz="4" w:space="0" w:color="000000"/>
              <w:left w:val="single" w:sz="4" w:space="0" w:color="000000"/>
              <w:bottom w:val="single" w:sz="4" w:space="0" w:color="000000"/>
              <w:right w:val="single" w:sz="4" w:space="0" w:color="000000"/>
            </w:tcBorders>
          </w:tcPr>
          <w:p w:rsidR="00012CEF" w:rsidRPr="00632382" w:rsidRDefault="00012CEF" w:rsidP="00632382">
            <w:pPr>
              <w:shd w:val="clear" w:color="auto" w:fill="FFFFFF" w:themeFill="background1"/>
              <w:spacing w:after="0"/>
              <w:jc w:val="both"/>
              <w:rPr>
                <w:rFonts w:ascii="Times New Roman" w:hAnsi="Times New Roman"/>
                <w:b/>
                <w:color w:val="auto"/>
                <w:sz w:val="20"/>
                <w:u w:val="single"/>
              </w:rPr>
            </w:pPr>
            <w:r w:rsidRPr="00632382">
              <w:rPr>
                <w:rFonts w:ascii="Times New Roman" w:hAnsi="Times New Roman"/>
                <w:b/>
                <w:color w:val="auto"/>
                <w:sz w:val="20"/>
                <w:u w:val="single"/>
              </w:rPr>
              <w:t>Stredná priorita</w:t>
            </w:r>
          </w:p>
          <w:p w:rsidR="00012CEF" w:rsidRPr="00632382" w:rsidRDefault="00012CEF" w:rsidP="00632382">
            <w:pPr>
              <w:shd w:val="clear" w:color="auto" w:fill="FFFFFF" w:themeFill="background1"/>
              <w:spacing w:after="0"/>
              <w:jc w:val="both"/>
              <w:rPr>
                <w:rFonts w:ascii="Times New Roman" w:hAnsi="Times New Roman"/>
                <w:color w:val="auto"/>
                <w:sz w:val="20"/>
              </w:rPr>
            </w:pPr>
            <w:r w:rsidRPr="00632382">
              <w:rPr>
                <w:rFonts w:ascii="Times New Roman" w:hAnsi="Times New Roman"/>
                <w:color w:val="auto"/>
                <w:sz w:val="20"/>
              </w:rPr>
              <w:t>Povinnosť uchovávať vyhlásenie s parametrami 10 rokov v kontexte rozdielu medzi predajcami, ktorí predávajú podnikateľom, a tými, ktorí predávajú koncovým zákazníkom, je v nariadení EP a Rady (EÚ) č. 305/2011 o stavebných výrobkoch upravená jasne a zrozumiteľne (viď. Čl. 7 ods. 3, Čl. 11 ods. 2, Čl. 15) a z dôvodu transparentnosti a bezpečnosti považujeme tieto ustanovenia za potrebné a daná povinnosť by mala ostať zachovaná.</w:t>
            </w:r>
          </w:p>
          <w:p w:rsidR="00043D8B" w:rsidRPr="006451D3" w:rsidRDefault="00043D8B" w:rsidP="003847E2">
            <w:pPr>
              <w:spacing w:after="0"/>
              <w:ind w:left="4" w:right="49"/>
              <w:jc w:val="both"/>
              <w:rPr>
                <w:rFonts w:ascii="Times New Roman" w:hAnsi="Times New Roman" w:cs="Times New Roman"/>
                <w:sz w:val="20"/>
                <w:szCs w:val="20"/>
                <w:highlight w:val="cyan"/>
              </w:rPr>
            </w:pPr>
          </w:p>
        </w:tc>
      </w:tr>
      <w:tr w:rsidR="00043D8B" w:rsidTr="00043D8B">
        <w:trPr>
          <w:trHeight w:val="1099"/>
        </w:trPr>
        <w:tc>
          <w:tcPr>
            <w:tcW w:w="380" w:type="dxa"/>
            <w:tcBorders>
              <w:top w:val="single" w:sz="4" w:space="0" w:color="000000"/>
              <w:left w:val="single" w:sz="4" w:space="0" w:color="000000"/>
              <w:bottom w:val="single" w:sz="4" w:space="0" w:color="000000"/>
              <w:right w:val="single" w:sz="4" w:space="0" w:color="000000"/>
            </w:tcBorders>
          </w:tcPr>
          <w:p w:rsidR="00043D8B" w:rsidRDefault="00043D8B" w:rsidP="003847E2">
            <w:pPr>
              <w:spacing w:after="0"/>
            </w:pPr>
            <w:r>
              <w:rPr>
                <w:rFonts w:ascii="Times New Roman" w:hAnsi="Times New Roman"/>
                <w:sz w:val="20"/>
              </w:rPr>
              <w:t>6.</w:t>
            </w:r>
            <w:r>
              <w:rPr>
                <w:rFonts w:ascii="Arial" w:hAnsi="Arial" w:cs="Arial"/>
                <w:sz w:val="20"/>
              </w:rPr>
              <w:t xml:space="preserve"> </w:t>
            </w:r>
          </w:p>
        </w:tc>
        <w:tc>
          <w:tcPr>
            <w:tcW w:w="1455" w:type="dxa"/>
            <w:tcBorders>
              <w:top w:val="single" w:sz="4" w:space="0" w:color="000000"/>
              <w:left w:val="single" w:sz="4" w:space="0" w:color="000000"/>
              <w:bottom w:val="single" w:sz="4" w:space="0" w:color="000000"/>
              <w:right w:val="single" w:sz="4" w:space="0" w:color="000000"/>
            </w:tcBorders>
          </w:tcPr>
          <w:p w:rsidR="00043D8B" w:rsidRDefault="00043D8B" w:rsidP="003847E2">
            <w:pPr>
              <w:spacing w:after="0"/>
              <w:ind w:left="4"/>
              <w:jc w:val="both"/>
              <w:rPr>
                <w:rFonts w:ascii="Times New Roman" w:hAnsi="Times New Roman"/>
                <w:sz w:val="20"/>
              </w:rPr>
            </w:pPr>
          </w:p>
        </w:tc>
        <w:tc>
          <w:tcPr>
            <w:tcW w:w="1656" w:type="dxa"/>
            <w:tcBorders>
              <w:top w:val="single" w:sz="4" w:space="0" w:color="000000"/>
              <w:left w:val="single" w:sz="4" w:space="0" w:color="000000"/>
              <w:bottom w:val="single" w:sz="4" w:space="0" w:color="000000"/>
              <w:right w:val="single" w:sz="4" w:space="0" w:color="000000"/>
            </w:tcBorders>
          </w:tcPr>
          <w:p w:rsidR="00043D8B" w:rsidRDefault="00043D8B" w:rsidP="003847E2">
            <w:pPr>
              <w:spacing w:after="0"/>
              <w:ind w:left="4"/>
            </w:pPr>
            <w:r>
              <w:rPr>
                <w:rFonts w:ascii="Times New Roman" w:hAnsi="Times New Roman"/>
                <w:sz w:val="20"/>
              </w:rPr>
              <w:t xml:space="preserve">Hodnotenie maximálnych hladín rezíduí pesticídov a povolení prípravkov na ochranu rastlín </w:t>
            </w:r>
          </w:p>
        </w:tc>
        <w:tc>
          <w:tcPr>
            <w:tcW w:w="5655" w:type="dxa"/>
            <w:tcBorders>
              <w:top w:val="single" w:sz="4" w:space="0" w:color="000000"/>
              <w:left w:val="single" w:sz="4" w:space="0" w:color="000000"/>
              <w:bottom w:val="single" w:sz="4" w:space="0" w:color="000000"/>
              <w:right w:val="single" w:sz="4" w:space="0" w:color="000000"/>
            </w:tcBorders>
            <w:vAlign w:val="center"/>
          </w:tcPr>
          <w:p w:rsidR="00043D8B" w:rsidRDefault="00043D8B" w:rsidP="003847E2">
            <w:pPr>
              <w:spacing w:after="0" w:line="258" w:lineRule="auto"/>
              <w:ind w:right="71"/>
              <w:jc w:val="both"/>
            </w:pPr>
            <w:r>
              <w:rPr>
                <w:rFonts w:ascii="Times New Roman" w:hAnsi="Times New Roman"/>
                <w:sz w:val="20"/>
              </w:rPr>
              <w:t>Toto hodnotenie bude zamerané na autorizačný postup a najmä na duálny systém autorizácie účinnej látky na úrovni EÚ a prípravku na ochranu rastlín na vnútroštátnej úrovni a na oneskorenie v čase uvedenia na trh, ako aj na vzájomné uznávanie na národnej úrovni, komparatívny systém, ktorý umožňuje nahradenie menej nebezpečnými látkami, na systém stanovovania limitov rezíduí a jeho presadzovanie a na náklady na tento systém. Hodnotenie sa bude týkať nariadenia (ES) č. 1107/2009 a nariadenia (ES) č. 396/2005. Toto hodnotenie bude zamerané na otázky nastolené v</w:t>
            </w:r>
            <w:hyperlink r:id="rId18">
              <w:r>
                <w:rPr>
                  <w:rFonts w:ascii="Times New Roman" w:hAnsi="Times New Roman"/>
                  <w:sz w:val="20"/>
                </w:rPr>
                <w:t xml:space="preserve"> </w:t>
              </w:r>
            </w:hyperlink>
            <w:hyperlink r:id="rId19">
              <w:r>
                <w:rPr>
                  <w:rFonts w:ascii="Times New Roman" w:hAnsi="Times New Roman"/>
                  <w:color w:val="0000FF"/>
                  <w:sz w:val="20"/>
                  <w:u w:val="single" w:color="0000FF"/>
                </w:rPr>
                <w:t>stanovisku platformy</w:t>
              </w:r>
            </w:hyperlink>
            <w:hyperlink r:id="rId20">
              <w:r>
                <w:rPr>
                  <w:rFonts w:ascii="Times New Roman" w:hAnsi="Times New Roman"/>
                  <w:color w:val="0000FF"/>
                  <w:sz w:val="20"/>
                </w:rPr>
                <w:t xml:space="preserve"> </w:t>
              </w:r>
            </w:hyperlink>
            <w:hyperlink r:id="rId21">
              <w:r>
                <w:rPr>
                  <w:rFonts w:ascii="Times New Roman" w:hAnsi="Times New Roman"/>
                  <w:color w:val="0000FF"/>
                  <w:sz w:val="20"/>
                  <w:u w:val="single" w:color="0000FF"/>
                </w:rPr>
                <w:t>REFIT XI.10.a</w:t>
              </w:r>
            </w:hyperlink>
            <w:hyperlink r:id="rId22">
              <w:r>
                <w:rPr>
                  <w:rFonts w:ascii="Times New Roman" w:hAnsi="Times New Roman"/>
                  <w:sz w:val="20"/>
                </w:rPr>
                <w:t xml:space="preserve"> </w:t>
              </w:r>
            </w:hyperlink>
            <w:r>
              <w:rPr>
                <w:rFonts w:ascii="Times New Roman" w:hAnsi="Times New Roman"/>
                <w:sz w:val="20"/>
              </w:rPr>
              <w:t xml:space="preserve">o látkach na viacnásobné použitie/z viacerých zdrojov (chlorát) prijatom 7. 6. 2017. </w:t>
            </w:r>
          </w:p>
        </w:tc>
        <w:tc>
          <w:tcPr>
            <w:tcW w:w="1418" w:type="dxa"/>
            <w:tcBorders>
              <w:top w:val="single" w:sz="4" w:space="0" w:color="000000"/>
              <w:left w:val="single" w:sz="4" w:space="0" w:color="000000"/>
              <w:bottom w:val="single" w:sz="4" w:space="0" w:color="000000"/>
              <w:right w:val="single" w:sz="4" w:space="0" w:color="000000"/>
            </w:tcBorders>
          </w:tcPr>
          <w:p w:rsidR="00043D8B" w:rsidRPr="006458BF" w:rsidRDefault="00043D8B" w:rsidP="003847E2">
            <w:pPr>
              <w:spacing w:after="0"/>
              <w:ind w:left="4" w:right="49"/>
              <w:jc w:val="both"/>
              <w:rPr>
                <w:rFonts w:ascii="Times New Roman" w:hAnsi="Times New Roman"/>
                <w:b/>
                <w:sz w:val="20"/>
              </w:rPr>
            </w:pPr>
            <w:r w:rsidRPr="006458BF">
              <w:rPr>
                <w:rFonts w:ascii="Times New Roman" w:hAnsi="Times New Roman"/>
                <w:b/>
                <w:sz w:val="20"/>
              </w:rPr>
              <w:t>MPaRV SR</w:t>
            </w:r>
          </w:p>
          <w:p w:rsidR="00043D8B" w:rsidRPr="006458BF" w:rsidRDefault="00043D8B" w:rsidP="003847E2">
            <w:pPr>
              <w:spacing w:after="0"/>
              <w:ind w:left="4" w:right="49"/>
              <w:jc w:val="both"/>
              <w:rPr>
                <w:rFonts w:ascii="Times New Roman" w:hAnsi="Times New Roman"/>
                <w:b/>
                <w:sz w:val="20"/>
              </w:rPr>
            </w:pPr>
            <w:r w:rsidRPr="006458BF">
              <w:rPr>
                <w:rFonts w:ascii="Times New Roman" w:hAnsi="Times New Roman"/>
                <w:b/>
                <w:sz w:val="20"/>
              </w:rPr>
              <w:t>MZ SR</w:t>
            </w:r>
          </w:p>
        </w:tc>
        <w:tc>
          <w:tcPr>
            <w:tcW w:w="4061" w:type="dxa"/>
            <w:tcBorders>
              <w:top w:val="single" w:sz="4" w:space="0" w:color="000000"/>
              <w:left w:val="single" w:sz="4" w:space="0" w:color="000000"/>
              <w:bottom w:val="single" w:sz="4" w:space="0" w:color="000000"/>
              <w:right w:val="single" w:sz="4" w:space="0" w:color="000000"/>
            </w:tcBorders>
          </w:tcPr>
          <w:p w:rsidR="00043D8B" w:rsidRPr="00641738" w:rsidRDefault="00043D8B" w:rsidP="003847E2">
            <w:pPr>
              <w:spacing w:after="0"/>
              <w:ind w:left="4" w:right="49"/>
              <w:jc w:val="both"/>
              <w:rPr>
                <w:rFonts w:ascii="Times New Roman" w:hAnsi="Times New Roman"/>
                <w:b/>
                <w:color w:val="auto"/>
                <w:sz w:val="20"/>
                <w:u w:val="single"/>
              </w:rPr>
            </w:pPr>
            <w:r w:rsidRPr="00641738">
              <w:rPr>
                <w:rFonts w:ascii="Times New Roman" w:hAnsi="Times New Roman"/>
                <w:b/>
                <w:color w:val="auto"/>
                <w:sz w:val="20"/>
                <w:u w:val="single"/>
              </w:rPr>
              <w:t>Stredná priorita</w:t>
            </w:r>
          </w:p>
          <w:p w:rsidR="00043D8B" w:rsidRPr="00042A93" w:rsidRDefault="00043D8B" w:rsidP="003847E2">
            <w:pPr>
              <w:spacing w:after="0"/>
              <w:ind w:left="4" w:right="49"/>
              <w:jc w:val="both"/>
              <w:rPr>
                <w:rFonts w:ascii="Times New Roman" w:hAnsi="Times New Roman"/>
                <w:color w:val="auto"/>
                <w:sz w:val="20"/>
              </w:rPr>
            </w:pPr>
            <w:r w:rsidRPr="00042A93">
              <w:rPr>
                <w:rFonts w:ascii="Times New Roman" w:hAnsi="Times New Roman"/>
                <w:color w:val="auto"/>
                <w:sz w:val="20"/>
              </w:rPr>
              <w:t xml:space="preserve">Priorita v oblasti rastlinnej výroba, nakoľko pri výpadku množstva doteraz používaných pesticídnych látok a absencie adekvátnej náhrady nie ej možné zabezpečiť kvalitnú produkciu, priorita aj v oblasti ekologizácie poľnohospodárstva. </w:t>
            </w:r>
            <w:r w:rsidRPr="00042A93">
              <w:rPr>
                <w:rFonts w:ascii="Times New Roman" w:hAnsi="Times New Roman"/>
                <w:color w:val="auto"/>
                <w:sz w:val="20"/>
                <w:szCs w:val="20"/>
              </w:rPr>
              <w:t>Komisia informovala ČŠ o svojom zámere organizovať  diskusiu o probléme rezíduí chlorečnanov v potravinách a pitnej vode na politickej úrovni s ČŠ, nielen pre expertov na pesticídy, aby sa zohľadnila medzirezortná povaha problému.Vzhľadom na zložitosť danej problematiky sa domnievame, že otázky nastolené v</w:t>
            </w:r>
            <w:hyperlink r:id="rId23" w:history="1">
              <w:r w:rsidRPr="00042A93">
                <w:rPr>
                  <w:rStyle w:val="Hypertextovprepojenie"/>
                  <w:rFonts w:ascii="Times New Roman" w:hAnsi="Times New Roman"/>
                  <w:color w:val="auto"/>
                  <w:sz w:val="20"/>
                  <w:szCs w:val="20"/>
                </w:rPr>
                <w:t xml:space="preserve"> </w:t>
              </w:r>
            </w:hyperlink>
            <w:hyperlink r:id="rId24" w:history="1">
              <w:r w:rsidRPr="00042A93">
                <w:rPr>
                  <w:rStyle w:val="Hypertextovprepojenie"/>
                  <w:rFonts w:ascii="Times New Roman" w:hAnsi="Times New Roman"/>
                  <w:color w:val="auto"/>
                  <w:sz w:val="20"/>
                  <w:szCs w:val="20"/>
                  <w:u w:color="0000FF"/>
                </w:rPr>
                <w:t>stanovisku platformy</w:t>
              </w:r>
            </w:hyperlink>
            <w:hyperlink r:id="rId25" w:history="1">
              <w:r w:rsidRPr="00042A93">
                <w:rPr>
                  <w:rStyle w:val="Hypertextovprepojenie"/>
                  <w:rFonts w:ascii="Times New Roman" w:hAnsi="Times New Roman"/>
                  <w:color w:val="auto"/>
                  <w:sz w:val="20"/>
                  <w:szCs w:val="20"/>
                </w:rPr>
                <w:t xml:space="preserve"> </w:t>
              </w:r>
            </w:hyperlink>
            <w:hyperlink r:id="rId26" w:history="1">
              <w:r w:rsidRPr="00042A93">
                <w:rPr>
                  <w:rStyle w:val="Hypertextovprepojenie"/>
                  <w:rFonts w:ascii="Times New Roman" w:hAnsi="Times New Roman"/>
                  <w:color w:val="auto"/>
                  <w:sz w:val="20"/>
                  <w:szCs w:val="20"/>
                  <w:u w:color="0000FF"/>
                </w:rPr>
                <w:t>REFIT XI.10.a</w:t>
              </w:r>
            </w:hyperlink>
            <w:hyperlink r:id="rId27" w:history="1">
              <w:r w:rsidRPr="00042A93">
                <w:rPr>
                  <w:rStyle w:val="Hypertextovprepojenie"/>
                  <w:rFonts w:ascii="Times New Roman" w:hAnsi="Times New Roman"/>
                  <w:color w:val="auto"/>
                  <w:sz w:val="20"/>
                  <w:szCs w:val="20"/>
                </w:rPr>
                <w:t xml:space="preserve"> </w:t>
              </w:r>
            </w:hyperlink>
            <w:r w:rsidRPr="00042A93">
              <w:rPr>
                <w:rFonts w:ascii="Times New Roman" w:hAnsi="Times New Roman"/>
                <w:color w:val="auto"/>
                <w:sz w:val="20"/>
                <w:szCs w:val="20"/>
              </w:rPr>
              <w:t>o látkach na viacnásobné použitie/z viacerých zdrojov (chlorečnany) si vyžadujú dôkladné posúdenie a vítame kroky EK na vykonanie hodnotenia právneho rámca pre prípravky na ochranu rastlín.</w:t>
            </w:r>
          </w:p>
          <w:p w:rsidR="00043D8B" w:rsidRPr="00042A93" w:rsidRDefault="00043D8B" w:rsidP="003847E2">
            <w:pPr>
              <w:pStyle w:val="Obyajntext"/>
              <w:rPr>
                <w:rFonts w:ascii="Times New Roman" w:hAnsi="Times New Roman"/>
                <w:sz w:val="20"/>
                <w:szCs w:val="20"/>
              </w:rPr>
            </w:pPr>
            <w:r w:rsidRPr="00042A93">
              <w:rPr>
                <w:rFonts w:ascii="Times New Roman" w:hAnsi="Times New Roman"/>
                <w:sz w:val="20"/>
                <w:szCs w:val="20"/>
              </w:rPr>
              <w:t>Podporujeme harmonizovaný prístup k chlorečnanom na úrovni EÚ.</w:t>
            </w:r>
          </w:p>
          <w:p w:rsidR="00043D8B" w:rsidRDefault="00043D8B" w:rsidP="003847E2">
            <w:pPr>
              <w:spacing w:after="0"/>
              <w:ind w:left="4" w:right="49"/>
              <w:jc w:val="both"/>
              <w:rPr>
                <w:rFonts w:ascii="Times New Roman" w:hAnsi="Times New Roman"/>
                <w:sz w:val="20"/>
              </w:rPr>
            </w:pPr>
          </w:p>
        </w:tc>
      </w:tr>
    </w:tbl>
    <w:p w:rsidR="00043D8B" w:rsidRDefault="00043D8B" w:rsidP="00043D8B">
      <w:pPr>
        <w:sectPr w:rsidR="00043D8B">
          <w:footerReference w:type="even" r:id="rId28"/>
          <w:footerReference w:type="default" r:id="rId29"/>
          <w:footerReference w:type="first" r:id="rId30"/>
          <w:pgSz w:w="16838" w:h="11906" w:orient="landscape"/>
          <w:pgMar w:top="1142" w:right="1022" w:bottom="837" w:left="1020" w:header="708" w:footer="571" w:gutter="0"/>
          <w:pgNumType w:start="1"/>
          <w:cols w:space="708"/>
        </w:sectPr>
      </w:pPr>
    </w:p>
    <w:tbl>
      <w:tblPr>
        <w:tblStyle w:val="ablnaChar"/>
        <w:tblpPr w:leftFromText="141" w:rightFromText="141" w:vertAnchor="page" w:horzAnchor="margin" w:tblpY="571"/>
        <w:tblW w:w="14625" w:type="dxa"/>
        <w:tblCellMar>
          <w:top w:w="92" w:type="dxa"/>
          <w:left w:w="83" w:type="dxa"/>
          <w:right w:w="32" w:type="dxa"/>
        </w:tblCellMar>
        <w:tblLook w:val="04A0" w:firstRow="1" w:lastRow="0" w:firstColumn="1" w:lastColumn="0" w:noHBand="0" w:noVBand="1"/>
      </w:tblPr>
      <w:tblGrid>
        <w:gridCol w:w="389"/>
        <w:gridCol w:w="2862"/>
        <w:gridCol w:w="4663"/>
        <w:gridCol w:w="986"/>
        <w:gridCol w:w="5725"/>
      </w:tblGrid>
      <w:tr w:rsidR="00043D8B" w:rsidTr="003847E2">
        <w:trPr>
          <w:trHeight w:val="407"/>
        </w:trPr>
        <w:tc>
          <w:tcPr>
            <w:tcW w:w="389" w:type="dxa"/>
            <w:tcBorders>
              <w:top w:val="single" w:sz="4" w:space="0" w:color="auto"/>
              <w:left w:val="single" w:sz="4" w:space="0" w:color="auto"/>
              <w:bottom w:val="single" w:sz="4" w:space="0" w:color="auto"/>
              <w:right w:val="single" w:sz="4" w:space="0" w:color="auto"/>
            </w:tcBorders>
            <w:shd w:val="clear" w:color="auto" w:fill="99CCFF"/>
          </w:tcPr>
          <w:p w:rsidR="00043D8B" w:rsidRDefault="00043D8B" w:rsidP="00043D8B">
            <w:pPr>
              <w:ind w:left="17"/>
            </w:pPr>
            <w:r>
              <w:rPr>
                <w:rFonts w:ascii="Times New Roman" w:hAnsi="Times New Roman"/>
                <w:b/>
                <w:sz w:val="20"/>
              </w:rPr>
              <w:t xml:space="preserve">Č. </w:t>
            </w:r>
          </w:p>
        </w:tc>
        <w:tc>
          <w:tcPr>
            <w:tcW w:w="2862" w:type="dxa"/>
            <w:tcBorders>
              <w:top w:val="single" w:sz="4" w:space="0" w:color="auto"/>
              <w:left w:val="single" w:sz="4" w:space="0" w:color="auto"/>
              <w:bottom w:val="single" w:sz="4" w:space="0" w:color="auto"/>
              <w:right w:val="single" w:sz="4" w:space="0" w:color="auto"/>
            </w:tcBorders>
            <w:shd w:val="clear" w:color="auto" w:fill="99CCFF"/>
          </w:tcPr>
          <w:p w:rsidR="00043D8B" w:rsidRDefault="00043D8B" w:rsidP="00043D8B">
            <w:pPr>
              <w:ind w:right="48"/>
              <w:jc w:val="center"/>
            </w:pPr>
            <w:r>
              <w:rPr>
                <w:rFonts w:ascii="Times New Roman" w:hAnsi="Times New Roman"/>
                <w:b/>
                <w:sz w:val="20"/>
              </w:rPr>
              <w:t xml:space="preserve">Názov </w:t>
            </w:r>
          </w:p>
        </w:tc>
        <w:tc>
          <w:tcPr>
            <w:tcW w:w="4663" w:type="dxa"/>
            <w:tcBorders>
              <w:top w:val="single" w:sz="4" w:space="0" w:color="auto"/>
              <w:left w:val="single" w:sz="4" w:space="0" w:color="auto"/>
              <w:bottom w:val="single" w:sz="4" w:space="0" w:color="auto"/>
              <w:right w:val="single" w:sz="4" w:space="0" w:color="auto"/>
            </w:tcBorders>
            <w:shd w:val="clear" w:color="auto" w:fill="99CCFF"/>
          </w:tcPr>
          <w:p w:rsidR="00043D8B" w:rsidRDefault="00043D8B" w:rsidP="00043D8B">
            <w:pPr>
              <w:ind w:right="50"/>
              <w:jc w:val="center"/>
              <w:rPr>
                <w:rFonts w:ascii="Times New Roman" w:hAnsi="Times New Roman"/>
                <w:b/>
                <w:sz w:val="20"/>
              </w:rPr>
            </w:pPr>
            <w:r>
              <w:rPr>
                <w:rFonts w:ascii="Times New Roman" w:hAnsi="Times New Roman"/>
                <w:b/>
                <w:sz w:val="20"/>
              </w:rPr>
              <w:t>Opis</w:t>
            </w:r>
          </w:p>
        </w:tc>
        <w:tc>
          <w:tcPr>
            <w:tcW w:w="986" w:type="dxa"/>
            <w:tcBorders>
              <w:top w:val="single" w:sz="4" w:space="0" w:color="auto"/>
              <w:left w:val="single" w:sz="4" w:space="0" w:color="auto"/>
              <w:bottom w:val="single" w:sz="4" w:space="0" w:color="auto"/>
              <w:right w:val="single" w:sz="4" w:space="0" w:color="auto"/>
            </w:tcBorders>
            <w:shd w:val="clear" w:color="auto" w:fill="99CCFF"/>
          </w:tcPr>
          <w:p w:rsidR="00043D8B" w:rsidRDefault="00043D8B" w:rsidP="00043D8B">
            <w:pPr>
              <w:ind w:right="50"/>
              <w:jc w:val="center"/>
              <w:rPr>
                <w:rFonts w:ascii="Times New Roman" w:hAnsi="Times New Roman"/>
                <w:b/>
                <w:sz w:val="20"/>
              </w:rPr>
            </w:pPr>
            <w:r>
              <w:rPr>
                <w:rFonts w:ascii="Times New Roman" w:hAnsi="Times New Roman"/>
                <w:b/>
                <w:sz w:val="20"/>
              </w:rPr>
              <w:t>Gestor</w:t>
            </w:r>
          </w:p>
        </w:tc>
        <w:tc>
          <w:tcPr>
            <w:tcW w:w="5725" w:type="dxa"/>
            <w:tcBorders>
              <w:top w:val="single" w:sz="4" w:space="0" w:color="auto"/>
              <w:left w:val="single" w:sz="4" w:space="0" w:color="auto"/>
              <w:bottom w:val="single" w:sz="4" w:space="0" w:color="auto"/>
              <w:right w:val="single" w:sz="4" w:space="0" w:color="auto"/>
            </w:tcBorders>
            <w:shd w:val="clear" w:color="auto" w:fill="99CCFF"/>
          </w:tcPr>
          <w:p w:rsidR="00043D8B" w:rsidRDefault="00043D8B" w:rsidP="00043D8B">
            <w:pPr>
              <w:ind w:right="50"/>
              <w:jc w:val="center"/>
              <w:rPr>
                <w:rFonts w:ascii="Times New Roman" w:hAnsi="Times New Roman"/>
                <w:b/>
                <w:sz w:val="20"/>
              </w:rPr>
            </w:pPr>
            <w:r>
              <w:rPr>
                <w:rFonts w:ascii="Times New Roman" w:hAnsi="Times New Roman"/>
                <w:b/>
                <w:sz w:val="20"/>
              </w:rPr>
              <w:t xml:space="preserve">Stupeň priority a pozícia SR </w:t>
            </w:r>
          </w:p>
        </w:tc>
      </w:tr>
      <w:tr w:rsidR="00B1660F" w:rsidTr="00DE6A1C">
        <w:trPr>
          <w:trHeight w:val="497"/>
        </w:trPr>
        <w:tc>
          <w:tcPr>
            <w:tcW w:w="14625" w:type="dxa"/>
            <w:gridSpan w:val="5"/>
            <w:tcBorders>
              <w:top w:val="single" w:sz="4" w:space="0" w:color="auto"/>
              <w:left w:val="single" w:sz="4" w:space="0" w:color="auto"/>
              <w:bottom w:val="single" w:sz="4" w:space="0" w:color="000000"/>
              <w:right w:val="single" w:sz="4" w:space="0" w:color="000000"/>
            </w:tcBorders>
            <w:shd w:val="clear" w:color="auto" w:fill="92D050"/>
          </w:tcPr>
          <w:p w:rsidR="00B1660F" w:rsidRPr="00B1660F" w:rsidRDefault="00B1660F" w:rsidP="00043D8B">
            <w:pPr>
              <w:rPr>
                <w:rFonts w:ascii="Times New Roman" w:hAnsi="Times New Roman" w:cs="Times New Roman"/>
                <w:b/>
                <w:sz w:val="20"/>
                <w:szCs w:val="20"/>
              </w:rPr>
            </w:pPr>
            <w:r w:rsidRPr="00B1660F">
              <w:rPr>
                <w:rFonts w:ascii="Times New Roman" w:hAnsi="Times New Roman" w:cs="Times New Roman"/>
                <w:b/>
                <w:sz w:val="20"/>
                <w:szCs w:val="20"/>
              </w:rPr>
              <w:t>Hlbšia a spravodlivejšia hospodárska a menová únia</w:t>
            </w:r>
          </w:p>
        </w:tc>
      </w:tr>
      <w:tr w:rsidR="00043D8B" w:rsidTr="003847E2">
        <w:trPr>
          <w:trHeight w:val="1594"/>
        </w:trPr>
        <w:tc>
          <w:tcPr>
            <w:tcW w:w="389" w:type="dxa"/>
            <w:tcBorders>
              <w:top w:val="single" w:sz="4" w:space="0" w:color="auto"/>
              <w:left w:val="single" w:sz="4" w:space="0" w:color="000000"/>
              <w:bottom w:val="single" w:sz="4" w:space="0" w:color="000000"/>
              <w:right w:val="single" w:sz="4" w:space="0" w:color="000000"/>
            </w:tcBorders>
          </w:tcPr>
          <w:p w:rsidR="00043D8B" w:rsidRDefault="00043D8B" w:rsidP="00043D8B">
            <w:r>
              <w:rPr>
                <w:rFonts w:ascii="Times New Roman" w:hAnsi="Times New Roman"/>
                <w:sz w:val="20"/>
              </w:rPr>
              <w:t>7.</w:t>
            </w:r>
            <w:r>
              <w:rPr>
                <w:rFonts w:ascii="Arial" w:hAnsi="Arial" w:cs="Arial"/>
                <w:sz w:val="20"/>
              </w:rPr>
              <w:t xml:space="preserve"> </w:t>
            </w:r>
          </w:p>
        </w:tc>
        <w:tc>
          <w:tcPr>
            <w:tcW w:w="2862" w:type="dxa"/>
            <w:tcBorders>
              <w:top w:val="single" w:sz="4" w:space="0" w:color="auto"/>
              <w:left w:val="single" w:sz="4" w:space="0" w:color="000000"/>
              <w:bottom w:val="single" w:sz="4" w:space="0" w:color="000000"/>
              <w:right w:val="single" w:sz="4" w:space="0" w:color="000000"/>
            </w:tcBorders>
          </w:tcPr>
          <w:p w:rsidR="00043D8B" w:rsidRDefault="00043D8B" w:rsidP="00043D8B">
            <w:pPr>
              <w:ind w:left="4"/>
            </w:pPr>
            <w:r>
              <w:rPr>
                <w:rFonts w:ascii="Times New Roman" w:hAnsi="Times New Roman"/>
                <w:sz w:val="20"/>
              </w:rPr>
              <w:t xml:space="preserve">Kontrola vhodnosti, pokiaľ ide o predkladanie informácií orgánom dohľadu  </w:t>
            </w:r>
          </w:p>
        </w:tc>
        <w:tc>
          <w:tcPr>
            <w:tcW w:w="4663" w:type="dxa"/>
            <w:tcBorders>
              <w:top w:val="single" w:sz="4" w:space="0" w:color="000000"/>
              <w:left w:val="single" w:sz="4" w:space="0" w:color="000000"/>
              <w:bottom w:val="single" w:sz="4" w:space="0" w:color="000000"/>
              <w:right w:val="single" w:sz="4" w:space="0" w:color="000000"/>
            </w:tcBorders>
          </w:tcPr>
          <w:p w:rsidR="00043D8B" w:rsidRPr="001A3068" w:rsidRDefault="00043D8B" w:rsidP="00043D8B">
            <w:pPr>
              <w:ind w:left="4" w:right="69"/>
              <w:rPr>
                <w:rFonts w:ascii="Times New Roman" w:hAnsi="Times New Roman"/>
                <w:sz w:val="20"/>
              </w:rPr>
            </w:pPr>
            <w:r>
              <w:rPr>
                <w:rFonts w:ascii="Times New Roman" w:hAnsi="Times New Roman"/>
                <w:sz w:val="20"/>
              </w:rPr>
              <w:t xml:space="preserve">Táto kontrola vhodnosti bude analyzovať medzisektorové požiadavky na predkladanie správ orgánom dohľadu, ktoré vyplývajú z právnych predpisov EÚ o finančných službách (napr. smernice o kapitálových požiadavkách – CRR/CRD IV, smernice o trhoch s finančnými nástrojmi – MiFID/MiFIR, a z nariadenia o infraštruktúre európskych trhov – EMIR atď.). Nadväzuje na </w:t>
            </w:r>
            <w:hyperlink r:id="rId31">
              <w:r>
                <w:rPr>
                  <w:rFonts w:ascii="Times New Roman" w:hAnsi="Times New Roman"/>
                  <w:color w:val="0000FF"/>
                  <w:sz w:val="20"/>
                  <w:u w:val="single" w:color="0000FF"/>
                </w:rPr>
                <w:t>stanovisko platformy REFIT X.13.a</w:t>
              </w:r>
            </w:hyperlink>
            <w:hyperlink r:id="rId32">
              <w:r>
                <w:rPr>
                  <w:rFonts w:ascii="Times New Roman" w:hAnsi="Times New Roman"/>
                  <w:sz w:val="20"/>
                </w:rPr>
                <w:t xml:space="preserve"> </w:t>
              </w:r>
            </w:hyperlink>
            <w:r>
              <w:rPr>
                <w:rFonts w:ascii="Times New Roman" w:hAnsi="Times New Roman"/>
                <w:sz w:val="20"/>
              </w:rPr>
              <w:t xml:space="preserve">prijaté 27. 6. 2016. </w:t>
            </w:r>
          </w:p>
        </w:tc>
        <w:tc>
          <w:tcPr>
            <w:tcW w:w="986" w:type="dxa"/>
            <w:tcBorders>
              <w:top w:val="single" w:sz="4" w:space="0" w:color="000000"/>
              <w:left w:val="single" w:sz="4" w:space="0" w:color="000000"/>
              <w:bottom w:val="single" w:sz="4" w:space="0" w:color="000000"/>
              <w:right w:val="single" w:sz="4" w:space="0" w:color="000000"/>
            </w:tcBorders>
          </w:tcPr>
          <w:p w:rsidR="00043D8B" w:rsidRPr="006458BF" w:rsidRDefault="00043D8B" w:rsidP="00043D8B">
            <w:pPr>
              <w:spacing w:after="21"/>
              <w:ind w:left="4"/>
              <w:jc w:val="both"/>
              <w:rPr>
                <w:rFonts w:ascii="Times New Roman" w:hAnsi="Times New Roman"/>
                <w:b/>
                <w:sz w:val="20"/>
              </w:rPr>
            </w:pPr>
            <w:r w:rsidRPr="006458BF">
              <w:rPr>
                <w:rFonts w:ascii="Times New Roman" w:hAnsi="Times New Roman"/>
                <w:b/>
                <w:sz w:val="20"/>
              </w:rPr>
              <w:t>MF SR</w:t>
            </w:r>
          </w:p>
        </w:tc>
        <w:tc>
          <w:tcPr>
            <w:tcW w:w="5725" w:type="dxa"/>
            <w:tcBorders>
              <w:top w:val="single" w:sz="4" w:space="0" w:color="000000"/>
              <w:left w:val="single" w:sz="4" w:space="0" w:color="000000"/>
              <w:bottom w:val="single" w:sz="4" w:space="0" w:color="000000"/>
              <w:right w:val="single" w:sz="4" w:space="0" w:color="000000"/>
            </w:tcBorders>
          </w:tcPr>
          <w:p w:rsidR="00CC4B66" w:rsidRPr="00CC4B66" w:rsidRDefault="00CC4B66" w:rsidP="00CC4B66">
            <w:pPr>
              <w:spacing w:after="0"/>
              <w:ind w:left="4" w:right="48"/>
              <w:jc w:val="both"/>
              <w:rPr>
                <w:rFonts w:ascii="Times New Roman" w:hAnsi="Times New Roman"/>
                <w:b/>
                <w:sz w:val="20"/>
                <w:u w:val="single"/>
              </w:rPr>
            </w:pPr>
            <w:r w:rsidRPr="00CC4B66">
              <w:rPr>
                <w:rFonts w:ascii="Times New Roman" w:hAnsi="Times New Roman"/>
                <w:b/>
                <w:sz w:val="20"/>
                <w:u w:val="single"/>
              </w:rPr>
              <w:t>Stredná priorita</w:t>
            </w:r>
          </w:p>
          <w:p w:rsidR="00043D8B" w:rsidRDefault="00CC4B66" w:rsidP="00043D8B">
            <w:pPr>
              <w:spacing w:after="21"/>
              <w:ind w:left="4"/>
              <w:jc w:val="both"/>
              <w:rPr>
                <w:rFonts w:ascii="Times New Roman" w:hAnsi="Times New Roman"/>
                <w:sz w:val="20"/>
              </w:rPr>
            </w:pPr>
            <w:r w:rsidRPr="00CC4B66">
              <w:rPr>
                <w:rFonts w:ascii="Times New Roman" w:hAnsi="Times New Roman"/>
                <w:sz w:val="20"/>
              </w:rPr>
              <w:t>SR podporuje kontrolu vhodnosti, pokiaľ ide o predkladanie informácií orgánom dohľadu za účelom lepšej koordinácie a zníženia administratívnej záťaže</w:t>
            </w:r>
          </w:p>
        </w:tc>
      </w:tr>
      <w:tr w:rsidR="00043D8B" w:rsidTr="00B1660F">
        <w:trPr>
          <w:trHeight w:val="1102"/>
        </w:trPr>
        <w:tc>
          <w:tcPr>
            <w:tcW w:w="389" w:type="dxa"/>
            <w:tcBorders>
              <w:top w:val="single" w:sz="4" w:space="0" w:color="000000"/>
              <w:left w:val="single" w:sz="4" w:space="0" w:color="000000"/>
              <w:bottom w:val="single" w:sz="4" w:space="0" w:color="auto"/>
              <w:right w:val="single" w:sz="4" w:space="0" w:color="000000"/>
            </w:tcBorders>
          </w:tcPr>
          <w:p w:rsidR="00043D8B" w:rsidRDefault="00043D8B" w:rsidP="00043D8B">
            <w:r>
              <w:rPr>
                <w:rFonts w:ascii="Times New Roman" w:hAnsi="Times New Roman"/>
                <w:sz w:val="20"/>
              </w:rPr>
              <w:t>8.</w:t>
            </w:r>
            <w:r>
              <w:rPr>
                <w:rFonts w:ascii="Arial" w:hAnsi="Arial" w:cs="Arial"/>
                <w:sz w:val="20"/>
              </w:rPr>
              <w:t xml:space="preserve"> </w:t>
            </w:r>
          </w:p>
        </w:tc>
        <w:tc>
          <w:tcPr>
            <w:tcW w:w="2862" w:type="dxa"/>
            <w:tcBorders>
              <w:top w:val="single" w:sz="4" w:space="0" w:color="000000"/>
              <w:left w:val="single" w:sz="4" w:space="0" w:color="000000"/>
              <w:bottom w:val="single" w:sz="4" w:space="0" w:color="auto"/>
              <w:right w:val="single" w:sz="4" w:space="0" w:color="000000"/>
            </w:tcBorders>
          </w:tcPr>
          <w:p w:rsidR="00043D8B" w:rsidRDefault="00043D8B" w:rsidP="00043D8B">
            <w:pPr>
              <w:ind w:left="4"/>
              <w:jc w:val="both"/>
            </w:pPr>
            <w:r>
              <w:rPr>
                <w:rFonts w:ascii="Times New Roman" w:hAnsi="Times New Roman"/>
                <w:sz w:val="20"/>
              </w:rPr>
              <w:t xml:space="preserve">Kontrola vhodnosti, pokiaľ ide o podnikové výkazníctvo </w:t>
            </w:r>
          </w:p>
        </w:tc>
        <w:tc>
          <w:tcPr>
            <w:tcW w:w="4663" w:type="dxa"/>
            <w:tcBorders>
              <w:top w:val="single" w:sz="4" w:space="0" w:color="000000"/>
              <w:left w:val="single" w:sz="4" w:space="0" w:color="000000"/>
              <w:bottom w:val="single" w:sz="4" w:space="0" w:color="auto"/>
              <w:right w:val="single" w:sz="4" w:space="0" w:color="000000"/>
            </w:tcBorders>
          </w:tcPr>
          <w:p w:rsidR="00043D8B" w:rsidRPr="001A3068" w:rsidRDefault="00043D8B" w:rsidP="00043D8B">
            <w:pPr>
              <w:ind w:left="4" w:right="72"/>
              <w:rPr>
                <w:rFonts w:ascii="Times New Roman" w:hAnsi="Times New Roman"/>
                <w:sz w:val="20"/>
              </w:rPr>
            </w:pPr>
            <w:r>
              <w:rPr>
                <w:rFonts w:ascii="Times New Roman" w:hAnsi="Times New Roman"/>
                <w:sz w:val="20"/>
              </w:rPr>
              <w:t xml:space="preserve">Touto kontrolou vhodnosti sa budú hodnotiť požiadavky na podnikové výkazníctvo o spoločnosti vrátane smernice o účtovníctve 2013/34, smernice 2014/95/ES o nefinančnom vykazovaní, smernice o transparentnosti 2013/50 a nariadenia (ES) č, 1606/2002 o medzinárodných účtovných normách. </w:t>
            </w:r>
          </w:p>
        </w:tc>
        <w:tc>
          <w:tcPr>
            <w:tcW w:w="986" w:type="dxa"/>
            <w:tcBorders>
              <w:top w:val="single" w:sz="4" w:space="0" w:color="000000"/>
              <w:left w:val="single" w:sz="4" w:space="0" w:color="000000"/>
              <w:bottom w:val="single" w:sz="4" w:space="0" w:color="auto"/>
              <w:right w:val="single" w:sz="4" w:space="0" w:color="000000"/>
            </w:tcBorders>
          </w:tcPr>
          <w:p w:rsidR="00043D8B" w:rsidRPr="006458BF" w:rsidRDefault="00043D8B" w:rsidP="00043D8B">
            <w:pPr>
              <w:ind w:left="4" w:right="48"/>
              <w:jc w:val="both"/>
              <w:rPr>
                <w:rFonts w:ascii="Times New Roman" w:hAnsi="Times New Roman"/>
                <w:b/>
                <w:sz w:val="20"/>
              </w:rPr>
            </w:pPr>
            <w:r w:rsidRPr="006458BF">
              <w:rPr>
                <w:rFonts w:ascii="Times New Roman" w:hAnsi="Times New Roman"/>
                <w:b/>
                <w:sz w:val="20"/>
              </w:rPr>
              <w:t>MF SR</w:t>
            </w:r>
          </w:p>
        </w:tc>
        <w:tc>
          <w:tcPr>
            <w:tcW w:w="5725" w:type="dxa"/>
            <w:tcBorders>
              <w:top w:val="single" w:sz="4" w:space="0" w:color="000000"/>
              <w:left w:val="single" w:sz="4" w:space="0" w:color="000000"/>
              <w:bottom w:val="single" w:sz="4" w:space="0" w:color="auto"/>
              <w:right w:val="single" w:sz="4" w:space="0" w:color="000000"/>
            </w:tcBorders>
          </w:tcPr>
          <w:p w:rsidR="00043D8B" w:rsidRPr="00BD72C0" w:rsidRDefault="00043D8B" w:rsidP="003847E2">
            <w:pPr>
              <w:spacing w:after="0"/>
              <w:ind w:left="4" w:right="48"/>
              <w:jc w:val="both"/>
              <w:rPr>
                <w:rFonts w:ascii="Times New Roman" w:hAnsi="Times New Roman"/>
                <w:b/>
                <w:sz w:val="20"/>
                <w:u w:val="single"/>
              </w:rPr>
            </w:pPr>
            <w:r w:rsidRPr="00BD72C0">
              <w:rPr>
                <w:rFonts w:ascii="Times New Roman" w:hAnsi="Times New Roman"/>
                <w:b/>
                <w:sz w:val="20"/>
                <w:u w:val="single"/>
              </w:rPr>
              <w:t>Vysoká priorita</w:t>
            </w:r>
          </w:p>
          <w:p w:rsidR="00043D8B" w:rsidRDefault="00043D8B" w:rsidP="003847E2">
            <w:pPr>
              <w:spacing w:after="0"/>
              <w:ind w:left="4" w:right="48"/>
              <w:jc w:val="both"/>
              <w:rPr>
                <w:rFonts w:ascii="Times New Roman" w:hAnsi="Times New Roman"/>
                <w:sz w:val="20"/>
              </w:rPr>
            </w:pPr>
            <w:r w:rsidRPr="00BD72C0">
              <w:rPr>
                <w:rFonts w:ascii="Times New Roman" w:hAnsi="Times New Roman"/>
                <w:sz w:val="20"/>
              </w:rPr>
              <w:t>SR iniciatívu víta. Cieľom iniciatívy je najmä  posúdenie, či požiadavky na verejné podávanie správ pre kótované a nekótované spoločnosti spĺňajú svoj účel. Verejná konzultácia na túto tému bola už Komisiou otvorená. Pozícia SR bude závisieť od konkrétnych návrhov vyplývajúcich z kontroly vhodnosti.</w:t>
            </w:r>
          </w:p>
        </w:tc>
      </w:tr>
      <w:tr w:rsidR="00B1660F" w:rsidTr="00B1660F">
        <w:trPr>
          <w:trHeight w:val="495"/>
        </w:trPr>
        <w:tc>
          <w:tcPr>
            <w:tcW w:w="14625" w:type="dxa"/>
            <w:gridSpan w:val="5"/>
            <w:tcBorders>
              <w:top w:val="single" w:sz="4" w:space="0" w:color="auto"/>
              <w:left w:val="single" w:sz="4" w:space="0" w:color="auto"/>
              <w:bottom w:val="single" w:sz="4" w:space="0" w:color="auto"/>
              <w:right w:val="single" w:sz="4" w:space="0" w:color="auto"/>
            </w:tcBorders>
            <w:shd w:val="clear" w:color="auto" w:fill="92D050"/>
          </w:tcPr>
          <w:p w:rsidR="00B1660F" w:rsidRDefault="00B1660F" w:rsidP="00043D8B">
            <w:pPr>
              <w:rPr>
                <w:rFonts w:ascii="Times New Roman" w:hAnsi="Times New Roman"/>
                <w:b/>
                <w:sz w:val="20"/>
              </w:rPr>
            </w:pPr>
            <w:r w:rsidRPr="00B1660F">
              <w:rPr>
                <w:rFonts w:ascii="Times New Roman" w:hAnsi="Times New Roman" w:cs="Times New Roman"/>
                <w:b/>
                <w:sz w:val="20"/>
                <w:szCs w:val="20"/>
              </w:rPr>
              <w:t>Priestor spravodlivosti a základných práv založený na vzájomnej dôvere</w:t>
            </w:r>
          </w:p>
        </w:tc>
      </w:tr>
      <w:tr w:rsidR="00043D8B" w:rsidTr="00B1660F">
        <w:trPr>
          <w:trHeight w:val="991"/>
        </w:trPr>
        <w:tc>
          <w:tcPr>
            <w:tcW w:w="389" w:type="dxa"/>
            <w:tcBorders>
              <w:top w:val="single" w:sz="4" w:space="0" w:color="auto"/>
              <w:left w:val="single" w:sz="4" w:space="0" w:color="000000"/>
              <w:bottom w:val="single" w:sz="4" w:space="0" w:color="000000"/>
              <w:right w:val="single" w:sz="4" w:space="0" w:color="000000"/>
            </w:tcBorders>
          </w:tcPr>
          <w:p w:rsidR="00043D8B" w:rsidRDefault="00043D8B" w:rsidP="00043D8B">
            <w:r>
              <w:rPr>
                <w:rFonts w:ascii="Times New Roman" w:hAnsi="Times New Roman"/>
                <w:sz w:val="20"/>
              </w:rPr>
              <w:t>9.</w:t>
            </w:r>
            <w:r>
              <w:rPr>
                <w:rFonts w:ascii="Arial" w:hAnsi="Arial" w:cs="Arial"/>
                <w:sz w:val="20"/>
              </w:rPr>
              <w:t xml:space="preserve"> </w:t>
            </w:r>
          </w:p>
        </w:tc>
        <w:tc>
          <w:tcPr>
            <w:tcW w:w="2862" w:type="dxa"/>
            <w:tcBorders>
              <w:top w:val="single" w:sz="4" w:space="0" w:color="auto"/>
              <w:left w:val="single" w:sz="4" w:space="0" w:color="000000"/>
              <w:bottom w:val="single" w:sz="4" w:space="0" w:color="000000"/>
              <w:right w:val="single" w:sz="4" w:space="0" w:color="000000"/>
            </w:tcBorders>
          </w:tcPr>
          <w:p w:rsidR="00043D8B" w:rsidRDefault="00043D8B" w:rsidP="00043D8B">
            <w:pPr>
              <w:ind w:left="4"/>
              <w:jc w:val="both"/>
            </w:pPr>
            <w:r>
              <w:rPr>
                <w:rFonts w:ascii="Times New Roman" w:hAnsi="Times New Roman"/>
                <w:sz w:val="20"/>
              </w:rPr>
              <w:t xml:space="preserve">Hodnotenie smernice o rovnakej odmene za rovnakú prácu a prácu rovnakej hodnoty  </w:t>
            </w:r>
          </w:p>
        </w:tc>
        <w:tc>
          <w:tcPr>
            <w:tcW w:w="4663" w:type="dxa"/>
            <w:tcBorders>
              <w:top w:val="single" w:sz="4" w:space="0" w:color="auto"/>
              <w:left w:val="single" w:sz="4" w:space="0" w:color="000000"/>
              <w:bottom w:val="single" w:sz="4" w:space="0" w:color="000000"/>
              <w:right w:val="single" w:sz="4" w:space="0" w:color="000000"/>
            </w:tcBorders>
          </w:tcPr>
          <w:p w:rsidR="00043D8B" w:rsidRDefault="00043D8B" w:rsidP="00043D8B">
            <w:pPr>
              <w:ind w:left="4" w:right="71"/>
              <w:jc w:val="both"/>
            </w:pPr>
            <w:r>
              <w:rPr>
                <w:rFonts w:ascii="Times New Roman" w:hAnsi="Times New Roman"/>
                <w:sz w:val="20"/>
              </w:rPr>
              <w:t xml:space="preserve">Hodnotenie smernice 2006/54/ES sa zameria na to, ako existujúce právne ustanovenia o rovnakej odmene fungovali v praxi, na prístupy, ktoré sa implementovali v členských štátoch EÚ, na ich účinné presadzovanie a na rozsah, v akom sa dosiahli ich pôvodné ciele.  </w:t>
            </w:r>
          </w:p>
        </w:tc>
        <w:tc>
          <w:tcPr>
            <w:tcW w:w="986" w:type="dxa"/>
            <w:tcBorders>
              <w:top w:val="single" w:sz="4" w:space="0" w:color="auto"/>
              <w:left w:val="single" w:sz="4" w:space="0" w:color="000000"/>
              <w:bottom w:val="single" w:sz="4" w:space="0" w:color="000000"/>
              <w:right w:val="single" w:sz="4" w:space="0" w:color="000000"/>
            </w:tcBorders>
          </w:tcPr>
          <w:p w:rsidR="00043D8B" w:rsidRPr="006458BF" w:rsidRDefault="00043D8B" w:rsidP="00043D8B">
            <w:pPr>
              <w:ind w:left="4" w:right="55"/>
              <w:jc w:val="both"/>
              <w:rPr>
                <w:rFonts w:ascii="Times New Roman" w:hAnsi="Times New Roman"/>
                <w:b/>
                <w:sz w:val="20"/>
              </w:rPr>
            </w:pPr>
            <w:r w:rsidRPr="006458BF">
              <w:rPr>
                <w:rFonts w:ascii="Times New Roman" w:hAnsi="Times New Roman"/>
                <w:b/>
                <w:sz w:val="20"/>
              </w:rPr>
              <w:t>MPSVaR SR</w:t>
            </w:r>
          </w:p>
        </w:tc>
        <w:tc>
          <w:tcPr>
            <w:tcW w:w="5725" w:type="dxa"/>
            <w:tcBorders>
              <w:top w:val="single" w:sz="4" w:space="0" w:color="auto"/>
              <w:left w:val="single" w:sz="4" w:space="0" w:color="000000"/>
              <w:bottom w:val="single" w:sz="4" w:space="0" w:color="000000"/>
              <w:right w:val="single" w:sz="4" w:space="0" w:color="000000"/>
            </w:tcBorders>
          </w:tcPr>
          <w:p w:rsidR="00043D8B" w:rsidRDefault="00043D8B" w:rsidP="003847E2">
            <w:pPr>
              <w:spacing w:after="0"/>
              <w:ind w:left="4" w:right="48"/>
              <w:jc w:val="both"/>
              <w:rPr>
                <w:rFonts w:ascii="Times New Roman" w:hAnsi="Times New Roman"/>
                <w:b/>
                <w:sz w:val="20"/>
                <w:u w:val="single"/>
              </w:rPr>
            </w:pPr>
            <w:r>
              <w:rPr>
                <w:rFonts w:ascii="Times New Roman" w:hAnsi="Times New Roman"/>
                <w:b/>
                <w:sz w:val="20"/>
                <w:u w:val="single"/>
              </w:rPr>
              <w:t xml:space="preserve">Stredná </w:t>
            </w:r>
            <w:r w:rsidRPr="00BD72C0">
              <w:rPr>
                <w:rFonts w:ascii="Times New Roman" w:hAnsi="Times New Roman"/>
                <w:b/>
                <w:sz w:val="20"/>
                <w:u w:val="single"/>
              </w:rPr>
              <w:t>priorita</w:t>
            </w:r>
          </w:p>
          <w:p w:rsidR="00043D8B" w:rsidRDefault="00043D8B" w:rsidP="003847E2">
            <w:pPr>
              <w:spacing w:after="0"/>
              <w:ind w:left="4" w:right="55"/>
              <w:jc w:val="both"/>
              <w:rPr>
                <w:rFonts w:ascii="Times New Roman" w:hAnsi="Times New Roman"/>
                <w:sz w:val="20"/>
              </w:rPr>
            </w:pPr>
            <w:r>
              <w:rPr>
                <w:rFonts w:ascii="Times New Roman" w:hAnsi="Times New Roman"/>
                <w:sz w:val="20"/>
              </w:rPr>
              <w:t xml:space="preserve">Implementačná správa dosiaľ nie je k dispozícii. </w:t>
            </w:r>
          </w:p>
          <w:p w:rsidR="00043D8B" w:rsidRPr="00BD72C0" w:rsidRDefault="00043D8B" w:rsidP="003847E2">
            <w:pPr>
              <w:spacing w:after="0"/>
              <w:ind w:left="4" w:right="48"/>
              <w:jc w:val="both"/>
              <w:rPr>
                <w:rFonts w:ascii="Times New Roman" w:hAnsi="Times New Roman"/>
                <w:b/>
                <w:sz w:val="20"/>
                <w:u w:val="single"/>
              </w:rPr>
            </w:pPr>
          </w:p>
          <w:p w:rsidR="00043D8B" w:rsidRDefault="00043D8B" w:rsidP="00043D8B">
            <w:pPr>
              <w:ind w:left="4" w:right="55"/>
              <w:jc w:val="both"/>
              <w:rPr>
                <w:rFonts w:ascii="Times New Roman" w:hAnsi="Times New Roman"/>
                <w:sz w:val="20"/>
              </w:rPr>
            </w:pPr>
          </w:p>
        </w:tc>
      </w:tr>
      <w:tr w:rsidR="00043D8B" w:rsidTr="003847E2">
        <w:trPr>
          <w:trHeight w:val="23"/>
        </w:trPr>
        <w:tc>
          <w:tcPr>
            <w:tcW w:w="389"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line="240" w:lineRule="auto"/>
            </w:pPr>
            <w:r>
              <w:rPr>
                <w:rFonts w:ascii="Times New Roman" w:hAnsi="Times New Roman"/>
                <w:sz w:val="20"/>
              </w:rPr>
              <w:t>10.</w:t>
            </w:r>
            <w:r>
              <w:rPr>
                <w:rFonts w:ascii="Arial" w:hAnsi="Arial" w:cs="Arial"/>
                <w:sz w:val="20"/>
              </w:rPr>
              <w:t xml:space="preserve"> </w:t>
            </w:r>
          </w:p>
        </w:tc>
        <w:tc>
          <w:tcPr>
            <w:tcW w:w="2862"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line="240" w:lineRule="auto"/>
              <w:ind w:left="4" w:right="76"/>
              <w:jc w:val="both"/>
            </w:pPr>
            <w:r>
              <w:rPr>
                <w:rFonts w:ascii="Times New Roman" w:hAnsi="Times New Roman"/>
                <w:sz w:val="20"/>
              </w:rPr>
              <w:t xml:space="preserve">Spotrebiteľský úver (smernica 2008/48/ES) a poskytovanie finančných služieb spotrebiteľom na diaľku (smernica 2002/65/ES) </w:t>
            </w:r>
          </w:p>
        </w:tc>
        <w:tc>
          <w:tcPr>
            <w:tcW w:w="4663"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line="240" w:lineRule="auto"/>
              <w:ind w:left="4" w:right="76"/>
              <w:jc w:val="both"/>
            </w:pPr>
            <w:r>
              <w:rPr>
                <w:rFonts w:ascii="Times New Roman" w:hAnsi="Times New Roman"/>
                <w:sz w:val="20"/>
              </w:rPr>
              <w:t xml:space="preserve">Hodnotenie smernice 2008/48/ES a smernice 2002/65/ES sa zameria na fungovanie trhu so spotrebiteľskými úvermi, ako aj na marketing a predaj retailových finančných služieb na diaľku. V hodnotení trhu so spotrebiteľskými úvermi sa zohľadnia najmä otázky, na ktoré poukázala </w:t>
            </w:r>
            <w:hyperlink r:id="rId33">
              <w:r>
                <w:rPr>
                  <w:rFonts w:ascii="Times New Roman" w:hAnsi="Times New Roman"/>
                  <w:color w:val="0000FF"/>
                  <w:sz w:val="20"/>
                  <w:u w:val="single" w:color="0000FF"/>
                </w:rPr>
                <w:t>platforma REFIT vo svojom stanovisku (VI.4.a</w:t>
              </w:r>
            </w:hyperlink>
            <w:hyperlink r:id="rId34">
              <w:r>
                <w:rPr>
                  <w:rFonts w:ascii="Times New Roman" w:hAnsi="Times New Roman"/>
                  <w:color w:val="0000FF"/>
                  <w:sz w:val="20"/>
                  <w:u w:val="single" w:color="0000FF"/>
                </w:rPr>
                <w:t>-</w:t>
              </w:r>
            </w:hyperlink>
            <w:hyperlink r:id="rId35">
              <w:r>
                <w:rPr>
                  <w:rFonts w:ascii="Times New Roman" w:hAnsi="Times New Roman"/>
                  <w:color w:val="0000FF"/>
                  <w:sz w:val="20"/>
                  <w:u w:val="single" w:color="0000FF"/>
                </w:rPr>
                <w:t>f)</w:t>
              </w:r>
            </w:hyperlink>
            <w:hyperlink r:id="rId36">
              <w:r>
                <w:rPr>
                  <w:rFonts w:ascii="Times New Roman" w:hAnsi="Times New Roman"/>
                  <w:sz w:val="20"/>
                </w:rPr>
                <w:t xml:space="preserve"> </w:t>
              </w:r>
            </w:hyperlink>
            <w:r>
              <w:rPr>
                <w:rFonts w:ascii="Times New Roman" w:hAnsi="Times New Roman"/>
                <w:sz w:val="20"/>
              </w:rPr>
              <w:t xml:space="preserve">prijatom 21. 9. 2017.  </w:t>
            </w:r>
          </w:p>
        </w:tc>
        <w:tc>
          <w:tcPr>
            <w:tcW w:w="986"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line="240" w:lineRule="auto"/>
              <w:ind w:left="4" w:right="49"/>
              <w:jc w:val="both"/>
              <w:rPr>
                <w:rFonts w:ascii="Times New Roman" w:hAnsi="Times New Roman"/>
                <w:b/>
                <w:sz w:val="20"/>
              </w:rPr>
            </w:pPr>
            <w:r w:rsidRPr="006458BF">
              <w:rPr>
                <w:rFonts w:ascii="Times New Roman" w:hAnsi="Times New Roman"/>
                <w:b/>
                <w:sz w:val="20"/>
              </w:rPr>
              <w:t>MF SR</w:t>
            </w:r>
          </w:p>
        </w:tc>
        <w:tc>
          <w:tcPr>
            <w:tcW w:w="5725" w:type="dxa"/>
            <w:tcBorders>
              <w:top w:val="single" w:sz="4" w:space="0" w:color="000000"/>
              <w:left w:val="single" w:sz="4" w:space="0" w:color="000000"/>
              <w:bottom w:val="single" w:sz="4" w:space="0" w:color="000000"/>
              <w:right w:val="single" w:sz="4" w:space="0" w:color="000000"/>
            </w:tcBorders>
          </w:tcPr>
          <w:p w:rsidR="00043D8B" w:rsidRPr="00DF24B2" w:rsidRDefault="00043D8B" w:rsidP="00833647">
            <w:pPr>
              <w:spacing w:after="0" w:line="240" w:lineRule="auto"/>
              <w:ind w:left="4" w:right="48"/>
              <w:jc w:val="both"/>
              <w:rPr>
                <w:rFonts w:ascii="Times New Roman" w:hAnsi="Times New Roman"/>
                <w:b/>
                <w:sz w:val="20"/>
                <w:u w:val="single"/>
              </w:rPr>
            </w:pPr>
            <w:r w:rsidRPr="00DF24B2">
              <w:rPr>
                <w:rFonts w:ascii="Times New Roman" w:hAnsi="Times New Roman"/>
                <w:b/>
                <w:sz w:val="20"/>
                <w:u w:val="single"/>
              </w:rPr>
              <w:t>Vysoká priorita</w:t>
            </w:r>
          </w:p>
          <w:p w:rsidR="00043D8B" w:rsidRDefault="00833647" w:rsidP="00833647">
            <w:pPr>
              <w:spacing w:after="0" w:line="240" w:lineRule="auto"/>
              <w:ind w:left="4" w:right="49"/>
              <w:jc w:val="both"/>
              <w:rPr>
                <w:rFonts w:ascii="Times New Roman" w:hAnsi="Times New Roman"/>
                <w:sz w:val="20"/>
              </w:rPr>
            </w:pPr>
            <w:r>
              <w:rPr>
                <w:rFonts w:ascii="Times New Roman" w:hAnsi="Times New Roman"/>
                <w:sz w:val="20"/>
              </w:rPr>
              <w:t xml:space="preserve">SR víta iniciatívu EK </w:t>
            </w:r>
            <w:r w:rsidR="00043D8B" w:rsidRPr="00BD72C0">
              <w:rPr>
                <w:rFonts w:ascii="Times New Roman" w:hAnsi="Times New Roman"/>
                <w:sz w:val="20"/>
              </w:rPr>
              <w:t>v oblasti spotrebiteľských úverov ako aj poskytovania finančných služieb na diaľku, keďže hodnotenie uvedených smerníc môže mať priamy vplyv na spotrebiteľov, predovšetkým na posilnenie ochrany finančných spotrebiteľov.</w:t>
            </w:r>
            <w:r w:rsidR="00043D8B">
              <w:rPr>
                <w:rFonts w:ascii="Times New Roman" w:hAnsi="Times New Roman"/>
                <w:sz w:val="20"/>
              </w:rPr>
              <w:t xml:space="preserve"> </w:t>
            </w:r>
            <w:r w:rsidR="00043D8B" w:rsidRPr="00BD72C0">
              <w:rPr>
                <w:rFonts w:ascii="Times New Roman" w:hAnsi="Times New Roman"/>
                <w:sz w:val="20"/>
              </w:rPr>
              <w:t>Hodnotenie má potenciál poukázať na oblasti, ktoré si vyžadujú zvýšenú pozornosť, a tak prispieť k možným návrhom na úpravu do budúcnosti. Obe smernice sú v praxi využívané väčšinou obyvateľstva a z toho dôvodu považujeme uveden</w:t>
            </w:r>
            <w:r w:rsidR="00043D8B">
              <w:rPr>
                <w:rFonts w:ascii="Times New Roman" w:hAnsi="Times New Roman"/>
                <w:sz w:val="20"/>
              </w:rPr>
              <w:t>é  smernice za vysoko prioritné</w:t>
            </w:r>
          </w:p>
        </w:tc>
      </w:tr>
    </w:tbl>
    <w:p w:rsidR="00043D8B" w:rsidRDefault="00043D8B" w:rsidP="00833647">
      <w:pPr>
        <w:spacing w:after="0" w:line="240" w:lineRule="auto"/>
      </w:pPr>
    </w:p>
    <w:p w:rsidR="003847E2" w:rsidRPr="00023CC1" w:rsidRDefault="003847E2" w:rsidP="00043D8B"/>
    <w:p w:rsidR="00043D8B" w:rsidRDefault="00043D8B" w:rsidP="00043D8B">
      <w:pPr>
        <w:pStyle w:val="Nadpis2"/>
        <w:ind w:left="4333"/>
      </w:pPr>
      <w:r>
        <w:t xml:space="preserve">Príloha III: prioritné návrhy v štádiu schvaľovania  </w:t>
      </w:r>
    </w:p>
    <w:p w:rsidR="00DE5F5C" w:rsidRPr="00DE5F5C" w:rsidRDefault="00DE5F5C" w:rsidP="00DE5F5C"/>
    <w:tbl>
      <w:tblPr>
        <w:tblStyle w:val="ablnaChar"/>
        <w:tblW w:w="15080" w:type="dxa"/>
        <w:tblInd w:w="-201" w:type="dxa"/>
        <w:tblCellMar>
          <w:top w:w="92" w:type="dxa"/>
          <w:left w:w="83" w:type="dxa"/>
          <w:right w:w="32" w:type="dxa"/>
        </w:tblCellMar>
        <w:tblLook w:val="04A0" w:firstRow="1" w:lastRow="0" w:firstColumn="1" w:lastColumn="0" w:noHBand="0" w:noVBand="1"/>
      </w:tblPr>
      <w:tblGrid>
        <w:gridCol w:w="590"/>
        <w:gridCol w:w="2867"/>
        <w:gridCol w:w="4819"/>
        <w:gridCol w:w="1418"/>
        <w:gridCol w:w="5386"/>
      </w:tblGrid>
      <w:tr w:rsidR="00043D8B" w:rsidTr="00B1660F">
        <w:trPr>
          <w:trHeight w:val="407"/>
        </w:trPr>
        <w:tc>
          <w:tcPr>
            <w:tcW w:w="590" w:type="dxa"/>
            <w:tcBorders>
              <w:top w:val="single" w:sz="4" w:space="0" w:color="auto"/>
              <w:left w:val="single" w:sz="4" w:space="0" w:color="auto"/>
              <w:bottom w:val="single" w:sz="4" w:space="0" w:color="auto"/>
              <w:right w:val="single" w:sz="4" w:space="0" w:color="auto"/>
            </w:tcBorders>
            <w:shd w:val="clear" w:color="auto" w:fill="99CCFF"/>
          </w:tcPr>
          <w:p w:rsidR="00043D8B" w:rsidRDefault="00043D8B" w:rsidP="00043D8B">
            <w:pPr>
              <w:ind w:left="17"/>
            </w:pPr>
            <w:r>
              <w:rPr>
                <w:rFonts w:ascii="Times New Roman" w:hAnsi="Times New Roman"/>
                <w:b/>
                <w:sz w:val="20"/>
              </w:rPr>
              <w:t xml:space="preserve">Č. </w:t>
            </w:r>
          </w:p>
        </w:tc>
        <w:tc>
          <w:tcPr>
            <w:tcW w:w="2867" w:type="dxa"/>
            <w:tcBorders>
              <w:top w:val="single" w:sz="4" w:space="0" w:color="auto"/>
              <w:left w:val="single" w:sz="4" w:space="0" w:color="auto"/>
              <w:bottom w:val="single" w:sz="4" w:space="0" w:color="auto"/>
              <w:right w:val="single" w:sz="4" w:space="0" w:color="auto"/>
            </w:tcBorders>
            <w:shd w:val="clear" w:color="auto" w:fill="99CCFF"/>
          </w:tcPr>
          <w:p w:rsidR="00043D8B" w:rsidRDefault="00043D8B" w:rsidP="00043D8B">
            <w:pPr>
              <w:ind w:right="48"/>
              <w:jc w:val="center"/>
            </w:pPr>
            <w:r>
              <w:rPr>
                <w:rFonts w:ascii="Times New Roman" w:hAnsi="Times New Roman"/>
                <w:b/>
                <w:sz w:val="20"/>
              </w:rPr>
              <w:t xml:space="preserve">Názov </w:t>
            </w:r>
          </w:p>
        </w:tc>
        <w:tc>
          <w:tcPr>
            <w:tcW w:w="4819" w:type="dxa"/>
            <w:tcBorders>
              <w:top w:val="single" w:sz="4" w:space="0" w:color="auto"/>
              <w:left w:val="single" w:sz="4" w:space="0" w:color="auto"/>
              <w:bottom w:val="single" w:sz="4" w:space="0" w:color="auto"/>
              <w:right w:val="single" w:sz="4" w:space="0" w:color="auto"/>
            </w:tcBorders>
            <w:shd w:val="clear" w:color="auto" w:fill="99CCFF"/>
          </w:tcPr>
          <w:p w:rsidR="00043D8B" w:rsidRDefault="00043D8B" w:rsidP="00043D8B">
            <w:pPr>
              <w:ind w:right="50"/>
              <w:jc w:val="center"/>
              <w:rPr>
                <w:rFonts w:ascii="Times New Roman" w:hAnsi="Times New Roman"/>
                <w:b/>
                <w:sz w:val="20"/>
              </w:rPr>
            </w:pPr>
            <w:r>
              <w:rPr>
                <w:rFonts w:ascii="Times New Roman" w:hAnsi="Times New Roman"/>
                <w:b/>
                <w:sz w:val="20"/>
              </w:rPr>
              <w:t>Opis</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043D8B" w:rsidRDefault="00043D8B" w:rsidP="00043D8B">
            <w:pPr>
              <w:ind w:right="50"/>
              <w:jc w:val="center"/>
              <w:rPr>
                <w:rFonts w:ascii="Times New Roman" w:hAnsi="Times New Roman"/>
                <w:b/>
                <w:sz w:val="20"/>
              </w:rPr>
            </w:pPr>
            <w:r>
              <w:rPr>
                <w:rFonts w:ascii="Times New Roman" w:hAnsi="Times New Roman"/>
                <w:b/>
                <w:sz w:val="20"/>
              </w:rPr>
              <w:t>Gestor</w:t>
            </w:r>
          </w:p>
        </w:tc>
        <w:tc>
          <w:tcPr>
            <w:tcW w:w="5386" w:type="dxa"/>
            <w:tcBorders>
              <w:top w:val="single" w:sz="4" w:space="0" w:color="auto"/>
              <w:left w:val="single" w:sz="4" w:space="0" w:color="auto"/>
              <w:bottom w:val="single" w:sz="4" w:space="0" w:color="auto"/>
              <w:right w:val="single" w:sz="4" w:space="0" w:color="auto"/>
            </w:tcBorders>
            <w:shd w:val="clear" w:color="auto" w:fill="99CCFF"/>
          </w:tcPr>
          <w:p w:rsidR="00043D8B" w:rsidRDefault="00043D8B" w:rsidP="00043D8B">
            <w:pPr>
              <w:ind w:right="50"/>
              <w:jc w:val="center"/>
              <w:rPr>
                <w:rFonts w:ascii="Times New Roman" w:hAnsi="Times New Roman"/>
                <w:b/>
                <w:sz w:val="20"/>
              </w:rPr>
            </w:pPr>
            <w:r>
              <w:rPr>
                <w:rFonts w:ascii="Times New Roman" w:hAnsi="Times New Roman"/>
                <w:b/>
                <w:sz w:val="20"/>
              </w:rPr>
              <w:t xml:space="preserve">Stupeň priority a pozícia SR </w:t>
            </w:r>
          </w:p>
        </w:tc>
      </w:tr>
      <w:tr w:rsidR="00043D8B" w:rsidTr="00B1660F">
        <w:trPr>
          <w:trHeight w:val="497"/>
        </w:trPr>
        <w:tc>
          <w:tcPr>
            <w:tcW w:w="15080" w:type="dxa"/>
            <w:gridSpan w:val="5"/>
            <w:tcBorders>
              <w:top w:val="single" w:sz="4" w:space="0" w:color="auto"/>
              <w:left w:val="single" w:sz="4" w:space="0" w:color="auto"/>
              <w:bottom w:val="single" w:sz="4" w:space="0" w:color="auto"/>
              <w:right w:val="single" w:sz="4" w:space="0" w:color="000000"/>
            </w:tcBorders>
            <w:shd w:val="clear" w:color="auto" w:fill="92D050"/>
            <w:vAlign w:val="center"/>
          </w:tcPr>
          <w:p w:rsidR="00043D8B" w:rsidRDefault="00043D8B" w:rsidP="00043D8B">
            <w:pPr>
              <w:rPr>
                <w:rFonts w:ascii="Times New Roman" w:hAnsi="Times New Roman"/>
                <w:b/>
                <w:sz w:val="20"/>
              </w:rPr>
            </w:pPr>
            <w:r>
              <w:rPr>
                <w:rFonts w:ascii="Times New Roman" w:hAnsi="Times New Roman"/>
                <w:b/>
                <w:sz w:val="20"/>
              </w:rPr>
              <w:t>Nový impulz pre zamestnanosť, rast a investície</w:t>
            </w:r>
          </w:p>
        </w:tc>
      </w:tr>
      <w:tr w:rsidR="00043D8B" w:rsidTr="00B1660F">
        <w:trPr>
          <w:trHeight w:val="1109"/>
        </w:trPr>
        <w:tc>
          <w:tcPr>
            <w:tcW w:w="590" w:type="dxa"/>
            <w:tcBorders>
              <w:top w:val="single" w:sz="4" w:space="0" w:color="auto"/>
              <w:left w:val="single" w:sz="4" w:space="0" w:color="000000"/>
              <w:bottom w:val="single" w:sz="4" w:space="0" w:color="000000"/>
              <w:right w:val="single" w:sz="4" w:space="0" w:color="000000"/>
            </w:tcBorders>
          </w:tcPr>
          <w:p w:rsidR="00043D8B" w:rsidRDefault="00043D8B" w:rsidP="00043D8B">
            <w:pPr>
              <w:spacing w:after="620"/>
            </w:pPr>
            <w:r>
              <w:rPr>
                <w:rFonts w:ascii="Times New Roman" w:hAnsi="Times New Roman"/>
                <w:sz w:val="20"/>
              </w:rPr>
              <w:t>1.</w:t>
            </w:r>
            <w:r>
              <w:rPr>
                <w:rFonts w:ascii="Arial" w:hAnsi="Arial" w:cs="Arial"/>
                <w:sz w:val="20"/>
              </w:rPr>
              <w:t xml:space="preserve"> </w:t>
            </w:r>
            <w:r>
              <w:rPr>
                <w:rFonts w:ascii="Times New Roman" w:hAnsi="Times New Roman"/>
                <w:sz w:val="20"/>
              </w:rPr>
              <w:t xml:space="preserve"> </w:t>
            </w:r>
          </w:p>
          <w:p w:rsidR="00043D8B" w:rsidRDefault="00043D8B" w:rsidP="00043D8B">
            <w:pPr>
              <w:spacing w:after="622"/>
              <w:jc w:val="right"/>
            </w:pPr>
            <w:r>
              <w:rPr>
                <w:rFonts w:ascii="Times New Roman" w:hAnsi="Times New Roman"/>
                <w:sz w:val="20"/>
              </w:rPr>
              <w:t xml:space="preserve"> </w:t>
            </w:r>
          </w:p>
          <w:p w:rsidR="00043D8B" w:rsidRDefault="00043D8B" w:rsidP="00043D8B">
            <w:pPr>
              <w:jc w:val="right"/>
            </w:pPr>
            <w:r>
              <w:rPr>
                <w:rFonts w:ascii="Times New Roman" w:hAnsi="Times New Roman"/>
                <w:sz w:val="20"/>
              </w:rPr>
              <w:t xml:space="preserve"> </w:t>
            </w:r>
          </w:p>
        </w:tc>
        <w:tc>
          <w:tcPr>
            <w:tcW w:w="2867" w:type="dxa"/>
            <w:tcBorders>
              <w:top w:val="single" w:sz="4" w:space="0" w:color="auto"/>
              <w:left w:val="single" w:sz="4" w:space="0" w:color="000000"/>
              <w:bottom w:val="single" w:sz="4" w:space="0" w:color="000000"/>
              <w:right w:val="single" w:sz="4" w:space="0" w:color="000000"/>
            </w:tcBorders>
          </w:tcPr>
          <w:p w:rsidR="00043D8B" w:rsidRDefault="00043D8B" w:rsidP="00043D8B">
            <w:pPr>
              <w:spacing w:after="409"/>
              <w:ind w:left="1" w:right="19"/>
              <w:jc w:val="both"/>
            </w:pPr>
            <w:r>
              <w:rPr>
                <w:rFonts w:ascii="Times New Roman" w:hAnsi="Times New Roman"/>
                <w:sz w:val="20"/>
              </w:rPr>
              <w:t>Balík predpisov v oblasti obehového hospodárstva</w:t>
            </w:r>
            <w:r>
              <w:rPr>
                <w:rFonts w:ascii="Times New Roman" w:hAnsi="Times New Roman"/>
                <w:color w:val="0070C0"/>
                <w:sz w:val="20"/>
              </w:rPr>
              <w:t xml:space="preserve"> </w:t>
            </w:r>
          </w:p>
          <w:p w:rsidR="00043D8B" w:rsidRDefault="00043D8B" w:rsidP="00043D8B">
            <w:pPr>
              <w:spacing w:after="622"/>
              <w:ind w:left="1"/>
            </w:pPr>
            <w:r>
              <w:rPr>
                <w:rFonts w:ascii="Times New Roman" w:hAnsi="Times New Roman"/>
                <w:color w:val="0070C0"/>
                <w:sz w:val="20"/>
              </w:rPr>
              <w:t xml:space="preserve"> </w:t>
            </w:r>
          </w:p>
          <w:p w:rsidR="00043D8B" w:rsidRDefault="00043D8B" w:rsidP="00043D8B">
            <w:pPr>
              <w:ind w:left="1"/>
            </w:pPr>
            <w:r>
              <w:rPr>
                <w:rFonts w:ascii="Times New Roman" w:hAnsi="Times New Roman"/>
                <w:color w:val="0070C0"/>
                <w:sz w:val="20"/>
              </w:rPr>
              <w:t xml:space="preserve"> </w:t>
            </w:r>
          </w:p>
        </w:tc>
        <w:tc>
          <w:tcPr>
            <w:tcW w:w="4819" w:type="dxa"/>
            <w:tcBorders>
              <w:top w:val="single" w:sz="4" w:space="0" w:color="000000"/>
              <w:left w:val="single" w:sz="4" w:space="0" w:color="000000"/>
              <w:bottom w:val="single" w:sz="4" w:space="0" w:color="000000"/>
              <w:right w:val="single" w:sz="4" w:space="0" w:color="000000"/>
            </w:tcBorders>
          </w:tcPr>
          <w:p w:rsidR="00043D8B" w:rsidRDefault="00043D8B" w:rsidP="003847E2">
            <w:pPr>
              <w:spacing w:after="0"/>
              <w:ind w:left="1"/>
            </w:pPr>
            <w:r>
              <w:rPr>
                <w:rFonts w:ascii="Times New Roman" w:hAnsi="Times New Roman"/>
                <w:sz w:val="20"/>
              </w:rPr>
              <w:t xml:space="preserve">Návrh SMERNICE EURÓPSKEHO PARLAMENTU A RADY o kvalite vody určenej na ľudskú spotrebu </w:t>
            </w:r>
          </w:p>
          <w:p w:rsidR="00043D8B" w:rsidRDefault="00043D8B" w:rsidP="003847E2">
            <w:pPr>
              <w:spacing w:after="0"/>
              <w:ind w:left="1"/>
            </w:pPr>
            <w:r>
              <w:rPr>
                <w:rFonts w:ascii="Times New Roman" w:hAnsi="Times New Roman"/>
                <w:sz w:val="20"/>
              </w:rPr>
              <w:t xml:space="preserve">(prepracované znenie)** COM(2017)753 final </w:t>
            </w:r>
          </w:p>
          <w:p w:rsidR="00043D8B" w:rsidRDefault="00043D8B" w:rsidP="003847E2">
            <w:pPr>
              <w:spacing w:after="0"/>
              <w:ind w:left="1"/>
            </w:pPr>
            <w:r>
              <w:rPr>
                <w:rFonts w:ascii="Times New Roman" w:hAnsi="Times New Roman"/>
                <w:sz w:val="20"/>
              </w:rPr>
              <w:t>2017/0332 (COD)  1. 2. 2018</w:t>
            </w:r>
          </w:p>
        </w:tc>
        <w:tc>
          <w:tcPr>
            <w:tcW w:w="1418" w:type="dxa"/>
            <w:tcBorders>
              <w:top w:val="single" w:sz="4" w:space="0" w:color="000000"/>
              <w:left w:val="single" w:sz="4" w:space="0" w:color="000000"/>
              <w:bottom w:val="single" w:sz="4" w:space="0" w:color="000000"/>
              <w:right w:val="single" w:sz="4" w:space="0" w:color="000000"/>
            </w:tcBorders>
          </w:tcPr>
          <w:p w:rsidR="00043D8B" w:rsidRPr="006D7BA5" w:rsidRDefault="00043D8B" w:rsidP="00043D8B">
            <w:pPr>
              <w:spacing w:after="21"/>
              <w:ind w:left="4"/>
              <w:jc w:val="both"/>
              <w:rPr>
                <w:rFonts w:ascii="Times New Roman" w:hAnsi="Times New Roman"/>
                <w:b/>
                <w:sz w:val="20"/>
              </w:rPr>
            </w:pPr>
            <w:r w:rsidRPr="006D7BA5">
              <w:rPr>
                <w:rFonts w:ascii="Times New Roman" w:hAnsi="Times New Roman"/>
                <w:b/>
                <w:sz w:val="20"/>
              </w:rPr>
              <w:t>MZ SR</w:t>
            </w:r>
          </w:p>
          <w:p w:rsidR="00043D8B" w:rsidRPr="006D7BA5" w:rsidRDefault="00043D8B" w:rsidP="00043D8B">
            <w:pPr>
              <w:spacing w:after="21"/>
              <w:ind w:left="4"/>
              <w:jc w:val="both"/>
              <w:rPr>
                <w:rFonts w:ascii="Times New Roman" w:hAnsi="Times New Roman"/>
                <w:b/>
                <w:sz w:val="20"/>
              </w:rPr>
            </w:pPr>
            <w:r w:rsidRPr="006D7BA5">
              <w:rPr>
                <w:rFonts w:ascii="Times New Roman" w:hAnsi="Times New Roman"/>
                <w:b/>
                <w:sz w:val="20"/>
              </w:rPr>
              <w:t>MŽP SR</w:t>
            </w:r>
          </w:p>
          <w:p w:rsidR="00043D8B" w:rsidRPr="006D7BA5" w:rsidRDefault="00043D8B" w:rsidP="00043D8B">
            <w:pPr>
              <w:spacing w:after="21"/>
              <w:ind w:left="4"/>
              <w:jc w:val="both"/>
              <w:rPr>
                <w:rFonts w:ascii="Times New Roman" w:hAnsi="Times New Roman"/>
                <w:b/>
                <w:sz w:val="20"/>
              </w:rPr>
            </w:pPr>
          </w:p>
        </w:tc>
        <w:tc>
          <w:tcPr>
            <w:tcW w:w="5386" w:type="dxa"/>
            <w:tcBorders>
              <w:top w:val="single" w:sz="4" w:space="0" w:color="000000"/>
              <w:left w:val="single" w:sz="4" w:space="0" w:color="000000"/>
              <w:bottom w:val="single" w:sz="4" w:space="0" w:color="000000"/>
              <w:right w:val="single" w:sz="4" w:space="0" w:color="000000"/>
            </w:tcBorders>
          </w:tcPr>
          <w:p w:rsidR="00043D8B" w:rsidRPr="005D4533" w:rsidRDefault="00043D8B" w:rsidP="00043D8B">
            <w:pPr>
              <w:spacing w:after="21"/>
              <w:ind w:left="4"/>
              <w:jc w:val="both"/>
              <w:rPr>
                <w:rFonts w:ascii="Times New Roman" w:hAnsi="Times New Roman"/>
                <w:b/>
                <w:color w:val="auto"/>
                <w:sz w:val="20"/>
                <w:u w:val="single"/>
              </w:rPr>
            </w:pPr>
            <w:r w:rsidRPr="005D4533">
              <w:rPr>
                <w:rFonts w:ascii="Times New Roman" w:hAnsi="Times New Roman"/>
                <w:b/>
                <w:color w:val="auto"/>
                <w:sz w:val="20"/>
                <w:u w:val="single"/>
              </w:rPr>
              <w:t>Vysoká priorita</w:t>
            </w:r>
          </w:p>
          <w:p w:rsidR="00043D8B" w:rsidRDefault="00043D8B" w:rsidP="00043D8B">
            <w:pPr>
              <w:spacing w:after="21"/>
              <w:ind w:left="4"/>
              <w:jc w:val="both"/>
              <w:rPr>
                <w:rFonts w:ascii="Times New Roman" w:hAnsi="Times New Roman"/>
                <w:color w:val="auto"/>
                <w:sz w:val="20"/>
              </w:rPr>
            </w:pPr>
            <w:r>
              <w:rPr>
                <w:rFonts w:ascii="Times New Roman" w:hAnsi="Times New Roman"/>
                <w:color w:val="auto"/>
                <w:sz w:val="20"/>
              </w:rPr>
              <w:t>Smernica je zameraná na ochranu zdravia obyvateľstva pred nepriaznivými účinkami akejkoľvek kontaminácie.</w:t>
            </w:r>
          </w:p>
          <w:p w:rsidR="00043D8B" w:rsidRPr="00E51A07" w:rsidRDefault="00043D8B" w:rsidP="00043D8B">
            <w:pPr>
              <w:spacing w:after="21"/>
              <w:ind w:left="4"/>
              <w:jc w:val="both"/>
              <w:rPr>
                <w:rFonts w:ascii="Times New Roman" w:hAnsi="Times New Roman"/>
                <w:color w:val="auto"/>
                <w:sz w:val="20"/>
              </w:rPr>
            </w:pPr>
            <w:r w:rsidRPr="00E51A07">
              <w:rPr>
                <w:rFonts w:ascii="Times New Roman" w:hAnsi="Times New Roman"/>
                <w:color w:val="auto"/>
                <w:sz w:val="20"/>
              </w:rPr>
              <w:t>Návrh je prepracovaným znením smernice 98/83/ES, ktorá bola zmenená v rokoch 2003, 2009 a 2015. SR sa zúčastňuje rokovaní Rady EÚ na úrovni Pracovnej skupiny pre životné prostredie a aktívne vstupuje do navrhovaných zmien revidovanej smernice, ktorá stanovuje minimálne požiadavky na monitorovanie, podávanie správ, prístup k vode a transparentnosť. Vzhľadom na množstvo rozporných názorov medzi EK a Radou EÚ k obsahovej časti návrhu, väčšina ČŠ nesúhlasí so zahájením rokovaní s EP.</w:t>
            </w:r>
            <w:r>
              <w:rPr>
                <w:rFonts w:ascii="Times New Roman" w:hAnsi="Times New Roman"/>
                <w:color w:val="FF0000"/>
                <w:sz w:val="20"/>
                <w:szCs w:val="20"/>
              </w:rPr>
              <w:t xml:space="preserve">    </w:t>
            </w:r>
          </w:p>
        </w:tc>
      </w:tr>
      <w:tr w:rsidR="00043D8B" w:rsidTr="00B1660F">
        <w:trPr>
          <w:trHeight w:val="1102"/>
        </w:trPr>
        <w:tc>
          <w:tcPr>
            <w:tcW w:w="590" w:type="dxa"/>
            <w:tcBorders>
              <w:top w:val="single" w:sz="4" w:space="0" w:color="000000"/>
              <w:left w:val="single" w:sz="4" w:space="0" w:color="000000"/>
              <w:bottom w:val="single" w:sz="4" w:space="0" w:color="auto"/>
              <w:right w:val="single" w:sz="4" w:space="0" w:color="000000"/>
            </w:tcBorders>
          </w:tcPr>
          <w:p w:rsidR="00043D8B" w:rsidRDefault="00043D8B" w:rsidP="001129C1">
            <w:pPr>
              <w:spacing w:after="0"/>
            </w:pPr>
          </w:p>
        </w:tc>
        <w:tc>
          <w:tcPr>
            <w:tcW w:w="2867" w:type="dxa"/>
            <w:tcBorders>
              <w:top w:val="single" w:sz="4" w:space="0" w:color="000000"/>
              <w:left w:val="single" w:sz="4" w:space="0" w:color="000000"/>
              <w:bottom w:val="single" w:sz="4" w:space="0" w:color="auto"/>
              <w:right w:val="single" w:sz="4" w:space="0" w:color="000000"/>
            </w:tcBorders>
          </w:tcPr>
          <w:p w:rsidR="00043D8B" w:rsidRDefault="00043D8B" w:rsidP="001129C1">
            <w:pPr>
              <w:spacing w:after="0"/>
            </w:pPr>
          </w:p>
        </w:tc>
        <w:tc>
          <w:tcPr>
            <w:tcW w:w="4819" w:type="dxa"/>
            <w:tcBorders>
              <w:top w:val="single" w:sz="4" w:space="0" w:color="000000"/>
              <w:left w:val="single" w:sz="4" w:space="0" w:color="000000"/>
              <w:bottom w:val="single" w:sz="4" w:space="0" w:color="000000"/>
              <w:right w:val="single" w:sz="4" w:space="0" w:color="000000"/>
            </w:tcBorders>
          </w:tcPr>
          <w:p w:rsidR="00043D8B" w:rsidRDefault="00043D8B" w:rsidP="001129C1">
            <w:pPr>
              <w:spacing w:after="0"/>
              <w:ind w:left="1"/>
            </w:pPr>
            <w:r>
              <w:rPr>
                <w:rFonts w:ascii="Times New Roman" w:hAnsi="Times New Roman"/>
                <w:sz w:val="20"/>
              </w:rPr>
              <w:t xml:space="preserve">Návrh NARIADENIA EURÓPSKEHO PARLAMENTU A RADY o minimálnych požiadavkách na opätovné využívanie vody** COM (2018) 337 final </w:t>
            </w:r>
          </w:p>
          <w:p w:rsidR="00043D8B" w:rsidRDefault="00043D8B" w:rsidP="001129C1">
            <w:pPr>
              <w:spacing w:after="0"/>
              <w:ind w:left="1"/>
            </w:pPr>
            <w:r>
              <w:rPr>
                <w:rFonts w:ascii="Times New Roman" w:hAnsi="Times New Roman"/>
                <w:sz w:val="20"/>
              </w:rPr>
              <w:t xml:space="preserve">2018/0169 (COD)  28. 5. 2018 </w:t>
            </w:r>
          </w:p>
        </w:tc>
        <w:tc>
          <w:tcPr>
            <w:tcW w:w="1418" w:type="dxa"/>
            <w:tcBorders>
              <w:top w:val="single" w:sz="4" w:space="0" w:color="000000"/>
              <w:left w:val="single" w:sz="4" w:space="0" w:color="000000"/>
              <w:bottom w:val="single" w:sz="4" w:space="0" w:color="000000"/>
              <w:right w:val="single" w:sz="4" w:space="0" w:color="000000"/>
            </w:tcBorders>
          </w:tcPr>
          <w:p w:rsidR="00043D8B" w:rsidRPr="006D7BA5" w:rsidRDefault="00043D8B" w:rsidP="001129C1">
            <w:pPr>
              <w:spacing w:after="0"/>
              <w:ind w:left="4" w:right="48"/>
              <w:jc w:val="both"/>
              <w:rPr>
                <w:rFonts w:ascii="Times New Roman" w:hAnsi="Times New Roman"/>
                <w:b/>
                <w:sz w:val="20"/>
              </w:rPr>
            </w:pPr>
            <w:r w:rsidRPr="006D7BA5">
              <w:rPr>
                <w:rFonts w:ascii="Times New Roman" w:hAnsi="Times New Roman"/>
                <w:b/>
                <w:sz w:val="20"/>
              </w:rPr>
              <w:t xml:space="preserve">MŽP SR </w:t>
            </w:r>
          </w:p>
          <w:p w:rsidR="00043D8B" w:rsidRPr="006D7BA5" w:rsidRDefault="00043D8B" w:rsidP="001129C1">
            <w:pPr>
              <w:spacing w:after="0"/>
              <w:ind w:left="4" w:right="48"/>
              <w:jc w:val="both"/>
              <w:rPr>
                <w:rFonts w:ascii="Times New Roman" w:hAnsi="Times New Roman"/>
                <w:b/>
                <w:sz w:val="20"/>
              </w:rPr>
            </w:pPr>
            <w:r w:rsidRPr="006D7BA5">
              <w:rPr>
                <w:rFonts w:ascii="Times New Roman" w:hAnsi="Times New Roman"/>
                <w:b/>
                <w:sz w:val="20"/>
              </w:rPr>
              <w:t>MPRaV SR</w:t>
            </w:r>
          </w:p>
        </w:tc>
        <w:tc>
          <w:tcPr>
            <w:tcW w:w="5386" w:type="dxa"/>
            <w:tcBorders>
              <w:top w:val="single" w:sz="4" w:space="0" w:color="000000"/>
              <w:left w:val="single" w:sz="4" w:space="0" w:color="000000"/>
              <w:bottom w:val="single" w:sz="4" w:space="0" w:color="000000"/>
              <w:right w:val="single" w:sz="4" w:space="0" w:color="000000"/>
            </w:tcBorders>
          </w:tcPr>
          <w:p w:rsidR="00043D8B" w:rsidRDefault="00043D8B" w:rsidP="001129C1">
            <w:pPr>
              <w:spacing w:after="0"/>
              <w:jc w:val="both"/>
              <w:rPr>
                <w:rFonts w:ascii="Times New Roman" w:hAnsi="Times New Roman"/>
                <w:color w:val="auto"/>
                <w:sz w:val="20"/>
                <w:szCs w:val="20"/>
              </w:rPr>
            </w:pPr>
            <w:r w:rsidRPr="005D4533">
              <w:rPr>
                <w:rFonts w:ascii="Times New Roman" w:hAnsi="Times New Roman"/>
                <w:b/>
                <w:bCs/>
                <w:color w:val="auto"/>
                <w:sz w:val="20"/>
                <w:szCs w:val="20"/>
                <w:u w:val="single"/>
              </w:rPr>
              <w:t xml:space="preserve">Stredná </w:t>
            </w:r>
            <w:r w:rsidRPr="005D4533">
              <w:rPr>
                <w:rFonts w:ascii="Times New Roman" w:hAnsi="Times New Roman"/>
                <w:b/>
                <w:color w:val="auto"/>
                <w:sz w:val="20"/>
                <w:szCs w:val="20"/>
                <w:u w:val="single"/>
              </w:rPr>
              <w:t>priorita</w:t>
            </w:r>
            <w:r>
              <w:rPr>
                <w:rFonts w:ascii="Times New Roman" w:hAnsi="Times New Roman"/>
                <w:color w:val="auto"/>
                <w:sz w:val="20"/>
                <w:szCs w:val="20"/>
              </w:rPr>
              <w:t xml:space="preserve"> </w:t>
            </w:r>
          </w:p>
          <w:p w:rsidR="00043D8B" w:rsidRPr="00043D8B" w:rsidRDefault="00043D8B" w:rsidP="001129C1">
            <w:pPr>
              <w:spacing w:after="0"/>
              <w:jc w:val="both"/>
              <w:rPr>
                <w:rFonts w:ascii="Times New Roman" w:hAnsi="Times New Roman"/>
                <w:color w:val="auto"/>
                <w:sz w:val="20"/>
                <w:szCs w:val="20"/>
              </w:rPr>
            </w:pPr>
            <w:r>
              <w:rPr>
                <w:rFonts w:ascii="Times New Roman" w:hAnsi="Times New Roman"/>
                <w:color w:val="auto"/>
                <w:sz w:val="20"/>
                <w:szCs w:val="20"/>
              </w:rPr>
              <w:t>vzhľadom  na možnosti aplikácie v praxi. Je potrebné zvážiť kde možno opätovné využívanie vody využívať a brať pritom do úvahy efektivitu nákladov.</w:t>
            </w:r>
          </w:p>
          <w:p w:rsidR="00043D8B" w:rsidRDefault="00043D8B" w:rsidP="001129C1">
            <w:pPr>
              <w:spacing w:after="0"/>
              <w:ind w:left="4" w:right="48"/>
              <w:jc w:val="both"/>
              <w:rPr>
                <w:rFonts w:ascii="Times New Roman" w:hAnsi="Times New Roman"/>
                <w:sz w:val="20"/>
              </w:rPr>
            </w:pPr>
          </w:p>
        </w:tc>
      </w:tr>
      <w:tr w:rsidR="00043D8B" w:rsidTr="00B1660F">
        <w:trPr>
          <w:trHeight w:val="903"/>
        </w:trPr>
        <w:tc>
          <w:tcPr>
            <w:tcW w:w="590" w:type="dxa"/>
            <w:tcBorders>
              <w:top w:val="single" w:sz="4" w:space="0" w:color="auto"/>
              <w:left w:val="single" w:sz="4" w:space="0" w:color="000000"/>
              <w:bottom w:val="single" w:sz="4" w:space="0" w:color="000000"/>
              <w:right w:val="single" w:sz="4" w:space="0" w:color="000000"/>
            </w:tcBorders>
          </w:tcPr>
          <w:p w:rsidR="00043D8B" w:rsidRDefault="00043D8B" w:rsidP="001129C1">
            <w:pPr>
              <w:spacing w:after="0"/>
            </w:pPr>
            <w:r w:rsidRPr="001110DE">
              <w:rPr>
                <w:rFonts w:ascii="Times New Roman" w:hAnsi="Times New Roman"/>
                <w:sz w:val="20"/>
              </w:rPr>
              <w:t>2.</w:t>
            </w:r>
          </w:p>
        </w:tc>
        <w:tc>
          <w:tcPr>
            <w:tcW w:w="2867" w:type="dxa"/>
            <w:tcBorders>
              <w:top w:val="single" w:sz="4" w:space="0" w:color="auto"/>
              <w:left w:val="single" w:sz="4" w:space="0" w:color="000000"/>
              <w:bottom w:val="single" w:sz="4" w:space="0" w:color="000000"/>
              <w:right w:val="single" w:sz="4" w:space="0" w:color="000000"/>
            </w:tcBorders>
          </w:tcPr>
          <w:p w:rsidR="00043D8B" w:rsidRDefault="00043D8B" w:rsidP="001129C1">
            <w:pPr>
              <w:spacing w:after="0"/>
              <w:ind w:left="1"/>
            </w:pPr>
            <w:r>
              <w:rPr>
                <w:rFonts w:ascii="Times New Roman" w:hAnsi="Times New Roman"/>
                <w:sz w:val="20"/>
              </w:rPr>
              <w:t xml:space="preserve"> Kontrola rybolovu </w:t>
            </w:r>
          </w:p>
        </w:tc>
        <w:tc>
          <w:tcPr>
            <w:tcW w:w="4819" w:type="dxa"/>
            <w:tcBorders>
              <w:top w:val="single" w:sz="4" w:space="0" w:color="auto"/>
              <w:left w:val="single" w:sz="4" w:space="0" w:color="000000"/>
              <w:bottom w:val="single" w:sz="4" w:space="0" w:color="000000"/>
              <w:right w:val="single" w:sz="4" w:space="0" w:color="000000"/>
            </w:tcBorders>
          </w:tcPr>
          <w:p w:rsidR="00043D8B" w:rsidRDefault="00043D8B" w:rsidP="001129C1">
            <w:pPr>
              <w:spacing w:after="0"/>
              <w:ind w:left="1"/>
            </w:pPr>
            <w:r>
              <w:rPr>
                <w:rFonts w:ascii="Times New Roman" w:hAnsi="Times New Roman"/>
                <w:sz w:val="20"/>
              </w:rPr>
              <w:t xml:space="preserve">Návrh NARIADENIA EURÓPSKEHO PARLAMENTU A RADY, ktorým sa mení nariadenie Rady č. </w:t>
            </w:r>
          </w:p>
          <w:p w:rsidR="00043D8B" w:rsidRDefault="00043D8B" w:rsidP="001129C1">
            <w:pPr>
              <w:spacing w:after="0"/>
              <w:ind w:left="1"/>
            </w:pPr>
            <w:r>
              <w:rPr>
                <w:rFonts w:ascii="Times New Roman" w:hAnsi="Times New Roman"/>
                <w:sz w:val="20"/>
              </w:rPr>
              <w:t xml:space="preserve">1224/2009 a ktorým sa menia nariadenia Rady (ES) č. 768/2005, (ES) č. 1967/2006, (ES) č. 1005/2008 a nariadenie (EÚ) Európskeho parlamentu a Rady č. 2016/1139 týkajúce sa kontroly rybolovu** COM (2018) 368 final 2018/0193 (COD)  30. 5. 2018 </w:t>
            </w:r>
          </w:p>
        </w:tc>
        <w:tc>
          <w:tcPr>
            <w:tcW w:w="1418" w:type="dxa"/>
            <w:tcBorders>
              <w:top w:val="single" w:sz="4" w:space="0" w:color="auto"/>
              <w:left w:val="single" w:sz="4" w:space="0" w:color="000000"/>
              <w:bottom w:val="single" w:sz="4" w:space="0" w:color="000000"/>
              <w:right w:val="single" w:sz="4" w:space="0" w:color="000000"/>
            </w:tcBorders>
          </w:tcPr>
          <w:p w:rsidR="00043D8B" w:rsidRDefault="00043D8B" w:rsidP="001129C1">
            <w:pPr>
              <w:spacing w:after="0"/>
              <w:ind w:left="4" w:right="55"/>
              <w:jc w:val="both"/>
              <w:rPr>
                <w:rFonts w:ascii="Times New Roman" w:hAnsi="Times New Roman"/>
                <w:b/>
                <w:sz w:val="20"/>
              </w:rPr>
            </w:pPr>
            <w:r w:rsidRPr="006D7BA5">
              <w:rPr>
                <w:rFonts w:ascii="Times New Roman" w:hAnsi="Times New Roman"/>
                <w:b/>
                <w:sz w:val="20"/>
              </w:rPr>
              <w:t>MPaRV SR</w:t>
            </w:r>
          </w:p>
          <w:p w:rsidR="00BD0652" w:rsidRPr="006D7BA5" w:rsidRDefault="00BD0652" w:rsidP="00BD0652">
            <w:pPr>
              <w:spacing w:after="0"/>
              <w:ind w:left="4" w:right="48"/>
              <w:jc w:val="both"/>
              <w:rPr>
                <w:rFonts w:ascii="Times New Roman" w:hAnsi="Times New Roman"/>
                <w:b/>
                <w:sz w:val="20"/>
              </w:rPr>
            </w:pPr>
            <w:r w:rsidRPr="006D7BA5">
              <w:rPr>
                <w:rFonts w:ascii="Times New Roman" w:hAnsi="Times New Roman"/>
                <w:b/>
                <w:sz w:val="20"/>
              </w:rPr>
              <w:t xml:space="preserve">MŽP SR </w:t>
            </w:r>
          </w:p>
          <w:p w:rsidR="00BD0652" w:rsidRPr="006D7BA5" w:rsidRDefault="00BD0652" w:rsidP="001129C1">
            <w:pPr>
              <w:spacing w:after="0"/>
              <w:ind w:left="4" w:right="55"/>
              <w:jc w:val="both"/>
              <w:rPr>
                <w:rFonts w:ascii="Times New Roman" w:hAnsi="Times New Roman"/>
                <w:b/>
                <w:sz w:val="20"/>
              </w:rPr>
            </w:pPr>
          </w:p>
        </w:tc>
        <w:tc>
          <w:tcPr>
            <w:tcW w:w="5386" w:type="dxa"/>
            <w:tcBorders>
              <w:top w:val="single" w:sz="4" w:space="0" w:color="auto"/>
              <w:left w:val="single" w:sz="4" w:space="0" w:color="000000"/>
              <w:bottom w:val="single" w:sz="4" w:space="0" w:color="000000"/>
              <w:right w:val="single" w:sz="4" w:space="0" w:color="000000"/>
            </w:tcBorders>
          </w:tcPr>
          <w:p w:rsidR="00043D8B" w:rsidRPr="00641738" w:rsidRDefault="00043D8B" w:rsidP="001129C1">
            <w:pPr>
              <w:spacing w:after="0"/>
              <w:ind w:left="4" w:right="55"/>
              <w:jc w:val="both"/>
              <w:rPr>
                <w:rFonts w:ascii="Times New Roman" w:hAnsi="Times New Roman"/>
                <w:b/>
                <w:sz w:val="20"/>
                <w:szCs w:val="20"/>
                <w:u w:val="single"/>
              </w:rPr>
            </w:pPr>
            <w:r w:rsidRPr="00641738">
              <w:rPr>
                <w:rFonts w:ascii="Times New Roman" w:hAnsi="Times New Roman"/>
                <w:b/>
                <w:sz w:val="20"/>
                <w:szCs w:val="20"/>
                <w:u w:val="single"/>
              </w:rPr>
              <w:t>Stredná priorita</w:t>
            </w:r>
          </w:p>
          <w:p w:rsidR="00043D8B" w:rsidRDefault="00043D8B" w:rsidP="001129C1">
            <w:pPr>
              <w:spacing w:after="0"/>
              <w:ind w:left="4" w:right="55"/>
              <w:jc w:val="both"/>
              <w:rPr>
                <w:rFonts w:ascii="Times New Roman" w:hAnsi="Times New Roman"/>
                <w:sz w:val="20"/>
              </w:rPr>
            </w:pPr>
            <w:r w:rsidRPr="00641738">
              <w:rPr>
                <w:rFonts w:ascii="Times New Roman" w:hAnsi="Times New Roman"/>
                <w:sz w:val="20"/>
              </w:rPr>
              <w:t>Priorita v oblasti vysledovateľnosti produktov rybolovu a akvakultúry. Kontroly vykonávané prostredníctvom Štátnej veterinárnej a potravinovej správy SR.</w:t>
            </w: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1129C1">
            <w:pPr>
              <w:spacing w:after="0"/>
              <w:rPr>
                <w:rFonts w:ascii="Times New Roman" w:hAnsi="Times New Roman"/>
                <w:sz w:val="20"/>
              </w:rPr>
            </w:pPr>
            <w:r>
              <w:rPr>
                <w:rFonts w:ascii="Times New Roman" w:hAnsi="Times New Roman"/>
                <w:sz w:val="20"/>
              </w:rPr>
              <w:t>3.</w:t>
            </w:r>
            <w:r w:rsidRPr="00744D77">
              <w:rPr>
                <w:rFonts w:ascii="Times New Roman" w:hAnsi="Times New Roman"/>
                <w:sz w:val="20"/>
              </w:rPr>
              <w:t xml:space="preserve"> </w:t>
            </w:r>
            <w:r>
              <w:rPr>
                <w:rFonts w:ascii="Times New Roman" w:hAnsi="Times New Roman"/>
                <w:sz w:val="20"/>
              </w:rPr>
              <w:t xml:space="preserve"> </w:t>
            </w: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1129C1">
            <w:pPr>
              <w:spacing w:after="0"/>
              <w:ind w:left="1"/>
            </w:pPr>
            <w:r>
              <w:rPr>
                <w:rFonts w:ascii="Times New Roman" w:hAnsi="Times New Roman"/>
                <w:sz w:val="20"/>
              </w:rPr>
              <w:t xml:space="preserve">Zosúladenie oznamovacích povinností v oblasti politiky životného prostredia </w:t>
            </w:r>
          </w:p>
        </w:tc>
        <w:tc>
          <w:tcPr>
            <w:tcW w:w="4819" w:type="dxa"/>
            <w:tcBorders>
              <w:top w:val="single" w:sz="4" w:space="0" w:color="000000"/>
              <w:left w:val="single" w:sz="4" w:space="0" w:color="000000"/>
              <w:bottom w:val="single" w:sz="4" w:space="0" w:color="000000"/>
              <w:right w:val="single" w:sz="4" w:space="0" w:color="000000"/>
            </w:tcBorders>
          </w:tcPr>
          <w:p w:rsidR="00043D8B" w:rsidRDefault="00043D8B" w:rsidP="001129C1">
            <w:pPr>
              <w:spacing w:after="0" w:line="246" w:lineRule="auto"/>
              <w:ind w:left="1" w:right="119"/>
            </w:pPr>
            <w:r>
              <w:rPr>
                <w:rFonts w:ascii="Times New Roman" w:hAnsi="Times New Roman"/>
                <w:sz w:val="20"/>
              </w:rPr>
              <w:t xml:space="preserve">Návrh NARIADENIA EURÓPSKEHO PARLAMENTU A RADY o zosúladení povinností podávania správ v oblasti environmentálnej politiky a o zmene smerníc 86/278/EHS, 2002/49/ES, 2004/35/ES, 2007/2/ES, 2009/147/ES a 2010/63/EÚ, nariadení (ES) č. 166/2006 a (EÚ) č. 995/2010 a nariadení Rady </w:t>
            </w:r>
          </w:p>
          <w:p w:rsidR="00043D8B" w:rsidRDefault="00043D8B" w:rsidP="00DE5F5C">
            <w:pPr>
              <w:spacing w:after="0"/>
              <w:ind w:left="1"/>
            </w:pPr>
            <w:r>
              <w:rPr>
                <w:rFonts w:ascii="Times New Roman" w:hAnsi="Times New Roman"/>
                <w:sz w:val="20"/>
              </w:rPr>
              <w:t xml:space="preserve">(ES) č. 338/97 a (ES) č. 2173/2005** COM (2018) 381 final 2018/0205 (COD)  31. 5. 2018 </w:t>
            </w:r>
          </w:p>
        </w:tc>
        <w:tc>
          <w:tcPr>
            <w:tcW w:w="1418" w:type="dxa"/>
            <w:tcBorders>
              <w:top w:val="single" w:sz="4" w:space="0" w:color="000000"/>
              <w:left w:val="single" w:sz="4" w:space="0" w:color="000000"/>
              <w:bottom w:val="single" w:sz="4" w:space="0" w:color="000000"/>
              <w:right w:val="single" w:sz="4" w:space="0" w:color="000000"/>
            </w:tcBorders>
          </w:tcPr>
          <w:p w:rsidR="00043D8B" w:rsidRPr="006D7BA5" w:rsidRDefault="00043D8B" w:rsidP="001129C1">
            <w:pPr>
              <w:spacing w:after="0"/>
              <w:ind w:left="4" w:right="49"/>
              <w:jc w:val="both"/>
              <w:rPr>
                <w:rFonts w:ascii="Times New Roman" w:hAnsi="Times New Roman"/>
                <w:b/>
                <w:sz w:val="20"/>
              </w:rPr>
            </w:pPr>
            <w:r w:rsidRPr="006D7BA5">
              <w:rPr>
                <w:rFonts w:ascii="Times New Roman" w:hAnsi="Times New Roman"/>
                <w:b/>
                <w:sz w:val="20"/>
              </w:rPr>
              <w:t>MŽP SR</w:t>
            </w:r>
          </w:p>
          <w:p w:rsidR="00043D8B" w:rsidRPr="006D7BA5" w:rsidRDefault="00043D8B" w:rsidP="001129C1">
            <w:pPr>
              <w:spacing w:after="0"/>
              <w:ind w:left="4" w:right="49"/>
              <w:jc w:val="both"/>
              <w:rPr>
                <w:rFonts w:ascii="Times New Roman" w:hAnsi="Times New Roman"/>
                <w:b/>
                <w:sz w:val="20"/>
              </w:rPr>
            </w:pPr>
            <w:r w:rsidRPr="006D7BA5">
              <w:rPr>
                <w:rFonts w:ascii="Times New Roman" w:hAnsi="Times New Roman"/>
                <w:b/>
                <w:sz w:val="20"/>
              </w:rPr>
              <w:t>MPaRV SR</w:t>
            </w:r>
          </w:p>
          <w:p w:rsidR="00043D8B" w:rsidRPr="006D7BA5" w:rsidRDefault="00043D8B" w:rsidP="001129C1">
            <w:pPr>
              <w:spacing w:after="0"/>
              <w:ind w:left="4" w:right="49"/>
              <w:jc w:val="both"/>
              <w:rPr>
                <w:rFonts w:ascii="Times New Roman" w:hAnsi="Times New Roman"/>
                <w:b/>
                <w:sz w:val="20"/>
              </w:rPr>
            </w:pPr>
            <w:r w:rsidRPr="006D7BA5">
              <w:rPr>
                <w:rFonts w:ascii="Times New Roman" w:hAnsi="Times New Roman"/>
                <w:b/>
                <w:sz w:val="20"/>
              </w:rPr>
              <w:t>MZ SR</w:t>
            </w:r>
          </w:p>
          <w:p w:rsidR="00043D8B" w:rsidRPr="006D7BA5" w:rsidRDefault="00043D8B" w:rsidP="001129C1">
            <w:pPr>
              <w:spacing w:after="0"/>
              <w:ind w:left="4" w:right="49"/>
              <w:jc w:val="both"/>
              <w:rPr>
                <w:rFonts w:ascii="Times New Roman" w:hAnsi="Times New Roman"/>
                <w:b/>
                <w:sz w:val="20"/>
              </w:rPr>
            </w:pPr>
          </w:p>
        </w:tc>
        <w:tc>
          <w:tcPr>
            <w:tcW w:w="5386" w:type="dxa"/>
            <w:tcBorders>
              <w:top w:val="single" w:sz="4" w:space="0" w:color="000000"/>
              <w:left w:val="single" w:sz="4" w:space="0" w:color="000000"/>
              <w:bottom w:val="single" w:sz="4" w:space="0" w:color="000000"/>
              <w:right w:val="single" w:sz="4" w:space="0" w:color="000000"/>
            </w:tcBorders>
          </w:tcPr>
          <w:p w:rsidR="00043D8B" w:rsidRPr="005D4533" w:rsidRDefault="00043D8B" w:rsidP="001129C1">
            <w:pPr>
              <w:spacing w:after="0"/>
              <w:ind w:left="4" w:right="49"/>
              <w:jc w:val="both"/>
              <w:rPr>
                <w:rFonts w:ascii="Times New Roman" w:hAnsi="Times New Roman"/>
                <w:b/>
                <w:sz w:val="20"/>
                <w:u w:val="single"/>
              </w:rPr>
            </w:pPr>
            <w:r w:rsidRPr="005D4533">
              <w:rPr>
                <w:rFonts w:ascii="Times New Roman" w:hAnsi="Times New Roman"/>
                <w:b/>
                <w:sz w:val="20"/>
                <w:u w:val="single"/>
              </w:rPr>
              <w:t>Vysoká priorita</w:t>
            </w:r>
          </w:p>
          <w:p w:rsidR="00043D8B" w:rsidRDefault="00043D8B" w:rsidP="001129C1">
            <w:pPr>
              <w:spacing w:after="0"/>
              <w:ind w:right="49"/>
              <w:jc w:val="both"/>
              <w:rPr>
                <w:rFonts w:ascii="Times New Roman" w:hAnsi="Times New Roman"/>
                <w:sz w:val="20"/>
              </w:rPr>
            </w:pPr>
            <w:r>
              <w:rPr>
                <w:rFonts w:ascii="Times New Roman" w:hAnsi="Times New Roman"/>
                <w:sz w:val="20"/>
              </w:rPr>
              <w:t>SR podporuje prijatie navrhovaného nariadenia o zosúladení povinností podávania správ v oblasti environmentálnej politiky. Oceňuje, že návrh nariadenia podporuje využívanie elektronických nástrojov pre výmenu údajov a zverejňovanie informácií pre verejnosť, harmonizuje termíny a ruší podávanie niektorých správ. Tiež oceňuje zvýraznenie potreby previazanosti podávania správ aj na povinnosti podľa smernice Inspire. V doterajších rokovaniach mala SR výraznejšie výhrady k navrhovaným úpravám smernice o environmentálnej zodpovednosti, ktoré presahovali pôsobnosť a účel smernice, a k výraznému skráteniu termínu na predkladanie údajov podľa nariadenia o E-PRTR.</w:t>
            </w: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043D8B">
            <w:pPr>
              <w:rPr>
                <w:rFonts w:ascii="Times New Roman" w:hAnsi="Times New Roman"/>
                <w:sz w:val="20"/>
              </w:rPr>
            </w:pPr>
            <w:r w:rsidRPr="00744D77">
              <w:rPr>
                <w:rFonts w:ascii="Times New Roman" w:hAnsi="Times New Roman"/>
                <w:sz w:val="20"/>
              </w:rPr>
              <w:t>4.</w:t>
            </w: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043D8B">
            <w:pPr>
              <w:ind w:left="1"/>
            </w:pPr>
            <w:r>
              <w:rPr>
                <w:rFonts w:ascii="Times New Roman" w:hAnsi="Times New Roman"/>
                <w:sz w:val="20"/>
              </w:rPr>
              <w:t xml:space="preserve">Požiadavky na prístupnosť výrobkov a služieb </w:t>
            </w:r>
          </w:p>
        </w:tc>
        <w:tc>
          <w:tcPr>
            <w:tcW w:w="4819" w:type="dxa"/>
            <w:tcBorders>
              <w:top w:val="single" w:sz="4" w:space="0" w:color="000000"/>
              <w:left w:val="single" w:sz="4" w:space="0" w:color="000000"/>
              <w:bottom w:val="single" w:sz="4" w:space="0" w:color="000000"/>
              <w:right w:val="single" w:sz="4" w:space="0" w:color="000000"/>
            </w:tcBorders>
          </w:tcPr>
          <w:p w:rsidR="00043D8B" w:rsidRDefault="00043D8B" w:rsidP="00DE5F5C">
            <w:pPr>
              <w:ind w:left="1"/>
            </w:pPr>
            <w:r>
              <w:rPr>
                <w:rFonts w:ascii="Times New Roman" w:hAnsi="Times New Roman"/>
                <w:sz w:val="20"/>
              </w:rPr>
              <w:t xml:space="preserve">Návrh SMERNICE EURÓPSKEHO PARLAMENTU A RADY o aproximácii zákonov, iných právnych predpisov a správnych opatrení členských štátov, pokiaľ ide o požiadavky na prístupnosť výrobkov a služieb* COM(2015)615 final 2015/0278 (COD)  2. 12. 2015 </w:t>
            </w:r>
          </w:p>
        </w:tc>
        <w:tc>
          <w:tcPr>
            <w:tcW w:w="1418" w:type="dxa"/>
            <w:tcBorders>
              <w:top w:val="single" w:sz="4" w:space="0" w:color="000000"/>
              <w:left w:val="single" w:sz="4" w:space="0" w:color="000000"/>
              <w:bottom w:val="single" w:sz="4" w:space="0" w:color="000000"/>
              <w:right w:val="single" w:sz="4" w:space="0" w:color="000000"/>
            </w:tcBorders>
          </w:tcPr>
          <w:p w:rsidR="00043D8B" w:rsidRDefault="00043D8B" w:rsidP="001129C1">
            <w:pPr>
              <w:spacing w:after="0"/>
              <w:ind w:left="4" w:right="49"/>
              <w:jc w:val="both"/>
              <w:rPr>
                <w:rFonts w:ascii="Times New Roman" w:hAnsi="Times New Roman"/>
                <w:b/>
                <w:sz w:val="20"/>
              </w:rPr>
            </w:pPr>
            <w:r>
              <w:rPr>
                <w:rFonts w:ascii="Times New Roman" w:hAnsi="Times New Roman"/>
                <w:b/>
                <w:sz w:val="20"/>
              </w:rPr>
              <w:t>MPSVaR SR</w:t>
            </w:r>
          </w:p>
          <w:p w:rsidR="00043D8B" w:rsidRPr="006D7BA5" w:rsidRDefault="00043D8B" w:rsidP="001129C1">
            <w:pPr>
              <w:spacing w:after="0"/>
              <w:ind w:left="4" w:right="49"/>
              <w:jc w:val="both"/>
              <w:rPr>
                <w:rFonts w:ascii="Times New Roman" w:hAnsi="Times New Roman"/>
                <w:b/>
                <w:sz w:val="20"/>
              </w:rPr>
            </w:pPr>
            <w:r w:rsidRPr="006D7BA5">
              <w:rPr>
                <w:rFonts w:ascii="Times New Roman" w:hAnsi="Times New Roman"/>
                <w:b/>
                <w:sz w:val="20"/>
              </w:rPr>
              <w:t>MH SR</w:t>
            </w:r>
          </w:p>
        </w:tc>
        <w:tc>
          <w:tcPr>
            <w:tcW w:w="5386" w:type="dxa"/>
            <w:tcBorders>
              <w:top w:val="single" w:sz="4" w:space="0" w:color="000000"/>
              <w:left w:val="single" w:sz="4" w:space="0" w:color="000000"/>
              <w:bottom w:val="single" w:sz="4" w:space="0" w:color="000000"/>
              <w:right w:val="single" w:sz="4" w:space="0" w:color="000000"/>
            </w:tcBorders>
          </w:tcPr>
          <w:p w:rsidR="005B0F9A" w:rsidRPr="005B0F9A" w:rsidRDefault="005B0F9A" w:rsidP="005B0F9A">
            <w:pPr>
              <w:spacing w:after="0"/>
              <w:ind w:left="6" w:right="51"/>
              <w:jc w:val="both"/>
              <w:rPr>
                <w:rFonts w:ascii="Times New Roman" w:hAnsi="Times New Roman"/>
                <w:b/>
                <w:sz w:val="20"/>
                <w:u w:val="single"/>
              </w:rPr>
            </w:pPr>
            <w:r w:rsidRPr="005B0F9A">
              <w:rPr>
                <w:rFonts w:ascii="Times New Roman" w:hAnsi="Times New Roman"/>
                <w:b/>
                <w:sz w:val="20"/>
                <w:u w:val="single"/>
              </w:rPr>
              <w:t>Vysoká priorita</w:t>
            </w:r>
          </w:p>
          <w:p w:rsidR="00043D8B" w:rsidRDefault="00043D8B" w:rsidP="00043D8B">
            <w:pPr>
              <w:ind w:left="4" w:right="49"/>
              <w:jc w:val="both"/>
              <w:rPr>
                <w:rFonts w:ascii="Times New Roman" w:hAnsi="Times New Roman"/>
                <w:sz w:val="20"/>
              </w:rPr>
            </w:pPr>
            <w:r>
              <w:rPr>
                <w:rFonts w:ascii="Times New Roman" w:hAnsi="Times New Roman"/>
                <w:sz w:val="20"/>
              </w:rPr>
              <w:t>Rokovania s EP boli úspešne ukončené v decembri 2018.</w:t>
            </w: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Default="00043D8B" w:rsidP="00043D8B">
            <w:r w:rsidRPr="00744D77">
              <w:rPr>
                <w:rFonts w:ascii="Times New Roman" w:hAnsi="Times New Roman"/>
                <w:sz w:val="20"/>
              </w:rPr>
              <w:t>5.</w:t>
            </w: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043D8B">
            <w:pPr>
              <w:ind w:left="1"/>
            </w:pPr>
            <w:r>
              <w:rPr>
                <w:rFonts w:ascii="Times New Roman" w:hAnsi="Times New Roman"/>
                <w:sz w:val="20"/>
              </w:rPr>
              <w:t>Viacročný finančný rámec</w:t>
            </w:r>
            <w:r>
              <w:rPr>
                <w:rFonts w:ascii="Times New Roman" w:hAnsi="Times New Roman"/>
                <w:color w:val="FF0000"/>
                <w:sz w:val="20"/>
              </w:rPr>
              <w:t xml:space="preserve"> </w:t>
            </w:r>
          </w:p>
        </w:tc>
        <w:tc>
          <w:tcPr>
            <w:tcW w:w="4819" w:type="dxa"/>
            <w:tcBorders>
              <w:top w:val="single" w:sz="4" w:space="0" w:color="000000"/>
              <w:left w:val="single" w:sz="4" w:space="0" w:color="000000"/>
              <w:bottom w:val="single" w:sz="4" w:space="0" w:color="000000"/>
              <w:right w:val="single" w:sz="4" w:space="0" w:color="000000"/>
            </w:tcBorders>
          </w:tcPr>
          <w:p w:rsidR="00043D8B" w:rsidRPr="00744D77" w:rsidRDefault="00043D8B" w:rsidP="00043D8B">
            <w:pPr>
              <w:ind w:left="1"/>
              <w:rPr>
                <w:rFonts w:ascii="Times New Roman" w:hAnsi="Times New Roman"/>
                <w:sz w:val="20"/>
              </w:rPr>
            </w:pPr>
            <w:r>
              <w:rPr>
                <w:rFonts w:ascii="Times New Roman" w:hAnsi="Times New Roman"/>
                <w:sz w:val="20"/>
              </w:rPr>
              <w:t>Návrh NARIADENIA EURÓPSKEHO PARLAMENTU A RADY o zriadení Programu na podporu reforiem COM (2018) 391 final 2018/0213</w:t>
            </w:r>
            <w:r w:rsidRPr="00744D77">
              <w:rPr>
                <w:rFonts w:ascii="Times New Roman" w:hAnsi="Times New Roman"/>
                <w:sz w:val="20"/>
              </w:rPr>
              <w:t xml:space="preserve"> COD 6. 6. 2018</w:t>
            </w:r>
          </w:p>
        </w:tc>
        <w:tc>
          <w:tcPr>
            <w:tcW w:w="1418" w:type="dxa"/>
            <w:tcBorders>
              <w:top w:val="single" w:sz="4" w:space="0" w:color="000000"/>
              <w:left w:val="single" w:sz="4" w:space="0" w:color="000000"/>
              <w:bottom w:val="single" w:sz="4" w:space="0" w:color="000000"/>
              <w:right w:val="single" w:sz="4" w:space="0" w:color="000000"/>
            </w:tcBorders>
          </w:tcPr>
          <w:p w:rsidR="00043D8B" w:rsidRPr="006D7BA5" w:rsidRDefault="00043D8B" w:rsidP="00043D8B">
            <w:pPr>
              <w:ind w:left="4" w:right="49"/>
              <w:jc w:val="both"/>
              <w:rPr>
                <w:rFonts w:ascii="Times New Roman" w:hAnsi="Times New Roman"/>
                <w:b/>
                <w:sz w:val="20"/>
              </w:rPr>
            </w:pPr>
            <w:r w:rsidRPr="006D7BA5">
              <w:rPr>
                <w:rFonts w:ascii="Times New Roman" w:hAnsi="Times New Roman"/>
                <w:b/>
                <w:sz w:val="20"/>
              </w:rPr>
              <w:t>MF SR</w:t>
            </w:r>
          </w:p>
        </w:tc>
        <w:tc>
          <w:tcPr>
            <w:tcW w:w="5386" w:type="dxa"/>
            <w:tcBorders>
              <w:top w:val="single" w:sz="4" w:space="0" w:color="000000"/>
              <w:left w:val="single" w:sz="4" w:space="0" w:color="000000"/>
              <w:bottom w:val="single" w:sz="4" w:space="0" w:color="000000"/>
              <w:right w:val="single" w:sz="4" w:space="0" w:color="000000"/>
            </w:tcBorders>
          </w:tcPr>
          <w:p w:rsidR="00043D8B" w:rsidRPr="00043D8B" w:rsidRDefault="00043D8B" w:rsidP="001129C1">
            <w:pPr>
              <w:spacing w:after="0"/>
              <w:ind w:left="1"/>
              <w:jc w:val="both"/>
              <w:rPr>
                <w:rFonts w:ascii="Times New Roman" w:hAnsi="Times New Roman"/>
                <w:b/>
                <w:sz w:val="20"/>
                <w:u w:val="single"/>
              </w:rPr>
            </w:pPr>
            <w:r w:rsidRPr="00043D8B">
              <w:rPr>
                <w:rFonts w:ascii="Times New Roman" w:hAnsi="Times New Roman"/>
                <w:b/>
                <w:sz w:val="20"/>
                <w:u w:val="single"/>
              </w:rPr>
              <w:t>Vysoká priorita</w:t>
            </w:r>
          </w:p>
          <w:p w:rsidR="00043D8B" w:rsidRPr="00BD72C0" w:rsidRDefault="00043D8B" w:rsidP="001129C1">
            <w:pPr>
              <w:spacing w:after="0"/>
              <w:jc w:val="both"/>
              <w:rPr>
                <w:rFonts w:ascii="Times New Roman" w:hAnsi="Times New Roman"/>
                <w:sz w:val="20"/>
              </w:rPr>
            </w:pPr>
            <w:r w:rsidRPr="00BD72C0">
              <w:rPr>
                <w:rFonts w:ascii="Times New Roman" w:hAnsi="Times New Roman"/>
                <w:sz w:val="20"/>
              </w:rPr>
              <w:t>Slovenská republika vo všeobecnosti víta návrh Komisie (EK) o zriadení Programu na podporu reforiem, ktorý by mal pozostávať z troch oddelených, no vzájomne sa dopĺňajúcich nástrojov. Realizácia štrukturálnych reforiem je nevyhnutnou súčasťou efektívneho fungovania hospodárskej a menovej únie. Navrhovaný nástroj na realizáciu reforiem môže napomôcť väčšej miere implementácie potrebných reforiem v súlade s prioritami identifikovanými v rámci Európskeho semestra. Slovenská republika víta princíp dobrovoľnosti navrhovaného nástroja na realizáciu reforiem, ktorý podnieti ČŠ aby sami navrhovali a implementovali komplexné súbory reforiem. Slovenská republika súhlasí s metodológiou stanovenia maximálneho finančného príspevku pre ČŠ na báze počtu obyvateľov každého ČŠ. Slovenská republika bude v rámci nadchádzajúcich rokovaní obhajovať čo najmenšiu administratívnu záťaž a transparentné vyhodnocovacie kritéria. Slovenská republika podporuje vznik nástroja technickej podpory, ktorý bude založený na už existujúcom programe na podporu štrukturálnych reforiem (SRSP). Slovensko má s programom SRSP pozitívne skúsenosti, aktívne spolupracuje s EK a oceňuje flexibilitu a nízku administratívnu záťaž. SR sa v rámci SRSP aktívne zapája a viacero projektov financovaných z predmetného programu je už realizovaných. Nástroj technickej podpory môže aktívne dopĺňať nástroj na realizáciu reforiem, a to z technického a administratívneho hľadiska. Reflektuje tiež na jednu z najvýraznejších prekážok v implementácii, a to chýbajúce inštitucionálne a administratívne kapacity.</w:t>
            </w:r>
            <w:r>
              <w:rPr>
                <w:rFonts w:ascii="Times New Roman" w:hAnsi="Times New Roman"/>
                <w:sz w:val="20"/>
              </w:rPr>
              <w:t xml:space="preserve"> </w:t>
            </w:r>
            <w:r w:rsidRPr="00BD72C0">
              <w:rPr>
                <w:rFonts w:ascii="Times New Roman" w:hAnsi="Times New Roman"/>
                <w:sz w:val="20"/>
              </w:rPr>
              <w:t xml:space="preserve">Slovenská republika sa k návrhu na vznik nástroja konvergencie stavia skôr skepticky, keďže samotné výhody plynúce zo vstupu do eurozóny by mali byť dostatočnou motiváciou na vstup. Keďže konvergenčný nástroj neprináša dodatočnú pridanú hodnotu okrem dodatočných finančných zdrojov, hrozí riziko duplicity s nástrojom na realizáciu reforiem. Pozitívom je možná realokácia nevyužitých zdrojov do nástroja pre realizáciu reforiem. </w:t>
            </w:r>
          </w:p>
        </w:tc>
      </w:tr>
      <w:tr w:rsidR="00043D8B" w:rsidTr="00B1660F">
        <w:trPr>
          <w:trHeight w:val="74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r>
              <w:rPr>
                <w:rFonts w:ascii="Times New Roman" w:hAnsi="Times New Roman"/>
                <w:sz w:val="20"/>
              </w:rPr>
              <w:t>Návrh NARIADENIA EURÓPSKEHO PARLAMENTU A RADY, ktorým sa zriaďuje Program InvestEU</w:t>
            </w:r>
          </w:p>
          <w:p w:rsidR="00043D8B" w:rsidRDefault="00043D8B" w:rsidP="00833647">
            <w:pPr>
              <w:spacing w:after="0"/>
              <w:ind w:left="1"/>
            </w:pPr>
            <w:r>
              <w:rPr>
                <w:rFonts w:ascii="Times New Roman" w:hAnsi="Times New Roman"/>
                <w:sz w:val="20"/>
              </w:rPr>
              <w:t xml:space="preserve">COM (2018)439 final </w:t>
            </w:r>
          </w:p>
          <w:p w:rsidR="00043D8B" w:rsidRDefault="00043D8B" w:rsidP="00833647">
            <w:pPr>
              <w:spacing w:after="0"/>
              <w:ind w:left="1"/>
            </w:pPr>
            <w:r>
              <w:rPr>
                <w:rFonts w:ascii="Times New Roman" w:hAnsi="Times New Roman"/>
                <w:sz w:val="20"/>
              </w:rPr>
              <w:t xml:space="preserve">2018/0229 COD </w:t>
            </w:r>
          </w:p>
          <w:p w:rsidR="00043D8B" w:rsidRPr="00744D77" w:rsidRDefault="00043D8B" w:rsidP="00833647">
            <w:pPr>
              <w:spacing w:after="0"/>
              <w:ind w:left="1"/>
              <w:rPr>
                <w:rFonts w:ascii="Times New Roman" w:hAnsi="Times New Roman"/>
                <w:sz w:val="20"/>
              </w:rPr>
            </w:pPr>
            <w:r>
              <w:rPr>
                <w:rFonts w:ascii="Times New Roman" w:hAnsi="Times New Roman"/>
                <w:sz w:val="20"/>
              </w:rPr>
              <w:t xml:space="preserve">6. 6. 2018 </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MF SR</w:t>
            </w:r>
          </w:p>
        </w:tc>
        <w:tc>
          <w:tcPr>
            <w:tcW w:w="5386" w:type="dxa"/>
            <w:tcBorders>
              <w:top w:val="single" w:sz="4" w:space="0" w:color="000000"/>
              <w:left w:val="single" w:sz="4" w:space="0" w:color="000000"/>
              <w:bottom w:val="single" w:sz="4" w:space="0" w:color="000000"/>
              <w:right w:val="single" w:sz="4" w:space="0" w:color="000000"/>
            </w:tcBorders>
          </w:tcPr>
          <w:p w:rsidR="00043D8B" w:rsidRPr="00043D8B" w:rsidRDefault="00043D8B" w:rsidP="00833647">
            <w:pPr>
              <w:spacing w:after="0"/>
              <w:ind w:left="1"/>
              <w:rPr>
                <w:rFonts w:ascii="Times New Roman" w:hAnsi="Times New Roman"/>
                <w:b/>
                <w:sz w:val="20"/>
                <w:u w:val="single"/>
              </w:rPr>
            </w:pPr>
            <w:r w:rsidRPr="00043D8B">
              <w:rPr>
                <w:rFonts w:ascii="Times New Roman" w:hAnsi="Times New Roman"/>
                <w:b/>
                <w:sz w:val="20"/>
                <w:u w:val="single"/>
              </w:rPr>
              <w:t>Vysoká priorita</w:t>
            </w:r>
          </w:p>
          <w:p w:rsidR="00043D8B" w:rsidRPr="00043D8B" w:rsidRDefault="00043D8B" w:rsidP="00833647">
            <w:pPr>
              <w:spacing w:after="0"/>
              <w:jc w:val="both"/>
              <w:rPr>
                <w:rFonts w:ascii="Times New Roman" w:hAnsi="Times New Roman"/>
                <w:sz w:val="20"/>
              </w:rPr>
            </w:pPr>
            <w:r w:rsidRPr="00043D8B">
              <w:rPr>
                <w:rFonts w:ascii="Times New Roman" w:hAnsi="Times New Roman"/>
                <w:sz w:val="20"/>
              </w:rPr>
              <w:t xml:space="preserve">Návrh v štádiu negociácií členských štátov a EK. Návrh predstavuje zjednodušenie centrálne riadených finančných nástrojov a ich zlúčenie do jedného programu s jednotným systémom pravidiel. Tento prístup umožňuje zefektívnenie riadenia, nakoľko už nebude potrebný osobitný tím v rámci EK pre každý finančný nástroj. Zároveň umožňuje lepšiu koordináciu medzi centrálne riadenými finančnými nástrojmi a dosahovanie synergií. Pre SK je kľúčové, aby bola zachovaná doplnkovosť Programu InvestEU a nedochádzalo ku konkurencii s finančnými nástrojmi na národnej úrovni. </w:t>
            </w: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Pr="00DE5F5C" w:rsidRDefault="00043D8B" w:rsidP="00DE5F5C">
            <w:pPr>
              <w:spacing w:after="0"/>
              <w:ind w:left="1"/>
              <w:jc w:val="both"/>
              <w:rPr>
                <w:rFonts w:ascii="Times New Roman" w:hAnsi="Times New Roman"/>
                <w:sz w:val="20"/>
              </w:rPr>
            </w:pPr>
            <w:r>
              <w:rPr>
                <w:rFonts w:ascii="Times New Roman" w:hAnsi="Times New Roman"/>
                <w:sz w:val="20"/>
              </w:rPr>
              <w:t>Návrh NARIADENIA RADY, ktorým sa stanovujú vykonávacie opatrenia týkajúce sa systému vl</w:t>
            </w:r>
            <w:r w:rsidR="00DE5F5C">
              <w:rPr>
                <w:rFonts w:ascii="Times New Roman" w:hAnsi="Times New Roman"/>
                <w:sz w:val="20"/>
              </w:rPr>
              <w:t xml:space="preserve">astných zdrojov Európskej únie </w:t>
            </w:r>
            <w:r>
              <w:rPr>
                <w:rFonts w:ascii="Times New Roman" w:hAnsi="Times New Roman"/>
                <w:sz w:val="20"/>
              </w:rPr>
              <w:t>COM (2018) 327 final 2018/0132 (APP)  2. 5. 2018</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MF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MZVEZ SR</w:t>
            </w:r>
          </w:p>
        </w:tc>
        <w:tc>
          <w:tcPr>
            <w:tcW w:w="5386" w:type="dxa"/>
            <w:tcBorders>
              <w:top w:val="single" w:sz="4" w:space="0" w:color="000000"/>
              <w:left w:val="single" w:sz="4" w:space="0" w:color="000000"/>
              <w:bottom w:val="single" w:sz="4" w:space="0" w:color="000000"/>
              <w:right w:val="single" w:sz="4" w:space="0" w:color="000000"/>
            </w:tcBorders>
          </w:tcPr>
          <w:p w:rsidR="00043D8B" w:rsidRPr="00DF24B2" w:rsidRDefault="00043D8B" w:rsidP="00833647">
            <w:pPr>
              <w:spacing w:after="0"/>
              <w:ind w:left="4" w:right="49"/>
              <w:jc w:val="both"/>
              <w:rPr>
                <w:rFonts w:ascii="Times New Roman" w:hAnsi="Times New Roman"/>
                <w:b/>
                <w:sz w:val="20"/>
                <w:u w:val="single"/>
              </w:rPr>
            </w:pPr>
            <w:r w:rsidRPr="00DF24B2">
              <w:rPr>
                <w:rFonts w:ascii="Times New Roman" w:hAnsi="Times New Roman"/>
                <w:b/>
                <w:sz w:val="20"/>
                <w:u w:val="single"/>
              </w:rPr>
              <w:t xml:space="preserve">Vysoká priorita </w:t>
            </w:r>
          </w:p>
          <w:p w:rsidR="00043D8B" w:rsidRPr="00BD72C0" w:rsidRDefault="00043D8B" w:rsidP="00833647">
            <w:pPr>
              <w:spacing w:after="0"/>
              <w:ind w:left="4" w:right="49"/>
              <w:jc w:val="both"/>
              <w:rPr>
                <w:rFonts w:ascii="Times New Roman" w:hAnsi="Times New Roman"/>
                <w:sz w:val="20"/>
              </w:rPr>
            </w:pPr>
            <w:r w:rsidRPr="00BD72C0">
              <w:rPr>
                <w:rFonts w:ascii="Times New Roman" w:hAnsi="Times New Roman"/>
                <w:sz w:val="20"/>
              </w:rPr>
              <w:t>MF SR upozorňuje na fakt, že v rámci rozhodnutia o vlastných zdrojoch, ktoré podlieha jednomyseľnosti a ratifikácii národnými parlamentmi, navrhuje EK stanoviť iba maximálne sadzby vlastných zdrojov a ich reálne miery navrhuje stanoviť v  návrhu implementačného nariadenia, ktorého schválenie podlieha iba kvalifikovanej väčšine. Do budúcnosti by tak mohlo byť jednoduchšie zvýšiť / znížiť jednotlivé sadzby vlastných zdrojov EÚ , čo by mohlo mať negatívny (ale aj pozitívny) efekt na verejné financie SR.</w:t>
            </w: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Default="00043D8B" w:rsidP="00DE5F5C">
            <w:pPr>
              <w:spacing w:after="0"/>
              <w:ind w:left="1"/>
            </w:pPr>
            <w:r>
              <w:rPr>
                <w:rFonts w:ascii="Times New Roman" w:hAnsi="Times New Roman"/>
                <w:sz w:val="20"/>
              </w:rPr>
              <w:t xml:space="preserve">Návrh ROZHODNUTIA RADY o systéme vlastných zdrojov Európskej únie COM (2018) 325 final </w:t>
            </w:r>
            <w:r>
              <w:t xml:space="preserve"> </w:t>
            </w:r>
            <w:r>
              <w:rPr>
                <w:rFonts w:ascii="Times New Roman" w:hAnsi="Times New Roman"/>
                <w:sz w:val="20"/>
              </w:rPr>
              <w:t>2018/0135 (CNS) 2. 5. 2018</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MF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MZVEZ SR</w:t>
            </w:r>
          </w:p>
        </w:tc>
        <w:tc>
          <w:tcPr>
            <w:tcW w:w="5386" w:type="dxa"/>
            <w:tcBorders>
              <w:top w:val="single" w:sz="4" w:space="0" w:color="000000"/>
              <w:left w:val="single" w:sz="4" w:space="0" w:color="000000"/>
              <w:bottom w:val="single" w:sz="4" w:space="0" w:color="000000"/>
              <w:right w:val="single" w:sz="4" w:space="0" w:color="000000"/>
            </w:tcBorders>
          </w:tcPr>
          <w:p w:rsidR="00043D8B" w:rsidRPr="00DF24B2" w:rsidRDefault="00043D8B" w:rsidP="00833647">
            <w:pPr>
              <w:spacing w:after="0"/>
              <w:ind w:right="49"/>
              <w:jc w:val="both"/>
              <w:rPr>
                <w:rFonts w:ascii="Times New Roman" w:hAnsi="Times New Roman"/>
                <w:b/>
                <w:sz w:val="20"/>
                <w:u w:val="single"/>
              </w:rPr>
            </w:pPr>
            <w:r w:rsidRPr="00DF24B2">
              <w:rPr>
                <w:rFonts w:ascii="Times New Roman" w:hAnsi="Times New Roman"/>
                <w:b/>
                <w:sz w:val="20"/>
                <w:u w:val="single"/>
              </w:rPr>
              <w:t>Vysoká priorita</w:t>
            </w:r>
          </w:p>
          <w:p w:rsidR="00043D8B" w:rsidRPr="00BD72C0" w:rsidRDefault="00043D8B" w:rsidP="00833647">
            <w:pPr>
              <w:spacing w:after="0"/>
              <w:ind w:left="4" w:right="49"/>
              <w:jc w:val="both"/>
              <w:rPr>
                <w:rFonts w:ascii="Times New Roman" w:hAnsi="Times New Roman"/>
                <w:sz w:val="20"/>
              </w:rPr>
            </w:pPr>
            <w:r w:rsidRPr="00BD72C0">
              <w:rPr>
                <w:rFonts w:ascii="Times New Roman" w:hAnsi="Times New Roman"/>
                <w:sz w:val="20"/>
              </w:rPr>
              <w:t>MF SR v ďalších rokovaniach odporúča sústrediť sa na zrušenie rabatov, alebo ich zachovanie maximálne na úrovni navrhnutej EK. Absolútny objem nových vlastných zdrojov nie až taký markantný, a preto aj väčší podiel SR na ich výbere nemá veľký vplyv na celkový príspevok SR do rozpočtu EÚ. V celkovom kontexte rokovaní o VFR 21-27 by za istých okolností (napr. zachovanie čo najvyššieho objemu prostriedkov a vyrokovanie výhodných podmienok čerpania pre politiku súdržnosti a spoločnú poľnohospodársku politiku oproti VFR 2014-20, resp. zrušenie rabatov) SR vedela podporiť zavedenie nových vlastných zdrojov rozpočtu EÚ.</w:t>
            </w:r>
          </w:p>
          <w:p w:rsidR="00043D8B" w:rsidRPr="00BD72C0" w:rsidRDefault="00043D8B" w:rsidP="00833647">
            <w:pPr>
              <w:spacing w:after="0"/>
              <w:ind w:left="4" w:right="49"/>
              <w:jc w:val="both"/>
              <w:rPr>
                <w:rFonts w:ascii="Times New Roman" w:hAnsi="Times New Roman"/>
                <w:sz w:val="20"/>
              </w:rPr>
            </w:pPr>
            <w:r w:rsidRPr="00BD72C0">
              <w:rPr>
                <w:rFonts w:ascii="Times New Roman" w:hAnsi="Times New Roman"/>
                <w:sz w:val="20"/>
              </w:rPr>
              <w:t xml:space="preserve">Spomedzi „environmentálnych daní“ SR vie podporiť príspevok ČŠ na základe množstva odpadu z nerecyklovaných plastových obalov, SR by ale preferovala, keby toto bremeno bolo prenesené na výrobcov obalov. Taktiež je potrebné zabezpečiť riadne vykazovanie podkladových dát. </w:t>
            </w:r>
          </w:p>
          <w:p w:rsidR="00043D8B" w:rsidRPr="00BD72C0" w:rsidRDefault="00043D8B" w:rsidP="00833647">
            <w:pPr>
              <w:spacing w:after="0"/>
              <w:ind w:left="4" w:right="49"/>
              <w:jc w:val="both"/>
              <w:rPr>
                <w:rFonts w:ascii="Times New Roman" w:hAnsi="Times New Roman"/>
                <w:sz w:val="20"/>
              </w:rPr>
            </w:pPr>
            <w:r w:rsidRPr="00BD72C0">
              <w:rPr>
                <w:rFonts w:ascii="Times New Roman" w:hAnsi="Times New Roman"/>
                <w:sz w:val="20"/>
              </w:rPr>
              <w:t>Presmerovanie časti výnosov z ETS do rozpočtu EÚ nemá motivačný charakter a navyše príjmy z tohto zdroja nie sú stabilné a predvídateľné (vysoká volatilita ceny emisných povoleniek). Napriek tomu vie SR taktiež za istých okolností podporiť zavedenie tohto nového vlastného zdroja.</w:t>
            </w:r>
          </w:p>
          <w:p w:rsidR="00043D8B" w:rsidRPr="00BD72C0" w:rsidRDefault="00043D8B" w:rsidP="00833647">
            <w:pPr>
              <w:spacing w:after="0"/>
              <w:ind w:left="4" w:right="49"/>
              <w:jc w:val="both"/>
              <w:rPr>
                <w:rFonts w:ascii="Times New Roman" w:hAnsi="Times New Roman"/>
                <w:sz w:val="20"/>
              </w:rPr>
            </w:pPr>
            <w:r w:rsidRPr="00BD72C0">
              <w:rPr>
                <w:rFonts w:ascii="Times New Roman" w:hAnsi="Times New Roman"/>
                <w:sz w:val="20"/>
              </w:rPr>
              <w:t xml:space="preserve">Vzhľadom na stav rokovaní k CCCTB je MFSR čiastočne skeptické k časovému harmonogramu a celkovej realizovateľnosti prepojenia CCCTB na rozpočet EÚ. </w:t>
            </w:r>
          </w:p>
          <w:p w:rsidR="00043D8B" w:rsidRPr="00BD72C0" w:rsidRDefault="00043D8B" w:rsidP="00833647">
            <w:pPr>
              <w:spacing w:after="0"/>
              <w:ind w:left="4" w:right="49"/>
              <w:jc w:val="both"/>
              <w:rPr>
                <w:rFonts w:ascii="Times New Roman" w:hAnsi="Times New Roman"/>
                <w:sz w:val="20"/>
              </w:rPr>
            </w:pPr>
            <w:r w:rsidRPr="00BD72C0">
              <w:rPr>
                <w:rFonts w:ascii="Times New Roman" w:hAnsi="Times New Roman"/>
                <w:sz w:val="20"/>
              </w:rPr>
              <w:t>SR dlhodobo zastáva pozíciu, že jadrom vlastných zdrojov rozpočtu EÚ by mali byť príspevky ČŠ založené na výbere cla a HND, pričom SR podporuje zníženie nákladov na výber cla (resp. ich návrat na pôvodnú úroveň 10%).</w:t>
            </w:r>
          </w:p>
          <w:p w:rsidR="00043D8B" w:rsidRPr="00BD72C0" w:rsidRDefault="00043D8B" w:rsidP="00833647">
            <w:pPr>
              <w:spacing w:after="0"/>
              <w:ind w:left="4" w:right="49"/>
              <w:jc w:val="both"/>
              <w:rPr>
                <w:rFonts w:ascii="Times New Roman" w:hAnsi="Times New Roman"/>
                <w:sz w:val="20"/>
              </w:rPr>
            </w:pPr>
            <w:r w:rsidRPr="00BD72C0">
              <w:rPr>
                <w:rFonts w:ascii="Times New Roman" w:hAnsi="Times New Roman"/>
                <w:sz w:val="20"/>
              </w:rPr>
              <w:t>Zjednodušenie zdroja založenom na DPH by síce prinieslo zníženie administratívnej záťaže pre ČŠ, jeho prevedenie ale nepovažujeme za férové a preto navrhujeme pokračovanie tohto zdroja v súčasnej podobe alebo jeho úplné zrušenie.</w:t>
            </w: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Default="00043D8B" w:rsidP="00632382">
            <w:pPr>
              <w:spacing w:after="0"/>
              <w:ind w:left="1"/>
              <w:jc w:val="both"/>
            </w:pPr>
            <w:r>
              <w:rPr>
                <w:rFonts w:ascii="Times New Roman" w:hAnsi="Times New Roman"/>
                <w:sz w:val="20"/>
              </w:rPr>
              <w:t xml:space="preserve">Návrh NARIADENIA RADY, ktorým sa mení nariadenie (EHS, Euratom) č. 1553/89 o konečných jednotných dohodách o vyberaní vlastných zdrojov pochádzajúcich z dane z pridanej hodnoty COM (2018) 328 final </w:t>
            </w:r>
          </w:p>
          <w:p w:rsidR="00043D8B" w:rsidRDefault="00043D8B" w:rsidP="00632382">
            <w:pPr>
              <w:spacing w:after="0"/>
              <w:ind w:left="1"/>
              <w:jc w:val="both"/>
            </w:pPr>
            <w:r>
              <w:rPr>
                <w:rFonts w:ascii="Times New Roman" w:hAnsi="Times New Roman"/>
                <w:sz w:val="20"/>
              </w:rPr>
              <w:t>2018/0133 (NLE) 2. 5. 2018</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MF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MZVEZ SR</w:t>
            </w:r>
          </w:p>
        </w:tc>
        <w:tc>
          <w:tcPr>
            <w:tcW w:w="5386" w:type="dxa"/>
            <w:tcBorders>
              <w:top w:val="single" w:sz="4" w:space="0" w:color="000000"/>
              <w:left w:val="single" w:sz="4" w:space="0" w:color="000000"/>
              <w:bottom w:val="single" w:sz="4" w:space="0" w:color="000000"/>
              <w:right w:val="single" w:sz="4" w:space="0" w:color="000000"/>
            </w:tcBorders>
          </w:tcPr>
          <w:p w:rsidR="00043D8B" w:rsidRPr="00DF24B2" w:rsidRDefault="00043D8B" w:rsidP="00833647">
            <w:pPr>
              <w:spacing w:after="0"/>
              <w:ind w:right="49"/>
              <w:jc w:val="both"/>
              <w:rPr>
                <w:rFonts w:ascii="Times New Roman" w:hAnsi="Times New Roman"/>
                <w:b/>
                <w:sz w:val="20"/>
                <w:u w:val="single"/>
              </w:rPr>
            </w:pPr>
            <w:r w:rsidRPr="00DF24B2">
              <w:rPr>
                <w:rFonts w:ascii="Times New Roman" w:hAnsi="Times New Roman"/>
                <w:b/>
                <w:sz w:val="20"/>
                <w:u w:val="single"/>
              </w:rPr>
              <w:t>Vysoká priorita</w:t>
            </w:r>
          </w:p>
          <w:p w:rsidR="00043D8B" w:rsidRPr="00BD72C0" w:rsidRDefault="00043D8B" w:rsidP="00833647">
            <w:pPr>
              <w:spacing w:after="0"/>
              <w:ind w:left="4" w:right="49"/>
              <w:jc w:val="both"/>
              <w:rPr>
                <w:rFonts w:ascii="Times New Roman" w:hAnsi="Times New Roman"/>
                <w:sz w:val="20"/>
              </w:rPr>
            </w:pPr>
            <w:r w:rsidRPr="00BD72C0">
              <w:rPr>
                <w:rFonts w:ascii="Times New Roman" w:hAnsi="Times New Roman"/>
                <w:sz w:val="20"/>
              </w:rPr>
              <w:t xml:space="preserve">Návrh EK výrazne znižuje administratívnu náročnosť spojenú s výpočtom príspevkov ČŠ zo zdroja založenom na DPH. Na druhej strane prechodom k uplatňovaniu jednotnej sadby výberu (1%) iba na základ dane prislúchajúci dodaniam, na ktoré sa uplatňuje štandardná sadzba je podľa MF SR porušený princíp férovosti. Návrh EK umelo zvýhodňuje tie ČŠ, ktoré intenzívne uplatňujú možnosť zníženej, resp. nulovej sadzby DPH, pričom SR medzi tieto štáty nepatrí . </w:t>
            </w:r>
          </w:p>
          <w:p w:rsidR="00043D8B" w:rsidRPr="00BD72C0" w:rsidRDefault="00043D8B" w:rsidP="00833647">
            <w:pPr>
              <w:spacing w:after="0"/>
              <w:ind w:left="4" w:right="49"/>
              <w:jc w:val="both"/>
              <w:rPr>
                <w:rFonts w:ascii="Times New Roman" w:hAnsi="Times New Roman"/>
                <w:sz w:val="20"/>
              </w:rPr>
            </w:pPr>
            <w:r w:rsidRPr="00BD72C0">
              <w:rPr>
                <w:rFonts w:ascii="Times New Roman" w:hAnsi="Times New Roman"/>
                <w:sz w:val="20"/>
              </w:rPr>
              <w:t>Táto hypotéza bola potvrdená aj výpočtami MF SR, pri aplikácii nového princípu by SR patrila medzi tie ČŠ, ktoré by sa na zdroji založenom na DPH podieľali viac ako v minulosti (pri tých istých dátach ohľadom čistých príjmov z DPH).</w:t>
            </w:r>
          </w:p>
          <w:p w:rsidR="00043D8B" w:rsidRPr="00BD72C0" w:rsidRDefault="00043D8B" w:rsidP="00833647">
            <w:pPr>
              <w:spacing w:after="0"/>
              <w:ind w:left="4" w:right="49"/>
              <w:jc w:val="both"/>
              <w:rPr>
                <w:rFonts w:ascii="Times New Roman" w:hAnsi="Times New Roman"/>
                <w:sz w:val="20"/>
              </w:rPr>
            </w:pPr>
            <w:r w:rsidRPr="00BD72C0">
              <w:rPr>
                <w:rFonts w:ascii="Times New Roman" w:hAnsi="Times New Roman"/>
                <w:sz w:val="20"/>
              </w:rPr>
              <w:t>Na základe vyššie uvedeného MF SR nepodporuje návrh EK a navrhuje buď pokračovanie platnosti zdroja založenom na DPH pri súčasných podmienkach, alebo jeho úplné zrušenie a nahradenie zdrojom založenom na HND (čo zabezpečí nižšiu administratívnu záťaž pri zachovaní princípu férovosti).</w:t>
            </w: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Pr="00632382" w:rsidRDefault="00043D8B" w:rsidP="00632382">
            <w:pPr>
              <w:spacing w:after="0"/>
              <w:ind w:left="1" w:right="125"/>
              <w:jc w:val="both"/>
              <w:rPr>
                <w:rFonts w:ascii="Times New Roman" w:hAnsi="Times New Roman"/>
                <w:sz w:val="20"/>
              </w:rPr>
            </w:pPr>
            <w:r>
              <w:rPr>
                <w:rFonts w:ascii="Times New Roman" w:hAnsi="Times New Roman"/>
                <w:sz w:val="20"/>
              </w:rPr>
              <w:t>Návrh NARIADENIA RADY o metódach a postupe sprístupňovania vlastných zdrojov založených na spoločnom konsolidovanom základe dane z príjmov právnických osôb, na systéme Európskej únie na obchodovanie s emisiami a na nerecyklovanom odpade z plastových obalov a o opatreniach na zabezpečenie požiadaviek na pokladničnú hotovosť COM (2018) 326 final 2018/0131 (NLE) 2. 5. 2018</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MF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MZVEZ SR</w:t>
            </w:r>
          </w:p>
        </w:tc>
        <w:tc>
          <w:tcPr>
            <w:tcW w:w="5386" w:type="dxa"/>
            <w:tcBorders>
              <w:top w:val="single" w:sz="4" w:space="0" w:color="000000"/>
              <w:left w:val="single" w:sz="4" w:space="0" w:color="000000"/>
              <w:bottom w:val="single" w:sz="4" w:space="0" w:color="000000"/>
              <w:right w:val="single" w:sz="4" w:space="0" w:color="000000"/>
            </w:tcBorders>
          </w:tcPr>
          <w:p w:rsidR="00043D8B" w:rsidRPr="00DF24B2" w:rsidRDefault="00043D8B" w:rsidP="00833647">
            <w:pPr>
              <w:spacing w:after="0"/>
              <w:ind w:right="49"/>
              <w:jc w:val="both"/>
              <w:rPr>
                <w:rFonts w:ascii="Times New Roman" w:hAnsi="Times New Roman"/>
                <w:b/>
                <w:sz w:val="20"/>
                <w:u w:val="single"/>
              </w:rPr>
            </w:pPr>
            <w:r w:rsidRPr="00DF24B2">
              <w:rPr>
                <w:rFonts w:ascii="Times New Roman" w:hAnsi="Times New Roman"/>
                <w:b/>
                <w:sz w:val="20"/>
                <w:u w:val="single"/>
              </w:rPr>
              <w:t>Vysoká priorita</w:t>
            </w:r>
          </w:p>
          <w:p w:rsidR="00043D8B" w:rsidRPr="00BD72C0" w:rsidRDefault="00043D8B" w:rsidP="00833647">
            <w:pPr>
              <w:spacing w:after="0"/>
              <w:ind w:left="4" w:right="49"/>
              <w:jc w:val="both"/>
              <w:rPr>
                <w:rFonts w:ascii="Times New Roman" w:hAnsi="Times New Roman"/>
                <w:sz w:val="20"/>
              </w:rPr>
            </w:pPr>
            <w:r w:rsidRPr="00BD72C0">
              <w:rPr>
                <w:rFonts w:ascii="Times New Roman" w:hAnsi="Times New Roman"/>
                <w:sz w:val="20"/>
              </w:rPr>
              <w:t xml:space="preserve">Spomedzi legislatívneho balíka k vlastným zdrojom je tento návrh najmenej kontroverzný, keďže poväčšine iba preberá ustanovenia z platného nariadenia č. 609/2014. Otázne je, či by nebolo lepšie aktualizovať nariadenie č. 609/2014 ako navrhnúť nové nariadenie, ktoré sa taktiež zaoberá metódami a sprístupňovaním vlastných zdrojov. </w:t>
            </w:r>
          </w:p>
          <w:p w:rsidR="00043D8B" w:rsidRPr="00BD72C0" w:rsidRDefault="00043D8B" w:rsidP="00833647">
            <w:pPr>
              <w:spacing w:after="0"/>
              <w:ind w:left="4" w:right="49"/>
              <w:jc w:val="both"/>
              <w:rPr>
                <w:rFonts w:ascii="Times New Roman" w:hAnsi="Times New Roman"/>
                <w:sz w:val="20"/>
              </w:rPr>
            </w:pPr>
            <w:r w:rsidRPr="00BD72C0">
              <w:rPr>
                <w:rFonts w:ascii="Times New Roman" w:hAnsi="Times New Roman"/>
                <w:sz w:val="20"/>
              </w:rPr>
              <w:t>Definitívna pozícia SR bude závisieť aj od vývoja rokovaní v ostatných častiach balíka o vlastných zdrojoch resp. VFR 2021 – 2027.</w:t>
            </w: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Default="00043D8B" w:rsidP="00632382">
            <w:pPr>
              <w:spacing w:after="0"/>
              <w:ind w:left="1"/>
              <w:jc w:val="both"/>
              <w:rPr>
                <w:rFonts w:ascii="Times New Roman" w:hAnsi="Times New Roman"/>
                <w:sz w:val="20"/>
              </w:rPr>
            </w:pPr>
            <w:r>
              <w:rPr>
                <w:rFonts w:ascii="Times New Roman" w:hAnsi="Times New Roman"/>
                <w:sz w:val="20"/>
              </w:rPr>
              <w:t xml:space="preserve"> Návrh NARIADENIA RADY, ktorým sa stanovuje viacročný finančný rámec na roky 2021 až 2027 </w:t>
            </w:r>
          </w:p>
          <w:p w:rsidR="00043D8B" w:rsidRDefault="00043D8B" w:rsidP="00632382">
            <w:pPr>
              <w:spacing w:after="0"/>
              <w:ind w:left="1"/>
              <w:jc w:val="both"/>
            </w:pPr>
            <w:r>
              <w:rPr>
                <w:rFonts w:ascii="Times New Roman" w:hAnsi="Times New Roman"/>
                <w:sz w:val="20"/>
              </w:rPr>
              <w:t xml:space="preserve">COM (2018) 322 final 2018/0132 (APP)  2. 5. 2018  </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MZVEZ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MF SR</w:t>
            </w:r>
          </w:p>
        </w:tc>
        <w:tc>
          <w:tcPr>
            <w:tcW w:w="5386" w:type="dxa"/>
            <w:tcBorders>
              <w:top w:val="single" w:sz="4" w:space="0" w:color="000000"/>
              <w:left w:val="single" w:sz="4" w:space="0" w:color="000000"/>
              <w:bottom w:val="single" w:sz="4" w:space="0" w:color="000000"/>
              <w:right w:val="single" w:sz="4" w:space="0" w:color="000000"/>
            </w:tcBorders>
          </w:tcPr>
          <w:p w:rsidR="00043D8B" w:rsidRPr="00043D8B" w:rsidRDefault="00043D8B" w:rsidP="00833647">
            <w:pPr>
              <w:spacing w:after="0" w:line="240" w:lineRule="auto"/>
              <w:ind w:left="4" w:right="49"/>
              <w:jc w:val="both"/>
              <w:rPr>
                <w:rFonts w:ascii="Times New Roman" w:hAnsi="Times New Roman"/>
                <w:b/>
                <w:bCs/>
                <w:sz w:val="20"/>
                <w:szCs w:val="20"/>
                <w:u w:val="single"/>
              </w:rPr>
            </w:pPr>
            <w:r>
              <w:rPr>
                <w:rFonts w:ascii="Times New Roman" w:hAnsi="Times New Roman"/>
                <w:b/>
                <w:bCs/>
                <w:sz w:val="20"/>
                <w:szCs w:val="20"/>
                <w:u w:val="single"/>
              </w:rPr>
              <w:t>Vysoká priorita</w:t>
            </w:r>
          </w:p>
          <w:p w:rsidR="00043D8B" w:rsidRDefault="00043D8B" w:rsidP="00833647">
            <w:pPr>
              <w:spacing w:after="0"/>
              <w:jc w:val="both"/>
              <w:rPr>
                <w:rFonts w:ascii="Times New Roman" w:hAnsi="Times New Roman"/>
                <w:sz w:val="20"/>
                <w:szCs w:val="20"/>
              </w:rPr>
            </w:pPr>
            <w:r>
              <w:rPr>
                <w:rFonts w:ascii="Times New Roman" w:hAnsi="Times New Roman"/>
                <w:sz w:val="20"/>
                <w:szCs w:val="20"/>
              </w:rPr>
              <w:t>Viacročný finančný rámec (VFR) na roky 2021 – 2027 bude prvým rozpočtovým rámcom pre 27 krajín EÚ po odchode Spojeného kráľovstva Veľkej Británie a Severného Írska z EÚ. Európska komisia (EK) navrhla viacročný rozpočet EÚ na obdobie rokov 2021 – 2027 (záväzky) v objeme  1 279 mld. eur v bežných cenách, čo v stálych cenách roku 2018 znamená 1 134,6 mld. eur. Podľa návrhu EK bude mať rozpočet EÚ k dispozícii 1,114 % HND EÚ27. Záväzky by sa podľa EK mali odraziť vo výške (skutočných) platieb 1 246 mld. eur v bežných cenách, čo je 1,08 % HND EÚ27.</w:t>
            </w:r>
          </w:p>
          <w:p w:rsidR="00043D8B" w:rsidRPr="00BD72C0" w:rsidRDefault="00043D8B" w:rsidP="00833647">
            <w:pPr>
              <w:spacing w:after="0"/>
              <w:ind w:left="4" w:right="49"/>
              <w:jc w:val="both"/>
              <w:rPr>
                <w:rFonts w:ascii="Times New Roman" w:hAnsi="Times New Roman"/>
                <w:sz w:val="20"/>
              </w:rPr>
            </w:pPr>
            <w:r>
              <w:rPr>
                <w:rFonts w:ascii="Times New Roman" w:hAnsi="Times New Roman"/>
                <w:sz w:val="20"/>
                <w:szCs w:val="20"/>
              </w:rPr>
              <w:t>Návrh EK možno hodnotiť ako selektívne ambiciózny v európskom meradle a z pohľadu SR ako mierne nepriaznivý, keďže čistá pozícia SR by sa mala zhoršiť. SR však aj v rámci budúceho 7-ročného obdobia zostane čistým príjemcom prostriedkov z rozpočtu EÚ. SR podporuje ambiciózny rozpočet EÚ, ktorý zabezpečí dostatok zdrojov tak na tradičné politiky, najmä politiku súdržnosti a spoločnú poľnohospodársku politiku, ako aj na nové výzvy, medzi ktoré patrí bezpečnosť, obrana, migrácia či zmena klímy.</w:t>
            </w: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Default="00043D8B" w:rsidP="00632382">
            <w:pPr>
              <w:spacing w:after="0"/>
              <w:ind w:left="1"/>
              <w:jc w:val="both"/>
              <w:rPr>
                <w:rFonts w:ascii="Times New Roman" w:hAnsi="Times New Roman"/>
                <w:sz w:val="20"/>
              </w:rPr>
            </w:pPr>
            <w:r w:rsidRPr="00CB293E">
              <w:rPr>
                <w:rFonts w:ascii="Times New Roman" w:hAnsi="Times New Roman"/>
                <w:sz w:val="20"/>
              </w:rPr>
              <w:t>Návrh NARIADENIA RADY, ktorým sa stanovuje program pomoci na vyraďovanie jadrovej elektrárne Ignalina v Litve z prevádzky (program Ignalina) a ktorým sa zrušuje nariadenie Rady (EÚ) č. 1369/2013 COM (2018) 466 final 2018/0251 (NLE) 13. 6. 2018</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MH SR</w:t>
            </w:r>
          </w:p>
        </w:tc>
        <w:tc>
          <w:tcPr>
            <w:tcW w:w="5386" w:type="dxa"/>
            <w:tcBorders>
              <w:top w:val="single" w:sz="4" w:space="0" w:color="000000"/>
              <w:left w:val="single" w:sz="4" w:space="0" w:color="000000"/>
              <w:bottom w:val="single" w:sz="4" w:space="0" w:color="000000"/>
              <w:right w:val="single" w:sz="4" w:space="0" w:color="000000"/>
            </w:tcBorders>
          </w:tcPr>
          <w:p w:rsidR="00043D8B" w:rsidRPr="007F4ECD" w:rsidRDefault="00043D8B" w:rsidP="00833647">
            <w:pPr>
              <w:spacing w:after="0"/>
              <w:rPr>
                <w:rFonts w:ascii="Times New Roman" w:hAnsi="Times New Roman"/>
                <w:b/>
                <w:sz w:val="20"/>
                <w:u w:val="single"/>
              </w:rPr>
            </w:pPr>
            <w:r w:rsidRPr="007F4ECD">
              <w:rPr>
                <w:rFonts w:ascii="Times New Roman" w:hAnsi="Times New Roman"/>
                <w:b/>
                <w:sz w:val="20"/>
                <w:u w:val="single"/>
              </w:rPr>
              <w:t>Nízka priorita</w:t>
            </w:r>
          </w:p>
          <w:p w:rsidR="00043D8B" w:rsidRPr="00043D8B" w:rsidRDefault="00043D8B" w:rsidP="00833647">
            <w:pPr>
              <w:spacing w:after="0"/>
              <w:rPr>
                <w:rFonts w:ascii="Times New Roman" w:hAnsi="Times New Roman"/>
                <w:color w:val="auto"/>
                <w:sz w:val="24"/>
                <w:szCs w:val="24"/>
              </w:rPr>
            </w:pPr>
            <w:r>
              <w:rPr>
                <w:rFonts w:ascii="Times New Roman" w:hAnsi="Times New Roman"/>
                <w:sz w:val="20"/>
              </w:rPr>
              <w:t>nariadenie sa prioritne netýka SR.</w:t>
            </w:r>
            <w:r w:rsidRPr="00043D8B">
              <w:rPr>
                <w:rFonts w:ascii="Times New Roman" w:hAnsi="Times New Roman"/>
                <w:color w:val="auto"/>
                <w:sz w:val="24"/>
                <w:szCs w:val="24"/>
              </w:rPr>
              <w:t xml:space="preserve"> </w:t>
            </w:r>
          </w:p>
          <w:p w:rsidR="00043D8B" w:rsidRDefault="00043D8B" w:rsidP="00833647">
            <w:pPr>
              <w:spacing w:after="0"/>
              <w:ind w:left="4" w:right="49"/>
              <w:jc w:val="both"/>
              <w:rPr>
                <w:rFonts w:ascii="Times New Roman" w:hAnsi="Times New Roman"/>
                <w:sz w:val="20"/>
              </w:rPr>
            </w:pPr>
          </w:p>
        </w:tc>
      </w:tr>
      <w:tr w:rsidR="00043D8B" w:rsidTr="00B1660F">
        <w:trPr>
          <w:trHeight w:val="2134"/>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Pr="00D15EE0" w:rsidRDefault="00043D8B" w:rsidP="00632382">
            <w:pPr>
              <w:spacing w:after="0"/>
              <w:ind w:left="1"/>
              <w:jc w:val="both"/>
              <w:rPr>
                <w:rFonts w:ascii="Times New Roman" w:hAnsi="Times New Roman"/>
                <w:sz w:val="20"/>
                <w:szCs w:val="20"/>
              </w:rPr>
            </w:pPr>
            <w:r w:rsidRPr="00D15EE0">
              <w:rPr>
                <w:rFonts w:ascii="Times New Roman" w:hAnsi="Times New Roman"/>
                <w:sz w:val="20"/>
                <w:szCs w:val="20"/>
              </w:rPr>
              <w:t>Návrh NARIADENIA RADY, ktorým sa stanovuje účelový program financovania vyraďovania jadrových zariadení z prevádzky a nakladania s rádioaktívnym odpadom a ktorým sa zrušuje nariadenie Rady (Euratom) č. 1368/2013 COM (2018) 467 final 2018/0252 (NLE) 13. 6. 2018</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MH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ÚJD SR</w:t>
            </w:r>
          </w:p>
        </w:tc>
        <w:tc>
          <w:tcPr>
            <w:tcW w:w="5386" w:type="dxa"/>
            <w:tcBorders>
              <w:top w:val="single" w:sz="4" w:space="0" w:color="000000"/>
              <w:left w:val="single" w:sz="4" w:space="0" w:color="000000"/>
              <w:bottom w:val="single" w:sz="4" w:space="0" w:color="000000"/>
              <w:right w:val="single" w:sz="4" w:space="0" w:color="000000"/>
            </w:tcBorders>
          </w:tcPr>
          <w:p w:rsidR="00043D8B" w:rsidRPr="00BD72C0" w:rsidRDefault="00043D8B" w:rsidP="00833647">
            <w:pPr>
              <w:spacing w:after="0" w:line="259" w:lineRule="auto"/>
              <w:jc w:val="both"/>
              <w:rPr>
                <w:rFonts w:ascii="Times New Roman" w:hAnsi="Times New Roman"/>
                <w:b/>
                <w:bCs/>
                <w:sz w:val="20"/>
                <w:szCs w:val="20"/>
                <w:u w:val="single"/>
              </w:rPr>
            </w:pPr>
            <w:r w:rsidRPr="00BD72C0">
              <w:rPr>
                <w:rFonts w:ascii="Times New Roman" w:hAnsi="Times New Roman"/>
                <w:b/>
                <w:bCs/>
                <w:sz w:val="20"/>
                <w:szCs w:val="20"/>
                <w:u w:val="single"/>
              </w:rPr>
              <w:t xml:space="preserve">Vysoká priorita </w:t>
            </w:r>
          </w:p>
          <w:p w:rsidR="00043D8B" w:rsidRPr="00043D8B" w:rsidRDefault="00043D8B" w:rsidP="00833647">
            <w:pPr>
              <w:spacing w:after="0"/>
              <w:jc w:val="both"/>
              <w:rPr>
                <w:rFonts w:ascii="Times New Roman" w:hAnsi="Times New Roman"/>
                <w:color w:val="auto"/>
                <w:sz w:val="24"/>
                <w:szCs w:val="24"/>
              </w:rPr>
            </w:pPr>
            <w:r>
              <w:rPr>
                <w:rFonts w:ascii="Times New Roman" w:hAnsi="Times New Roman"/>
                <w:sz w:val="20"/>
              </w:rPr>
              <w:t xml:space="preserve">Nariadenie obsahuje opatrenia poskytujúce ďalšiu finančnú podporu Bulharsku a Slovensku (SR má nedostatok finančných prostriedkov vo výške 90 mil. eur)  na bezpečné vyradenie šiestich jadrových reaktorov z prevádzky v blokoch 1 až 4 jadrovej elektrárne Kozloduj a jadrovej elektrárne Bohunice V1. Nariadenie tiež zabezpečuje podporu vyraďovania výskumných reaktorov JRC. </w:t>
            </w:r>
            <w:r w:rsidRPr="00043D8B">
              <w:rPr>
                <w:rFonts w:ascii="Times New Roman" w:hAnsi="Times New Roman"/>
                <w:color w:val="auto"/>
                <w:sz w:val="24"/>
                <w:szCs w:val="24"/>
              </w:rPr>
              <w:t xml:space="preserve"> </w:t>
            </w:r>
          </w:p>
          <w:p w:rsidR="00043D8B" w:rsidRDefault="00043D8B" w:rsidP="00833647">
            <w:pPr>
              <w:pStyle w:val="Textkomentra"/>
              <w:spacing w:after="0"/>
              <w:rPr>
                <w:rFonts w:ascii="Times New Roman" w:hAnsi="Times New Roman"/>
              </w:rPr>
            </w:pPr>
            <w:r>
              <w:rPr>
                <w:rStyle w:val="Odkaznakomentr"/>
              </w:rPr>
              <w:t/>
            </w:r>
          </w:p>
        </w:tc>
      </w:tr>
      <w:tr w:rsidR="00043D8B" w:rsidTr="00B1660F">
        <w:trPr>
          <w:trHeight w:val="743"/>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Pr="00D15EE0" w:rsidRDefault="00043D8B" w:rsidP="00632382">
            <w:pPr>
              <w:spacing w:after="0"/>
              <w:ind w:left="1"/>
              <w:jc w:val="both"/>
              <w:rPr>
                <w:rFonts w:ascii="Times New Roman" w:hAnsi="Times New Roman"/>
                <w:sz w:val="20"/>
                <w:szCs w:val="20"/>
              </w:rPr>
            </w:pPr>
            <w:r w:rsidRPr="00D15EE0">
              <w:rPr>
                <w:rFonts w:ascii="Times New Roman" w:hAnsi="Times New Roman"/>
                <w:sz w:val="20"/>
                <w:szCs w:val="20"/>
              </w:rPr>
              <w:t>Návrh ROZHODNUTIA RADY, ktorým sa mení rozhodnutie 2007/198/Euratom, ktorým sa zriaďuje Európsky spoločný podnik pre ITER a rozvoj energie jadrovej syntézy a ktorým sa mu udeľujú výhody COM (2018) 445 final 2018/0235 (NLE) 7. 6. 2018</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4F4CF9" w:rsidP="00833647">
            <w:pPr>
              <w:spacing w:after="0"/>
              <w:ind w:left="4" w:right="49"/>
              <w:jc w:val="both"/>
              <w:rPr>
                <w:rFonts w:ascii="Times New Roman" w:hAnsi="Times New Roman"/>
                <w:b/>
                <w:sz w:val="20"/>
              </w:rPr>
            </w:pPr>
            <w:r>
              <w:rPr>
                <w:rFonts w:ascii="Times New Roman" w:hAnsi="Times New Roman"/>
                <w:b/>
                <w:sz w:val="20"/>
              </w:rPr>
              <w:t>MŠVVaŠ</w:t>
            </w:r>
            <w:r w:rsidR="00043D8B" w:rsidRPr="001129C1">
              <w:rPr>
                <w:rFonts w:ascii="Times New Roman" w:hAnsi="Times New Roman"/>
                <w:b/>
                <w:sz w:val="20"/>
              </w:rPr>
              <w:t xml:space="preserve">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MZVEZ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MF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 xml:space="preserve">MH SR </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UJD SR</w:t>
            </w:r>
          </w:p>
        </w:tc>
        <w:tc>
          <w:tcPr>
            <w:tcW w:w="5386" w:type="dxa"/>
            <w:tcBorders>
              <w:top w:val="single" w:sz="4" w:space="0" w:color="000000"/>
              <w:left w:val="single" w:sz="4" w:space="0" w:color="000000"/>
              <w:bottom w:val="single" w:sz="4" w:space="0" w:color="000000"/>
              <w:right w:val="single" w:sz="4" w:space="0" w:color="000000"/>
            </w:tcBorders>
          </w:tcPr>
          <w:p w:rsidR="00043D8B" w:rsidRPr="00BD72C0" w:rsidRDefault="00043D8B" w:rsidP="00833647">
            <w:pPr>
              <w:spacing w:after="0" w:line="259" w:lineRule="auto"/>
              <w:jc w:val="both"/>
              <w:rPr>
                <w:rFonts w:ascii="Times New Roman" w:hAnsi="Times New Roman"/>
                <w:b/>
                <w:bCs/>
                <w:sz w:val="20"/>
                <w:szCs w:val="20"/>
                <w:u w:val="single"/>
              </w:rPr>
            </w:pPr>
            <w:r w:rsidRPr="00BD72C0">
              <w:rPr>
                <w:rFonts w:ascii="Times New Roman" w:hAnsi="Times New Roman"/>
                <w:b/>
                <w:bCs/>
                <w:sz w:val="20"/>
                <w:szCs w:val="20"/>
                <w:u w:val="single"/>
              </w:rPr>
              <w:t xml:space="preserve">Vysoká priorita </w:t>
            </w:r>
          </w:p>
          <w:p w:rsidR="00043D8B" w:rsidRPr="00EF27CF" w:rsidRDefault="00043D8B" w:rsidP="00833647">
            <w:pPr>
              <w:spacing w:after="0" w:line="259" w:lineRule="auto"/>
              <w:jc w:val="both"/>
              <w:rPr>
                <w:rFonts w:ascii="Times New Roman" w:hAnsi="Times New Roman"/>
                <w:b/>
                <w:bCs/>
                <w:sz w:val="20"/>
                <w:szCs w:val="20"/>
              </w:rPr>
            </w:pPr>
            <w:r w:rsidRPr="0068201A">
              <w:rPr>
                <w:rFonts w:ascii="Times New Roman" w:hAnsi="Times New Roman"/>
                <w:bCs/>
                <w:sz w:val="20"/>
                <w:szCs w:val="20"/>
              </w:rPr>
              <w:t>Sl</w:t>
            </w:r>
            <w:r w:rsidRPr="00EF27CF">
              <w:rPr>
                <w:rFonts w:ascii="Times New Roman" w:hAnsi="Times New Roman"/>
                <w:bCs/>
                <w:sz w:val="20"/>
                <w:szCs w:val="20"/>
              </w:rPr>
              <w:t xml:space="preserve">ovenská republika nemá výhrady k </w:t>
            </w:r>
            <w:r w:rsidRPr="00EF27CF">
              <w:rPr>
                <w:rFonts w:ascii="Times New Roman" w:hAnsi="Times New Roman"/>
                <w:noProof/>
                <w:sz w:val="20"/>
                <w:szCs w:val="20"/>
              </w:rPr>
              <w:t xml:space="preserve">Návrhu rozhodnutia </w:t>
            </w:r>
            <w:r w:rsidRPr="00EF27CF">
              <w:rPr>
                <w:rFonts w:ascii="Times New Roman" w:hAnsi="Times New Roman"/>
                <w:color w:val="auto"/>
                <w:sz w:val="20"/>
                <w:szCs w:val="20"/>
              </w:rPr>
              <w:t xml:space="preserve">Návrh má politické aj finančné dopady v rámci EÚ. </w:t>
            </w:r>
            <w:r w:rsidRPr="00EF27CF">
              <w:rPr>
                <w:rFonts w:ascii="Times New Roman" w:hAnsi="Times New Roman"/>
                <w:noProof/>
                <w:color w:val="auto"/>
                <w:sz w:val="20"/>
                <w:szCs w:val="20"/>
              </w:rPr>
              <w:t>EP a Rada stanovili maximálnu úroveň záväzkov Euratomu v súvislosti s projektom ITER vo viacročnom finančnom rámci na obdobie 2021 – 2027 na 6 070 000 000 EUR (v bežných cenách).</w:t>
            </w: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Pr="00D15EE0" w:rsidRDefault="00043D8B" w:rsidP="00632382">
            <w:pPr>
              <w:spacing w:after="0"/>
              <w:ind w:left="1"/>
              <w:jc w:val="both"/>
              <w:rPr>
                <w:rFonts w:ascii="Times New Roman" w:hAnsi="Times New Roman"/>
                <w:sz w:val="20"/>
                <w:szCs w:val="20"/>
              </w:rPr>
            </w:pPr>
            <w:r w:rsidRPr="00D15EE0">
              <w:rPr>
                <w:rFonts w:ascii="Times New Roman" w:hAnsi="Times New Roman"/>
                <w:sz w:val="20"/>
                <w:szCs w:val="20"/>
              </w:rPr>
              <w:t>Návrh NARIADENIA EURÓPSKEHO PARLAMENTU A RADY o Európskom námornom a rybárskom fonde a o zrušení nariadenia Európskeho parlamentu a Rady (EÚ) č. 508/2014 COM (2018) 390 final 2018/0210 COD 12. 6. 2018</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MPRV SR</w:t>
            </w:r>
          </w:p>
          <w:p w:rsidR="00043D8B" w:rsidRDefault="00043D8B" w:rsidP="00833647">
            <w:pPr>
              <w:spacing w:after="0"/>
              <w:ind w:left="4" w:right="49"/>
              <w:jc w:val="both"/>
              <w:rPr>
                <w:rFonts w:ascii="Times New Roman" w:hAnsi="Times New Roman"/>
                <w:b/>
                <w:sz w:val="20"/>
              </w:rPr>
            </w:pPr>
            <w:r w:rsidRPr="001129C1">
              <w:rPr>
                <w:rFonts w:ascii="Times New Roman" w:hAnsi="Times New Roman"/>
                <w:b/>
                <w:sz w:val="20"/>
              </w:rPr>
              <w:t>MF SR</w:t>
            </w:r>
          </w:p>
          <w:p w:rsidR="00BD0652" w:rsidRPr="001129C1" w:rsidRDefault="00BD0652" w:rsidP="00833647">
            <w:pPr>
              <w:spacing w:after="0"/>
              <w:ind w:left="4" w:right="49"/>
              <w:jc w:val="both"/>
              <w:rPr>
                <w:rFonts w:ascii="Times New Roman" w:hAnsi="Times New Roman"/>
                <w:b/>
                <w:sz w:val="20"/>
              </w:rPr>
            </w:pPr>
            <w:r>
              <w:rPr>
                <w:rFonts w:ascii="Times New Roman" w:hAnsi="Times New Roman"/>
                <w:b/>
                <w:sz w:val="20"/>
              </w:rPr>
              <w:t>MŽP SR</w:t>
            </w:r>
          </w:p>
        </w:tc>
        <w:tc>
          <w:tcPr>
            <w:tcW w:w="5386" w:type="dxa"/>
            <w:tcBorders>
              <w:top w:val="single" w:sz="4" w:space="0" w:color="000000"/>
              <w:left w:val="single" w:sz="4" w:space="0" w:color="000000"/>
              <w:bottom w:val="single" w:sz="4" w:space="0" w:color="000000"/>
              <w:right w:val="single" w:sz="4" w:space="0" w:color="000000"/>
            </w:tcBorders>
          </w:tcPr>
          <w:p w:rsidR="00043D8B" w:rsidRPr="00641738" w:rsidRDefault="00043D8B" w:rsidP="00833647">
            <w:pPr>
              <w:spacing w:after="0"/>
              <w:rPr>
                <w:rFonts w:ascii="Times New Roman" w:hAnsi="Times New Roman"/>
                <w:b/>
                <w:bCs/>
                <w:sz w:val="20"/>
                <w:szCs w:val="20"/>
                <w:u w:val="single"/>
              </w:rPr>
            </w:pPr>
            <w:r w:rsidRPr="00641738">
              <w:rPr>
                <w:rFonts w:ascii="Times New Roman" w:hAnsi="Times New Roman"/>
                <w:b/>
                <w:bCs/>
                <w:sz w:val="20"/>
                <w:szCs w:val="20"/>
                <w:u w:val="single"/>
              </w:rPr>
              <w:t>Vysoká prio</w:t>
            </w:r>
            <w:r>
              <w:rPr>
                <w:rFonts w:ascii="Times New Roman" w:hAnsi="Times New Roman"/>
                <w:b/>
                <w:bCs/>
                <w:sz w:val="20"/>
                <w:szCs w:val="20"/>
                <w:u w:val="single"/>
              </w:rPr>
              <w:t>rita</w:t>
            </w:r>
          </w:p>
          <w:p w:rsidR="00043D8B" w:rsidRDefault="00043D8B" w:rsidP="00833647">
            <w:pPr>
              <w:spacing w:after="0"/>
              <w:ind w:left="4" w:right="49"/>
              <w:jc w:val="both"/>
              <w:rPr>
                <w:rFonts w:ascii="Times New Roman" w:hAnsi="Times New Roman"/>
                <w:sz w:val="20"/>
              </w:rPr>
            </w:pPr>
            <w:r w:rsidRPr="00641738">
              <w:rPr>
                <w:rFonts w:ascii="Times New Roman" w:hAnsi="Times New Roman"/>
                <w:sz w:val="20"/>
                <w:szCs w:val="20"/>
              </w:rPr>
              <w:t>Priorita v oblasti podpory z prostriedkov Európskeho námorného a rybárskeho fondu sektora akvakultúry a spracovateľského priemyslu produktov rybolovu a akvakultúry po roku 2020, konkrétne v rámci rokov 2021 – 2027. RO PRES plánuje dosiahnuť dohodu Rady.</w:t>
            </w: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Pr="00D15EE0" w:rsidRDefault="00043D8B" w:rsidP="00632382">
            <w:pPr>
              <w:spacing w:after="0"/>
              <w:ind w:left="1"/>
              <w:jc w:val="both"/>
              <w:rPr>
                <w:rFonts w:ascii="Times New Roman" w:hAnsi="Times New Roman"/>
                <w:sz w:val="20"/>
                <w:szCs w:val="20"/>
              </w:rPr>
            </w:pPr>
            <w:r w:rsidRPr="00D15EE0">
              <w:rPr>
                <w:rFonts w:ascii="Times New Roman" w:hAnsi="Times New Roman"/>
                <w:sz w:val="20"/>
                <w:szCs w:val="20"/>
              </w:rPr>
              <w:t>Návrh NARIADENIA EURÓPSKEHO PARLAMENTU A RADY, ktorým sa stanovuje Program pre životné prostredie a ochranu klímy (LIFE) a zrušuje nariadenie (EÚ) č. 1293/2013 COM (2018) 385 final 2018/0209 COD 1. 6. 2018</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 xml:space="preserve">MŽP SR </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MF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MH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MPaRV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UPPVII</w:t>
            </w:r>
          </w:p>
        </w:tc>
        <w:tc>
          <w:tcPr>
            <w:tcW w:w="5386" w:type="dxa"/>
            <w:tcBorders>
              <w:top w:val="single" w:sz="4" w:space="0" w:color="000000"/>
              <w:left w:val="single" w:sz="4" w:space="0" w:color="000000"/>
              <w:bottom w:val="single" w:sz="4" w:space="0" w:color="000000"/>
              <w:right w:val="single" w:sz="4" w:space="0" w:color="000000"/>
            </w:tcBorders>
          </w:tcPr>
          <w:p w:rsidR="00043D8B" w:rsidRPr="00043D8B" w:rsidRDefault="00043D8B" w:rsidP="00833647">
            <w:pPr>
              <w:spacing w:after="0"/>
              <w:rPr>
                <w:rFonts w:ascii="Times New Roman" w:hAnsi="Times New Roman"/>
                <w:b/>
                <w:bCs/>
                <w:sz w:val="20"/>
                <w:szCs w:val="20"/>
                <w:u w:val="single"/>
              </w:rPr>
            </w:pPr>
            <w:r w:rsidRPr="005D4533">
              <w:rPr>
                <w:rFonts w:ascii="Times New Roman" w:hAnsi="Times New Roman"/>
                <w:b/>
                <w:bCs/>
                <w:sz w:val="20"/>
                <w:szCs w:val="20"/>
                <w:u w:val="single"/>
              </w:rPr>
              <w:t xml:space="preserve">Vysoká priorita </w:t>
            </w:r>
          </w:p>
          <w:p w:rsidR="00043D8B" w:rsidRPr="005D4533" w:rsidRDefault="00043D8B" w:rsidP="00833647">
            <w:pPr>
              <w:spacing w:after="0"/>
              <w:ind w:left="4" w:right="49"/>
              <w:jc w:val="both"/>
              <w:rPr>
                <w:rFonts w:ascii="Times New Roman" w:hAnsi="Times New Roman"/>
                <w:sz w:val="20"/>
                <w:szCs w:val="20"/>
                <w:u w:val="single"/>
              </w:rPr>
            </w:pPr>
            <w:r>
              <w:rPr>
                <w:rFonts w:ascii="Times New Roman" w:hAnsi="Times New Roman"/>
                <w:sz w:val="20"/>
                <w:szCs w:val="20"/>
              </w:rPr>
              <w:t xml:space="preserve">SR víta kompromisné ustanovenia o projektoch budovania kapacít. Tieto projekty sú kľúčové pre financovanie činností orgánov členských štátov s cieľom zlepšiť efektívnu účasť na programe LIFE. Len prostredníctvom vynikajúceho fungovania národného kontaktného bodu budú mať koneční príjemcovia možnosť predložiť projekty vysokej kvality a zabezpečí sa geografická rovnováha projektov. Z uvedeného dôvodu </w:t>
            </w:r>
            <w:r>
              <w:rPr>
                <w:rFonts w:ascii="Times New Roman" w:hAnsi="Times New Roman"/>
                <w:sz w:val="20"/>
                <w:szCs w:val="20"/>
                <w:u w:val="single"/>
              </w:rPr>
              <w:t xml:space="preserve">by SR privítala čo možno najvyššiu mieru financovania uvedených projektov zo zdrojov EÚ. </w:t>
            </w:r>
            <w:r>
              <w:rPr>
                <w:rFonts w:ascii="Times New Roman" w:hAnsi="Times New Roman"/>
                <w:sz w:val="20"/>
                <w:szCs w:val="20"/>
              </w:rPr>
              <w:t>Oceňujeme predovšetkým, že boli zohľadnené požiadavky členských štátov na ich účasť v programe LIFE a do nariadenia bolo zapracované zriadenie Výboru LIFE, v rámci ktorého budú môcť zástupcovia členských štátov získať informácie o riadení a implementácii programu zo strany Európskej komisie, ale najmä budú sa môcť podieľať na príprave Viacročného pracovného programu, v ktorom budú bližšie špecifikované detailné postupy implementácie programu LIFE.</w:t>
            </w: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Pr="00D15EE0" w:rsidRDefault="00043D8B" w:rsidP="00632382">
            <w:pPr>
              <w:spacing w:after="0"/>
              <w:ind w:left="1"/>
              <w:jc w:val="both"/>
              <w:rPr>
                <w:rFonts w:ascii="Times New Roman" w:hAnsi="Times New Roman"/>
                <w:sz w:val="20"/>
                <w:szCs w:val="20"/>
              </w:rPr>
            </w:pPr>
            <w:r w:rsidRPr="00D15EE0">
              <w:rPr>
                <w:rFonts w:ascii="Times New Roman" w:hAnsi="Times New Roman"/>
                <w:sz w:val="20"/>
                <w:szCs w:val="20"/>
              </w:rPr>
              <w:t>Návrh NARIADENIA EURÓPSKEHO PARLAMENTU A RADY o Európskom fonde na prispôsobenie sa globalizácii (EGF) COM (2018) 380 final 2018/0202 COD 30. 5. 2018</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MPSVaR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 xml:space="preserve">MF SR </w:t>
            </w:r>
          </w:p>
          <w:p w:rsidR="00043D8B" w:rsidRPr="001129C1" w:rsidRDefault="00043D8B" w:rsidP="00833647">
            <w:pPr>
              <w:spacing w:after="0"/>
              <w:ind w:left="4" w:right="49"/>
              <w:jc w:val="both"/>
              <w:rPr>
                <w:rFonts w:ascii="Times New Roman" w:hAnsi="Times New Roman"/>
                <w:b/>
                <w:sz w:val="20"/>
              </w:rPr>
            </w:pPr>
          </w:p>
        </w:tc>
        <w:tc>
          <w:tcPr>
            <w:tcW w:w="5386" w:type="dxa"/>
            <w:tcBorders>
              <w:top w:val="single" w:sz="4" w:space="0" w:color="000000"/>
              <w:left w:val="single" w:sz="4" w:space="0" w:color="000000"/>
              <w:bottom w:val="single" w:sz="4" w:space="0" w:color="000000"/>
              <w:right w:val="single" w:sz="4" w:space="0" w:color="000000"/>
            </w:tcBorders>
          </w:tcPr>
          <w:p w:rsidR="00043D8B" w:rsidRPr="00BD72C0" w:rsidRDefault="00043D8B" w:rsidP="00833647">
            <w:pPr>
              <w:spacing w:after="0"/>
              <w:ind w:left="4" w:right="48"/>
              <w:jc w:val="both"/>
              <w:rPr>
                <w:rFonts w:ascii="Times New Roman" w:hAnsi="Times New Roman"/>
                <w:b/>
                <w:sz w:val="20"/>
                <w:u w:val="single"/>
              </w:rPr>
            </w:pPr>
            <w:r w:rsidRPr="00BD72C0">
              <w:rPr>
                <w:rFonts w:ascii="Times New Roman" w:hAnsi="Times New Roman"/>
                <w:b/>
                <w:sz w:val="20"/>
                <w:u w:val="single"/>
              </w:rPr>
              <w:t>Vysoká priorita</w:t>
            </w:r>
          </w:p>
          <w:p w:rsidR="00043D8B" w:rsidRDefault="00043D8B" w:rsidP="005B0F9A">
            <w:pPr>
              <w:spacing w:after="0"/>
              <w:ind w:left="4" w:right="49"/>
              <w:jc w:val="both"/>
              <w:rPr>
                <w:rFonts w:ascii="Times New Roman" w:hAnsi="Times New Roman"/>
                <w:sz w:val="20"/>
              </w:rPr>
            </w:pPr>
            <w:r>
              <w:rPr>
                <w:rFonts w:ascii="Times New Roman" w:hAnsi="Times New Roman"/>
                <w:sz w:val="20"/>
              </w:rPr>
              <w:t>V rámci rokovaní sa v roku 2018 dosiahol pokrok týkajúci sa objasnenia cieľov, vyjasnenia miery spolufinancovania a zjednodušenia indikátorov. Existujú však ešte otvorené otáz</w:t>
            </w:r>
            <w:r w:rsidR="005B0F9A">
              <w:rPr>
                <w:rFonts w:ascii="Times New Roman" w:hAnsi="Times New Roman"/>
                <w:sz w:val="20"/>
              </w:rPr>
              <w:t>ky, ktoré bude nutné doriešiť</w:t>
            </w:r>
            <w:r>
              <w:rPr>
                <w:rFonts w:ascii="Times New Roman" w:hAnsi="Times New Roman"/>
                <w:sz w:val="20"/>
              </w:rPr>
              <w:t>. Prijatie čiastočného všeobecného smerovania v Rade sa predpokladá v marci 2019.</w:t>
            </w:r>
          </w:p>
        </w:tc>
      </w:tr>
      <w:tr w:rsidR="00043D8B" w:rsidTr="00B1660F">
        <w:trPr>
          <w:trHeight w:val="34"/>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Pr="00D15EE0" w:rsidRDefault="00043D8B" w:rsidP="00632382">
            <w:pPr>
              <w:spacing w:after="0"/>
              <w:ind w:left="1"/>
              <w:jc w:val="both"/>
              <w:rPr>
                <w:rFonts w:ascii="Times New Roman" w:hAnsi="Times New Roman"/>
                <w:sz w:val="20"/>
                <w:szCs w:val="20"/>
              </w:rPr>
            </w:pPr>
            <w:r w:rsidRPr="00D15EE0">
              <w:rPr>
                <w:rFonts w:ascii="Times New Roman" w:hAnsi="Times New Roman"/>
                <w:sz w:val="20"/>
                <w:szCs w:val="20"/>
              </w:rPr>
              <w:t>Návrh NARIADENIA EURÓPSKEHO PARLAMENTU A RADY o Európskom sociálnom fonde plus (ESF+) COM (2018) 382 final 2018/0206 COD 30. 5. 2018</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214D18" w:rsidP="00833647">
            <w:pPr>
              <w:spacing w:after="0"/>
              <w:ind w:left="4" w:right="49"/>
              <w:jc w:val="both"/>
              <w:rPr>
                <w:rFonts w:ascii="Times New Roman" w:hAnsi="Times New Roman"/>
                <w:b/>
                <w:sz w:val="20"/>
              </w:rPr>
            </w:pPr>
            <w:r>
              <w:rPr>
                <w:rFonts w:ascii="Times New Roman" w:hAnsi="Times New Roman"/>
                <w:b/>
                <w:sz w:val="20"/>
              </w:rPr>
              <w:t>ÚPPVII</w:t>
            </w:r>
          </w:p>
          <w:p w:rsidR="00043D8B" w:rsidRPr="001129C1" w:rsidRDefault="00043D8B" w:rsidP="00833647">
            <w:pPr>
              <w:spacing w:after="0"/>
              <w:ind w:right="49"/>
              <w:jc w:val="both"/>
              <w:rPr>
                <w:rFonts w:ascii="Times New Roman" w:hAnsi="Times New Roman"/>
                <w:b/>
                <w:sz w:val="20"/>
              </w:rPr>
            </w:pPr>
            <w:r w:rsidRPr="001129C1">
              <w:rPr>
                <w:rFonts w:ascii="Times New Roman" w:hAnsi="Times New Roman"/>
                <w:b/>
                <w:sz w:val="20"/>
              </w:rPr>
              <w:t>MF SR</w:t>
            </w:r>
          </w:p>
          <w:p w:rsidR="00043D8B" w:rsidRPr="001129C1" w:rsidRDefault="00043D8B" w:rsidP="00833647">
            <w:pPr>
              <w:spacing w:after="0"/>
              <w:ind w:right="49"/>
              <w:jc w:val="both"/>
              <w:rPr>
                <w:rFonts w:ascii="Times New Roman" w:hAnsi="Times New Roman"/>
                <w:b/>
                <w:sz w:val="20"/>
              </w:rPr>
            </w:pPr>
            <w:r w:rsidRPr="001129C1">
              <w:rPr>
                <w:rFonts w:ascii="Times New Roman" w:hAnsi="Times New Roman"/>
                <w:b/>
                <w:sz w:val="20"/>
              </w:rPr>
              <w:t>MPSVaR SR</w:t>
            </w:r>
          </w:p>
          <w:p w:rsidR="00043D8B" w:rsidRPr="001129C1" w:rsidRDefault="00043D8B" w:rsidP="00833647">
            <w:pPr>
              <w:spacing w:after="0"/>
              <w:ind w:right="49"/>
              <w:jc w:val="both"/>
              <w:rPr>
                <w:rFonts w:ascii="Times New Roman" w:hAnsi="Times New Roman"/>
                <w:b/>
                <w:sz w:val="20"/>
              </w:rPr>
            </w:pPr>
            <w:r w:rsidRPr="001129C1">
              <w:rPr>
                <w:rFonts w:ascii="Times New Roman" w:hAnsi="Times New Roman"/>
                <w:b/>
                <w:sz w:val="20"/>
              </w:rPr>
              <w:t>MZ SR</w:t>
            </w:r>
          </w:p>
        </w:tc>
        <w:tc>
          <w:tcPr>
            <w:tcW w:w="5386" w:type="dxa"/>
            <w:tcBorders>
              <w:top w:val="single" w:sz="4" w:space="0" w:color="000000"/>
              <w:left w:val="single" w:sz="4" w:space="0" w:color="000000"/>
              <w:bottom w:val="single" w:sz="4" w:space="0" w:color="000000"/>
              <w:right w:val="single" w:sz="4" w:space="0" w:color="000000"/>
            </w:tcBorders>
          </w:tcPr>
          <w:p w:rsidR="00043D8B" w:rsidRPr="002C05DB" w:rsidRDefault="00043D8B" w:rsidP="00833647">
            <w:pPr>
              <w:spacing w:after="0"/>
              <w:ind w:left="4" w:right="49"/>
              <w:jc w:val="both"/>
              <w:rPr>
                <w:rFonts w:ascii="Times New Roman" w:hAnsi="Times New Roman"/>
                <w:b/>
                <w:sz w:val="20"/>
                <w:szCs w:val="20"/>
                <w:u w:val="single"/>
              </w:rPr>
            </w:pPr>
            <w:r>
              <w:rPr>
                <w:rFonts w:ascii="Times New Roman" w:hAnsi="Times New Roman"/>
                <w:b/>
                <w:sz w:val="20"/>
                <w:szCs w:val="20"/>
                <w:u w:val="single"/>
              </w:rPr>
              <w:t>Vysoká priorita</w:t>
            </w:r>
          </w:p>
          <w:p w:rsidR="00043D8B" w:rsidRPr="002C05DB" w:rsidRDefault="00043D8B" w:rsidP="00833647">
            <w:pPr>
              <w:spacing w:after="0"/>
              <w:ind w:left="4" w:right="49"/>
              <w:jc w:val="both"/>
              <w:rPr>
                <w:rFonts w:ascii="Times New Roman" w:hAnsi="Times New Roman"/>
                <w:sz w:val="20"/>
                <w:szCs w:val="20"/>
              </w:rPr>
            </w:pPr>
            <w:r>
              <w:rPr>
                <w:rFonts w:ascii="Times New Roman" w:hAnsi="Times New Roman"/>
                <w:sz w:val="20"/>
                <w:szCs w:val="20"/>
              </w:rPr>
              <w:t>SR víta zverejnenie predmetného návrhu nariadenia. Predmetný návrh nariadenia je v súčasnosti predmetom rokovania na Pracovnej skupine Rady pre štrukturálne opatrenia (SMWP).</w:t>
            </w: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Pr="00D15EE0" w:rsidRDefault="00043D8B" w:rsidP="00632382">
            <w:pPr>
              <w:spacing w:after="0"/>
              <w:ind w:left="1"/>
              <w:jc w:val="both"/>
              <w:rPr>
                <w:rFonts w:ascii="Times New Roman" w:hAnsi="Times New Roman"/>
                <w:sz w:val="20"/>
                <w:szCs w:val="20"/>
              </w:rPr>
            </w:pPr>
            <w:r w:rsidRPr="00D15EE0">
              <w:rPr>
                <w:rFonts w:ascii="Times New Roman" w:hAnsi="Times New Roman"/>
                <w:sz w:val="20"/>
                <w:szCs w:val="20"/>
              </w:rPr>
              <w:t>Návrh NARIADENIA EURÓPSKEHO PARLAMENTU A RADY, ktorým sa stanovuje program spolupráce v colnej oblasti „Colníctvo“ COM (2018) 442 final 2018/0232 COD 8. 6. 2018</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 xml:space="preserve">MF SR </w:t>
            </w:r>
          </w:p>
        </w:tc>
        <w:tc>
          <w:tcPr>
            <w:tcW w:w="5386" w:type="dxa"/>
            <w:tcBorders>
              <w:top w:val="single" w:sz="4" w:space="0" w:color="000000"/>
              <w:left w:val="single" w:sz="4" w:space="0" w:color="000000"/>
              <w:bottom w:val="single" w:sz="4" w:space="0" w:color="000000"/>
              <w:right w:val="single" w:sz="4" w:space="0" w:color="000000"/>
            </w:tcBorders>
          </w:tcPr>
          <w:p w:rsidR="00043D8B" w:rsidRPr="00AE41C4" w:rsidRDefault="00043D8B" w:rsidP="00833647">
            <w:pPr>
              <w:spacing w:after="0"/>
              <w:ind w:left="4" w:right="49"/>
              <w:jc w:val="both"/>
              <w:rPr>
                <w:rFonts w:ascii="Times New Roman" w:hAnsi="Times New Roman"/>
                <w:b/>
                <w:kern w:val="2"/>
                <w:sz w:val="20"/>
                <w:szCs w:val="20"/>
                <w:u w:val="single"/>
              </w:rPr>
            </w:pPr>
            <w:r w:rsidRPr="00AE41C4">
              <w:rPr>
                <w:rFonts w:ascii="Times New Roman" w:hAnsi="Times New Roman"/>
                <w:b/>
                <w:kern w:val="2"/>
                <w:sz w:val="20"/>
                <w:szCs w:val="20"/>
                <w:u w:val="single"/>
              </w:rPr>
              <w:t>Vysoká priorita</w:t>
            </w:r>
          </w:p>
          <w:p w:rsidR="00043D8B" w:rsidRPr="00AE41C4" w:rsidRDefault="00043D8B" w:rsidP="00833647">
            <w:pPr>
              <w:spacing w:after="0"/>
              <w:ind w:left="4" w:right="49"/>
              <w:jc w:val="both"/>
              <w:rPr>
                <w:rFonts w:ascii="Times New Roman" w:hAnsi="Times New Roman"/>
                <w:sz w:val="20"/>
              </w:rPr>
            </w:pPr>
            <w:r w:rsidRPr="00AE41C4">
              <w:rPr>
                <w:rFonts w:ascii="Times New Roman" w:hAnsi="Times New Roman"/>
                <w:kern w:val="2"/>
                <w:sz w:val="20"/>
                <w:szCs w:val="20"/>
              </w:rPr>
              <w:t>SR podporuje návrh nariadenia.</w:t>
            </w: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Pr="00D15EE0" w:rsidRDefault="00043D8B" w:rsidP="00632382">
            <w:pPr>
              <w:spacing w:after="0"/>
              <w:ind w:left="1"/>
              <w:jc w:val="both"/>
              <w:rPr>
                <w:rFonts w:ascii="Times New Roman" w:hAnsi="Times New Roman"/>
                <w:sz w:val="20"/>
                <w:szCs w:val="20"/>
              </w:rPr>
            </w:pPr>
            <w:r w:rsidRPr="00D15EE0">
              <w:rPr>
                <w:rFonts w:ascii="Times New Roman" w:hAnsi="Times New Roman"/>
                <w:sz w:val="20"/>
                <w:szCs w:val="20"/>
              </w:rPr>
              <w:t>Návrh NARIADENIA EURÓPSKEHO PARLAMENTU A RADY, ktorým sa stanovuje program spolupráce v daňovej oblasti „Fiscalis“ COM (2018) 443 final 2018/0233 COD 8. 6. 2018</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 xml:space="preserve">MF SR </w:t>
            </w:r>
          </w:p>
        </w:tc>
        <w:tc>
          <w:tcPr>
            <w:tcW w:w="5386" w:type="dxa"/>
            <w:tcBorders>
              <w:top w:val="single" w:sz="4" w:space="0" w:color="000000"/>
              <w:left w:val="single" w:sz="4" w:space="0" w:color="000000"/>
              <w:bottom w:val="single" w:sz="4" w:space="0" w:color="000000"/>
              <w:right w:val="single" w:sz="4" w:space="0" w:color="000000"/>
            </w:tcBorders>
          </w:tcPr>
          <w:p w:rsidR="00043D8B" w:rsidRPr="00AE41C4" w:rsidRDefault="00043D8B" w:rsidP="00833647">
            <w:pPr>
              <w:spacing w:after="0"/>
              <w:ind w:left="4" w:right="49"/>
              <w:jc w:val="both"/>
              <w:rPr>
                <w:rFonts w:ascii="Times New Roman" w:hAnsi="Times New Roman"/>
                <w:b/>
                <w:sz w:val="20"/>
                <w:u w:val="single"/>
              </w:rPr>
            </w:pPr>
            <w:r w:rsidRPr="00AE41C4">
              <w:rPr>
                <w:rFonts w:ascii="Times New Roman" w:hAnsi="Times New Roman"/>
                <w:b/>
                <w:sz w:val="20"/>
                <w:u w:val="single"/>
              </w:rPr>
              <w:t xml:space="preserve">Nízka priorita </w:t>
            </w:r>
          </w:p>
          <w:p w:rsidR="00043D8B" w:rsidRPr="00AE41C4" w:rsidRDefault="00043D8B" w:rsidP="00833647">
            <w:pPr>
              <w:spacing w:after="0"/>
              <w:ind w:left="4" w:right="49"/>
              <w:jc w:val="both"/>
              <w:rPr>
                <w:rFonts w:ascii="Times New Roman" w:hAnsi="Times New Roman"/>
                <w:sz w:val="20"/>
              </w:rPr>
            </w:pPr>
            <w:r w:rsidRPr="00AE41C4">
              <w:rPr>
                <w:rFonts w:ascii="Times New Roman" w:hAnsi="Times New Roman"/>
                <w:sz w:val="20"/>
              </w:rPr>
              <w:t>SR vo všeobecnosti podporuje návrh naradenia Fiscalis na obdobie 2021 – 2027.Program dlhodobo prispieva k zlepšeniu spolupráce medzi členskými štátmi, a to tak v oblasti daňovo-špecifických informačných systémov, ako aj v budovaní kapacít daňových orgánov. Jeho pokračovaním sa posilní reakčná schopnosť ČK na nové výzvy v daňovej oblasti.Pri príprave nariadenia sa bude SR zasadzovať o zachovanie doterajšej úrovne financovania (obvykle takmer 100%) grantových akcií v záujme zabezpečenia adekvátnej účasti slovenských odborníkov na aktivitách programu.</w:t>
            </w: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Pr="00D15EE0" w:rsidRDefault="00043D8B" w:rsidP="00632382">
            <w:pPr>
              <w:spacing w:after="0"/>
              <w:ind w:left="1"/>
              <w:jc w:val="both"/>
              <w:rPr>
                <w:rFonts w:ascii="Times New Roman" w:hAnsi="Times New Roman"/>
                <w:sz w:val="20"/>
                <w:szCs w:val="20"/>
              </w:rPr>
            </w:pPr>
            <w:r w:rsidRPr="00D15EE0">
              <w:rPr>
                <w:rFonts w:ascii="Times New Roman" w:hAnsi="Times New Roman"/>
                <w:sz w:val="20"/>
                <w:szCs w:val="20"/>
              </w:rPr>
              <w:t>Návrh NARIADENIA EURÓPSKEHO PARLAMENTU A RADY, ktorým sa stanovuje výmenný, pomocný a školiaci program na ochranu eura proti falšovaniu na obdobie rokov 2021 – 2027 („program Pericles IV“) COM (2018) 369 final 2018/0194 COD 31. 5. 2018</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MF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NBS SR</w:t>
            </w:r>
          </w:p>
        </w:tc>
        <w:tc>
          <w:tcPr>
            <w:tcW w:w="5386" w:type="dxa"/>
            <w:tcBorders>
              <w:top w:val="single" w:sz="4" w:space="0" w:color="000000"/>
              <w:left w:val="single" w:sz="4" w:space="0" w:color="000000"/>
              <w:bottom w:val="single" w:sz="4" w:space="0" w:color="000000"/>
              <w:right w:val="single" w:sz="4" w:space="0" w:color="000000"/>
            </w:tcBorders>
          </w:tcPr>
          <w:p w:rsidR="00510879" w:rsidRPr="00AE41C4" w:rsidRDefault="00510879" w:rsidP="00510879">
            <w:pPr>
              <w:spacing w:after="0"/>
              <w:ind w:left="4" w:right="49"/>
              <w:jc w:val="both"/>
              <w:rPr>
                <w:rFonts w:ascii="Times New Roman" w:hAnsi="Times New Roman"/>
                <w:b/>
                <w:kern w:val="2"/>
                <w:sz w:val="20"/>
                <w:szCs w:val="20"/>
                <w:u w:val="single"/>
              </w:rPr>
            </w:pPr>
            <w:r>
              <w:rPr>
                <w:rFonts w:ascii="Times New Roman" w:hAnsi="Times New Roman"/>
                <w:b/>
                <w:kern w:val="2"/>
                <w:sz w:val="20"/>
                <w:szCs w:val="20"/>
                <w:u w:val="single"/>
              </w:rPr>
              <w:t xml:space="preserve">Stredná </w:t>
            </w:r>
            <w:r w:rsidRPr="00AE41C4">
              <w:rPr>
                <w:rFonts w:ascii="Times New Roman" w:hAnsi="Times New Roman"/>
                <w:b/>
                <w:kern w:val="2"/>
                <w:sz w:val="20"/>
                <w:szCs w:val="20"/>
                <w:u w:val="single"/>
              </w:rPr>
              <w:t>priorita</w:t>
            </w:r>
          </w:p>
          <w:p w:rsidR="00043D8B" w:rsidRDefault="00510879" w:rsidP="00833647">
            <w:pPr>
              <w:spacing w:after="0"/>
              <w:ind w:left="4" w:right="49"/>
              <w:jc w:val="both"/>
              <w:rPr>
                <w:rFonts w:ascii="Times New Roman" w:hAnsi="Times New Roman"/>
                <w:sz w:val="20"/>
              </w:rPr>
            </w:pPr>
            <w:r w:rsidRPr="00510879">
              <w:rPr>
                <w:rFonts w:ascii="Times New Roman" w:hAnsi="Times New Roman"/>
                <w:sz w:val="20"/>
              </w:rPr>
              <w:t>Program Pericles je určený pre jednotlivé národné zložky polície, ktoré bojujú proti falšovaniu eura na národnej úrovní a súčasne pre medzinárodné policajné zložky, pôsobiace na území EÚ – EUROPOL, OLAF a ostatné národné a medzinárodné zložky participujúce na boji proti falšovaniu eura – ECB, EK, ETSC, národné zložky NAC a CNAC, prokuratúry a súdy.</w:t>
            </w: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Pr="00D15EE0" w:rsidRDefault="00043D8B" w:rsidP="00632382">
            <w:pPr>
              <w:spacing w:after="0"/>
              <w:ind w:left="1"/>
              <w:jc w:val="both"/>
              <w:rPr>
                <w:rFonts w:ascii="Times New Roman" w:hAnsi="Times New Roman"/>
                <w:sz w:val="20"/>
                <w:szCs w:val="20"/>
              </w:rPr>
            </w:pPr>
            <w:r w:rsidRPr="00D15EE0">
              <w:rPr>
                <w:rFonts w:ascii="Times New Roman" w:hAnsi="Times New Roman"/>
                <w:sz w:val="20"/>
                <w:szCs w:val="20"/>
              </w:rPr>
              <w:t>Návrh NARIADENIA EURÓPSKEHO PARLAMENTU A RADY o zriadení európskeho nástroja stabilizácie investícií COM (2018) 387 final 2018/0212 COD 31. 5. 2018</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MF SR</w:t>
            </w:r>
          </w:p>
          <w:p w:rsidR="00043D8B" w:rsidRPr="001129C1" w:rsidRDefault="00043D8B" w:rsidP="00833647">
            <w:pPr>
              <w:spacing w:after="0"/>
              <w:ind w:left="4" w:right="49"/>
              <w:jc w:val="both"/>
              <w:rPr>
                <w:rFonts w:ascii="Times New Roman" w:hAnsi="Times New Roman"/>
                <w:b/>
                <w:sz w:val="20"/>
              </w:rPr>
            </w:pPr>
          </w:p>
        </w:tc>
        <w:tc>
          <w:tcPr>
            <w:tcW w:w="5386" w:type="dxa"/>
            <w:tcBorders>
              <w:top w:val="single" w:sz="4" w:space="0" w:color="000000"/>
              <w:left w:val="single" w:sz="4" w:space="0" w:color="000000"/>
              <w:bottom w:val="single" w:sz="4" w:space="0" w:color="000000"/>
              <w:right w:val="single" w:sz="4" w:space="0" w:color="000000"/>
            </w:tcBorders>
          </w:tcPr>
          <w:p w:rsidR="00043D8B" w:rsidRPr="00880B33" w:rsidRDefault="00043D8B" w:rsidP="00833647">
            <w:pPr>
              <w:autoSpaceDE w:val="0"/>
              <w:autoSpaceDN w:val="0"/>
              <w:spacing w:after="0"/>
              <w:jc w:val="both"/>
              <w:rPr>
                <w:rFonts w:ascii="Times New Roman" w:hAnsi="Times New Roman"/>
                <w:b/>
                <w:bCs/>
                <w:sz w:val="20"/>
                <w:szCs w:val="20"/>
                <w:u w:val="single"/>
              </w:rPr>
            </w:pPr>
            <w:r w:rsidRPr="00880B33">
              <w:rPr>
                <w:rFonts w:ascii="Times New Roman" w:hAnsi="Times New Roman"/>
                <w:b/>
                <w:bCs/>
                <w:sz w:val="20"/>
                <w:szCs w:val="20"/>
                <w:u w:val="single"/>
              </w:rPr>
              <w:t>Vysoká priorita</w:t>
            </w:r>
          </w:p>
          <w:p w:rsidR="00043D8B" w:rsidRPr="00880B33" w:rsidRDefault="00043D8B" w:rsidP="00833647">
            <w:pPr>
              <w:autoSpaceDE w:val="0"/>
              <w:autoSpaceDN w:val="0"/>
              <w:spacing w:after="0"/>
              <w:jc w:val="both"/>
              <w:rPr>
                <w:rFonts w:ascii="Times New Roman" w:hAnsi="Times New Roman"/>
                <w:sz w:val="20"/>
                <w:szCs w:val="20"/>
              </w:rPr>
            </w:pPr>
            <w:r w:rsidRPr="00880B33">
              <w:rPr>
                <w:rFonts w:ascii="Times New Roman" w:hAnsi="Times New Roman"/>
                <w:bCs/>
                <w:sz w:val="20"/>
                <w:szCs w:val="20"/>
              </w:rPr>
              <w:t>Slovenská republika vo všeobecnosti podporuje Návrh nariadenia o zriadení európskeho nástroja stabilizácie investícií.</w:t>
            </w:r>
            <w:r w:rsidRPr="00880B33">
              <w:rPr>
                <w:rFonts w:ascii="Times New Roman" w:hAnsi="Times New Roman"/>
                <w:sz w:val="20"/>
                <w:szCs w:val="20"/>
              </w:rPr>
              <w:t xml:space="preserve"> Vzhľadom na štruktúru HMÚ členské štáty eurozóny nie sú dostatočne schopné samostatne tlmiť veľké asymetrické otrasy. Slovenská republika dlhodobo </w:t>
            </w:r>
            <w:r w:rsidRPr="00880B33">
              <w:rPr>
                <w:rFonts w:ascii="Times New Roman" w:hAnsi="Times New Roman"/>
                <w:bCs/>
                <w:sz w:val="20"/>
                <w:szCs w:val="20"/>
              </w:rPr>
              <w:t>podporuje vytvorenie nástroja makroekonomickej stabilizácie pre eurozónu</w:t>
            </w:r>
            <w:r w:rsidRPr="00880B33">
              <w:rPr>
                <w:rFonts w:ascii="Times New Roman" w:hAnsi="Times New Roman"/>
                <w:sz w:val="20"/>
                <w:szCs w:val="20"/>
              </w:rPr>
              <w:t xml:space="preserve">, ktorý považujeme za významný krok k zvýšeniu stability a odolnosti HMÚ. Zároveň súhlasíme s rozšírením využiteľnosti nástroja pre štáty, ktoré nie sú členmi eurozóny, ale pristúpili do ERM II.Z hľadiska podmienenosti využívania EISF </w:t>
            </w:r>
            <w:r w:rsidRPr="00880B33">
              <w:rPr>
                <w:rFonts w:ascii="Times New Roman" w:hAnsi="Times New Roman"/>
                <w:bCs/>
                <w:sz w:val="20"/>
                <w:szCs w:val="20"/>
              </w:rPr>
              <w:t>podporujeme kritériá oprávnenosti</w:t>
            </w:r>
            <w:r w:rsidRPr="00880B33">
              <w:rPr>
                <w:rFonts w:ascii="Times New Roman" w:hAnsi="Times New Roman"/>
                <w:sz w:val="20"/>
                <w:szCs w:val="20"/>
              </w:rPr>
              <w:t xml:space="preserve">, ktoré umožňujú čerpanie iba fiškálne zodpovedným štátom. Vo všeobecnosti vítame, že </w:t>
            </w:r>
            <w:r w:rsidRPr="00880B33">
              <w:rPr>
                <w:rFonts w:ascii="Times New Roman" w:hAnsi="Times New Roman"/>
                <w:bCs/>
                <w:sz w:val="20"/>
                <w:szCs w:val="20"/>
              </w:rPr>
              <w:t>kritériá aktivácie</w:t>
            </w:r>
            <w:r w:rsidRPr="00880B33">
              <w:rPr>
                <w:rFonts w:ascii="Times New Roman" w:hAnsi="Times New Roman"/>
                <w:sz w:val="20"/>
                <w:szCs w:val="20"/>
              </w:rPr>
              <w:t xml:space="preserve"> EISF sú založené na výkyvoch miery nezamestnanosti, ktorá je citlivá na hospodársky cyklus. V rámci rokovaní budeme požadovať, aby kritériá aktivácie podpory EISF neboli nevýhodné pre štáty, ktoré zaznamenali významný pokrok v znižovaní nezamestnanosti. Návrh na vytvorenie </w:t>
            </w:r>
            <w:r w:rsidRPr="00880B33">
              <w:rPr>
                <w:rFonts w:ascii="Times New Roman" w:hAnsi="Times New Roman"/>
                <w:bCs/>
                <w:sz w:val="20"/>
                <w:szCs w:val="20"/>
              </w:rPr>
              <w:t>Fondu na podporu stabilizácie</w:t>
            </w:r>
            <w:r w:rsidRPr="00880B33">
              <w:rPr>
                <w:rFonts w:ascii="Times New Roman" w:hAnsi="Times New Roman"/>
                <w:sz w:val="20"/>
                <w:szCs w:val="20"/>
              </w:rPr>
              <w:t xml:space="preserve"> pri súčasnom nastavení podporujeme s podmienkou, že jeho fungovanie by malo byť z dlhodobého hľadiska fiškálne neutrálne.</w:t>
            </w:r>
          </w:p>
        </w:tc>
      </w:tr>
      <w:tr w:rsidR="00043D8B" w:rsidTr="00B1660F">
        <w:trPr>
          <w:trHeight w:val="74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Pr="00D15EE0" w:rsidRDefault="00043D8B" w:rsidP="00632382">
            <w:pPr>
              <w:spacing w:after="0"/>
              <w:ind w:left="1"/>
              <w:jc w:val="both"/>
              <w:rPr>
                <w:rFonts w:ascii="Times New Roman" w:hAnsi="Times New Roman"/>
                <w:sz w:val="20"/>
                <w:szCs w:val="20"/>
              </w:rPr>
            </w:pPr>
            <w:r w:rsidRPr="00D15EE0">
              <w:rPr>
                <w:rFonts w:ascii="Times New Roman" w:hAnsi="Times New Roman"/>
                <w:sz w:val="20"/>
                <w:szCs w:val="20"/>
              </w:rPr>
              <w:t>Návrh NARIADENIA EURÓPSKEHO PARLAMENTU A RADY o financovaní, riadení a monitorovaní spoločnej poľnohospodárskej politiky, ktorým sa zrušuje nariadenie (EÚ) č. 1306/2013 COM (2018) 393 final 2018/0217 COD 1. 6. 2018</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MPaRV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MF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MŽP SR</w:t>
            </w:r>
          </w:p>
        </w:tc>
        <w:tc>
          <w:tcPr>
            <w:tcW w:w="5386" w:type="dxa"/>
            <w:tcBorders>
              <w:top w:val="single" w:sz="4" w:space="0" w:color="000000"/>
              <w:left w:val="single" w:sz="4" w:space="0" w:color="000000"/>
              <w:bottom w:val="single" w:sz="4" w:space="0" w:color="000000"/>
              <w:right w:val="single" w:sz="4" w:space="0" w:color="000000"/>
            </w:tcBorders>
          </w:tcPr>
          <w:p w:rsidR="00043D8B" w:rsidRPr="00641738" w:rsidRDefault="00043D8B" w:rsidP="00833647">
            <w:pPr>
              <w:spacing w:after="0"/>
              <w:ind w:left="4" w:right="49"/>
              <w:jc w:val="both"/>
              <w:rPr>
                <w:rFonts w:ascii="Times New Roman" w:hAnsi="Times New Roman"/>
                <w:b/>
                <w:bCs/>
                <w:sz w:val="20"/>
                <w:szCs w:val="20"/>
                <w:u w:val="single"/>
              </w:rPr>
            </w:pPr>
            <w:r w:rsidRPr="00641738">
              <w:rPr>
                <w:rFonts w:ascii="Times New Roman" w:hAnsi="Times New Roman"/>
                <w:b/>
                <w:bCs/>
                <w:sz w:val="20"/>
                <w:szCs w:val="20"/>
                <w:u w:val="single"/>
              </w:rPr>
              <w:t>Vysoká priorita</w:t>
            </w:r>
          </w:p>
          <w:p w:rsidR="00043D8B" w:rsidRDefault="00043D8B" w:rsidP="00833647">
            <w:pPr>
              <w:spacing w:after="0"/>
              <w:ind w:left="4" w:right="49"/>
              <w:jc w:val="both"/>
              <w:rPr>
                <w:rFonts w:ascii="Times New Roman" w:hAnsi="Times New Roman"/>
                <w:sz w:val="20"/>
              </w:rPr>
            </w:pPr>
            <w:r>
              <w:rPr>
                <w:rFonts w:ascii="Times New Roman" w:hAnsi="Times New Roman"/>
                <w:sz w:val="20"/>
              </w:rPr>
              <w:t>SR nesúhlasí s tým, aby celková nevyužitá suma krízovej rezervy, ktorá bude k dispozícii ku konca roka 2020, nebola  vo finančnom roku 2021 refundovaná prijímateľom. Na vytvorenie poľnohospodárskej rezervy v roku 2021 by sa mali v prvom rade použiť  nevyužité rozpočtové prostriedky z rozpočtového roku 2020 a príjmy pripísané do rozpočtu EPZF v rozpočtovom roku 2020. Pokiaľ ide o výročné schvaľovanie výkonnosti, SR trvá na názore, že metodika a kritériá na uplatnenie znížení by mali byť stanovené v základom akte alebo prijímané vykonávacími aktmi, čo by umožnilo členským štátom vyjadriť svoj názor na návrh aktu.</w:t>
            </w:r>
            <w:r>
              <w:rPr>
                <w:rFonts w:ascii="Times New Roman" w:hAnsi="Times New Roman"/>
                <w:b/>
                <w:sz w:val="20"/>
              </w:rPr>
              <w:t xml:space="preserve"> </w:t>
            </w:r>
            <w:r>
              <w:rPr>
                <w:rFonts w:ascii="Times New Roman" w:hAnsi="Times New Roman"/>
                <w:sz w:val="20"/>
              </w:rPr>
              <w:t>Podobne v prípade ustanovenia upravujúceho postup overovania súladu by sme chceli mať možnosť vyjadriť sa k metodike a kritériám na uplatnenie finančných opráv, preto požadujeme, aby tieto boli uvedené priamo v základnom akte alebo prijímané vykonávacím aktom. Uplatnenie týchto ustanovení by mohlo mať výrazný vplyv na rozpočty členských štátov, preto je nevyhnutné, aby základné kritériá upravujúce rozsah znížení/korekcií boli uvedené v základnom akte.</w:t>
            </w:r>
          </w:p>
        </w:tc>
      </w:tr>
      <w:tr w:rsidR="00043D8B" w:rsidTr="00B1660F">
        <w:trPr>
          <w:trHeight w:val="601"/>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Pr="005D61E4" w:rsidRDefault="00043D8B" w:rsidP="00D15EE0">
            <w:pPr>
              <w:spacing w:after="0"/>
              <w:ind w:left="1"/>
              <w:jc w:val="both"/>
              <w:rPr>
                <w:rFonts w:ascii="Times New Roman" w:hAnsi="Times New Roman"/>
                <w:sz w:val="20"/>
                <w:szCs w:val="20"/>
              </w:rPr>
            </w:pPr>
            <w:r w:rsidRPr="005D61E4">
              <w:rPr>
                <w:rFonts w:ascii="Times New Roman" w:hAnsi="Times New Roman"/>
                <w:sz w:val="20"/>
                <w:szCs w:val="20"/>
              </w:rPr>
              <w:t>Návrh NARIADENIA EURÓPSKEHO PARLAMENTU A RADY, ktorým sa mení nariadenie (EÚ) č. 1308/2013, ktorým sa vytvára spoločná organizácia trhov s poľnohospodárskymi výrobkami, nariadenie (EÚ) č. 1151/2012 o systémoch kvality pre poľnohospodárske výrobky a potraviny, nariadenie (EÚ) č. 251/2014 o vymedzení, opise, obchodnej úprave, označovaní a ochrane zemepisných označení aromatizovaných vínnych výrobkov, nariadenie (EÚ) č. 228/2013 o osobitných opatreniach v oblasti poľnohospodárstva v prospech najvzdialenejších regiónov Únie a nariadenie (EÚ) č. 229/2013 o osobitných opatreniach v oblasti poľnohospodárstva v prospech menších ostrovov v Egejskom mori COM (2018) 394 final 2018/0218 COD 1. 6. 2018</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MPaRV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MF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MŽP SR</w:t>
            </w:r>
          </w:p>
        </w:tc>
        <w:tc>
          <w:tcPr>
            <w:tcW w:w="5386" w:type="dxa"/>
            <w:tcBorders>
              <w:top w:val="single" w:sz="4" w:space="0" w:color="000000"/>
              <w:left w:val="single" w:sz="4" w:space="0" w:color="000000"/>
              <w:bottom w:val="single" w:sz="4" w:space="0" w:color="000000"/>
              <w:right w:val="single" w:sz="4" w:space="0" w:color="000000"/>
            </w:tcBorders>
          </w:tcPr>
          <w:p w:rsidR="00043D8B" w:rsidRPr="00641738" w:rsidRDefault="00043D8B" w:rsidP="00833647">
            <w:pPr>
              <w:spacing w:after="0"/>
              <w:ind w:left="4" w:right="49"/>
              <w:jc w:val="both"/>
              <w:rPr>
                <w:rFonts w:ascii="Times New Roman" w:hAnsi="Times New Roman"/>
                <w:b/>
                <w:sz w:val="20"/>
                <w:u w:val="single"/>
              </w:rPr>
            </w:pPr>
            <w:r w:rsidRPr="00641738">
              <w:rPr>
                <w:rFonts w:ascii="Times New Roman" w:hAnsi="Times New Roman"/>
                <w:b/>
                <w:sz w:val="20"/>
                <w:u w:val="single"/>
              </w:rPr>
              <w:t>Vysoká priorita</w:t>
            </w:r>
          </w:p>
          <w:p w:rsidR="00043D8B" w:rsidRDefault="00043D8B" w:rsidP="00833647">
            <w:pPr>
              <w:spacing w:after="0"/>
              <w:ind w:left="4" w:right="49"/>
              <w:jc w:val="both"/>
              <w:rPr>
                <w:rFonts w:ascii="Times New Roman" w:hAnsi="Times New Roman"/>
                <w:sz w:val="20"/>
              </w:rPr>
            </w:pPr>
            <w:r w:rsidRPr="00641738">
              <w:rPr>
                <w:rFonts w:ascii="Times New Roman" w:hAnsi="Times New Roman"/>
                <w:sz w:val="20"/>
              </w:rPr>
              <w:t>Dôležitou úlohou je príprava nového nariadenia o SOT, ktoré je súčasťou legislatívneho balíka týkajúceho sa Spoločnej poľnohospodárskej politiky na obdobie 2021 – 2027. Navrhnutá štruktúra nariadenia mení celú SOT nasledovne: časti pôvodného nariadenia 1308/2013 sa presúvajú do nariadenia o strategických plánov (do časti sektorové indikátory - ovocie a zelenina, víno, včelárstvo, chmeľ, olivový olej  a novovytvorená časť "ostatné", kde môžu byť zaradené napr. bielkovinové plodiny a zemiaky). Sektory, pre ktoré sú stanovené indikátory, budú súčasťou strategického plánu členského štátu</w:t>
            </w: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Pr="005D61E4" w:rsidRDefault="00043D8B" w:rsidP="00D15EE0">
            <w:pPr>
              <w:spacing w:after="0" w:line="273" w:lineRule="auto"/>
              <w:ind w:left="1"/>
              <w:jc w:val="both"/>
              <w:rPr>
                <w:sz w:val="20"/>
                <w:szCs w:val="20"/>
              </w:rPr>
            </w:pPr>
            <w:r w:rsidRPr="005D61E4">
              <w:rPr>
                <w:rFonts w:ascii="Times New Roman" w:hAnsi="Times New Roman"/>
                <w:sz w:val="20"/>
                <w:szCs w:val="20"/>
              </w:rPr>
              <w:t xml:space="preserve">Návrh NARIADENIA EURÓPSKEHO PARLAMENTU A RADY ktorým sa stanovujú pravidlá týkajúce sa strategických plánov, ktoré majú zostaviť členské štáty v rámci spoločnej poľnohospodárskej politiky </w:t>
            </w:r>
          </w:p>
          <w:p w:rsidR="00043D8B" w:rsidRPr="005D61E4" w:rsidRDefault="00043D8B" w:rsidP="00D15EE0">
            <w:pPr>
              <w:spacing w:after="0"/>
              <w:ind w:left="1" w:right="118"/>
              <w:jc w:val="both"/>
              <w:rPr>
                <w:sz w:val="20"/>
                <w:szCs w:val="20"/>
              </w:rPr>
            </w:pPr>
            <w:r w:rsidRPr="005D61E4">
              <w:rPr>
                <w:rFonts w:ascii="Times New Roman" w:hAnsi="Times New Roman"/>
                <w:sz w:val="20"/>
                <w:szCs w:val="20"/>
              </w:rPr>
              <w:t>(strategické plány SPP) a ktoré sú financované z Európskeho poľnohospodárskeho záručného fondu (EPZF) a Európskeho poľnohospodárskeho fondu pre rozvoj vidieka (EPFRV), a ktorým sa zrušuje nariadenie Európskeho parlamentu a Rady (EÚ) č. 1305/2013 a nariadenie Európskeho parlamentu a Rady (EÚ) č. 1307/2013 COM (2018) 392 final 2018/0216 COD 1. 6. 2018</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MPaRV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MF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MŽP SR</w:t>
            </w:r>
          </w:p>
        </w:tc>
        <w:tc>
          <w:tcPr>
            <w:tcW w:w="5386" w:type="dxa"/>
            <w:tcBorders>
              <w:top w:val="single" w:sz="4" w:space="0" w:color="000000"/>
              <w:left w:val="single" w:sz="4" w:space="0" w:color="000000"/>
              <w:bottom w:val="single" w:sz="4" w:space="0" w:color="000000"/>
              <w:right w:val="single" w:sz="4" w:space="0" w:color="000000"/>
            </w:tcBorders>
          </w:tcPr>
          <w:p w:rsidR="00043D8B" w:rsidRPr="00641738" w:rsidRDefault="00043D8B" w:rsidP="00833647">
            <w:pPr>
              <w:spacing w:after="0"/>
              <w:rPr>
                <w:rFonts w:ascii="Times New Roman" w:hAnsi="Times New Roman"/>
                <w:b/>
                <w:sz w:val="20"/>
                <w:u w:val="single"/>
              </w:rPr>
            </w:pPr>
            <w:r w:rsidRPr="00641738">
              <w:rPr>
                <w:rFonts w:ascii="Times New Roman" w:hAnsi="Times New Roman"/>
                <w:b/>
                <w:sz w:val="20"/>
                <w:u w:val="single"/>
              </w:rPr>
              <w:t>Vysoká priorita</w:t>
            </w:r>
          </w:p>
          <w:p w:rsidR="00043D8B" w:rsidRPr="00641738" w:rsidRDefault="00043D8B" w:rsidP="00833647">
            <w:pPr>
              <w:spacing w:after="0"/>
              <w:jc w:val="both"/>
              <w:rPr>
                <w:rFonts w:ascii="Times New Roman" w:hAnsi="Times New Roman"/>
                <w:sz w:val="20"/>
              </w:rPr>
            </w:pPr>
            <w:r w:rsidRPr="00641738">
              <w:rPr>
                <w:rFonts w:ascii="Times New Roman" w:hAnsi="Times New Roman"/>
                <w:sz w:val="20"/>
              </w:rPr>
              <w:t xml:space="preserve">Súčasť legislatívneho balíka pre SPP 2021-2027 (priame platby a rozvoj vidieka). Strategický plán SPP je hlavný strategický dokument pre implementáciu podpory EÚ v oblasti SPP. </w:t>
            </w:r>
          </w:p>
          <w:p w:rsidR="00043D8B" w:rsidRDefault="00043D8B" w:rsidP="00833647">
            <w:pPr>
              <w:spacing w:after="0"/>
              <w:ind w:left="4" w:right="49"/>
              <w:jc w:val="both"/>
              <w:rPr>
                <w:rFonts w:ascii="Times New Roman" w:hAnsi="Times New Roman"/>
                <w:sz w:val="20"/>
              </w:rPr>
            </w:pP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Pr="005D61E4" w:rsidRDefault="00043D8B" w:rsidP="00D15EE0">
            <w:pPr>
              <w:spacing w:after="0"/>
              <w:ind w:left="1"/>
              <w:jc w:val="both"/>
              <w:rPr>
                <w:rFonts w:ascii="Times New Roman" w:hAnsi="Times New Roman"/>
                <w:sz w:val="20"/>
                <w:szCs w:val="20"/>
              </w:rPr>
            </w:pPr>
            <w:r w:rsidRPr="005D61E4">
              <w:rPr>
                <w:rFonts w:ascii="Times New Roman" w:hAnsi="Times New Roman"/>
                <w:sz w:val="20"/>
                <w:szCs w:val="20"/>
              </w:rPr>
              <w:t xml:space="preserve">Návrh NARIADENIA EURÓPSKEHO PARLAMENTU A RADY, ktorým sa zriaďuje Nástroj na prepájanie Európy a zrušujú sa nariadenia (EÚ) č. 1316/2013 a (EÚ) č. 283/2014  COM (2018) 438 final 2018/0228 COD 6. 6. 2018 </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MDaV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MH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UPPVII</w:t>
            </w:r>
          </w:p>
        </w:tc>
        <w:tc>
          <w:tcPr>
            <w:tcW w:w="5386" w:type="dxa"/>
            <w:tcBorders>
              <w:top w:val="single" w:sz="4" w:space="0" w:color="000000"/>
              <w:left w:val="single" w:sz="4" w:space="0" w:color="000000"/>
              <w:bottom w:val="single" w:sz="4" w:space="0" w:color="000000"/>
              <w:right w:val="single" w:sz="4" w:space="0" w:color="000000"/>
            </w:tcBorders>
          </w:tcPr>
          <w:p w:rsidR="00043D8B" w:rsidRPr="007F4ECD" w:rsidRDefault="00043D8B" w:rsidP="00833647">
            <w:pPr>
              <w:spacing w:after="0"/>
              <w:rPr>
                <w:rFonts w:ascii="Times New Roman" w:hAnsi="Times New Roman"/>
                <w:b/>
                <w:sz w:val="20"/>
                <w:u w:val="single"/>
              </w:rPr>
            </w:pPr>
            <w:r w:rsidRPr="007F4ECD">
              <w:rPr>
                <w:rFonts w:ascii="Times New Roman" w:hAnsi="Times New Roman"/>
                <w:b/>
                <w:sz w:val="20"/>
                <w:u w:val="single"/>
              </w:rPr>
              <w:t xml:space="preserve">Vysoká priorita </w:t>
            </w:r>
          </w:p>
          <w:p w:rsidR="00043D8B" w:rsidRDefault="00043D8B" w:rsidP="00833647">
            <w:pPr>
              <w:spacing w:after="0"/>
              <w:ind w:left="4" w:right="49"/>
              <w:jc w:val="both"/>
              <w:rPr>
                <w:rFonts w:ascii="Times New Roman" w:hAnsi="Times New Roman"/>
                <w:sz w:val="20"/>
              </w:rPr>
            </w:pPr>
            <w:r>
              <w:rPr>
                <w:rFonts w:ascii="Times New Roman" w:hAnsi="Times New Roman"/>
                <w:sz w:val="20"/>
              </w:rPr>
              <w:t xml:space="preserve">Nariadenie stanoví rozpočty na financovanie energetickej infraštruktúry s európskym významom (Projects of Common Interest) na rozpočtové obdobie 2021-2027. SR má viacero projektov, ktoré sa plánujú uchádzať o financovanie z tohto nástroja. </w:t>
            </w:r>
            <w:r w:rsidRPr="00043D8B">
              <w:rPr>
                <w:rFonts w:ascii="Times New Roman" w:hAnsi="Times New Roman"/>
                <w:color w:val="auto"/>
                <w:sz w:val="24"/>
                <w:szCs w:val="24"/>
              </w:rPr>
              <w:t xml:space="preserve"> </w:t>
            </w:r>
            <w:r>
              <w:rPr>
                <w:rFonts w:ascii="Times New Roman" w:hAnsi="Times New Roman"/>
                <w:sz w:val="20"/>
              </w:rPr>
              <w:t xml:space="preserve">CEF ako jeden z hlavných finančných nástrojov EÚ pre investície do transeurópskych sietí (dopravnej, energetickej, digitálnej) má za cieľ v oblasti dopravy výrazne prispieť k dokončeniu oboch úrovní siete TEN-T (základnej i súhrnnej) ako aj k interoperabilite európskych systémov riadenia dopravy a podpore inteligentnej a udržateľnej mobility. Prostredníctvom nástroja CEF sa budú realizovať aj tzv. civilno-vojenské projekty duálneho využitia dopravnej infraštruktúry. </w:t>
            </w:r>
          </w:p>
          <w:p w:rsidR="00043D8B" w:rsidRPr="00043D8B" w:rsidRDefault="00043D8B" w:rsidP="00833647">
            <w:pPr>
              <w:spacing w:after="0"/>
              <w:jc w:val="both"/>
              <w:rPr>
                <w:rFonts w:ascii="Times New Roman" w:hAnsi="Times New Roman"/>
                <w:color w:val="auto"/>
                <w:sz w:val="24"/>
                <w:szCs w:val="24"/>
              </w:rPr>
            </w:pPr>
            <w:r>
              <w:rPr>
                <w:rFonts w:ascii="Times New Roman" w:hAnsi="Times New Roman"/>
                <w:sz w:val="20"/>
              </w:rPr>
              <w:t>Komplikovanou časťou CEF je práve jej kohézna časť, ktorá sa odvíja od všeobecného nariadenia pre jednotlivé fondy. SK ako predsednícky štát V4 vypracovalo spoločnú deklaráciu s hlavnými pripomienkami.</w:t>
            </w:r>
          </w:p>
          <w:p w:rsidR="00043D8B" w:rsidRPr="007F4ECD" w:rsidRDefault="00043D8B" w:rsidP="00833647">
            <w:pPr>
              <w:pStyle w:val="Textkomentra"/>
              <w:spacing w:after="0"/>
            </w:pPr>
            <w:r>
              <w:rPr>
                <w:rStyle w:val="Odkaznakomentr"/>
              </w:rPr>
              <w:t/>
            </w: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 xml:space="preserve">Návrh NARIADENIA EURÓPSKEHO PARLAMENTU A RADY, ktorým sa zriaďuje Program pre jednotný trh, konkurencieschopnosť podnikov vrátane malých a stredných podnikov a európsku štatistiku a ktorým sa zrušuje nariadenie (EÚ) č. 99/2013, nariadenie (EÚ) č. 1287/2013, nariadenie (EÚ) č. 254/2014, nariadenie (EÚ) č. 258/2014, nariadenie (EÚ) č. 652/2014 a nariadenie (EÚ) 2017/826 COM (2018) 441 final </w:t>
            </w:r>
            <w:r>
              <w:t xml:space="preserve"> </w:t>
            </w:r>
            <w:r>
              <w:rPr>
                <w:rFonts w:ascii="Times New Roman" w:hAnsi="Times New Roman"/>
                <w:sz w:val="20"/>
              </w:rPr>
              <w:t xml:space="preserve">2018/0231 COD 7. 6. 2018 </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MH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MF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MS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MPaRV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ŠÚ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ÚNMS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FS SR</w:t>
            </w:r>
          </w:p>
          <w:p w:rsidR="00043D8B" w:rsidRPr="001129C1" w:rsidRDefault="00043D8B" w:rsidP="00833647">
            <w:pPr>
              <w:spacing w:after="0"/>
              <w:ind w:left="4" w:right="49"/>
              <w:jc w:val="both"/>
              <w:rPr>
                <w:rFonts w:ascii="Times New Roman" w:hAnsi="Times New Roman"/>
                <w:b/>
                <w:sz w:val="20"/>
              </w:rPr>
            </w:pPr>
          </w:p>
        </w:tc>
        <w:tc>
          <w:tcPr>
            <w:tcW w:w="5386" w:type="dxa"/>
            <w:tcBorders>
              <w:top w:val="single" w:sz="4" w:space="0" w:color="000000"/>
              <w:left w:val="single" w:sz="4" w:space="0" w:color="000000"/>
              <w:bottom w:val="single" w:sz="4" w:space="0" w:color="000000"/>
              <w:right w:val="single" w:sz="4" w:space="0" w:color="000000"/>
            </w:tcBorders>
          </w:tcPr>
          <w:p w:rsidR="00043D8B" w:rsidRPr="00880B33" w:rsidRDefault="00043D8B" w:rsidP="00833647">
            <w:pPr>
              <w:spacing w:after="0" w:line="259" w:lineRule="auto"/>
              <w:jc w:val="both"/>
              <w:rPr>
                <w:rFonts w:ascii="Times New Roman" w:hAnsi="Times New Roman"/>
                <w:b/>
                <w:sz w:val="20"/>
                <w:szCs w:val="20"/>
                <w:u w:val="single"/>
              </w:rPr>
            </w:pPr>
            <w:r>
              <w:rPr>
                <w:rFonts w:ascii="Times New Roman" w:hAnsi="Times New Roman"/>
                <w:b/>
                <w:sz w:val="20"/>
                <w:szCs w:val="20"/>
                <w:u w:val="single"/>
              </w:rPr>
              <w:t xml:space="preserve">Stredná </w:t>
            </w:r>
            <w:r w:rsidRPr="00880B33">
              <w:rPr>
                <w:rFonts w:ascii="Times New Roman" w:hAnsi="Times New Roman"/>
                <w:b/>
                <w:sz w:val="20"/>
                <w:szCs w:val="20"/>
                <w:u w:val="single"/>
              </w:rPr>
              <w:t>priorita</w:t>
            </w:r>
          </w:p>
          <w:p w:rsidR="00043D8B" w:rsidRDefault="00043D8B" w:rsidP="00833647">
            <w:pPr>
              <w:spacing w:after="0"/>
              <w:ind w:left="4" w:right="49"/>
              <w:jc w:val="both"/>
              <w:rPr>
                <w:rFonts w:ascii="Times New Roman" w:hAnsi="Times New Roman"/>
                <w:sz w:val="20"/>
              </w:rPr>
            </w:pPr>
            <w:r>
              <w:rPr>
                <w:rFonts w:ascii="Times New Roman" w:hAnsi="Times New Roman"/>
                <w:sz w:val="20"/>
              </w:rPr>
              <w:t xml:space="preserve">Nariadením sa zriadi Program združujúci 5 predchádzajúcich programov v rámci budúceho rozpočtu EÚ na 2021- 2027. </w:t>
            </w:r>
            <w:r w:rsidRPr="00DB03CC">
              <w:rPr>
                <w:rFonts w:ascii="Times New Roman" w:hAnsi="Times New Roman"/>
                <w:sz w:val="20"/>
              </w:rPr>
              <w:t>SR vo všeobecnosti podporovala prijatie uvedeného programu bez zásadnejších zmien, nakoľko do značnej miery nadväzuje už na existujúce a fungujúce programy v rámci aktuálneho viacročného finančného rámca.</w:t>
            </w:r>
          </w:p>
          <w:p w:rsidR="00043D8B" w:rsidRDefault="00043D8B" w:rsidP="00833647">
            <w:pPr>
              <w:spacing w:after="0"/>
              <w:ind w:left="4" w:right="49"/>
              <w:jc w:val="both"/>
              <w:rPr>
                <w:rFonts w:ascii="Times New Roman" w:hAnsi="Times New Roman"/>
                <w:sz w:val="20"/>
              </w:rPr>
            </w:pP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 xml:space="preserve">Návrh NARIADENIE EURÓPSKEHO PARLAMENTU A RADY, ktorým sa stanovuje Vesmírny program Únie a zriaďuje Agentúra Európskej únie pre vesmírny program a ktorým sa zrušujú nariadenia (EÚ) č. 912/2010, (EÚ) č. 1285/2013, (EÚ) č. 377/2014 a rozhodnutie č. 541/2014/EÚ COM (2018) 447 final 2018/0236 COD 6. 6. 2018 </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MŠVVaR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MZVEZ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MF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MV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MŽP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MDaV SR</w:t>
            </w:r>
          </w:p>
        </w:tc>
        <w:tc>
          <w:tcPr>
            <w:tcW w:w="5386" w:type="dxa"/>
            <w:tcBorders>
              <w:top w:val="single" w:sz="4" w:space="0" w:color="000000"/>
              <w:left w:val="single" w:sz="4" w:space="0" w:color="000000"/>
              <w:bottom w:val="single" w:sz="4" w:space="0" w:color="000000"/>
              <w:right w:val="single" w:sz="4" w:space="0" w:color="000000"/>
            </w:tcBorders>
          </w:tcPr>
          <w:p w:rsidR="00043D8B" w:rsidRPr="00880B33" w:rsidRDefault="00043D8B" w:rsidP="00833647">
            <w:pPr>
              <w:spacing w:after="0" w:line="259" w:lineRule="auto"/>
              <w:jc w:val="both"/>
              <w:rPr>
                <w:rFonts w:ascii="Times New Roman" w:hAnsi="Times New Roman"/>
                <w:b/>
                <w:sz w:val="20"/>
                <w:szCs w:val="20"/>
                <w:u w:val="single"/>
              </w:rPr>
            </w:pPr>
            <w:r w:rsidRPr="00880B33">
              <w:rPr>
                <w:rFonts w:ascii="Times New Roman" w:hAnsi="Times New Roman"/>
                <w:b/>
                <w:sz w:val="20"/>
                <w:szCs w:val="20"/>
                <w:u w:val="single"/>
              </w:rPr>
              <w:t>Vysoká priorita</w:t>
            </w:r>
          </w:p>
          <w:p w:rsidR="00043D8B" w:rsidRPr="00880B33" w:rsidRDefault="00043D8B" w:rsidP="00833647">
            <w:pPr>
              <w:spacing w:after="0" w:line="259" w:lineRule="auto"/>
              <w:jc w:val="both"/>
              <w:rPr>
                <w:rFonts w:ascii="Times New Roman" w:hAnsi="Times New Roman"/>
                <w:b/>
                <w:sz w:val="20"/>
                <w:szCs w:val="20"/>
              </w:rPr>
            </w:pPr>
            <w:r w:rsidRPr="00880B33">
              <w:rPr>
                <w:rFonts w:ascii="Times New Roman" w:hAnsi="Times New Roman"/>
                <w:sz w:val="20"/>
                <w:szCs w:val="20"/>
              </w:rPr>
              <w:t xml:space="preserve">Slovenská republika nemá výhrady k </w:t>
            </w:r>
            <w:r w:rsidRPr="00880B33">
              <w:rPr>
                <w:rFonts w:ascii="Times New Roman" w:hAnsi="Times New Roman"/>
                <w:noProof/>
                <w:sz w:val="20"/>
                <w:szCs w:val="20"/>
              </w:rPr>
              <w:t xml:space="preserve">návrhu nariadenia EP a Rady. </w:t>
            </w:r>
            <w:r w:rsidRPr="00880B33">
              <w:rPr>
                <w:rFonts w:ascii="Times New Roman" w:hAnsi="Times New Roman"/>
                <w:noProof/>
                <w:spacing w:val="-4"/>
                <w:sz w:val="20"/>
                <w:szCs w:val="20"/>
              </w:rPr>
              <w:t>Návrh je súčasťou opatrení nadväzujúcich na EVS z roku 2016. Všetky činnosti EÚ v tejto vysoko strategickej oblasti sa zlúčia v plne integrovanom vesmírnom programe, ktorý zastrešuje systémy Copernicus, Galileo/EGNOS, SSA/SST a novú iniciatívu GovSatCom s celkovým rozpočtom vyše 16 mld. eur. Tým sa zabezpečí súdržný rámec pre budúce investície ponúkajúci väčšiu viditeľnosť a flexibilitu. Zlepšenie efektivity v konečnom dôsledku pomôže pri zavádzaní nových služieb opierajúcich sa o vesmírne technológie, ktoré budú prínosom pre všetkých občanov EÚ.</w:t>
            </w: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 xml:space="preserve">Návrh NARIADENIA EURÓPSKEHO PARLAMENTU A RADY, ktorým sa zriaďuje Európsky obranný fond COM (2018) 476 final 2018/0254 COD 13. 6. 2018 </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 xml:space="preserve">MO SR </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MH SR</w:t>
            </w:r>
          </w:p>
        </w:tc>
        <w:tc>
          <w:tcPr>
            <w:tcW w:w="5386" w:type="dxa"/>
            <w:tcBorders>
              <w:top w:val="single" w:sz="4" w:space="0" w:color="000000"/>
              <w:left w:val="single" w:sz="4" w:space="0" w:color="000000"/>
              <w:bottom w:val="single" w:sz="4" w:space="0" w:color="000000"/>
              <w:right w:val="single" w:sz="4" w:space="0" w:color="000000"/>
            </w:tcBorders>
          </w:tcPr>
          <w:p w:rsidR="00043D8B" w:rsidRPr="00880B33" w:rsidRDefault="00043D8B" w:rsidP="00833647">
            <w:pPr>
              <w:spacing w:after="0"/>
              <w:ind w:left="4" w:right="49"/>
              <w:jc w:val="both"/>
              <w:rPr>
                <w:rFonts w:ascii="Times New Roman" w:hAnsi="Times New Roman"/>
                <w:b/>
                <w:sz w:val="20"/>
                <w:u w:val="single"/>
              </w:rPr>
            </w:pPr>
            <w:r w:rsidRPr="00880B33">
              <w:rPr>
                <w:rFonts w:ascii="Times New Roman" w:hAnsi="Times New Roman"/>
                <w:b/>
                <w:sz w:val="20"/>
                <w:u w:val="single"/>
              </w:rPr>
              <w:t>Stredná priorita</w:t>
            </w:r>
          </w:p>
          <w:p w:rsidR="00043D8B" w:rsidRDefault="00043D8B" w:rsidP="00833647">
            <w:pPr>
              <w:spacing w:after="0"/>
              <w:ind w:left="4" w:right="49"/>
              <w:jc w:val="both"/>
              <w:rPr>
                <w:rFonts w:ascii="Times New Roman" w:hAnsi="Times New Roman"/>
                <w:sz w:val="20"/>
              </w:rPr>
            </w:pPr>
            <w:r>
              <w:rPr>
                <w:rFonts w:ascii="Times New Roman" w:hAnsi="Times New Roman"/>
                <w:sz w:val="20"/>
              </w:rPr>
              <w:t>Európsky obranný fond (EDF) prispeje k zvýšeniu konkurencieschopnosti európskeho obranného priemyslu, zlepšeniu obranných spôsobilostí ČŠ EÚ a zvýšeniu strategickej autonómie EÚ. EDF bude tiež v prípade schválenia predstavovať nástroj, pomocou ktorého môže byť ďalej rozvíjané PESCO, a to prostredníctvom získania finančnej podpory pre rozvoj projektov PESCO, predovšetkým týkajúcich sa rozvoja obranných spôsobilostí, vrátane projektu, ktorý koordinuje SR – Nepriama palebná podpora (EuroArtillery). V prípade schválenia bude EDF predstavovať ďalší krok v napredujúcej obrannej spolupráci EÚ, resp. integrácii európskej obrany. Schválenie EDF je v záujme SR. Prostriedky z EDF môžu pomôcť v modernizácii OS SR a viesť k ďalšiemu rozvoju slovenského obranného priemyslu, malých a stredných podnikov a zamestnanosti.</w:t>
            </w: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 xml:space="preserve">Návrh NARIADENIA EURÓPSKEHO PARLAMENTU A RADY, ktorým sa stanovuje program Európsky zbor solidarity a zrušujú [nariadenie o Európskom zbore solidarity] a nariadenie (EÚ) č. 375/2014 COM (2018) 440 final 2018/0230 COD 11. 6. 2018 </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MŠVVaŠ SR</w:t>
            </w:r>
          </w:p>
          <w:p w:rsidR="00043D8B" w:rsidRPr="001129C1" w:rsidRDefault="00043D8B" w:rsidP="00833647">
            <w:pPr>
              <w:spacing w:after="0"/>
              <w:ind w:left="4" w:right="49"/>
              <w:jc w:val="both"/>
              <w:rPr>
                <w:rFonts w:ascii="Times New Roman" w:hAnsi="Times New Roman"/>
                <w:b/>
                <w:sz w:val="20"/>
              </w:rPr>
            </w:pPr>
          </w:p>
        </w:tc>
        <w:tc>
          <w:tcPr>
            <w:tcW w:w="5386" w:type="dxa"/>
            <w:tcBorders>
              <w:top w:val="single" w:sz="4" w:space="0" w:color="000000"/>
              <w:left w:val="single" w:sz="4" w:space="0" w:color="000000"/>
              <w:bottom w:val="single" w:sz="4" w:space="0" w:color="000000"/>
              <w:right w:val="single" w:sz="4" w:space="0" w:color="000000"/>
            </w:tcBorders>
          </w:tcPr>
          <w:p w:rsidR="00043D8B" w:rsidRPr="00880B33" w:rsidRDefault="00043D8B" w:rsidP="00833647">
            <w:pPr>
              <w:spacing w:after="0"/>
              <w:ind w:left="4" w:right="49"/>
              <w:jc w:val="both"/>
              <w:rPr>
                <w:rFonts w:ascii="Times New Roman" w:hAnsi="Times New Roman"/>
                <w:b/>
                <w:sz w:val="20"/>
                <w:u w:val="single"/>
              </w:rPr>
            </w:pPr>
            <w:r w:rsidRPr="00880B33">
              <w:rPr>
                <w:rFonts w:ascii="Times New Roman" w:hAnsi="Times New Roman"/>
                <w:b/>
                <w:sz w:val="20"/>
                <w:u w:val="single"/>
              </w:rPr>
              <w:t>Stredná priorita</w:t>
            </w:r>
          </w:p>
          <w:p w:rsidR="00043D8B" w:rsidRPr="004F4CF9" w:rsidRDefault="004F4CF9" w:rsidP="004F4CF9">
            <w:pPr>
              <w:ind w:left="4" w:right="49"/>
              <w:jc w:val="both"/>
              <w:rPr>
                <w:rFonts w:ascii="Times New Roman" w:hAnsi="Times New Roman"/>
                <w:b/>
                <w:bCs/>
                <w:color w:val="auto"/>
                <w:sz w:val="20"/>
                <w:szCs w:val="20"/>
                <w:u w:val="single"/>
              </w:rPr>
            </w:pPr>
            <w:r w:rsidRPr="004F4CF9">
              <w:rPr>
                <w:rFonts w:ascii="Times New Roman" w:hAnsi="Times New Roman"/>
                <w:sz w:val="20"/>
              </w:rPr>
              <w:t xml:space="preserve">Cieľom nariadenia stanovujúceho právny rámec a rozpočet na roky 2018 - 2020 pre Európsky zbor solidarity je zvýšiť účasť mladých ľudí a organizácií na dostupných a vysokokvalitných činnostiach v oblasti solidarity (dobrovoľnícka činnosť, stáže, pracovné umiestnenia, iniciatívne projekty), a tým prispieť k posilňovaniu súdržnosti a solidarity v Európe, podporovaniu komunít a riešeniu spoločenských výziev. Tieto opatrenia prispejú k zlepšovaniu zručností a schopností v záujme osobného, vzdelávacieho, sociálneho, občianskeho a profesijného rozvoja mladých ľudí, ako aj ich zamestnateľnosti a uľahčia ich prechod zo vzdelávania na trh práce.  Nariadenie tiež zaistí vysokú kvalitu a následné uznávanie činností v oblasti solidarity, ako aj ich prínos k riešeniu konkrétnych neuspokojených spoločenských potrieb a posilňovaniu komunít. Doposiaľ boli zverejnené prvé dve z výziev vďaka ktorým sa do konca roku 2020 môže do Európskeho zboru solidarity zapojiť až 100 000 mladých ľudí z EÚ aj mimo nej. </w:t>
            </w: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Pr="00C66C33" w:rsidRDefault="00043D8B" w:rsidP="00D15EE0">
            <w:pPr>
              <w:spacing w:after="0"/>
              <w:ind w:left="1"/>
              <w:jc w:val="both"/>
              <w:rPr>
                <w:rFonts w:ascii="Times New Roman" w:hAnsi="Times New Roman"/>
                <w:sz w:val="20"/>
                <w:szCs w:val="20"/>
              </w:rPr>
            </w:pPr>
            <w:r w:rsidRPr="00C66C33">
              <w:rPr>
                <w:rFonts w:ascii="Times New Roman" w:hAnsi="Times New Roman"/>
                <w:sz w:val="20"/>
                <w:szCs w:val="20"/>
              </w:rPr>
              <w:t xml:space="preserve"> Návrh NARIADENIA EURÓPSKEHO PARLAMENTU A RADY, ktorým sa ustanovuje program Kreatívna Európa (na obdobie 2021 až 2027) a ktorým sa zrušuje nariadenie (EÚ) č. 1295/2013 COM (2018) 366 final </w:t>
            </w:r>
          </w:p>
          <w:p w:rsidR="00043D8B" w:rsidRPr="00C66C33" w:rsidRDefault="00043D8B" w:rsidP="00D15EE0">
            <w:pPr>
              <w:spacing w:after="0"/>
              <w:ind w:left="1"/>
              <w:jc w:val="both"/>
              <w:rPr>
                <w:rFonts w:ascii="Times New Roman" w:hAnsi="Times New Roman"/>
                <w:sz w:val="20"/>
                <w:szCs w:val="20"/>
              </w:rPr>
            </w:pPr>
            <w:r w:rsidRPr="00C66C33">
              <w:rPr>
                <w:rFonts w:ascii="Times New Roman" w:hAnsi="Times New Roman"/>
                <w:sz w:val="20"/>
                <w:szCs w:val="20"/>
              </w:rPr>
              <w:t>2018/0190 COD 30. 5. 2018</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jc w:val="both"/>
              <w:rPr>
                <w:rFonts w:ascii="Times New Roman" w:hAnsi="Times New Roman"/>
                <w:b/>
                <w:color w:val="auto"/>
                <w:sz w:val="20"/>
              </w:rPr>
            </w:pPr>
            <w:r w:rsidRPr="001129C1">
              <w:rPr>
                <w:rFonts w:ascii="Times New Roman" w:hAnsi="Times New Roman"/>
                <w:b/>
                <w:color w:val="auto"/>
                <w:sz w:val="20"/>
              </w:rPr>
              <w:t>MZVEZ SR</w:t>
            </w:r>
          </w:p>
          <w:p w:rsidR="00043D8B" w:rsidRPr="001129C1" w:rsidRDefault="00043D8B" w:rsidP="00833647">
            <w:pPr>
              <w:spacing w:after="0"/>
              <w:ind w:left="4" w:right="49"/>
              <w:jc w:val="both"/>
              <w:rPr>
                <w:rFonts w:ascii="Times New Roman" w:hAnsi="Times New Roman"/>
                <w:b/>
                <w:color w:val="auto"/>
                <w:sz w:val="20"/>
              </w:rPr>
            </w:pPr>
            <w:r w:rsidRPr="001129C1">
              <w:rPr>
                <w:rFonts w:ascii="Times New Roman" w:hAnsi="Times New Roman"/>
                <w:b/>
                <w:color w:val="auto"/>
                <w:sz w:val="20"/>
              </w:rPr>
              <w:t>MF SR</w:t>
            </w:r>
          </w:p>
          <w:p w:rsidR="00043D8B" w:rsidRPr="001129C1" w:rsidRDefault="00043D8B" w:rsidP="00833647">
            <w:pPr>
              <w:spacing w:after="0"/>
              <w:ind w:left="4" w:right="49"/>
              <w:jc w:val="both"/>
              <w:rPr>
                <w:rFonts w:ascii="Times New Roman" w:hAnsi="Times New Roman"/>
                <w:b/>
                <w:color w:val="auto"/>
                <w:sz w:val="20"/>
              </w:rPr>
            </w:pPr>
            <w:r w:rsidRPr="001129C1">
              <w:rPr>
                <w:rFonts w:ascii="Times New Roman" w:hAnsi="Times New Roman"/>
                <w:b/>
                <w:color w:val="auto"/>
                <w:sz w:val="20"/>
              </w:rPr>
              <w:t>MPSVaR SR</w:t>
            </w:r>
          </w:p>
          <w:p w:rsidR="00043D8B" w:rsidRPr="001129C1" w:rsidRDefault="00043D8B" w:rsidP="00833647">
            <w:pPr>
              <w:spacing w:after="0"/>
              <w:ind w:left="4" w:right="49"/>
              <w:jc w:val="both"/>
              <w:rPr>
                <w:rFonts w:ascii="Times New Roman" w:hAnsi="Times New Roman"/>
                <w:b/>
                <w:color w:val="auto"/>
                <w:sz w:val="20"/>
              </w:rPr>
            </w:pPr>
            <w:r w:rsidRPr="001129C1">
              <w:rPr>
                <w:rFonts w:ascii="Times New Roman" w:hAnsi="Times New Roman"/>
                <w:b/>
                <w:color w:val="auto"/>
                <w:sz w:val="20"/>
              </w:rPr>
              <w:t>MK SR</w:t>
            </w:r>
          </w:p>
        </w:tc>
        <w:tc>
          <w:tcPr>
            <w:tcW w:w="5386" w:type="dxa"/>
            <w:tcBorders>
              <w:top w:val="single" w:sz="4" w:space="0" w:color="000000"/>
              <w:left w:val="single" w:sz="4" w:space="0" w:color="000000"/>
              <w:bottom w:val="single" w:sz="4" w:space="0" w:color="000000"/>
              <w:right w:val="single" w:sz="4" w:space="0" w:color="000000"/>
            </w:tcBorders>
          </w:tcPr>
          <w:p w:rsidR="00043D8B" w:rsidRPr="005D61E4" w:rsidRDefault="00043D8B" w:rsidP="00833647">
            <w:pPr>
              <w:spacing w:after="0"/>
              <w:ind w:left="4" w:right="49"/>
              <w:jc w:val="both"/>
              <w:rPr>
                <w:rFonts w:ascii="Times New Roman" w:hAnsi="Times New Roman"/>
                <w:b/>
                <w:color w:val="auto"/>
                <w:sz w:val="20"/>
                <w:u w:val="single"/>
              </w:rPr>
            </w:pPr>
            <w:r w:rsidRPr="005D61E4">
              <w:rPr>
                <w:rFonts w:ascii="Times New Roman" w:hAnsi="Times New Roman"/>
                <w:b/>
                <w:color w:val="auto"/>
                <w:sz w:val="20"/>
                <w:u w:val="single"/>
              </w:rPr>
              <w:t>Stredná priorita</w:t>
            </w:r>
          </w:p>
          <w:p w:rsidR="00043D8B" w:rsidRPr="005D61E4" w:rsidRDefault="00043D8B" w:rsidP="00833647">
            <w:pPr>
              <w:spacing w:after="0"/>
              <w:ind w:left="4" w:right="49"/>
              <w:jc w:val="both"/>
              <w:rPr>
                <w:color w:val="auto"/>
              </w:rPr>
            </w:pPr>
            <w:r w:rsidRPr="005D61E4">
              <w:rPr>
                <w:rFonts w:ascii="Times New Roman" w:hAnsi="Times New Roman"/>
                <w:color w:val="auto"/>
                <w:sz w:val="20"/>
                <w:szCs w:val="20"/>
              </w:rPr>
              <w:t>Nariadením sa má ustanoviť program Kreatívna Európa na obdobie od roku 2021 do roku 2027. Program nadväzuje na úspešnosť programu Kreatívna Európa 2014-2020, ktorý bol ustanovený nariadením Európskeho parlamentu a Rady (EÚ) č. 1295/2013 z  11. decembra 2013, ktorým sa ustanovuje program Kreatívna Európa (2014 až 2020) a zrušujú rozhodnutia č. 1718/2006/ES, č. 1855/2006/ES a č. 1041/2009/ES (Ú. v. EÚ L 347, 20.12.2013) (ďalej len ako „nariadenie č. 1295/2013“). Návrh nového programu Kreatívna Európa je súčasťou kapitoly "Investing in people" v dlhodobom návrhu rozpočtu Európskej únie (ďalej len ako „EÚ“). Cieľom programu je poskytnúť príležitosti iniciovať technologické a umelecky inovačné európske cezhraničné výmeny, podporovať spoločnú tvorbu, koprodukciu a šírenie európskych diel a ich sprístupňovanie širokému a rôznorodému publiku.</w:t>
            </w:r>
            <w:r w:rsidRPr="005D61E4">
              <w:rPr>
                <w:color w:val="auto"/>
              </w:rPr>
              <w:t xml:space="preserve"> </w:t>
            </w:r>
            <w:r w:rsidRPr="005D61E4">
              <w:rPr>
                <w:rFonts w:ascii="Times New Roman" w:hAnsi="Times New Roman"/>
                <w:color w:val="auto"/>
                <w:sz w:val="20"/>
                <w:szCs w:val="20"/>
              </w:rPr>
              <w:t xml:space="preserve">Doposiaľ uskutočnilo 9 zasadnutí Výboru Rady EÚ pre kultúrne záležitosti k tomuto návrhu a v rokovaniach bude výbor pokračovať aj v roku 2019, pričom ambíciou členských štátov je prijať čiastočné všeobecné smerovanie k tomuto návrhu v prvom polroku 2019. </w:t>
            </w:r>
          </w:p>
          <w:p w:rsidR="00043D8B" w:rsidRPr="005D61E4" w:rsidRDefault="00043D8B" w:rsidP="00833647">
            <w:pPr>
              <w:spacing w:after="0"/>
              <w:ind w:left="4" w:right="49"/>
              <w:jc w:val="both"/>
              <w:rPr>
                <w:rFonts w:ascii="Times New Roman" w:hAnsi="Times New Roman"/>
                <w:color w:val="auto"/>
                <w:sz w:val="20"/>
              </w:rPr>
            </w:pP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Pr="00C66C33" w:rsidRDefault="00043D8B" w:rsidP="00D15EE0">
            <w:pPr>
              <w:spacing w:after="0"/>
              <w:ind w:left="1"/>
              <w:jc w:val="both"/>
              <w:rPr>
                <w:rFonts w:ascii="Times New Roman" w:hAnsi="Times New Roman"/>
                <w:sz w:val="20"/>
                <w:szCs w:val="20"/>
              </w:rPr>
            </w:pPr>
            <w:r w:rsidRPr="00C66C33">
              <w:rPr>
                <w:rFonts w:ascii="Times New Roman" w:hAnsi="Times New Roman"/>
                <w:sz w:val="20"/>
                <w:szCs w:val="20"/>
              </w:rPr>
              <w:t xml:space="preserve">Návrh NARIADENIA EURÓPSKEHO PARLAMENTU A RADY, ktorým sa zriaďuje „Erasmus“: program Únie pre vzdelávanie, odbornú prípravu, mládež a šport, a ktorým sa zrušuje nariadenie (EÚ) č. 1288/2013 COM (2018) 367 final 2018/0191 COD 30. 5. 2018 </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MŠVVaŠ SR</w:t>
            </w:r>
          </w:p>
          <w:p w:rsidR="00043D8B" w:rsidRPr="001129C1" w:rsidRDefault="00043D8B" w:rsidP="00833647">
            <w:pPr>
              <w:spacing w:after="0"/>
              <w:ind w:left="4" w:right="49"/>
              <w:jc w:val="both"/>
              <w:rPr>
                <w:rFonts w:ascii="Times New Roman" w:hAnsi="Times New Roman"/>
                <w:b/>
                <w:sz w:val="20"/>
              </w:rPr>
            </w:pPr>
          </w:p>
        </w:tc>
        <w:tc>
          <w:tcPr>
            <w:tcW w:w="5386" w:type="dxa"/>
            <w:tcBorders>
              <w:top w:val="single" w:sz="4" w:space="0" w:color="000000"/>
              <w:left w:val="single" w:sz="4" w:space="0" w:color="000000"/>
              <w:bottom w:val="single" w:sz="4" w:space="0" w:color="000000"/>
              <w:right w:val="single" w:sz="4" w:space="0" w:color="000000"/>
            </w:tcBorders>
          </w:tcPr>
          <w:p w:rsidR="00043D8B" w:rsidRPr="00880B33" w:rsidRDefault="00043D8B" w:rsidP="00833647">
            <w:pPr>
              <w:spacing w:after="0"/>
              <w:ind w:right="49"/>
              <w:rPr>
                <w:rFonts w:ascii="Times New Roman" w:hAnsi="Times New Roman"/>
                <w:b/>
                <w:sz w:val="20"/>
                <w:szCs w:val="20"/>
                <w:u w:val="single"/>
              </w:rPr>
            </w:pPr>
            <w:r w:rsidRPr="00880B33">
              <w:rPr>
                <w:rFonts w:ascii="Times New Roman" w:hAnsi="Times New Roman"/>
                <w:b/>
                <w:sz w:val="20"/>
                <w:szCs w:val="20"/>
                <w:u w:val="single"/>
              </w:rPr>
              <w:t>Stredná priorita</w:t>
            </w:r>
          </w:p>
          <w:p w:rsidR="00043D8B" w:rsidRPr="00880B33" w:rsidRDefault="00043D8B" w:rsidP="00833647">
            <w:pPr>
              <w:spacing w:after="0"/>
              <w:ind w:right="49"/>
              <w:jc w:val="both"/>
              <w:rPr>
                <w:rFonts w:ascii="Times New Roman" w:hAnsi="Times New Roman"/>
                <w:sz w:val="20"/>
                <w:szCs w:val="20"/>
              </w:rPr>
            </w:pPr>
            <w:r w:rsidRPr="00880B33">
              <w:rPr>
                <w:rFonts w:ascii="Times New Roman" w:hAnsi="Times New Roman"/>
                <w:sz w:val="20"/>
                <w:szCs w:val="20"/>
              </w:rPr>
              <w:t xml:space="preserve">Vo všeobecnosti SR podporuje ciele, ktoré sa majú návrhom tohto právneho aktu dosiahnuť.  K návrhu bolo na Rade pre vzdelávanie, mládež, kultúru a šport v novembri 2018 (26. – 27. 11. 2018) prijaté všeobecné čiastočné smerovanie. Návrh má za cieľ podporovať vzdelávanie, odborný a osobný rozvoj osôb v oblasti vzdelávania, odbornej prípravy, mládeže a športu v Európe a mimo nej, a tým prispievať k udržateľnému rastu, zamestnanosti a sociálnej súdržnosti, ako aj </w:t>
            </w:r>
            <w:r>
              <w:rPr>
                <w:rFonts w:ascii="Times New Roman" w:hAnsi="Times New Roman"/>
                <w:sz w:val="20"/>
                <w:szCs w:val="20"/>
              </w:rPr>
              <w:t>k posilneniu európskej identity</w:t>
            </w: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Pr="00C66C33" w:rsidRDefault="00043D8B" w:rsidP="00D15EE0">
            <w:pPr>
              <w:spacing w:after="0"/>
              <w:ind w:left="1" w:right="121"/>
              <w:jc w:val="both"/>
              <w:rPr>
                <w:rFonts w:ascii="Times New Roman" w:hAnsi="Times New Roman"/>
                <w:sz w:val="20"/>
                <w:szCs w:val="20"/>
              </w:rPr>
            </w:pPr>
            <w:r w:rsidRPr="00C66C33">
              <w:rPr>
                <w:rFonts w:ascii="Times New Roman" w:hAnsi="Times New Roman"/>
                <w:sz w:val="20"/>
                <w:szCs w:val="20"/>
              </w:rPr>
              <w:t xml:space="preserve">Návrh NARIADENIA EURÓPSKEHO PARLAMENTU A RADY, ktorým sa stanovujú spoločné ustanovenia o Európskom fonde regionálneho rozvoja, Európskom sociálnom fonde plus, Kohéznom fonde a Európskom námornom a rybárskom fonde a rozpočtové pravidlá pre uvedené fondy, ako aj pre Fond pre azyl a migráciu, Fond pre vnútornú bezpečnosť a Nástroj pre riadenie hraníc a víza </w:t>
            </w:r>
          </w:p>
          <w:p w:rsidR="00043D8B" w:rsidRPr="00C66C33" w:rsidRDefault="00FC5690" w:rsidP="00D15EE0">
            <w:pPr>
              <w:spacing w:after="0"/>
              <w:ind w:left="1"/>
              <w:jc w:val="both"/>
              <w:rPr>
                <w:rFonts w:ascii="Times New Roman" w:hAnsi="Times New Roman"/>
                <w:sz w:val="20"/>
                <w:szCs w:val="20"/>
              </w:rPr>
            </w:pPr>
            <w:r>
              <w:rPr>
                <w:rFonts w:ascii="Times New Roman" w:hAnsi="Times New Roman"/>
                <w:sz w:val="20"/>
                <w:szCs w:val="20"/>
              </w:rPr>
              <w:t xml:space="preserve">COM (2018) 375 final </w:t>
            </w:r>
            <w:r w:rsidR="00043D8B" w:rsidRPr="00C66C33">
              <w:rPr>
                <w:rFonts w:ascii="Times New Roman" w:hAnsi="Times New Roman"/>
                <w:sz w:val="20"/>
                <w:szCs w:val="20"/>
              </w:rPr>
              <w:t>2018/0196 COD 29. 5. 2018</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1"/>
              <w:rPr>
                <w:rFonts w:ascii="Times New Roman" w:hAnsi="Times New Roman"/>
                <w:b/>
                <w:sz w:val="20"/>
              </w:rPr>
            </w:pPr>
            <w:r w:rsidRPr="001129C1">
              <w:rPr>
                <w:rFonts w:ascii="Times New Roman" w:hAnsi="Times New Roman"/>
                <w:b/>
                <w:sz w:val="20"/>
              </w:rPr>
              <w:t xml:space="preserve"> UPPVII</w:t>
            </w:r>
          </w:p>
          <w:p w:rsidR="00043D8B" w:rsidRPr="001129C1" w:rsidRDefault="00043D8B" w:rsidP="00833647">
            <w:pPr>
              <w:spacing w:after="0"/>
              <w:ind w:left="1"/>
              <w:rPr>
                <w:rFonts w:ascii="Times New Roman" w:hAnsi="Times New Roman"/>
                <w:b/>
                <w:sz w:val="20"/>
              </w:rPr>
            </w:pPr>
            <w:r w:rsidRPr="001129C1">
              <w:rPr>
                <w:rFonts w:ascii="Times New Roman" w:hAnsi="Times New Roman"/>
                <w:b/>
                <w:sz w:val="20"/>
              </w:rPr>
              <w:t>ÚV SR</w:t>
            </w:r>
          </w:p>
          <w:p w:rsidR="00043D8B" w:rsidRPr="001129C1" w:rsidRDefault="00043D8B" w:rsidP="00833647">
            <w:pPr>
              <w:spacing w:after="0"/>
              <w:ind w:left="1"/>
              <w:rPr>
                <w:rFonts w:ascii="Times New Roman" w:hAnsi="Times New Roman"/>
                <w:b/>
                <w:sz w:val="20"/>
              </w:rPr>
            </w:pPr>
            <w:r w:rsidRPr="001129C1">
              <w:rPr>
                <w:rFonts w:ascii="Times New Roman" w:hAnsi="Times New Roman"/>
                <w:b/>
                <w:sz w:val="20"/>
              </w:rPr>
              <w:t>MZVEZ SR</w:t>
            </w:r>
            <w:r w:rsidRPr="001129C1">
              <w:rPr>
                <w:rFonts w:ascii="Times New Roman" w:hAnsi="Times New Roman"/>
                <w:b/>
                <w:sz w:val="20"/>
              </w:rPr>
              <w:br/>
              <w:t>MV SR</w:t>
            </w:r>
          </w:p>
          <w:p w:rsidR="00043D8B" w:rsidRPr="001129C1" w:rsidRDefault="00043D8B" w:rsidP="00833647">
            <w:pPr>
              <w:spacing w:after="0"/>
              <w:ind w:left="1"/>
              <w:rPr>
                <w:rFonts w:ascii="Times New Roman" w:hAnsi="Times New Roman"/>
                <w:b/>
                <w:sz w:val="20"/>
              </w:rPr>
            </w:pPr>
            <w:r w:rsidRPr="001129C1">
              <w:rPr>
                <w:rFonts w:ascii="Times New Roman" w:hAnsi="Times New Roman"/>
                <w:b/>
                <w:sz w:val="20"/>
              </w:rPr>
              <w:t>MF SR</w:t>
            </w:r>
          </w:p>
          <w:p w:rsidR="00043D8B" w:rsidRPr="001129C1" w:rsidRDefault="00043D8B" w:rsidP="00833647">
            <w:pPr>
              <w:spacing w:after="0"/>
              <w:ind w:left="1"/>
              <w:rPr>
                <w:rFonts w:ascii="Times New Roman" w:hAnsi="Times New Roman"/>
                <w:b/>
                <w:sz w:val="20"/>
              </w:rPr>
            </w:pPr>
            <w:r w:rsidRPr="001129C1">
              <w:rPr>
                <w:rFonts w:ascii="Times New Roman" w:hAnsi="Times New Roman"/>
                <w:b/>
                <w:sz w:val="20"/>
              </w:rPr>
              <w:t>MŽP SR</w:t>
            </w:r>
          </w:p>
          <w:p w:rsidR="00043D8B" w:rsidRPr="001129C1" w:rsidRDefault="00043D8B" w:rsidP="00833647">
            <w:pPr>
              <w:spacing w:after="0"/>
              <w:ind w:left="1"/>
              <w:rPr>
                <w:rFonts w:ascii="Times New Roman" w:hAnsi="Times New Roman"/>
                <w:b/>
                <w:sz w:val="20"/>
              </w:rPr>
            </w:pPr>
            <w:r w:rsidRPr="001129C1">
              <w:rPr>
                <w:rFonts w:ascii="Times New Roman" w:hAnsi="Times New Roman"/>
                <w:b/>
                <w:sz w:val="20"/>
              </w:rPr>
              <w:t>MPVaR SR</w:t>
            </w:r>
          </w:p>
          <w:p w:rsidR="00043D8B" w:rsidRPr="001129C1" w:rsidRDefault="00043D8B" w:rsidP="00833647">
            <w:pPr>
              <w:spacing w:after="0"/>
              <w:ind w:left="1"/>
              <w:rPr>
                <w:rFonts w:ascii="Times New Roman" w:hAnsi="Times New Roman"/>
                <w:b/>
                <w:sz w:val="20"/>
              </w:rPr>
            </w:pPr>
            <w:r w:rsidRPr="001129C1">
              <w:rPr>
                <w:rFonts w:ascii="Times New Roman" w:hAnsi="Times New Roman"/>
                <w:b/>
                <w:sz w:val="20"/>
              </w:rPr>
              <w:t>MPSVaR SR</w:t>
            </w:r>
          </w:p>
          <w:p w:rsidR="00043D8B" w:rsidRPr="001129C1" w:rsidRDefault="00043D8B" w:rsidP="00833647">
            <w:pPr>
              <w:spacing w:after="0"/>
              <w:ind w:left="1"/>
              <w:rPr>
                <w:rFonts w:ascii="Times New Roman" w:hAnsi="Times New Roman"/>
                <w:b/>
                <w:sz w:val="20"/>
              </w:rPr>
            </w:pPr>
            <w:r w:rsidRPr="001129C1">
              <w:rPr>
                <w:rFonts w:ascii="Times New Roman" w:hAnsi="Times New Roman"/>
                <w:b/>
                <w:sz w:val="20"/>
              </w:rPr>
              <w:t>MŠVVaŠ SR</w:t>
            </w:r>
          </w:p>
          <w:p w:rsidR="00043D8B" w:rsidRPr="001129C1" w:rsidRDefault="00043D8B" w:rsidP="00833647">
            <w:pPr>
              <w:spacing w:after="0"/>
              <w:ind w:left="1"/>
              <w:rPr>
                <w:b/>
              </w:rPr>
            </w:pPr>
            <w:r w:rsidRPr="001129C1">
              <w:rPr>
                <w:rFonts w:ascii="Times New Roman" w:hAnsi="Times New Roman"/>
                <w:b/>
                <w:sz w:val="20"/>
              </w:rPr>
              <w:t>MK SR</w:t>
            </w:r>
            <w:r w:rsidRPr="001129C1">
              <w:rPr>
                <w:rFonts w:ascii="Times New Roman" w:hAnsi="Times New Roman"/>
                <w:b/>
                <w:sz w:val="20"/>
              </w:rPr>
              <w:br/>
              <w:t>MPaRV SR</w:t>
            </w:r>
            <w:r w:rsidRPr="001129C1">
              <w:rPr>
                <w:rFonts w:ascii="Times New Roman" w:hAnsi="Times New Roman"/>
                <w:b/>
                <w:sz w:val="20"/>
              </w:rPr>
              <w:br/>
              <w:t>MDaV SR</w:t>
            </w:r>
          </w:p>
        </w:tc>
        <w:tc>
          <w:tcPr>
            <w:tcW w:w="5386"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4" w:right="49"/>
              <w:jc w:val="both"/>
              <w:rPr>
                <w:rFonts w:ascii="Times New Roman" w:hAnsi="Times New Roman"/>
                <w:sz w:val="20"/>
                <w:szCs w:val="20"/>
              </w:rPr>
            </w:pPr>
            <w:r w:rsidRPr="00DF24B2">
              <w:rPr>
                <w:rFonts w:ascii="Times New Roman" w:hAnsi="Times New Roman"/>
                <w:b/>
                <w:sz w:val="20"/>
                <w:szCs w:val="20"/>
                <w:u w:val="single"/>
              </w:rPr>
              <w:t>Vysoká priorita</w:t>
            </w:r>
            <w:r>
              <w:rPr>
                <w:rFonts w:ascii="Times New Roman" w:hAnsi="Times New Roman"/>
                <w:sz w:val="20"/>
                <w:szCs w:val="20"/>
              </w:rPr>
              <w:t xml:space="preserve"> </w:t>
            </w:r>
          </w:p>
          <w:p w:rsidR="00043D8B" w:rsidRDefault="00043D8B" w:rsidP="00833647">
            <w:pPr>
              <w:spacing w:after="0"/>
              <w:ind w:left="4" w:right="49"/>
              <w:jc w:val="both"/>
              <w:rPr>
                <w:rFonts w:ascii="Times New Roman" w:hAnsi="Times New Roman"/>
                <w:sz w:val="20"/>
              </w:rPr>
            </w:pPr>
            <w:r>
              <w:rPr>
                <w:rFonts w:ascii="Times New Roman" w:hAnsi="Times New Roman"/>
                <w:sz w:val="20"/>
                <w:szCs w:val="20"/>
              </w:rPr>
              <w:t>SR víta zverejnenie predmetného návrhu nariadenia. Predmetný návrh nariadenia je v súčasnosti predmetom rokovania na Pracovnej skupine Rady pre štrukturálne opatrenia (SMWP).</w:t>
            </w:r>
          </w:p>
        </w:tc>
      </w:tr>
      <w:tr w:rsidR="00043D8B" w:rsidTr="00B1660F">
        <w:trPr>
          <w:trHeight w:val="460"/>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Pr="00C66C33" w:rsidRDefault="00043D8B" w:rsidP="00D15EE0">
            <w:pPr>
              <w:spacing w:after="0"/>
              <w:ind w:left="1"/>
              <w:jc w:val="both"/>
              <w:rPr>
                <w:rFonts w:ascii="Times New Roman" w:hAnsi="Times New Roman"/>
                <w:sz w:val="20"/>
                <w:szCs w:val="20"/>
              </w:rPr>
            </w:pPr>
            <w:r w:rsidRPr="00C66C33">
              <w:rPr>
                <w:rFonts w:ascii="Times New Roman" w:hAnsi="Times New Roman"/>
                <w:sz w:val="20"/>
                <w:szCs w:val="20"/>
              </w:rPr>
              <w:t>Návrh NARIADENIA EURÓPSKEHO PARLAMENTU A RADY o Európskom fonde regionálneho rozvoja a Kohéznom fonde COM (2018) 372 final 2018/0197 COD 30. 5. 2018</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1"/>
              <w:rPr>
                <w:rFonts w:ascii="Times New Roman" w:hAnsi="Times New Roman"/>
                <w:b/>
                <w:sz w:val="20"/>
              </w:rPr>
            </w:pPr>
            <w:r w:rsidRPr="001129C1">
              <w:rPr>
                <w:rFonts w:ascii="Times New Roman" w:hAnsi="Times New Roman"/>
                <w:b/>
                <w:sz w:val="20"/>
              </w:rPr>
              <w:t>UPPVII</w:t>
            </w:r>
          </w:p>
          <w:p w:rsidR="00043D8B" w:rsidRDefault="00043D8B" w:rsidP="00833647">
            <w:pPr>
              <w:spacing w:after="0"/>
              <w:ind w:left="1"/>
              <w:rPr>
                <w:rFonts w:ascii="Times New Roman" w:hAnsi="Times New Roman"/>
                <w:b/>
                <w:sz w:val="20"/>
              </w:rPr>
            </w:pPr>
            <w:r w:rsidRPr="001129C1">
              <w:rPr>
                <w:rFonts w:ascii="Times New Roman" w:hAnsi="Times New Roman"/>
                <w:b/>
                <w:sz w:val="20"/>
              </w:rPr>
              <w:t>MF SR</w:t>
            </w:r>
          </w:p>
          <w:p w:rsidR="00BD0652" w:rsidRPr="001129C1" w:rsidRDefault="00BD0652" w:rsidP="00BD0652">
            <w:pPr>
              <w:spacing w:after="0"/>
              <w:ind w:left="1"/>
              <w:rPr>
                <w:rFonts w:ascii="Times New Roman" w:hAnsi="Times New Roman"/>
                <w:b/>
                <w:sz w:val="20"/>
              </w:rPr>
            </w:pPr>
            <w:r w:rsidRPr="001129C1">
              <w:rPr>
                <w:rFonts w:ascii="Times New Roman" w:hAnsi="Times New Roman"/>
                <w:b/>
                <w:sz w:val="20"/>
              </w:rPr>
              <w:t>MŽP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MŠVVaŠ SR</w:t>
            </w:r>
          </w:p>
          <w:p w:rsidR="00043D8B" w:rsidRPr="001129C1" w:rsidRDefault="00043D8B" w:rsidP="00833647">
            <w:pPr>
              <w:spacing w:after="0"/>
              <w:ind w:left="1"/>
              <w:rPr>
                <w:b/>
              </w:rPr>
            </w:pPr>
          </w:p>
        </w:tc>
        <w:tc>
          <w:tcPr>
            <w:tcW w:w="5386"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4" w:right="49"/>
              <w:jc w:val="both"/>
              <w:rPr>
                <w:rFonts w:ascii="Times New Roman" w:hAnsi="Times New Roman"/>
                <w:sz w:val="20"/>
                <w:szCs w:val="20"/>
              </w:rPr>
            </w:pPr>
            <w:r w:rsidRPr="00DF24B2">
              <w:rPr>
                <w:rFonts w:ascii="Times New Roman" w:hAnsi="Times New Roman"/>
                <w:b/>
                <w:sz w:val="20"/>
                <w:szCs w:val="20"/>
                <w:u w:val="single"/>
              </w:rPr>
              <w:t>Vysoká priorita</w:t>
            </w:r>
            <w:r>
              <w:rPr>
                <w:rFonts w:ascii="Times New Roman" w:hAnsi="Times New Roman"/>
                <w:sz w:val="20"/>
                <w:szCs w:val="20"/>
              </w:rPr>
              <w:t xml:space="preserve"> </w:t>
            </w:r>
          </w:p>
          <w:p w:rsidR="00043D8B" w:rsidRDefault="00043D8B" w:rsidP="00833647">
            <w:pPr>
              <w:spacing w:after="0"/>
              <w:ind w:left="4" w:right="49"/>
              <w:jc w:val="both"/>
              <w:rPr>
                <w:rFonts w:ascii="Times New Roman" w:hAnsi="Times New Roman"/>
                <w:sz w:val="20"/>
              </w:rPr>
            </w:pPr>
            <w:r>
              <w:rPr>
                <w:rFonts w:ascii="Times New Roman" w:hAnsi="Times New Roman"/>
                <w:sz w:val="20"/>
                <w:szCs w:val="20"/>
              </w:rPr>
              <w:t>SR víta zverejnenie predmetného návrhu nariadenia. Predmetný návrh nariadenia je v súčasnosti predmetom rokovania na Pracovnej skupine Rady pre štrukturálne opatrenia (SMWP).</w:t>
            </w: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Pr="00C66C33" w:rsidRDefault="00043D8B" w:rsidP="00D15EE0">
            <w:pPr>
              <w:spacing w:after="0"/>
              <w:ind w:left="1"/>
              <w:jc w:val="both"/>
              <w:rPr>
                <w:rFonts w:ascii="Times New Roman" w:hAnsi="Times New Roman"/>
                <w:sz w:val="20"/>
                <w:szCs w:val="20"/>
              </w:rPr>
            </w:pPr>
            <w:r w:rsidRPr="00C66C33">
              <w:rPr>
                <w:rFonts w:ascii="Times New Roman" w:hAnsi="Times New Roman"/>
                <w:sz w:val="20"/>
                <w:szCs w:val="20"/>
              </w:rPr>
              <w:t>Návrh NARIADENIA EURÓPSKEHO PARLAMENTU A RADY o mechanizme riešenia právnych a administratívnych prekážok v cezhraničnom kontexte</w:t>
            </w:r>
          </w:p>
          <w:p w:rsidR="00043D8B" w:rsidRPr="00C66C33" w:rsidRDefault="00043D8B" w:rsidP="00D15EE0">
            <w:pPr>
              <w:spacing w:after="0"/>
              <w:ind w:left="1"/>
              <w:jc w:val="both"/>
              <w:rPr>
                <w:rFonts w:ascii="Times New Roman" w:hAnsi="Times New Roman"/>
                <w:sz w:val="20"/>
                <w:szCs w:val="20"/>
              </w:rPr>
            </w:pPr>
            <w:r w:rsidRPr="00C66C33">
              <w:rPr>
                <w:rFonts w:ascii="Times New Roman" w:hAnsi="Times New Roman"/>
                <w:sz w:val="20"/>
                <w:szCs w:val="20"/>
              </w:rPr>
              <w:t xml:space="preserve">COM (2018) 373 final 2018/0198 COD 29. 5. 2018  </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1"/>
              <w:rPr>
                <w:rFonts w:ascii="Times New Roman" w:hAnsi="Times New Roman"/>
                <w:b/>
                <w:sz w:val="20"/>
              </w:rPr>
            </w:pPr>
            <w:r w:rsidRPr="001129C1">
              <w:rPr>
                <w:rFonts w:ascii="Times New Roman" w:hAnsi="Times New Roman"/>
                <w:b/>
                <w:sz w:val="20"/>
              </w:rPr>
              <w:t xml:space="preserve"> UPPVII</w:t>
            </w:r>
          </w:p>
          <w:p w:rsidR="00043D8B" w:rsidRPr="001129C1" w:rsidRDefault="00043D8B" w:rsidP="00833647">
            <w:pPr>
              <w:spacing w:after="0"/>
              <w:ind w:left="1"/>
              <w:rPr>
                <w:b/>
              </w:rPr>
            </w:pPr>
            <w:r w:rsidRPr="001129C1">
              <w:rPr>
                <w:rFonts w:ascii="Times New Roman" w:hAnsi="Times New Roman"/>
                <w:b/>
                <w:sz w:val="20"/>
              </w:rPr>
              <w:t>MV SR</w:t>
            </w:r>
          </w:p>
        </w:tc>
        <w:tc>
          <w:tcPr>
            <w:tcW w:w="5386"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4" w:right="49"/>
              <w:jc w:val="both"/>
              <w:rPr>
                <w:rFonts w:ascii="Times New Roman" w:hAnsi="Times New Roman"/>
                <w:b/>
                <w:sz w:val="20"/>
                <w:szCs w:val="20"/>
                <w:u w:val="single"/>
              </w:rPr>
            </w:pPr>
            <w:r>
              <w:rPr>
                <w:rFonts w:ascii="Times New Roman" w:hAnsi="Times New Roman"/>
                <w:b/>
                <w:sz w:val="20"/>
                <w:szCs w:val="20"/>
                <w:u w:val="single"/>
              </w:rPr>
              <w:t>Vysoká priorita</w:t>
            </w:r>
          </w:p>
          <w:p w:rsidR="00043D8B" w:rsidRDefault="00043D8B" w:rsidP="00833647">
            <w:pPr>
              <w:spacing w:after="0"/>
              <w:ind w:left="4" w:right="49"/>
              <w:jc w:val="both"/>
              <w:rPr>
                <w:rFonts w:ascii="Times New Roman" w:hAnsi="Times New Roman"/>
                <w:sz w:val="20"/>
              </w:rPr>
            </w:pPr>
            <w:r>
              <w:rPr>
                <w:rFonts w:ascii="Times New Roman" w:hAnsi="Times New Roman"/>
                <w:sz w:val="20"/>
                <w:szCs w:val="20"/>
              </w:rPr>
              <w:t>SR víta zverejnenie predmetného návrhu nariadenia. Predmetný návrh nariadenia je v súčasnosti predmetom rokovania na Pracovnej skupine Rady pre štrukturálne opatrenia (SMWP).</w:t>
            </w: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Pr="00C66C33" w:rsidRDefault="00043D8B" w:rsidP="00D15EE0">
            <w:pPr>
              <w:spacing w:after="0"/>
              <w:ind w:left="1"/>
              <w:jc w:val="both"/>
              <w:rPr>
                <w:rFonts w:ascii="Times New Roman" w:hAnsi="Times New Roman"/>
                <w:sz w:val="20"/>
                <w:szCs w:val="20"/>
              </w:rPr>
            </w:pPr>
            <w:r w:rsidRPr="00C66C33">
              <w:rPr>
                <w:rFonts w:ascii="Times New Roman" w:hAnsi="Times New Roman"/>
                <w:sz w:val="20"/>
                <w:szCs w:val="20"/>
              </w:rPr>
              <w:t xml:space="preserve">Návrh NARIADENIA EURÓPSKEHO PARLAMENTU A RADY o osobitných ustanoveniach týkajúcich sa cieľa Európska územná spolupráca (Interreg) podporovaného z Európskeho fondu regionálneho rozvoja a vonkajších finančných nástrojov COM (2018) 374 final </w:t>
            </w:r>
          </w:p>
          <w:p w:rsidR="00043D8B" w:rsidRPr="00C66C33" w:rsidRDefault="00043D8B" w:rsidP="00D15EE0">
            <w:pPr>
              <w:spacing w:after="0"/>
              <w:ind w:left="1"/>
              <w:jc w:val="both"/>
              <w:rPr>
                <w:rFonts w:ascii="Times New Roman" w:hAnsi="Times New Roman"/>
                <w:sz w:val="20"/>
                <w:szCs w:val="20"/>
              </w:rPr>
            </w:pPr>
            <w:r w:rsidRPr="00C66C33">
              <w:rPr>
                <w:rFonts w:ascii="Times New Roman" w:hAnsi="Times New Roman"/>
                <w:sz w:val="20"/>
                <w:szCs w:val="20"/>
              </w:rPr>
              <w:t>2018/0199 COD 29. 5. 2018</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1"/>
              <w:rPr>
                <w:rFonts w:ascii="Times New Roman" w:hAnsi="Times New Roman"/>
                <w:b/>
                <w:sz w:val="20"/>
              </w:rPr>
            </w:pPr>
            <w:r w:rsidRPr="001129C1">
              <w:rPr>
                <w:rFonts w:ascii="Times New Roman" w:hAnsi="Times New Roman"/>
                <w:b/>
                <w:sz w:val="20"/>
              </w:rPr>
              <w:t xml:space="preserve"> UPPVII</w:t>
            </w:r>
          </w:p>
          <w:p w:rsidR="00043D8B" w:rsidRPr="001129C1" w:rsidRDefault="00043D8B" w:rsidP="00833647">
            <w:pPr>
              <w:spacing w:after="0"/>
              <w:ind w:left="1"/>
              <w:rPr>
                <w:rFonts w:ascii="Times New Roman" w:hAnsi="Times New Roman"/>
                <w:b/>
                <w:sz w:val="20"/>
              </w:rPr>
            </w:pPr>
            <w:r w:rsidRPr="001129C1">
              <w:rPr>
                <w:rFonts w:ascii="Times New Roman" w:hAnsi="Times New Roman"/>
                <w:b/>
                <w:sz w:val="20"/>
              </w:rPr>
              <w:t>ÚV SR</w:t>
            </w:r>
          </w:p>
          <w:p w:rsidR="00043D8B" w:rsidRPr="001129C1" w:rsidRDefault="00043D8B" w:rsidP="00833647">
            <w:pPr>
              <w:spacing w:after="0"/>
              <w:ind w:left="1"/>
              <w:rPr>
                <w:rFonts w:ascii="Times New Roman" w:hAnsi="Times New Roman"/>
                <w:b/>
                <w:sz w:val="20"/>
              </w:rPr>
            </w:pPr>
            <w:r w:rsidRPr="001129C1">
              <w:rPr>
                <w:rFonts w:ascii="Times New Roman" w:hAnsi="Times New Roman"/>
                <w:b/>
                <w:sz w:val="20"/>
              </w:rPr>
              <w:t>MF SR</w:t>
            </w:r>
          </w:p>
          <w:p w:rsidR="00043D8B" w:rsidRPr="001129C1" w:rsidRDefault="00043D8B" w:rsidP="00833647">
            <w:pPr>
              <w:spacing w:after="0"/>
              <w:ind w:left="1"/>
              <w:rPr>
                <w:b/>
              </w:rPr>
            </w:pPr>
            <w:r w:rsidRPr="001129C1">
              <w:rPr>
                <w:rFonts w:ascii="Times New Roman" w:hAnsi="Times New Roman"/>
                <w:b/>
                <w:sz w:val="20"/>
              </w:rPr>
              <w:t>MŽP SR</w:t>
            </w:r>
            <w:r w:rsidRPr="001129C1">
              <w:rPr>
                <w:rFonts w:ascii="Times New Roman" w:hAnsi="Times New Roman"/>
                <w:b/>
                <w:sz w:val="20"/>
              </w:rPr>
              <w:br/>
              <w:t>MH SR</w:t>
            </w:r>
            <w:r w:rsidRPr="001129C1">
              <w:rPr>
                <w:rFonts w:ascii="Times New Roman" w:hAnsi="Times New Roman"/>
                <w:b/>
                <w:sz w:val="20"/>
              </w:rPr>
              <w:br/>
              <w:t>MPaRV SR</w:t>
            </w:r>
          </w:p>
        </w:tc>
        <w:tc>
          <w:tcPr>
            <w:tcW w:w="5386" w:type="dxa"/>
            <w:tcBorders>
              <w:top w:val="single" w:sz="4" w:space="0" w:color="000000"/>
              <w:left w:val="single" w:sz="4" w:space="0" w:color="000000"/>
              <w:bottom w:val="single" w:sz="4" w:space="0" w:color="000000"/>
              <w:right w:val="single" w:sz="4" w:space="0" w:color="000000"/>
            </w:tcBorders>
          </w:tcPr>
          <w:p w:rsidR="00043D8B" w:rsidRPr="00DF24B2" w:rsidRDefault="00043D8B" w:rsidP="00833647">
            <w:pPr>
              <w:spacing w:after="0"/>
              <w:ind w:left="4" w:right="49"/>
              <w:jc w:val="both"/>
              <w:rPr>
                <w:rFonts w:ascii="Times New Roman" w:hAnsi="Times New Roman"/>
                <w:b/>
                <w:sz w:val="20"/>
                <w:szCs w:val="20"/>
                <w:u w:val="single"/>
              </w:rPr>
            </w:pPr>
            <w:r w:rsidRPr="00DF24B2">
              <w:rPr>
                <w:rFonts w:ascii="Times New Roman" w:hAnsi="Times New Roman"/>
                <w:b/>
                <w:sz w:val="20"/>
                <w:szCs w:val="20"/>
                <w:u w:val="single"/>
              </w:rPr>
              <w:t>Vysoká priorita</w:t>
            </w:r>
          </w:p>
          <w:p w:rsidR="00043D8B" w:rsidRDefault="00043D8B" w:rsidP="00833647">
            <w:pPr>
              <w:spacing w:after="0"/>
              <w:ind w:left="4" w:right="49"/>
              <w:jc w:val="both"/>
              <w:rPr>
                <w:rFonts w:ascii="Times New Roman" w:hAnsi="Times New Roman"/>
                <w:sz w:val="20"/>
              </w:rPr>
            </w:pPr>
            <w:r>
              <w:rPr>
                <w:rFonts w:ascii="Times New Roman" w:hAnsi="Times New Roman"/>
                <w:sz w:val="20"/>
                <w:szCs w:val="20"/>
              </w:rPr>
              <w:t>SR víta zverejnenie predmetného návrhu nariadenia. Predmetný návrh nariadenia je v súčasnosti predmetom rokovania na Pracovnej skupine Rady pre štrukturálne opatrenia (SMWP).</w:t>
            </w: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Pr="00C66C33" w:rsidRDefault="00043D8B" w:rsidP="00D15EE0">
            <w:pPr>
              <w:spacing w:after="0"/>
              <w:ind w:left="1" w:right="121"/>
              <w:jc w:val="both"/>
              <w:rPr>
                <w:rFonts w:ascii="Times New Roman" w:hAnsi="Times New Roman"/>
                <w:sz w:val="20"/>
                <w:szCs w:val="20"/>
              </w:rPr>
            </w:pPr>
            <w:r w:rsidRPr="00C66C33">
              <w:rPr>
                <w:rFonts w:ascii="Times New Roman" w:hAnsi="Times New Roman"/>
                <w:sz w:val="20"/>
                <w:szCs w:val="20"/>
              </w:rPr>
              <w:t>Návrh NARIADENIA RADY, ktorým sa mení nariadenie Rady (EÚ) 2015/1588 z 13. júla 2015 o uplatňovaní článkov 107 a 108 Zmluvy o fungovaní Európskej únie na určité kategórie horizontálnej štátnej pomoci</w:t>
            </w:r>
            <w:r w:rsidRPr="00C66C33">
              <w:rPr>
                <w:rFonts w:ascii="Times New Roman" w:hAnsi="Times New Roman"/>
                <w:b/>
                <w:sz w:val="20"/>
                <w:szCs w:val="20"/>
              </w:rPr>
              <w:t xml:space="preserve"> </w:t>
            </w:r>
            <w:r w:rsidRPr="00C66C33">
              <w:rPr>
                <w:rFonts w:ascii="Times New Roman" w:hAnsi="Times New Roman"/>
                <w:sz w:val="20"/>
                <w:szCs w:val="20"/>
              </w:rPr>
              <w:t xml:space="preserve">COM(2018)398 final 2018/0222 (NLE)  6. 6. 2018 </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PMÚ SR</w:t>
            </w:r>
          </w:p>
        </w:tc>
        <w:tc>
          <w:tcPr>
            <w:tcW w:w="5386" w:type="dxa"/>
            <w:tcBorders>
              <w:top w:val="single" w:sz="4" w:space="0" w:color="000000"/>
              <w:left w:val="single" w:sz="4" w:space="0" w:color="000000"/>
              <w:bottom w:val="single" w:sz="4" w:space="0" w:color="000000"/>
              <w:right w:val="single" w:sz="4" w:space="0" w:color="000000"/>
            </w:tcBorders>
          </w:tcPr>
          <w:p w:rsidR="00043D8B" w:rsidRPr="00DF24B2" w:rsidRDefault="00043D8B" w:rsidP="00833647">
            <w:pPr>
              <w:spacing w:after="0"/>
              <w:ind w:right="49"/>
              <w:jc w:val="both"/>
              <w:rPr>
                <w:rFonts w:ascii="Times New Roman" w:hAnsi="Times New Roman"/>
                <w:b/>
                <w:sz w:val="20"/>
                <w:szCs w:val="20"/>
                <w:u w:val="single"/>
              </w:rPr>
            </w:pPr>
            <w:r>
              <w:rPr>
                <w:rFonts w:ascii="Times New Roman" w:hAnsi="Times New Roman"/>
                <w:b/>
                <w:sz w:val="20"/>
                <w:szCs w:val="20"/>
                <w:u w:val="single"/>
              </w:rPr>
              <w:t>Stredná</w:t>
            </w:r>
            <w:r w:rsidRPr="00DF24B2">
              <w:rPr>
                <w:rFonts w:ascii="Times New Roman" w:hAnsi="Times New Roman"/>
                <w:b/>
                <w:sz w:val="20"/>
                <w:szCs w:val="20"/>
                <w:u w:val="single"/>
              </w:rPr>
              <w:t xml:space="preserve"> priorita</w:t>
            </w:r>
          </w:p>
          <w:p w:rsidR="00043D8B" w:rsidRPr="00043D8B" w:rsidRDefault="00043D8B" w:rsidP="00833647">
            <w:pPr>
              <w:pStyle w:val="MZVnormal"/>
              <w:jc w:val="both"/>
              <w:rPr>
                <w:rFonts w:ascii="Times New Roman" w:hAnsi="Times New Roman"/>
                <w:sz w:val="20"/>
                <w:szCs w:val="20"/>
              </w:rPr>
            </w:pPr>
            <w:r w:rsidRPr="00043D8B">
              <w:rPr>
                <w:rFonts w:ascii="Times New Roman" w:hAnsi="Times New Roman"/>
                <w:sz w:val="20"/>
                <w:szCs w:val="20"/>
              </w:rPr>
              <w:t xml:space="preserve">Cieľom návrhu nariadenia je zlepšiť súčinnosť programov financovania EÚ a pravidiel štátnej pomoci, pričom predmetný návrh nariadenia umožňuje Európskej komisii prostredníctvom nariadení vyhlásiť, že určité kategórie štátnej pomoci sú zlučiteľné so spoločným trhom a sú oslobodené od notifikačnej povinnosti stanovenej v článku 108 ods. 3 Zmluvy o fungovaní Európskej únie. </w:t>
            </w:r>
          </w:p>
          <w:p w:rsidR="00043D8B" w:rsidRDefault="00043D8B" w:rsidP="00833647">
            <w:pPr>
              <w:spacing w:after="0"/>
              <w:ind w:left="4" w:right="49"/>
              <w:jc w:val="both"/>
              <w:rPr>
                <w:rFonts w:ascii="Times New Roman" w:hAnsi="Times New Roman"/>
                <w:sz w:val="20"/>
              </w:rPr>
            </w:pPr>
          </w:p>
        </w:tc>
      </w:tr>
      <w:tr w:rsidR="00043D8B" w:rsidTr="00B1660F">
        <w:trPr>
          <w:trHeight w:val="34"/>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Pr="00C66C33" w:rsidRDefault="00043D8B" w:rsidP="00D15EE0">
            <w:pPr>
              <w:spacing w:after="0"/>
              <w:ind w:left="1"/>
              <w:jc w:val="both"/>
              <w:rPr>
                <w:rFonts w:ascii="Times New Roman" w:hAnsi="Times New Roman"/>
                <w:sz w:val="20"/>
                <w:szCs w:val="20"/>
              </w:rPr>
            </w:pPr>
            <w:r w:rsidRPr="00C66C33">
              <w:rPr>
                <w:rFonts w:ascii="Times New Roman" w:hAnsi="Times New Roman"/>
                <w:sz w:val="20"/>
                <w:szCs w:val="20"/>
              </w:rPr>
              <w:t xml:space="preserve">Návrh NARIADENIA EURÓPSKEHO PARLAMENTU A RADY, ktorým sa stanovuje </w:t>
            </w:r>
            <w:r w:rsidR="004F4CF9">
              <w:rPr>
                <w:rFonts w:ascii="Times New Roman" w:hAnsi="Times New Roman"/>
                <w:sz w:val="20"/>
                <w:szCs w:val="20"/>
              </w:rPr>
              <w:t>Horizont Európa</w:t>
            </w:r>
            <w:r w:rsidRPr="00C66C33">
              <w:rPr>
                <w:rFonts w:ascii="Times New Roman" w:hAnsi="Times New Roman"/>
                <w:sz w:val="20"/>
                <w:szCs w:val="20"/>
              </w:rPr>
              <w:t xml:space="preserve">– rámcový program pre výskum a inovácie a ktorým sa stanovujú jeho pravidlá účasti a šírenia COM (2018) 435 final 2018/0224 COD  7. 6. 2018 </w:t>
            </w:r>
          </w:p>
          <w:p w:rsidR="00043D8B" w:rsidRPr="00C66C33" w:rsidRDefault="00043D8B" w:rsidP="00D15EE0">
            <w:pPr>
              <w:spacing w:after="0"/>
              <w:ind w:left="1"/>
              <w:jc w:val="both"/>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rPr>
                <w:rFonts w:ascii="Times New Roman" w:hAnsi="Times New Roman"/>
                <w:b/>
                <w:sz w:val="20"/>
              </w:rPr>
            </w:pPr>
            <w:r w:rsidRPr="001129C1">
              <w:rPr>
                <w:rFonts w:ascii="Times New Roman" w:hAnsi="Times New Roman"/>
                <w:b/>
                <w:sz w:val="20"/>
              </w:rPr>
              <w:t>MŠVVaŠ SR</w:t>
            </w:r>
            <w:r w:rsidRPr="001129C1">
              <w:rPr>
                <w:rFonts w:ascii="Times New Roman" w:hAnsi="Times New Roman"/>
                <w:b/>
                <w:sz w:val="20"/>
              </w:rPr>
              <w:br/>
              <w:t>MZVEZ SR</w:t>
            </w:r>
          </w:p>
          <w:p w:rsidR="00043D8B" w:rsidRPr="001129C1" w:rsidRDefault="00043D8B" w:rsidP="00833647">
            <w:pPr>
              <w:spacing w:after="0"/>
              <w:ind w:left="4" w:right="49"/>
              <w:rPr>
                <w:rFonts w:ascii="Times New Roman" w:hAnsi="Times New Roman"/>
                <w:b/>
                <w:sz w:val="20"/>
              </w:rPr>
            </w:pPr>
            <w:r w:rsidRPr="001129C1">
              <w:rPr>
                <w:rFonts w:ascii="Times New Roman" w:hAnsi="Times New Roman"/>
                <w:b/>
                <w:sz w:val="20"/>
              </w:rPr>
              <w:t>MF SR</w:t>
            </w:r>
          </w:p>
        </w:tc>
        <w:tc>
          <w:tcPr>
            <w:tcW w:w="5386" w:type="dxa"/>
            <w:tcBorders>
              <w:top w:val="single" w:sz="4" w:space="0" w:color="000000"/>
              <w:left w:val="single" w:sz="4" w:space="0" w:color="000000"/>
              <w:bottom w:val="single" w:sz="4" w:space="0" w:color="000000"/>
              <w:right w:val="single" w:sz="4" w:space="0" w:color="000000"/>
            </w:tcBorders>
          </w:tcPr>
          <w:p w:rsidR="00FC5690" w:rsidRPr="00D15EE0" w:rsidRDefault="00FC5690" w:rsidP="00D15EE0">
            <w:pPr>
              <w:spacing w:after="0"/>
              <w:ind w:right="49"/>
              <w:jc w:val="both"/>
              <w:rPr>
                <w:rFonts w:ascii="Times New Roman" w:hAnsi="Times New Roman"/>
                <w:b/>
                <w:sz w:val="20"/>
                <w:szCs w:val="20"/>
                <w:u w:val="single"/>
              </w:rPr>
            </w:pPr>
            <w:r w:rsidRPr="00D15EE0">
              <w:rPr>
                <w:rFonts w:ascii="Times New Roman" w:hAnsi="Times New Roman"/>
                <w:b/>
                <w:sz w:val="20"/>
                <w:szCs w:val="20"/>
                <w:u w:val="single"/>
              </w:rPr>
              <w:t xml:space="preserve">Vysoká priorita </w:t>
            </w:r>
          </w:p>
          <w:p w:rsidR="00043D8B" w:rsidRPr="00FC5690" w:rsidRDefault="00FC5690" w:rsidP="00D15EE0">
            <w:pPr>
              <w:spacing w:after="240"/>
              <w:jc w:val="both"/>
              <w:rPr>
                <w:rFonts w:ascii="Times New Roman" w:hAnsi="Times New Roman"/>
                <w:sz w:val="20"/>
                <w:szCs w:val="20"/>
              </w:rPr>
            </w:pPr>
            <w:r w:rsidRPr="00D15EE0">
              <w:rPr>
                <w:rFonts w:ascii="Times New Roman" w:hAnsi="Times New Roman"/>
                <w:sz w:val="20"/>
                <w:szCs w:val="20"/>
              </w:rPr>
              <w:t>Rámcový program EÚ predstavuje najdôležitejší nástroj na podporu výskumu a inovácií v rokoch 2021 až 2027. Slovenskí výskumníci sa budú môcť uchádzať o projekty výskumu vo všetkých vedných oblastiach. V rámci podpory inovácií a uvedenia inovatívnych produktov na trh sa otvárajú možnosti pre účasť slovenských podnikov s osobitným dôrazom na malé stredné podniky. V rámci ďalších kôl pripomienkovania návrhu v roku 2019 má SR nasledujúce priority. Za kľúčové považujeme nastavenie  odmeňovania výskumníkov v projektoch</w:t>
            </w:r>
            <w:r w:rsidR="004F4CF9" w:rsidRPr="00D15EE0">
              <w:rPr>
                <w:rFonts w:ascii="Times New Roman" w:hAnsi="Times New Roman"/>
                <w:sz w:val="20"/>
                <w:szCs w:val="20"/>
              </w:rPr>
              <w:t xml:space="preserve"> Horizont Európa</w:t>
            </w:r>
            <w:r w:rsidRPr="00D15EE0">
              <w:rPr>
                <w:rFonts w:ascii="Times New Roman" w:hAnsi="Times New Roman"/>
                <w:sz w:val="20"/>
                <w:szCs w:val="20"/>
              </w:rPr>
              <w:t xml:space="preserve">, adekvátne zapojenie členských krajín do strategického plánovania a prípravy misií a horizontálny prístup k rozširovaniu účasti. SR bude taktiež podporovať synergie medzi </w:t>
            </w:r>
            <w:r w:rsidR="004F4CF9" w:rsidRPr="00D15EE0">
              <w:rPr>
                <w:rFonts w:ascii="Times New Roman" w:hAnsi="Times New Roman"/>
                <w:sz w:val="20"/>
                <w:szCs w:val="20"/>
              </w:rPr>
              <w:t xml:space="preserve">Horizontom Európa </w:t>
            </w:r>
            <w:r w:rsidRPr="00D15EE0">
              <w:rPr>
                <w:rFonts w:ascii="Times New Roman" w:hAnsi="Times New Roman"/>
                <w:sz w:val="20"/>
                <w:szCs w:val="20"/>
              </w:rPr>
              <w:t>a štrukturálnymi fondmi.</w:t>
            </w:r>
            <w:r w:rsidR="004F4CF9" w:rsidRPr="00D15EE0">
              <w:rPr>
                <w:rFonts w:ascii="Times New Roman" w:hAnsi="Times New Roman"/>
                <w:sz w:val="20"/>
                <w:szCs w:val="20"/>
              </w:rPr>
              <w:t xml:space="preserve"> *</w:t>
            </w:r>
            <w:r w:rsidR="004F4CF9" w:rsidRPr="00D15EE0">
              <w:rPr>
                <w:rFonts w:ascii="Times New Roman" w:hAnsi="Times New Roman"/>
                <w:sz w:val="20"/>
                <w:szCs w:val="20"/>
                <w:shd w:val="clear" w:color="auto" w:fill="FFFFFF" w:themeFill="background1"/>
              </w:rPr>
              <w:t xml:space="preserve"> </w:t>
            </w:r>
            <w:r w:rsidR="004F4CF9" w:rsidRPr="00D15EE0">
              <w:rPr>
                <w:rFonts w:ascii="Times New Roman" w:hAnsi="Times New Roman" w:cs="Times New Roman"/>
                <w:i/>
                <w:iCs/>
                <w:sz w:val="20"/>
                <w:szCs w:val="20"/>
                <w:shd w:val="clear" w:color="auto" w:fill="FFFFFF" w:themeFill="background1"/>
              </w:rPr>
              <w:t xml:space="preserve">Prvá slovenská verzia návrhov nariadenia a rozhodnutia k rámcovému programu „Horizon Europe“ zo dňa 7.6.2018 ako slovenský ekvivalent názvu programu uvádzala pojem „Európsky horizont“. Aktuálne sa však rámcový program v slovenčine nazýva </w:t>
            </w:r>
            <w:r w:rsidR="004F4CF9" w:rsidRPr="00D15EE0">
              <w:rPr>
                <w:rFonts w:ascii="Times New Roman" w:hAnsi="Times New Roman" w:cs="Times New Roman"/>
                <w:b/>
                <w:bCs/>
                <w:i/>
                <w:iCs/>
                <w:sz w:val="20"/>
                <w:szCs w:val="20"/>
                <w:shd w:val="clear" w:color="auto" w:fill="FFFFFF" w:themeFill="background1"/>
              </w:rPr>
              <w:t>Horizont Európa</w:t>
            </w:r>
            <w:r w:rsidR="004F4CF9" w:rsidRPr="00D15EE0">
              <w:rPr>
                <w:rFonts w:ascii="Times New Roman" w:hAnsi="Times New Roman" w:cs="Times New Roman"/>
                <w:i/>
                <w:iCs/>
                <w:sz w:val="20"/>
                <w:szCs w:val="20"/>
                <w:shd w:val="clear" w:color="auto" w:fill="FFFFFF" w:themeFill="background1"/>
              </w:rPr>
              <w:t>, čo lepšie vystihuje jeho podstatu. V súčasnosti rámcový program aj oficiálne preklady EÚ označujú už len pojmom Horizont Európa</w:t>
            </w:r>
            <w:r>
              <w:rPr>
                <w:rStyle w:val="Siln"/>
                <w:sz w:val="20"/>
                <w:szCs w:val="20"/>
              </w:rPr>
              <w:t> </w:t>
            </w:r>
          </w:p>
        </w:tc>
      </w:tr>
      <w:tr w:rsidR="00043D8B" w:rsidTr="00B1660F">
        <w:trPr>
          <w:trHeight w:val="10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Pr="00C66C33" w:rsidRDefault="00043D8B" w:rsidP="004F4CF9">
            <w:pPr>
              <w:spacing w:after="0"/>
              <w:ind w:left="1"/>
              <w:rPr>
                <w:rFonts w:ascii="Times New Roman" w:hAnsi="Times New Roman"/>
                <w:sz w:val="20"/>
                <w:szCs w:val="20"/>
              </w:rPr>
            </w:pPr>
            <w:r w:rsidRPr="00C66C33">
              <w:rPr>
                <w:rFonts w:ascii="Times New Roman" w:hAnsi="Times New Roman"/>
                <w:sz w:val="20"/>
                <w:szCs w:val="20"/>
              </w:rPr>
              <w:t xml:space="preserve">Návrh ROZHODNUTIA EURÓPSKEHO PARLAMENTU A RADY, ktorým sa stanovuje špecifický program na vykonávanie programu </w:t>
            </w:r>
            <w:r w:rsidR="004F4CF9">
              <w:rPr>
                <w:rFonts w:ascii="Times New Roman" w:hAnsi="Times New Roman"/>
                <w:sz w:val="20"/>
                <w:szCs w:val="20"/>
              </w:rPr>
              <w:t xml:space="preserve">Horizont Európa </w:t>
            </w:r>
            <w:r w:rsidRPr="00C66C33">
              <w:rPr>
                <w:rFonts w:ascii="Times New Roman" w:hAnsi="Times New Roman"/>
                <w:sz w:val="20"/>
                <w:szCs w:val="20"/>
              </w:rPr>
              <w:t>– rámcový program pre výskum a inovácie COM (2018) 436 final 2018/0225 COD  7. 6. 2018</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rPr>
                <w:rFonts w:ascii="Times New Roman" w:hAnsi="Times New Roman"/>
                <w:b/>
                <w:sz w:val="20"/>
              </w:rPr>
            </w:pPr>
            <w:r w:rsidRPr="001129C1">
              <w:rPr>
                <w:rFonts w:ascii="Times New Roman" w:hAnsi="Times New Roman"/>
                <w:b/>
                <w:sz w:val="20"/>
              </w:rPr>
              <w:t>MŠVVaŠ SR</w:t>
            </w:r>
            <w:r w:rsidRPr="001129C1">
              <w:rPr>
                <w:rFonts w:ascii="Times New Roman" w:hAnsi="Times New Roman"/>
                <w:b/>
                <w:sz w:val="20"/>
              </w:rPr>
              <w:br/>
              <w:t>MZVEZ SR</w:t>
            </w:r>
          </w:p>
          <w:p w:rsidR="00043D8B" w:rsidRPr="001129C1" w:rsidRDefault="00043D8B" w:rsidP="00833647">
            <w:pPr>
              <w:spacing w:after="0"/>
              <w:ind w:left="4" w:right="49"/>
              <w:rPr>
                <w:rFonts w:ascii="Times New Roman" w:hAnsi="Times New Roman"/>
                <w:b/>
                <w:sz w:val="20"/>
              </w:rPr>
            </w:pPr>
            <w:r w:rsidRPr="001129C1">
              <w:rPr>
                <w:rFonts w:ascii="Times New Roman" w:hAnsi="Times New Roman"/>
                <w:b/>
                <w:sz w:val="20"/>
              </w:rPr>
              <w:t>MF SR</w:t>
            </w:r>
          </w:p>
        </w:tc>
        <w:tc>
          <w:tcPr>
            <w:tcW w:w="5386" w:type="dxa"/>
            <w:tcBorders>
              <w:top w:val="single" w:sz="4" w:space="0" w:color="000000"/>
              <w:left w:val="single" w:sz="4" w:space="0" w:color="000000"/>
              <w:bottom w:val="single" w:sz="4" w:space="0" w:color="000000"/>
              <w:right w:val="single" w:sz="4" w:space="0" w:color="000000"/>
            </w:tcBorders>
          </w:tcPr>
          <w:p w:rsidR="00FC5690" w:rsidRPr="00DF24B2" w:rsidRDefault="00FC5690" w:rsidP="00FC5690">
            <w:pPr>
              <w:spacing w:after="0"/>
              <w:ind w:left="4" w:right="49"/>
              <w:jc w:val="both"/>
              <w:rPr>
                <w:rFonts w:ascii="Times New Roman" w:hAnsi="Times New Roman"/>
                <w:b/>
                <w:sz w:val="20"/>
                <w:u w:val="single"/>
              </w:rPr>
            </w:pPr>
            <w:r w:rsidRPr="00DF24B2">
              <w:rPr>
                <w:rFonts w:ascii="Times New Roman" w:hAnsi="Times New Roman"/>
                <w:b/>
                <w:sz w:val="20"/>
                <w:u w:val="single"/>
              </w:rPr>
              <w:t xml:space="preserve">Vysoká priorita </w:t>
            </w:r>
          </w:p>
          <w:p w:rsidR="00043D8B" w:rsidRPr="00FC5690" w:rsidRDefault="00FC5690" w:rsidP="00FC5690">
            <w:pPr>
              <w:spacing w:after="240"/>
              <w:jc w:val="both"/>
              <w:rPr>
                <w:rFonts w:ascii="Times New Roman" w:hAnsi="Times New Roman"/>
                <w:sz w:val="20"/>
                <w:szCs w:val="20"/>
              </w:rPr>
            </w:pPr>
            <w:r w:rsidRPr="00FC5690">
              <w:rPr>
                <w:rFonts w:ascii="Times New Roman" w:hAnsi="Times New Roman"/>
                <w:sz w:val="20"/>
                <w:szCs w:val="20"/>
              </w:rPr>
              <w:t>Rámcový program EÚ predstavuje najdôležitejší nástroj na podporu výskumu a inovácií v rokoch 2021 až 2027. Slovenskí výskumníci sa budú môcť uchádzať o projekty výskumu vo všetkých vedných oblastiach. V rámci podpory inovácií a uvedenia inovatívnych produktov na trh sa otvárajú možnosti pre účasť slovenských podnikov s osobitným d</w:t>
            </w:r>
            <w:r>
              <w:rPr>
                <w:rFonts w:ascii="Times New Roman" w:hAnsi="Times New Roman"/>
                <w:sz w:val="20"/>
                <w:szCs w:val="20"/>
              </w:rPr>
              <w:t xml:space="preserve">ôrazom na malé stredné podniky. </w:t>
            </w:r>
            <w:r w:rsidRPr="00FC5690">
              <w:rPr>
                <w:rFonts w:ascii="Times New Roman" w:hAnsi="Times New Roman"/>
                <w:sz w:val="20"/>
                <w:szCs w:val="20"/>
              </w:rPr>
              <w:t>V rámci ďalších kôl pripomienkovania návrhu v roku 2019 má SR nasledujúce priority. Za kľúčové považujeme nastavenie  odmeňovania výskumníkov v projektoch Európskeho horizontu, adekvátne zapojenie členských krajín do strategického plánovania a prípravy misií a horizontálny prístup k rozširovaniu účasti. SR bude taktiež podporovať synergie medzi Európskym horizontom a štrukturálnymi fondmi.</w:t>
            </w:r>
            <w:r w:rsidRPr="00FC5690">
              <w:rPr>
                <w:rStyle w:val="Siln"/>
                <w:sz w:val="20"/>
                <w:szCs w:val="20"/>
              </w:rPr>
              <w:t>  </w:t>
            </w:r>
          </w:p>
        </w:tc>
      </w:tr>
      <w:tr w:rsidR="00043D8B" w:rsidTr="00FC5690">
        <w:trPr>
          <w:trHeight w:val="2875"/>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Pr="005D61E4" w:rsidRDefault="00043D8B" w:rsidP="004F4CF9">
            <w:pPr>
              <w:spacing w:after="0"/>
              <w:ind w:left="1" w:right="123"/>
              <w:jc w:val="both"/>
              <w:rPr>
                <w:rFonts w:ascii="Times New Roman" w:hAnsi="Times New Roman"/>
                <w:sz w:val="20"/>
                <w:szCs w:val="20"/>
              </w:rPr>
            </w:pPr>
            <w:r w:rsidRPr="00C66C33">
              <w:rPr>
                <w:rFonts w:ascii="Times New Roman" w:hAnsi="Times New Roman"/>
                <w:sz w:val="20"/>
                <w:szCs w:val="20"/>
              </w:rPr>
              <w:t>Návrh NARIADENIA RADY, ktorým sa stanovuje výskumný a vzdelávací program Európskeho spoločenstva pre atómovú energiu na obdobie 2021 – 2025, ktorým sa dopĺňa program</w:t>
            </w:r>
            <w:r w:rsidR="004F4CF9">
              <w:rPr>
                <w:rFonts w:ascii="Times New Roman" w:hAnsi="Times New Roman"/>
                <w:sz w:val="20"/>
                <w:szCs w:val="20"/>
              </w:rPr>
              <w:t xml:space="preserve"> Horizont Európa</w:t>
            </w:r>
            <w:r w:rsidR="004F4CF9" w:rsidRPr="00C66C33">
              <w:rPr>
                <w:rFonts w:ascii="Times New Roman" w:hAnsi="Times New Roman"/>
                <w:sz w:val="20"/>
                <w:szCs w:val="20"/>
              </w:rPr>
              <w:t xml:space="preserve"> </w:t>
            </w:r>
            <w:r w:rsidRPr="00C66C33">
              <w:rPr>
                <w:rFonts w:ascii="Times New Roman" w:hAnsi="Times New Roman"/>
                <w:sz w:val="20"/>
                <w:szCs w:val="20"/>
              </w:rPr>
              <w:t>– rámcový program pre výskum a inovácie COM (2018) 437 final 2018/0226 (NLE)  7. 6. 2018</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rPr>
                <w:rFonts w:ascii="Times New Roman" w:hAnsi="Times New Roman"/>
                <w:b/>
                <w:sz w:val="20"/>
              </w:rPr>
            </w:pPr>
            <w:r w:rsidRPr="001129C1">
              <w:rPr>
                <w:rFonts w:ascii="Times New Roman" w:hAnsi="Times New Roman"/>
                <w:b/>
                <w:sz w:val="20"/>
              </w:rPr>
              <w:t>MŠVVaŠ SR</w:t>
            </w:r>
            <w:r w:rsidRPr="001129C1">
              <w:rPr>
                <w:rFonts w:ascii="Times New Roman" w:hAnsi="Times New Roman"/>
                <w:b/>
                <w:sz w:val="20"/>
              </w:rPr>
              <w:br/>
              <w:t>MZVEZ SR</w:t>
            </w:r>
          </w:p>
          <w:p w:rsidR="00043D8B" w:rsidRPr="001129C1" w:rsidRDefault="00043D8B" w:rsidP="00833647">
            <w:pPr>
              <w:spacing w:after="0"/>
              <w:ind w:left="4" w:right="49"/>
              <w:rPr>
                <w:rFonts w:ascii="Times New Roman" w:hAnsi="Times New Roman"/>
                <w:b/>
                <w:sz w:val="20"/>
              </w:rPr>
            </w:pPr>
            <w:r w:rsidRPr="001129C1">
              <w:rPr>
                <w:rFonts w:ascii="Times New Roman" w:hAnsi="Times New Roman"/>
                <w:b/>
                <w:sz w:val="20"/>
              </w:rPr>
              <w:t>MF SR</w:t>
            </w:r>
          </w:p>
          <w:p w:rsidR="00043D8B" w:rsidRPr="001129C1" w:rsidRDefault="00043D8B" w:rsidP="00833647">
            <w:pPr>
              <w:spacing w:after="0"/>
              <w:ind w:left="4" w:right="49"/>
              <w:rPr>
                <w:rFonts w:ascii="Times New Roman" w:hAnsi="Times New Roman"/>
                <w:b/>
                <w:sz w:val="20"/>
              </w:rPr>
            </w:pPr>
            <w:r w:rsidRPr="001129C1">
              <w:rPr>
                <w:rFonts w:ascii="Times New Roman" w:hAnsi="Times New Roman"/>
                <w:b/>
                <w:sz w:val="20"/>
              </w:rPr>
              <w:t>MH SR</w:t>
            </w:r>
          </w:p>
          <w:p w:rsidR="00043D8B" w:rsidRPr="001129C1" w:rsidRDefault="00043D8B" w:rsidP="00833647">
            <w:pPr>
              <w:spacing w:after="0"/>
              <w:ind w:left="4" w:right="49"/>
              <w:rPr>
                <w:rFonts w:ascii="Times New Roman" w:hAnsi="Times New Roman"/>
                <w:b/>
                <w:sz w:val="20"/>
              </w:rPr>
            </w:pPr>
            <w:r w:rsidRPr="001129C1">
              <w:rPr>
                <w:rFonts w:ascii="Times New Roman" w:hAnsi="Times New Roman"/>
                <w:b/>
                <w:sz w:val="20"/>
              </w:rPr>
              <w:t>ÚJD SR</w:t>
            </w:r>
          </w:p>
        </w:tc>
        <w:tc>
          <w:tcPr>
            <w:tcW w:w="5386" w:type="dxa"/>
            <w:tcBorders>
              <w:top w:val="single" w:sz="4" w:space="0" w:color="000000"/>
              <w:left w:val="single" w:sz="4" w:space="0" w:color="000000"/>
              <w:bottom w:val="single" w:sz="4" w:space="0" w:color="000000"/>
              <w:right w:val="single" w:sz="4" w:space="0" w:color="000000"/>
            </w:tcBorders>
          </w:tcPr>
          <w:p w:rsidR="00043D8B" w:rsidRPr="00FC5690" w:rsidRDefault="00FC5690" w:rsidP="00833647">
            <w:pPr>
              <w:spacing w:after="0"/>
              <w:ind w:left="4" w:right="49"/>
              <w:jc w:val="both"/>
              <w:rPr>
                <w:rFonts w:ascii="Times New Roman" w:hAnsi="Times New Roman"/>
                <w:b/>
                <w:sz w:val="20"/>
                <w:u w:val="single"/>
              </w:rPr>
            </w:pPr>
            <w:r w:rsidRPr="00FC5690">
              <w:rPr>
                <w:rFonts w:ascii="Times New Roman" w:hAnsi="Times New Roman"/>
                <w:b/>
                <w:sz w:val="20"/>
                <w:u w:val="single"/>
              </w:rPr>
              <w:t xml:space="preserve">Vysoká </w:t>
            </w:r>
            <w:r w:rsidR="00043D8B" w:rsidRPr="00FC5690">
              <w:rPr>
                <w:rFonts w:ascii="Times New Roman" w:hAnsi="Times New Roman"/>
                <w:b/>
                <w:sz w:val="20"/>
                <w:u w:val="single"/>
              </w:rPr>
              <w:t>priorita</w:t>
            </w:r>
          </w:p>
          <w:p w:rsidR="00FC5690" w:rsidRPr="00FC5690" w:rsidRDefault="00FC5690" w:rsidP="00FC5690">
            <w:pPr>
              <w:pStyle w:val="Bezriadkovania"/>
              <w:jc w:val="both"/>
              <w:rPr>
                <w:rFonts w:ascii="Times New Roman" w:hAnsi="Times New Roman" w:cs="Calibri"/>
                <w:color w:val="000000"/>
                <w:sz w:val="20"/>
                <w:szCs w:val="20"/>
                <w:lang w:eastAsia="sk-SK"/>
              </w:rPr>
            </w:pPr>
            <w:r w:rsidRPr="00FC5690">
              <w:rPr>
                <w:rFonts w:ascii="Times New Roman" w:hAnsi="Times New Roman" w:cs="Calibri"/>
                <w:color w:val="000000"/>
                <w:sz w:val="20"/>
                <w:szCs w:val="20"/>
                <w:lang w:eastAsia="sk-SK"/>
              </w:rPr>
              <w:t>Slovenská republika nemá výhrady k Návrhu nariadenia Rady.</w:t>
            </w:r>
          </w:p>
          <w:p w:rsidR="00FC5690" w:rsidRPr="00FC5690" w:rsidRDefault="00FC5690" w:rsidP="00FC5690">
            <w:pPr>
              <w:pStyle w:val="Bezriadkovania"/>
              <w:jc w:val="both"/>
              <w:rPr>
                <w:rFonts w:ascii="Times New Roman" w:hAnsi="Times New Roman" w:cs="Calibri"/>
                <w:color w:val="000000"/>
                <w:sz w:val="20"/>
                <w:szCs w:val="20"/>
                <w:lang w:eastAsia="sk-SK"/>
              </w:rPr>
            </w:pPr>
            <w:r w:rsidRPr="00FC5690">
              <w:rPr>
                <w:rFonts w:ascii="Times New Roman" w:hAnsi="Times New Roman" w:cs="Calibri"/>
                <w:color w:val="000000"/>
                <w:sz w:val="20"/>
                <w:szCs w:val="20"/>
                <w:lang w:eastAsia="sk-SK"/>
              </w:rPr>
              <w:t xml:space="preserve">Návrh má finančné dopady v rámci EÚ. Finančné krytie implementácie programu sa stanovuje vo výške 1 675 000 000 EUR v bežných cenách. Orientačné rozdelenie navrhovaného rozpočtu je : </w:t>
            </w:r>
          </w:p>
          <w:p w:rsidR="00FC5690" w:rsidRPr="00FC5690" w:rsidRDefault="00FC5690" w:rsidP="00FC5690">
            <w:pPr>
              <w:pStyle w:val="Bezriadkovania"/>
              <w:jc w:val="both"/>
              <w:rPr>
                <w:rFonts w:ascii="Times New Roman" w:hAnsi="Times New Roman" w:cs="Calibri"/>
                <w:color w:val="000000"/>
                <w:sz w:val="20"/>
                <w:szCs w:val="20"/>
                <w:lang w:eastAsia="sk-SK"/>
              </w:rPr>
            </w:pPr>
            <w:r>
              <w:rPr>
                <w:rFonts w:ascii="Times New Roman" w:hAnsi="Times New Roman" w:cs="Calibri"/>
                <w:color w:val="000000"/>
                <w:sz w:val="20"/>
                <w:szCs w:val="20"/>
                <w:lang w:eastAsia="sk-SK"/>
              </w:rPr>
              <w:t>a)  </w:t>
            </w:r>
            <w:r w:rsidRPr="00FC5690">
              <w:rPr>
                <w:rFonts w:ascii="Times New Roman" w:hAnsi="Times New Roman" w:cs="Calibri"/>
                <w:color w:val="000000"/>
                <w:sz w:val="20"/>
                <w:szCs w:val="20"/>
                <w:lang w:eastAsia="sk-SK"/>
              </w:rPr>
              <w:t xml:space="preserve">724 563 000 EUR na výskum a vývoj v oblasti jadrovej syntézy; </w:t>
            </w:r>
          </w:p>
          <w:p w:rsidR="00FC5690" w:rsidRDefault="00FC5690" w:rsidP="00FC5690">
            <w:pPr>
              <w:pStyle w:val="Bezriadkovania"/>
              <w:ind w:left="705" w:hanging="705"/>
              <w:jc w:val="both"/>
              <w:rPr>
                <w:rFonts w:ascii="Times New Roman" w:hAnsi="Times New Roman" w:cs="Calibri"/>
                <w:color w:val="000000"/>
                <w:sz w:val="20"/>
                <w:szCs w:val="20"/>
                <w:lang w:eastAsia="sk-SK"/>
              </w:rPr>
            </w:pPr>
            <w:r>
              <w:rPr>
                <w:rFonts w:ascii="Times New Roman" w:hAnsi="Times New Roman" w:cs="Calibri"/>
                <w:color w:val="000000"/>
                <w:sz w:val="20"/>
                <w:szCs w:val="20"/>
                <w:lang w:eastAsia="sk-SK"/>
              </w:rPr>
              <w:t>b)   </w:t>
            </w:r>
            <w:r w:rsidRPr="00FC5690">
              <w:rPr>
                <w:rFonts w:ascii="Times New Roman" w:hAnsi="Times New Roman" w:cs="Calibri"/>
                <w:color w:val="000000"/>
                <w:sz w:val="20"/>
                <w:szCs w:val="20"/>
                <w:lang w:eastAsia="sk-SK"/>
              </w:rPr>
              <w:t xml:space="preserve">330 930 000 EUR na jadrové </w:t>
            </w:r>
            <w:r>
              <w:rPr>
                <w:rFonts w:ascii="Times New Roman" w:hAnsi="Times New Roman" w:cs="Calibri"/>
                <w:color w:val="000000"/>
                <w:sz w:val="20"/>
                <w:szCs w:val="20"/>
                <w:lang w:eastAsia="sk-SK"/>
              </w:rPr>
              <w:t xml:space="preserve">štiepenie, jadrovú bezpečnosť a </w:t>
            </w:r>
          </w:p>
          <w:p w:rsidR="00FC5690" w:rsidRPr="00FC5690" w:rsidRDefault="00FC5690" w:rsidP="00FC5690">
            <w:pPr>
              <w:pStyle w:val="Bezriadkovania"/>
              <w:ind w:left="705" w:hanging="705"/>
              <w:jc w:val="both"/>
              <w:rPr>
                <w:rFonts w:ascii="Times New Roman" w:hAnsi="Times New Roman" w:cs="Calibri"/>
                <w:color w:val="000000"/>
                <w:sz w:val="20"/>
                <w:szCs w:val="20"/>
                <w:lang w:eastAsia="sk-SK"/>
              </w:rPr>
            </w:pPr>
            <w:r w:rsidRPr="00FC5690">
              <w:rPr>
                <w:rFonts w:ascii="Times New Roman" w:hAnsi="Times New Roman" w:cs="Calibri"/>
                <w:color w:val="000000"/>
                <w:sz w:val="20"/>
                <w:szCs w:val="20"/>
                <w:lang w:eastAsia="sk-SK"/>
              </w:rPr>
              <w:t>ochranu pred žiarením;</w:t>
            </w:r>
          </w:p>
          <w:p w:rsidR="00FC5690" w:rsidRPr="00FC5690" w:rsidRDefault="00FC5690" w:rsidP="00FC5690">
            <w:pPr>
              <w:pStyle w:val="Bezriadkovania"/>
              <w:jc w:val="both"/>
              <w:rPr>
                <w:rFonts w:ascii="Times New Roman" w:hAnsi="Times New Roman" w:cs="Calibri"/>
                <w:color w:val="000000"/>
                <w:sz w:val="20"/>
                <w:szCs w:val="20"/>
                <w:lang w:eastAsia="sk-SK"/>
              </w:rPr>
            </w:pPr>
            <w:r w:rsidRPr="00FC5690">
              <w:rPr>
                <w:rFonts w:ascii="Times New Roman" w:hAnsi="Times New Roman" w:cs="Calibri"/>
                <w:color w:val="000000"/>
                <w:sz w:val="20"/>
                <w:szCs w:val="20"/>
                <w:lang w:eastAsia="sk-SK"/>
              </w:rPr>
              <w:t>c</w:t>
            </w:r>
            <w:r>
              <w:rPr>
                <w:rFonts w:ascii="Times New Roman" w:hAnsi="Times New Roman" w:cs="Calibri"/>
                <w:color w:val="000000"/>
                <w:sz w:val="20"/>
                <w:szCs w:val="20"/>
                <w:lang w:eastAsia="sk-SK"/>
              </w:rPr>
              <w:t>)  </w:t>
            </w:r>
            <w:r w:rsidRPr="00FC5690">
              <w:rPr>
                <w:rFonts w:ascii="Times New Roman" w:hAnsi="Times New Roman" w:cs="Calibri"/>
                <w:color w:val="000000"/>
                <w:sz w:val="20"/>
                <w:szCs w:val="20"/>
                <w:lang w:eastAsia="sk-SK"/>
              </w:rPr>
              <w:t>619 507 000 EUR na priame akcie, ktoré realizuje Spoločné výskumné centrum.</w:t>
            </w:r>
          </w:p>
          <w:p w:rsidR="00043D8B" w:rsidRPr="00FC5690" w:rsidRDefault="00043D8B" w:rsidP="00FC5690">
            <w:pPr>
              <w:pStyle w:val="Textkomentra"/>
              <w:spacing w:after="0"/>
              <w:rPr>
                <w:rFonts w:ascii="Times New Roman" w:hAnsi="Times New Roman"/>
              </w:rPr>
            </w:pPr>
            <w:r w:rsidRPr="00FC5690">
              <w:rPr>
                <w:rFonts w:ascii="Times New Roman" w:hAnsi="Times New Roman"/>
              </w:rPr>
              <w:t/>
            </w:r>
          </w:p>
        </w:tc>
      </w:tr>
      <w:tr w:rsidR="00043D8B" w:rsidTr="00B1660F">
        <w:trPr>
          <w:trHeight w:val="499"/>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Pr>
                <w:rFonts w:ascii="Times New Roman" w:hAnsi="Times New Roman"/>
                <w:sz w:val="20"/>
              </w:rPr>
            </w:pPr>
          </w:p>
        </w:tc>
        <w:tc>
          <w:tcPr>
            <w:tcW w:w="4819" w:type="dxa"/>
            <w:tcBorders>
              <w:top w:val="single" w:sz="4" w:space="0" w:color="000000"/>
              <w:left w:val="single" w:sz="4" w:space="0" w:color="000000"/>
              <w:bottom w:val="single" w:sz="4" w:space="0" w:color="000000"/>
              <w:right w:val="single" w:sz="4" w:space="0" w:color="000000"/>
            </w:tcBorders>
          </w:tcPr>
          <w:p w:rsidR="00043D8B" w:rsidRPr="00C66C33" w:rsidRDefault="00043D8B" w:rsidP="00D15EE0">
            <w:pPr>
              <w:spacing w:after="0"/>
              <w:ind w:left="1"/>
              <w:rPr>
                <w:rFonts w:ascii="Times New Roman" w:hAnsi="Times New Roman"/>
                <w:sz w:val="20"/>
                <w:szCs w:val="20"/>
              </w:rPr>
            </w:pPr>
            <w:r>
              <w:rPr>
                <w:rFonts w:ascii="Times New Roman" w:hAnsi="Times New Roman"/>
                <w:sz w:val="20"/>
                <w:szCs w:val="20"/>
              </w:rPr>
              <w:t>Návrh NARIADENIA EURÓ</w:t>
            </w:r>
            <w:r w:rsidRPr="00C66C33">
              <w:rPr>
                <w:rFonts w:ascii="Times New Roman" w:hAnsi="Times New Roman"/>
                <w:sz w:val="20"/>
                <w:szCs w:val="20"/>
              </w:rPr>
              <w:t xml:space="preserve">SKEHO PARLAMENTU A RADY, ktorým sa stanovuje program Digitálna Európa na obdobie 2021 </w:t>
            </w:r>
            <w:r w:rsidR="00D15EE0">
              <w:rPr>
                <w:rFonts w:ascii="Times New Roman" w:hAnsi="Times New Roman"/>
                <w:sz w:val="20"/>
                <w:szCs w:val="20"/>
              </w:rPr>
              <w:t xml:space="preserve">– 2027 č. COM (2018) 434 final </w:t>
            </w:r>
            <w:r w:rsidRPr="00C66C33">
              <w:rPr>
                <w:rFonts w:ascii="Times New Roman" w:hAnsi="Times New Roman"/>
                <w:sz w:val="20"/>
                <w:szCs w:val="20"/>
              </w:rPr>
              <w:t xml:space="preserve">2018/0227 COD  6. 6. 2018 </w:t>
            </w:r>
          </w:p>
        </w:tc>
        <w:tc>
          <w:tcPr>
            <w:tcW w:w="1418" w:type="dxa"/>
            <w:tcBorders>
              <w:top w:val="single" w:sz="4" w:space="0" w:color="000000"/>
              <w:left w:val="single" w:sz="4" w:space="0" w:color="000000"/>
              <w:bottom w:val="single" w:sz="4" w:space="0" w:color="000000"/>
              <w:right w:val="single" w:sz="4" w:space="0" w:color="000000"/>
            </w:tcBorders>
          </w:tcPr>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ÚPPVII</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MF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MDaV SR</w:t>
            </w:r>
          </w:p>
          <w:p w:rsidR="00043D8B" w:rsidRPr="001129C1" w:rsidRDefault="00043D8B" w:rsidP="00833647">
            <w:pPr>
              <w:spacing w:after="0"/>
              <w:ind w:left="4" w:right="49"/>
              <w:jc w:val="both"/>
              <w:rPr>
                <w:rFonts w:ascii="Times New Roman" w:hAnsi="Times New Roman"/>
                <w:b/>
                <w:sz w:val="20"/>
              </w:rPr>
            </w:pPr>
            <w:r w:rsidRPr="001129C1">
              <w:rPr>
                <w:rFonts w:ascii="Times New Roman" w:hAnsi="Times New Roman"/>
                <w:b/>
                <w:sz w:val="20"/>
              </w:rPr>
              <w:t>MH SR</w:t>
            </w:r>
          </w:p>
        </w:tc>
        <w:tc>
          <w:tcPr>
            <w:tcW w:w="5386" w:type="dxa"/>
            <w:tcBorders>
              <w:top w:val="single" w:sz="4" w:space="0" w:color="000000"/>
              <w:left w:val="single" w:sz="4" w:space="0" w:color="000000"/>
              <w:bottom w:val="single" w:sz="4" w:space="0" w:color="000000"/>
              <w:right w:val="single" w:sz="4" w:space="0" w:color="000000"/>
            </w:tcBorders>
          </w:tcPr>
          <w:p w:rsidR="00043D8B" w:rsidRPr="00DF24B2" w:rsidRDefault="00043D8B" w:rsidP="00833647">
            <w:pPr>
              <w:spacing w:after="0"/>
              <w:ind w:left="4" w:right="49"/>
              <w:jc w:val="both"/>
              <w:rPr>
                <w:rFonts w:ascii="Times New Roman" w:hAnsi="Times New Roman"/>
                <w:b/>
                <w:sz w:val="20"/>
                <w:u w:val="single"/>
              </w:rPr>
            </w:pPr>
            <w:r w:rsidRPr="00DF24B2">
              <w:rPr>
                <w:rFonts w:ascii="Times New Roman" w:hAnsi="Times New Roman"/>
                <w:b/>
                <w:sz w:val="20"/>
                <w:u w:val="single"/>
              </w:rPr>
              <w:t xml:space="preserve">Vysoká priorita </w:t>
            </w:r>
          </w:p>
          <w:p w:rsidR="00043D8B" w:rsidRDefault="00043D8B" w:rsidP="00833647">
            <w:pPr>
              <w:spacing w:after="0"/>
              <w:ind w:right="49"/>
              <w:jc w:val="both"/>
              <w:rPr>
                <w:rFonts w:ascii="Times New Roman" w:hAnsi="Times New Roman"/>
                <w:sz w:val="20"/>
              </w:rPr>
            </w:pPr>
            <w:r>
              <w:rPr>
                <w:rFonts w:ascii="Times New Roman" w:hAnsi="Times New Roman"/>
                <w:sz w:val="20"/>
              </w:rPr>
              <w:t xml:space="preserve">nový priamo riadený program podporujúci priority v oblasti digitálnej agendy  </w:t>
            </w:r>
          </w:p>
        </w:tc>
      </w:tr>
      <w:tr w:rsidR="00043D8B" w:rsidTr="00B1660F">
        <w:trPr>
          <w:trHeight w:val="1877"/>
        </w:trPr>
        <w:tc>
          <w:tcPr>
            <w:tcW w:w="590" w:type="dxa"/>
            <w:tcBorders>
              <w:top w:val="single" w:sz="4" w:space="0" w:color="000000"/>
              <w:left w:val="single" w:sz="4" w:space="0" w:color="000000"/>
              <w:bottom w:val="single" w:sz="4" w:space="0" w:color="000000"/>
              <w:right w:val="single" w:sz="4" w:space="0" w:color="000000"/>
            </w:tcBorders>
          </w:tcPr>
          <w:p w:rsidR="00043D8B" w:rsidRPr="00744D77" w:rsidRDefault="00043D8B" w:rsidP="00833647">
            <w:pPr>
              <w:spacing w:after="0"/>
              <w:rPr>
                <w:rFonts w:ascii="Times New Roman" w:hAnsi="Times New Roman"/>
                <w:sz w:val="20"/>
              </w:rPr>
            </w:pPr>
            <w:r>
              <w:rPr>
                <w:rFonts w:ascii="Times New Roman" w:hAnsi="Times New Roman"/>
                <w:sz w:val="20"/>
              </w:rPr>
              <w:t>6.</w:t>
            </w:r>
            <w:r>
              <w:rPr>
                <w:rFonts w:ascii="Arial" w:hAnsi="Arial" w:cs="Arial"/>
                <w:sz w:val="20"/>
              </w:rPr>
              <w:t xml:space="preserve"> </w:t>
            </w:r>
            <w:r>
              <w:rPr>
                <w:rFonts w:ascii="Times New Roman" w:hAnsi="Times New Roman"/>
                <w:sz w:val="20"/>
              </w:rPr>
              <w:t xml:space="preserve"> </w:t>
            </w:r>
          </w:p>
        </w:tc>
        <w:tc>
          <w:tcPr>
            <w:tcW w:w="286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line="247" w:lineRule="auto"/>
            </w:pPr>
            <w:r>
              <w:rPr>
                <w:rFonts w:ascii="Times New Roman" w:hAnsi="Times New Roman"/>
                <w:sz w:val="20"/>
              </w:rPr>
              <w:t xml:space="preserve">Nástroj na prepájanie Európy na obdobie 2014 – 2020: vystúpenie Spojeného kráľovstva z Únie [zmena nariadenia (EÚ) č. 1316/2013]  </w:t>
            </w:r>
          </w:p>
          <w:p w:rsidR="00043D8B" w:rsidRDefault="00043D8B" w:rsidP="00833647">
            <w:pPr>
              <w:spacing w:after="0"/>
              <w:ind w:left="1"/>
              <w:rPr>
                <w:rFonts w:ascii="Times New Roman" w:hAnsi="Times New Roman"/>
                <w:sz w:val="20"/>
              </w:rPr>
            </w:pPr>
            <w:r>
              <w:rPr>
                <w:rFonts w:ascii="Times New Roman" w:hAnsi="Times New Roman"/>
                <w:b/>
                <w:sz w:val="20"/>
              </w:rPr>
              <w:t>(pripravenosť na brexit)</w:t>
            </w:r>
          </w:p>
        </w:tc>
        <w:tc>
          <w:tcPr>
            <w:tcW w:w="4819" w:type="dxa"/>
            <w:tcBorders>
              <w:top w:val="single" w:sz="4" w:space="0" w:color="000000"/>
              <w:left w:val="single" w:sz="4" w:space="0" w:color="000000"/>
              <w:bottom w:val="single" w:sz="4" w:space="0" w:color="000000"/>
              <w:right w:val="single" w:sz="4" w:space="0" w:color="000000"/>
            </w:tcBorders>
          </w:tcPr>
          <w:p w:rsidR="00043D8B" w:rsidRPr="00C66C33" w:rsidRDefault="00043D8B" w:rsidP="00833647">
            <w:pPr>
              <w:spacing w:after="0"/>
              <w:ind w:left="1"/>
              <w:rPr>
                <w:rFonts w:ascii="Times New Roman" w:hAnsi="Times New Roman"/>
                <w:sz w:val="20"/>
                <w:szCs w:val="20"/>
              </w:rPr>
            </w:pPr>
            <w:r w:rsidRPr="00C66C33">
              <w:rPr>
                <w:rFonts w:ascii="Times New Roman" w:hAnsi="Times New Roman"/>
                <w:sz w:val="20"/>
                <w:szCs w:val="20"/>
              </w:rPr>
              <w:t xml:space="preserve">Návrh NARIADENIA EURÓPSKEHO PARLAMENTU A RADY, ktorým sa mení nariadenie (EÚ) č. 1316/2013 vzhľadom na vystúpenie Spojeného kráľovstva z Únie COM (2018) 568 final 2018/0299 COD  </w:t>
            </w:r>
          </w:p>
          <w:p w:rsidR="00043D8B" w:rsidRPr="00C66C33" w:rsidRDefault="00043D8B" w:rsidP="00833647">
            <w:pPr>
              <w:spacing w:after="0"/>
              <w:ind w:left="1"/>
              <w:rPr>
                <w:rFonts w:ascii="Times New Roman" w:hAnsi="Times New Roman"/>
                <w:sz w:val="20"/>
                <w:szCs w:val="20"/>
              </w:rPr>
            </w:pPr>
            <w:r w:rsidRPr="00C66C33">
              <w:rPr>
                <w:rFonts w:ascii="Times New Roman" w:hAnsi="Times New Roman"/>
                <w:sz w:val="20"/>
                <w:szCs w:val="20"/>
              </w:rPr>
              <w:t>1. 8. 2018</w:t>
            </w:r>
          </w:p>
        </w:tc>
        <w:tc>
          <w:tcPr>
            <w:tcW w:w="1418" w:type="dxa"/>
            <w:tcBorders>
              <w:top w:val="single" w:sz="4" w:space="0" w:color="000000"/>
              <w:left w:val="single" w:sz="4" w:space="0" w:color="000000"/>
              <w:bottom w:val="single" w:sz="4" w:space="0" w:color="000000"/>
              <w:right w:val="single" w:sz="4" w:space="0" w:color="000000"/>
            </w:tcBorders>
          </w:tcPr>
          <w:p w:rsidR="00043D8B" w:rsidRPr="00B1660F" w:rsidRDefault="00043D8B" w:rsidP="00833647">
            <w:pPr>
              <w:spacing w:after="0"/>
              <w:ind w:left="4" w:right="49"/>
              <w:jc w:val="both"/>
              <w:rPr>
                <w:rFonts w:ascii="Times New Roman" w:hAnsi="Times New Roman"/>
                <w:b/>
                <w:sz w:val="20"/>
              </w:rPr>
            </w:pPr>
            <w:r w:rsidRPr="00B1660F">
              <w:rPr>
                <w:rFonts w:ascii="Times New Roman" w:hAnsi="Times New Roman"/>
                <w:b/>
                <w:sz w:val="20"/>
              </w:rPr>
              <w:t>MDaV SR</w:t>
            </w:r>
          </w:p>
        </w:tc>
        <w:tc>
          <w:tcPr>
            <w:tcW w:w="5386" w:type="dxa"/>
            <w:tcBorders>
              <w:top w:val="single" w:sz="4" w:space="0" w:color="000000"/>
              <w:left w:val="single" w:sz="4" w:space="0" w:color="000000"/>
              <w:bottom w:val="single" w:sz="4" w:space="0" w:color="000000"/>
              <w:right w:val="single" w:sz="4" w:space="0" w:color="000000"/>
            </w:tcBorders>
          </w:tcPr>
          <w:p w:rsidR="00043D8B" w:rsidRPr="00CE6940" w:rsidRDefault="00043D8B" w:rsidP="00833647">
            <w:pPr>
              <w:spacing w:after="0"/>
              <w:ind w:left="4" w:right="49"/>
              <w:jc w:val="both"/>
              <w:rPr>
                <w:rFonts w:ascii="Times New Roman" w:hAnsi="Times New Roman"/>
                <w:b/>
                <w:sz w:val="20"/>
                <w:u w:val="single"/>
              </w:rPr>
            </w:pPr>
            <w:r w:rsidRPr="00CE6940">
              <w:rPr>
                <w:rFonts w:ascii="Times New Roman" w:hAnsi="Times New Roman"/>
                <w:b/>
                <w:sz w:val="20"/>
                <w:u w:val="single"/>
              </w:rPr>
              <w:t>Nízka priorita</w:t>
            </w:r>
          </w:p>
          <w:p w:rsidR="00043D8B" w:rsidRDefault="00043D8B" w:rsidP="00833647">
            <w:pPr>
              <w:spacing w:after="0"/>
              <w:ind w:left="4" w:right="49"/>
              <w:jc w:val="both"/>
              <w:rPr>
                <w:rFonts w:ascii="Times New Roman" w:hAnsi="Times New Roman"/>
                <w:sz w:val="20"/>
              </w:rPr>
            </w:pPr>
            <w:r>
              <w:rPr>
                <w:rFonts w:ascii="Times New Roman" w:hAnsi="Times New Roman"/>
                <w:sz w:val="20"/>
              </w:rPr>
              <w:t>Návrh sa týka vystúpenia Spojeného kráľovstva z EÚ a s tým spätej spolupráce v oblasti TEN-T. Spojené kráľovstvo je súčasťou dopravného koridoru základnej siete TEN-T Severné more – Stredomorie a návrhom nariadenia sa upravuje usporiadanie jeho trasy pridaním námorných prepojení. Aj keď SR nie je súčasťou koridoru, podporuje túto iniciatívu.</w:t>
            </w:r>
          </w:p>
        </w:tc>
      </w:tr>
      <w:tr w:rsidR="00043D8B" w:rsidTr="00FC5690">
        <w:trPr>
          <w:trHeight w:val="2422"/>
        </w:trPr>
        <w:tc>
          <w:tcPr>
            <w:tcW w:w="590" w:type="dxa"/>
            <w:tcBorders>
              <w:top w:val="single" w:sz="4" w:space="0" w:color="000000"/>
              <w:left w:val="single" w:sz="4" w:space="0" w:color="000000"/>
              <w:bottom w:val="single" w:sz="4" w:space="0" w:color="000000"/>
              <w:right w:val="single" w:sz="4" w:space="0" w:color="000000"/>
            </w:tcBorders>
          </w:tcPr>
          <w:p w:rsidR="00043D8B" w:rsidRDefault="00043D8B" w:rsidP="00043D8B">
            <w:r>
              <w:rPr>
                <w:rFonts w:ascii="Times New Roman" w:hAnsi="Times New Roman"/>
                <w:sz w:val="20"/>
              </w:rPr>
              <w:t>7.</w:t>
            </w:r>
            <w:r>
              <w:rPr>
                <w:rFonts w:ascii="Arial" w:hAnsi="Arial" w:cs="Arial"/>
                <w:sz w:val="20"/>
              </w:rPr>
              <w:t xml:space="preserve"> </w:t>
            </w:r>
            <w:r>
              <w:rPr>
                <w:rFonts w:ascii="Times New Roman" w:hAnsi="Times New Roman"/>
                <w:sz w:val="20"/>
              </w:rPr>
              <w:t xml:space="preserve"> </w:t>
            </w:r>
          </w:p>
        </w:tc>
        <w:tc>
          <w:tcPr>
            <w:tcW w:w="2867" w:type="dxa"/>
            <w:tcBorders>
              <w:top w:val="single" w:sz="4" w:space="0" w:color="000000"/>
              <w:left w:val="single" w:sz="4" w:space="0" w:color="000000"/>
              <w:bottom w:val="single" w:sz="4" w:space="0" w:color="000000"/>
              <w:right w:val="single" w:sz="4" w:space="0" w:color="000000"/>
            </w:tcBorders>
            <w:vAlign w:val="center"/>
          </w:tcPr>
          <w:p w:rsidR="00043D8B" w:rsidRDefault="00043D8B" w:rsidP="00FC5690">
            <w:pPr>
              <w:spacing w:after="36" w:line="250" w:lineRule="auto"/>
              <w:ind w:right="143"/>
            </w:pPr>
            <w:r>
              <w:rPr>
                <w:rFonts w:ascii="Times New Roman" w:hAnsi="Times New Roman"/>
                <w:sz w:val="20"/>
              </w:rPr>
              <w:t xml:space="preserve">Spoločné pravidlá a normy pre organizácie vykonávajúce inšpekcie a prehliadky lodí: vystúpenie Spojeného kráľovstva z Únie [zmena nariadenia (EÚ) č. 391/2009]  </w:t>
            </w:r>
          </w:p>
        </w:tc>
        <w:tc>
          <w:tcPr>
            <w:tcW w:w="4819" w:type="dxa"/>
            <w:tcBorders>
              <w:top w:val="single" w:sz="4" w:space="0" w:color="000000"/>
              <w:left w:val="single" w:sz="4" w:space="0" w:color="000000"/>
              <w:bottom w:val="single" w:sz="4" w:space="0" w:color="000000"/>
              <w:right w:val="single" w:sz="4" w:space="0" w:color="000000"/>
            </w:tcBorders>
          </w:tcPr>
          <w:p w:rsidR="00043D8B" w:rsidRPr="00C66C33" w:rsidRDefault="00043D8B" w:rsidP="00043D8B">
            <w:pPr>
              <w:ind w:left="1"/>
              <w:rPr>
                <w:rFonts w:ascii="Times New Roman" w:hAnsi="Times New Roman"/>
                <w:sz w:val="20"/>
                <w:szCs w:val="20"/>
              </w:rPr>
            </w:pPr>
            <w:r w:rsidRPr="00C66C33">
              <w:rPr>
                <w:rFonts w:ascii="Times New Roman" w:hAnsi="Times New Roman"/>
                <w:sz w:val="20"/>
                <w:szCs w:val="20"/>
              </w:rPr>
              <w:t>Návrh NARIADENIA EURÓPSKEHO PARLAMENTU A RADY, ktorým sa mení nariadenie (ES) č. 391/2009 vzhľadom na vystúpenie Spojeného kráľovstva z Únie COM (2018) 567 final 2018/0298 (COD)  1. 8. 2018</w:t>
            </w:r>
          </w:p>
        </w:tc>
        <w:tc>
          <w:tcPr>
            <w:tcW w:w="1418" w:type="dxa"/>
            <w:tcBorders>
              <w:top w:val="single" w:sz="4" w:space="0" w:color="000000"/>
              <w:left w:val="single" w:sz="4" w:space="0" w:color="000000"/>
              <w:bottom w:val="single" w:sz="4" w:space="0" w:color="000000"/>
              <w:right w:val="single" w:sz="4" w:space="0" w:color="000000"/>
            </w:tcBorders>
          </w:tcPr>
          <w:p w:rsidR="00043D8B" w:rsidRPr="00B1660F" w:rsidRDefault="00043D8B" w:rsidP="00043D8B">
            <w:pPr>
              <w:ind w:left="4" w:right="49"/>
              <w:jc w:val="both"/>
              <w:rPr>
                <w:rFonts w:ascii="Times New Roman" w:hAnsi="Times New Roman"/>
                <w:b/>
                <w:sz w:val="20"/>
              </w:rPr>
            </w:pPr>
            <w:r w:rsidRPr="00B1660F">
              <w:rPr>
                <w:rFonts w:ascii="Times New Roman" w:hAnsi="Times New Roman"/>
                <w:b/>
                <w:sz w:val="20"/>
              </w:rPr>
              <w:t>MDaV SR</w:t>
            </w:r>
          </w:p>
        </w:tc>
        <w:tc>
          <w:tcPr>
            <w:tcW w:w="5386" w:type="dxa"/>
            <w:tcBorders>
              <w:top w:val="single" w:sz="4" w:space="0" w:color="000000"/>
              <w:left w:val="single" w:sz="4" w:space="0" w:color="000000"/>
              <w:bottom w:val="single" w:sz="4" w:space="0" w:color="000000"/>
              <w:right w:val="single" w:sz="4" w:space="0" w:color="000000"/>
            </w:tcBorders>
          </w:tcPr>
          <w:p w:rsidR="00FC5690" w:rsidRDefault="00FC5690" w:rsidP="00FC5690">
            <w:pPr>
              <w:spacing w:after="0"/>
              <w:ind w:left="4" w:right="49"/>
              <w:jc w:val="both"/>
              <w:rPr>
                <w:rFonts w:ascii="Times New Roman" w:hAnsi="Times New Roman"/>
                <w:b/>
                <w:sz w:val="20"/>
                <w:u w:val="single"/>
              </w:rPr>
            </w:pPr>
            <w:r>
              <w:rPr>
                <w:rFonts w:ascii="Times New Roman" w:hAnsi="Times New Roman"/>
                <w:b/>
                <w:sz w:val="20"/>
                <w:u w:val="single"/>
              </w:rPr>
              <w:t>Nízka priorita</w:t>
            </w:r>
          </w:p>
          <w:p w:rsidR="00043D8B" w:rsidRPr="00FC5690" w:rsidRDefault="00043D8B" w:rsidP="00FC5690">
            <w:pPr>
              <w:ind w:left="4" w:right="49"/>
              <w:jc w:val="both"/>
              <w:rPr>
                <w:rFonts w:ascii="Times New Roman" w:hAnsi="Times New Roman"/>
                <w:b/>
                <w:sz w:val="20"/>
                <w:u w:val="single"/>
              </w:rPr>
            </w:pPr>
            <w:r w:rsidRPr="00CE6940">
              <w:rPr>
                <w:rFonts w:ascii="Times New Roman" w:hAnsi="Times New Roman"/>
                <w:sz w:val="20"/>
              </w:rPr>
              <w:t>Cieľom návrhu je odstrániť právnu neistotu spôsobenú v</w:t>
            </w:r>
            <w:r>
              <w:rPr>
                <w:rFonts w:ascii="Times New Roman" w:hAnsi="Times New Roman"/>
                <w:sz w:val="20"/>
              </w:rPr>
              <w:t xml:space="preserve">ystúpením Spojeného kráľovstva </w:t>
            </w:r>
            <w:r w:rsidRPr="00CE6940">
              <w:rPr>
                <w:rFonts w:ascii="Times New Roman" w:hAnsi="Times New Roman"/>
                <w:sz w:val="20"/>
              </w:rPr>
              <w:t>z Únie, pokiaľ ide o zachovanie platnosti uznaní v prípade organizácií, vo vzťahu ku ktorým Spojené kráľovstvo pôsobí ako „sponzorský“ členský štát, ktorý pôvodne uznal tieto organizácie a zúčastňuje sa na posúdení Komisie.</w:t>
            </w:r>
            <w:r>
              <w:rPr>
                <w:rFonts w:ascii="Times New Roman" w:hAnsi="Times New Roman"/>
                <w:sz w:val="20"/>
              </w:rPr>
              <w:t xml:space="preserve"> </w:t>
            </w:r>
            <w:r w:rsidRPr="00CE6940">
              <w:rPr>
                <w:rFonts w:ascii="Times New Roman" w:hAnsi="Times New Roman"/>
                <w:sz w:val="20"/>
              </w:rPr>
              <w:t xml:space="preserve">SR </w:t>
            </w:r>
            <w:r>
              <w:rPr>
                <w:rFonts w:ascii="Times New Roman" w:hAnsi="Times New Roman"/>
                <w:sz w:val="20"/>
              </w:rPr>
              <w:t xml:space="preserve">rovnako </w:t>
            </w:r>
            <w:r w:rsidRPr="00CE6940">
              <w:rPr>
                <w:rFonts w:ascii="Times New Roman" w:hAnsi="Times New Roman"/>
                <w:sz w:val="20"/>
              </w:rPr>
              <w:t xml:space="preserve">ako </w:t>
            </w:r>
            <w:r>
              <w:rPr>
                <w:rFonts w:ascii="Times New Roman" w:hAnsi="Times New Roman"/>
                <w:sz w:val="20"/>
              </w:rPr>
              <w:t xml:space="preserve">iné </w:t>
            </w:r>
            <w:r w:rsidRPr="00CE6940">
              <w:rPr>
                <w:rFonts w:ascii="Times New Roman" w:hAnsi="Times New Roman"/>
                <w:sz w:val="20"/>
              </w:rPr>
              <w:t>ČŠ podporuje opatrenia, ktoré majú zvýšiť právnu istotu, zabezpečiť kontinuitu činností dotknu</w:t>
            </w:r>
            <w:r>
              <w:rPr>
                <w:rFonts w:ascii="Times New Roman" w:hAnsi="Times New Roman"/>
                <w:sz w:val="20"/>
              </w:rPr>
              <w:t xml:space="preserve">tých vlastníkov lodí a zachovať </w:t>
            </w:r>
            <w:r w:rsidRPr="00CE6940">
              <w:rPr>
                <w:rFonts w:ascii="Times New Roman" w:hAnsi="Times New Roman"/>
                <w:sz w:val="20"/>
              </w:rPr>
              <w:t>konkurencieschopnosť vlajok členských štátov EÚ27.</w:t>
            </w:r>
          </w:p>
        </w:tc>
      </w:tr>
    </w:tbl>
    <w:p w:rsidR="00D15EE0" w:rsidRDefault="00D15EE0" w:rsidP="00833647">
      <w:pPr>
        <w:spacing w:after="0"/>
        <w:ind w:right="13921"/>
      </w:pPr>
    </w:p>
    <w:p w:rsidR="00043D8B" w:rsidRPr="00043D8B" w:rsidRDefault="00043D8B" w:rsidP="00043D8B">
      <w:pPr>
        <w:spacing w:after="0"/>
        <w:rPr>
          <w:vanish/>
        </w:rPr>
      </w:pPr>
    </w:p>
    <w:tbl>
      <w:tblPr>
        <w:tblStyle w:val="ablnaChar"/>
        <w:tblW w:w="15026" w:type="dxa"/>
        <w:tblInd w:w="-201" w:type="dxa"/>
        <w:tblLayout w:type="fixed"/>
        <w:tblCellMar>
          <w:top w:w="92" w:type="dxa"/>
          <w:left w:w="83" w:type="dxa"/>
          <w:right w:w="32" w:type="dxa"/>
        </w:tblCellMar>
        <w:tblLook w:val="04A0" w:firstRow="1" w:lastRow="0" w:firstColumn="1" w:lastColumn="0" w:noHBand="0" w:noVBand="1"/>
      </w:tblPr>
      <w:tblGrid>
        <w:gridCol w:w="617"/>
        <w:gridCol w:w="2928"/>
        <w:gridCol w:w="4677"/>
        <w:gridCol w:w="1418"/>
        <w:gridCol w:w="5386"/>
      </w:tblGrid>
      <w:tr w:rsidR="00B1660F" w:rsidTr="00DE6A1C">
        <w:trPr>
          <w:trHeight w:val="497"/>
        </w:trPr>
        <w:tc>
          <w:tcPr>
            <w:tcW w:w="15026" w:type="dxa"/>
            <w:gridSpan w:val="5"/>
            <w:tcBorders>
              <w:top w:val="single" w:sz="4" w:space="0" w:color="auto"/>
              <w:left w:val="single" w:sz="4" w:space="0" w:color="auto"/>
              <w:bottom w:val="single" w:sz="4" w:space="0" w:color="000000"/>
              <w:right w:val="single" w:sz="4" w:space="0" w:color="000000"/>
            </w:tcBorders>
            <w:shd w:val="clear" w:color="auto" w:fill="92D050"/>
          </w:tcPr>
          <w:p w:rsidR="00B1660F" w:rsidRDefault="00B1660F" w:rsidP="00043D8B">
            <w:pPr>
              <w:spacing w:after="0"/>
              <w:rPr>
                <w:rFonts w:ascii="Times New Roman" w:hAnsi="Times New Roman"/>
                <w:b/>
                <w:sz w:val="20"/>
              </w:rPr>
            </w:pPr>
            <w:r>
              <w:rPr>
                <w:rFonts w:ascii="Times New Roman" w:hAnsi="Times New Roman"/>
                <w:b/>
                <w:sz w:val="20"/>
              </w:rPr>
              <w:t>Nový impulz pre zamestnanosť, rast a investície</w:t>
            </w:r>
          </w:p>
        </w:tc>
      </w:tr>
      <w:tr w:rsidR="00043D8B" w:rsidTr="007864C8">
        <w:trPr>
          <w:trHeight w:val="1174"/>
        </w:trPr>
        <w:tc>
          <w:tcPr>
            <w:tcW w:w="617" w:type="dxa"/>
            <w:tcBorders>
              <w:top w:val="single" w:sz="4" w:space="0" w:color="auto"/>
              <w:left w:val="single" w:sz="4" w:space="0" w:color="000000"/>
              <w:bottom w:val="single" w:sz="4" w:space="0" w:color="000000"/>
              <w:right w:val="single" w:sz="4" w:space="0" w:color="000000"/>
            </w:tcBorders>
          </w:tcPr>
          <w:p w:rsidR="00043D8B" w:rsidRDefault="00043D8B" w:rsidP="005D6916">
            <w:pPr>
              <w:spacing w:after="0"/>
              <w:ind w:right="62"/>
            </w:pPr>
            <w:r>
              <w:rPr>
                <w:rFonts w:ascii="Times New Roman" w:hAnsi="Times New Roman"/>
                <w:sz w:val="20"/>
              </w:rPr>
              <w:t>8.</w:t>
            </w:r>
            <w:r>
              <w:rPr>
                <w:rFonts w:ascii="Arial" w:hAnsi="Arial" w:cs="Arial"/>
                <w:sz w:val="20"/>
              </w:rPr>
              <w:t xml:space="preserve"> </w:t>
            </w:r>
          </w:p>
          <w:p w:rsidR="00043D8B" w:rsidRDefault="00043D8B" w:rsidP="00833647">
            <w:pPr>
              <w:spacing w:after="0"/>
              <w:jc w:val="right"/>
            </w:pPr>
            <w:r>
              <w:rPr>
                <w:rFonts w:ascii="Times New Roman" w:hAnsi="Times New Roman"/>
                <w:sz w:val="20"/>
              </w:rPr>
              <w:t xml:space="preserve"> </w:t>
            </w:r>
          </w:p>
        </w:tc>
        <w:tc>
          <w:tcPr>
            <w:tcW w:w="2928" w:type="dxa"/>
            <w:tcBorders>
              <w:top w:val="single" w:sz="4" w:space="0" w:color="auto"/>
              <w:left w:val="single" w:sz="4" w:space="0" w:color="000000"/>
              <w:bottom w:val="single" w:sz="4" w:space="0" w:color="000000"/>
              <w:right w:val="single" w:sz="4" w:space="0" w:color="000000"/>
            </w:tcBorders>
          </w:tcPr>
          <w:p w:rsidR="00043D8B" w:rsidRDefault="00043D8B" w:rsidP="00833647">
            <w:pPr>
              <w:spacing w:after="0"/>
              <w:ind w:left="1"/>
            </w:pPr>
            <w:r>
              <w:rPr>
                <w:rFonts w:ascii="Times New Roman" w:hAnsi="Times New Roman"/>
                <w:sz w:val="20"/>
              </w:rPr>
              <w:t xml:space="preserve">Digitálne zmluvné právo </w:t>
            </w:r>
          </w:p>
          <w:p w:rsidR="00043D8B" w:rsidRDefault="00043D8B" w:rsidP="00833647">
            <w:pPr>
              <w:spacing w:after="0"/>
              <w:ind w:left="1"/>
            </w:pPr>
            <w:r>
              <w:rPr>
                <w:rFonts w:ascii="Times New Roman" w:hAnsi="Times New Roman"/>
                <w:sz w:val="20"/>
              </w:rPr>
              <w:t xml:space="preserve"> </w:t>
            </w:r>
          </w:p>
        </w:tc>
        <w:tc>
          <w:tcPr>
            <w:tcW w:w="4677"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 xml:space="preserve">Návrh SMERNICE EURÓPSKEHO PARLAMENTU A RADY o určitých aspektoch týkajúcich sa zmlúv *o dodávaní digitálneho obsahu* COM(2015)634 final 2015/0287 (COD)  9. 12. 2015 </w:t>
            </w:r>
          </w:p>
        </w:tc>
        <w:tc>
          <w:tcPr>
            <w:tcW w:w="1418"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ind w:left="4"/>
              <w:rPr>
                <w:rFonts w:ascii="Times New Roman" w:hAnsi="Times New Roman"/>
                <w:b/>
                <w:sz w:val="20"/>
              </w:rPr>
            </w:pPr>
            <w:r w:rsidRPr="006458BF">
              <w:rPr>
                <w:rFonts w:ascii="Times New Roman" w:hAnsi="Times New Roman"/>
                <w:b/>
                <w:sz w:val="20"/>
              </w:rPr>
              <w:t>MS SR</w:t>
            </w:r>
          </w:p>
          <w:p w:rsidR="00043D8B" w:rsidRPr="006458BF" w:rsidRDefault="00043D8B" w:rsidP="00833647">
            <w:pPr>
              <w:spacing w:after="0"/>
              <w:ind w:left="4"/>
              <w:rPr>
                <w:rFonts w:ascii="Times New Roman" w:hAnsi="Times New Roman"/>
                <w:b/>
                <w:sz w:val="20"/>
              </w:rPr>
            </w:pPr>
            <w:r w:rsidRPr="006458BF">
              <w:rPr>
                <w:rFonts w:ascii="Times New Roman" w:hAnsi="Times New Roman"/>
                <w:b/>
                <w:sz w:val="20"/>
              </w:rPr>
              <w:t>MH SR</w:t>
            </w:r>
            <w:r w:rsidRPr="006458BF">
              <w:rPr>
                <w:rFonts w:ascii="Times New Roman" w:hAnsi="Times New Roman"/>
                <w:b/>
                <w:sz w:val="20"/>
              </w:rPr>
              <w:br/>
              <w:t>MF SR</w:t>
            </w:r>
          </w:p>
        </w:tc>
        <w:tc>
          <w:tcPr>
            <w:tcW w:w="5386" w:type="dxa"/>
            <w:tcBorders>
              <w:top w:val="single" w:sz="4" w:space="0" w:color="000000"/>
              <w:left w:val="single" w:sz="4" w:space="0" w:color="000000"/>
              <w:bottom w:val="single" w:sz="4" w:space="0" w:color="000000"/>
              <w:right w:val="single" w:sz="4" w:space="0" w:color="000000"/>
            </w:tcBorders>
          </w:tcPr>
          <w:p w:rsidR="00043D8B" w:rsidRPr="00BA37D3" w:rsidRDefault="00043D8B" w:rsidP="00833647">
            <w:pPr>
              <w:spacing w:after="0"/>
              <w:jc w:val="both"/>
              <w:rPr>
                <w:rFonts w:ascii="Times New Roman" w:hAnsi="Times New Roman"/>
                <w:b/>
                <w:color w:val="auto"/>
                <w:sz w:val="20"/>
                <w:u w:val="single"/>
              </w:rPr>
            </w:pPr>
            <w:r w:rsidRPr="00BA37D3">
              <w:rPr>
                <w:rFonts w:ascii="Times New Roman" w:hAnsi="Times New Roman"/>
                <w:b/>
                <w:color w:val="auto"/>
                <w:sz w:val="20"/>
                <w:u w:val="single"/>
              </w:rPr>
              <w:t>Stredná priorita</w:t>
            </w:r>
          </w:p>
          <w:p w:rsidR="00043D8B" w:rsidRPr="00FE1BE2" w:rsidRDefault="00043D8B" w:rsidP="00833647">
            <w:pPr>
              <w:spacing w:after="0"/>
              <w:jc w:val="both"/>
              <w:rPr>
                <w:rFonts w:ascii="Times New Roman" w:hAnsi="Times New Roman"/>
                <w:color w:val="auto"/>
                <w:sz w:val="20"/>
              </w:rPr>
            </w:pPr>
            <w:r w:rsidRPr="00BA37D3">
              <w:rPr>
                <w:rFonts w:ascii="Times New Roman" w:hAnsi="Times New Roman"/>
                <w:color w:val="auto"/>
                <w:sz w:val="20"/>
              </w:rPr>
              <w:t>Zámerom SR je dosiahnutie vysokej ochrany spotrebiteľa, dosiahnutie právnej istoty v oblastiach upravovaných smernicou. SR víta predloženie návrhu, v SR takáto právna úprava abse</w:t>
            </w:r>
            <w:r>
              <w:rPr>
                <w:rFonts w:ascii="Times New Roman" w:hAnsi="Times New Roman"/>
                <w:color w:val="auto"/>
                <w:sz w:val="20"/>
              </w:rPr>
              <w:t xml:space="preserve">ntuje.  </w:t>
            </w:r>
          </w:p>
        </w:tc>
      </w:tr>
      <w:tr w:rsidR="00043D8B" w:rsidTr="007864C8">
        <w:trPr>
          <w:trHeight w:val="996"/>
        </w:trPr>
        <w:tc>
          <w:tcPr>
            <w:tcW w:w="61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pPr>
          </w:p>
        </w:tc>
        <w:tc>
          <w:tcPr>
            <w:tcW w:w="2928"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pPr>
          </w:p>
        </w:tc>
        <w:tc>
          <w:tcPr>
            <w:tcW w:w="4677" w:type="dxa"/>
            <w:tcBorders>
              <w:top w:val="single" w:sz="4" w:space="0" w:color="000000"/>
              <w:left w:val="single" w:sz="4" w:space="0" w:color="000000"/>
              <w:bottom w:val="single" w:sz="4" w:space="0" w:color="000000"/>
              <w:right w:val="single" w:sz="4" w:space="0" w:color="000000"/>
            </w:tcBorders>
          </w:tcPr>
          <w:p w:rsidR="00043D8B" w:rsidRDefault="00D21A3A" w:rsidP="00D15EE0">
            <w:pPr>
              <w:spacing w:after="0"/>
              <w:ind w:left="1"/>
              <w:jc w:val="both"/>
            </w:pPr>
            <w:r w:rsidRPr="00D21A3A">
              <w:rPr>
                <w:rFonts w:ascii="Times New Roman" w:hAnsi="Times New Roman"/>
                <w:sz w:val="20"/>
              </w:rPr>
              <w:t>Zmenený návrh SMERNICE EURÓPSKEHO PARLAMENTU A RADY o určitých aspektoch týkajúcich sa zmlúv o predaji tovaru, ktorou sa mení nariadenie Európskeho parlamentu a Rady (ES) č. 2006/2004 a smernica Európskeho parlamentu a Rady 2009/22/ES a zrušuje smernica Európskeho parlamentu a Rady 1999/44/ES* COM(2017) 637 final 2015/0288 (COD) 31. 10. 2017</w:t>
            </w:r>
          </w:p>
        </w:tc>
        <w:tc>
          <w:tcPr>
            <w:tcW w:w="1418" w:type="dxa"/>
            <w:tcBorders>
              <w:top w:val="single" w:sz="4" w:space="0" w:color="000000"/>
              <w:left w:val="single" w:sz="4" w:space="0" w:color="000000"/>
              <w:bottom w:val="single" w:sz="4" w:space="0" w:color="000000"/>
              <w:right w:val="single" w:sz="4" w:space="0" w:color="000000"/>
            </w:tcBorders>
          </w:tcPr>
          <w:p w:rsidR="00D21A3A" w:rsidRPr="00D15EE0" w:rsidRDefault="00D21A3A" w:rsidP="00D15EE0">
            <w:pPr>
              <w:shd w:val="clear" w:color="auto" w:fill="FFFFFF" w:themeFill="background1"/>
              <w:spacing w:after="0"/>
              <w:ind w:left="4" w:right="48"/>
              <w:rPr>
                <w:rFonts w:ascii="Times New Roman" w:hAnsi="Times New Roman"/>
                <w:b/>
                <w:sz w:val="20"/>
              </w:rPr>
            </w:pPr>
            <w:r w:rsidRPr="00D15EE0">
              <w:rPr>
                <w:rFonts w:ascii="Times New Roman" w:hAnsi="Times New Roman"/>
                <w:b/>
                <w:sz w:val="20"/>
              </w:rPr>
              <w:t>M</w:t>
            </w:r>
            <w:r w:rsidR="006070A6" w:rsidRPr="00D15EE0">
              <w:rPr>
                <w:rFonts w:ascii="Times New Roman" w:hAnsi="Times New Roman"/>
                <w:b/>
                <w:sz w:val="20"/>
              </w:rPr>
              <w:t>S</w:t>
            </w:r>
            <w:r w:rsidRPr="00D15EE0">
              <w:rPr>
                <w:rFonts w:ascii="Times New Roman" w:hAnsi="Times New Roman"/>
                <w:b/>
                <w:sz w:val="20"/>
              </w:rPr>
              <w:t xml:space="preserve"> SR </w:t>
            </w:r>
          </w:p>
          <w:p w:rsidR="00043D8B" w:rsidRPr="006070A6" w:rsidRDefault="00043D8B" w:rsidP="00D21A3A">
            <w:pPr>
              <w:spacing w:after="0"/>
              <w:ind w:left="4" w:right="48"/>
              <w:rPr>
                <w:rFonts w:ascii="Times New Roman" w:hAnsi="Times New Roman"/>
                <w:b/>
                <w:sz w:val="20"/>
                <w:highlight w:val="cyan"/>
              </w:rPr>
            </w:pPr>
            <w:r w:rsidRPr="006070A6">
              <w:rPr>
                <w:rFonts w:ascii="Times New Roman" w:hAnsi="Times New Roman"/>
                <w:b/>
                <w:sz w:val="20"/>
                <w:highlight w:val="cyan"/>
              </w:rPr>
              <w:br/>
            </w:r>
          </w:p>
        </w:tc>
        <w:tc>
          <w:tcPr>
            <w:tcW w:w="5386" w:type="dxa"/>
            <w:tcBorders>
              <w:top w:val="single" w:sz="4" w:space="0" w:color="000000"/>
              <w:left w:val="single" w:sz="4" w:space="0" w:color="000000"/>
              <w:bottom w:val="single" w:sz="4" w:space="0" w:color="000000"/>
              <w:right w:val="single" w:sz="4" w:space="0" w:color="000000"/>
            </w:tcBorders>
          </w:tcPr>
          <w:p w:rsidR="00043D8B" w:rsidRPr="00BA37D3" w:rsidRDefault="00043D8B" w:rsidP="00833647">
            <w:pPr>
              <w:spacing w:after="0"/>
              <w:jc w:val="both"/>
              <w:rPr>
                <w:rFonts w:ascii="Times New Roman" w:hAnsi="Times New Roman"/>
                <w:b/>
                <w:color w:val="auto"/>
                <w:sz w:val="20"/>
                <w:u w:val="single"/>
              </w:rPr>
            </w:pPr>
            <w:r w:rsidRPr="00BA37D3">
              <w:rPr>
                <w:rFonts w:ascii="Times New Roman" w:hAnsi="Times New Roman"/>
                <w:b/>
                <w:color w:val="auto"/>
                <w:sz w:val="20"/>
                <w:u w:val="single"/>
              </w:rPr>
              <w:t>Stredná priorita</w:t>
            </w:r>
          </w:p>
          <w:p w:rsidR="00043D8B" w:rsidRPr="00193D78" w:rsidRDefault="00043D8B" w:rsidP="006070A6">
            <w:pPr>
              <w:spacing w:after="0"/>
              <w:jc w:val="both"/>
              <w:rPr>
                <w:rFonts w:ascii="Times New Roman" w:hAnsi="Times New Roman"/>
                <w:color w:val="auto"/>
                <w:sz w:val="20"/>
              </w:rPr>
            </w:pPr>
            <w:r w:rsidRPr="00BA37D3">
              <w:rPr>
                <w:rFonts w:ascii="Times New Roman" w:hAnsi="Times New Roman"/>
                <w:color w:val="auto"/>
                <w:sz w:val="20"/>
              </w:rPr>
              <w:t>Zámerom SR je zachovanie vysokej úrovne ochrany spotrebiteľa a systematické začlenenie do už existujúceho spotrebiteľského acqui</w:t>
            </w:r>
            <w:r>
              <w:rPr>
                <w:rFonts w:ascii="Times New Roman" w:hAnsi="Times New Roman"/>
                <w:color w:val="auto"/>
                <w:sz w:val="20"/>
              </w:rPr>
              <w:t xml:space="preserve">s. </w:t>
            </w:r>
            <w:r w:rsidRPr="00D15EE0">
              <w:rPr>
                <w:rFonts w:ascii="Times New Roman" w:hAnsi="Times New Roman"/>
                <w:color w:val="auto"/>
                <w:sz w:val="20"/>
              </w:rPr>
              <w:t xml:space="preserve">SR </w:t>
            </w:r>
            <w:r w:rsidR="006070A6" w:rsidRPr="00D15EE0">
              <w:rPr>
                <w:rFonts w:ascii="Times New Roman" w:hAnsi="Times New Roman"/>
                <w:color w:val="auto"/>
                <w:sz w:val="20"/>
              </w:rPr>
              <w:t>návrh podporuje</w:t>
            </w:r>
            <w:r w:rsidRPr="00D15EE0">
              <w:rPr>
                <w:rFonts w:ascii="Times New Roman" w:hAnsi="Times New Roman"/>
                <w:color w:val="auto"/>
                <w:sz w:val="20"/>
              </w:rPr>
              <w:t>.</w:t>
            </w:r>
          </w:p>
        </w:tc>
      </w:tr>
      <w:tr w:rsidR="00043D8B" w:rsidTr="007864C8">
        <w:trPr>
          <w:trHeight w:val="1331"/>
        </w:trPr>
        <w:tc>
          <w:tcPr>
            <w:tcW w:w="61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pPr>
            <w:r>
              <w:rPr>
                <w:rFonts w:ascii="Times New Roman" w:hAnsi="Times New Roman"/>
                <w:sz w:val="20"/>
              </w:rPr>
              <w:t>9.</w:t>
            </w:r>
            <w:r>
              <w:rPr>
                <w:rFonts w:ascii="Arial" w:hAnsi="Arial" w:cs="Arial"/>
                <w:sz w:val="20"/>
              </w:rPr>
              <w:t xml:space="preserve"> </w:t>
            </w:r>
            <w:r>
              <w:rPr>
                <w:rFonts w:ascii="Times New Roman" w:hAnsi="Times New Roman"/>
                <w:sz w:val="20"/>
              </w:rPr>
              <w:t xml:space="preserve"> </w:t>
            </w:r>
          </w:p>
        </w:tc>
        <w:tc>
          <w:tcPr>
            <w:tcW w:w="2928"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pPr>
            <w:r>
              <w:rPr>
                <w:rFonts w:ascii="Times New Roman" w:hAnsi="Times New Roman"/>
                <w:sz w:val="20"/>
              </w:rPr>
              <w:t xml:space="preserve">Zavedenie a fungovanie názvu domény najvyššej úrovne „.eu“  </w:t>
            </w:r>
          </w:p>
        </w:tc>
        <w:tc>
          <w:tcPr>
            <w:tcW w:w="4677"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 xml:space="preserve">Návrh NARIADENIA EURÓPSKEHO PARLAMENTU A RADY o zavedení a fungovaní názvu domény najvyššej úrovne.eu, ktorým sa zrušuje nariadenie (ES) č. 733/2002 a nariadenie Komisie (ES) č. </w:t>
            </w:r>
            <w:r>
              <w:t xml:space="preserve"> </w:t>
            </w:r>
            <w:r>
              <w:rPr>
                <w:rFonts w:ascii="Times New Roman" w:hAnsi="Times New Roman"/>
                <w:sz w:val="20"/>
              </w:rPr>
              <w:t>874/2004** COM(2018)231 final 2018/0110 (COD)  27. 4. 2018</w:t>
            </w:r>
          </w:p>
        </w:tc>
        <w:tc>
          <w:tcPr>
            <w:tcW w:w="1418"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ind w:left="4" w:right="49"/>
              <w:rPr>
                <w:rFonts w:ascii="Times New Roman" w:hAnsi="Times New Roman"/>
                <w:b/>
                <w:sz w:val="20"/>
              </w:rPr>
            </w:pPr>
            <w:r w:rsidRPr="006458BF">
              <w:rPr>
                <w:rFonts w:ascii="Times New Roman" w:hAnsi="Times New Roman"/>
                <w:b/>
                <w:sz w:val="20"/>
              </w:rPr>
              <w:t>MDaV SR</w:t>
            </w:r>
            <w:r w:rsidRPr="006458BF">
              <w:rPr>
                <w:rFonts w:ascii="Times New Roman" w:hAnsi="Times New Roman"/>
                <w:b/>
                <w:sz w:val="20"/>
              </w:rPr>
              <w:br/>
              <w:t>ÚPPVII</w:t>
            </w:r>
          </w:p>
        </w:tc>
        <w:tc>
          <w:tcPr>
            <w:tcW w:w="5386" w:type="dxa"/>
            <w:tcBorders>
              <w:top w:val="single" w:sz="4" w:space="0" w:color="000000"/>
              <w:left w:val="single" w:sz="4" w:space="0" w:color="000000"/>
              <w:bottom w:val="single" w:sz="4" w:space="0" w:color="000000"/>
              <w:right w:val="single" w:sz="4" w:space="0" w:color="000000"/>
            </w:tcBorders>
          </w:tcPr>
          <w:p w:rsidR="00043D8B" w:rsidRPr="00880B33" w:rsidRDefault="00043D8B" w:rsidP="00833647">
            <w:pPr>
              <w:spacing w:after="0"/>
              <w:ind w:left="4" w:right="49"/>
              <w:jc w:val="both"/>
              <w:rPr>
                <w:rFonts w:ascii="Times New Roman" w:hAnsi="Times New Roman"/>
                <w:b/>
                <w:sz w:val="20"/>
                <w:u w:val="single"/>
              </w:rPr>
            </w:pPr>
            <w:r w:rsidRPr="00880B33">
              <w:rPr>
                <w:rFonts w:ascii="Times New Roman" w:hAnsi="Times New Roman"/>
                <w:b/>
                <w:sz w:val="20"/>
                <w:u w:val="single"/>
              </w:rPr>
              <w:t>Nízka priorita</w:t>
            </w:r>
          </w:p>
          <w:p w:rsidR="00043D8B" w:rsidRPr="00FE1BE2" w:rsidRDefault="00043D8B" w:rsidP="00833647">
            <w:pPr>
              <w:spacing w:after="0"/>
              <w:ind w:left="4" w:right="49"/>
              <w:jc w:val="both"/>
              <w:rPr>
                <w:rFonts w:ascii="Times New Roman" w:hAnsi="Times New Roman"/>
                <w:sz w:val="20"/>
              </w:rPr>
            </w:pPr>
            <w:r w:rsidRPr="00FE1BE2">
              <w:rPr>
                <w:rFonts w:ascii="Times New Roman" w:hAnsi="Times New Roman"/>
                <w:sz w:val="20"/>
              </w:rPr>
              <w:t xml:space="preserve">nariadenie schválené </w:t>
            </w:r>
          </w:p>
        </w:tc>
      </w:tr>
      <w:tr w:rsidR="00043D8B" w:rsidTr="007864C8">
        <w:trPr>
          <w:trHeight w:val="903"/>
        </w:trPr>
        <w:tc>
          <w:tcPr>
            <w:tcW w:w="61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pPr>
            <w:r>
              <w:rPr>
                <w:rFonts w:ascii="Times New Roman" w:hAnsi="Times New Roman"/>
                <w:sz w:val="20"/>
              </w:rPr>
              <w:t>10.</w:t>
            </w:r>
            <w:r>
              <w:rPr>
                <w:rFonts w:ascii="Arial" w:hAnsi="Arial" w:cs="Arial"/>
                <w:sz w:val="20"/>
              </w:rPr>
              <w:t xml:space="preserve"> </w:t>
            </w:r>
            <w:r>
              <w:rPr>
                <w:rFonts w:ascii="Times New Roman" w:hAnsi="Times New Roman"/>
                <w:sz w:val="20"/>
              </w:rPr>
              <w:t xml:space="preserve"> </w:t>
            </w:r>
          </w:p>
        </w:tc>
        <w:tc>
          <w:tcPr>
            <w:tcW w:w="2928"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pPr>
            <w:r>
              <w:rPr>
                <w:rFonts w:ascii="Times New Roman" w:hAnsi="Times New Roman"/>
                <w:sz w:val="20"/>
              </w:rPr>
              <w:t xml:space="preserve">Opakované použitie informácií verejného sektora (prepracované znenie) </w:t>
            </w:r>
          </w:p>
        </w:tc>
        <w:tc>
          <w:tcPr>
            <w:tcW w:w="4677"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 xml:space="preserve">Návrh SMERNICE EURÓPSKEHO PARLAMENTU A RADY o opakovanom použití informácií verejného sektora (prepracované znenie)** COM(2018)234 final </w:t>
            </w:r>
          </w:p>
          <w:p w:rsidR="00043D8B" w:rsidRDefault="00043D8B" w:rsidP="00D15EE0">
            <w:pPr>
              <w:spacing w:after="0"/>
              <w:ind w:left="1"/>
              <w:jc w:val="both"/>
            </w:pPr>
            <w:r>
              <w:rPr>
                <w:rFonts w:ascii="Times New Roman" w:hAnsi="Times New Roman"/>
                <w:sz w:val="20"/>
              </w:rPr>
              <w:t xml:space="preserve">2018/0111 (COD)  </w:t>
            </w:r>
          </w:p>
          <w:p w:rsidR="00043D8B" w:rsidRDefault="00043D8B" w:rsidP="00D15EE0">
            <w:pPr>
              <w:spacing w:after="0"/>
              <w:ind w:left="1"/>
              <w:jc w:val="both"/>
            </w:pPr>
            <w:r>
              <w:rPr>
                <w:rFonts w:ascii="Times New Roman" w:hAnsi="Times New Roman"/>
                <w:sz w:val="20"/>
              </w:rPr>
              <w:t xml:space="preserve">25. 4. 2018 </w:t>
            </w:r>
          </w:p>
        </w:tc>
        <w:tc>
          <w:tcPr>
            <w:tcW w:w="1418"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ind w:left="4" w:right="55"/>
              <w:rPr>
                <w:rFonts w:ascii="Times New Roman" w:hAnsi="Times New Roman"/>
                <w:b/>
                <w:sz w:val="20"/>
              </w:rPr>
            </w:pPr>
            <w:r w:rsidRPr="006458BF">
              <w:rPr>
                <w:rFonts w:ascii="Times New Roman" w:hAnsi="Times New Roman"/>
                <w:b/>
                <w:sz w:val="20"/>
              </w:rPr>
              <w:t>MS SR</w:t>
            </w:r>
            <w:r w:rsidRPr="006458BF">
              <w:rPr>
                <w:rFonts w:ascii="Times New Roman" w:hAnsi="Times New Roman"/>
                <w:b/>
                <w:sz w:val="20"/>
              </w:rPr>
              <w:br/>
              <w:t>ÚPPVII</w:t>
            </w:r>
          </w:p>
        </w:tc>
        <w:tc>
          <w:tcPr>
            <w:tcW w:w="5386" w:type="dxa"/>
            <w:tcBorders>
              <w:top w:val="single" w:sz="4" w:space="0" w:color="000000"/>
              <w:left w:val="single" w:sz="4" w:space="0" w:color="000000"/>
              <w:bottom w:val="single" w:sz="4" w:space="0" w:color="000000"/>
              <w:right w:val="single" w:sz="4" w:space="0" w:color="000000"/>
            </w:tcBorders>
          </w:tcPr>
          <w:p w:rsidR="00043D8B" w:rsidRPr="00005488" w:rsidRDefault="00043D8B" w:rsidP="00833647">
            <w:pPr>
              <w:spacing w:after="0"/>
              <w:ind w:left="4" w:right="55"/>
              <w:jc w:val="both"/>
              <w:rPr>
                <w:rFonts w:ascii="Times New Roman" w:hAnsi="Times New Roman"/>
                <w:b/>
                <w:color w:val="auto"/>
                <w:sz w:val="20"/>
                <w:u w:val="single"/>
              </w:rPr>
            </w:pPr>
            <w:r w:rsidRPr="00005488">
              <w:rPr>
                <w:rFonts w:ascii="Times New Roman" w:hAnsi="Times New Roman"/>
                <w:b/>
                <w:color w:val="auto"/>
                <w:sz w:val="20"/>
                <w:u w:val="single"/>
              </w:rPr>
              <w:t>Nízka priorita</w:t>
            </w:r>
          </w:p>
          <w:p w:rsidR="00043D8B" w:rsidRDefault="00043D8B" w:rsidP="00833647">
            <w:pPr>
              <w:spacing w:after="0"/>
              <w:ind w:left="4" w:right="55"/>
              <w:jc w:val="both"/>
              <w:rPr>
                <w:rFonts w:ascii="Times New Roman" w:hAnsi="Times New Roman"/>
                <w:sz w:val="20"/>
              </w:rPr>
            </w:pPr>
            <w:r>
              <w:rPr>
                <w:rFonts w:ascii="Times New Roman" w:hAnsi="Times New Roman"/>
                <w:color w:val="auto"/>
                <w:sz w:val="20"/>
              </w:rPr>
              <w:t>SR návrh s istými výhradami podporuje.</w:t>
            </w:r>
          </w:p>
        </w:tc>
      </w:tr>
      <w:tr w:rsidR="00043D8B" w:rsidTr="007864C8">
        <w:trPr>
          <w:trHeight w:val="601"/>
        </w:trPr>
        <w:tc>
          <w:tcPr>
            <w:tcW w:w="61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pPr>
            <w:r>
              <w:rPr>
                <w:rFonts w:ascii="Times New Roman" w:hAnsi="Times New Roman"/>
                <w:sz w:val="20"/>
              </w:rPr>
              <w:t>11.</w:t>
            </w:r>
            <w:r>
              <w:rPr>
                <w:rFonts w:ascii="Arial" w:hAnsi="Arial" w:cs="Arial"/>
                <w:sz w:val="20"/>
              </w:rPr>
              <w:t xml:space="preserve"> </w:t>
            </w:r>
            <w:r>
              <w:rPr>
                <w:rFonts w:ascii="Times New Roman" w:hAnsi="Times New Roman"/>
                <w:sz w:val="20"/>
              </w:rPr>
              <w:t xml:space="preserve"> </w:t>
            </w:r>
          </w:p>
        </w:tc>
        <w:tc>
          <w:tcPr>
            <w:tcW w:w="2928"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pPr>
            <w:r>
              <w:rPr>
                <w:rFonts w:ascii="Times New Roman" w:hAnsi="Times New Roman"/>
                <w:sz w:val="20"/>
              </w:rPr>
              <w:t xml:space="preserve">Podpora spravodlivosti </w:t>
            </w:r>
          </w:p>
          <w:p w:rsidR="00043D8B" w:rsidRDefault="00043D8B" w:rsidP="00833647">
            <w:pPr>
              <w:spacing w:after="0"/>
              <w:ind w:left="1"/>
            </w:pPr>
            <w:r>
              <w:rPr>
                <w:rFonts w:ascii="Times New Roman" w:hAnsi="Times New Roman"/>
                <w:sz w:val="20"/>
              </w:rPr>
              <w:t xml:space="preserve">a transparentnosti pre komerčných používateľov online sprostredkovateľských služieb </w:t>
            </w:r>
          </w:p>
        </w:tc>
        <w:tc>
          <w:tcPr>
            <w:tcW w:w="4677" w:type="dxa"/>
            <w:tcBorders>
              <w:top w:val="single" w:sz="4" w:space="0" w:color="000000"/>
              <w:left w:val="single" w:sz="4" w:space="0" w:color="000000"/>
              <w:bottom w:val="single" w:sz="4" w:space="0" w:color="000000"/>
              <w:right w:val="single" w:sz="4" w:space="0" w:color="000000"/>
            </w:tcBorders>
          </w:tcPr>
          <w:p w:rsidR="00043D8B" w:rsidRDefault="00043D8B" w:rsidP="007864C8">
            <w:pPr>
              <w:tabs>
                <w:tab w:val="center" w:pos="250"/>
                <w:tab w:val="center" w:pos="1348"/>
                <w:tab w:val="center" w:pos="2855"/>
                <w:tab w:val="center" w:pos="4420"/>
                <w:tab w:val="center" w:pos="5397"/>
                <w:tab w:val="center" w:pos="5970"/>
                <w:tab w:val="center" w:pos="6880"/>
                <w:tab w:val="center" w:pos="8073"/>
              </w:tabs>
              <w:spacing w:after="0"/>
              <w:jc w:val="both"/>
            </w:pPr>
            <w:r>
              <w:rPr>
                <w:rFonts w:ascii="Times New Roman" w:hAnsi="Times New Roman"/>
                <w:sz w:val="20"/>
              </w:rPr>
              <w:t xml:space="preserve">Návrh </w:t>
            </w:r>
            <w:r>
              <w:rPr>
                <w:rFonts w:ascii="Times New Roman" w:hAnsi="Times New Roman"/>
                <w:sz w:val="20"/>
              </w:rPr>
              <w:tab/>
              <w:t xml:space="preserve">NARIADENIA </w:t>
            </w:r>
            <w:r>
              <w:rPr>
                <w:rFonts w:ascii="Times New Roman" w:hAnsi="Times New Roman"/>
                <w:sz w:val="20"/>
              </w:rPr>
              <w:tab/>
              <w:t xml:space="preserve">EURÓPSKEHO </w:t>
            </w:r>
            <w:r>
              <w:rPr>
                <w:rFonts w:ascii="Times New Roman" w:hAnsi="Times New Roman"/>
                <w:sz w:val="20"/>
              </w:rPr>
              <w:tab/>
              <w:t xml:space="preserve">PARLAMENTU A </w:t>
            </w:r>
            <w:r>
              <w:rPr>
                <w:rFonts w:ascii="Times New Roman" w:hAnsi="Times New Roman"/>
                <w:sz w:val="20"/>
              </w:rPr>
              <w:tab/>
              <w:t>RADY o podpore spravodlivosti</w:t>
            </w:r>
            <w:r w:rsidR="007864C8">
              <w:t xml:space="preserve"> </w:t>
            </w:r>
            <w:r>
              <w:rPr>
                <w:rFonts w:ascii="Times New Roman" w:hAnsi="Times New Roman"/>
                <w:sz w:val="20"/>
              </w:rPr>
              <w:t>a transparentnosti pre komerčných používateľov online sprostredkovateľských služieb* COM(2018)238 final</w:t>
            </w:r>
          </w:p>
          <w:p w:rsidR="00043D8B" w:rsidRDefault="00043D8B" w:rsidP="00D15EE0">
            <w:pPr>
              <w:spacing w:after="0"/>
              <w:ind w:left="1"/>
              <w:jc w:val="both"/>
            </w:pPr>
            <w:r>
              <w:rPr>
                <w:rFonts w:ascii="Times New Roman" w:hAnsi="Times New Roman"/>
                <w:sz w:val="20"/>
              </w:rPr>
              <w:t>2018/0112 (COD)</w:t>
            </w:r>
            <w:r>
              <w:t xml:space="preserve"> </w:t>
            </w:r>
            <w:r>
              <w:rPr>
                <w:rFonts w:ascii="Times New Roman" w:hAnsi="Times New Roman"/>
                <w:sz w:val="20"/>
              </w:rPr>
              <w:t xml:space="preserve">26. 4. 2018 </w:t>
            </w:r>
          </w:p>
        </w:tc>
        <w:tc>
          <w:tcPr>
            <w:tcW w:w="1418" w:type="dxa"/>
            <w:tcBorders>
              <w:top w:val="single" w:sz="4" w:space="0" w:color="000000"/>
              <w:left w:val="single" w:sz="4" w:space="0" w:color="000000"/>
              <w:bottom w:val="single" w:sz="4" w:space="0" w:color="000000"/>
              <w:right w:val="single" w:sz="4" w:space="0" w:color="000000"/>
            </w:tcBorders>
          </w:tcPr>
          <w:p w:rsidR="00F35595" w:rsidRDefault="00F35595" w:rsidP="00833647">
            <w:pPr>
              <w:spacing w:after="0"/>
              <w:ind w:left="4" w:right="49"/>
              <w:rPr>
                <w:rFonts w:ascii="Times New Roman" w:hAnsi="Times New Roman"/>
                <w:b/>
                <w:sz w:val="20"/>
              </w:rPr>
            </w:pPr>
            <w:r w:rsidRPr="006458BF">
              <w:rPr>
                <w:rFonts w:ascii="Times New Roman" w:hAnsi="Times New Roman"/>
                <w:b/>
                <w:sz w:val="20"/>
              </w:rPr>
              <w:t xml:space="preserve">MH SR </w:t>
            </w:r>
          </w:p>
          <w:p w:rsidR="00043D8B" w:rsidRPr="006458BF" w:rsidRDefault="00043D8B" w:rsidP="00833647">
            <w:pPr>
              <w:spacing w:after="0"/>
              <w:ind w:left="4" w:right="49"/>
              <w:rPr>
                <w:rFonts w:ascii="Times New Roman" w:hAnsi="Times New Roman"/>
                <w:b/>
                <w:sz w:val="20"/>
              </w:rPr>
            </w:pPr>
            <w:r w:rsidRPr="006458BF">
              <w:rPr>
                <w:rFonts w:ascii="Times New Roman" w:hAnsi="Times New Roman"/>
                <w:b/>
                <w:sz w:val="20"/>
              </w:rPr>
              <w:t>MF SR</w:t>
            </w:r>
          </w:p>
          <w:p w:rsidR="00043D8B" w:rsidRPr="006458BF" w:rsidRDefault="00F35595" w:rsidP="00833647">
            <w:pPr>
              <w:spacing w:after="0"/>
              <w:ind w:left="4" w:right="49"/>
              <w:rPr>
                <w:rFonts w:ascii="Times New Roman" w:hAnsi="Times New Roman"/>
                <w:b/>
                <w:sz w:val="20"/>
              </w:rPr>
            </w:pPr>
            <w:r>
              <w:rPr>
                <w:rFonts w:ascii="Times New Roman" w:hAnsi="Times New Roman"/>
                <w:b/>
                <w:sz w:val="20"/>
              </w:rPr>
              <w:t>MK SR</w:t>
            </w:r>
          </w:p>
          <w:p w:rsidR="00043D8B" w:rsidRPr="006458BF" w:rsidRDefault="00043D8B" w:rsidP="00833647">
            <w:pPr>
              <w:spacing w:after="0"/>
              <w:ind w:left="4" w:right="49"/>
              <w:rPr>
                <w:rFonts w:ascii="Times New Roman" w:hAnsi="Times New Roman"/>
                <w:b/>
                <w:sz w:val="20"/>
              </w:rPr>
            </w:pPr>
            <w:r w:rsidRPr="006458BF">
              <w:rPr>
                <w:rFonts w:ascii="Times New Roman" w:hAnsi="Times New Roman"/>
                <w:b/>
                <w:sz w:val="20"/>
              </w:rPr>
              <w:t>MDaV SR</w:t>
            </w:r>
          </w:p>
          <w:p w:rsidR="00043D8B" w:rsidRPr="006458BF" w:rsidRDefault="00043D8B" w:rsidP="00833647">
            <w:pPr>
              <w:spacing w:after="0"/>
              <w:ind w:left="4" w:right="49"/>
              <w:rPr>
                <w:rFonts w:ascii="Times New Roman" w:hAnsi="Times New Roman"/>
                <w:b/>
                <w:sz w:val="20"/>
              </w:rPr>
            </w:pPr>
            <w:r w:rsidRPr="006458BF">
              <w:rPr>
                <w:rFonts w:ascii="Times New Roman" w:hAnsi="Times New Roman"/>
                <w:b/>
                <w:sz w:val="20"/>
              </w:rPr>
              <w:t>ÚPPVII</w:t>
            </w:r>
          </w:p>
        </w:tc>
        <w:tc>
          <w:tcPr>
            <w:tcW w:w="5386" w:type="dxa"/>
            <w:tcBorders>
              <w:top w:val="single" w:sz="4" w:space="0" w:color="000000"/>
              <w:left w:val="single" w:sz="4" w:space="0" w:color="000000"/>
              <w:bottom w:val="single" w:sz="4" w:space="0" w:color="000000"/>
              <w:right w:val="single" w:sz="4" w:space="0" w:color="000000"/>
            </w:tcBorders>
          </w:tcPr>
          <w:p w:rsidR="00043D8B" w:rsidRPr="00FA64AC" w:rsidRDefault="00043D8B" w:rsidP="00833647">
            <w:pPr>
              <w:spacing w:after="0"/>
              <w:ind w:left="4" w:right="49"/>
              <w:jc w:val="both"/>
              <w:rPr>
                <w:rFonts w:ascii="Times New Roman" w:hAnsi="Times New Roman"/>
                <w:b/>
                <w:sz w:val="20"/>
                <w:u w:val="single"/>
              </w:rPr>
            </w:pPr>
            <w:r w:rsidRPr="00FA64AC">
              <w:rPr>
                <w:rFonts w:ascii="Times New Roman" w:hAnsi="Times New Roman"/>
                <w:b/>
                <w:sz w:val="20"/>
                <w:u w:val="single"/>
              </w:rPr>
              <w:t xml:space="preserve">Vysoká priorita </w:t>
            </w:r>
          </w:p>
          <w:p w:rsidR="00043D8B" w:rsidRDefault="00043D8B" w:rsidP="00833647">
            <w:pPr>
              <w:spacing w:after="0"/>
              <w:ind w:left="4" w:right="49"/>
              <w:jc w:val="both"/>
              <w:rPr>
                <w:rFonts w:ascii="Times New Roman" w:hAnsi="Times New Roman"/>
                <w:sz w:val="20"/>
              </w:rPr>
            </w:pPr>
            <w:r>
              <w:rPr>
                <w:rFonts w:ascii="Times New Roman" w:hAnsi="Times New Roman"/>
                <w:sz w:val="20"/>
              </w:rPr>
              <w:t>SR podporuje návrh nariadenia, ktorý zavádza požiadavky na transparentnosť zmluvných podmienok online platforiem a účinný mechanizmus pre riešenie sťažností komerčných používateľov online platforiem. Návrh je prvým krkom v regulácii sektora online platforiem. Očakáva sa skoré dosiahnutie dohody EP a Rady o návrhu (v rámci tohto legislatívneho obdobia)</w:t>
            </w:r>
          </w:p>
        </w:tc>
      </w:tr>
      <w:tr w:rsidR="00043D8B" w:rsidTr="007864C8">
        <w:trPr>
          <w:trHeight w:val="1099"/>
        </w:trPr>
        <w:tc>
          <w:tcPr>
            <w:tcW w:w="61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pPr>
            <w:r>
              <w:rPr>
                <w:rFonts w:ascii="Times New Roman" w:hAnsi="Times New Roman"/>
                <w:sz w:val="20"/>
              </w:rPr>
              <w:t>12.</w:t>
            </w:r>
            <w:r>
              <w:rPr>
                <w:rFonts w:ascii="Arial" w:hAnsi="Arial" w:cs="Arial"/>
                <w:sz w:val="20"/>
              </w:rPr>
              <w:t xml:space="preserve"> </w:t>
            </w:r>
            <w:r>
              <w:rPr>
                <w:rFonts w:ascii="Times New Roman" w:hAnsi="Times New Roman"/>
                <w:sz w:val="20"/>
              </w:rPr>
              <w:t xml:space="preserve"> </w:t>
            </w:r>
          </w:p>
        </w:tc>
        <w:tc>
          <w:tcPr>
            <w:tcW w:w="2928"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ight="196"/>
            </w:pPr>
            <w:r>
              <w:rPr>
                <w:rFonts w:ascii="Times New Roman" w:hAnsi="Times New Roman"/>
                <w:sz w:val="20"/>
              </w:rPr>
              <w:t xml:space="preserve">Rešpektovanie súkromného života a ochrana osobných údajov v elektronických komunikáciách (elektronické súkromie)  </w:t>
            </w:r>
          </w:p>
        </w:tc>
        <w:tc>
          <w:tcPr>
            <w:tcW w:w="4677"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 xml:space="preserve">Návrh NARIADENIA EURÓPSKEHO PARLAMENTU A RADY o rešpektovaní súkromného života a ochrane osobných údajov v elektronických komunikáciách a o zrušení smernice 2002/58/ES (smernica o súkromí a elektronických komunikáciách)* COM(2017)10 final 2017/0003 (COD)  10. 1. 2017 </w:t>
            </w:r>
          </w:p>
        </w:tc>
        <w:tc>
          <w:tcPr>
            <w:tcW w:w="1418"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ind w:left="4" w:right="49"/>
              <w:jc w:val="both"/>
              <w:rPr>
                <w:rFonts w:ascii="Times New Roman" w:hAnsi="Times New Roman"/>
                <w:b/>
                <w:sz w:val="20"/>
              </w:rPr>
            </w:pPr>
            <w:r w:rsidRPr="006458BF">
              <w:rPr>
                <w:rFonts w:ascii="Times New Roman" w:hAnsi="Times New Roman"/>
                <w:b/>
                <w:sz w:val="20"/>
              </w:rPr>
              <w:t>MDaV SR</w:t>
            </w:r>
          </w:p>
          <w:p w:rsidR="00043D8B" w:rsidRPr="006458BF" w:rsidRDefault="00043D8B" w:rsidP="00833647">
            <w:pPr>
              <w:spacing w:after="0"/>
              <w:ind w:left="4" w:right="49"/>
              <w:jc w:val="both"/>
              <w:rPr>
                <w:rFonts w:ascii="Times New Roman" w:hAnsi="Times New Roman"/>
                <w:b/>
                <w:sz w:val="20"/>
              </w:rPr>
            </w:pPr>
            <w:r w:rsidRPr="006458BF">
              <w:rPr>
                <w:rFonts w:ascii="Times New Roman" w:hAnsi="Times New Roman"/>
                <w:b/>
                <w:sz w:val="20"/>
                <w:szCs w:val="20"/>
              </w:rPr>
              <w:t>ÚOOÚ SR</w:t>
            </w:r>
          </w:p>
        </w:tc>
        <w:tc>
          <w:tcPr>
            <w:tcW w:w="5386" w:type="dxa"/>
            <w:tcBorders>
              <w:top w:val="single" w:sz="4" w:space="0" w:color="000000"/>
              <w:left w:val="single" w:sz="4" w:space="0" w:color="000000"/>
              <w:bottom w:val="single" w:sz="4" w:space="0" w:color="000000"/>
              <w:right w:val="single" w:sz="4" w:space="0" w:color="000000"/>
            </w:tcBorders>
          </w:tcPr>
          <w:p w:rsidR="00043D8B" w:rsidRPr="00043D8B" w:rsidRDefault="00043D8B" w:rsidP="00833647">
            <w:pPr>
              <w:spacing w:after="0"/>
              <w:rPr>
                <w:rFonts w:ascii="Times New Roman" w:hAnsi="Times New Roman"/>
                <w:b/>
                <w:color w:val="auto"/>
                <w:sz w:val="20"/>
                <w:szCs w:val="20"/>
                <w:u w:val="single"/>
              </w:rPr>
            </w:pPr>
            <w:r w:rsidRPr="00880B33">
              <w:rPr>
                <w:rFonts w:ascii="Times New Roman" w:hAnsi="Times New Roman"/>
                <w:b/>
                <w:sz w:val="20"/>
                <w:szCs w:val="20"/>
                <w:u w:val="single"/>
              </w:rPr>
              <w:t>Vysoká priorita</w:t>
            </w:r>
          </w:p>
          <w:p w:rsidR="00043D8B" w:rsidRDefault="00043D8B" w:rsidP="00833647">
            <w:pPr>
              <w:spacing w:after="0"/>
              <w:ind w:right="49"/>
              <w:jc w:val="both"/>
              <w:rPr>
                <w:rFonts w:ascii="Times New Roman" w:hAnsi="Times New Roman"/>
                <w:sz w:val="20"/>
              </w:rPr>
            </w:pPr>
            <w:r>
              <w:rPr>
                <w:rFonts w:ascii="Times New Roman" w:hAnsi="Times New Roman"/>
                <w:sz w:val="20"/>
                <w:szCs w:val="20"/>
              </w:rPr>
              <w:t>SR podporuje prijatie tohto nariadenia, nakoľko jeho cieľom je zjednotenie pravidiel týkajúcich sa rešpektovania súkromného života a ochrany osobných údajov v elektronických komunikáciách ako aj zosúladenie s NARIADENÍM EURÓPSKEHO PARLAMENTU A RADY (EÚ) 2016/679 z 27. apríla 2016 o ochrane fyzických osôb pri spracúvaní osobných údajov a o voľnom pohybe takýchto údajov, ktorým sa zrušuje smernica 95/46/ES (všeobecné nariadenie o ochrane údajov), ktoré predstavuje všeobecnú právnu úpravu ochrany osobných údajov v európskom kontexte. Nariadenie je aktuálne vo fáze prebiehajúcich rokovaní na úrovni Rady Európskej únie. .</w:t>
            </w:r>
          </w:p>
        </w:tc>
      </w:tr>
      <w:tr w:rsidR="00043D8B" w:rsidTr="007864C8">
        <w:trPr>
          <w:trHeight w:val="607"/>
        </w:trPr>
        <w:tc>
          <w:tcPr>
            <w:tcW w:w="617" w:type="dxa"/>
            <w:tcBorders>
              <w:top w:val="single" w:sz="4" w:space="0" w:color="000000"/>
              <w:left w:val="single" w:sz="4" w:space="0" w:color="000000"/>
              <w:bottom w:val="single" w:sz="4" w:space="0" w:color="000000"/>
              <w:right w:val="single" w:sz="4" w:space="0" w:color="000000"/>
            </w:tcBorders>
          </w:tcPr>
          <w:p w:rsidR="00043D8B" w:rsidRDefault="00043D8B" w:rsidP="00043D8B">
            <w:pPr>
              <w:spacing w:after="0"/>
            </w:pPr>
            <w:r>
              <w:rPr>
                <w:rFonts w:ascii="Times New Roman" w:hAnsi="Times New Roman"/>
                <w:sz w:val="20"/>
              </w:rPr>
              <w:t>13.</w:t>
            </w:r>
            <w:r>
              <w:rPr>
                <w:rFonts w:ascii="Arial" w:hAnsi="Arial" w:cs="Arial"/>
                <w:sz w:val="20"/>
              </w:rPr>
              <w:t xml:space="preserve"> </w:t>
            </w:r>
            <w:r>
              <w:rPr>
                <w:rFonts w:ascii="Times New Roman" w:hAnsi="Times New Roman"/>
                <w:sz w:val="20"/>
              </w:rPr>
              <w:t xml:space="preserve"> </w:t>
            </w:r>
          </w:p>
        </w:tc>
        <w:tc>
          <w:tcPr>
            <w:tcW w:w="2928" w:type="dxa"/>
            <w:tcBorders>
              <w:top w:val="single" w:sz="4" w:space="0" w:color="000000"/>
              <w:left w:val="single" w:sz="4" w:space="0" w:color="000000"/>
              <w:bottom w:val="single" w:sz="4" w:space="0" w:color="000000"/>
              <w:right w:val="single" w:sz="4" w:space="0" w:color="000000"/>
            </w:tcBorders>
          </w:tcPr>
          <w:p w:rsidR="00043D8B" w:rsidRDefault="00043D8B" w:rsidP="00043D8B">
            <w:pPr>
              <w:spacing w:after="0"/>
              <w:ind w:left="1"/>
            </w:pPr>
            <w:r>
              <w:rPr>
                <w:rFonts w:ascii="Times New Roman" w:hAnsi="Times New Roman"/>
                <w:sz w:val="20"/>
              </w:rPr>
              <w:t xml:space="preserve">Kybernetická bezpečnosť </w:t>
            </w:r>
          </w:p>
        </w:tc>
        <w:tc>
          <w:tcPr>
            <w:tcW w:w="4677"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 xml:space="preserve">Návrh NARIADENIA EURÓPSKEHO PARLAMENTU A RADY o Agentúre EÚ pre kybernetickú bezpečnosť (ENISA), o zrušení nariadenia (EÚ) č. 526/2013 a o certifikácii kybernetickej bezpečnosti informačných a komunikačných technológií („akt o kybernetickej bezpečnosti“)* COM(2017)477 final 2017/0225 (COD)  13. 9. 2017 </w:t>
            </w:r>
          </w:p>
        </w:tc>
        <w:tc>
          <w:tcPr>
            <w:tcW w:w="1418" w:type="dxa"/>
            <w:tcBorders>
              <w:top w:val="single" w:sz="4" w:space="0" w:color="000000"/>
              <w:left w:val="single" w:sz="4" w:space="0" w:color="000000"/>
              <w:bottom w:val="single" w:sz="4" w:space="0" w:color="000000"/>
              <w:right w:val="single" w:sz="4" w:space="0" w:color="000000"/>
            </w:tcBorders>
          </w:tcPr>
          <w:p w:rsidR="00043D8B" w:rsidRPr="006458BF" w:rsidRDefault="00043D8B" w:rsidP="00043D8B">
            <w:pPr>
              <w:spacing w:after="0"/>
              <w:ind w:left="4" w:right="49"/>
              <w:jc w:val="both"/>
              <w:rPr>
                <w:rFonts w:ascii="Times New Roman" w:hAnsi="Times New Roman"/>
                <w:b/>
                <w:sz w:val="20"/>
              </w:rPr>
            </w:pPr>
            <w:r w:rsidRPr="006458BF">
              <w:rPr>
                <w:rFonts w:ascii="Times New Roman" w:hAnsi="Times New Roman"/>
                <w:b/>
                <w:sz w:val="20"/>
              </w:rPr>
              <w:t>NBÚ SR</w:t>
            </w:r>
          </w:p>
        </w:tc>
        <w:tc>
          <w:tcPr>
            <w:tcW w:w="5386" w:type="dxa"/>
            <w:tcBorders>
              <w:top w:val="single" w:sz="4" w:space="0" w:color="000000"/>
              <w:left w:val="single" w:sz="4" w:space="0" w:color="000000"/>
              <w:bottom w:val="single" w:sz="4" w:space="0" w:color="000000"/>
              <w:right w:val="single" w:sz="4" w:space="0" w:color="000000"/>
            </w:tcBorders>
          </w:tcPr>
          <w:p w:rsidR="00043D8B" w:rsidRPr="00FE1BE2" w:rsidRDefault="00043D8B" w:rsidP="00043D8B">
            <w:pPr>
              <w:spacing w:after="0"/>
              <w:ind w:left="4" w:right="49"/>
              <w:jc w:val="both"/>
              <w:rPr>
                <w:rFonts w:ascii="Times New Roman" w:hAnsi="Times New Roman"/>
                <w:b/>
                <w:color w:val="auto"/>
                <w:sz w:val="20"/>
                <w:u w:val="single"/>
              </w:rPr>
            </w:pPr>
            <w:r w:rsidRPr="00FE1BE2">
              <w:rPr>
                <w:rFonts w:ascii="Times New Roman" w:hAnsi="Times New Roman"/>
                <w:b/>
                <w:sz w:val="20"/>
                <w:u w:val="single"/>
              </w:rPr>
              <w:t>Vysoká priorita</w:t>
            </w:r>
          </w:p>
          <w:p w:rsidR="00043D8B" w:rsidRDefault="00043D8B" w:rsidP="00043D8B">
            <w:pPr>
              <w:spacing w:after="0"/>
              <w:ind w:right="49"/>
              <w:jc w:val="both"/>
              <w:rPr>
                <w:rFonts w:ascii="Times New Roman" w:hAnsi="Times New Roman"/>
                <w:sz w:val="20"/>
              </w:rPr>
            </w:pPr>
            <w:r w:rsidRPr="0034527C">
              <w:rPr>
                <w:rFonts w:ascii="Times New Roman" w:hAnsi="Times New Roman"/>
                <w:sz w:val="20"/>
                <w:szCs w:val="20"/>
              </w:rPr>
              <w:t>SR vníma uvedený návrh ako podstatný vzhľadom na to, že dochádza k posilneniu postavenia Agentúry EÚ pre kybernetickú bezpečnosť (ENISA) a harmonizácii a posilneniu  rámca pre  zriadenie európskych systémov certifikácie kybernetickej bezpečnosti s cieľom zaistiť primeranú úroveň kybernetickej bezpečnosti produktov a služieb IKT v únii</w:t>
            </w:r>
          </w:p>
        </w:tc>
      </w:tr>
      <w:tr w:rsidR="00043D8B" w:rsidTr="007864C8">
        <w:trPr>
          <w:trHeight w:val="1099"/>
        </w:trPr>
        <w:tc>
          <w:tcPr>
            <w:tcW w:w="617" w:type="dxa"/>
            <w:tcBorders>
              <w:top w:val="single" w:sz="4" w:space="0" w:color="000000"/>
              <w:left w:val="single" w:sz="4" w:space="0" w:color="000000"/>
              <w:bottom w:val="single" w:sz="4" w:space="0" w:color="000000"/>
              <w:right w:val="single" w:sz="4" w:space="0" w:color="000000"/>
            </w:tcBorders>
          </w:tcPr>
          <w:p w:rsidR="00043D8B" w:rsidRDefault="00043D8B" w:rsidP="00043D8B">
            <w:pPr>
              <w:spacing w:after="0"/>
            </w:pPr>
          </w:p>
        </w:tc>
        <w:tc>
          <w:tcPr>
            <w:tcW w:w="2928" w:type="dxa"/>
            <w:tcBorders>
              <w:top w:val="single" w:sz="4" w:space="0" w:color="000000"/>
              <w:left w:val="single" w:sz="4" w:space="0" w:color="000000"/>
              <w:bottom w:val="single" w:sz="4" w:space="0" w:color="000000"/>
              <w:right w:val="single" w:sz="4" w:space="0" w:color="000000"/>
            </w:tcBorders>
          </w:tcPr>
          <w:p w:rsidR="00043D8B" w:rsidRDefault="00043D8B" w:rsidP="00043D8B">
            <w:pPr>
              <w:spacing w:after="0"/>
              <w:ind w:left="4"/>
              <w:jc w:val="both"/>
            </w:pPr>
          </w:p>
        </w:tc>
        <w:tc>
          <w:tcPr>
            <w:tcW w:w="4677" w:type="dxa"/>
            <w:tcBorders>
              <w:top w:val="single" w:sz="4" w:space="0" w:color="000000"/>
              <w:left w:val="single" w:sz="4" w:space="0" w:color="000000"/>
              <w:bottom w:val="single" w:sz="4" w:space="0" w:color="000000"/>
              <w:right w:val="single" w:sz="4" w:space="0" w:color="000000"/>
            </w:tcBorders>
          </w:tcPr>
          <w:p w:rsidR="00043D8B" w:rsidRPr="00662210" w:rsidRDefault="00043D8B" w:rsidP="00D15EE0">
            <w:pPr>
              <w:spacing w:after="0"/>
              <w:ind w:left="1" w:right="121"/>
              <w:jc w:val="both"/>
              <w:rPr>
                <w:rFonts w:ascii="Times New Roman" w:hAnsi="Times New Roman"/>
                <w:sz w:val="20"/>
              </w:rPr>
            </w:pPr>
            <w:r>
              <w:rPr>
                <w:rFonts w:ascii="Times New Roman" w:hAnsi="Times New Roman"/>
                <w:sz w:val="20"/>
              </w:rPr>
              <w:t>Návrh NARIADENIA EURÓPSKEHO PARLAMENTU A RADY, ktorým sa zriaďuje Európske centrum odvetvových, technologických a výskumných kompetencií v oblasti kybernetickej bezpečnosti a sieť národných koordinačných centier Príspevok Európskej komisie k zasadnutiu lídrov v Salzburgu v dňoch 19. – 20. septembra 2018** COM (2018) 630 final 2018/0328 (COD)  12. 9. 2018</w:t>
            </w:r>
          </w:p>
        </w:tc>
        <w:tc>
          <w:tcPr>
            <w:tcW w:w="1418" w:type="dxa"/>
            <w:tcBorders>
              <w:top w:val="single" w:sz="4" w:space="0" w:color="000000"/>
              <w:left w:val="single" w:sz="4" w:space="0" w:color="000000"/>
              <w:bottom w:val="single" w:sz="4" w:space="0" w:color="000000"/>
              <w:right w:val="single" w:sz="4" w:space="0" w:color="000000"/>
            </w:tcBorders>
          </w:tcPr>
          <w:p w:rsidR="00043D8B" w:rsidRPr="006458BF" w:rsidRDefault="00043D8B" w:rsidP="00043D8B">
            <w:pPr>
              <w:spacing w:after="0"/>
              <w:ind w:left="1"/>
              <w:rPr>
                <w:b/>
              </w:rPr>
            </w:pPr>
            <w:r w:rsidRPr="006458BF">
              <w:rPr>
                <w:rFonts w:ascii="Times New Roman" w:hAnsi="Times New Roman"/>
                <w:b/>
                <w:sz w:val="20"/>
              </w:rPr>
              <w:t>NBÚ SR</w:t>
            </w:r>
            <w:r w:rsidRPr="006458BF">
              <w:rPr>
                <w:rFonts w:ascii="Times New Roman" w:hAnsi="Times New Roman"/>
                <w:b/>
                <w:sz w:val="20"/>
              </w:rPr>
              <w:br/>
              <w:t>MO SR</w:t>
            </w:r>
            <w:r w:rsidRPr="006458BF">
              <w:rPr>
                <w:rFonts w:ascii="Times New Roman" w:hAnsi="Times New Roman"/>
                <w:b/>
                <w:sz w:val="20"/>
              </w:rPr>
              <w:br/>
            </w:r>
            <w:r>
              <w:rPr>
                <w:rFonts w:ascii="Times New Roman" w:hAnsi="Times New Roman"/>
                <w:b/>
                <w:sz w:val="20"/>
              </w:rPr>
              <w:t>MZVEZ SR</w:t>
            </w:r>
          </w:p>
        </w:tc>
        <w:tc>
          <w:tcPr>
            <w:tcW w:w="5386" w:type="dxa"/>
            <w:tcBorders>
              <w:top w:val="single" w:sz="4" w:space="0" w:color="000000"/>
              <w:left w:val="single" w:sz="4" w:space="0" w:color="000000"/>
              <w:bottom w:val="single" w:sz="4" w:space="0" w:color="000000"/>
              <w:right w:val="single" w:sz="4" w:space="0" w:color="000000"/>
            </w:tcBorders>
          </w:tcPr>
          <w:p w:rsidR="00043D8B" w:rsidRPr="00FE1BE2" w:rsidRDefault="00043D8B" w:rsidP="00043D8B">
            <w:pPr>
              <w:spacing w:after="0"/>
              <w:ind w:left="4" w:right="49"/>
              <w:jc w:val="both"/>
              <w:rPr>
                <w:rFonts w:ascii="Times New Roman" w:hAnsi="Times New Roman"/>
                <w:b/>
                <w:color w:val="auto"/>
                <w:sz w:val="20"/>
                <w:u w:val="single"/>
              </w:rPr>
            </w:pPr>
            <w:r w:rsidRPr="00FE1BE2">
              <w:rPr>
                <w:rFonts w:ascii="Times New Roman" w:hAnsi="Times New Roman"/>
                <w:b/>
                <w:sz w:val="20"/>
                <w:u w:val="single"/>
              </w:rPr>
              <w:t>Vysoká priorita</w:t>
            </w:r>
          </w:p>
          <w:p w:rsidR="00043D8B" w:rsidRPr="001C1445" w:rsidRDefault="00043D8B" w:rsidP="00043D8B">
            <w:pPr>
              <w:spacing w:after="0"/>
              <w:ind w:right="49"/>
              <w:jc w:val="both"/>
              <w:rPr>
                <w:rFonts w:ascii="Times New Roman" w:hAnsi="Times New Roman"/>
                <w:sz w:val="20"/>
                <w:szCs w:val="20"/>
              </w:rPr>
            </w:pPr>
            <w:r w:rsidRPr="001C1445">
              <w:rPr>
                <w:rFonts w:ascii="Times New Roman" w:hAnsi="Times New Roman"/>
                <w:sz w:val="20"/>
                <w:szCs w:val="20"/>
              </w:rPr>
              <w:t xml:space="preserve">SR vníma vysoko pozitívne myšlienku vytvorenia európskeho kompetenčného centra v oblasti kybernetickej bezpečnosti ako aj vytvorenie siete národných koordinačných centier. Investície do vedy, výskumu a inovácií v tejto oblasti okrem iného prinesú priaznivý efekt na rozvoj digitálnej ekonomiky Slovenska, na budovanie odborných kapacít a schopností, ako aj na zvýšenie bezpečnosti produktov a služieb, či dôvery na jednotnom digitálnom trhu. </w:t>
            </w:r>
          </w:p>
          <w:p w:rsidR="00043D8B" w:rsidRDefault="00043D8B" w:rsidP="007864C8">
            <w:pPr>
              <w:spacing w:after="0"/>
              <w:ind w:right="49"/>
              <w:jc w:val="both"/>
              <w:rPr>
                <w:rFonts w:ascii="Times New Roman" w:hAnsi="Times New Roman"/>
                <w:sz w:val="20"/>
              </w:rPr>
            </w:pPr>
          </w:p>
        </w:tc>
      </w:tr>
      <w:tr w:rsidR="00043D8B" w:rsidTr="007864C8">
        <w:trPr>
          <w:trHeight w:val="1099"/>
        </w:trPr>
        <w:tc>
          <w:tcPr>
            <w:tcW w:w="61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pPr>
            <w:r>
              <w:rPr>
                <w:rFonts w:ascii="Times New Roman" w:hAnsi="Times New Roman"/>
                <w:sz w:val="20"/>
              </w:rPr>
              <w:t>14.</w:t>
            </w:r>
            <w:r>
              <w:rPr>
                <w:rFonts w:ascii="Arial" w:hAnsi="Arial" w:cs="Arial"/>
                <w:sz w:val="20"/>
              </w:rPr>
              <w:t xml:space="preserve"> </w:t>
            </w:r>
            <w:r>
              <w:rPr>
                <w:rFonts w:ascii="Times New Roman" w:hAnsi="Times New Roman"/>
                <w:sz w:val="20"/>
              </w:rPr>
              <w:t xml:space="preserve"> </w:t>
            </w:r>
          </w:p>
          <w:p w:rsidR="00043D8B" w:rsidRDefault="00043D8B" w:rsidP="00833647">
            <w:pPr>
              <w:spacing w:after="0"/>
            </w:pPr>
            <w:r>
              <w:rPr>
                <w:rFonts w:ascii="Times New Roman" w:hAnsi="Times New Roman"/>
                <w:sz w:val="20"/>
              </w:rPr>
              <w:t xml:space="preserve"> </w:t>
            </w:r>
          </w:p>
        </w:tc>
        <w:tc>
          <w:tcPr>
            <w:tcW w:w="2928"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ight="19"/>
              <w:jc w:val="both"/>
            </w:pPr>
            <w:r>
              <w:rPr>
                <w:rFonts w:ascii="Times New Roman" w:hAnsi="Times New Roman"/>
                <w:sz w:val="20"/>
              </w:rPr>
              <w:t xml:space="preserve">Balík predpisov v oblasti autorského práva </w:t>
            </w:r>
          </w:p>
          <w:p w:rsidR="00043D8B" w:rsidRDefault="00043D8B" w:rsidP="00833647">
            <w:pPr>
              <w:spacing w:after="0"/>
              <w:ind w:left="1"/>
            </w:pPr>
            <w:r>
              <w:rPr>
                <w:rFonts w:ascii="Times New Roman" w:hAnsi="Times New Roman"/>
                <w:sz w:val="20"/>
              </w:rPr>
              <w:t xml:space="preserve">  </w:t>
            </w:r>
          </w:p>
        </w:tc>
        <w:tc>
          <w:tcPr>
            <w:tcW w:w="4677" w:type="dxa"/>
            <w:tcBorders>
              <w:top w:val="single" w:sz="4" w:space="0" w:color="000000"/>
              <w:left w:val="single" w:sz="4" w:space="0" w:color="000000"/>
              <w:bottom w:val="single" w:sz="4" w:space="0" w:color="000000"/>
              <w:right w:val="single" w:sz="4" w:space="0" w:color="000000"/>
            </w:tcBorders>
          </w:tcPr>
          <w:p w:rsidR="00043D8B" w:rsidRPr="00662210" w:rsidRDefault="00043D8B" w:rsidP="00D15EE0">
            <w:pPr>
              <w:spacing w:after="0"/>
              <w:ind w:left="1"/>
              <w:jc w:val="both"/>
              <w:rPr>
                <w:rFonts w:ascii="Times New Roman" w:hAnsi="Times New Roman"/>
                <w:sz w:val="20"/>
              </w:rPr>
            </w:pPr>
            <w:r>
              <w:rPr>
                <w:rFonts w:ascii="Times New Roman" w:hAnsi="Times New Roman"/>
                <w:sz w:val="20"/>
              </w:rPr>
              <w:t xml:space="preserve"> Návrh SMERNICE EURÓPSKEHO PARLAMENTU A RADY o autorskom práve na digitálnom jednotnom trhu* COM(2016)593 final 2016/0280 (COD)  14. 9. 2016</w:t>
            </w:r>
          </w:p>
        </w:tc>
        <w:tc>
          <w:tcPr>
            <w:tcW w:w="1418"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ind w:left="4" w:right="49"/>
              <w:jc w:val="both"/>
              <w:rPr>
                <w:rFonts w:ascii="Times New Roman" w:hAnsi="Times New Roman"/>
                <w:b/>
                <w:sz w:val="20"/>
              </w:rPr>
            </w:pPr>
            <w:r w:rsidRPr="006458BF">
              <w:rPr>
                <w:rFonts w:ascii="Times New Roman" w:hAnsi="Times New Roman"/>
                <w:b/>
                <w:sz w:val="20"/>
              </w:rPr>
              <w:t>MK SR</w:t>
            </w:r>
          </w:p>
        </w:tc>
        <w:tc>
          <w:tcPr>
            <w:tcW w:w="5386" w:type="dxa"/>
            <w:tcBorders>
              <w:top w:val="single" w:sz="4" w:space="0" w:color="000000"/>
              <w:left w:val="single" w:sz="4" w:space="0" w:color="000000"/>
              <w:bottom w:val="single" w:sz="4" w:space="0" w:color="000000"/>
              <w:right w:val="single" w:sz="4" w:space="0" w:color="000000"/>
            </w:tcBorders>
          </w:tcPr>
          <w:p w:rsidR="00043D8B" w:rsidRPr="00880B33" w:rsidRDefault="00043D8B" w:rsidP="00833647">
            <w:pPr>
              <w:spacing w:after="0"/>
              <w:rPr>
                <w:rFonts w:ascii="Times New Roman" w:hAnsi="Times New Roman"/>
                <w:b/>
                <w:sz w:val="20"/>
                <w:szCs w:val="20"/>
                <w:u w:val="single"/>
              </w:rPr>
            </w:pPr>
            <w:r w:rsidRPr="00880B33">
              <w:rPr>
                <w:rFonts w:ascii="Times New Roman" w:hAnsi="Times New Roman"/>
                <w:b/>
                <w:sz w:val="20"/>
                <w:szCs w:val="20"/>
                <w:u w:val="single"/>
              </w:rPr>
              <w:t>Stredná priorita</w:t>
            </w:r>
          </w:p>
          <w:p w:rsidR="00043D8B" w:rsidRPr="00FE1BE2" w:rsidRDefault="00043D8B" w:rsidP="00D15EE0">
            <w:pPr>
              <w:spacing w:after="0"/>
              <w:jc w:val="both"/>
              <w:rPr>
                <w:rFonts w:ascii="Times New Roman" w:hAnsi="Times New Roman"/>
                <w:sz w:val="20"/>
                <w:szCs w:val="20"/>
              </w:rPr>
            </w:pPr>
            <w:r w:rsidRPr="00C018FB">
              <w:rPr>
                <w:rFonts w:ascii="Times New Roman" w:hAnsi="Times New Roman"/>
                <w:sz w:val="20"/>
                <w:szCs w:val="20"/>
              </w:rPr>
              <w:t>Návrh je rozčlenený do niekoľkých samostatných častí, v ktorý</w:t>
            </w:r>
            <w:r>
              <w:rPr>
                <w:rFonts w:ascii="Times New Roman" w:hAnsi="Times New Roman"/>
                <w:sz w:val="20"/>
                <w:szCs w:val="20"/>
              </w:rPr>
              <w:t xml:space="preserve">ch sa postupne dotýka výnimiek </w:t>
            </w:r>
            <w:r w:rsidRPr="00C018FB">
              <w:rPr>
                <w:rFonts w:ascii="Times New Roman" w:hAnsi="Times New Roman"/>
                <w:sz w:val="20"/>
                <w:szCs w:val="20"/>
              </w:rPr>
              <w:t>a obmedzení z autorského práva, opatrení na zlepšenie licenčných praktík a prístupu k obsahu, prístupnosti európskych diel na platformách videa na požiadanie (video-on-demand), zavedenia nového práva súvisiaceho s autorským právom špeciálne pre vydavateľov novín a problematiky odmeňovania nositeľov práv za použitie ich predmetov ochrany na internete. Vzhľadom na to, že ide o tematicky veľmi rôznorodý a expertne náročný návrh, až BG PRES sa podarilo získať mandát na trialógy, ktoré sa začali až počas AT PRES. Doteraz sa uskutočnilo päť trialógov a došlo k výrazným posunom avšak v kľúčových otáz</w:t>
            </w:r>
            <w:r>
              <w:rPr>
                <w:rFonts w:ascii="Times New Roman" w:hAnsi="Times New Roman"/>
                <w:sz w:val="20"/>
                <w:szCs w:val="20"/>
              </w:rPr>
              <w:t>kach stále nedošlo ku konsenzu.</w:t>
            </w:r>
            <w:r w:rsidRPr="00C018FB">
              <w:rPr>
                <w:rFonts w:ascii="Times New Roman" w:hAnsi="Times New Roman"/>
                <w:sz w:val="20"/>
                <w:szCs w:val="20"/>
              </w:rPr>
              <w:t>SR podporuje zavedenie nových výnimiek ako aj zmenu niektorých na povinné výnimky (Title II) ako aj doplnenie novej výnimky na text a data mining (čl. 3a). SR má najvyhranenejšiu pozíciu vo vzťahu k zavedeniu nového práva pre vydavateľov tlače (čl. 11), pretože väčšina jednotlivých častí už je chránená autorským právom – články, fotografie, obrázky. A noviny a časopisy ako celok sú tak isto chránené autorským právom alebo právom k databáze. Takže SR nevidí dôvod na vytváranie novej vrstvy práv pre už chránený obsah, a teda dôvod na zavedenie takéhoto nového práva súvisiaceho s autorským právom (podobne ako viacero členských štátov). Preto sa SR usiluje o zníženie dopadu tohto ustanovenia (znížením navrhovanej doby ochrany, vyňatím hyperlinkov a snippetov). Pokiaľ ide o monitorovanie uploadovaného obsahu (čl. 13), SR uznáva, že zapojenie service providerov do celého procesu vymožiteľnosti práv je dôležité, avšak aj tu sa snaží o zníženie dopadu najmä na malé a stredné podniky.</w:t>
            </w:r>
          </w:p>
        </w:tc>
      </w:tr>
      <w:tr w:rsidR="00043D8B" w:rsidTr="007864C8">
        <w:trPr>
          <w:trHeight w:val="23"/>
        </w:trPr>
        <w:tc>
          <w:tcPr>
            <w:tcW w:w="617"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pPr>
          </w:p>
        </w:tc>
        <w:tc>
          <w:tcPr>
            <w:tcW w:w="2928"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pPr>
          </w:p>
        </w:tc>
        <w:tc>
          <w:tcPr>
            <w:tcW w:w="4677"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Návrh NARIADENIE EURÓPSKEHO PARLAMENTU A RADY, ktorým sa stanovujú pravidlá výkonu autorského práva a s ním súvisiacich práv uplatniteľné na niektoré online vysielania vysielacích organizácií a retransmisie televíznych a rozhlasových programov* COM(2016)594 final 2016/0284 (COD)  14. 9. 2016</w:t>
            </w:r>
          </w:p>
        </w:tc>
        <w:tc>
          <w:tcPr>
            <w:tcW w:w="1418"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ind w:left="4" w:right="49"/>
              <w:jc w:val="both"/>
              <w:rPr>
                <w:rFonts w:ascii="Times New Roman" w:hAnsi="Times New Roman"/>
                <w:b/>
                <w:sz w:val="20"/>
              </w:rPr>
            </w:pPr>
            <w:r w:rsidRPr="006458BF">
              <w:rPr>
                <w:rFonts w:ascii="Times New Roman" w:hAnsi="Times New Roman"/>
                <w:b/>
                <w:sz w:val="20"/>
              </w:rPr>
              <w:t>MK SR</w:t>
            </w:r>
          </w:p>
        </w:tc>
        <w:tc>
          <w:tcPr>
            <w:tcW w:w="5386" w:type="dxa"/>
            <w:tcBorders>
              <w:top w:val="single" w:sz="4" w:space="0" w:color="000000"/>
              <w:left w:val="single" w:sz="4" w:space="0" w:color="000000"/>
              <w:bottom w:val="single" w:sz="4" w:space="0" w:color="000000"/>
              <w:right w:val="single" w:sz="4" w:space="0" w:color="000000"/>
            </w:tcBorders>
          </w:tcPr>
          <w:p w:rsidR="00043D8B" w:rsidRPr="00880B33" w:rsidRDefault="00043D8B" w:rsidP="00833647">
            <w:pPr>
              <w:spacing w:after="0"/>
              <w:rPr>
                <w:rFonts w:ascii="Times New Roman" w:hAnsi="Times New Roman"/>
                <w:b/>
                <w:sz w:val="20"/>
                <w:szCs w:val="20"/>
                <w:u w:val="single"/>
                <w:lang w:eastAsia="en-US"/>
              </w:rPr>
            </w:pPr>
            <w:r w:rsidRPr="00880B33">
              <w:rPr>
                <w:rFonts w:ascii="Times New Roman" w:hAnsi="Times New Roman"/>
                <w:b/>
                <w:sz w:val="20"/>
                <w:szCs w:val="20"/>
                <w:u w:val="single"/>
              </w:rPr>
              <w:t>Stredná priorita</w:t>
            </w:r>
          </w:p>
          <w:p w:rsidR="00043D8B" w:rsidRPr="00043D8B" w:rsidRDefault="00043D8B" w:rsidP="00FC5690">
            <w:pPr>
              <w:spacing w:after="0"/>
              <w:ind w:left="4" w:right="49"/>
              <w:jc w:val="both"/>
              <w:rPr>
                <w:rFonts w:ascii="Times New Roman" w:hAnsi="Times New Roman"/>
                <w:sz w:val="20"/>
                <w:szCs w:val="20"/>
              </w:rPr>
            </w:pPr>
            <w:r w:rsidRPr="00C018FB">
              <w:rPr>
                <w:rFonts w:ascii="Times New Roman" w:hAnsi="Times New Roman"/>
                <w:sz w:val="20"/>
                <w:szCs w:val="20"/>
              </w:rPr>
              <w:t>Návrh prináša zmeny vo vzťahu k niektorým formám online vysielania tradičných televíznych a rozhlasových vysielateľov. Zároveň návrh zavádza princíp vysporiadania práv k ďalším spôsobom retransmisie, vrátane retransmisie cez internet v určitej kontrolovateľnej forme. Definitívne ukončenie legislatívneho procesu sa očakáva v 1.štvrťroku 2019, keďže v decembri 2018 bola dosiahnutá dohoda medzi Radou, EP a EK na úrovni trialógov. SR nakoniec podporila kompromisné znenie vo vzťahu k technike direct injection a aj k rozsahu princípu krajiny pôvodu, týkajúce sa konkrétne rozsahu vlastnej tvorby vysielateľov, čiže ich vlastných, nimi plne financových, programov. SR tak urobila pod podmienkou, že dôjde k zmene právnej formy z nariadenia na  smernicu, čo bolo v závere trialógov odsúhlasené. Uvedená zmena na smernicu sa uskutoční v prvých mesiacoch 2019. V nadväznosti na prijatie smernice bude nasledovať jej transpozícia do Autorského zákona.</w:t>
            </w:r>
          </w:p>
        </w:tc>
      </w:tr>
      <w:tr w:rsidR="00043D8B" w:rsidTr="007864C8">
        <w:trPr>
          <w:trHeight w:val="407"/>
        </w:trPr>
        <w:tc>
          <w:tcPr>
            <w:tcW w:w="617" w:type="dxa"/>
            <w:tcBorders>
              <w:top w:val="single" w:sz="4" w:space="0" w:color="auto"/>
              <w:left w:val="single" w:sz="4" w:space="0" w:color="auto"/>
              <w:bottom w:val="single" w:sz="4" w:space="0" w:color="auto"/>
              <w:right w:val="single" w:sz="4" w:space="0" w:color="auto"/>
            </w:tcBorders>
            <w:shd w:val="clear" w:color="auto" w:fill="99CCFF"/>
          </w:tcPr>
          <w:p w:rsidR="00043D8B" w:rsidRDefault="00043D8B" w:rsidP="00043D8B">
            <w:pPr>
              <w:ind w:left="17"/>
            </w:pPr>
            <w:r>
              <w:rPr>
                <w:rFonts w:ascii="Times New Roman" w:hAnsi="Times New Roman"/>
                <w:b/>
                <w:sz w:val="20"/>
              </w:rPr>
              <w:t xml:space="preserve">Č. </w:t>
            </w:r>
          </w:p>
        </w:tc>
        <w:tc>
          <w:tcPr>
            <w:tcW w:w="2928" w:type="dxa"/>
            <w:tcBorders>
              <w:top w:val="single" w:sz="4" w:space="0" w:color="auto"/>
              <w:left w:val="single" w:sz="4" w:space="0" w:color="auto"/>
              <w:bottom w:val="single" w:sz="4" w:space="0" w:color="auto"/>
              <w:right w:val="single" w:sz="4" w:space="0" w:color="auto"/>
            </w:tcBorders>
            <w:shd w:val="clear" w:color="auto" w:fill="99CCFF"/>
          </w:tcPr>
          <w:p w:rsidR="00043D8B" w:rsidRDefault="00043D8B" w:rsidP="00043D8B">
            <w:pPr>
              <w:ind w:right="48"/>
              <w:jc w:val="center"/>
            </w:pPr>
            <w:r>
              <w:rPr>
                <w:rFonts w:ascii="Times New Roman" w:hAnsi="Times New Roman"/>
                <w:b/>
                <w:sz w:val="20"/>
              </w:rPr>
              <w:t xml:space="preserve">Názov </w:t>
            </w:r>
          </w:p>
        </w:tc>
        <w:tc>
          <w:tcPr>
            <w:tcW w:w="4677" w:type="dxa"/>
            <w:tcBorders>
              <w:top w:val="single" w:sz="4" w:space="0" w:color="auto"/>
              <w:left w:val="single" w:sz="4" w:space="0" w:color="auto"/>
              <w:bottom w:val="single" w:sz="4" w:space="0" w:color="auto"/>
              <w:right w:val="single" w:sz="4" w:space="0" w:color="auto"/>
            </w:tcBorders>
            <w:shd w:val="clear" w:color="auto" w:fill="99CCFF"/>
          </w:tcPr>
          <w:p w:rsidR="00043D8B" w:rsidRDefault="00043D8B" w:rsidP="00043D8B">
            <w:pPr>
              <w:ind w:right="50"/>
              <w:jc w:val="center"/>
              <w:rPr>
                <w:rFonts w:ascii="Times New Roman" w:hAnsi="Times New Roman"/>
                <w:b/>
                <w:sz w:val="20"/>
              </w:rPr>
            </w:pPr>
            <w:r>
              <w:rPr>
                <w:rFonts w:ascii="Times New Roman" w:hAnsi="Times New Roman"/>
                <w:b/>
                <w:sz w:val="20"/>
              </w:rPr>
              <w:t>Opis</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043D8B" w:rsidRDefault="00043D8B" w:rsidP="00043D8B">
            <w:pPr>
              <w:ind w:right="50"/>
              <w:jc w:val="center"/>
              <w:rPr>
                <w:rFonts w:ascii="Times New Roman" w:hAnsi="Times New Roman"/>
                <w:b/>
                <w:sz w:val="20"/>
              </w:rPr>
            </w:pPr>
            <w:r>
              <w:rPr>
                <w:rFonts w:ascii="Times New Roman" w:hAnsi="Times New Roman"/>
                <w:b/>
                <w:sz w:val="20"/>
              </w:rPr>
              <w:t>Gestor</w:t>
            </w:r>
          </w:p>
        </w:tc>
        <w:tc>
          <w:tcPr>
            <w:tcW w:w="5386" w:type="dxa"/>
            <w:tcBorders>
              <w:top w:val="single" w:sz="4" w:space="0" w:color="auto"/>
              <w:left w:val="single" w:sz="4" w:space="0" w:color="auto"/>
              <w:bottom w:val="single" w:sz="4" w:space="0" w:color="auto"/>
              <w:right w:val="single" w:sz="4" w:space="0" w:color="auto"/>
            </w:tcBorders>
            <w:shd w:val="clear" w:color="auto" w:fill="99CCFF"/>
          </w:tcPr>
          <w:p w:rsidR="00043D8B" w:rsidRDefault="00043D8B" w:rsidP="00043D8B">
            <w:pPr>
              <w:ind w:right="50"/>
              <w:jc w:val="center"/>
              <w:rPr>
                <w:rFonts w:ascii="Times New Roman" w:hAnsi="Times New Roman"/>
                <w:b/>
                <w:sz w:val="20"/>
              </w:rPr>
            </w:pPr>
            <w:r>
              <w:rPr>
                <w:rFonts w:ascii="Times New Roman" w:hAnsi="Times New Roman"/>
                <w:b/>
                <w:sz w:val="20"/>
              </w:rPr>
              <w:t xml:space="preserve">Stupeň priority a pozícia SR </w:t>
            </w:r>
          </w:p>
        </w:tc>
      </w:tr>
    </w:tbl>
    <w:p w:rsidR="00043D8B" w:rsidRPr="00043D8B" w:rsidRDefault="00043D8B" w:rsidP="00043D8B">
      <w:pPr>
        <w:spacing w:after="0"/>
        <w:rPr>
          <w:vanish/>
        </w:rPr>
      </w:pPr>
    </w:p>
    <w:tbl>
      <w:tblPr>
        <w:tblStyle w:val="Mriekatabuky"/>
        <w:tblW w:w="15026" w:type="dxa"/>
        <w:tblInd w:w="-176" w:type="dxa"/>
        <w:tblLayout w:type="fixed"/>
        <w:tblCellMar>
          <w:top w:w="85" w:type="dxa"/>
        </w:tblCellMar>
        <w:tblLook w:val="04A0" w:firstRow="1" w:lastRow="0" w:firstColumn="1" w:lastColumn="0" w:noHBand="0" w:noVBand="1"/>
      </w:tblPr>
      <w:tblGrid>
        <w:gridCol w:w="642"/>
        <w:gridCol w:w="2903"/>
        <w:gridCol w:w="4677"/>
        <w:gridCol w:w="1418"/>
        <w:gridCol w:w="5386"/>
      </w:tblGrid>
      <w:tr w:rsidR="00043D8B" w:rsidTr="007864C8">
        <w:trPr>
          <w:trHeight w:val="2593"/>
        </w:trPr>
        <w:tc>
          <w:tcPr>
            <w:tcW w:w="642" w:type="dxa"/>
          </w:tcPr>
          <w:p w:rsidR="00043D8B" w:rsidRDefault="00043D8B" w:rsidP="00043D8B">
            <w:pPr>
              <w:spacing w:after="0"/>
            </w:pPr>
            <w:r>
              <w:rPr>
                <w:rFonts w:ascii="Times New Roman" w:hAnsi="Times New Roman"/>
                <w:sz w:val="20"/>
              </w:rPr>
              <w:t>15.</w:t>
            </w:r>
            <w:r>
              <w:rPr>
                <w:rFonts w:ascii="Arial" w:hAnsi="Arial" w:cs="Arial"/>
                <w:sz w:val="20"/>
              </w:rPr>
              <w:t xml:space="preserve"> </w:t>
            </w:r>
            <w:r>
              <w:rPr>
                <w:rFonts w:ascii="Times New Roman" w:hAnsi="Times New Roman"/>
                <w:sz w:val="20"/>
              </w:rPr>
              <w:t xml:space="preserve"> </w:t>
            </w:r>
          </w:p>
          <w:p w:rsidR="00043D8B" w:rsidRDefault="00043D8B" w:rsidP="00043D8B">
            <w:pPr>
              <w:spacing w:after="0"/>
            </w:pPr>
            <w:r>
              <w:rPr>
                <w:rFonts w:ascii="Times New Roman" w:hAnsi="Times New Roman"/>
                <w:sz w:val="20"/>
              </w:rPr>
              <w:t xml:space="preserve"> </w:t>
            </w:r>
          </w:p>
          <w:p w:rsidR="00043D8B" w:rsidRDefault="00043D8B" w:rsidP="00043D8B">
            <w:pPr>
              <w:spacing w:after="0"/>
            </w:pPr>
            <w:r>
              <w:rPr>
                <w:rFonts w:ascii="Times New Roman" w:hAnsi="Times New Roman"/>
                <w:sz w:val="20"/>
              </w:rPr>
              <w:t xml:space="preserve"> </w:t>
            </w:r>
          </w:p>
          <w:p w:rsidR="00043D8B" w:rsidRDefault="00043D8B" w:rsidP="00043D8B">
            <w:pPr>
              <w:spacing w:after="0"/>
              <w:jc w:val="right"/>
            </w:pPr>
            <w:r>
              <w:rPr>
                <w:rFonts w:ascii="Times New Roman" w:hAnsi="Times New Roman"/>
                <w:sz w:val="20"/>
              </w:rPr>
              <w:t xml:space="preserve"> </w:t>
            </w:r>
          </w:p>
        </w:tc>
        <w:tc>
          <w:tcPr>
            <w:tcW w:w="2903" w:type="dxa"/>
          </w:tcPr>
          <w:p w:rsidR="00043D8B" w:rsidRDefault="00043D8B" w:rsidP="00043D8B">
            <w:pPr>
              <w:spacing w:after="0"/>
              <w:ind w:left="1" w:right="78"/>
            </w:pPr>
            <w:r>
              <w:rPr>
                <w:rFonts w:ascii="Times New Roman" w:hAnsi="Times New Roman"/>
                <w:sz w:val="20"/>
              </w:rPr>
              <w:t xml:space="preserve">Balík predpisov v oblasti mobility a zmeny klímy </w:t>
            </w:r>
          </w:p>
          <w:p w:rsidR="00043D8B" w:rsidRDefault="00043D8B" w:rsidP="00043D8B">
            <w:pPr>
              <w:spacing w:after="0"/>
              <w:ind w:left="1"/>
            </w:pPr>
            <w:r>
              <w:rPr>
                <w:rFonts w:ascii="Times New Roman" w:hAnsi="Times New Roman"/>
                <w:color w:val="1F497D"/>
                <w:sz w:val="20"/>
              </w:rPr>
              <w:t xml:space="preserve"> </w:t>
            </w:r>
          </w:p>
        </w:tc>
        <w:tc>
          <w:tcPr>
            <w:tcW w:w="4677" w:type="dxa"/>
          </w:tcPr>
          <w:p w:rsidR="00043D8B" w:rsidRDefault="00043D8B" w:rsidP="00D15EE0">
            <w:pPr>
              <w:spacing w:after="0"/>
              <w:ind w:left="1"/>
              <w:jc w:val="both"/>
            </w:pPr>
            <w:r>
              <w:rPr>
                <w:rFonts w:ascii="Times New Roman" w:hAnsi="Times New Roman"/>
                <w:sz w:val="20"/>
              </w:rPr>
              <w:t>Návrh NARIADENIA EURÓPSKEHO PARLAMENTU A RADY, ktorým sa stanovujú emisné normy CO2 pre nové ťažké úžitkové vozidlá** COM(2018)284 final 2018/0143 (COD) 17. 5. 2018</w:t>
            </w:r>
          </w:p>
        </w:tc>
        <w:tc>
          <w:tcPr>
            <w:tcW w:w="1418" w:type="dxa"/>
          </w:tcPr>
          <w:p w:rsidR="00043D8B" w:rsidRPr="006458BF" w:rsidRDefault="00043D8B" w:rsidP="00043D8B">
            <w:pPr>
              <w:spacing w:after="0"/>
              <w:ind w:left="4" w:right="49"/>
              <w:rPr>
                <w:rFonts w:ascii="Times New Roman" w:hAnsi="Times New Roman"/>
                <w:b/>
                <w:sz w:val="20"/>
              </w:rPr>
            </w:pPr>
            <w:r w:rsidRPr="006458BF">
              <w:rPr>
                <w:rFonts w:ascii="Times New Roman" w:hAnsi="Times New Roman"/>
                <w:b/>
                <w:sz w:val="20"/>
              </w:rPr>
              <w:t>MŽP SR</w:t>
            </w:r>
          </w:p>
          <w:p w:rsidR="00043D8B" w:rsidRPr="006458BF" w:rsidRDefault="00043D8B" w:rsidP="00043D8B">
            <w:pPr>
              <w:spacing w:after="0"/>
              <w:ind w:left="4" w:right="49"/>
              <w:rPr>
                <w:rFonts w:ascii="Times New Roman" w:hAnsi="Times New Roman"/>
                <w:b/>
                <w:sz w:val="20"/>
              </w:rPr>
            </w:pPr>
            <w:r w:rsidRPr="006458BF">
              <w:rPr>
                <w:rFonts w:ascii="Times New Roman" w:hAnsi="Times New Roman"/>
                <w:b/>
                <w:sz w:val="20"/>
              </w:rPr>
              <w:t>MH SR</w:t>
            </w:r>
            <w:r w:rsidRPr="006458BF">
              <w:rPr>
                <w:rFonts w:ascii="Times New Roman" w:hAnsi="Times New Roman"/>
                <w:b/>
                <w:sz w:val="20"/>
              </w:rPr>
              <w:br/>
              <w:t>MV SR</w:t>
            </w:r>
          </w:p>
          <w:p w:rsidR="00043D8B" w:rsidRPr="006458BF" w:rsidRDefault="00043D8B" w:rsidP="00043D8B">
            <w:pPr>
              <w:spacing w:after="0"/>
              <w:ind w:left="4" w:right="49"/>
              <w:rPr>
                <w:rFonts w:ascii="Times New Roman" w:hAnsi="Times New Roman"/>
                <w:b/>
                <w:sz w:val="20"/>
              </w:rPr>
            </w:pPr>
            <w:r w:rsidRPr="006458BF">
              <w:rPr>
                <w:rFonts w:ascii="Times New Roman" w:hAnsi="Times New Roman"/>
                <w:b/>
                <w:sz w:val="20"/>
              </w:rPr>
              <w:t>MDaVR SR</w:t>
            </w:r>
          </w:p>
          <w:p w:rsidR="00043D8B" w:rsidRPr="006458BF" w:rsidRDefault="00043D8B" w:rsidP="00043D8B">
            <w:pPr>
              <w:spacing w:after="0"/>
              <w:ind w:left="4" w:right="49"/>
              <w:jc w:val="both"/>
              <w:rPr>
                <w:rFonts w:ascii="Times New Roman" w:hAnsi="Times New Roman"/>
                <w:b/>
                <w:sz w:val="20"/>
              </w:rPr>
            </w:pPr>
          </w:p>
          <w:p w:rsidR="00043D8B" w:rsidRPr="006458BF" w:rsidRDefault="00043D8B" w:rsidP="00043D8B">
            <w:pPr>
              <w:spacing w:after="0"/>
              <w:ind w:right="13921"/>
              <w:rPr>
                <w:b/>
              </w:rPr>
            </w:pPr>
          </w:p>
        </w:tc>
        <w:tc>
          <w:tcPr>
            <w:tcW w:w="5386" w:type="dxa"/>
          </w:tcPr>
          <w:p w:rsidR="00043D8B" w:rsidRPr="00B15C5E" w:rsidRDefault="00043D8B" w:rsidP="00043D8B">
            <w:pPr>
              <w:tabs>
                <w:tab w:val="left" w:pos="2160"/>
              </w:tabs>
              <w:spacing w:after="0"/>
              <w:rPr>
                <w:rFonts w:ascii="Times New Roman" w:hAnsi="Times New Roman"/>
                <w:b/>
                <w:sz w:val="20"/>
                <w:szCs w:val="20"/>
                <w:u w:val="single"/>
              </w:rPr>
            </w:pPr>
            <w:r w:rsidRPr="00B15C5E">
              <w:rPr>
                <w:rFonts w:ascii="Times New Roman" w:hAnsi="Times New Roman"/>
                <w:b/>
                <w:sz w:val="20"/>
                <w:szCs w:val="20"/>
                <w:u w:val="single"/>
              </w:rPr>
              <w:t>Stredná priorita</w:t>
            </w:r>
          </w:p>
          <w:p w:rsidR="00043D8B" w:rsidRPr="00B15C5E" w:rsidRDefault="00043D8B" w:rsidP="00043D8B">
            <w:pPr>
              <w:tabs>
                <w:tab w:val="left" w:pos="2160"/>
              </w:tabs>
              <w:spacing w:after="0" w:line="256" w:lineRule="auto"/>
              <w:jc w:val="both"/>
              <w:rPr>
                <w:rFonts w:ascii="Times New Roman" w:hAnsi="Times New Roman"/>
                <w:sz w:val="20"/>
                <w:szCs w:val="20"/>
              </w:rPr>
            </w:pPr>
            <w:r>
              <w:rPr>
                <w:rFonts w:ascii="Times New Roman" w:hAnsi="Times New Roman"/>
                <w:sz w:val="20"/>
                <w:szCs w:val="20"/>
              </w:rPr>
              <w:t>Návrh je súčasťou tretieho balíčka mobility „Európa v pohybe“. Návrh je  poslednou veľkou legislatívou implementujúcou zníženie emisií skleníkových plynov o 40% v EÚ do roku 2030. V návrhu sa uvádzajú nové limity pre nové ťažké úžitkové vozidlá platné od roku 2025 a od roku 2030. EP a Rada prijali svoje pozície k návrhu koncom roka 2018, v roku 2019 sa začnú trialógy o konečnej podobe legislatívneho návrhu. SR v princípe podporuje prijatie legislatívy, ktorá by upravila stanovenie emisií CO</w:t>
            </w:r>
            <w:r>
              <w:rPr>
                <w:rFonts w:ascii="Times New Roman" w:hAnsi="Times New Roman"/>
                <w:sz w:val="20"/>
                <w:szCs w:val="20"/>
                <w:vertAlign w:val="subscript"/>
              </w:rPr>
              <w:t>2</w:t>
            </w:r>
            <w:r>
              <w:rPr>
                <w:rFonts w:ascii="Times New Roman" w:hAnsi="Times New Roman"/>
                <w:sz w:val="20"/>
                <w:szCs w:val="20"/>
              </w:rPr>
              <w:t xml:space="preserve"> z nových ťažkých úžitkových vozidiel. SK presadzuje ciele stanovené v návrhu a nesúhlasí s ich navýšením, presadzuje princíp technologickej neutrality a využitie flexibilít na dosiahnutie týchto ambicióznych cieľov.</w:t>
            </w:r>
          </w:p>
        </w:tc>
      </w:tr>
      <w:tr w:rsidR="00043D8B" w:rsidTr="007864C8">
        <w:tc>
          <w:tcPr>
            <w:tcW w:w="642" w:type="dxa"/>
          </w:tcPr>
          <w:p w:rsidR="00043D8B" w:rsidRDefault="00043D8B" w:rsidP="00043D8B">
            <w:pPr>
              <w:spacing w:after="0"/>
            </w:pPr>
          </w:p>
        </w:tc>
        <w:tc>
          <w:tcPr>
            <w:tcW w:w="2903" w:type="dxa"/>
          </w:tcPr>
          <w:p w:rsidR="00043D8B" w:rsidRDefault="00043D8B" w:rsidP="00043D8B">
            <w:pPr>
              <w:spacing w:after="0"/>
            </w:pPr>
          </w:p>
        </w:tc>
        <w:tc>
          <w:tcPr>
            <w:tcW w:w="4677" w:type="dxa"/>
          </w:tcPr>
          <w:p w:rsidR="00043D8B" w:rsidRPr="007E74BF" w:rsidRDefault="00043D8B" w:rsidP="00D15EE0">
            <w:pPr>
              <w:spacing w:after="0"/>
              <w:ind w:left="1"/>
              <w:jc w:val="both"/>
              <w:rPr>
                <w:rFonts w:ascii="Times New Roman" w:hAnsi="Times New Roman"/>
                <w:sz w:val="20"/>
              </w:rPr>
            </w:pPr>
            <w:r>
              <w:rPr>
                <w:rFonts w:ascii="Times New Roman" w:hAnsi="Times New Roman"/>
                <w:sz w:val="20"/>
              </w:rPr>
              <w:t>Návrh NARIADENIA EURÓPSKEHO PARLAMENTU A RADY, ktorým sa stanovujú emisné normy pre nové osobné automobily a nové ľahké úžitkové vozidlá ako súčasť integrovaného prístupu Únie na zníženie emisií CO2 z ľahkých vozidiel a ktorým sa mení nariadenie (ES) č. 715/2007 (prepracované znenie)* COM(2017)676 final 2017/0293 (COD)  8. 11. 2017</w:t>
            </w:r>
          </w:p>
        </w:tc>
        <w:tc>
          <w:tcPr>
            <w:tcW w:w="1418" w:type="dxa"/>
          </w:tcPr>
          <w:p w:rsidR="00043D8B" w:rsidRPr="006458BF" w:rsidRDefault="00043D8B" w:rsidP="00043D8B">
            <w:pPr>
              <w:spacing w:after="0"/>
              <w:ind w:left="4" w:right="49"/>
              <w:rPr>
                <w:rFonts w:ascii="Times New Roman" w:hAnsi="Times New Roman"/>
                <w:b/>
                <w:sz w:val="20"/>
              </w:rPr>
            </w:pPr>
            <w:r w:rsidRPr="006458BF">
              <w:rPr>
                <w:rFonts w:ascii="Times New Roman" w:hAnsi="Times New Roman"/>
                <w:b/>
                <w:sz w:val="20"/>
              </w:rPr>
              <w:t>MŽP SR</w:t>
            </w:r>
          </w:p>
          <w:p w:rsidR="00043D8B" w:rsidRPr="006458BF" w:rsidRDefault="00043D8B" w:rsidP="00043D8B">
            <w:pPr>
              <w:spacing w:after="0"/>
              <w:ind w:left="4" w:right="49"/>
              <w:rPr>
                <w:rFonts w:ascii="Times New Roman" w:hAnsi="Times New Roman"/>
                <w:b/>
                <w:sz w:val="20"/>
              </w:rPr>
            </w:pPr>
            <w:r w:rsidRPr="006458BF">
              <w:rPr>
                <w:rFonts w:ascii="Times New Roman" w:hAnsi="Times New Roman"/>
                <w:b/>
                <w:sz w:val="20"/>
              </w:rPr>
              <w:t>MH SR</w:t>
            </w:r>
            <w:r w:rsidRPr="006458BF">
              <w:rPr>
                <w:rFonts w:ascii="Times New Roman" w:hAnsi="Times New Roman"/>
                <w:b/>
                <w:sz w:val="20"/>
              </w:rPr>
              <w:br/>
              <w:t>MV SR</w:t>
            </w:r>
          </w:p>
          <w:p w:rsidR="00043D8B" w:rsidRPr="006458BF" w:rsidRDefault="00043D8B" w:rsidP="00043D8B">
            <w:pPr>
              <w:spacing w:after="0"/>
              <w:ind w:left="4" w:right="49"/>
              <w:rPr>
                <w:rFonts w:ascii="Times New Roman" w:hAnsi="Times New Roman"/>
                <w:b/>
                <w:sz w:val="20"/>
              </w:rPr>
            </w:pPr>
            <w:r w:rsidRPr="006458BF">
              <w:rPr>
                <w:rFonts w:ascii="Times New Roman" w:hAnsi="Times New Roman"/>
                <w:b/>
                <w:sz w:val="20"/>
              </w:rPr>
              <w:t>MDaV SR</w:t>
            </w:r>
          </w:p>
        </w:tc>
        <w:tc>
          <w:tcPr>
            <w:tcW w:w="5386" w:type="dxa"/>
          </w:tcPr>
          <w:p w:rsidR="00043D8B" w:rsidRPr="00B15C5E" w:rsidRDefault="00043D8B" w:rsidP="00043D8B">
            <w:pPr>
              <w:spacing w:after="0" w:line="256" w:lineRule="auto"/>
              <w:ind w:left="4" w:right="49"/>
              <w:jc w:val="both"/>
              <w:rPr>
                <w:rFonts w:ascii="Times New Roman" w:hAnsi="Times New Roman"/>
                <w:b/>
                <w:sz w:val="20"/>
                <w:u w:val="single"/>
              </w:rPr>
            </w:pPr>
            <w:r w:rsidRPr="00B15C5E">
              <w:rPr>
                <w:rFonts w:ascii="Times New Roman" w:hAnsi="Times New Roman"/>
                <w:b/>
                <w:sz w:val="20"/>
                <w:u w:val="single"/>
              </w:rPr>
              <w:t xml:space="preserve">Vysoká priorita </w:t>
            </w:r>
          </w:p>
          <w:p w:rsidR="00043D8B" w:rsidRPr="00B15C5E" w:rsidRDefault="00043D8B" w:rsidP="00043D8B">
            <w:pPr>
              <w:spacing w:after="0"/>
              <w:ind w:left="4" w:right="49"/>
              <w:jc w:val="both"/>
              <w:rPr>
                <w:rFonts w:ascii="Times New Roman" w:hAnsi="Times New Roman"/>
                <w:sz w:val="20"/>
              </w:rPr>
            </w:pPr>
            <w:r>
              <w:rPr>
                <w:rFonts w:ascii="Times New Roman" w:hAnsi="Times New Roman"/>
                <w:sz w:val="20"/>
              </w:rPr>
              <w:t>Návrh reviduje súčasné 2 nariadenia, ktorými sa stanovujú emisné limity pre nové osobné automobily a nové ľahké úžitkové vozidlá od roku 2025 a 2030. Návrh je v širšom kontexte implementačnou legislatívnou k zníženiu emisií skleníkových plynov v EÚ o 40% do roku 2030. Koncom roka 2018 sa  ukončili trialógy o konečnej podobe návrhu nariadenia, kde sa dohodli ciele pre rok 2025 na úrovni -15% oproti roku 2021 a -37,5% pre automobily v roku 2030 a pre ľahké úžitkové vozidlá na úrovni -31% v roku 2030. Konečná dohoda bude musieť byť schválená Radou a EP v roku 2019.Pre SR je táto legislatíva dôležitou z hľadiska automobilového priemyslu a udržania pracovných miest naviazaných na tento priemysel. SK presadzovala nenavyšovanie cieľov oproti návrhu EK (-15% a -30%), čo sa nám nepodarilo dosiahnuť. Naproti tomu sa podarilo prijať podporné nástroje na zvýšenie podielu nízkoemisných a bezemisných vozidiel aj v našom regióne, čo považujeme za úspech</w:t>
            </w:r>
            <w:r>
              <w:rPr>
                <w:rFonts w:ascii="Times New Roman" w:hAnsi="Times New Roman"/>
                <w:sz w:val="20"/>
                <w:szCs w:val="20"/>
              </w:rPr>
              <w:tab/>
            </w:r>
          </w:p>
        </w:tc>
      </w:tr>
      <w:tr w:rsidR="00043D8B" w:rsidTr="007864C8">
        <w:tc>
          <w:tcPr>
            <w:tcW w:w="642" w:type="dxa"/>
          </w:tcPr>
          <w:p w:rsidR="00043D8B" w:rsidRDefault="00043D8B" w:rsidP="00043D8B">
            <w:pPr>
              <w:spacing w:after="0"/>
            </w:pPr>
          </w:p>
        </w:tc>
        <w:tc>
          <w:tcPr>
            <w:tcW w:w="2903" w:type="dxa"/>
          </w:tcPr>
          <w:p w:rsidR="00043D8B" w:rsidRDefault="00043D8B" w:rsidP="00043D8B">
            <w:pPr>
              <w:spacing w:after="0"/>
            </w:pPr>
          </w:p>
        </w:tc>
        <w:tc>
          <w:tcPr>
            <w:tcW w:w="4677" w:type="dxa"/>
          </w:tcPr>
          <w:p w:rsidR="00043D8B" w:rsidRPr="00237F0D" w:rsidRDefault="00043D8B" w:rsidP="00D15EE0">
            <w:pPr>
              <w:spacing w:after="0"/>
              <w:ind w:left="1"/>
              <w:jc w:val="both"/>
            </w:pPr>
            <w:r>
              <w:rPr>
                <w:rFonts w:ascii="Times New Roman" w:hAnsi="Times New Roman"/>
                <w:sz w:val="20"/>
              </w:rPr>
              <w:t xml:space="preserve">Návrh NARIADENIA EURÓPSKEHO PARLAMENTU A RADY, ktorým sa mení nariadenie (ES) č. 1073/2009 o spoločných pravidlách prístupu na medzinárodný trh autokarovej a autobusovej dopravy* </w:t>
            </w:r>
          </w:p>
          <w:p w:rsidR="00043D8B" w:rsidRDefault="00043D8B" w:rsidP="00D15EE0">
            <w:pPr>
              <w:spacing w:after="0"/>
              <w:ind w:left="1"/>
              <w:jc w:val="both"/>
            </w:pPr>
            <w:r>
              <w:rPr>
                <w:rFonts w:ascii="Times New Roman" w:hAnsi="Times New Roman"/>
                <w:sz w:val="20"/>
              </w:rPr>
              <w:t>COM(2017)647 final 2017/0288 (COD)  8. 11. 2017</w:t>
            </w:r>
          </w:p>
        </w:tc>
        <w:tc>
          <w:tcPr>
            <w:tcW w:w="1418" w:type="dxa"/>
          </w:tcPr>
          <w:p w:rsidR="00043D8B" w:rsidRPr="006458BF" w:rsidRDefault="00043D8B" w:rsidP="00043D8B">
            <w:pPr>
              <w:spacing w:after="0"/>
              <w:ind w:left="4" w:right="49"/>
              <w:rPr>
                <w:rFonts w:ascii="Times New Roman" w:hAnsi="Times New Roman"/>
                <w:b/>
                <w:sz w:val="20"/>
              </w:rPr>
            </w:pPr>
            <w:r w:rsidRPr="006458BF">
              <w:rPr>
                <w:rFonts w:ascii="Times New Roman" w:hAnsi="Times New Roman"/>
                <w:b/>
                <w:sz w:val="20"/>
              </w:rPr>
              <w:t>MDaV SR</w:t>
            </w:r>
          </w:p>
        </w:tc>
        <w:tc>
          <w:tcPr>
            <w:tcW w:w="5386" w:type="dxa"/>
          </w:tcPr>
          <w:p w:rsidR="00043D8B" w:rsidRDefault="00043D8B" w:rsidP="00043D8B">
            <w:pPr>
              <w:spacing w:after="0"/>
              <w:rPr>
                <w:rFonts w:ascii="Times New Roman" w:hAnsi="Times New Roman"/>
                <w:sz w:val="20"/>
              </w:rPr>
            </w:pPr>
            <w:r w:rsidRPr="00CE6940">
              <w:rPr>
                <w:rFonts w:ascii="Times New Roman" w:hAnsi="Times New Roman"/>
                <w:b/>
                <w:sz w:val="20"/>
                <w:u w:val="single"/>
              </w:rPr>
              <w:t>Vysoká priorita</w:t>
            </w:r>
            <w:r>
              <w:rPr>
                <w:rFonts w:ascii="Times New Roman" w:hAnsi="Times New Roman"/>
                <w:sz w:val="20"/>
              </w:rPr>
              <w:t xml:space="preserve">   </w:t>
            </w:r>
          </w:p>
          <w:p w:rsidR="00043D8B" w:rsidRPr="00043D8B" w:rsidRDefault="00043D8B" w:rsidP="00043D8B">
            <w:pPr>
              <w:spacing w:after="0"/>
              <w:jc w:val="both"/>
              <w:rPr>
                <w:rFonts w:ascii="Times New Roman" w:hAnsi="Times New Roman"/>
                <w:sz w:val="20"/>
              </w:rPr>
            </w:pPr>
            <w:r>
              <w:rPr>
                <w:rFonts w:ascii="Times New Roman" w:hAnsi="Times New Roman"/>
                <w:sz w:val="20"/>
              </w:rPr>
              <w:t>Nariadenie bolo prijaté v rámci legislatívneho balíka spolu s nariadením č. 1071/2009 o prístupe k povolaniu prevádzkovateľa cestnej dopravy. V nariadení (ES) č. 1073/2009 sa vymedzujú ustanovenia, ktoré musia dodržiavať podniky, ktoré chcú pôsobiť na medzinárodnom trhu osobnej cestnej dopravy a na ďalších národných trhoch okrem trhu vlastného členského štátu usadenia (kabotáž). Ako hlavné problémy boli určené prekážky na národných trhoch brzdiace rozvoj medzimestskej autokarovej a autobusovej dopravy a nízky podiel udržateľných druhov osobnej dopravy. Zámerom tohto návrhu je tieto nedostatky napraviť a zabezpečiť koherentné  monitorovanie a presadzovanie existujúcich pravidiel v jednotlivých ČŠa eliminovať odlišnosti prístupov jednotlivých ČŠ.SR podporuje jednotné uplatňovanie predpisov tak, aby všetky subjekty v rámci EÚ mali rovnaké podmienky na podnikanie.</w:t>
            </w:r>
          </w:p>
        </w:tc>
      </w:tr>
      <w:tr w:rsidR="00043D8B" w:rsidTr="007864C8">
        <w:tc>
          <w:tcPr>
            <w:tcW w:w="642" w:type="dxa"/>
          </w:tcPr>
          <w:p w:rsidR="00043D8B" w:rsidRDefault="00043D8B" w:rsidP="00043D8B">
            <w:pPr>
              <w:spacing w:after="0"/>
            </w:pPr>
          </w:p>
        </w:tc>
        <w:tc>
          <w:tcPr>
            <w:tcW w:w="2903" w:type="dxa"/>
          </w:tcPr>
          <w:p w:rsidR="00043D8B" w:rsidRDefault="00043D8B" w:rsidP="00043D8B">
            <w:pPr>
              <w:spacing w:after="0"/>
            </w:pPr>
          </w:p>
        </w:tc>
        <w:tc>
          <w:tcPr>
            <w:tcW w:w="4677" w:type="dxa"/>
          </w:tcPr>
          <w:p w:rsidR="00043D8B" w:rsidRDefault="00043D8B" w:rsidP="00D15EE0">
            <w:pPr>
              <w:spacing w:after="0"/>
              <w:ind w:left="1"/>
              <w:jc w:val="both"/>
            </w:pPr>
            <w:r>
              <w:rPr>
                <w:rFonts w:ascii="Times New Roman" w:hAnsi="Times New Roman"/>
                <w:sz w:val="20"/>
              </w:rPr>
              <w:t>Návrh SMERNICE EURÓPSKEHO PARLAMENTU A RADY, ktorou sa mení smernica 92/106/EHS o stanovení spoločných pravidiel pre určité typy kombinovanej dopravy tovaru medzi členskými štátmi*  COM(2017)648 final 2017/0290 (COD)  8. 11. 2017</w:t>
            </w:r>
          </w:p>
        </w:tc>
        <w:tc>
          <w:tcPr>
            <w:tcW w:w="1418" w:type="dxa"/>
          </w:tcPr>
          <w:p w:rsidR="00043D8B" w:rsidRPr="006458BF" w:rsidRDefault="00043D8B" w:rsidP="00043D8B">
            <w:pPr>
              <w:spacing w:after="0"/>
              <w:ind w:left="4" w:right="49"/>
              <w:rPr>
                <w:rFonts w:ascii="Times New Roman" w:hAnsi="Times New Roman"/>
                <w:b/>
                <w:sz w:val="20"/>
              </w:rPr>
            </w:pPr>
            <w:r w:rsidRPr="006458BF">
              <w:rPr>
                <w:rFonts w:ascii="Times New Roman" w:hAnsi="Times New Roman"/>
                <w:b/>
                <w:sz w:val="20"/>
              </w:rPr>
              <w:t>MDaV SR</w:t>
            </w:r>
          </w:p>
        </w:tc>
        <w:tc>
          <w:tcPr>
            <w:tcW w:w="5386" w:type="dxa"/>
          </w:tcPr>
          <w:p w:rsidR="00043D8B" w:rsidRPr="00CE6940" w:rsidRDefault="00043D8B" w:rsidP="00043D8B">
            <w:pPr>
              <w:spacing w:after="0"/>
              <w:rPr>
                <w:rFonts w:ascii="Times New Roman" w:hAnsi="Times New Roman"/>
                <w:b/>
                <w:sz w:val="20"/>
                <w:u w:val="single"/>
              </w:rPr>
            </w:pPr>
            <w:r w:rsidRPr="00CE6940">
              <w:rPr>
                <w:rFonts w:ascii="Times New Roman" w:hAnsi="Times New Roman"/>
                <w:b/>
                <w:sz w:val="20"/>
                <w:u w:val="single"/>
              </w:rPr>
              <w:t>Vysoká priorita</w:t>
            </w:r>
          </w:p>
          <w:p w:rsidR="00043D8B" w:rsidRPr="00CE6940" w:rsidRDefault="00043D8B" w:rsidP="00043D8B">
            <w:pPr>
              <w:pStyle w:val="Bezriadkovania"/>
              <w:jc w:val="both"/>
              <w:rPr>
                <w:rFonts w:cs="Calibri"/>
                <w:sz w:val="20"/>
              </w:rPr>
            </w:pPr>
            <w:r w:rsidRPr="00043D8B">
              <w:rPr>
                <w:rFonts w:ascii="Times New Roman" w:hAnsi="Times New Roman"/>
                <w:color w:val="000000"/>
                <w:sz w:val="20"/>
                <w:lang w:eastAsia="sk-SK"/>
              </w:rPr>
              <w:t>Cieľom iniciatívy je podporiť multimodalitu a posilniť presun z cestnej nákladnej dopravy, a to najmä rozšírením jeho rozsahu pôsobnosti pomocou širšieho súboru možných podporných opatrení. SR plne podporuje rozvoj kombinovanej dopravy a zjednotenie pravidiel v rámci EÚ. Návrh je v súlade so stratégiou EK týkajúcej sa znižovania emisií a s cieľmi Parížskej dohody.</w:t>
            </w:r>
          </w:p>
        </w:tc>
      </w:tr>
      <w:tr w:rsidR="00043D8B" w:rsidTr="007864C8">
        <w:tc>
          <w:tcPr>
            <w:tcW w:w="642" w:type="dxa"/>
          </w:tcPr>
          <w:p w:rsidR="00043D8B" w:rsidRDefault="00043D8B" w:rsidP="00043D8B">
            <w:pPr>
              <w:spacing w:after="0"/>
            </w:pPr>
          </w:p>
        </w:tc>
        <w:tc>
          <w:tcPr>
            <w:tcW w:w="2903" w:type="dxa"/>
          </w:tcPr>
          <w:p w:rsidR="00043D8B" w:rsidRDefault="00043D8B" w:rsidP="00043D8B">
            <w:pPr>
              <w:spacing w:after="0"/>
            </w:pPr>
          </w:p>
        </w:tc>
        <w:tc>
          <w:tcPr>
            <w:tcW w:w="4677" w:type="dxa"/>
          </w:tcPr>
          <w:p w:rsidR="00043D8B" w:rsidRDefault="00043D8B" w:rsidP="00D15EE0">
            <w:pPr>
              <w:spacing w:after="0"/>
              <w:ind w:left="1"/>
              <w:jc w:val="both"/>
              <w:rPr>
                <w:rFonts w:ascii="Times New Roman" w:hAnsi="Times New Roman"/>
                <w:sz w:val="20"/>
              </w:rPr>
            </w:pPr>
            <w:r>
              <w:rPr>
                <w:rFonts w:ascii="Times New Roman" w:hAnsi="Times New Roman"/>
                <w:sz w:val="20"/>
              </w:rPr>
              <w:t>Návrh SMERNICE EURÓPSKEHO PARLAMENTU A RADY, ktorou sa mení smernica 2009/33/EÚ o podpore ekologických a energeticky úsporných vozidiel cestnej dopravy*</w:t>
            </w:r>
          </w:p>
          <w:p w:rsidR="00043D8B" w:rsidRPr="00864C86" w:rsidRDefault="00043D8B" w:rsidP="00D15EE0">
            <w:pPr>
              <w:spacing w:after="0"/>
              <w:ind w:left="1"/>
              <w:jc w:val="both"/>
              <w:rPr>
                <w:rFonts w:ascii="Times New Roman" w:hAnsi="Times New Roman"/>
                <w:sz w:val="20"/>
              </w:rPr>
            </w:pPr>
            <w:r>
              <w:rPr>
                <w:rFonts w:ascii="Times New Roman" w:hAnsi="Times New Roman"/>
                <w:sz w:val="20"/>
              </w:rPr>
              <w:t>COM(2017)653 final 2017/0291 (COD)  8. 11. 2018</w:t>
            </w:r>
          </w:p>
        </w:tc>
        <w:tc>
          <w:tcPr>
            <w:tcW w:w="1418" w:type="dxa"/>
          </w:tcPr>
          <w:p w:rsidR="00043D8B" w:rsidRPr="006458BF" w:rsidRDefault="00043D8B" w:rsidP="00043D8B">
            <w:pPr>
              <w:spacing w:after="0"/>
              <w:ind w:left="4" w:right="49"/>
              <w:rPr>
                <w:rFonts w:ascii="Times New Roman" w:hAnsi="Times New Roman"/>
                <w:b/>
                <w:sz w:val="20"/>
              </w:rPr>
            </w:pPr>
            <w:r w:rsidRPr="006458BF">
              <w:rPr>
                <w:rFonts w:ascii="Times New Roman" w:hAnsi="Times New Roman"/>
                <w:b/>
                <w:sz w:val="20"/>
              </w:rPr>
              <w:t>UVO SR</w:t>
            </w:r>
          </w:p>
          <w:p w:rsidR="00043D8B" w:rsidRPr="006458BF" w:rsidRDefault="00043D8B" w:rsidP="00043D8B">
            <w:pPr>
              <w:spacing w:after="0"/>
              <w:ind w:left="4" w:right="49"/>
              <w:rPr>
                <w:rFonts w:ascii="Times New Roman" w:hAnsi="Times New Roman"/>
                <w:b/>
                <w:sz w:val="20"/>
              </w:rPr>
            </w:pPr>
            <w:r w:rsidRPr="006458BF">
              <w:rPr>
                <w:rFonts w:ascii="Times New Roman" w:hAnsi="Times New Roman"/>
                <w:b/>
                <w:sz w:val="20"/>
              </w:rPr>
              <w:t>MH SR</w:t>
            </w:r>
          </w:p>
          <w:p w:rsidR="00043D8B" w:rsidRPr="006458BF" w:rsidRDefault="00043D8B" w:rsidP="00043D8B">
            <w:pPr>
              <w:spacing w:after="0"/>
              <w:ind w:left="4" w:right="49"/>
              <w:rPr>
                <w:rFonts w:ascii="Times New Roman" w:hAnsi="Times New Roman"/>
                <w:b/>
                <w:sz w:val="20"/>
              </w:rPr>
            </w:pPr>
            <w:r w:rsidRPr="006458BF">
              <w:rPr>
                <w:rFonts w:ascii="Times New Roman" w:hAnsi="Times New Roman"/>
                <w:b/>
                <w:sz w:val="20"/>
              </w:rPr>
              <w:t>MDaV SR</w:t>
            </w:r>
          </w:p>
          <w:p w:rsidR="00043D8B" w:rsidRPr="006458BF" w:rsidRDefault="00043D8B" w:rsidP="00043D8B">
            <w:pPr>
              <w:spacing w:after="0"/>
              <w:ind w:left="4" w:right="49"/>
              <w:rPr>
                <w:rFonts w:ascii="Times New Roman" w:hAnsi="Times New Roman"/>
                <w:b/>
                <w:sz w:val="20"/>
              </w:rPr>
            </w:pPr>
            <w:r w:rsidRPr="006458BF">
              <w:rPr>
                <w:rFonts w:ascii="Times New Roman" w:hAnsi="Times New Roman"/>
                <w:b/>
                <w:sz w:val="20"/>
              </w:rPr>
              <w:t>MŽP SR</w:t>
            </w:r>
          </w:p>
        </w:tc>
        <w:tc>
          <w:tcPr>
            <w:tcW w:w="5386" w:type="dxa"/>
          </w:tcPr>
          <w:p w:rsidR="00043D8B" w:rsidRPr="00085047" w:rsidRDefault="00043D8B" w:rsidP="00043D8B">
            <w:pPr>
              <w:spacing w:after="0"/>
              <w:ind w:left="1"/>
              <w:rPr>
                <w:rFonts w:ascii="Times New Roman" w:hAnsi="Times New Roman"/>
                <w:b/>
                <w:sz w:val="20"/>
                <w:u w:val="single"/>
              </w:rPr>
            </w:pPr>
            <w:r w:rsidRPr="00085047">
              <w:rPr>
                <w:rFonts w:ascii="Times New Roman" w:hAnsi="Times New Roman"/>
                <w:b/>
                <w:sz w:val="20"/>
                <w:u w:val="single"/>
              </w:rPr>
              <w:t>Stredná priorita</w:t>
            </w:r>
          </w:p>
          <w:p w:rsidR="00043D8B" w:rsidRPr="00750E07" w:rsidRDefault="00154E09" w:rsidP="00043D8B">
            <w:pPr>
              <w:spacing w:after="0"/>
              <w:jc w:val="both"/>
              <w:rPr>
                <w:rFonts w:ascii="Times New Roman" w:hAnsi="Times New Roman"/>
                <w:sz w:val="20"/>
              </w:rPr>
            </w:pPr>
            <w:r w:rsidRPr="00085047">
              <w:rPr>
                <w:rFonts w:ascii="Times New Roman" w:hAnsi="Times New Roman"/>
                <w:sz w:val="20"/>
              </w:rPr>
              <w:t>SR pozitívne vníma cieľ návrhu smernice, ktorým je posilniť trhové zavádzanie ekologických vozidiel v rámci verejného obstarávania a tak prispieť k znižovaniu celkových emisií z dopravy a ku konkurencieschopnosti a rastu v odvetví dopravy.</w:t>
            </w:r>
            <w:r w:rsidRPr="00154E09">
              <w:rPr>
                <w:rFonts w:ascii="Times New Roman" w:hAnsi="Times New Roman"/>
                <w:sz w:val="20"/>
              </w:rPr>
              <w:t xml:space="preserve"> Na druhej strane je však potrebné akcentovať, že zavedenie navrhovaných kvót predpokladá dopad na rozpočty verejnej správy, a to či už na štátny alebo na rozpočty samospráv. Tieto predpokladané dopady je potrebné analyticky spracovať na základe dostupných dát a odhadov vývoja. Z tohto dôvodu je preto potrebné naďalej apelovať na vytvorenie finančných zdrojov a mechanizmov na úrovni EÚ a SR, ktoré budú vytvorené na účely spolufinancovania cieľov smernice.</w:t>
            </w:r>
          </w:p>
        </w:tc>
      </w:tr>
      <w:tr w:rsidR="00043D8B" w:rsidTr="007864C8">
        <w:trPr>
          <w:trHeight w:val="1620"/>
        </w:trPr>
        <w:tc>
          <w:tcPr>
            <w:tcW w:w="642" w:type="dxa"/>
          </w:tcPr>
          <w:p w:rsidR="00043D8B" w:rsidRDefault="00043D8B" w:rsidP="00043D8B">
            <w:pPr>
              <w:spacing w:after="0"/>
            </w:pPr>
            <w:r>
              <w:rPr>
                <w:rFonts w:ascii="Times New Roman" w:hAnsi="Times New Roman"/>
                <w:sz w:val="20"/>
              </w:rPr>
              <w:t>16.</w:t>
            </w:r>
            <w:r>
              <w:rPr>
                <w:rFonts w:ascii="Arial" w:hAnsi="Arial" w:cs="Arial"/>
                <w:sz w:val="20"/>
              </w:rPr>
              <w:t xml:space="preserve"> </w:t>
            </w:r>
            <w:r>
              <w:rPr>
                <w:rFonts w:ascii="Times New Roman" w:hAnsi="Times New Roman"/>
                <w:sz w:val="20"/>
              </w:rPr>
              <w:t xml:space="preserve"> </w:t>
            </w:r>
          </w:p>
        </w:tc>
        <w:tc>
          <w:tcPr>
            <w:tcW w:w="2903" w:type="dxa"/>
          </w:tcPr>
          <w:p w:rsidR="00043D8B" w:rsidRDefault="00043D8B" w:rsidP="00043D8B">
            <w:pPr>
              <w:spacing w:after="0"/>
              <w:ind w:left="1"/>
            </w:pPr>
            <w:r>
              <w:rPr>
                <w:rFonts w:ascii="Times New Roman" w:hAnsi="Times New Roman"/>
                <w:sz w:val="20"/>
              </w:rPr>
              <w:t xml:space="preserve">Spoločné pravidlá pre vnútorný trh so zemným plynom: plynovody do tretích krajín a z nich </w:t>
            </w:r>
          </w:p>
        </w:tc>
        <w:tc>
          <w:tcPr>
            <w:tcW w:w="4677" w:type="dxa"/>
          </w:tcPr>
          <w:p w:rsidR="00043D8B" w:rsidRDefault="00043D8B" w:rsidP="00D15EE0">
            <w:pPr>
              <w:spacing w:after="0"/>
              <w:ind w:left="1"/>
              <w:jc w:val="both"/>
            </w:pPr>
            <w:r>
              <w:rPr>
                <w:rFonts w:ascii="Times New Roman" w:hAnsi="Times New Roman"/>
                <w:sz w:val="20"/>
              </w:rPr>
              <w:t xml:space="preserve">Návrh SMERNICE EURÓPSKEHO PARLAMENTU A RADY, ktorou sa mení smernica 2009/73/ES o spoločných pravidlách pre vnútorný trh so zemným plynom** COM(2017)660 final </w:t>
            </w:r>
            <w:r>
              <w:t xml:space="preserve"> </w:t>
            </w:r>
            <w:r>
              <w:rPr>
                <w:rFonts w:ascii="Times New Roman" w:hAnsi="Times New Roman"/>
                <w:sz w:val="20"/>
              </w:rPr>
              <w:t>2017/0294 (COD)  8. 11.2017</w:t>
            </w:r>
          </w:p>
        </w:tc>
        <w:tc>
          <w:tcPr>
            <w:tcW w:w="1418" w:type="dxa"/>
          </w:tcPr>
          <w:p w:rsidR="00043D8B" w:rsidRPr="006458BF" w:rsidRDefault="00043D8B" w:rsidP="00043D8B">
            <w:pPr>
              <w:spacing w:after="0"/>
              <w:ind w:left="4" w:right="49"/>
              <w:rPr>
                <w:rFonts w:ascii="Times New Roman" w:hAnsi="Times New Roman"/>
                <w:b/>
                <w:sz w:val="20"/>
              </w:rPr>
            </w:pPr>
            <w:r w:rsidRPr="006458BF">
              <w:rPr>
                <w:rFonts w:ascii="Times New Roman" w:hAnsi="Times New Roman"/>
                <w:b/>
                <w:sz w:val="20"/>
              </w:rPr>
              <w:t>MH SR</w:t>
            </w:r>
          </w:p>
          <w:p w:rsidR="00043D8B" w:rsidRPr="006458BF" w:rsidRDefault="00043D8B" w:rsidP="00043D8B">
            <w:pPr>
              <w:spacing w:after="0"/>
              <w:ind w:left="4" w:right="49"/>
              <w:rPr>
                <w:rFonts w:ascii="Times New Roman" w:hAnsi="Times New Roman"/>
                <w:b/>
                <w:sz w:val="20"/>
              </w:rPr>
            </w:pPr>
            <w:r>
              <w:rPr>
                <w:rFonts w:ascii="Times New Roman" w:hAnsi="Times New Roman"/>
                <w:b/>
                <w:sz w:val="20"/>
              </w:rPr>
              <w:t>MZVEZ SR</w:t>
            </w:r>
          </w:p>
        </w:tc>
        <w:tc>
          <w:tcPr>
            <w:tcW w:w="5386" w:type="dxa"/>
          </w:tcPr>
          <w:p w:rsidR="00043D8B" w:rsidRPr="00864C86" w:rsidRDefault="00043D8B" w:rsidP="00043D8B">
            <w:pPr>
              <w:spacing w:after="0"/>
              <w:rPr>
                <w:rFonts w:ascii="Times New Roman" w:hAnsi="Times New Roman"/>
                <w:b/>
                <w:sz w:val="20"/>
                <w:u w:val="single"/>
              </w:rPr>
            </w:pPr>
            <w:r w:rsidRPr="00864C86">
              <w:rPr>
                <w:rFonts w:ascii="Times New Roman" w:hAnsi="Times New Roman"/>
                <w:b/>
                <w:sz w:val="20"/>
                <w:u w:val="single"/>
              </w:rPr>
              <w:t>Vysoká  priorita</w:t>
            </w:r>
          </w:p>
          <w:p w:rsidR="00043D8B" w:rsidRPr="00A76153" w:rsidRDefault="00043D8B" w:rsidP="00A76153">
            <w:pPr>
              <w:spacing w:after="0" w:line="240" w:lineRule="auto"/>
              <w:jc w:val="both"/>
              <w:rPr>
                <w:rFonts w:ascii="Times New Roman" w:hAnsi="Times New Roman"/>
                <w:sz w:val="20"/>
              </w:rPr>
            </w:pPr>
            <w:r>
              <w:rPr>
                <w:rFonts w:ascii="Times New Roman" w:hAnsi="Times New Roman"/>
                <w:sz w:val="20"/>
              </w:rPr>
              <w:t>SR podporuje ďalšiu diskusiu o návrhu a očakáva, že počas RO PRES bude diskusia pokračovať na základe REV 1, vypracovanej ešte počas BG PRES.</w:t>
            </w:r>
            <w:r w:rsidRPr="00A76153">
              <w:rPr>
                <w:rFonts w:ascii="Times New Roman" w:hAnsi="Times New Roman"/>
                <w:sz w:val="20"/>
              </w:rPr>
              <w:t xml:space="preserve"> </w:t>
            </w:r>
          </w:p>
          <w:p w:rsidR="00043D8B" w:rsidRDefault="00043D8B" w:rsidP="00043D8B">
            <w:pPr>
              <w:pStyle w:val="Textkomentra"/>
              <w:spacing w:after="0"/>
            </w:pPr>
            <w:r>
              <w:rPr>
                <w:rStyle w:val="Odkaznakomentr"/>
              </w:rPr>
              <w:t/>
            </w:r>
          </w:p>
        </w:tc>
      </w:tr>
      <w:tr w:rsidR="00043D8B" w:rsidTr="007864C8">
        <w:trPr>
          <w:trHeight w:val="1624"/>
        </w:trPr>
        <w:tc>
          <w:tcPr>
            <w:tcW w:w="642" w:type="dxa"/>
          </w:tcPr>
          <w:p w:rsidR="00043D8B" w:rsidRDefault="00043D8B" w:rsidP="00043D8B">
            <w:pPr>
              <w:spacing w:after="0"/>
            </w:pPr>
            <w:r>
              <w:rPr>
                <w:rFonts w:ascii="Times New Roman" w:hAnsi="Times New Roman"/>
                <w:sz w:val="20"/>
              </w:rPr>
              <w:t>17.</w:t>
            </w:r>
            <w:r>
              <w:rPr>
                <w:rFonts w:ascii="Arial" w:hAnsi="Arial" w:cs="Arial"/>
                <w:sz w:val="20"/>
              </w:rPr>
              <w:t xml:space="preserve"> </w:t>
            </w:r>
            <w:r>
              <w:rPr>
                <w:rFonts w:ascii="Times New Roman" w:hAnsi="Times New Roman"/>
                <w:sz w:val="20"/>
              </w:rPr>
              <w:t xml:space="preserve"> </w:t>
            </w:r>
          </w:p>
        </w:tc>
        <w:tc>
          <w:tcPr>
            <w:tcW w:w="2903" w:type="dxa"/>
          </w:tcPr>
          <w:p w:rsidR="00043D8B" w:rsidRDefault="00043D8B" w:rsidP="00043D8B">
            <w:pPr>
              <w:spacing w:after="0"/>
              <w:ind w:left="1"/>
            </w:pPr>
            <w:r>
              <w:rPr>
                <w:rFonts w:ascii="Times New Roman" w:hAnsi="Times New Roman"/>
                <w:sz w:val="20"/>
              </w:rPr>
              <w:t xml:space="preserve">Balík predpisov v oblasti čistej energie  </w:t>
            </w:r>
          </w:p>
        </w:tc>
        <w:tc>
          <w:tcPr>
            <w:tcW w:w="4677" w:type="dxa"/>
          </w:tcPr>
          <w:p w:rsidR="00043D8B" w:rsidRDefault="00043D8B" w:rsidP="00D15EE0">
            <w:pPr>
              <w:spacing w:after="0"/>
              <w:ind w:left="1"/>
              <w:jc w:val="both"/>
            </w:pPr>
            <w:r>
              <w:rPr>
                <w:rFonts w:ascii="Times New Roman" w:hAnsi="Times New Roman"/>
                <w:sz w:val="20"/>
              </w:rPr>
              <w:t xml:space="preserve">Návrh NARIADENIA EURÓPSKEHO PARLAMENTU A RADY o pripravenosti na riziká v sektore elektrickej energie, ktorým sa zrušuje smernica 2005/89/ES* COM(2016)862 final 2016/0377 (COD)  </w:t>
            </w:r>
          </w:p>
          <w:p w:rsidR="00043D8B" w:rsidRDefault="00043D8B" w:rsidP="00D15EE0">
            <w:pPr>
              <w:spacing w:after="0"/>
              <w:ind w:left="1"/>
              <w:jc w:val="both"/>
            </w:pPr>
            <w:r>
              <w:rPr>
                <w:rFonts w:ascii="Times New Roman" w:hAnsi="Times New Roman"/>
                <w:sz w:val="20"/>
              </w:rPr>
              <w:t>30. 11. 2016</w:t>
            </w:r>
          </w:p>
        </w:tc>
        <w:tc>
          <w:tcPr>
            <w:tcW w:w="1418" w:type="dxa"/>
          </w:tcPr>
          <w:p w:rsidR="00043D8B" w:rsidRPr="006458BF" w:rsidRDefault="00043D8B" w:rsidP="00043D8B">
            <w:pPr>
              <w:spacing w:after="0"/>
              <w:ind w:left="4" w:right="49"/>
              <w:rPr>
                <w:rFonts w:ascii="Times New Roman" w:hAnsi="Times New Roman"/>
                <w:b/>
                <w:sz w:val="20"/>
              </w:rPr>
            </w:pPr>
            <w:r w:rsidRPr="006458BF">
              <w:rPr>
                <w:rFonts w:ascii="Times New Roman" w:hAnsi="Times New Roman"/>
                <w:b/>
                <w:sz w:val="20"/>
              </w:rPr>
              <w:t>MH SR</w:t>
            </w:r>
          </w:p>
        </w:tc>
        <w:tc>
          <w:tcPr>
            <w:tcW w:w="5386" w:type="dxa"/>
          </w:tcPr>
          <w:p w:rsidR="00043D8B" w:rsidRDefault="00043D8B" w:rsidP="00043D8B">
            <w:pPr>
              <w:spacing w:after="0"/>
              <w:rPr>
                <w:rFonts w:ascii="Times New Roman" w:hAnsi="Times New Roman"/>
                <w:sz w:val="20"/>
              </w:rPr>
            </w:pPr>
            <w:r>
              <w:rPr>
                <w:rFonts w:ascii="Times New Roman" w:hAnsi="Times New Roman"/>
                <w:b/>
                <w:sz w:val="20"/>
                <w:u w:val="single"/>
              </w:rPr>
              <w:t xml:space="preserve">Nízka </w:t>
            </w:r>
            <w:r w:rsidRPr="00864C86">
              <w:rPr>
                <w:rFonts w:ascii="Times New Roman" w:hAnsi="Times New Roman"/>
                <w:b/>
                <w:sz w:val="20"/>
                <w:u w:val="single"/>
              </w:rPr>
              <w:t>priorita</w:t>
            </w:r>
            <w:r>
              <w:rPr>
                <w:rFonts w:ascii="Times New Roman" w:hAnsi="Times New Roman"/>
                <w:sz w:val="20"/>
              </w:rPr>
              <w:t xml:space="preserve"> </w:t>
            </w:r>
          </w:p>
          <w:p w:rsidR="00043D8B" w:rsidRPr="00043D8B" w:rsidRDefault="00043D8B" w:rsidP="00A76153">
            <w:pPr>
              <w:spacing w:after="0"/>
              <w:jc w:val="both"/>
              <w:rPr>
                <w:rFonts w:ascii="Times New Roman" w:hAnsi="Times New Roman"/>
                <w:color w:val="auto"/>
                <w:sz w:val="24"/>
                <w:szCs w:val="24"/>
              </w:rPr>
            </w:pPr>
            <w:r>
              <w:rPr>
                <w:rFonts w:ascii="Times New Roman" w:hAnsi="Times New Roman"/>
                <w:sz w:val="20"/>
              </w:rPr>
              <w:t xml:space="preserve">Návrh nariadenia zavádza spoločné pravidlá spolupráce medzi členskými štátmi zamerané na predchádzanie krízovým situáciám, prípravu na ne a samotné riadenie krízových situácií v elektroenergetike v duchu solidarity a transparentnosti v plnom súlade s pravidlami vnútorného trhu s elektrinou. </w:t>
            </w:r>
            <w:r>
              <w:rPr>
                <w:rFonts w:ascii="Times New Roman" w:hAnsi="Times New Roman"/>
                <w:sz w:val="20"/>
                <w:u w:val="single"/>
              </w:rPr>
              <w:t>Materiál sa nachádza vo finálnej fáze rokovaní</w:t>
            </w:r>
            <w:r>
              <w:rPr>
                <w:rFonts w:ascii="Times New Roman" w:hAnsi="Times New Roman"/>
                <w:sz w:val="20"/>
              </w:rPr>
              <w:t xml:space="preserve">. Dohoda s EP bola dosiahnutá počas AT PRES. </w:t>
            </w:r>
            <w:r w:rsidRPr="00043D8B">
              <w:rPr>
                <w:rFonts w:ascii="Times New Roman" w:hAnsi="Times New Roman"/>
                <w:color w:val="auto"/>
                <w:sz w:val="24"/>
                <w:szCs w:val="24"/>
              </w:rPr>
              <w:t xml:space="preserve"> </w:t>
            </w:r>
          </w:p>
          <w:p w:rsidR="00043D8B" w:rsidRDefault="00043D8B" w:rsidP="00043D8B">
            <w:pPr>
              <w:pStyle w:val="Textkomentra"/>
              <w:spacing w:after="0"/>
            </w:pPr>
            <w:r>
              <w:rPr>
                <w:rStyle w:val="Odkaznakomentr"/>
              </w:rPr>
              <w:t/>
            </w:r>
          </w:p>
        </w:tc>
      </w:tr>
      <w:tr w:rsidR="00043D8B" w:rsidTr="007864C8">
        <w:trPr>
          <w:trHeight w:val="1748"/>
        </w:trPr>
        <w:tc>
          <w:tcPr>
            <w:tcW w:w="642" w:type="dxa"/>
          </w:tcPr>
          <w:p w:rsidR="00043D8B" w:rsidRDefault="00043D8B" w:rsidP="00043D8B">
            <w:pPr>
              <w:spacing w:after="0"/>
              <w:ind w:right="13921"/>
            </w:pPr>
          </w:p>
        </w:tc>
        <w:tc>
          <w:tcPr>
            <w:tcW w:w="2903" w:type="dxa"/>
          </w:tcPr>
          <w:p w:rsidR="00043D8B" w:rsidRDefault="00043D8B" w:rsidP="00043D8B">
            <w:pPr>
              <w:spacing w:after="0"/>
              <w:ind w:right="13921"/>
            </w:pPr>
          </w:p>
        </w:tc>
        <w:tc>
          <w:tcPr>
            <w:tcW w:w="4677" w:type="dxa"/>
          </w:tcPr>
          <w:p w:rsidR="00043D8B" w:rsidRDefault="00043D8B" w:rsidP="00D15EE0">
            <w:pPr>
              <w:spacing w:after="0"/>
              <w:ind w:left="1"/>
              <w:jc w:val="both"/>
            </w:pPr>
            <w:r>
              <w:rPr>
                <w:rFonts w:ascii="Times New Roman" w:hAnsi="Times New Roman"/>
                <w:sz w:val="20"/>
              </w:rPr>
              <w:t>Návrh NARIADENIA EURÓPSKEHO PARLAMENTU A RADY, ktorým sa zriaďuje Agentúra Európskej únie pre spoluprácu regulačných orgánov v oblasti energetiky (prepracované znenie)* COM(2016)863 final 2016/0378 (COD)  30. 11. 2016</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MH SR</w:t>
            </w:r>
          </w:p>
        </w:tc>
        <w:tc>
          <w:tcPr>
            <w:tcW w:w="5386" w:type="dxa"/>
          </w:tcPr>
          <w:p w:rsidR="00043D8B" w:rsidRDefault="00043D8B" w:rsidP="00D15EE0">
            <w:pPr>
              <w:spacing w:after="0"/>
              <w:jc w:val="both"/>
              <w:rPr>
                <w:rFonts w:ascii="Times New Roman" w:hAnsi="Times New Roman"/>
                <w:sz w:val="20"/>
              </w:rPr>
            </w:pPr>
            <w:r>
              <w:rPr>
                <w:rFonts w:ascii="Times New Roman" w:hAnsi="Times New Roman"/>
                <w:b/>
                <w:sz w:val="20"/>
                <w:u w:val="single"/>
              </w:rPr>
              <w:t xml:space="preserve">Nízka </w:t>
            </w:r>
            <w:r w:rsidRPr="00864C86">
              <w:rPr>
                <w:rFonts w:ascii="Times New Roman" w:hAnsi="Times New Roman"/>
                <w:b/>
                <w:sz w:val="20"/>
                <w:u w:val="single"/>
              </w:rPr>
              <w:t>priorita</w:t>
            </w:r>
            <w:r>
              <w:rPr>
                <w:rFonts w:ascii="Times New Roman" w:hAnsi="Times New Roman"/>
                <w:sz w:val="20"/>
              </w:rPr>
              <w:t xml:space="preserve"> </w:t>
            </w:r>
          </w:p>
          <w:p w:rsidR="00043D8B" w:rsidRPr="00043D8B" w:rsidRDefault="00043D8B" w:rsidP="00D15EE0">
            <w:pPr>
              <w:spacing w:after="0"/>
              <w:jc w:val="both"/>
              <w:rPr>
                <w:rFonts w:ascii="Times New Roman" w:hAnsi="Times New Roman"/>
                <w:color w:val="auto"/>
                <w:sz w:val="24"/>
                <w:szCs w:val="24"/>
              </w:rPr>
            </w:pPr>
            <w:r>
              <w:rPr>
                <w:rFonts w:ascii="Times New Roman" w:hAnsi="Times New Roman"/>
                <w:sz w:val="20"/>
              </w:rPr>
              <w:t xml:space="preserve">Nariadenie reviduje nariadenie 713/2009 o zriadení Agentúry pre spoluprácu regulačných orgánov v oblasti energetiky (Agentúra). Nanovo upravuje právomoci a úlohy Agentúry vzhľadom na nové podmienky vyplývajúce zo zmeny fungovania trhu s elektrinou. </w:t>
            </w:r>
            <w:r>
              <w:rPr>
                <w:rFonts w:ascii="Times New Roman" w:hAnsi="Times New Roman"/>
                <w:sz w:val="20"/>
                <w:u w:val="single"/>
              </w:rPr>
              <w:t>Materiál sa nachádza vo finálnej fáze rokovaní</w:t>
            </w:r>
            <w:r>
              <w:rPr>
                <w:rFonts w:ascii="Times New Roman" w:hAnsi="Times New Roman"/>
                <w:sz w:val="20"/>
              </w:rPr>
              <w:t>. Dohoda s EP bola dosiahnutá počas AT PRES.</w:t>
            </w:r>
            <w:r w:rsidRPr="00043D8B">
              <w:rPr>
                <w:rFonts w:ascii="Times New Roman" w:hAnsi="Times New Roman"/>
                <w:color w:val="auto"/>
                <w:sz w:val="24"/>
                <w:szCs w:val="24"/>
              </w:rPr>
              <w:t xml:space="preserve"> </w:t>
            </w:r>
          </w:p>
          <w:p w:rsidR="00043D8B" w:rsidRDefault="00043D8B" w:rsidP="00D15EE0">
            <w:pPr>
              <w:pStyle w:val="Textkomentra"/>
              <w:spacing w:after="0"/>
              <w:jc w:val="both"/>
            </w:pPr>
            <w:r>
              <w:rPr>
                <w:rStyle w:val="Odkaznakomentr"/>
              </w:rPr>
              <w:t/>
            </w:r>
          </w:p>
        </w:tc>
      </w:tr>
      <w:tr w:rsidR="00043D8B" w:rsidTr="007864C8">
        <w:tc>
          <w:tcPr>
            <w:tcW w:w="642" w:type="dxa"/>
          </w:tcPr>
          <w:p w:rsidR="00043D8B" w:rsidRDefault="00043D8B" w:rsidP="00043D8B">
            <w:pPr>
              <w:spacing w:after="0"/>
              <w:ind w:right="13921"/>
            </w:pPr>
          </w:p>
        </w:tc>
        <w:tc>
          <w:tcPr>
            <w:tcW w:w="2903" w:type="dxa"/>
          </w:tcPr>
          <w:p w:rsidR="00043D8B" w:rsidRDefault="00043D8B" w:rsidP="00043D8B">
            <w:pPr>
              <w:spacing w:after="0"/>
              <w:ind w:right="13921"/>
            </w:pPr>
          </w:p>
        </w:tc>
        <w:tc>
          <w:tcPr>
            <w:tcW w:w="4677" w:type="dxa"/>
          </w:tcPr>
          <w:p w:rsidR="00043D8B" w:rsidRDefault="00043D8B" w:rsidP="00D15EE0">
            <w:pPr>
              <w:spacing w:after="0"/>
              <w:ind w:left="1"/>
              <w:jc w:val="both"/>
            </w:pPr>
            <w:r>
              <w:rPr>
                <w:rFonts w:ascii="Times New Roman" w:hAnsi="Times New Roman"/>
                <w:sz w:val="20"/>
              </w:rPr>
              <w:t>Návrh NARIADENIA EURÓPSKEHO PARLAMENTU A RADY o vnútornom trhu s elektrinou (prepracované znenie)* COM(2016)861 final 2016/0379 (COD)  30. 11. 2016</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MH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MŽP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MPaRV SR</w:t>
            </w:r>
          </w:p>
          <w:p w:rsidR="00043D8B" w:rsidRPr="006458BF" w:rsidRDefault="00043D8B" w:rsidP="00D15EE0">
            <w:pPr>
              <w:spacing w:after="0"/>
              <w:ind w:left="4" w:right="49"/>
              <w:jc w:val="both"/>
              <w:rPr>
                <w:rFonts w:ascii="Times New Roman" w:hAnsi="Times New Roman"/>
                <w:b/>
                <w:sz w:val="20"/>
              </w:rPr>
            </w:pPr>
          </w:p>
        </w:tc>
        <w:tc>
          <w:tcPr>
            <w:tcW w:w="5386" w:type="dxa"/>
          </w:tcPr>
          <w:p w:rsidR="00043D8B" w:rsidRDefault="00043D8B" w:rsidP="00D15EE0">
            <w:pPr>
              <w:spacing w:after="0"/>
              <w:jc w:val="both"/>
              <w:rPr>
                <w:rFonts w:ascii="Times New Roman" w:hAnsi="Times New Roman"/>
                <w:sz w:val="20"/>
              </w:rPr>
            </w:pPr>
            <w:r>
              <w:rPr>
                <w:rFonts w:ascii="Times New Roman" w:hAnsi="Times New Roman"/>
                <w:b/>
                <w:sz w:val="20"/>
                <w:u w:val="single"/>
              </w:rPr>
              <w:t xml:space="preserve">Nízka </w:t>
            </w:r>
            <w:r w:rsidRPr="00864C86">
              <w:rPr>
                <w:rFonts w:ascii="Times New Roman" w:hAnsi="Times New Roman"/>
                <w:b/>
                <w:sz w:val="20"/>
                <w:u w:val="single"/>
              </w:rPr>
              <w:t>priorita</w:t>
            </w:r>
            <w:r>
              <w:rPr>
                <w:rFonts w:ascii="Times New Roman" w:hAnsi="Times New Roman"/>
                <w:sz w:val="20"/>
              </w:rPr>
              <w:t xml:space="preserve"> </w:t>
            </w:r>
          </w:p>
          <w:p w:rsidR="00043D8B" w:rsidRPr="00864C86" w:rsidRDefault="00043D8B" w:rsidP="00D15EE0">
            <w:pPr>
              <w:spacing w:after="0"/>
              <w:jc w:val="both"/>
              <w:rPr>
                <w:rFonts w:ascii="Times New Roman" w:hAnsi="Times New Roman"/>
                <w:sz w:val="24"/>
                <w:szCs w:val="24"/>
              </w:rPr>
            </w:pPr>
            <w:r>
              <w:rPr>
                <w:rFonts w:ascii="Times New Roman" w:hAnsi="Times New Roman"/>
                <w:sz w:val="20"/>
              </w:rPr>
              <w:t>Nariadenie reviduje nariadenie 714/2009 o podmienkach prístupu do sústavy pre cezhraničné výmeny elektriny. Upravuje hlavné zásady fungovania veľkoobchodných trhov s elektrinou.</w:t>
            </w:r>
            <w:r>
              <w:rPr>
                <w:rFonts w:ascii="Times New Roman" w:hAnsi="Times New Roman"/>
                <w:b/>
                <w:sz w:val="20"/>
              </w:rPr>
              <w:t xml:space="preserve"> </w:t>
            </w:r>
            <w:r>
              <w:rPr>
                <w:rFonts w:ascii="Times New Roman" w:hAnsi="Times New Roman"/>
                <w:sz w:val="20"/>
                <w:u w:val="single"/>
              </w:rPr>
              <w:t>Materiál sa nachádza vo finálnej fáze rokovaní</w:t>
            </w:r>
          </w:p>
        </w:tc>
      </w:tr>
      <w:tr w:rsidR="00043D8B" w:rsidTr="007864C8">
        <w:trPr>
          <w:trHeight w:val="331"/>
        </w:trPr>
        <w:tc>
          <w:tcPr>
            <w:tcW w:w="642" w:type="dxa"/>
          </w:tcPr>
          <w:p w:rsidR="00043D8B" w:rsidRDefault="00043D8B" w:rsidP="00043D8B">
            <w:pPr>
              <w:spacing w:after="0"/>
              <w:ind w:right="13921"/>
            </w:pPr>
          </w:p>
        </w:tc>
        <w:tc>
          <w:tcPr>
            <w:tcW w:w="2903" w:type="dxa"/>
          </w:tcPr>
          <w:p w:rsidR="00043D8B" w:rsidRDefault="00043D8B" w:rsidP="00043D8B">
            <w:pPr>
              <w:spacing w:after="0"/>
              <w:ind w:right="13921"/>
            </w:pPr>
          </w:p>
        </w:tc>
        <w:tc>
          <w:tcPr>
            <w:tcW w:w="4677" w:type="dxa"/>
          </w:tcPr>
          <w:p w:rsidR="00043D8B" w:rsidRDefault="00043D8B" w:rsidP="00D15EE0">
            <w:pPr>
              <w:spacing w:after="0"/>
              <w:ind w:left="1"/>
              <w:jc w:val="both"/>
            </w:pPr>
            <w:r>
              <w:rPr>
                <w:rFonts w:ascii="Times New Roman" w:hAnsi="Times New Roman"/>
                <w:sz w:val="20"/>
              </w:rPr>
              <w:t>Návrh SMERNICE EURÓPSKEHO PARLAMENTU A RADY o spoločných pravidlách pre vnútorný trh s elektrinou (prepracované znenie)*</w:t>
            </w:r>
            <w:r>
              <w:rPr>
                <w:rFonts w:ascii="Times New Roman" w:hAnsi="Times New Roman"/>
                <w:b/>
                <w:sz w:val="20"/>
              </w:rPr>
              <w:t xml:space="preserve"> </w:t>
            </w:r>
            <w:r>
              <w:rPr>
                <w:rFonts w:ascii="Times New Roman" w:hAnsi="Times New Roman"/>
                <w:sz w:val="20"/>
              </w:rPr>
              <w:t>COM(2016)864 final 2016/0380 (COD)  30. 11. 2016</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MH SR</w:t>
            </w:r>
          </w:p>
        </w:tc>
        <w:tc>
          <w:tcPr>
            <w:tcW w:w="5386" w:type="dxa"/>
          </w:tcPr>
          <w:p w:rsidR="00043D8B" w:rsidRDefault="00043D8B" w:rsidP="00D15EE0">
            <w:pPr>
              <w:spacing w:after="0"/>
              <w:jc w:val="both"/>
              <w:rPr>
                <w:rFonts w:ascii="Times New Roman" w:hAnsi="Times New Roman"/>
                <w:sz w:val="20"/>
              </w:rPr>
            </w:pPr>
            <w:r>
              <w:rPr>
                <w:rFonts w:ascii="Times New Roman" w:hAnsi="Times New Roman"/>
                <w:b/>
                <w:sz w:val="20"/>
                <w:u w:val="single"/>
              </w:rPr>
              <w:t xml:space="preserve">Nízka </w:t>
            </w:r>
            <w:r w:rsidRPr="00864C86">
              <w:rPr>
                <w:rFonts w:ascii="Times New Roman" w:hAnsi="Times New Roman"/>
                <w:b/>
                <w:sz w:val="20"/>
                <w:u w:val="single"/>
              </w:rPr>
              <w:t>priorita</w:t>
            </w:r>
            <w:r>
              <w:rPr>
                <w:rFonts w:ascii="Times New Roman" w:hAnsi="Times New Roman"/>
                <w:sz w:val="20"/>
              </w:rPr>
              <w:t xml:space="preserve"> </w:t>
            </w:r>
          </w:p>
          <w:p w:rsidR="00043D8B" w:rsidRPr="00864C86" w:rsidRDefault="00043D8B" w:rsidP="00D15EE0">
            <w:pPr>
              <w:spacing w:after="0"/>
              <w:ind w:left="2"/>
              <w:jc w:val="both"/>
              <w:rPr>
                <w:rFonts w:ascii="Times New Roman" w:hAnsi="Times New Roman"/>
                <w:sz w:val="20"/>
              </w:rPr>
            </w:pPr>
            <w:r>
              <w:rPr>
                <w:rFonts w:ascii="Times New Roman" w:hAnsi="Times New Roman"/>
                <w:sz w:val="20"/>
              </w:rPr>
              <w:t xml:space="preserve">Smernica reviduje smernicu 72/2009 o spoločných pravidlách pre vnútorný trh s elektrinou, nanovo upravuje predmet a rozsah pôsobnosti smernice s dôrazom na centrálne postavenie spotrebiteľa na trhu, posilňuje už existujúce práva spotrebiteľov a zavádza nové práva, ktorých cieľom je zvýšiť ochranu spotrebiteľa. Predmetom smernice je aj cenová regulácia. </w:t>
            </w:r>
            <w:r>
              <w:rPr>
                <w:rFonts w:ascii="Times New Roman" w:hAnsi="Times New Roman"/>
                <w:sz w:val="20"/>
                <w:u w:val="single"/>
              </w:rPr>
              <w:t xml:space="preserve">Materiál sa nachádza vo finálnej fáze rokovaní. </w:t>
            </w:r>
            <w:r>
              <w:rPr>
                <w:rFonts w:ascii="Times New Roman" w:hAnsi="Times New Roman"/>
                <w:sz w:val="20"/>
              </w:rPr>
              <w:t>Dohoda s EP bola dosiahnutá počas AT PRES.</w:t>
            </w:r>
            <w:r w:rsidRPr="00043D8B">
              <w:rPr>
                <w:rFonts w:ascii="Times New Roman" w:hAnsi="Times New Roman"/>
                <w:color w:val="auto"/>
                <w:sz w:val="24"/>
                <w:szCs w:val="24"/>
              </w:rPr>
              <w:t xml:space="preserve"> </w:t>
            </w:r>
          </w:p>
          <w:p w:rsidR="00043D8B" w:rsidRDefault="00043D8B" w:rsidP="00D15EE0">
            <w:pPr>
              <w:pStyle w:val="Textkomentra"/>
              <w:spacing w:after="0"/>
              <w:jc w:val="both"/>
            </w:pPr>
            <w:r>
              <w:rPr>
                <w:rStyle w:val="Odkaznakomentr"/>
              </w:rPr>
              <w:t/>
            </w:r>
          </w:p>
        </w:tc>
      </w:tr>
      <w:tr w:rsidR="00043D8B" w:rsidTr="007864C8">
        <w:trPr>
          <w:trHeight w:val="1833"/>
        </w:trPr>
        <w:tc>
          <w:tcPr>
            <w:tcW w:w="642" w:type="dxa"/>
          </w:tcPr>
          <w:p w:rsidR="00043D8B" w:rsidRDefault="00043D8B" w:rsidP="00043D8B">
            <w:pPr>
              <w:spacing w:after="0"/>
            </w:pPr>
            <w:r>
              <w:rPr>
                <w:rFonts w:ascii="Times New Roman" w:hAnsi="Times New Roman"/>
                <w:sz w:val="20"/>
              </w:rPr>
              <w:t>18.</w:t>
            </w:r>
            <w:r>
              <w:rPr>
                <w:rFonts w:ascii="Arial" w:hAnsi="Arial" w:cs="Arial"/>
                <w:sz w:val="20"/>
              </w:rPr>
              <w:t xml:space="preserve"> </w:t>
            </w:r>
            <w:r>
              <w:rPr>
                <w:rFonts w:ascii="Times New Roman" w:hAnsi="Times New Roman"/>
                <w:sz w:val="20"/>
              </w:rPr>
              <w:t xml:space="preserve"> </w:t>
            </w:r>
          </w:p>
          <w:p w:rsidR="00043D8B" w:rsidRDefault="00043D8B" w:rsidP="00043D8B">
            <w:pPr>
              <w:spacing w:after="0"/>
            </w:pPr>
            <w:r>
              <w:rPr>
                <w:rFonts w:ascii="Times New Roman" w:hAnsi="Times New Roman"/>
                <w:sz w:val="20"/>
              </w:rPr>
              <w:t xml:space="preserve"> </w:t>
            </w:r>
          </w:p>
          <w:p w:rsidR="00043D8B" w:rsidRDefault="00043D8B" w:rsidP="00043D8B">
            <w:pPr>
              <w:spacing w:after="0"/>
            </w:pPr>
            <w:r>
              <w:rPr>
                <w:rFonts w:ascii="Times New Roman" w:hAnsi="Times New Roman"/>
                <w:sz w:val="20"/>
              </w:rPr>
              <w:t xml:space="preserve"> </w:t>
            </w:r>
          </w:p>
          <w:p w:rsidR="00043D8B" w:rsidRDefault="00043D8B" w:rsidP="00043D8B">
            <w:pPr>
              <w:spacing w:after="0"/>
              <w:jc w:val="right"/>
            </w:pPr>
            <w:r>
              <w:rPr>
                <w:rFonts w:ascii="Times New Roman" w:hAnsi="Times New Roman"/>
                <w:sz w:val="20"/>
              </w:rPr>
              <w:t xml:space="preserve"> </w:t>
            </w:r>
          </w:p>
        </w:tc>
        <w:tc>
          <w:tcPr>
            <w:tcW w:w="2903" w:type="dxa"/>
          </w:tcPr>
          <w:p w:rsidR="00043D8B" w:rsidRDefault="00043D8B" w:rsidP="00043D8B">
            <w:pPr>
              <w:spacing w:after="0"/>
              <w:ind w:left="1" w:right="78"/>
            </w:pPr>
            <w:r>
              <w:rPr>
                <w:rFonts w:ascii="Times New Roman" w:hAnsi="Times New Roman"/>
                <w:sz w:val="20"/>
              </w:rPr>
              <w:t>Balík Európa v pohybe</w:t>
            </w:r>
          </w:p>
          <w:p w:rsidR="00043D8B" w:rsidRDefault="00043D8B" w:rsidP="00043D8B">
            <w:pPr>
              <w:spacing w:after="0"/>
              <w:ind w:left="1"/>
            </w:pPr>
            <w:r>
              <w:rPr>
                <w:rFonts w:ascii="Times New Roman" w:hAnsi="Times New Roman"/>
                <w:color w:val="1F497D"/>
                <w:sz w:val="20"/>
              </w:rPr>
              <w:t xml:space="preserve"> </w:t>
            </w:r>
          </w:p>
        </w:tc>
        <w:tc>
          <w:tcPr>
            <w:tcW w:w="4677" w:type="dxa"/>
          </w:tcPr>
          <w:p w:rsidR="00043D8B" w:rsidRDefault="00043D8B" w:rsidP="00D15EE0">
            <w:pPr>
              <w:spacing w:after="0"/>
              <w:ind w:left="1"/>
              <w:jc w:val="both"/>
            </w:pPr>
            <w:r>
              <w:rPr>
                <w:rFonts w:ascii="Times New Roman" w:hAnsi="Times New Roman"/>
                <w:sz w:val="20"/>
              </w:rPr>
              <w:t>Návrh NARIADENIA EURÓPSKEHO PARLAMENTU A RADY o zefektívnení opatrení na urýchlenie realizácie transeurópskej dopravnej siete** COM (2018) 277 final 2018/0138 COD  17. 5. 2018</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MDaV SR</w:t>
            </w:r>
          </w:p>
        </w:tc>
        <w:tc>
          <w:tcPr>
            <w:tcW w:w="5386" w:type="dxa"/>
          </w:tcPr>
          <w:p w:rsidR="00043D8B" w:rsidRPr="005D6916" w:rsidRDefault="00043D8B" w:rsidP="00D15EE0">
            <w:pPr>
              <w:spacing w:after="0"/>
              <w:jc w:val="both"/>
              <w:rPr>
                <w:rFonts w:ascii="Times New Roman" w:hAnsi="Times New Roman"/>
                <w:b/>
                <w:color w:val="auto"/>
                <w:sz w:val="20"/>
                <w:u w:val="single"/>
              </w:rPr>
            </w:pPr>
            <w:r w:rsidRPr="005D6916">
              <w:rPr>
                <w:rFonts w:ascii="Times New Roman" w:hAnsi="Times New Roman"/>
                <w:b/>
                <w:color w:val="auto"/>
                <w:sz w:val="20"/>
                <w:u w:val="single"/>
              </w:rPr>
              <w:t>Vysoká priorita</w:t>
            </w:r>
          </w:p>
          <w:p w:rsidR="00043D8B" w:rsidRPr="00043D8B" w:rsidRDefault="00043D8B" w:rsidP="00D15EE0">
            <w:pPr>
              <w:pStyle w:val="Bezriadkovania"/>
              <w:jc w:val="both"/>
              <w:rPr>
                <w:sz w:val="20"/>
              </w:rPr>
            </w:pPr>
            <w:r w:rsidRPr="00043D8B">
              <w:rPr>
                <w:rFonts w:ascii="Times New Roman" w:hAnsi="Times New Roman"/>
                <w:sz w:val="20"/>
                <w:lang w:eastAsia="sk-SK"/>
              </w:rPr>
              <w:t>Zámerom návrhu nariadenia je obmedziť oneskorenia, ktoré sa vyskytujú pri vykonávaní dopravných projektov na základnej transeurópskej dopravnej sieti z dôvodu zložitých administratívnych postupov a regulačnou neistotou. SR všeobecne podporuje ciele návrhu, je však potrebné špecifikovať rozsah pôsobnosti návrhu. Existujú tiež pochybnosti o vhodnom výbere účinného nástroja (zmena nariadenia na smernicu)</w:t>
            </w:r>
          </w:p>
        </w:tc>
      </w:tr>
      <w:tr w:rsidR="00043D8B" w:rsidTr="007864C8">
        <w:tc>
          <w:tcPr>
            <w:tcW w:w="642" w:type="dxa"/>
          </w:tcPr>
          <w:p w:rsidR="00043D8B" w:rsidRDefault="00043D8B" w:rsidP="00043D8B">
            <w:pPr>
              <w:spacing w:after="0"/>
            </w:pPr>
          </w:p>
        </w:tc>
        <w:tc>
          <w:tcPr>
            <w:tcW w:w="2903" w:type="dxa"/>
          </w:tcPr>
          <w:p w:rsidR="00043D8B" w:rsidRDefault="00043D8B" w:rsidP="00043D8B">
            <w:pPr>
              <w:spacing w:after="0"/>
            </w:pPr>
          </w:p>
        </w:tc>
        <w:tc>
          <w:tcPr>
            <w:tcW w:w="4677" w:type="dxa"/>
          </w:tcPr>
          <w:p w:rsidR="00043D8B" w:rsidRPr="00C47712" w:rsidRDefault="00043D8B" w:rsidP="00D15EE0">
            <w:pPr>
              <w:spacing w:after="0"/>
              <w:ind w:left="4" w:right="49"/>
              <w:jc w:val="both"/>
              <w:rPr>
                <w:rFonts w:ascii="Times New Roman" w:hAnsi="Times New Roman"/>
                <w:sz w:val="20"/>
              </w:rPr>
            </w:pPr>
            <w:r>
              <w:rPr>
                <w:rFonts w:ascii="Times New Roman" w:hAnsi="Times New Roman"/>
                <w:sz w:val="20"/>
              </w:rPr>
              <w:t xml:space="preserve">Návrh NARIADENIA EURÓPSKEHO PARLAMENTU A RADY, ktorým sa zriaďuje prostredie </w:t>
            </w:r>
          </w:p>
          <w:p w:rsidR="00043D8B" w:rsidRPr="00C47712" w:rsidRDefault="00043D8B" w:rsidP="00D15EE0">
            <w:pPr>
              <w:spacing w:after="0"/>
              <w:ind w:left="4" w:right="49"/>
              <w:jc w:val="both"/>
              <w:rPr>
                <w:rFonts w:ascii="Times New Roman" w:hAnsi="Times New Roman"/>
                <w:sz w:val="20"/>
              </w:rPr>
            </w:pPr>
            <w:r>
              <w:rPr>
                <w:rFonts w:ascii="Times New Roman" w:hAnsi="Times New Roman"/>
                <w:sz w:val="20"/>
              </w:rPr>
              <w:t xml:space="preserve">jednotnej európskej námornej platformy a ktorým sa zrušuje smernica 2010/65/EÚ** COM (2018) 278 final </w:t>
            </w:r>
          </w:p>
          <w:p w:rsidR="00043D8B" w:rsidRPr="00C47712" w:rsidRDefault="00043D8B" w:rsidP="00D15EE0">
            <w:pPr>
              <w:spacing w:after="0"/>
              <w:ind w:left="4" w:right="49"/>
              <w:jc w:val="both"/>
              <w:rPr>
                <w:rFonts w:ascii="Times New Roman" w:hAnsi="Times New Roman"/>
                <w:sz w:val="20"/>
              </w:rPr>
            </w:pPr>
            <w:r>
              <w:rPr>
                <w:rFonts w:ascii="Times New Roman" w:hAnsi="Times New Roman"/>
                <w:sz w:val="20"/>
              </w:rPr>
              <w:t>2018/0139 COD  17. 5. 2018</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MDaV</w:t>
            </w:r>
            <w:r w:rsidR="00F64F76">
              <w:rPr>
                <w:rFonts w:ascii="Times New Roman" w:hAnsi="Times New Roman"/>
                <w:b/>
                <w:sz w:val="20"/>
              </w:rPr>
              <w:t>R</w:t>
            </w:r>
            <w:r w:rsidRPr="006458BF">
              <w:rPr>
                <w:rFonts w:ascii="Times New Roman" w:hAnsi="Times New Roman"/>
                <w:b/>
                <w:sz w:val="20"/>
              </w:rPr>
              <w:t xml:space="preserve"> SR</w:t>
            </w:r>
          </w:p>
        </w:tc>
        <w:tc>
          <w:tcPr>
            <w:tcW w:w="5386" w:type="dxa"/>
          </w:tcPr>
          <w:p w:rsidR="00043D8B" w:rsidRDefault="00043D8B" w:rsidP="00D15EE0">
            <w:pPr>
              <w:spacing w:after="0"/>
              <w:jc w:val="both"/>
              <w:rPr>
                <w:rFonts w:ascii="Times New Roman" w:hAnsi="Times New Roman"/>
                <w:b/>
                <w:sz w:val="20"/>
                <w:u w:val="single"/>
              </w:rPr>
            </w:pPr>
            <w:r w:rsidRPr="00774C77">
              <w:rPr>
                <w:rFonts w:ascii="Times New Roman" w:hAnsi="Times New Roman"/>
                <w:b/>
                <w:color w:val="auto"/>
                <w:sz w:val="20"/>
                <w:u w:val="single"/>
              </w:rPr>
              <w:t xml:space="preserve">Nízka priorita  </w:t>
            </w:r>
          </w:p>
          <w:p w:rsidR="00043D8B" w:rsidRPr="00F62041" w:rsidRDefault="00043D8B" w:rsidP="00D15EE0">
            <w:pPr>
              <w:spacing w:after="0"/>
              <w:jc w:val="both"/>
              <w:rPr>
                <w:rFonts w:ascii="Times New Roman" w:hAnsi="Times New Roman"/>
                <w:b/>
                <w:color w:val="auto"/>
                <w:sz w:val="20"/>
                <w:u w:val="single"/>
              </w:rPr>
            </w:pPr>
            <w:r w:rsidRPr="00774C77">
              <w:rPr>
                <w:rFonts w:ascii="Times New Roman" w:hAnsi="Times New Roman"/>
                <w:color w:val="auto"/>
                <w:sz w:val="20"/>
              </w:rPr>
              <w:t>Cieľom nariadenia je riešiť súčasné neharmonizované ohlasovacie prostredie pre lode vytvorením novej jednotnej európskej námornej platformy,  ktorá bude koordinovaným spôsobom  spájať všetky ohlasovacie povinnosti lodí súvi</w:t>
            </w:r>
            <w:r>
              <w:rPr>
                <w:rFonts w:ascii="Times New Roman" w:hAnsi="Times New Roman"/>
                <w:sz w:val="20"/>
              </w:rPr>
              <w:t xml:space="preserve">siace so zastavením v prístave. </w:t>
            </w:r>
            <w:r w:rsidRPr="00774C77">
              <w:rPr>
                <w:rFonts w:ascii="Times New Roman" w:hAnsi="Times New Roman"/>
                <w:color w:val="auto"/>
                <w:sz w:val="20"/>
              </w:rPr>
              <w:t xml:space="preserve">SR podporuje vytvorenie harmonizovaného </w:t>
            </w:r>
            <w:r w:rsidRPr="00774C77">
              <w:rPr>
                <w:rFonts w:ascii="Times New Roman" w:hAnsi="Times New Roman"/>
                <w:color w:val="auto"/>
                <w:sz w:val="20"/>
              </w:rPr>
              <w:br/>
              <w:t>a  progresívneho digitálneho ohlasovacieho prostredia pre námornú dopravu v EÚ.</w:t>
            </w:r>
            <w:r w:rsidRPr="00774C77">
              <w:rPr>
                <w:rFonts w:ascii="Times New Roman" w:hAnsi="Times New Roman"/>
                <w:sz w:val="20"/>
              </w:rPr>
              <w:t xml:space="preserve"> Z dôvodu, </w:t>
            </w:r>
            <w:r>
              <w:rPr>
                <w:rFonts w:ascii="Times New Roman" w:hAnsi="Times New Roman"/>
                <w:sz w:val="20"/>
              </w:rPr>
              <w:t>a</w:t>
            </w:r>
            <w:r w:rsidRPr="00774C77">
              <w:rPr>
                <w:rFonts w:ascii="Times New Roman" w:hAnsi="Times New Roman"/>
                <w:color w:val="auto"/>
                <w:sz w:val="20"/>
              </w:rPr>
              <w:t>by ČŠ, ktoré nemajú námorné prístavy, nepodliehali neprimeranému administratívnemu zaťaženiu, bola pre ne zavedená výnimka v článku 5, ods. 1a.</w:t>
            </w:r>
            <w:r>
              <w:rPr>
                <w:rFonts w:ascii="Times New Roman" w:hAnsi="Times New Roman"/>
                <w:sz w:val="20"/>
              </w:rPr>
              <w:t xml:space="preserve"> </w:t>
            </w:r>
            <w:r w:rsidRPr="00774C77">
              <w:rPr>
                <w:rFonts w:ascii="Times New Roman" w:hAnsi="Times New Roman"/>
                <w:color w:val="auto"/>
                <w:sz w:val="20"/>
              </w:rPr>
              <w:t>ČŠ, ktoré nemajú námorné prístavy, sú oslobodené od povinnosti vyvíjať, zriadiť, prevádzkovať a sprístupňovať námorné vnútroštátne jednotné kontaktné miesto.</w:t>
            </w:r>
            <w:r w:rsidRPr="007770E4">
              <w:rPr>
                <w:rFonts w:ascii="Times New Roman" w:hAnsi="Times New Roman"/>
                <w:b/>
                <w:sz w:val="20"/>
              </w:rPr>
              <w:t xml:space="preserve"> </w:t>
            </w:r>
            <w:r w:rsidRPr="007770E4">
              <w:rPr>
                <w:rFonts w:ascii="Times New Roman" w:hAnsi="Times New Roman"/>
                <w:color w:val="auto"/>
                <w:sz w:val="20"/>
              </w:rPr>
              <w:t>SR</w:t>
            </w:r>
            <w:r w:rsidRPr="00774C77">
              <w:rPr>
                <w:rFonts w:ascii="Times New Roman" w:hAnsi="Times New Roman"/>
                <w:color w:val="auto"/>
                <w:sz w:val="20"/>
              </w:rPr>
              <w:t xml:space="preserve"> zavedenie uvedenej výnimky podporuje. </w:t>
            </w:r>
          </w:p>
        </w:tc>
      </w:tr>
      <w:tr w:rsidR="00043D8B" w:rsidTr="007864C8">
        <w:tc>
          <w:tcPr>
            <w:tcW w:w="642" w:type="dxa"/>
          </w:tcPr>
          <w:p w:rsidR="00043D8B" w:rsidRDefault="00043D8B" w:rsidP="00043D8B">
            <w:pPr>
              <w:spacing w:after="0"/>
            </w:pPr>
          </w:p>
        </w:tc>
        <w:tc>
          <w:tcPr>
            <w:tcW w:w="2903" w:type="dxa"/>
          </w:tcPr>
          <w:p w:rsidR="00043D8B" w:rsidRDefault="00043D8B" w:rsidP="00043D8B">
            <w:pPr>
              <w:spacing w:after="0"/>
            </w:pPr>
          </w:p>
        </w:tc>
        <w:tc>
          <w:tcPr>
            <w:tcW w:w="4677" w:type="dxa"/>
          </w:tcPr>
          <w:p w:rsidR="00043D8B" w:rsidRPr="00C47712" w:rsidRDefault="00043D8B" w:rsidP="00043D8B">
            <w:pPr>
              <w:spacing w:after="0"/>
              <w:ind w:left="4" w:right="49"/>
              <w:rPr>
                <w:rFonts w:ascii="Times New Roman" w:hAnsi="Times New Roman"/>
                <w:sz w:val="20"/>
              </w:rPr>
            </w:pPr>
            <w:r>
              <w:rPr>
                <w:rFonts w:ascii="Times New Roman" w:hAnsi="Times New Roman"/>
                <w:sz w:val="20"/>
              </w:rPr>
              <w:t>Návrh NARIADENIA EURÓPSKEHO PARLAMENTU A RADY o elektronických údajoch o nákladnej doprave** COM (2018) 279 final 2018/0140 COD  17. 5. 2018</w:t>
            </w:r>
          </w:p>
        </w:tc>
        <w:tc>
          <w:tcPr>
            <w:tcW w:w="1418" w:type="dxa"/>
          </w:tcPr>
          <w:p w:rsidR="00043D8B" w:rsidRPr="006458BF" w:rsidRDefault="00043D8B" w:rsidP="00043D8B">
            <w:pPr>
              <w:spacing w:after="0"/>
              <w:ind w:left="4" w:right="49"/>
              <w:rPr>
                <w:rFonts w:ascii="Times New Roman" w:hAnsi="Times New Roman"/>
                <w:b/>
                <w:sz w:val="20"/>
              </w:rPr>
            </w:pPr>
            <w:r w:rsidRPr="006458BF">
              <w:rPr>
                <w:rFonts w:ascii="Times New Roman" w:hAnsi="Times New Roman"/>
                <w:b/>
                <w:sz w:val="20"/>
              </w:rPr>
              <w:t>MDaVR SR</w:t>
            </w:r>
          </w:p>
          <w:p w:rsidR="00043D8B" w:rsidRPr="006458BF" w:rsidRDefault="00043D8B" w:rsidP="00043D8B">
            <w:pPr>
              <w:spacing w:after="0"/>
              <w:ind w:left="4" w:right="49"/>
              <w:rPr>
                <w:rFonts w:ascii="Times New Roman" w:hAnsi="Times New Roman"/>
                <w:b/>
                <w:sz w:val="20"/>
              </w:rPr>
            </w:pPr>
            <w:r w:rsidRPr="006458BF">
              <w:rPr>
                <w:rFonts w:ascii="Times New Roman" w:hAnsi="Times New Roman"/>
                <w:b/>
                <w:sz w:val="20"/>
              </w:rPr>
              <w:t>MŽP SR</w:t>
            </w:r>
          </w:p>
        </w:tc>
        <w:tc>
          <w:tcPr>
            <w:tcW w:w="5386" w:type="dxa"/>
          </w:tcPr>
          <w:p w:rsidR="00043D8B" w:rsidRPr="00F62041" w:rsidRDefault="00043D8B" w:rsidP="00043D8B">
            <w:pPr>
              <w:spacing w:after="0"/>
              <w:jc w:val="both"/>
              <w:rPr>
                <w:rFonts w:ascii="Times New Roman" w:hAnsi="Times New Roman"/>
                <w:sz w:val="20"/>
                <w:szCs w:val="20"/>
                <w:u w:val="single"/>
              </w:rPr>
            </w:pPr>
            <w:r w:rsidRPr="00F62041">
              <w:rPr>
                <w:rFonts w:ascii="Times New Roman" w:hAnsi="Times New Roman"/>
                <w:b/>
                <w:sz w:val="20"/>
                <w:szCs w:val="20"/>
                <w:u w:val="single"/>
              </w:rPr>
              <w:t>Vysoká priorita</w:t>
            </w:r>
          </w:p>
          <w:p w:rsidR="00043D8B" w:rsidRPr="00F62041" w:rsidRDefault="00043D8B" w:rsidP="00043D8B">
            <w:pPr>
              <w:spacing w:after="0"/>
              <w:jc w:val="both"/>
              <w:rPr>
                <w:rFonts w:ascii="Times New Roman" w:hAnsi="Times New Roman"/>
                <w:b/>
                <w:color w:val="auto"/>
                <w:sz w:val="20"/>
                <w:u w:val="single"/>
              </w:rPr>
            </w:pPr>
            <w:r>
              <w:rPr>
                <w:rFonts w:ascii="Times New Roman" w:hAnsi="Times New Roman"/>
                <w:sz w:val="20"/>
                <w:szCs w:val="20"/>
              </w:rPr>
              <w:t>Cieľom nariadenia je umožniť širšie využívanie digitálnych technológií, ktorými sa prispeje k odstraňovaniu prekážok bezproblémového fungovania jednotného trhu, modernizácii hospodárstva a vyššej efektívnosti v odvetví dopravy. Návrh stanovuje  príslušným verejným orgánom povinnosť akceptovať elektronické doklady o nákladnej doprave. Tiež sa má zabezpečiť interoperabilita informačných systémov a riešení používaných na elektronickú výmenu daných informácií medzi podnikmi a orgánmi verejnej správy. SR vo všeobecnosti podporuje cieľ návrhu, má k nemu však niekoľko výhrad -  medzi problematické body patria podľa viacerých ČŠ predovšetkým príliš široké kompetencie EK vďaka delegovaným a vykonávacím aktom, či vysoké náklady, súvisiace s digitalizáciou, IT infraštruktúrou a certifikáciou platforiem.</w:t>
            </w:r>
          </w:p>
        </w:tc>
      </w:tr>
      <w:tr w:rsidR="00043D8B" w:rsidTr="007864C8">
        <w:tc>
          <w:tcPr>
            <w:tcW w:w="642" w:type="dxa"/>
          </w:tcPr>
          <w:p w:rsidR="00043D8B" w:rsidRDefault="00043D8B" w:rsidP="00043D8B">
            <w:pPr>
              <w:spacing w:after="0"/>
            </w:pPr>
          </w:p>
        </w:tc>
        <w:tc>
          <w:tcPr>
            <w:tcW w:w="2903" w:type="dxa"/>
          </w:tcPr>
          <w:p w:rsidR="00043D8B" w:rsidRDefault="00043D8B" w:rsidP="00043D8B">
            <w:pPr>
              <w:spacing w:after="0"/>
            </w:pPr>
          </w:p>
        </w:tc>
        <w:tc>
          <w:tcPr>
            <w:tcW w:w="4677" w:type="dxa"/>
          </w:tcPr>
          <w:p w:rsidR="00043D8B" w:rsidRPr="00C47712" w:rsidRDefault="00043D8B" w:rsidP="00043D8B">
            <w:pPr>
              <w:spacing w:after="0"/>
              <w:ind w:left="4" w:right="49"/>
              <w:rPr>
                <w:rFonts w:ascii="Times New Roman" w:hAnsi="Times New Roman"/>
                <w:sz w:val="20"/>
              </w:rPr>
            </w:pPr>
            <w:r>
              <w:rPr>
                <w:rFonts w:ascii="Times New Roman" w:hAnsi="Times New Roman"/>
                <w:sz w:val="20"/>
              </w:rPr>
              <w:t>Návrh SMERNICE EURÓPSKEHO PARLAMENTU A RADY, ktorou sa mení smernica 2006/1/ES o používaní vozidiel prenajatých bez vodičov na cestnú prepravu tovaru* COM(2017) 282 final 2017/0113 COD  31. 5. 2017</w:t>
            </w:r>
          </w:p>
        </w:tc>
        <w:tc>
          <w:tcPr>
            <w:tcW w:w="1418" w:type="dxa"/>
          </w:tcPr>
          <w:p w:rsidR="00043D8B" w:rsidRPr="006458BF" w:rsidRDefault="00043D8B" w:rsidP="00043D8B">
            <w:pPr>
              <w:spacing w:after="0"/>
              <w:ind w:left="4" w:right="49"/>
              <w:rPr>
                <w:rFonts w:ascii="Times New Roman" w:hAnsi="Times New Roman"/>
                <w:b/>
                <w:sz w:val="20"/>
              </w:rPr>
            </w:pPr>
            <w:r w:rsidRPr="006458BF">
              <w:rPr>
                <w:rFonts w:ascii="Times New Roman" w:hAnsi="Times New Roman"/>
                <w:b/>
                <w:sz w:val="20"/>
              </w:rPr>
              <w:t>MDaV SR</w:t>
            </w:r>
          </w:p>
        </w:tc>
        <w:tc>
          <w:tcPr>
            <w:tcW w:w="5386" w:type="dxa"/>
          </w:tcPr>
          <w:p w:rsidR="00043D8B" w:rsidRDefault="00043D8B" w:rsidP="00043D8B">
            <w:pPr>
              <w:spacing w:after="0"/>
              <w:jc w:val="both"/>
              <w:rPr>
                <w:rFonts w:ascii="Times New Roman" w:hAnsi="Times New Roman"/>
                <w:b/>
                <w:sz w:val="20"/>
                <w:szCs w:val="20"/>
                <w:u w:val="single"/>
              </w:rPr>
            </w:pPr>
            <w:r w:rsidRPr="00774C77">
              <w:rPr>
                <w:rFonts w:ascii="Times New Roman" w:hAnsi="Times New Roman"/>
                <w:b/>
                <w:sz w:val="20"/>
                <w:szCs w:val="20"/>
                <w:u w:val="single"/>
              </w:rPr>
              <w:t>Stredná priorita</w:t>
            </w:r>
          </w:p>
          <w:p w:rsidR="00043D8B" w:rsidRPr="00F62041" w:rsidRDefault="00043D8B" w:rsidP="00043D8B">
            <w:pPr>
              <w:spacing w:after="0"/>
              <w:jc w:val="both"/>
              <w:rPr>
                <w:rFonts w:ascii="Times New Roman" w:hAnsi="Times New Roman"/>
                <w:b/>
                <w:sz w:val="20"/>
                <w:szCs w:val="20"/>
                <w:u w:val="single"/>
              </w:rPr>
            </w:pPr>
            <w:r>
              <w:rPr>
                <w:rFonts w:ascii="Times New Roman" w:hAnsi="Times New Roman"/>
                <w:sz w:val="20"/>
                <w:szCs w:val="20"/>
              </w:rPr>
              <w:t xml:space="preserve">V smernici 2006/1/ES o používaní vozidiel prenajatých bez vodičov na cestnú prepravu tovaru sa stanovuje minimálna úroveň otvorenia trhu na používanie prenajatých nákladných vozidiel v rámci jednotného trhu. Cieľom návrhu je dosiahnuť optimálne rozmiestnenie zdrojov obmedzením nehospodárneho využitia výrobných faktorov (napr. kapitál viazaný v nedostatočne využívaných vozidlách), a zvýšiť flexibilitu a produktivitu príslušných podnikov. Všetky ciele súvisia s používaním prenajatých vozidiel. SR podporuje iniciatívu. Návrh prinesie flexibilitu pre dopravcu. </w:t>
            </w:r>
          </w:p>
        </w:tc>
      </w:tr>
      <w:tr w:rsidR="00043D8B" w:rsidTr="007864C8">
        <w:tc>
          <w:tcPr>
            <w:tcW w:w="642" w:type="dxa"/>
          </w:tcPr>
          <w:p w:rsidR="00043D8B" w:rsidRDefault="00043D8B" w:rsidP="00043D8B"/>
        </w:tc>
        <w:tc>
          <w:tcPr>
            <w:tcW w:w="2903" w:type="dxa"/>
          </w:tcPr>
          <w:p w:rsidR="00043D8B" w:rsidRDefault="00043D8B" w:rsidP="00043D8B"/>
        </w:tc>
        <w:tc>
          <w:tcPr>
            <w:tcW w:w="4677" w:type="dxa"/>
          </w:tcPr>
          <w:p w:rsidR="00043D8B" w:rsidRPr="00DC3102" w:rsidRDefault="00043D8B" w:rsidP="003847E2">
            <w:pPr>
              <w:ind w:left="4" w:right="49"/>
              <w:rPr>
                <w:rFonts w:ascii="Times New Roman" w:hAnsi="Times New Roman"/>
                <w:sz w:val="20"/>
              </w:rPr>
            </w:pPr>
            <w:r w:rsidRPr="00DC3102">
              <w:rPr>
                <w:rFonts w:ascii="Times New Roman" w:hAnsi="Times New Roman"/>
                <w:sz w:val="20"/>
              </w:rPr>
              <w:t>Návrh SMERNICE EURÓPSKEHO PARLAMENTU A RADY, ktorou sa mení smernic</w:t>
            </w:r>
            <w:r w:rsidR="003847E2">
              <w:rPr>
                <w:rFonts w:ascii="Times New Roman" w:hAnsi="Times New Roman"/>
                <w:sz w:val="20"/>
              </w:rPr>
              <w:t xml:space="preserve">a 1999/62/ES </w:t>
            </w:r>
            <w:r w:rsidRPr="00DC3102">
              <w:rPr>
                <w:rFonts w:ascii="Times New Roman" w:hAnsi="Times New Roman"/>
                <w:sz w:val="20"/>
              </w:rPr>
              <w:t>o poplatkoch za používanie určitej dopravnej infraštruktúry ťažkými nákladnými vozidlami* COM(2017) 275 final 2017/0114 COD  31. 5. 2017</w:t>
            </w:r>
          </w:p>
        </w:tc>
        <w:tc>
          <w:tcPr>
            <w:tcW w:w="1418" w:type="dxa"/>
          </w:tcPr>
          <w:p w:rsidR="00043D8B" w:rsidRPr="006458BF" w:rsidRDefault="00043D8B" w:rsidP="00043D8B">
            <w:pPr>
              <w:ind w:left="4" w:right="49"/>
              <w:rPr>
                <w:rFonts w:ascii="Times New Roman" w:hAnsi="Times New Roman"/>
                <w:b/>
                <w:sz w:val="20"/>
              </w:rPr>
            </w:pPr>
            <w:r w:rsidRPr="006458BF">
              <w:rPr>
                <w:rFonts w:ascii="Times New Roman" w:hAnsi="Times New Roman"/>
                <w:b/>
                <w:sz w:val="20"/>
              </w:rPr>
              <w:t>MDaV SR</w:t>
            </w:r>
          </w:p>
        </w:tc>
        <w:tc>
          <w:tcPr>
            <w:tcW w:w="5386" w:type="dxa"/>
          </w:tcPr>
          <w:p w:rsidR="00043D8B" w:rsidRPr="00043D8B" w:rsidRDefault="00043D8B" w:rsidP="00043D8B">
            <w:pPr>
              <w:spacing w:after="0"/>
              <w:rPr>
                <w:rFonts w:ascii="Times New Roman" w:hAnsi="Times New Roman"/>
                <w:b/>
                <w:sz w:val="20"/>
                <w:szCs w:val="20"/>
                <w:u w:val="single"/>
              </w:rPr>
            </w:pPr>
            <w:r w:rsidRPr="00043D8B">
              <w:rPr>
                <w:rFonts w:ascii="Times New Roman" w:hAnsi="Times New Roman"/>
                <w:b/>
                <w:sz w:val="20"/>
                <w:szCs w:val="20"/>
                <w:u w:val="single"/>
              </w:rPr>
              <w:t>Vysoká priorita</w:t>
            </w:r>
          </w:p>
          <w:p w:rsidR="00043D8B" w:rsidRPr="00F62041" w:rsidRDefault="00043D8B" w:rsidP="00043D8B">
            <w:pPr>
              <w:spacing w:after="0"/>
              <w:jc w:val="both"/>
              <w:rPr>
                <w:rFonts w:ascii="Times New Roman" w:hAnsi="Times New Roman"/>
                <w:sz w:val="20"/>
                <w:szCs w:val="20"/>
              </w:rPr>
            </w:pPr>
            <w:r>
              <w:rPr>
                <w:rFonts w:ascii="Times New Roman" w:hAnsi="Times New Roman"/>
                <w:sz w:val="20"/>
                <w:szCs w:val="20"/>
              </w:rPr>
              <w:t>Návrhom chce Komisia riešiť problémy súvisiacich so spoplatňovaním ciest podľa súčasného legislatívneho rámca. Spoplatňovanie ciest doteraz zaviedlo 24 členských štátov a postupne sa prechádza na celosieťové mýto na základe vzdialenosti, avšak tento prechod je pomalý a v Únii stále nejednotný. Vzhľadom na veľké rozdiely vo vnútroštátnych politikách spoplatňovania ciest EK navrhuje postupnú harmonizáciu typu poplatkov (diaľničné známky na základe času alebo mýto na základe vzdialenosti) a typu používaných technológií na výber poplatkov. Návrhom sa má znížiť administratívne zaťaženie a náklady pre orgány verejnej moci aj účastníkov cestnej premávky. Cieľom iniciatívy je dosiahnuť pokrok pri uplatňovaní zásad „znečisťovateľ platí“ a „používateľ platí“, a tým podporiť finančne a environmentálne udržateľnú a sociálne spravodlivú cestnú d</w:t>
            </w:r>
            <w:r w:rsidR="00FC5690">
              <w:rPr>
                <w:rFonts w:ascii="Times New Roman" w:hAnsi="Times New Roman"/>
                <w:sz w:val="20"/>
                <w:szCs w:val="20"/>
              </w:rPr>
              <w:t xml:space="preserve">opravu. SR nesúhlasí s návrhom </w:t>
            </w:r>
            <w:r>
              <w:rPr>
                <w:rFonts w:ascii="Times New Roman" w:hAnsi="Times New Roman"/>
                <w:sz w:val="20"/>
                <w:szCs w:val="20"/>
              </w:rPr>
              <w:t>v predloženom znení. Považujeme za potrebné zohľadniť špecifiká jednotlivých členských štátov, najmä „nových“ členských štátov v porovnaní so „starými“ členskými štátmi.</w:t>
            </w:r>
          </w:p>
        </w:tc>
      </w:tr>
      <w:tr w:rsidR="00043D8B" w:rsidTr="007864C8">
        <w:tc>
          <w:tcPr>
            <w:tcW w:w="642" w:type="dxa"/>
          </w:tcPr>
          <w:p w:rsidR="00043D8B" w:rsidRDefault="00043D8B" w:rsidP="003847E2">
            <w:pPr>
              <w:spacing w:after="0"/>
            </w:pPr>
          </w:p>
        </w:tc>
        <w:tc>
          <w:tcPr>
            <w:tcW w:w="2903" w:type="dxa"/>
          </w:tcPr>
          <w:p w:rsidR="00043D8B" w:rsidRDefault="00043D8B" w:rsidP="003847E2">
            <w:pPr>
              <w:spacing w:after="0"/>
              <w:ind w:left="1"/>
            </w:pPr>
          </w:p>
        </w:tc>
        <w:tc>
          <w:tcPr>
            <w:tcW w:w="4677" w:type="dxa"/>
          </w:tcPr>
          <w:p w:rsidR="00043D8B" w:rsidRPr="00DC3102" w:rsidRDefault="00043D8B" w:rsidP="00D15EE0">
            <w:pPr>
              <w:spacing w:after="0"/>
              <w:ind w:left="4" w:right="49"/>
              <w:jc w:val="both"/>
              <w:rPr>
                <w:rFonts w:ascii="Times New Roman" w:hAnsi="Times New Roman"/>
                <w:sz w:val="20"/>
              </w:rPr>
            </w:pPr>
            <w:r w:rsidRPr="00DC3102">
              <w:rPr>
                <w:rFonts w:ascii="Times New Roman" w:hAnsi="Times New Roman"/>
                <w:sz w:val="20"/>
              </w:rPr>
              <w:t>Návrh SMERNICE EURÓPSKEHO PARLAMENTU A RADY, ktorou sa mení smernica 2006/22/ES, pokiaľ ide o požiadavky týkajúce sa dodržiavania predpisov, a ktorou sa stanovujú konkrétne pravidlá vzhľadom na smernicu 96/71/ES a smernicu 2014/67/EÚ v oblasti vysielania vodičov v odvetví cestnej dopravy** COM(2017) 278 final 2017/0121 COD  31. 5. 2017</w:t>
            </w:r>
          </w:p>
        </w:tc>
        <w:tc>
          <w:tcPr>
            <w:tcW w:w="1418" w:type="dxa"/>
          </w:tcPr>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MDaV SR</w:t>
            </w:r>
          </w:p>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MPSVaR SR</w:t>
            </w:r>
          </w:p>
        </w:tc>
        <w:tc>
          <w:tcPr>
            <w:tcW w:w="5386" w:type="dxa"/>
          </w:tcPr>
          <w:p w:rsidR="00043D8B" w:rsidRPr="00774C77" w:rsidRDefault="00043D8B" w:rsidP="003847E2">
            <w:pPr>
              <w:spacing w:after="0"/>
              <w:rPr>
                <w:rFonts w:ascii="Times New Roman" w:hAnsi="Times New Roman"/>
                <w:b/>
                <w:sz w:val="20"/>
                <w:szCs w:val="20"/>
                <w:u w:val="single"/>
              </w:rPr>
            </w:pPr>
            <w:r w:rsidRPr="00774C77">
              <w:rPr>
                <w:rFonts w:ascii="Times New Roman" w:hAnsi="Times New Roman"/>
                <w:b/>
                <w:sz w:val="20"/>
                <w:szCs w:val="20"/>
                <w:u w:val="single"/>
              </w:rPr>
              <w:t>Vysoká priorita</w:t>
            </w:r>
          </w:p>
          <w:p w:rsidR="00043D8B" w:rsidRPr="00043D8B" w:rsidRDefault="00043D8B" w:rsidP="003847E2">
            <w:pPr>
              <w:spacing w:after="0"/>
              <w:jc w:val="both"/>
              <w:rPr>
                <w:rFonts w:ascii="Times New Roman" w:hAnsi="Times New Roman"/>
                <w:b/>
                <w:color w:val="auto"/>
                <w:sz w:val="20"/>
                <w:szCs w:val="20"/>
              </w:rPr>
            </w:pPr>
            <w:r>
              <w:rPr>
                <w:rFonts w:ascii="Times New Roman" w:hAnsi="Times New Roman"/>
                <w:sz w:val="20"/>
                <w:szCs w:val="20"/>
              </w:rPr>
              <w:t>Právne akty sú súčasťou širšieho úsilia zameraného na zlepšenie pracovných podmienok vodičov, zabezpečenie spravodlivej hospodárskej súťaže medzi prevádzkovateľmi a zvýšenie bezpečnosti na európskych cestách, ako aj zaistenie rovnováhy medzi sociálnou ochranou vodičov a slobodou prevádzkovateľov poskytovať cezhraničné služby. Po dlhšej politickej debate sa v októbri 2017 podarilo dosiahnuť všeobecné smerovanie k smernici o vysielaní pracovníkov. Toto bolo možné vďaka tzv. suspenzačného článku, ktorý zaručil, že novodohodnuté podmienky smernice o vysielaných pracovníkoch sa nebudú uplatňovať na sektor dopravy, a to až do doby, kým sa tieto nedohodnú v príslušnej sektorovej legislatíve (lex specialis), ktorá sa má rokovať vo formácii Rady pre dopravu, telekomunikácie a energetiku. Kompromisný text Rady stanovuje 18 mesiacov vyslania a prechodné obdobie aplikácie 4 roky. SR iniciatívu podporuje.</w:t>
            </w:r>
          </w:p>
        </w:tc>
      </w:tr>
      <w:tr w:rsidR="00043D8B" w:rsidTr="007864C8">
        <w:tc>
          <w:tcPr>
            <w:tcW w:w="642" w:type="dxa"/>
          </w:tcPr>
          <w:p w:rsidR="00043D8B" w:rsidRDefault="00043D8B" w:rsidP="003847E2">
            <w:pPr>
              <w:spacing w:after="0"/>
            </w:pPr>
          </w:p>
        </w:tc>
        <w:tc>
          <w:tcPr>
            <w:tcW w:w="2903" w:type="dxa"/>
          </w:tcPr>
          <w:p w:rsidR="00043D8B" w:rsidRDefault="00043D8B" w:rsidP="003847E2">
            <w:pPr>
              <w:spacing w:after="0"/>
              <w:ind w:left="1"/>
            </w:pPr>
          </w:p>
        </w:tc>
        <w:tc>
          <w:tcPr>
            <w:tcW w:w="4677" w:type="dxa"/>
          </w:tcPr>
          <w:p w:rsidR="00043D8B" w:rsidRPr="00C47712" w:rsidRDefault="00043D8B" w:rsidP="00D15EE0">
            <w:pPr>
              <w:spacing w:after="0"/>
              <w:ind w:left="4" w:right="49"/>
              <w:jc w:val="both"/>
              <w:rPr>
                <w:rFonts w:ascii="Times New Roman" w:hAnsi="Times New Roman"/>
                <w:sz w:val="20"/>
              </w:rPr>
            </w:pPr>
            <w:r>
              <w:rPr>
                <w:rFonts w:ascii="Times New Roman" w:hAnsi="Times New Roman"/>
                <w:sz w:val="20"/>
              </w:rPr>
              <w:t xml:space="preserve">Návrh NARIADENIA EURÓPSKEHO PARLAMENTU A RADY, ktorým sa mení nariadenie (ES) č. </w:t>
            </w:r>
          </w:p>
          <w:p w:rsidR="00043D8B" w:rsidRPr="00C47712" w:rsidRDefault="00043D8B" w:rsidP="00D15EE0">
            <w:pPr>
              <w:spacing w:after="0"/>
              <w:ind w:left="4" w:right="49"/>
              <w:jc w:val="both"/>
              <w:rPr>
                <w:rFonts w:ascii="Times New Roman" w:hAnsi="Times New Roman"/>
                <w:sz w:val="20"/>
              </w:rPr>
            </w:pPr>
            <w:r>
              <w:rPr>
                <w:rFonts w:ascii="Times New Roman" w:hAnsi="Times New Roman"/>
                <w:sz w:val="20"/>
              </w:rPr>
              <w:t>561/2006, pokiaľ ide o minimálne požiadavky na maximálne denné a týždenné časy jazdy, minimálne prestávky a časy denného a týždenného odpočinku, a nariadenie (EÚ) č. 165/2014, pokiaľ ide o určovanie polohy prostredníctvom tachografov** COM(2017) 277 final 2017/0122 COD  31. 5. 2017</w:t>
            </w:r>
          </w:p>
        </w:tc>
        <w:tc>
          <w:tcPr>
            <w:tcW w:w="1418" w:type="dxa"/>
          </w:tcPr>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MDaV SR</w:t>
            </w:r>
          </w:p>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MPSVaR SR</w:t>
            </w:r>
          </w:p>
        </w:tc>
        <w:tc>
          <w:tcPr>
            <w:tcW w:w="5386" w:type="dxa"/>
          </w:tcPr>
          <w:p w:rsidR="00043D8B" w:rsidRPr="003847E2" w:rsidRDefault="00043D8B" w:rsidP="003847E2">
            <w:pPr>
              <w:pStyle w:val="Bezriadkovania"/>
              <w:rPr>
                <w:rFonts w:ascii="Times New Roman" w:hAnsi="Times New Roman"/>
                <w:b/>
                <w:color w:val="000000"/>
                <w:sz w:val="20"/>
                <w:szCs w:val="20"/>
                <w:u w:val="single"/>
                <w:lang w:eastAsia="sk-SK"/>
              </w:rPr>
            </w:pPr>
            <w:r w:rsidRPr="003847E2">
              <w:rPr>
                <w:rFonts w:ascii="Times New Roman" w:hAnsi="Times New Roman"/>
                <w:b/>
                <w:color w:val="000000"/>
                <w:sz w:val="20"/>
                <w:szCs w:val="20"/>
                <w:u w:val="single"/>
                <w:lang w:eastAsia="sk-SK"/>
              </w:rPr>
              <w:t>Vysoká priorita</w:t>
            </w:r>
          </w:p>
          <w:p w:rsidR="00043D8B" w:rsidRPr="00043D8B" w:rsidRDefault="00043D8B" w:rsidP="003847E2">
            <w:pPr>
              <w:spacing w:after="0"/>
              <w:jc w:val="both"/>
              <w:rPr>
                <w:rFonts w:ascii="Times New Roman" w:hAnsi="Times New Roman"/>
                <w:b/>
                <w:color w:val="auto"/>
                <w:sz w:val="20"/>
                <w:szCs w:val="20"/>
              </w:rPr>
            </w:pPr>
            <w:r>
              <w:rPr>
                <w:rFonts w:ascii="Times New Roman" w:hAnsi="Times New Roman"/>
                <w:sz w:val="20"/>
                <w:szCs w:val="20"/>
              </w:rPr>
              <w:t>Nariadenie o čase jazdy, ako aj nariadenie o tachografoch sú súčasťou širšieho úsilia zameraného na zlepšenie pracovných podmienok vodičov, zabezpečenie spravodlivej hospodárskej súťaže medzi prevádzkovateľmi cestnej dopravy a zvýšenie bezpečnosti cestnej premávky na európskych cestách. Prísnejšie požiadavky na používanie tachografov postu</w:t>
            </w:r>
            <w:r w:rsidR="003847E2">
              <w:rPr>
                <w:rFonts w:ascii="Times New Roman" w:hAnsi="Times New Roman"/>
                <w:sz w:val="20"/>
                <w:szCs w:val="20"/>
              </w:rPr>
              <w:t xml:space="preserve">pne prispievajú k účinnejšiemu </w:t>
            </w:r>
            <w:r>
              <w:rPr>
                <w:rFonts w:ascii="Times New Roman" w:hAnsi="Times New Roman"/>
                <w:sz w:val="20"/>
                <w:szCs w:val="20"/>
              </w:rPr>
              <w:t>presadzovaniu predpisov v celej EÚ. SR vo všeobecnosti podporuje jednotné uplatňovanie predpisov tak, aby všetky subjekty v rámci EÚ mali rovnaké podmienky na podnikanie</w:t>
            </w:r>
            <w:r w:rsidRPr="00043D8B">
              <w:rPr>
                <w:rFonts w:ascii="Times New Roman" w:hAnsi="Times New Roman"/>
                <w:sz w:val="20"/>
                <w:szCs w:val="20"/>
              </w:rPr>
              <w:t>.</w:t>
            </w:r>
          </w:p>
        </w:tc>
      </w:tr>
      <w:tr w:rsidR="00043D8B" w:rsidTr="007864C8">
        <w:tc>
          <w:tcPr>
            <w:tcW w:w="642" w:type="dxa"/>
          </w:tcPr>
          <w:p w:rsidR="00043D8B" w:rsidRDefault="00043D8B" w:rsidP="00043D8B">
            <w:pPr>
              <w:ind w:right="13921"/>
            </w:pPr>
          </w:p>
        </w:tc>
        <w:tc>
          <w:tcPr>
            <w:tcW w:w="2903" w:type="dxa"/>
          </w:tcPr>
          <w:p w:rsidR="00043D8B" w:rsidRDefault="00043D8B" w:rsidP="00043D8B">
            <w:pPr>
              <w:ind w:right="13921"/>
            </w:pPr>
          </w:p>
        </w:tc>
        <w:tc>
          <w:tcPr>
            <w:tcW w:w="4677" w:type="dxa"/>
          </w:tcPr>
          <w:p w:rsidR="00043D8B" w:rsidRPr="00C47712" w:rsidRDefault="00043D8B" w:rsidP="00D15EE0">
            <w:pPr>
              <w:ind w:left="4" w:right="49"/>
              <w:jc w:val="both"/>
              <w:rPr>
                <w:rFonts w:ascii="Times New Roman" w:hAnsi="Times New Roman"/>
                <w:sz w:val="20"/>
              </w:rPr>
            </w:pPr>
            <w:r>
              <w:rPr>
                <w:rFonts w:ascii="Times New Roman" w:hAnsi="Times New Roman"/>
                <w:sz w:val="20"/>
              </w:rPr>
              <w:t>Návrh NARIADENIA EURÓPSKEHO PARLAMENTU A RADY, ktorým sa mení nariadenie (ES) č. 1071/2009 a nariadenie (ES) č. 1072/2009 s cieľom prispôsobiť ich vývoju v odvetví* COM(2017) 281 final 2017/0123 COD  31. 5. 2017</w:t>
            </w:r>
          </w:p>
        </w:tc>
        <w:tc>
          <w:tcPr>
            <w:tcW w:w="1418" w:type="dxa"/>
          </w:tcPr>
          <w:p w:rsidR="00043D8B" w:rsidRPr="006458BF" w:rsidRDefault="00043D8B" w:rsidP="00043D8B">
            <w:pPr>
              <w:ind w:left="4" w:right="49"/>
              <w:rPr>
                <w:rFonts w:ascii="Times New Roman" w:hAnsi="Times New Roman"/>
                <w:b/>
                <w:sz w:val="20"/>
              </w:rPr>
            </w:pPr>
            <w:r w:rsidRPr="006458BF">
              <w:rPr>
                <w:rFonts w:ascii="Times New Roman" w:hAnsi="Times New Roman"/>
                <w:b/>
                <w:sz w:val="20"/>
              </w:rPr>
              <w:t>MDaV SR</w:t>
            </w:r>
          </w:p>
        </w:tc>
        <w:tc>
          <w:tcPr>
            <w:tcW w:w="5386" w:type="dxa"/>
          </w:tcPr>
          <w:p w:rsidR="00043D8B" w:rsidRPr="003847E2" w:rsidRDefault="00043D8B" w:rsidP="00043D8B">
            <w:pPr>
              <w:pStyle w:val="Bezriadkovania"/>
              <w:rPr>
                <w:rFonts w:ascii="Times New Roman" w:hAnsi="Times New Roman"/>
                <w:b/>
                <w:color w:val="000000"/>
                <w:sz w:val="20"/>
                <w:szCs w:val="20"/>
                <w:u w:val="single"/>
                <w:lang w:eastAsia="sk-SK"/>
              </w:rPr>
            </w:pPr>
            <w:r w:rsidRPr="003847E2">
              <w:rPr>
                <w:rFonts w:ascii="Times New Roman" w:hAnsi="Times New Roman"/>
                <w:b/>
                <w:color w:val="000000"/>
                <w:sz w:val="20"/>
                <w:szCs w:val="20"/>
                <w:u w:val="single"/>
                <w:lang w:eastAsia="sk-SK"/>
              </w:rPr>
              <w:t>Vysoká priorita</w:t>
            </w:r>
          </w:p>
          <w:p w:rsidR="00043D8B" w:rsidRPr="00043D8B" w:rsidRDefault="00043D8B" w:rsidP="00043D8B">
            <w:pPr>
              <w:pStyle w:val="Bezriadkovania"/>
              <w:jc w:val="both"/>
              <w:rPr>
                <w:sz w:val="20"/>
              </w:rPr>
            </w:pPr>
            <w:r w:rsidRPr="00043D8B">
              <w:rPr>
                <w:rFonts w:ascii="Times New Roman" w:hAnsi="Times New Roman"/>
                <w:color w:val="000000"/>
                <w:sz w:val="20"/>
                <w:szCs w:val="20"/>
                <w:lang w:eastAsia="sk-SK"/>
              </w:rPr>
              <w:t>Všeobecným cieľom týchto nariadení je podpora riadneho fungovania jednotného trhu cestnej dopravy a jeho efektívnosť a konkurencieschopnosť.SR vo všeobecnosti podporuje jednotné uplatňovanie predpisov tak, aby všetky subjekty v rámci Európskej únie mali rovnaké podmienky na podnikanie</w:t>
            </w:r>
          </w:p>
        </w:tc>
      </w:tr>
      <w:tr w:rsidR="00043D8B" w:rsidTr="007864C8">
        <w:tc>
          <w:tcPr>
            <w:tcW w:w="642" w:type="dxa"/>
          </w:tcPr>
          <w:p w:rsidR="00043D8B" w:rsidRDefault="00043D8B" w:rsidP="003847E2">
            <w:pPr>
              <w:spacing w:after="0"/>
              <w:ind w:right="13921"/>
            </w:pPr>
          </w:p>
        </w:tc>
        <w:tc>
          <w:tcPr>
            <w:tcW w:w="2903" w:type="dxa"/>
          </w:tcPr>
          <w:p w:rsidR="00043D8B" w:rsidRDefault="00043D8B" w:rsidP="003847E2">
            <w:pPr>
              <w:spacing w:after="0"/>
              <w:ind w:right="13921"/>
            </w:pPr>
          </w:p>
        </w:tc>
        <w:tc>
          <w:tcPr>
            <w:tcW w:w="4677" w:type="dxa"/>
          </w:tcPr>
          <w:p w:rsidR="00043D8B" w:rsidRPr="00C47712" w:rsidRDefault="00043D8B" w:rsidP="00D15EE0">
            <w:pPr>
              <w:spacing w:after="0"/>
              <w:ind w:left="4" w:right="49"/>
              <w:jc w:val="both"/>
              <w:rPr>
                <w:rFonts w:ascii="Times New Roman" w:hAnsi="Times New Roman"/>
                <w:sz w:val="20"/>
              </w:rPr>
            </w:pPr>
            <w:r>
              <w:rPr>
                <w:rFonts w:ascii="Times New Roman" w:hAnsi="Times New Roman"/>
                <w:sz w:val="20"/>
              </w:rPr>
              <w:t>Návrh SMERNICE EURÓPSKEHO PARLAMENTU A RADY o interoperabilite elektronických cestných mýtnych systémov a uľahčení cezhraničnej výmeny informácií o nezaplatenom cestnom mýte v Únii (prepracované znenie) (Text s významom pre EHP)* COM(2017) 280 final 2017/0128 COD  31. 5. 2017</w:t>
            </w:r>
          </w:p>
        </w:tc>
        <w:tc>
          <w:tcPr>
            <w:tcW w:w="1418" w:type="dxa"/>
          </w:tcPr>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MDaV SR</w:t>
            </w:r>
          </w:p>
        </w:tc>
        <w:tc>
          <w:tcPr>
            <w:tcW w:w="5386" w:type="dxa"/>
          </w:tcPr>
          <w:p w:rsidR="00043D8B" w:rsidRPr="003847E2" w:rsidRDefault="00043D8B" w:rsidP="003847E2">
            <w:pPr>
              <w:pStyle w:val="Bezriadkovania"/>
              <w:rPr>
                <w:rFonts w:ascii="Times New Roman" w:hAnsi="Times New Roman"/>
                <w:b/>
                <w:color w:val="000000"/>
                <w:sz w:val="20"/>
                <w:szCs w:val="20"/>
                <w:u w:val="single"/>
                <w:lang w:eastAsia="sk-SK"/>
              </w:rPr>
            </w:pPr>
            <w:r w:rsidRPr="003847E2">
              <w:rPr>
                <w:rFonts w:ascii="Times New Roman" w:hAnsi="Times New Roman"/>
                <w:b/>
                <w:color w:val="000000"/>
                <w:sz w:val="20"/>
                <w:szCs w:val="20"/>
                <w:u w:val="single"/>
                <w:lang w:eastAsia="sk-SK"/>
              </w:rPr>
              <w:t>Vysoká priorita</w:t>
            </w:r>
          </w:p>
          <w:p w:rsidR="00043D8B" w:rsidRPr="00F62041" w:rsidRDefault="00043D8B" w:rsidP="00F64F76">
            <w:pPr>
              <w:spacing w:after="0"/>
              <w:jc w:val="both"/>
              <w:rPr>
                <w:rFonts w:ascii="Times New Roman" w:hAnsi="Times New Roman"/>
                <w:b/>
                <w:sz w:val="20"/>
                <w:szCs w:val="20"/>
                <w:u w:val="single"/>
              </w:rPr>
            </w:pPr>
            <w:r>
              <w:rPr>
                <w:rFonts w:ascii="Times New Roman" w:hAnsi="Times New Roman"/>
                <w:sz w:val="20"/>
                <w:szCs w:val="20"/>
              </w:rPr>
              <w:t xml:space="preserve">Účelom smernice je zabezpečiť cezhraničnú interoperabilitu mýtnych jednotiek a vymáhanie platby mýta od vlastníkov vozidiel evidovaných v inom členskom štáte. V súčasnosti sú elektronické systémy výberu mýta zavedené na vnútroštátnej, regionálnej alebo miestnej úrovni v 20 členských štátoch. Komisia navrhuje revíziu týchto predpisov. Ďalší problém sa týka zložitého vymáhania platby mýta od vlastníkov vozidiel evidovaných v inom členskom štáte. Členský štát nemôže neplatiča identifikovať podľa evidenčného čísla vozidla, ak je vozidlo evidované v zahraničí. Na úrovni EÚ neexistuje právny základ na výmenu údajov o evidencii vozidiel medzi členskými </w:t>
            </w:r>
            <w:r w:rsidR="00F64F76">
              <w:rPr>
                <w:rFonts w:ascii="Times New Roman" w:hAnsi="Times New Roman"/>
                <w:sz w:val="20"/>
                <w:szCs w:val="20"/>
              </w:rPr>
              <w:t xml:space="preserve">štátmi na účely vymáhania mýta. </w:t>
            </w:r>
            <w:r w:rsidR="00F64F76" w:rsidRPr="00F64F76">
              <w:rPr>
                <w:rFonts w:ascii="Times New Roman" w:hAnsi="Times New Roman"/>
                <w:sz w:val="20"/>
                <w:szCs w:val="20"/>
              </w:rPr>
              <w:t>V oblasti spoplatňovania infraštruktúry AT PRES dosiahlo dohodu s EP o Smernici o interoperabilite elektronických cestných mýtnych systémov a uľahčení cezhraničnej výmeny informácií o nezaplatenom cestnom mýte v</w:t>
            </w:r>
            <w:r w:rsidR="00F64F76">
              <w:rPr>
                <w:rFonts w:ascii="Times New Roman" w:hAnsi="Times New Roman"/>
                <w:sz w:val="20"/>
                <w:szCs w:val="20"/>
              </w:rPr>
              <w:t> </w:t>
            </w:r>
            <w:r w:rsidR="00F64F76" w:rsidRPr="00F64F76">
              <w:rPr>
                <w:rFonts w:ascii="Times New Roman" w:hAnsi="Times New Roman"/>
                <w:sz w:val="20"/>
                <w:szCs w:val="20"/>
              </w:rPr>
              <w:t>Únii</w:t>
            </w:r>
            <w:r w:rsidR="00F64F76">
              <w:rPr>
                <w:rFonts w:ascii="Times New Roman" w:hAnsi="Times New Roman"/>
                <w:sz w:val="20"/>
                <w:szCs w:val="20"/>
              </w:rPr>
              <w:t>. P</w:t>
            </w:r>
            <w:r>
              <w:rPr>
                <w:rFonts w:ascii="Times New Roman" w:hAnsi="Times New Roman"/>
                <w:sz w:val="20"/>
                <w:szCs w:val="20"/>
              </w:rPr>
              <w:t>oskytovanie údajov medzi členskými štátmi o nezaplatených cestných poplatkoch bude zabezpečené systémom EUCARIS. Táto smernica je prvým schváleným legislatívnym návrhom z Balíka mobility I.</w:t>
            </w:r>
          </w:p>
        </w:tc>
      </w:tr>
      <w:tr w:rsidR="00043D8B" w:rsidTr="007864C8">
        <w:tc>
          <w:tcPr>
            <w:tcW w:w="642" w:type="dxa"/>
          </w:tcPr>
          <w:p w:rsidR="00043D8B" w:rsidRDefault="00043D8B" w:rsidP="003847E2">
            <w:pPr>
              <w:spacing w:after="0"/>
              <w:ind w:right="13921"/>
            </w:pPr>
          </w:p>
        </w:tc>
        <w:tc>
          <w:tcPr>
            <w:tcW w:w="2903" w:type="dxa"/>
          </w:tcPr>
          <w:p w:rsidR="00043D8B" w:rsidRDefault="00043D8B" w:rsidP="003847E2">
            <w:pPr>
              <w:spacing w:after="0"/>
              <w:ind w:right="13921"/>
            </w:pPr>
          </w:p>
        </w:tc>
        <w:tc>
          <w:tcPr>
            <w:tcW w:w="4677" w:type="dxa"/>
          </w:tcPr>
          <w:p w:rsidR="00043D8B" w:rsidRPr="00C47712" w:rsidRDefault="00043D8B" w:rsidP="00D15EE0">
            <w:pPr>
              <w:spacing w:after="0"/>
              <w:ind w:left="4" w:right="49"/>
              <w:jc w:val="both"/>
              <w:rPr>
                <w:rFonts w:ascii="Times New Roman" w:hAnsi="Times New Roman"/>
                <w:sz w:val="20"/>
              </w:rPr>
            </w:pPr>
            <w:r>
              <w:rPr>
                <w:rFonts w:ascii="Times New Roman" w:hAnsi="Times New Roman"/>
                <w:sz w:val="20"/>
              </w:rPr>
              <w:t>Návrh SMERNICE RADY, ktorou sa mení smernica 1999/62/ES o poplatkoch za používanie určitej dopravnej infraštruktúry ťažkými nákladnými vozidlami, pokiaľ ide o niektoré ustanovenia týkajúce sa zdaňovania vozidiel** COM(2017) 276 final 2017/0115 (CNS)  31. 5. 2017</w:t>
            </w:r>
          </w:p>
        </w:tc>
        <w:tc>
          <w:tcPr>
            <w:tcW w:w="1418" w:type="dxa"/>
          </w:tcPr>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MF SR</w:t>
            </w:r>
            <w:r w:rsidRPr="006458BF">
              <w:rPr>
                <w:rFonts w:ascii="Times New Roman" w:hAnsi="Times New Roman"/>
                <w:b/>
                <w:sz w:val="20"/>
              </w:rPr>
              <w:br/>
              <w:t>MDaV SR</w:t>
            </w:r>
          </w:p>
        </w:tc>
        <w:tc>
          <w:tcPr>
            <w:tcW w:w="5386" w:type="dxa"/>
          </w:tcPr>
          <w:p w:rsidR="00043D8B" w:rsidRPr="00DB1FAA" w:rsidRDefault="00043D8B" w:rsidP="003847E2">
            <w:pPr>
              <w:spacing w:after="0"/>
              <w:jc w:val="both"/>
              <w:rPr>
                <w:rFonts w:ascii="Times New Roman" w:hAnsi="Times New Roman"/>
                <w:b/>
                <w:sz w:val="20"/>
                <w:szCs w:val="20"/>
                <w:u w:val="single"/>
              </w:rPr>
            </w:pPr>
            <w:r w:rsidRPr="00DB1FAA">
              <w:rPr>
                <w:rFonts w:ascii="Times New Roman" w:hAnsi="Times New Roman"/>
                <w:b/>
                <w:sz w:val="20"/>
                <w:szCs w:val="20"/>
                <w:u w:val="single"/>
              </w:rPr>
              <w:t>Nízka priorita</w:t>
            </w:r>
          </w:p>
          <w:p w:rsidR="00043D8B" w:rsidRPr="00DB1FAA" w:rsidRDefault="00043D8B" w:rsidP="003847E2">
            <w:pPr>
              <w:spacing w:after="0"/>
              <w:jc w:val="both"/>
              <w:rPr>
                <w:rFonts w:ascii="Times New Roman" w:hAnsi="Times New Roman"/>
                <w:sz w:val="24"/>
                <w:szCs w:val="24"/>
              </w:rPr>
            </w:pPr>
            <w:r>
              <w:rPr>
                <w:rFonts w:ascii="Times New Roman" w:hAnsi="Times New Roman"/>
                <w:sz w:val="20"/>
                <w:szCs w:val="20"/>
              </w:rPr>
              <w:t>Komisia navrhuje postupné znižovanie minimálnych sadzieb na nulu počas piatich po sebe nasledujúcich rokoch, pričom každý rok by došlo k zníženiu o 20 % zo súčasných minimálnych sadzieb. Za SR bol vyjadrený názor, v ktorom súhlasí s riešením celej témy vo WPLT. Zároveň však návrh môže ohroziť príjmy SR z dane z motorových vozidiel, a preto je postoj SR k návrhu zdržanlivý.</w:t>
            </w:r>
          </w:p>
        </w:tc>
      </w:tr>
      <w:tr w:rsidR="00043D8B" w:rsidTr="007864C8">
        <w:tc>
          <w:tcPr>
            <w:tcW w:w="642" w:type="dxa"/>
          </w:tcPr>
          <w:p w:rsidR="00043D8B" w:rsidRDefault="00043D8B" w:rsidP="003847E2">
            <w:pPr>
              <w:spacing w:after="0"/>
            </w:pPr>
            <w:r>
              <w:rPr>
                <w:rFonts w:ascii="Times New Roman" w:hAnsi="Times New Roman"/>
                <w:sz w:val="20"/>
              </w:rPr>
              <w:t>19.</w:t>
            </w:r>
            <w:r>
              <w:rPr>
                <w:rFonts w:ascii="Arial" w:hAnsi="Arial" w:cs="Arial"/>
                <w:sz w:val="20"/>
              </w:rPr>
              <w:t xml:space="preserve"> </w:t>
            </w:r>
            <w:r>
              <w:rPr>
                <w:rFonts w:ascii="Times New Roman" w:hAnsi="Times New Roman"/>
                <w:sz w:val="20"/>
              </w:rPr>
              <w:t xml:space="preserve"> </w:t>
            </w:r>
          </w:p>
        </w:tc>
        <w:tc>
          <w:tcPr>
            <w:tcW w:w="2903" w:type="dxa"/>
          </w:tcPr>
          <w:p w:rsidR="00043D8B" w:rsidRDefault="00043D8B" w:rsidP="003847E2">
            <w:pPr>
              <w:spacing w:after="0"/>
              <w:ind w:left="1"/>
            </w:pPr>
            <w:r>
              <w:rPr>
                <w:rFonts w:ascii="Times New Roman" w:hAnsi="Times New Roman"/>
                <w:sz w:val="20"/>
              </w:rPr>
              <w:t xml:space="preserve">Ukončenie sezónnych zmien času </w:t>
            </w:r>
          </w:p>
        </w:tc>
        <w:tc>
          <w:tcPr>
            <w:tcW w:w="4677" w:type="dxa"/>
          </w:tcPr>
          <w:p w:rsidR="00043D8B" w:rsidRPr="00C47712" w:rsidRDefault="00043D8B" w:rsidP="00D15EE0">
            <w:pPr>
              <w:spacing w:after="0"/>
              <w:ind w:left="4" w:right="49"/>
              <w:jc w:val="both"/>
              <w:rPr>
                <w:rFonts w:ascii="Times New Roman" w:hAnsi="Times New Roman"/>
                <w:sz w:val="20"/>
              </w:rPr>
            </w:pPr>
            <w:r>
              <w:rPr>
                <w:rFonts w:ascii="Times New Roman" w:hAnsi="Times New Roman"/>
                <w:sz w:val="20"/>
              </w:rPr>
              <w:t xml:space="preserve">Návrh SMERNICA EURÓPSKEHO PARLAMENTU A RADY, ktorou sa ukončujú sezónne zmeny času </w:t>
            </w:r>
          </w:p>
          <w:p w:rsidR="00043D8B" w:rsidRPr="00C47712" w:rsidRDefault="00043D8B" w:rsidP="00D15EE0">
            <w:pPr>
              <w:spacing w:after="0"/>
              <w:ind w:left="4" w:right="49"/>
              <w:jc w:val="both"/>
              <w:rPr>
                <w:rFonts w:ascii="Times New Roman" w:hAnsi="Times New Roman"/>
                <w:sz w:val="20"/>
              </w:rPr>
            </w:pPr>
            <w:r>
              <w:rPr>
                <w:rFonts w:ascii="Times New Roman" w:hAnsi="Times New Roman"/>
                <w:sz w:val="20"/>
              </w:rPr>
              <w:t>a zrušuje smernica 2000/84/ES** COM (2018) 639 final 2018/0332 COD  12. 9. 2018</w:t>
            </w:r>
          </w:p>
        </w:tc>
        <w:tc>
          <w:tcPr>
            <w:tcW w:w="1418" w:type="dxa"/>
          </w:tcPr>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MPSaVR SR</w:t>
            </w:r>
          </w:p>
          <w:p w:rsidR="00043D8B" w:rsidRPr="006458BF" w:rsidRDefault="00043D8B" w:rsidP="003847E2">
            <w:pPr>
              <w:spacing w:after="0"/>
              <w:ind w:left="4" w:right="49"/>
              <w:rPr>
                <w:rFonts w:ascii="Times New Roman" w:hAnsi="Times New Roman"/>
                <w:b/>
                <w:sz w:val="20"/>
              </w:rPr>
            </w:pPr>
            <w:r>
              <w:rPr>
                <w:rFonts w:ascii="Times New Roman" w:hAnsi="Times New Roman"/>
                <w:b/>
                <w:sz w:val="20"/>
              </w:rPr>
              <w:t>MZVEZ SR</w:t>
            </w:r>
          </w:p>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MZ SR</w:t>
            </w:r>
            <w:r w:rsidRPr="006458BF">
              <w:rPr>
                <w:rFonts w:ascii="Times New Roman" w:hAnsi="Times New Roman"/>
                <w:b/>
                <w:sz w:val="20"/>
              </w:rPr>
              <w:br/>
              <w:t>MH SR</w:t>
            </w:r>
          </w:p>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MDaV SR</w:t>
            </w:r>
            <w:r w:rsidRPr="006458BF">
              <w:rPr>
                <w:rFonts w:ascii="Times New Roman" w:hAnsi="Times New Roman"/>
                <w:b/>
                <w:sz w:val="20"/>
              </w:rPr>
              <w:br/>
            </w:r>
          </w:p>
        </w:tc>
        <w:tc>
          <w:tcPr>
            <w:tcW w:w="5386" w:type="dxa"/>
          </w:tcPr>
          <w:p w:rsidR="00043D8B" w:rsidRPr="00F562C2" w:rsidRDefault="00043D8B" w:rsidP="003847E2">
            <w:pPr>
              <w:spacing w:after="0"/>
              <w:ind w:left="4" w:right="49"/>
              <w:rPr>
                <w:rFonts w:ascii="Times New Roman" w:hAnsi="Times New Roman"/>
                <w:b/>
                <w:color w:val="auto"/>
                <w:sz w:val="20"/>
                <w:u w:val="single"/>
              </w:rPr>
            </w:pPr>
            <w:r>
              <w:rPr>
                <w:rFonts w:ascii="Times New Roman" w:hAnsi="Times New Roman"/>
                <w:b/>
                <w:color w:val="auto"/>
                <w:sz w:val="20"/>
                <w:u w:val="single"/>
              </w:rPr>
              <w:t xml:space="preserve">Vysoká </w:t>
            </w:r>
            <w:r w:rsidRPr="00F562C2">
              <w:rPr>
                <w:rFonts w:ascii="Times New Roman" w:hAnsi="Times New Roman"/>
                <w:b/>
                <w:color w:val="auto"/>
                <w:sz w:val="20"/>
                <w:u w:val="single"/>
              </w:rPr>
              <w:t>priorita</w:t>
            </w:r>
          </w:p>
          <w:p w:rsidR="00043D8B" w:rsidRPr="00F562C2" w:rsidRDefault="00043D8B" w:rsidP="003847E2">
            <w:pPr>
              <w:spacing w:after="0"/>
              <w:jc w:val="both"/>
              <w:rPr>
                <w:rFonts w:ascii="Times New Roman" w:hAnsi="Times New Roman"/>
                <w:noProof/>
                <w:color w:val="auto"/>
                <w:sz w:val="20"/>
                <w:szCs w:val="20"/>
                <w:lang w:eastAsia="en-US"/>
              </w:rPr>
            </w:pPr>
            <w:r w:rsidRPr="00F562C2">
              <w:rPr>
                <w:rFonts w:ascii="Times New Roman" w:hAnsi="Times New Roman"/>
                <w:noProof/>
                <w:color w:val="auto"/>
                <w:sz w:val="20"/>
                <w:szCs w:val="20"/>
                <w:lang w:eastAsia="en-US"/>
              </w:rPr>
              <w:t>Rokovania k tejto té</w:t>
            </w:r>
            <w:r>
              <w:rPr>
                <w:rFonts w:ascii="Times New Roman" w:hAnsi="Times New Roman"/>
                <w:noProof/>
                <w:color w:val="auto"/>
                <w:sz w:val="20"/>
                <w:szCs w:val="20"/>
                <w:lang w:eastAsia="en-US"/>
              </w:rPr>
              <w:t>me budú prebiehať aj v roku 2019</w:t>
            </w:r>
            <w:r w:rsidRPr="00F562C2">
              <w:rPr>
                <w:rFonts w:ascii="Times New Roman" w:hAnsi="Times New Roman"/>
                <w:noProof/>
                <w:color w:val="auto"/>
                <w:sz w:val="20"/>
                <w:szCs w:val="20"/>
                <w:lang w:eastAsia="en-US"/>
              </w:rPr>
              <w:t xml:space="preserve"> a je nutné koordinovať postoj SR s pozíciou ostatných ČŠ</w:t>
            </w:r>
            <w:r>
              <w:rPr>
                <w:rFonts w:ascii="Times New Roman" w:hAnsi="Times New Roman"/>
                <w:noProof/>
                <w:color w:val="auto"/>
                <w:sz w:val="20"/>
                <w:szCs w:val="20"/>
                <w:lang w:eastAsia="en-US"/>
              </w:rPr>
              <w:t xml:space="preserve"> (hlavne susednými)</w:t>
            </w:r>
            <w:r w:rsidRPr="00F562C2">
              <w:rPr>
                <w:rFonts w:ascii="Times New Roman" w:hAnsi="Times New Roman"/>
                <w:noProof/>
                <w:color w:val="auto"/>
                <w:sz w:val="20"/>
                <w:szCs w:val="20"/>
                <w:lang w:eastAsia="en-US"/>
              </w:rPr>
              <w:t xml:space="preserve">. </w:t>
            </w:r>
          </w:p>
          <w:p w:rsidR="00043D8B" w:rsidRDefault="00043D8B" w:rsidP="003847E2">
            <w:pPr>
              <w:spacing w:after="0"/>
              <w:jc w:val="both"/>
              <w:rPr>
                <w:rFonts w:ascii="Times New Roman" w:hAnsi="Times New Roman"/>
                <w:noProof/>
                <w:color w:val="auto"/>
                <w:sz w:val="20"/>
                <w:szCs w:val="20"/>
                <w:lang w:eastAsia="en-US"/>
              </w:rPr>
            </w:pPr>
            <w:r>
              <w:rPr>
                <w:rFonts w:ascii="Times New Roman" w:hAnsi="Times New Roman"/>
                <w:noProof/>
                <w:color w:val="auto"/>
                <w:sz w:val="20"/>
                <w:szCs w:val="20"/>
                <w:lang w:eastAsia="en-US"/>
              </w:rPr>
              <w:t xml:space="preserve">Obsahom smernice je konštatovanie, že v súvislosti so  zvýšenou mierou pochybností o súčasnej úprave letného času členskými štátmi EÚ, je nevyhnutnou  alternatívou, ktorá je k dispozícii na zabezpečenie harmonizovaného prístupu, koordinované zrušenie zmeny času dvakrát ročne, ako sa uvádza v návrhu smernice.  S cieľom zabezpečiť kontinuálny harmonizovaný prístup Komisia preto navrhuje zastaviť v Únii sezónne zmeny času dvakrát ročne, a zároveň každému členskému štátu ponechať možnosť rozhodnúť o svojom </w:t>
            </w:r>
            <w:r w:rsidR="005B0F9A">
              <w:rPr>
                <w:rFonts w:ascii="Times New Roman" w:hAnsi="Times New Roman"/>
                <w:noProof/>
                <w:color w:val="auto"/>
                <w:sz w:val="20"/>
                <w:szCs w:val="20"/>
                <w:lang w:eastAsia="en-US"/>
              </w:rPr>
              <w:t xml:space="preserve">časovom režime. </w:t>
            </w:r>
            <w:r>
              <w:rPr>
                <w:rFonts w:ascii="Times New Roman" w:hAnsi="Times New Roman"/>
                <w:noProof/>
                <w:color w:val="auto"/>
                <w:sz w:val="20"/>
                <w:szCs w:val="20"/>
                <w:lang w:eastAsia="en-US"/>
              </w:rPr>
              <w:t>V tejto súvislosti rezort zdravotníctva zastáva súhlasnú pozíciu s tým, že podporuje zrušenie striedania zmien času 2x ročne.  Zo zdravotného pohľadu však nie je jednoznačná argumentácia v prosp</w:t>
            </w:r>
            <w:r w:rsidR="003847E2">
              <w:rPr>
                <w:rFonts w:ascii="Times New Roman" w:hAnsi="Times New Roman"/>
                <w:noProof/>
                <w:color w:val="auto"/>
                <w:sz w:val="20"/>
                <w:szCs w:val="20"/>
                <w:lang w:eastAsia="en-US"/>
              </w:rPr>
              <w:t>ech zimného alebo letného času.</w:t>
            </w:r>
          </w:p>
          <w:p w:rsidR="00D15EE0" w:rsidRDefault="00D15EE0" w:rsidP="003847E2">
            <w:pPr>
              <w:spacing w:after="0"/>
              <w:jc w:val="both"/>
              <w:rPr>
                <w:rFonts w:ascii="Times New Roman" w:hAnsi="Times New Roman"/>
                <w:noProof/>
                <w:color w:val="auto"/>
                <w:sz w:val="20"/>
                <w:szCs w:val="20"/>
                <w:lang w:eastAsia="en-US"/>
              </w:rPr>
            </w:pPr>
          </w:p>
          <w:p w:rsidR="00D15EE0" w:rsidRDefault="00D15EE0" w:rsidP="003847E2">
            <w:pPr>
              <w:spacing w:after="0"/>
              <w:jc w:val="both"/>
              <w:rPr>
                <w:rFonts w:ascii="Times New Roman" w:hAnsi="Times New Roman"/>
                <w:noProof/>
                <w:color w:val="auto"/>
                <w:sz w:val="20"/>
                <w:szCs w:val="20"/>
                <w:lang w:eastAsia="en-US"/>
              </w:rPr>
            </w:pPr>
          </w:p>
          <w:p w:rsidR="00D15EE0" w:rsidRDefault="00D15EE0" w:rsidP="003847E2">
            <w:pPr>
              <w:spacing w:after="0"/>
              <w:jc w:val="both"/>
              <w:rPr>
                <w:rFonts w:ascii="Times New Roman" w:hAnsi="Times New Roman"/>
                <w:noProof/>
                <w:color w:val="auto"/>
                <w:sz w:val="20"/>
                <w:szCs w:val="20"/>
                <w:lang w:eastAsia="en-US"/>
              </w:rPr>
            </w:pPr>
          </w:p>
          <w:p w:rsidR="00D15EE0" w:rsidRDefault="00D15EE0" w:rsidP="003847E2">
            <w:pPr>
              <w:spacing w:after="0"/>
              <w:jc w:val="both"/>
              <w:rPr>
                <w:rFonts w:ascii="Times New Roman" w:hAnsi="Times New Roman"/>
                <w:noProof/>
                <w:color w:val="auto"/>
                <w:sz w:val="20"/>
                <w:szCs w:val="20"/>
                <w:lang w:eastAsia="en-US"/>
              </w:rPr>
            </w:pPr>
          </w:p>
          <w:p w:rsidR="00D15EE0" w:rsidRDefault="00D15EE0" w:rsidP="003847E2">
            <w:pPr>
              <w:spacing w:after="0"/>
              <w:jc w:val="both"/>
              <w:rPr>
                <w:rFonts w:ascii="Times New Roman" w:hAnsi="Times New Roman"/>
                <w:noProof/>
                <w:color w:val="auto"/>
                <w:sz w:val="20"/>
                <w:szCs w:val="20"/>
                <w:lang w:eastAsia="en-US"/>
              </w:rPr>
            </w:pPr>
          </w:p>
          <w:p w:rsidR="00D15EE0" w:rsidRDefault="00D15EE0" w:rsidP="003847E2">
            <w:pPr>
              <w:spacing w:after="0"/>
              <w:jc w:val="both"/>
              <w:rPr>
                <w:rFonts w:ascii="Times New Roman" w:hAnsi="Times New Roman"/>
                <w:noProof/>
                <w:color w:val="auto"/>
                <w:sz w:val="20"/>
                <w:szCs w:val="20"/>
                <w:lang w:eastAsia="en-US"/>
              </w:rPr>
            </w:pPr>
          </w:p>
          <w:p w:rsidR="00D15EE0" w:rsidRDefault="00D15EE0" w:rsidP="003847E2">
            <w:pPr>
              <w:spacing w:after="0"/>
              <w:jc w:val="both"/>
              <w:rPr>
                <w:rFonts w:ascii="Times New Roman" w:hAnsi="Times New Roman"/>
                <w:noProof/>
                <w:color w:val="auto"/>
                <w:sz w:val="20"/>
                <w:szCs w:val="20"/>
                <w:lang w:eastAsia="en-US"/>
              </w:rPr>
            </w:pPr>
          </w:p>
          <w:p w:rsidR="00D15EE0" w:rsidRDefault="00D15EE0" w:rsidP="003847E2">
            <w:pPr>
              <w:spacing w:after="0"/>
              <w:jc w:val="both"/>
              <w:rPr>
                <w:rFonts w:ascii="Times New Roman" w:hAnsi="Times New Roman"/>
                <w:noProof/>
                <w:color w:val="auto"/>
                <w:sz w:val="20"/>
                <w:szCs w:val="20"/>
                <w:lang w:eastAsia="en-US"/>
              </w:rPr>
            </w:pPr>
          </w:p>
          <w:p w:rsidR="00D15EE0" w:rsidRDefault="00D15EE0" w:rsidP="003847E2">
            <w:pPr>
              <w:spacing w:after="0"/>
              <w:jc w:val="both"/>
              <w:rPr>
                <w:rFonts w:ascii="Times New Roman" w:hAnsi="Times New Roman"/>
                <w:noProof/>
                <w:color w:val="auto"/>
                <w:sz w:val="20"/>
                <w:szCs w:val="20"/>
                <w:lang w:eastAsia="en-US"/>
              </w:rPr>
            </w:pPr>
          </w:p>
          <w:p w:rsidR="00D15EE0" w:rsidRDefault="00D15EE0" w:rsidP="003847E2">
            <w:pPr>
              <w:spacing w:after="0"/>
              <w:jc w:val="both"/>
              <w:rPr>
                <w:rFonts w:ascii="Times New Roman" w:hAnsi="Times New Roman"/>
                <w:noProof/>
                <w:color w:val="auto"/>
                <w:sz w:val="20"/>
                <w:szCs w:val="20"/>
                <w:lang w:eastAsia="en-US"/>
              </w:rPr>
            </w:pPr>
          </w:p>
          <w:p w:rsidR="00D15EE0" w:rsidRDefault="00D15EE0" w:rsidP="003847E2">
            <w:pPr>
              <w:spacing w:after="0"/>
              <w:jc w:val="both"/>
              <w:rPr>
                <w:rFonts w:ascii="Times New Roman" w:hAnsi="Times New Roman"/>
                <w:noProof/>
                <w:color w:val="auto"/>
                <w:sz w:val="20"/>
                <w:szCs w:val="20"/>
                <w:lang w:eastAsia="en-US"/>
              </w:rPr>
            </w:pPr>
          </w:p>
          <w:p w:rsidR="00D15EE0" w:rsidRDefault="00D15EE0" w:rsidP="003847E2">
            <w:pPr>
              <w:spacing w:after="0"/>
              <w:jc w:val="both"/>
              <w:rPr>
                <w:rFonts w:ascii="Times New Roman" w:hAnsi="Times New Roman"/>
                <w:noProof/>
                <w:color w:val="auto"/>
                <w:sz w:val="20"/>
                <w:szCs w:val="20"/>
                <w:lang w:eastAsia="en-US"/>
              </w:rPr>
            </w:pPr>
          </w:p>
          <w:p w:rsidR="00D15EE0" w:rsidRDefault="00D15EE0" w:rsidP="003847E2">
            <w:pPr>
              <w:spacing w:after="0"/>
              <w:jc w:val="both"/>
              <w:rPr>
                <w:rFonts w:ascii="Times New Roman" w:hAnsi="Times New Roman"/>
                <w:noProof/>
                <w:color w:val="auto"/>
                <w:sz w:val="20"/>
                <w:szCs w:val="20"/>
                <w:lang w:eastAsia="en-US"/>
              </w:rPr>
            </w:pPr>
          </w:p>
          <w:p w:rsidR="00D15EE0" w:rsidRDefault="00D15EE0" w:rsidP="003847E2">
            <w:pPr>
              <w:spacing w:after="0"/>
              <w:jc w:val="both"/>
              <w:rPr>
                <w:rFonts w:ascii="Times New Roman" w:hAnsi="Times New Roman"/>
                <w:noProof/>
                <w:color w:val="auto"/>
                <w:sz w:val="20"/>
                <w:szCs w:val="20"/>
                <w:lang w:eastAsia="en-US"/>
              </w:rPr>
            </w:pPr>
          </w:p>
          <w:p w:rsidR="00D15EE0" w:rsidRDefault="00D15EE0" w:rsidP="003847E2">
            <w:pPr>
              <w:spacing w:after="0"/>
              <w:jc w:val="both"/>
              <w:rPr>
                <w:rFonts w:ascii="Times New Roman" w:hAnsi="Times New Roman"/>
                <w:noProof/>
                <w:color w:val="auto"/>
                <w:sz w:val="20"/>
                <w:szCs w:val="20"/>
                <w:lang w:eastAsia="en-US"/>
              </w:rPr>
            </w:pPr>
          </w:p>
          <w:p w:rsidR="00D15EE0" w:rsidRDefault="00D15EE0" w:rsidP="003847E2">
            <w:pPr>
              <w:spacing w:after="0"/>
              <w:jc w:val="both"/>
              <w:rPr>
                <w:rFonts w:ascii="Times New Roman" w:hAnsi="Times New Roman"/>
                <w:noProof/>
                <w:color w:val="auto"/>
                <w:sz w:val="20"/>
                <w:szCs w:val="20"/>
                <w:lang w:eastAsia="en-US"/>
              </w:rPr>
            </w:pPr>
          </w:p>
          <w:p w:rsidR="00B1660F" w:rsidRDefault="00B1660F" w:rsidP="003847E2">
            <w:pPr>
              <w:spacing w:after="0"/>
              <w:jc w:val="both"/>
              <w:rPr>
                <w:rFonts w:ascii="Times New Roman" w:hAnsi="Times New Roman"/>
                <w:noProof/>
                <w:color w:val="auto"/>
                <w:sz w:val="20"/>
                <w:szCs w:val="20"/>
                <w:lang w:eastAsia="en-US"/>
              </w:rPr>
            </w:pPr>
          </w:p>
          <w:p w:rsidR="00A76153" w:rsidRPr="00F562C2" w:rsidRDefault="00A76153" w:rsidP="003847E2">
            <w:pPr>
              <w:spacing w:after="0"/>
              <w:jc w:val="both"/>
              <w:rPr>
                <w:rFonts w:ascii="Times New Roman" w:hAnsi="Times New Roman"/>
                <w:noProof/>
                <w:color w:val="auto"/>
                <w:sz w:val="20"/>
                <w:szCs w:val="20"/>
                <w:lang w:eastAsia="en-US"/>
              </w:rPr>
            </w:pPr>
          </w:p>
        </w:tc>
      </w:tr>
    </w:tbl>
    <w:p w:rsidR="00043D8B" w:rsidRPr="00043D8B" w:rsidRDefault="00043D8B" w:rsidP="00043D8B">
      <w:pPr>
        <w:spacing w:after="0"/>
        <w:rPr>
          <w:rFonts w:cs="Times New Roman"/>
          <w:vanish/>
          <w:lang w:eastAsia="en-US"/>
        </w:rPr>
      </w:pPr>
    </w:p>
    <w:tbl>
      <w:tblPr>
        <w:tblStyle w:val="ablnaChar"/>
        <w:tblW w:w="14908" w:type="dxa"/>
        <w:tblInd w:w="-83" w:type="dxa"/>
        <w:tblCellMar>
          <w:top w:w="92" w:type="dxa"/>
          <w:left w:w="83" w:type="dxa"/>
          <w:right w:w="32" w:type="dxa"/>
        </w:tblCellMar>
        <w:tblLook w:val="04A0" w:firstRow="1" w:lastRow="0" w:firstColumn="1" w:lastColumn="0" w:noHBand="0" w:noVBand="1"/>
      </w:tblPr>
      <w:tblGrid>
        <w:gridCol w:w="387"/>
        <w:gridCol w:w="1622"/>
        <w:gridCol w:w="6095"/>
        <w:gridCol w:w="1418"/>
        <w:gridCol w:w="5386"/>
      </w:tblGrid>
      <w:tr w:rsidR="00043D8B" w:rsidTr="007864C8">
        <w:trPr>
          <w:trHeight w:val="499"/>
        </w:trPr>
        <w:tc>
          <w:tcPr>
            <w:tcW w:w="387" w:type="dxa"/>
            <w:tcBorders>
              <w:top w:val="single" w:sz="4" w:space="0" w:color="auto"/>
              <w:left w:val="single" w:sz="4" w:space="0" w:color="auto"/>
              <w:bottom w:val="single" w:sz="4" w:space="0" w:color="auto"/>
              <w:right w:val="single" w:sz="4" w:space="0" w:color="auto"/>
            </w:tcBorders>
            <w:shd w:val="clear" w:color="auto" w:fill="99CCFF"/>
          </w:tcPr>
          <w:p w:rsidR="00043D8B" w:rsidRDefault="00043D8B" w:rsidP="00043D8B">
            <w:pPr>
              <w:ind w:left="17"/>
              <w:rPr>
                <w:rFonts w:ascii="Times New Roman" w:hAnsi="Times New Roman"/>
                <w:b/>
                <w:sz w:val="20"/>
              </w:rPr>
            </w:pPr>
          </w:p>
          <w:p w:rsidR="00043D8B" w:rsidRDefault="00043D8B" w:rsidP="00043D8B">
            <w:pPr>
              <w:ind w:left="17"/>
            </w:pPr>
          </w:p>
        </w:tc>
        <w:tc>
          <w:tcPr>
            <w:tcW w:w="1622" w:type="dxa"/>
            <w:tcBorders>
              <w:top w:val="single" w:sz="4" w:space="0" w:color="auto"/>
              <w:left w:val="single" w:sz="4" w:space="0" w:color="auto"/>
              <w:bottom w:val="single" w:sz="4" w:space="0" w:color="auto"/>
              <w:right w:val="single" w:sz="4" w:space="0" w:color="auto"/>
            </w:tcBorders>
            <w:shd w:val="clear" w:color="auto" w:fill="99CCFF"/>
          </w:tcPr>
          <w:p w:rsidR="00043D8B" w:rsidRDefault="00043D8B" w:rsidP="00043D8B">
            <w:pPr>
              <w:ind w:right="48"/>
              <w:jc w:val="center"/>
            </w:pPr>
            <w:r>
              <w:rPr>
                <w:rFonts w:ascii="Times New Roman" w:hAnsi="Times New Roman"/>
                <w:b/>
                <w:sz w:val="20"/>
              </w:rPr>
              <w:t xml:space="preserve">Názov </w:t>
            </w:r>
          </w:p>
        </w:tc>
        <w:tc>
          <w:tcPr>
            <w:tcW w:w="6095" w:type="dxa"/>
            <w:tcBorders>
              <w:top w:val="single" w:sz="4" w:space="0" w:color="auto"/>
              <w:left w:val="single" w:sz="4" w:space="0" w:color="auto"/>
              <w:bottom w:val="single" w:sz="4" w:space="0" w:color="auto"/>
              <w:right w:val="single" w:sz="4" w:space="0" w:color="auto"/>
            </w:tcBorders>
            <w:shd w:val="clear" w:color="auto" w:fill="99CCFF"/>
          </w:tcPr>
          <w:p w:rsidR="00043D8B" w:rsidRDefault="00043D8B" w:rsidP="00043D8B">
            <w:pPr>
              <w:ind w:right="50"/>
              <w:jc w:val="center"/>
              <w:rPr>
                <w:rFonts w:ascii="Times New Roman" w:hAnsi="Times New Roman"/>
                <w:b/>
                <w:sz w:val="20"/>
              </w:rPr>
            </w:pPr>
            <w:r>
              <w:rPr>
                <w:rFonts w:ascii="Times New Roman" w:hAnsi="Times New Roman"/>
                <w:b/>
                <w:sz w:val="20"/>
              </w:rPr>
              <w:t>Opis</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043D8B" w:rsidRDefault="00043D8B" w:rsidP="00043D8B">
            <w:pPr>
              <w:ind w:right="50"/>
              <w:jc w:val="center"/>
              <w:rPr>
                <w:rFonts w:ascii="Times New Roman" w:hAnsi="Times New Roman"/>
                <w:b/>
                <w:sz w:val="20"/>
              </w:rPr>
            </w:pPr>
            <w:r>
              <w:rPr>
                <w:rFonts w:ascii="Times New Roman" w:hAnsi="Times New Roman"/>
                <w:b/>
                <w:sz w:val="20"/>
              </w:rPr>
              <w:t>Gestor</w:t>
            </w:r>
          </w:p>
        </w:tc>
        <w:tc>
          <w:tcPr>
            <w:tcW w:w="5386" w:type="dxa"/>
            <w:tcBorders>
              <w:top w:val="single" w:sz="4" w:space="0" w:color="auto"/>
              <w:left w:val="single" w:sz="4" w:space="0" w:color="auto"/>
              <w:bottom w:val="single" w:sz="4" w:space="0" w:color="auto"/>
              <w:right w:val="single" w:sz="4" w:space="0" w:color="auto"/>
            </w:tcBorders>
            <w:shd w:val="clear" w:color="auto" w:fill="99CCFF"/>
          </w:tcPr>
          <w:p w:rsidR="00043D8B" w:rsidRDefault="00043D8B" w:rsidP="00043D8B">
            <w:pPr>
              <w:ind w:right="50"/>
              <w:jc w:val="center"/>
              <w:rPr>
                <w:rFonts w:ascii="Times New Roman" w:hAnsi="Times New Roman"/>
                <w:b/>
                <w:sz w:val="20"/>
              </w:rPr>
            </w:pPr>
            <w:r>
              <w:rPr>
                <w:rFonts w:ascii="Times New Roman" w:hAnsi="Times New Roman"/>
                <w:b/>
                <w:sz w:val="20"/>
              </w:rPr>
              <w:t xml:space="preserve">Stupeň priority a pozícia SR </w:t>
            </w:r>
          </w:p>
        </w:tc>
      </w:tr>
      <w:tr w:rsidR="00043D8B" w:rsidTr="00833647">
        <w:tblPrEx>
          <w:tblCellMar>
            <w:top w:w="64" w:type="dxa"/>
            <w:right w:w="22" w:type="dxa"/>
          </w:tblCellMar>
        </w:tblPrEx>
        <w:trPr>
          <w:trHeight w:val="499"/>
        </w:trPr>
        <w:tc>
          <w:tcPr>
            <w:tcW w:w="14908" w:type="dxa"/>
            <w:gridSpan w:val="5"/>
            <w:tcBorders>
              <w:top w:val="single" w:sz="4" w:space="0" w:color="000000"/>
              <w:left w:val="single" w:sz="4" w:space="0" w:color="000000"/>
              <w:bottom w:val="single" w:sz="4" w:space="0" w:color="000000"/>
              <w:right w:val="single" w:sz="4" w:space="0" w:color="000000"/>
            </w:tcBorders>
            <w:shd w:val="clear" w:color="auto" w:fill="92D050"/>
          </w:tcPr>
          <w:p w:rsidR="00043D8B" w:rsidRDefault="00043D8B" w:rsidP="00043D8B">
            <w:r>
              <w:rPr>
                <w:rFonts w:ascii="Times New Roman" w:hAnsi="Times New Roman"/>
                <w:b/>
                <w:sz w:val="20"/>
              </w:rPr>
              <w:t>Hlbší a spravodlivejší vnútorný trh so silnejšou priemyselnou základňou</w:t>
            </w:r>
          </w:p>
        </w:tc>
      </w:tr>
    </w:tbl>
    <w:p w:rsidR="00043D8B" w:rsidRPr="00043D8B" w:rsidRDefault="00043D8B" w:rsidP="00043D8B">
      <w:pPr>
        <w:spacing w:after="0"/>
        <w:rPr>
          <w:vanish/>
        </w:rPr>
      </w:pPr>
    </w:p>
    <w:tbl>
      <w:tblPr>
        <w:tblStyle w:val="Mriekatabuky"/>
        <w:tblpPr w:leftFromText="141" w:rightFromText="141" w:vertAnchor="text" w:horzAnchor="margin" w:tblpY="8"/>
        <w:tblW w:w="14850" w:type="dxa"/>
        <w:tblLook w:val="04A0" w:firstRow="1" w:lastRow="0" w:firstColumn="1" w:lastColumn="0" w:noHBand="0" w:noVBand="1"/>
      </w:tblPr>
      <w:tblGrid>
        <w:gridCol w:w="466"/>
        <w:gridCol w:w="1943"/>
        <w:gridCol w:w="5637"/>
        <w:gridCol w:w="1418"/>
        <w:gridCol w:w="5386"/>
      </w:tblGrid>
      <w:tr w:rsidR="00043D8B" w:rsidTr="007864C8">
        <w:trPr>
          <w:trHeight w:val="1833"/>
        </w:trPr>
        <w:tc>
          <w:tcPr>
            <w:tcW w:w="466" w:type="dxa"/>
          </w:tcPr>
          <w:p w:rsidR="00043D8B" w:rsidRDefault="00043D8B" w:rsidP="003847E2">
            <w:pPr>
              <w:spacing w:after="0"/>
            </w:pPr>
            <w:r>
              <w:rPr>
                <w:rFonts w:ascii="Times New Roman" w:hAnsi="Times New Roman"/>
                <w:sz w:val="20"/>
              </w:rPr>
              <w:t>20.</w:t>
            </w:r>
            <w:r>
              <w:rPr>
                <w:rFonts w:ascii="Arial" w:hAnsi="Arial" w:cs="Arial"/>
                <w:sz w:val="20"/>
              </w:rPr>
              <w:t xml:space="preserve"> </w:t>
            </w:r>
            <w:r>
              <w:rPr>
                <w:rFonts w:ascii="Times New Roman" w:hAnsi="Times New Roman"/>
                <w:sz w:val="20"/>
              </w:rPr>
              <w:t xml:space="preserve"> </w:t>
            </w:r>
          </w:p>
          <w:p w:rsidR="00043D8B" w:rsidRDefault="00043D8B" w:rsidP="003847E2">
            <w:pPr>
              <w:spacing w:after="0"/>
              <w:jc w:val="right"/>
            </w:pPr>
            <w:r>
              <w:rPr>
                <w:rFonts w:ascii="Times New Roman" w:hAnsi="Times New Roman"/>
                <w:sz w:val="20"/>
              </w:rPr>
              <w:t xml:space="preserve"> </w:t>
            </w:r>
          </w:p>
          <w:p w:rsidR="00043D8B" w:rsidRDefault="00043D8B" w:rsidP="003847E2">
            <w:pPr>
              <w:spacing w:after="0"/>
              <w:jc w:val="right"/>
            </w:pPr>
            <w:r>
              <w:rPr>
                <w:rFonts w:ascii="Times New Roman" w:hAnsi="Times New Roman"/>
                <w:sz w:val="20"/>
              </w:rPr>
              <w:t xml:space="preserve"> </w:t>
            </w:r>
          </w:p>
        </w:tc>
        <w:tc>
          <w:tcPr>
            <w:tcW w:w="1943" w:type="dxa"/>
          </w:tcPr>
          <w:p w:rsidR="00043D8B" w:rsidRDefault="00043D8B" w:rsidP="003847E2">
            <w:pPr>
              <w:spacing w:after="0"/>
              <w:ind w:left="1"/>
              <w:jc w:val="both"/>
            </w:pPr>
            <w:r>
              <w:rPr>
                <w:rFonts w:ascii="Times New Roman" w:hAnsi="Times New Roman"/>
                <w:sz w:val="20"/>
              </w:rPr>
              <w:t xml:space="preserve">Balík predpisov v oblasti udržateľného financovania </w:t>
            </w:r>
          </w:p>
        </w:tc>
        <w:tc>
          <w:tcPr>
            <w:tcW w:w="5637" w:type="dxa"/>
          </w:tcPr>
          <w:p w:rsidR="00043D8B" w:rsidRDefault="00043D8B" w:rsidP="00D15EE0">
            <w:pPr>
              <w:spacing w:after="0"/>
              <w:ind w:left="1"/>
              <w:jc w:val="both"/>
            </w:pPr>
            <w:r>
              <w:rPr>
                <w:rFonts w:ascii="Times New Roman" w:hAnsi="Times New Roman"/>
                <w:sz w:val="20"/>
              </w:rPr>
              <w:t>Návrh NARIADENIA EURÓPSKEHO PARLAMENTU A RADY o vytvorení rámca na uľahčenie udržateľných investícií** COM (2018) 353 final 2018/0178 COD  24. 5. 2018</w:t>
            </w:r>
          </w:p>
          <w:p w:rsidR="00043D8B" w:rsidRDefault="00043D8B" w:rsidP="00D15EE0">
            <w:pPr>
              <w:spacing w:after="0"/>
              <w:jc w:val="both"/>
            </w:pPr>
          </w:p>
        </w:tc>
        <w:tc>
          <w:tcPr>
            <w:tcW w:w="1418" w:type="dxa"/>
          </w:tcPr>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MF SR</w:t>
            </w:r>
          </w:p>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MŽP SR</w:t>
            </w:r>
          </w:p>
        </w:tc>
        <w:tc>
          <w:tcPr>
            <w:tcW w:w="5386" w:type="dxa"/>
          </w:tcPr>
          <w:p w:rsidR="00043D8B" w:rsidRPr="00150E00" w:rsidRDefault="00043D8B" w:rsidP="003847E2">
            <w:pPr>
              <w:spacing w:after="0"/>
              <w:ind w:left="4" w:right="49"/>
              <w:rPr>
                <w:rFonts w:ascii="Times New Roman" w:hAnsi="Times New Roman"/>
                <w:b/>
                <w:sz w:val="20"/>
                <w:szCs w:val="20"/>
                <w:u w:val="single"/>
              </w:rPr>
            </w:pPr>
            <w:r w:rsidRPr="00150E00">
              <w:rPr>
                <w:rFonts w:ascii="Times New Roman" w:hAnsi="Times New Roman"/>
                <w:b/>
                <w:sz w:val="20"/>
                <w:szCs w:val="20"/>
                <w:u w:val="single"/>
              </w:rPr>
              <w:t xml:space="preserve">Stredná priorita </w:t>
            </w:r>
          </w:p>
          <w:p w:rsidR="00043D8B" w:rsidRPr="00EA6778" w:rsidRDefault="00043D8B" w:rsidP="003847E2">
            <w:pPr>
              <w:spacing w:after="0"/>
              <w:ind w:left="4" w:right="49"/>
              <w:jc w:val="both"/>
              <w:rPr>
                <w:rFonts w:ascii="Times New Roman" w:hAnsi="Times New Roman"/>
                <w:sz w:val="20"/>
                <w:szCs w:val="20"/>
              </w:rPr>
            </w:pPr>
            <w:r>
              <w:rPr>
                <w:rFonts w:ascii="Times New Roman" w:hAnsi="Times New Roman"/>
                <w:sz w:val="20"/>
                <w:szCs w:val="20"/>
              </w:rPr>
              <w:t xml:space="preserve">SR víta </w:t>
            </w:r>
            <w:r w:rsidRPr="00EA6778">
              <w:rPr>
                <w:rFonts w:ascii="Times New Roman" w:hAnsi="Times New Roman"/>
                <w:sz w:val="20"/>
                <w:szCs w:val="20"/>
              </w:rPr>
              <w:t xml:space="preserve"> iniciatívu Európskej komisie v oblasti udržateľných financií, vrátane jej cieľa transformovať európske hospodárstvo na ekologickejší, odolnejší a cyklický systém. </w:t>
            </w:r>
            <w:r>
              <w:rPr>
                <w:rFonts w:ascii="Times New Roman" w:hAnsi="Times New Roman"/>
                <w:sz w:val="20"/>
                <w:szCs w:val="20"/>
              </w:rPr>
              <w:t>U</w:t>
            </w:r>
            <w:r w:rsidRPr="00EA6778">
              <w:rPr>
                <w:rFonts w:ascii="Times New Roman" w:hAnsi="Times New Roman"/>
                <w:sz w:val="20"/>
                <w:szCs w:val="20"/>
              </w:rPr>
              <w:t xml:space="preserve">držateľné financovanie </w:t>
            </w:r>
            <w:r>
              <w:rPr>
                <w:rFonts w:ascii="Times New Roman" w:hAnsi="Times New Roman"/>
                <w:sz w:val="20"/>
                <w:szCs w:val="20"/>
              </w:rPr>
              <w:t xml:space="preserve">bude mať stále väčší </w:t>
            </w:r>
            <w:r w:rsidRPr="00EA6778">
              <w:rPr>
                <w:rFonts w:ascii="Times New Roman" w:hAnsi="Times New Roman"/>
                <w:sz w:val="20"/>
                <w:szCs w:val="20"/>
              </w:rPr>
              <w:t>význam. Z tohto dôvodu zvyšovanie povedomia účastníkov trhu o ESG faktoroch a prvkoch udržateľnosti investícií je jednou zo základných metód, ako podporiť rozvoj udržateľného financovania</w:t>
            </w:r>
          </w:p>
        </w:tc>
      </w:tr>
      <w:tr w:rsidR="00043D8B" w:rsidTr="007864C8">
        <w:tc>
          <w:tcPr>
            <w:tcW w:w="466" w:type="dxa"/>
          </w:tcPr>
          <w:p w:rsidR="00043D8B" w:rsidRDefault="00043D8B" w:rsidP="003847E2">
            <w:pPr>
              <w:spacing w:after="0"/>
            </w:pPr>
          </w:p>
        </w:tc>
        <w:tc>
          <w:tcPr>
            <w:tcW w:w="1943" w:type="dxa"/>
          </w:tcPr>
          <w:p w:rsidR="00043D8B" w:rsidRDefault="00043D8B" w:rsidP="003847E2">
            <w:pPr>
              <w:spacing w:after="0"/>
            </w:pPr>
          </w:p>
        </w:tc>
        <w:tc>
          <w:tcPr>
            <w:tcW w:w="5637" w:type="dxa"/>
          </w:tcPr>
          <w:p w:rsidR="00043D8B" w:rsidRDefault="00043D8B" w:rsidP="00D15EE0">
            <w:pPr>
              <w:spacing w:after="0"/>
              <w:ind w:left="1"/>
              <w:jc w:val="both"/>
            </w:pPr>
            <w:r>
              <w:rPr>
                <w:rFonts w:ascii="Times New Roman" w:hAnsi="Times New Roman"/>
                <w:sz w:val="20"/>
              </w:rPr>
              <w:t>Návrh NARIADENIA EURÓPSKEHO PARLAMENTU A RADY o zverejňovaní informácií týkajúcich sa udržateľných investícií a rizík ohrozujúcich udržateľnosť, ktorým sa mení smernica (EÚ) 2016/2341** COM (2018) 354 final 2018/0179 COD  24. 5. 2018</w:t>
            </w:r>
          </w:p>
        </w:tc>
        <w:tc>
          <w:tcPr>
            <w:tcW w:w="1418" w:type="dxa"/>
          </w:tcPr>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MF SR</w:t>
            </w:r>
          </w:p>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MŽP SR</w:t>
            </w:r>
          </w:p>
        </w:tc>
        <w:tc>
          <w:tcPr>
            <w:tcW w:w="5386" w:type="dxa"/>
          </w:tcPr>
          <w:p w:rsidR="00043D8B" w:rsidRDefault="00043D8B" w:rsidP="003847E2">
            <w:pPr>
              <w:spacing w:after="0"/>
              <w:ind w:left="4" w:right="49"/>
              <w:jc w:val="both"/>
              <w:rPr>
                <w:rFonts w:ascii="Times New Roman" w:hAnsi="Times New Roman"/>
                <w:b/>
                <w:sz w:val="20"/>
                <w:szCs w:val="20"/>
                <w:u w:val="single"/>
              </w:rPr>
            </w:pPr>
            <w:r w:rsidRPr="00150E00">
              <w:rPr>
                <w:rFonts w:ascii="Times New Roman" w:hAnsi="Times New Roman"/>
                <w:b/>
                <w:sz w:val="20"/>
                <w:szCs w:val="20"/>
                <w:u w:val="single"/>
              </w:rPr>
              <w:t xml:space="preserve">Stredná priorita </w:t>
            </w:r>
            <w:r>
              <w:rPr>
                <w:rFonts w:ascii="Times New Roman" w:hAnsi="Times New Roman"/>
                <w:b/>
                <w:sz w:val="20"/>
                <w:szCs w:val="20"/>
                <w:u w:val="single"/>
              </w:rPr>
              <w:t xml:space="preserve"> </w:t>
            </w:r>
          </w:p>
          <w:p w:rsidR="00043D8B" w:rsidRPr="00150E00" w:rsidRDefault="00043D8B" w:rsidP="003847E2">
            <w:pPr>
              <w:spacing w:after="0"/>
              <w:ind w:left="4" w:right="49"/>
              <w:jc w:val="both"/>
              <w:rPr>
                <w:rFonts w:ascii="Times New Roman" w:hAnsi="Times New Roman"/>
                <w:b/>
                <w:sz w:val="20"/>
                <w:szCs w:val="20"/>
                <w:u w:val="single"/>
              </w:rPr>
            </w:pPr>
            <w:r w:rsidRPr="00EA6778">
              <w:rPr>
                <w:rFonts w:ascii="Times New Roman" w:hAnsi="Times New Roman"/>
                <w:sz w:val="20"/>
              </w:rPr>
              <w:t xml:space="preserve">SR víta  </w:t>
            </w:r>
            <w:r w:rsidRPr="00EA6778">
              <w:rPr>
                <w:rFonts w:ascii="Times New Roman" w:hAnsi="Times New Roman"/>
                <w:sz w:val="20"/>
                <w:szCs w:val="20"/>
              </w:rPr>
              <w:t>iniciatívu Európskej komisie v oblasti udržateľných financií, vrátane jej cieľa transformovať európske hospodárstvo na ekologickejší, odolnejší a cyklický systém. Udržateľné financovanie bude mať stále väčší význam. Z tohto dôvodu zvyšovanie povedomia účastníkov trhu o ESG faktoroch a prvkoch udržateľnosti investícií je jednou zo základných metód, ako podporiť rozvoj udržateľného financovania</w:t>
            </w:r>
          </w:p>
        </w:tc>
      </w:tr>
      <w:tr w:rsidR="00043D8B" w:rsidTr="007864C8">
        <w:tc>
          <w:tcPr>
            <w:tcW w:w="466" w:type="dxa"/>
          </w:tcPr>
          <w:p w:rsidR="00043D8B" w:rsidRDefault="00043D8B" w:rsidP="003847E2">
            <w:pPr>
              <w:spacing w:after="0"/>
            </w:pPr>
          </w:p>
        </w:tc>
        <w:tc>
          <w:tcPr>
            <w:tcW w:w="1943" w:type="dxa"/>
          </w:tcPr>
          <w:p w:rsidR="00043D8B" w:rsidRDefault="00043D8B" w:rsidP="003847E2">
            <w:pPr>
              <w:spacing w:after="0"/>
            </w:pPr>
          </w:p>
          <w:p w:rsidR="00043D8B" w:rsidRPr="00E3085F" w:rsidRDefault="00043D8B" w:rsidP="003847E2">
            <w:pPr>
              <w:spacing w:after="0"/>
            </w:pPr>
          </w:p>
          <w:p w:rsidR="00043D8B" w:rsidRPr="00E3085F" w:rsidRDefault="00043D8B" w:rsidP="003847E2">
            <w:pPr>
              <w:spacing w:after="0"/>
            </w:pPr>
          </w:p>
          <w:p w:rsidR="00043D8B" w:rsidRDefault="00043D8B" w:rsidP="003847E2">
            <w:pPr>
              <w:spacing w:after="0"/>
            </w:pPr>
          </w:p>
          <w:p w:rsidR="00043D8B" w:rsidRPr="00E3085F" w:rsidRDefault="00043D8B" w:rsidP="003847E2">
            <w:pPr>
              <w:spacing w:after="0"/>
              <w:jc w:val="center"/>
            </w:pPr>
          </w:p>
        </w:tc>
        <w:tc>
          <w:tcPr>
            <w:tcW w:w="5637" w:type="dxa"/>
          </w:tcPr>
          <w:p w:rsidR="00043D8B" w:rsidRDefault="00043D8B" w:rsidP="00D15EE0">
            <w:pPr>
              <w:spacing w:after="0"/>
              <w:ind w:left="1"/>
              <w:jc w:val="both"/>
            </w:pPr>
            <w:r>
              <w:rPr>
                <w:rFonts w:ascii="Times New Roman" w:hAnsi="Times New Roman"/>
                <w:sz w:val="20"/>
              </w:rPr>
              <w:t>Návrh NARIADENIA EURÓPSKEHO PARLAMENTU A RADY, ktorým sa mení nariadenie (EÚ) č. 2016/1011, pokiaľ ide o nízkouhlíkové referenčné hodnoty a referenčné hodnoty pre kladný vplyv v oblasti emisií uhlíka** COM (2018) 355 final 2018/0180 COD  24. 5. 2018</w:t>
            </w:r>
          </w:p>
        </w:tc>
        <w:tc>
          <w:tcPr>
            <w:tcW w:w="1418" w:type="dxa"/>
          </w:tcPr>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MF SR</w:t>
            </w:r>
          </w:p>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MŽP SR</w:t>
            </w:r>
          </w:p>
        </w:tc>
        <w:tc>
          <w:tcPr>
            <w:tcW w:w="5386" w:type="dxa"/>
          </w:tcPr>
          <w:p w:rsidR="00043D8B" w:rsidRPr="00150E00" w:rsidRDefault="00043D8B" w:rsidP="003847E2">
            <w:pPr>
              <w:spacing w:after="0"/>
              <w:ind w:left="4" w:right="49"/>
              <w:jc w:val="both"/>
              <w:rPr>
                <w:rFonts w:ascii="Times New Roman" w:hAnsi="Times New Roman"/>
                <w:b/>
                <w:sz w:val="20"/>
                <w:szCs w:val="20"/>
                <w:u w:val="single"/>
              </w:rPr>
            </w:pPr>
            <w:r w:rsidRPr="00150E00">
              <w:rPr>
                <w:rFonts w:ascii="Times New Roman" w:hAnsi="Times New Roman"/>
                <w:b/>
                <w:sz w:val="20"/>
                <w:szCs w:val="20"/>
                <w:u w:val="single"/>
              </w:rPr>
              <w:t xml:space="preserve">Stredná priorita </w:t>
            </w:r>
          </w:p>
          <w:p w:rsidR="00043D8B" w:rsidRPr="00DC3102" w:rsidRDefault="00043D8B" w:rsidP="003847E2">
            <w:pPr>
              <w:spacing w:after="0"/>
              <w:ind w:left="4" w:right="49"/>
              <w:jc w:val="both"/>
              <w:rPr>
                <w:rFonts w:ascii="Times New Roman" w:hAnsi="Times New Roman"/>
                <w:sz w:val="20"/>
              </w:rPr>
            </w:pPr>
            <w:r>
              <w:rPr>
                <w:rFonts w:ascii="Times New Roman" w:hAnsi="Times New Roman"/>
                <w:bCs/>
                <w:sz w:val="20"/>
                <w:szCs w:val="20"/>
              </w:rPr>
              <w:t xml:space="preserve">SR </w:t>
            </w:r>
            <w:r w:rsidRPr="00EA6778">
              <w:rPr>
                <w:rFonts w:ascii="Times New Roman" w:hAnsi="Times New Roman"/>
                <w:bCs/>
                <w:sz w:val="20"/>
                <w:szCs w:val="20"/>
              </w:rPr>
              <w:t>podporuje návrh nar</w:t>
            </w:r>
            <w:r>
              <w:rPr>
                <w:rFonts w:ascii="Times New Roman" w:hAnsi="Times New Roman"/>
                <w:bCs/>
                <w:sz w:val="20"/>
                <w:szCs w:val="20"/>
              </w:rPr>
              <w:t xml:space="preserve">iadenia a jeho ciele v oblasti určenia presnosti a spoľahlivosti </w:t>
            </w:r>
            <w:r>
              <w:rPr>
                <w:rFonts w:ascii="Times New Roman" w:hAnsi="Times New Roman"/>
                <w:sz w:val="20"/>
                <w:szCs w:val="20"/>
              </w:rPr>
              <w:t xml:space="preserve">referenčných  hodnôt a ich zjednodušenie v prospech </w:t>
            </w:r>
            <w:r w:rsidRPr="00EA6778">
              <w:rPr>
                <w:rFonts w:ascii="Times New Roman" w:hAnsi="Times New Roman"/>
                <w:sz w:val="20"/>
                <w:szCs w:val="20"/>
              </w:rPr>
              <w:t>spotrebiteľov a investorov. Návrhom nariadenia sa zavádzajú dve nové kategórie referenčných hodnôt, a to nízkouhlíkové referenčné hodnoty a referenčné hodnoty pre kladný</w:t>
            </w:r>
            <w:r>
              <w:rPr>
                <w:rFonts w:ascii="Times New Roman" w:hAnsi="Times New Roman"/>
                <w:sz w:val="20"/>
                <w:szCs w:val="20"/>
              </w:rPr>
              <w:t xml:space="preserve"> vplyv v oblasti emisii uhlíka.</w:t>
            </w:r>
          </w:p>
        </w:tc>
      </w:tr>
      <w:tr w:rsidR="00043D8B" w:rsidTr="007864C8">
        <w:tc>
          <w:tcPr>
            <w:tcW w:w="466" w:type="dxa"/>
          </w:tcPr>
          <w:p w:rsidR="00043D8B" w:rsidRDefault="00043D8B" w:rsidP="003847E2">
            <w:pPr>
              <w:spacing w:after="0"/>
            </w:pPr>
            <w:r>
              <w:rPr>
                <w:rFonts w:ascii="Times New Roman" w:hAnsi="Times New Roman"/>
                <w:sz w:val="20"/>
              </w:rPr>
              <w:t>21.</w:t>
            </w:r>
            <w:r>
              <w:rPr>
                <w:rFonts w:ascii="Arial" w:hAnsi="Arial" w:cs="Arial"/>
                <w:sz w:val="20"/>
              </w:rPr>
              <w:t xml:space="preserve"> </w:t>
            </w:r>
            <w:r>
              <w:rPr>
                <w:rFonts w:ascii="Times New Roman" w:hAnsi="Times New Roman"/>
                <w:sz w:val="20"/>
              </w:rPr>
              <w:t xml:space="preserve"> </w:t>
            </w:r>
          </w:p>
          <w:p w:rsidR="00043D8B" w:rsidRDefault="00043D8B" w:rsidP="003847E2">
            <w:pPr>
              <w:spacing w:after="0"/>
              <w:jc w:val="right"/>
            </w:pPr>
            <w:r>
              <w:rPr>
                <w:rFonts w:ascii="Times New Roman" w:hAnsi="Times New Roman"/>
                <w:sz w:val="20"/>
              </w:rPr>
              <w:t xml:space="preserve"> </w:t>
            </w:r>
          </w:p>
          <w:p w:rsidR="00043D8B" w:rsidRDefault="00043D8B" w:rsidP="003847E2">
            <w:pPr>
              <w:spacing w:after="0"/>
              <w:jc w:val="right"/>
            </w:pPr>
            <w:r>
              <w:rPr>
                <w:rFonts w:ascii="Times New Roman" w:hAnsi="Times New Roman"/>
                <w:sz w:val="20"/>
              </w:rPr>
              <w:t xml:space="preserve"> </w:t>
            </w:r>
          </w:p>
        </w:tc>
        <w:tc>
          <w:tcPr>
            <w:tcW w:w="1943" w:type="dxa"/>
          </w:tcPr>
          <w:p w:rsidR="00043D8B" w:rsidRDefault="00043D8B" w:rsidP="003847E2">
            <w:pPr>
              <w:spacing w:after="0"/>
              <w:ind w:left="1"/>
            </w:pPr>
            <w:r>
              <w:rPr>
                <w:rFonts w:ascii="Times New Roman" w:hAnsi="Times New Roman"/>
                <w:sz w:val="20"/>
              </w:rPr>
              <w:t xml:space="preserve">Cezhraničné investičné fondy </w:t>
            </w:r>
          </w:p>
        </w:tc>
        <w:tc>
          <w:tcPr>
            <w:tcW w:w="5637" w:type="dxa"/>
          </w:tcPr>
          <w:p w:rsidR="00043D8B" w:rsidRDefault="00043D8B" w:rsidP="00D15EE0">
            <w:pPr>
              <w:spacing w:after="0"/>
              <w:ind w:left="1" w:right="123"/>
              <w:jc w:val="both"/>
            </w:pPr>
            <w:r>
              <w:rPr>
                <w:rFonts w:ascii="Times New Roman" w:hAnsi="Times New Roman"/>
                <w:sz w:val="20"/>
              </w:rPr>
              <w:t>Návrh SMERNICE EURÓPSKEHO PARLAMENTU A RADY, ktorou sa mení smernica Európskeho parlamentu a Rady 2009/65/ES a smernica Európskeho parlamentu a Rady 2011/61/EÚ, pokiaľ ide o cezhraničnú distribúciu fondov kolektívneho investovania** COM (2018) 92 final2018/0041 COD  12. 3. 2018</w:t>
            </w:r>
          </w:p>
        </w:tc>
        <w:tc>
          <w:tcPr>
            <w:tcW w:w="1418" w:type="dxa"/>
          </w:tcPr>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MF SR</w:t>
            </w:r>
          </w:p>
        </w:tc>
        <w:tc>
          <w:tcPr>
            <w:tcW w:w="5386" w:type="dxa"/>
          </w:tcPr>
          <w:p w:rsidR="00043D8B" w:rsidRPr="00150E00" w:rsidRDefault="00043D8B" w:rsidP="003847E2">
            <w:pPr>
              <w:spacing w:after="0"/>
              <w:ind w:left="4" w:right="49"/>
              <w:rPr>
                <w:rFonts w:ascii="Times New Roman" w:hAnsi="Times New Roman"/>
                <w:b/>
                <w:sz w:val="20"/>
                <w:szCs w:val="20"/>
                <w:u w:val="single"/>
              </w:rPr>
            </w:pPr>
            <w:r w:rsidRPr="00150E00">
              <w:rPr>
                <w:rFonts w:ascii="Times New Roman" w:hAnsi="Times New Roman"/>
                <w:b/>
                <w:sz w:val="20"/>
                <w:szCs w:val="20"/>
                <w:u w:val="single"/>
              </w:rPr>
              <w:t xml:space="preserve">Stredná priorita </w:t>
            </w:r>
          </w:p>
          <w:p w:rsidR="00043D8B" w:rsidRPr="003847E2" w:rsidRDefault="00043D8B" w:rsidP="003847E2">
            <w:pPr>
              <w:autoSpaceDE w:val="0"/>
              <w:autoSpaceDN w:val="0"/>
              <w:adjustRightInd w:val="0"/>
              <w:spacing w:after="0"/>
              <w:jc w:val="both"/>
              <w:rPr>
                <w:rFonts w:ascii="Times New Roman" w:hAnsi="Times New Roman"/>
                <w:color w:val="auto"/>
                <w:sz w:val="20"/>
                <w:szCs w:val="20"/>
              </w:rPr>
            </w:pPr>
            <w:r w:rsidRPr="00527475">
              <w:rPr>
                <w:rFonts w:ascii="Times New Roman" w:hAnsi="Times New Roman"/>
                <w:bCs/>
                <w:sz w:val="20"/>
                <w:szCs w:val="20"/>
              </w:rPr>
              <w:t>SR podporuje návrh smernice a jej ciele, ktorými sú odstránenie identifikovaných bariér pri cezhraničnej distribúcii fondov kolektívneho investovania, zabezpečenie vyššej transparentnosti pri distribúcií fondov cezhranične v krajinách EÚ. V dôsledku uvedeného návrhu by malo dôjsť k nárastu počtu fondov distribuovaných cezhranične, a tým k rýchlejšej akumulácii zdrojov potrebných na oživenie európskeho h</w:t>
            </w:r>
            <w:r w:rsidR="003847E2">
              <w:rPr>
                <w:rFonts w:ascii="Times New Roman" w:hAnsi="Times New Roman"/>
                <w:bCs/>
                <w:sz w:val="20"/>
                <w:szCs w:val="20"/>
              </w:rPr>
              <w:t xml:space="preserve">ospodárstva. </w:t>
            </w:r>
            <w:r>
              <w:rPr>
                <w:rFonts w:ascii="Times New Roman" w:hAnsi="Times New Roman"/>
                <w:bCs/>
                <w:sz w:val="20"/>
                <w:szCs w:val="20"/>
              </w:rPr>
              <w:t xml:space="preserve">SR </w:t>
            </w:r>
            <w:r w:rsidRPr="00527475">
              <w:rPr>
                <w:rFonts w:ascii="Times New Roman" w:hAnsi="Times New Roman"/>
                <w:bCs/>
                <w:sz w:val="20"/>
                <w:szCs w:val="20"/>
              </w:rPr>
              <w:t>v rámci písomných a ústnych pripomienok v rámci rokovaní o uvedenom návrhu smernice presadzuje takú formuláciu ustanovení, ktoré pri</w:t>
            </w:r>
            <w:r>
              <w:rPr>
                <w:rFonts w:ascii="Times New Roman" w:hAnsi="Times New Roman"/>
                <w:bCs/>
                <w:sz w:val="20"/>
                <w:szCs w:val="20"/>
              </w:rPr>
              <w:t xml:space="preserve">spejú k vyššej transparentnosti </w:t>
            </w:r>
            <w:r w:rsidRPr="00527475">
              <w:rPr>
                <w:rFonts w:ascii="Times New Roman" w:hAnsi="Times New Roman"/>
                <w:bCs/>
                <w:sz w:val="20"/>
                <w:szCs w:val="20"/>
              </w:rPr>
              <w:t>p</w:t>
            </w:r>
            <w:r>
              <w:rPr>
                <w:rFonts w:ascii="Times New Roman" w:hAnsi="Times New Roman"/>
                <w:bCs/>
                <w:sz w:val="20"/>
                <w:szCs w:val="20"/>
              </w:rPr>
              <w:t xml:space="preserve">rocesov a  poplatkov súvisiacich </w:t>
            </w:r>
            <w:r w:rsidRPr="00527475">
              <w:rPr>
                <w:rFonts w:ascii="Times New Roman" w:hAnsi="Times New Roman"/>
                <w:bCs/>
                <w:sz w:val="20"/>
                <w:szCs w:val="20"/>
              </w:rPr>
              <w:t>s cezhraničnou distribúciou fondov kolektívneho investovania pri zachovaní adekvátnej ochrany investorov, a to v </w:t>
            </w:r>
            <w:r>
              <w:rPr>
                <w:rFonts w:ascii="Times New Roman" w:hAnsi="Times New Roman"/>
                <w:bCs/>
                <w:sz w:val="20"/>
                <w:szCs w:val="20"/>
              </w:rPr>
              <w:t xml:space="preserve">kontexte fungovania </w:t>
            </w:r>
            <w:r w:rsidRPr="00527475">
              <w:rPr>
                <w:rFonts w:ascii="Times New Roman" w:hAnsi="Times New Roman"/>
                <w:bCs/>
                <w:sz w:val="20"/>
                <w:szCs w:val="20"/>
              </w:rPr>
              <w:t xml:space="preserve">kapitálových trhov a finančnej stability. </w:t>
            </w:r>
          </w:p>
        </w:tc>
      </w:tr>
      <w:tr w:rsidR="00043D8B" w:rsidTr="007864C8">
        <w:tc>
          <w:tcPr>
            <w:tcW w:w="466" w:type="dxa"/>
          </w:tcPr>
          <w:p w:rsidR="00043D8B" w:rsidRDefault="00043D8B" w:rsidP="003847E2">
            <w:pPr>
              <w:spacing w:after="0"/>
            </w:pPr>
          </w:p>
        </w:tc>
        <w:tc>
          <w:tcPr>
            <w:tcW w:w="1943" w:type="dxa"/>
          </w:tcPr>
          <w:p w:rsidR="00043D8B" w:rsidRDefault="00043D8B" w:rsidP="003847E2">
            <w:pPr>
              <w:spacing w:after="0"/>
            </w:pPr>
          </w:p>
        </w:tc>
        <w:tc>
          <w:tcPr>
            <w:tcW w:w="5637" w:type="dxa"/>
          </w:tcPr>
          <w:p w:rsidR="00043D8B" w:rsidRDefault="00043D8B" w:rsidP="00D15EE0">
            <w:pPr>
              <w:spacing w:after="0"/>
              <w:ind w:left="1"/>
              <w:jc w:val="both"/>
            </w:pPr>
            <w:r>
              <w:rPr>
                <w:rFonts w:ascii="Times New Roman" w:hAnsi="Times New Roman"/>
                <w:sz w:val="20"/>
              </w:rPr>
              <w:t>Návrh NARIADENIA EURÓPSKEHO PARLAMENTU A RADY o zmene nariadenia (EÚ) č. 575/2013, pokiaľ ide o expozície vo forme krytých dlhopisov** COM (2018) 93 final 2018/0042 COD  12. 3. 2018</w:t>
            </w:r>
          </w:p>
        </w:tc>
        <w:tc>
          <w:tcPr>
            <w:tcW w:w="1418" w:type="dxa"/>
          </w:tcPr>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MF SR</w:t>
            </w:r>
          </w:p>
        </w:tc>
        <w:tc>
          <w:tcPr>
            <w:tcW w:w="5386" w:type="dxa"/>
          </w:tcPr>
          <w:p w:rsidR="00043D8B" w:rsidRPr="00150E00" w:rsidRDefault="00043D8B" w:rsidP="003847E2">
            <w:pPr>
              <w:spacing w:after="0"/>
              <w:ind w:left="4" w:right="49"/>
              <w:jc w:val="both"/>
              <w:rPr>
                <w:rFonts w:ascii="Times New Roman" w:hAnsi="Times New Roman"/>
                <w:b/>
                <w:sz w:val="20"/>
                <w:szCs w:val="20"/>
                <w:u w:val="single"/>
              </w:rPr>
            </w:pPr>
            <w:r w:rsidRPr="00150E00">
              <w:rPr>
                <w:rFonts w:ascii="Times New Roman" w:hAnsi="Times New Roman"/>
                <w:b/>
                <w:sz w:val="20"/>
                <w:szCs w:val="20"/>
                <w:u w:val="single"/>
              </w:rPr>
              <w:t xml:space="preserve">Stredná priorita </w:t>
            </w:r>
          </w:p>
          <w:p w:rsidR="00043D8B" w:rsidRPr="00527475" w:rsidRDefault="00043D8B" w:rsidP="003847E2">
            <w:pPr>
              <w:spacing w:after="0"/>
              <w:ind w:left="4" w:right="49"/>
              <w:jc w:val="both"/>
              <w:rPr>
                <w:rFonts w:ascii="Times New Roman" w:hAnsi="Times New Roman"/>
                <w:sz w:val="20"/>
              </w:rPr>
            </w:pPr>
            <w:r w:rsidRPr="00527475">
              <w:rPr>
                <w:rFonts w:ascii="Times New Roman" w:hAnsi="Times New Roman"/>
                <w:sz w:val="20"/>
              </w:rPr>
              <w:t>Slovenská republika podporuje minimálnu harmonizáciu rámca krytých dlhopisov v EÚ.</w:t>
            </w:r>
          </w:p>
        </w:tc>
      </w:tr>
      <w:tr w:rsidR="00043D8B" w:rsidTr="007864C8">
        <w:tc>
          <w:tcPr>
            <w:tcW w:w="466" w:type="dxa"/>
          </w:tcPr>
          <w:p w:rsidR="00043D8B" w:rsidRDefault="00043D8B" w:rsidP="003847E2">
            <w:pPr>
              <w:spacing w:after="0"/>
            </w:pPr>
          </w:p>
        </w:tc>
        <w:tc>
          <w:tcPr>
            <w:tcW w:w="1943" w:type="dxa"/>
          </w:tcPr>
          <w:p w:rsidR="00043D8B" w:rsidRDefault="00043D8B" w:rsidP="003847E2">
            <w:pPr>
              <w:spacing w:after="0"/>
            </w:pPr>
          </w:p>
        </w:tc>
        <w:tc>
          <w:tcPr>
            <w:tcW w:w="5637" w:type="dxa"/>
          </w:tcPr>
          <w:p w:rsidR="00043D8B" w:rsidRDefault="00043D8B" w:rsidP="00D15EE0">
            <w:pPr>
              <w:spacing w:after="0"/>
              <w:ind w:left="1"/>
              <w:jc w:val="both"/>
            </w:pPr>
            <w:r>
              <w:rPr>
                <w:rFonts w:ascii="Times New Roman" w:hAnsi="Times New Roman"/>
                <w:sz w:val="20"/>
              </w:rPr>
              <w:t>Návrh SMERNICE EURÓPSKEHO PARLAMENTU A RADY o emisii krytých dlhopisov a verejnom dohľade nad krytými dlhopismi a ktorou sa mení smernica 2009/65/ES a smernica 2014/59/EÚ** COM (2018) 94 final 2018/0043 COD  12. 3. 2018</w:t>
            </w:r>
          </w:p>
        </w:tc>
        <w:tc>
          <w:tcPr>
            <w:tcW w:w="1418" w:type="dxa"/>
          </w:tcPr>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MF SR</w:t>
            </w:r>
          </w:p>
        </w:tc>
        <w:tc>
          <w:tcPr>
            <w:tcW w:w="5386" w:type="dxa"/>
          </w:tcPr>
          <w:p w:rsidR="00043D8B" w:rsidRPr="00150E00" w:rsidRDefault="00043D8B" w:rsidP="003847E2">
            <w:pPr>
              <w:spacing w:after="0"/>
              <w:ind w:left="4" w:right="49"/>
              <w:jc w:val="both"/>
              <w:rPr>
                <w:rFonts w:ascii="Times New Roman" w:hAnsi="Times New Roman"/>
                <w:b/>
                <w:sz w:val="20"/>
                <w:szCs w:val="20"/>
                <w:u w:val="single"/>
              </w:rPr>
            </w:pPr>
            <w:r w:rsidRPr="00150E00">
              <w:rPr>
                <w:rFonts w:ascii="Times New Roman" w:hAnsi="Times New Roman"/>
                <w:b/>
                <w:sz w:val="20"/>
                <w:szCs w:val="20"/>
                <w:u w:val="single"/>
              </w:rPr>
              <w:t xml:space="preserve">Stredná priorita </w:t>
            </w:r>
          </w:p>
          <w:p w:rsidR="00043D8B" w:rsidRPr="00527475" w:rsidRDefault="00043D8B" w:rsidP="003847E2">
            <w:pPr>
              <w:spacing w:after="0"/>
              <w:ind w:left="4" w:right="49"/>
              <w:jc w:val="both"/>
              <w:rPr>
                <w:rFonts w:ascii="Times New Roman" w:hAnsi="Times New Roman"/>
                <w:sz w:val="20"/>
              </w:rPr>
            </w:pPr>
            <w:r w:rsidRPr="00527475">
              <w:rPr>
                <w:rFonts w:ascii="Times New Roman" w:hAnsi="Times New Roman"/>
                <w:sz w:val="20"/>
              </w:rPr>
              <w:t>Slovenská republika podporuje minimálnu harmonizáciu rámca krytých dlhopisov v EÚ.</w:t>
            </w:r>
          </w:p>
        </w:tc>
      </w:tr>
      <w:tr w:rsidR="00043D8B" w:rsidTr="007864C8">
        <w:tc>
          <w:tcPr>
            <w:tcW w:w="466" w:type="dxa"/>
          </w:tcPr>
          <w:p w:rsidR="00043D8B" w:rsidRDefault="00043D8B" w:rsidP="003847E2">
            <w:pPr>
              <w:spacing w:after="0"/>
            </w:pPr>
          </w:p>
        </w:tc>
        <w:tc>
          <w:tcPr>
            <w:tcW w:w="1943" w:type="dxa"/>
          </w:tcPr>
          <w:p w:rsidR="00043D8B" w:rsidRDefault="00043D8B" w:rsidP="003847E2">
            <w:pPr>
              <w:spacing w:after="0"/>
              <w:ind w:left="1"/>
            </w:pPr>
          </w:p>
        </w:tc>
        <w:tc>
          <w:tcPr>
            <w:tcW w:w="5637" w:type="dxa"/>
          </w:tcPr>
          <w:p w:rsidR="00043D8B" w:rsidRDefault="00043D8B" w:rsidP="00D15EE0">
            <w:pPr>
              <w:spacing w:after="0"/>
              <w:ind w:left="1"/>
              <w:jc w:val="both"/>
            </w:pPr>
            <w:r>
              <w:rPr>
                <w:rFonts w:ascii="Times New Roman" w:hAnsi="Times New Roman"/>
                <w:sz w:val="20"/>
              </w:rPr>
              <w:t>Návrh NARIADENIA EURÓPSKEHO PARLAMENTU A RADY, ktorým sa uľahčuje cezhraničná distribúcia fondov kolektívneho investovania a ktorým sa menia nariadenia (EÚ) č. 345/2013 a (EÚ) č. 346/2013** COM (2018) 110 final 2018/0045 COD  12. 3. 2018</w:t>
            </w:r>
          </w:p>
        </w:tc>
        <w:tc>
          <w:tcPr>
            <w:tcW w:w="1418" w:type="dxa"/>
          </w:tcPr>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MF SR</w:t>
            </w:r>
          </w:p>
        </w:tc>
        <w:tc>
          <w:tcPr>
            <w:tcW w:w="5386" w:type="dxa"/>
          </w:tcPr>
          <w:p w:rsidR="00043D8B" w:rsidRPr="00150E00" w:rsidRDefault="00043D8B" w:rsidP="003847E2">
            <w:pPr>
              <w:spacing w:after="0"/>
              <w:ind w:left="4" w:right="49"/>
              <w:jc w:val="both"/>
              <w:rPr>
                <w:rFonts w:ascii="Times New Roman" w:hAnsi="Times New Roman"/>
                <w:b/>
                <w:sz w:val="20"/>
                <w:szCs w:val="20"/>
                <w:u w:val="single"/>
              </w:rPr>
            </w:pPr>
            <w:r w:rsidRPr="00150E00">
              <w:rPr>
                <w:rFonts w:ascii="Times New Roman" w:hAnsi="Times New Roman"/>
                <w:b/>
                <w:sz w:val="20"/>
                <w:szCs w:val="20"/>
                <w:u w:val="single"/>
              </w:rPr>
              <w:t xml:space="preserve">Stredná priorita </w:t>
            </w:r>
          </w:p>
          <w:p w:rsidR="00043D8B" w:rsidRPr="00527475" w:rsidRDefault="00043D8B" w:rsidP="003847E2">
            <w:pPr>
              <w:autoSpaceDE w:val="0"/>
              <w:autoSpaceDN w:val="0"/>
              <w:adjustRightInd w:val="0"/>
              <w:spacing w:after="0"/>
              <w:jc w:val="both"/>
              <w:rPr>
                <w:rFonts w:ascii="Times New Roman" w:hAnsi="Times New Roman"/>
                <w:color w:val="auto"/>
                <w:sz w:val="20"/>
                <w:szCs w:val="20"/>
              </w:rPr>
            </w:pPr>
            <w:r w:rsidRPr="00527475">
              <w:rPr>
                <w:rFonts w:ascii="Times New Roman" w:hAnsi="Times New Roman"/>
                <w:bCs/>
                <w:sz w:val="20"/>
                <w:szCs w:val="20"/>
              </w:rPr>
              <w:t xml:space="preserve">SR podporuje návrh smernice a jej ciele, ktorými sú odstránenie identifikovaných bariér pri cezhraničnej distribúcii fondov kolektívneho investovania, zabezpečenie vyššej transparentnosti pri distribúcií fondov cezhranične v krajinách EÚ. V dôsledku uvedeného návrhu by malo dôjsť k nárastu počtu fondov distribuovaných cezhranične, a tým k rýchlejšej akumulácii zdrojov potrebných na oživenie európskeho hospodárstva.                    </w:t>
            </w:r>
            <w:r w:rsidRPr="00527475">
              <w:rPr>
                <w:rFonts w:ascii="Times New Roman" w:hAnsi="Times New Roman"/>
                <w:sz w:val="20"/>
                <w:szCs w:val="20"/>
              </w:rPr>
              <w:t xml:space="preserve"> </w:t>
            </w:r>
          </w:p>
          <w:p w:rsidR="00043D8B" w:rsidRPr="00DC3102" w:rsidRDefault="00043D8B" w:rsidP="003847E2">
            <w:pPr>
              <w:spacing w:after="0"/>
              <w:ind w:left="4" w:right="49"/>
              <w:jc w:val="both"/>
              <w:rPr>
                <w:rFonts w:ascii="Times New Roman" w:hAnsi="Times New Roman"/>
                <w:sz w:val="20"/>
              </w:rPr>
            </w:pPr>
            <w:r>
              <w:rPr>
                <w:rFonts w:ascii="Times New Roman" w:hAnsi="Times New Roman"/>
                <w:bCs/>
                <w:sz w:val="20"/>
                <w:szCs w:val="20"/>
              </w:rPr>
              <w:t xml:space="preserve">SR </w:t>
            </w:r>
            <w:r w:rsidRPr="00527475">
              <w:rPr>
                <w:rFonts w:ascii="Times New Roman" w:hAnsi="Times New Roman"/>
                <w:bCs/>
                <w:sz w:val="20"/>
                <w:szCs w:val="20"/>
              </w:rPr>
              <w:t>v rámci písomných a ústnych pripomienok v rámci rokovaní o uvedenom návrhu smernice presadzuje takú formuláciu ustanovení, ktoré pri</w:t>
            </w:r>
            <w:r>
              <w:rPr>
                <w:rFonts w:ascii="Times New Roman" w:hAnsi="Times New Roman"/>
                <w:bCs/>
                <w:sz w:val="20"/>
                <w:szCs w:val="20"/>
              </w:rPr>
              <w:t xml:space="preserve">spejú k vyššej transparentnosti </w:t>
            </w:r>
            <w:r w:rsidRPr="00527475">
              <w:rPr>
                <w:rFonts w:ascii="Times New Roman" w:hAnsi="Times New Roman"/>
                <w:bCs/>
                <w:sz w:val="20"/>
                <w:szCs w:val="20"/>
              </w:rPr>
              <w:t>procesov a regulačných poplatkov súvisiacich s cezhraničnou distribúciou fondov kolektívneho investovania pri zachovaní adekvátnej ochrany investorov, a to v kontexte efektívneho fungovania kapitálových trhov a finančnej stability.</w:t>
            </w:r>
          </w:p>
        </w:tc>
      </w:tr>
      <w:tr w:rsidR="00043D8B" w:rsidTr="007864C8">
        <w:tc>
          <w:tcPr>
            <w:tcW w:w="466" w:type="dxa"/>
          </w:tcPr>
          <w:p w:rsidR="00043D8B" w:rsidRDefault="00043D8B" w:rsidP="003847E2">
            <w:pPr>
              <w:spacing w:after="0"/>
            </w:pPr>
            <w:r>
              <w:rPr>
                <w:rFonts w:ascii="Times New Roman" w:hAnsi="Times New Roman"/>
                <w:sz w:val="20"/>
              </w:rPr>
              <w:t>22.</w:t>
            </w:r>
            <w:r>
              <w:rPr>
                <w:rFonts w:ascii="Arial" w:hAnsi="Arial" w:cs="Arial"/>
                <w:sz w:val="20"/>
              </w:rPr>
              <w:t xml:space="preserve"> </w:t>
            </w:r>
            <w:r>
              <w:rPr>
                <w:rFonts w:ascii="Times New Roman" w:hAnsi="Times New Roman"/>
                <w:sz w:val="20"/>
              </w:rPr>
              <w:t xml:space="preserve"> </w:t>
            </w:r>
          </w:p>
          <w:p w:rsidR="00043D8B" w:rsidRDefault="00043D8B" w:rsidP="003847E2">
            <w:pPr>
              <w:spacing w:after="0"/>
              <w:jc w:val="right"/>
            </w:pPr>
            <w:r>
              <w:rPr>
                <w:rFonts w:ascii="Times New Roman" w:hAnsi="Times New Roman"/>
                <w:sz w:val="20"/>
              </w:rPr>
              <w:t xml:space="preserve"> </w:t>
            </w:r>
          </w:p>
        </w:tc>
        <w:tc>
          <w:tcPr>
            <w:tcW w:w="1943" w:type="dxa"/>
          </w:tcPr>
          <w:p w:rsidR="00043D8B" w:rsidRDefault="00043D8B" w:rsidP="003847E2">
            <w:pPr>
              <w:spacing w:after="0"/>
              <w:ind w:left="1"/>
            </w:pPr>
            <w:r>
              <w:rPr>
                <w:rFonts w:ascii="Times New Roman" w:hAnsi="Times New Roman"/>
                <w:sz w:val="20"/>
              </w:rPr>
              <w:t xml:space="preserve">Služby kolektívneho financovania </w:t>
            </w:r>
          </w:p>
        </w:tc>
        <w:tc>
          <w:tcPr>
            <w:tcW w:w="5637" w:type="dxa"/>
          </w:tcPr>
          <w:p w:rsidR="00043D8B" w:rsidRDefault="00043D8B" w:rsidP="00D15EE0">
            <w:pPr>
              <w:spacing w:after="0"/>
              <w:ind w:left="1"/>
              <w:jc w:val="both"/>
            </w:pPr>
            <w:r>
              <w:rPr>
                <w:rFonts w:ascii="Times New Roman" w:hAnsi="Times New Roman"/>
                <w:sz w:val="20"/>
              </w:rPr>
              <w:t>Návrh SMERNICE EURÓPSKEHO PARLAMENTU A RADY, ktorou sa mení smernica 2014/65/EÚ o trhoch s finančnými nástrojmi** COM (2018) 99 final 2018/0047 COD  8. 3. 2018</w:t>
            </w:r>
          </w:p>
        </w:tc>
        <w:tc>
          <w:tcPr>
            <w:tcW w:w="1418" w:type="dxa"/>
          </w:tcPr>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MF SR</w:t>
            </w:r>
          </w:p>
        </w:tc>
        <w:tc>
          <w:tcPr>
            <w:tcW w:w="5386" w:type="dxa"/>
          </w:tcPr>
          <w:p w:rsidR="00043D8B" w:rsidRPr="00150E00" w:rsidRDefault="00043D8B" w:rsidP="003847E2">
            <w:pPr>
              <w:spacing w:after="0"/>
              <w:ind w:left="4" w:right="49"/>
              <w:rPr>
                <w:rFonts w:ascii="Times New Roman" w:hAnsi="Times New Roman"/>
                <w:b/>
                <w:sz w:val="20"/>
                <w:szCs w:val="20"/>
                <w:u w:val="single"/>
              </w:rPr>
            </w:pPr>
            <w:r w:rsidRPr="00150E00">
              <w:rPr>
                <w:rFonts w:ascii="Times New Roman" w:hAnsi="Times New Roman"/>
                <w:b/>
                <w:sz w:val="20"/>
                <w:szCs w:val="20"/>
                <w:u w:val="single"/>
              </w:rPr>
              <w:t xml:space="preserve">Stredná priorita </w:t>
            </w:r>
          </w:p>
          <w:p w:rsidR="00043D8B" w:rsidRPr="00527475" w:rsidRDefault="00043D8B" w:rsidP="003847E2">
            <w:pPr>
              <w:autoSpaceDE w:val="0"/>
              <w:autoSpaceDN w:val="0"/>
              <w:adjustRightInd w:val="0"/>
              <w:spacing w:after="0"/>
              <w:jc w:val="both"/>
              <w:rPr>
                <w:rFonts w:ascii="Times New Roman" w:hAnsi="Times New Roman"/>
                <w:bCs/>
                <w:sz w:val="20"/>
                <w:szCs w:val="20"/>
              </w:rPr>
            </w:pPr>
            <w:r w:rsidRPr="00527475">
              <w:rPr>
                <w:rFonts w:ascii="Times New Roman" w:hAnsi="Times New Roman"/>
                <w:bCs/>
                <w:sz w:val="20"/>
                <w:szCs w:val="20"/>
              </w:rPr>
              <w:t>SR podporuje návrh smernice, ktorej cieľom je doplnenie poskytovateľov služieb kolektívneho financovania, ktorým bolo udelené povolenie podľa návrhu nariadenia o crowdfundingu do zoznamu oslobodených subjektov, na ktoré sa nevzťahuje rozsah pôsobnosti smernice MiFID II.</w:t>
            </w:r>
          </w:p>
          <w:p w:rsidR="00043D8B" w:rsidRPr="00DC3102" w:rsidRDefault="00043D8B" w:rsidP="003847E2">
            <w:pPr>
              <w:spacing w:after="0"/>
              <w:ind w:left="4" w:right="49"/>
              <w:rPr>
                <w:rFonts w:ascii="Times New Roman" w:hAnsi="Times New Roman"/>
                <w:sz w:val="20"/>
              </w:rPr>
            </w:pPr>
          </w:p>
        </w:tc>
      </w:tr>
      <w:tr w:rsidR="00043D8B" w:rsidTr="007864C8">
        <w:tc>
          <w:tcPr>
            <w:tcW w:w="466" w:type="dxa"/>
          </w:tcPr>
          <w:p w:rsidR="00043D8B" w:rsidRDefault="00043D8B" w:rsidP="003847E2">
            <w:pPr>
              <w:spacing w:after="0"/>
            </w:pPr>
          </w:p>
        </w:tc>
        <w:tc>
          <w:tcPr>
            <w:tcW w:w="1943" w:type="dxa"/>
          </w:tcPr>
          <w:p w:rsidR="00043D8B" w:rsidRDefault="00043D8B" w:rsidP="003847E2">
            <w:pPr>
              <w:spacing w:after="0"/>
            </w:pPr>
          </w:p>
        </w:tc>
        <w:tc>
          <w:tcPr>
            <w:tcW w:w="5637" w:type="dxa"/>
          </w:tcPr>
          <w:p w:rsidR="00043D8B" w:rsidRDefault="00043D8B" w:rsidP="00D15EE0">
            <w:pPr>
              <w:spacing w:after="0"/>
              <w:ind w:left="1"/>
              <w:jc w:val="both"/>
            </w:pPr>
            <w:r>
              <w:rPr>
                <w:rFonts w:ascii="Times New Roman" w:hAnsi="Times New Roman"/>
                <w:sz w:val="20"/>
              </w:rPr>
              <w:t>Návrh NARIADENIA EURÓPSKEHO PARLAMENTU A RADY o európskych poskytovateľoch služieb kolektívneho financovania (ECSP) pre podnikanie** COM (2018) 113 final 2018/0048 COD  8. 3. 2018</w:t>
            </w:r>
          </w:p>
        </w:tc>
        <w:tc>
          <w:tcPr>
            <w:tcW w:w="1418" w:type="dxa"/>
          </w:tcPr>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MF SR</w:t>
            </w:r>
          </w:p>
        </w:tc>
        <w:tc>
          <w:tcPr>
            <w:tcW w:w="5386" w:type="dxa"/>
          </w:tcPr>
          <w:p w:rsidR="00043D8B" w:rsidRPr="00150E00" w:rsidRDefault="00043D8B" w:rsidP="003847E2">
            <w:pPr>
              <w:spacing w:after="0"/>
              <w:ind w:left="4" w:right="49"/>
              <w:rPr>
                <w:rFonts w:ascii="Times New Roman" w:hAnsi="Times New Roman"/>
                <w:b/>
                <w:bCs/>
                <w:sz w:val="20"/>
                <w:szCs w:val="20"/>
                <w:u w:val="single"/>
              </w:rPr>
            </w:pPr>
            <w:r w:rsidRPr="00150E00">
              <w:rPr>
                <w:rFonts w:ascii="Times New Roman" w:hAnsi="Times New Roman"/>
                <w:b/>
                <w:bCs/>
                <w:sz w:val="20"/>
                <w:szCs w:val="20"/>
                <w:u w:val="single"/>
              </w:rPr>
              <w:t xml:space="preserve">Vysoká priorita </w:t>
            </w:r>
          </w:p>
          <w:p w:rsidR="00043D8B" w:rsidRPr="00527475" w:rsidRDefault="00043D8B" w:rsidP="003847E2">
            <w:pPr>
              <w:spacing w:after="0"/>
              <w:ind w:right="53"/>
              <w:jc w:val="both"/>
              <w:rPr>
                <w:rFonts w:ascii="Times New Roman" w:hAnsi="Times New Roman"/>
                <w:bCs/>
                <w:sz w:val="20"/>
                <w:szCs w:val="20"/>
              </w:rPr>
            </w:pPr>
            <w:r w:rsidRPr="00527475">
              <w:rPr>
                <w:rFonts w:ascii="Times New Roman" w:hAnsi="Times New Roman"/>
                <w:bCs/>
                <w:sz w:val="20"/>
                <w:szCs w:val="20"/>
              </w:rPr>
              <w:t>Slovenská republika vo všeobecnosti podporuje návrh nariadenia a jeho cieľ, ktorým je vytvorenie jednotných pravidiel týkajúcich sa kolektívneho financovania na úrovni EÚ.</w:t>
            </w:r>
          </w:p>
          <w:p w:rsidR="00043D8B" w:rsidRPr="00527475" w:rsidRDefault="00043D8B" w:rsidP="003847E2">
            <w:pPr>
              <w:spacing w:after="0"/>
              <w:ind w:left="4" w:right="49"/>
              <w:rPr>
                <w:rFonts w:ascii="Times New Roman" w:hAnsi="Times New Roman"/>
                <w:bCs/>
                <w:sz w:val="20"/>
                <w:szCs w:val="20"/>
              </w:rPr>
            </w:pPr>
          </w:p>
        </w:tc>
      </w:tr>
      <w:tr w:rsidR="00043D8B" w:rsidTr="007864C8">
        <w:tc>
          <w:tcPr>
            <w:tcW w:w="466" w:type="dxa"/>
          </w:tcPr>
          <w:p w:rsidR="00043D8B" w:rsidRDefault="00043D8B" w:rsidP="003847E2">
            <w:pPr>
              <w:spacing w:after="0"/>
            </w:pPr>
            <w:r>
              <w:rPr>
                <w:rFonts w:ascii="Times New Roman" w:hAnsi="Times New Roman"/>
                <w:sz w:val="20"/>
              </w:rPr>
              <w:t>23.</w:t>
            </w:r>
            <w:r>
              <w:rPr>
                <w:rFonts w:ascii="Arial" w:hAnsi="Arial" w:cs="Arial"/>
                <w:sz w:val="20"/>
              </w:rPr>
              <w:t xml:space="preserve"> </w:t>
            </w:r>
            <w:r>
              <w:rPr>
                <w:rFonts w:ascii="Times New Roman" w:hAnsi="Times New Roman"/>
                <w:sz w:val="20"/>
              </w:rPr>
              <w:t xml:space="preserve"> </w:t>
            </w:r>
          </w:p>
        </w:tc>
        <w:tc>
          <w:tcPr>
            <w:tcW w:w="1943" w:type="dxa"/>
          </w:tcPr>
          <w:p w:rsidR="00043D8B" w:rsidRDefault="00043D8B" w:rsidP="003847E2">
            <w:pPr>
              <w:spacing w:after="0"/>
              <w:ind w:left="1"/>
            </w:pPr>
            <w:r>
              <w:rPr>
                <w:rFonts w:ascii="Times New Roman" w:hAnsi="Times New Roman"/>
                <w:sz w:val="20"/>
              </w:rPr>
              <w:t xml:space="preserve">Minimálne krytie strát pri problémových expozíciách </w:t>
            </w:r>
          </w:p>
        </w:tc>
        <w:tc>
          <w:tcPr>
            <w:tcW w:w="5637" w:type="dxa"/>
          </w:tcPr>
          <w:p w:rsidR="00043D8B" w:rsidRDefault="00043D8B" w:rsidP="00D15EE0">
            <w:pPr>
              <w:spacing w:after="0"/>
              <w:ind w:left="1"/>
              <w:jc w:val="both"/>
            </w:pPr>
            <w:r>
              <w:rPr>
                <w:rFonts w:ascii="Times New Roman" w:hAnsi="Times New Roman"/>
                <w:sz w:val="20"/>
              </w:rPr>
              <w:t>Návrh NARIADENIA EURÓPSKEHO PARLAMENTU A RADY o zmene nariadenia (EÚ) č. 575/2013, pokiaľ ide o minimálne krytie strát pri problémových expozíciách* COM (2018) 134 final 2018/0060 COD  14. 3. 2018</w:t>
            </w:r>
          </w:p>
        </w:tc>
        <w:tc>
          <w:tcPr>
            <w:tcW w:w="1418" w:type="dxa"/>
          </w:tcPr>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MF SR</w:t>
            </w:r>
          </w:p>
        </w:tc>
        <w:tc>
          <w:tcPr>
            <w:tcW w:w="5386" w:type="dxa"/>
          </w:tcPr>
          <w:p w:rsidR="00043D8B" w:rsidRPr="00150E00" w:rsidRDefault="00043D8B" w:rsidP="003847E2">
            <w:pPr>
              <w:spacing w:after="0"/>
              <w:ind w:left="4" w:right="49"/>
              <w:rPr>
                <w:rFonts w:ascii="Times New Roman" w:hAnsi="Times New Roman"/>
                <w:b/>
                <w:sz w:val="20"/>
                <w:szCs w:val="20"/>
                <w:u w:val="single"/>
              </w:rPr>
            </w:pPr>
            <w:r w:rsidRPr="00150E00">
              <w:rPr>
                <w:rFonts w:ascii="Times New Roman" w:hAnsi="Times New Roman"/>
                <w:b/>
                <w:sz w:val="20"/>
                <w:szCs w:val="20"/>
                <w:u w:val="single"/>
              </w:rPr>
              <w:t xml:space="preserve">Stredná priorita </w:t>
            </w:r>
          </w:p>
          <w:p w:rsidR="00043D8B" w:rsidRPr="00DC3102" w:rsidRDefault="00043D8B" w:rsidP="003847E2">
            <w:pPr>
              <w:spacing w:after="0"/>
              <w:ind w:left="4" w:right="49"/>
              <w:jc w:val="both"/>
              <w:rPr>
                <w:rFonts w:ascii="Times New Roman" w:hAnsi="Times New Roman"/>
                <w:sz w:val="20"/>
              </w:rPr>
            </w:pPr>
            <w:r w:rsidRPr="004F3B07">
              <w:rPr>
                <w:rFonts w:ascii="Times New Roman" w:hAnsi="Times New Roman"/>
                <w:bCs/>
                <w:sz w:val="20"/>
                <w:szCs w:val="20"/>
              </w:rPr>
              <w:t>Slovenská republika podporuje znižovanie rizík v bankovom sektore a zavedenie minimálnej požiadavky na krytie strát pri problémových expozíciách.</w:t>
            </w:r>
          </w:p>
        </w:tc>
      </w:tr>
      <w:tr w:rsidR="00043D8B" w:rsidTr="007864C8">
        <w:trPr>
          <w:trHeight w:val="420"/>
        </w:trPr>
        <w:tc>
          <w:tcPr>
            <w:tcW w:w="466" w:type="dxa"/>
          </w:tcPr>
          <w:p w:rsidR="00043D8B" w:rsidRDefault="00043D8B" w:rsidP="003847E2">
            <w:pPr>
              <w:spacing w:after="0"/>
            </w:pPr>
            <w:r>
              <w:rPr>
                <w:rFonts w:ascii="Times New Roman" w:hAnsi="Times New Roman"/>
                <w:sz w:val="20"/>
              </w:rPr>
              <w:t>24.</w:t>
            </w:r>
            <w:r>
              <w:rPr>
                <w:rFonts w:ascii="Arial" w:hAnsi="Arial" w:cs="Arial"/>
                <w:sz w:val="20"/>
              </w:rPr>
              <w:t xml:space="preserve"> </w:t>
            </w:r>
            <w:r>
              <w:rPr>
                <w:rFonts w:ascii="Times New Roman" w:hAnsi="Times New Roman"/>
                <w:sz w:val="20"/>
              </w:rPr>
              <w:t xml:space="preserve"> </w:t>
            </w:r>
          </w:p>
          <w:p w:rsidR="00043D8B" w:rsidRDefault="00043D8B" w:rsidP="003847E2">
            <w:pPr>
              <w:spacing w:after="0"/>
              <w:jc w:val="right"/>
            </w:pPr>
            <w:r>
              <w:rPr>
                <w:rFonts w:ascii="Times New Roman" w:hAnsi="Times New Roman"/>
                <w:sz w:val="20"/>
              </w:rPr>
              <w:t xml:space="preserve"> </w:t>
            </w:r>
          </w:p>
        </w:tc>
        <w:tc>
          <w:tcPr>
            <w:tcW w:w="1943" w:type="dxa"/>
          </w:tcPr>
          <w:p w:rsidR="00043D8B" w:rsidRDefault="00043D8B" w:rsidP="003847E2">
            <w:pPr>
              <w:spacing w:after="0"/>
              <w:ind w:left="1"/>
              <w:jc w:val="both"/>
            </w:pPr>
            <w:r>
              <w:rPr>
                <w:rFonts w:ascii="Times New Roman" w:hAnsi="Times New Roman"/>
                <w:sz w:val="20"/>
              </w:rPr>
              <w:t xml:space="preserve">Zmeny nariadenia o infraštruktúre európskych trhov </w:t>
            </w:r>
          </w:p>
        </w:tc>
        <w:tc>
          <w:tcPr>
            <w:tcW w:w="5637" w:type="dxa"/>
          </w:tcPr>
          <w:p w:rsidR="00043D8B" w:rsidRDefault="00043D8B" w:rsidP="00D15EE0">
            <w:pPr>
              <w:spacing w:after="0"/>
              <w:ind w:left="1"/>
              <w:jc w:val="both"/>
            </w:pPr>
            <w:r>
              <w:rPr>
                <w:rFonts w:ascii="Times New Roman" w:hAnsi="Times New Roman"/>
                <w:sz w:val="20"/>
              </w:rPr>
              <w:t>Návrh NARIADENIA EURÓPSKEHO PARLAMENTU A RADY, ktorým sa mení nariadenie (EÚ) č. 648/2012, pokiaľ ide o zúčtovaciu povinnosť, pozastavenie zúčtovacej povinnosti, požiadavky na predkladanie správ, postupy zmierňovania rizika pri zmluvách o mimoburzových derivátoch, ktoré nezúčtováva centrálna protistrana, registráciu archívov obchodných údajov a dohľad nad nimi a požiadavky na archívy obchodných údajov** COM(2017) 208 final 2017/0090 COD 4. 5. 2017</w:t>
            </w:r>
          </w:p>
        </w:tc>
        <w:tc>
          <w:tcPr>
            <w:tcW w:w="1418" w:type="dxa"/>
          </w:tcPr>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MF SR</w:t>
            </w:r>
          </w:p>
        </w:tc>
        <w:tc>
          <w:tcPr>
            <w:tcW w:w="5386" w:type="dxa"/>
          </w:tcPr>
          <w:p w:rsidR="00043D8B" w:rsidRPr="00150E00" w:rsidRDefault="00043D8B" w:rsidP="003847E2">
            <w:pPr>
              <w:spacing w:after="0"/>
              <w:ind w:left="4" w:right="49"/>
              <w:rPr>
                <w:rFonts w:ascii="Times New Roman" w:hAnsi="Times New Roman"/>
                <w:b/>
                <w:sz w:val="20"/>
                <w:u w:val="single"/>
              </w:rPr>
            </w:pPr>
            <w:r w:rsidRPr="00150E00">
              <w:rPr>
                <w:rFonts w:ascii="Times New Roman" w:hAnsi="Times New Roman"/>
                <w:b/>
                <w:sz w:val="20"/>
                <w:u w:val="single"/>
              </w:rPr>
              <w:t xml:space="preserve">Nízka priorita </w:t>
            </w:r>
          </w:p>
          <w:p w:rsidR="00043D8B" w:rsidRPr="004F3B07" w:rsidRDefault="00043D8B" w:rsidP="003847E2">
            <w:pPr>
              <w:pStyle w:val="Pta"/>
              <w:spacing w:after="0"/>
              <w:jc w:val="both"/>
              <w:rPr>
                <w:bCs/>
                <w:sz w:val="20"/>
                <w:szCs w:val="20"/>
                <w:highlight w:val="yellow"/>
              </w:rPr>
            </w:pPr>
            <w:r w:rsidRPr="00833647">
              <w:rPr>
                <w:rFonts w:ascii="Times New Roman" w:hAnsi="Times New Roman"/>
                <w:bCs/>
                <w:sz w:val="20"/>
                <w:szCs w:val="20"/>
              </w:rPr>
              <w:t>SR podporuje návrh nariadenia a jeho ciele, ktorými sú odstránenie neprimeraných nákladov a zaťaženia pre malé podniky a zjednodušenie pravidiel bez toho, aby sa ohrozila finančná stabilita. V decembri 2018 bola dosiahnutá politická dohoda s Európskym parlamentom.</w:t>
            </w:r>
          </w:p>
        </w:tc>
      </w:tr>
      <w:tr w:rsidR="00043D8B" w:rsidTr="007864C8">
        <w:tc>
          <w:tcPr>
            <w:tcW w:w="466" w:type="dxa"/>
          </w:tcPr>
          <w:p w:rsidR="00043D8B" w:rsidRDefault="00043D8B" w:rsidP="003847E2">
            <w:pPr>
              <w:spacing w:after="0"/>
            </w:pPr>
          </w:p>
        </w:tc>
        <w:tc>
          <w:tcPr>
            <w:tcW w:w="1943" w:type="dxa"/>
          </w:tcPr>
          <w:p w:rsidR="00043D8B" w:rsidRDefault="00043D8B" w:rsidP="003847E2">
            <w:pPr>
              <w:spacing w:after="0"/>
            </w:pPr>
          </w:p>
        </w:tc>
        <w:tc>
          <w:tcPr>
            <w:tcW w:w="5637" w:type="dxa"/>
          </w:tcPr>
          <w:p w:rsidR="00043D8B" w:rsidRDefault="00043D8B" w:rsidP="00D15EE0">
            <w:pPr>
              <w:spacing w:after="0"/>
              <w:ind w:left="1"/>
              <w:jc w:val="both"/>
            </w:pPr>
            <w:r>
              <w:rPr>
                <w:rFonts w:ascii="Times New Roman" w:hAnsi="Times New Roman"/>
                <w:sz w:val="20"/>
              </w:rPr>
              <w:t>Návrh NARIADENIA EURÓPSKEHO PARLAMENTU A RADY, ktorým sa mení nariadenie (EÚ) č. 1095/2010, ktorým sa zriaďuje Európsky orgán dohľadu (Európsky orgán pre cenné papiere a trhy) a ktorým sa mení nariadenie (EÚ) č. 648/2012, pokiaľ ide o postupy udeľovania povolení a orgány zúčastňujúce sa na udeľovaní povolení centrálnym protistranám a požiadavky na uznanie centrálnej protistrany z tretej krajiny** COM(2017) 331 final 2017/0136 COD  20. 9. 2017</w:t>
            </w:r>
          </w:p>
        </w:tc>
        <w:tc>
          <w:tcPr>
            <w:tcW w:w="1418" w:type="dxa"/>
          </w:tcPr>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MF SR</w:t>
            </w:r>
          </w:p>
        </w:tc>
        <w:tc>
          <w:tcPr>
            <w:tcW w:w="5386" w:type="dxa"/>
          </w:tcPr>
          <w:p w:rsidR="00043D8B" w:rsidRPr="00150E00" w:rsidRDefault="00043D8B" w:rsidP="003847E2">
            <w:pPr>
              <w:spacing w:after="0"/>
              <w:ind w:left="4" w:right="49"/>
              <w:rPr>
                <w:rFonts w:ascii="Times New Roman" w:hAnsi="Times New Roman"/>
                <w:b/>
                <w:sz w:val="20"/>
                <w:u w:val="single"/>
              </w:rPr>
            </w:pPr>
            <w:r w:rsidRPr="00150E00">
              <w:rPr>
                <w:rFonts w:ascii="Times New Roman" w:hAnsi="Times New Roman"/>
                <w:b/>
                <w:sz w:val="20"/>
                <w:u w:val="single"/>
              </w:rPr>
              <w:t xml:space="preserve">Nízka priorita </w:t>
            </w:r>
          </w:p>
          <w:p w:rsidR="00043D8B" w:rsidRPr="004F3B07" w:rsidRDefault="00043D8B" w:rsidP="003847E2">
            <w:pPr>
              <w:pStyle w:val="Pta"/>
              <w:spacing w:after="0"/>
              <w:jc w:val="both"/>
              <w:rPr>
                <w:bCs/>
                <w:sz w:val="20"/>
                <w:szCs w:val="20"/>
              </w:rPr>
            </w:pPr>
            <w:r w:rsidRPr="00833647">
              <w:rPr>
                <w:rFonts w:ascii="Times New Roman" w:hAnsi="Times New Roman"/>
                <w:bCs/>
                <w:sz w:val="20"/>
                <w:szCs w:val="20"/>
              </w:rPr>
              <w:t>Slovenská republika vo všeobecnosti podporuje návrh nariadenia a jeho ciele, ktorými sú stanoviť jasné a koherentné opatrenia dohľadu pre centrálne protistrany z EÚ aj z tretích krajín. V decembri 2018 bol dosiahnutý všeobecný prístup Rady EÚ (General Approach).</w:t>
            </w:r>
          </w:p>
        </w:tc>
      </w:tr>
      <w:tr w:rsidR="00043D8B" w:rsidTr="007864C8">
        <w:tc>
          <w:tcPr>
            <w:tcW w:w="466" w:type="dxa"/>
          </w:tcPr>
          <w:p w:rsidR="00043D8B" w:rsidRDefault="00043D8B" w:rsidP="003847E2">
            <w:pPr>
              <w:spacing w:after="0"/>
            </w:pPr>
            <w:r>
              <w:rPr>
                <w:rFonts w:ascii="Times New Roman" w:hAnsi="Times New Roman"/>
                <w:sz w:val="20"/>
              </w:rPr>
              <w:t>25.</w:t>
            </w:r>
            <w:r>
              <w:rPr>
                <w:rFonts w:ascii="Arial" w:hAnsi="Arial" w:cs="Arial"/>
                <w:sz w:val="20"/>
              </w:rPr>
              <w:t xml:space="preserve"> </w:t>
            </w:r>
            <w:r>
              <w:rPr>
                <w:rFonts w:ascii="Times New Roman" w:hAnsi="Times New Roman"/>
                <w:sz w:val="20"/>
              </w:rPr>
              <w:t xml:space="preserve"> </w:t>
            </w:r>
          </w:p>
        </w:tc>
        <w:tc>
          <w:tcPr>
            <w:tcW w:w="1943" w:type="dxa"/>
          </w:tcPr>
          <w:p w:rsidR="00043D8B" w:rsidRDefault="00043D8B" w:rsidP="003847E2">
            <w:pPr>
              <w:spacing w:after="0"/>
              <w:ind w:left="1"/>
            </w:pPr>
            <w:r>
              <w:rPr>
                <w:rFonts w:ascii="Times New Roman" w:hAnsi="Times New Roman"/>
                <w:sz w:val="20"/>
              </w:rPr>
              <w:t xml:space="preserve">Celoeurópsky osobný dôchodkový produkt (PEPP)   </w:t>
            </w:r>
          </w:p>
        </w:tc>
        <w:tc>
          <w:tcPr>
            <w:tcW w:w="5637" w:type="dxa"/>
          </w:tcPr>
          <w:p w:rsidR="00043D8B" w:rsidRDefault="00043D8B" w:rsidP="00D15EE0">
            <w:pPr>
              <w:spacing w:after="0"/>
              <w:ind w:left="1"/>
              <w:jc w:val="both"/>
            </w:pPr>
            <w:r>
              <w:rPr>
                <w:rFonts w:ascii="Times New Roman" w:hAnsi="Times New Roman"/>
                <w:sz w:val="20"/>
              </w:rPr>
              <w:t>Návrh NARIADENIA EURÓPSKEHO PARLAMENTU A RADY o celoeurópskom osobnom dôchodkovom produkte (PEPP)** COM(2017) 343 final 2017/0143 COD  29.06.2017</w:t>
            </w:r>
          </w:p>
        </w:tc>
        <w:tc>
          <w:tcPr>
            <w:tcW w:w="1418" w:type="dxa"/>
          </w:tcPr>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MPSVaR SR</w:t>
            </w:r>
          </w:p>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MF SR</w:t>
            </w:r>
          </w:p>
        </w:tc>
        <w:tc>
          <w:tcPr>
            <w:tcW w:w="5386" w:type="dxa"/>
          </w:tcPr>
          <w:p w:rsidR="00043D8B" w:rsidRPr="00CE59E3" w:rsidRDefault="00043D8B" w:rsidP="003847E2">
            <w:pPr>
              <w:spacing w:after="0"/>
              <w:ind w:left="4" w:right="49"/>
              <w:rPr>
                <w:rFonts w:ascii="Times New Roman" w:hAnsi="Times New Roman"/>
                <w:b/>
                <w:sz w:val="20"/>
                <w:szCs w:val="20"/>
                <w:u w:val="single"/>
              </w:rPr>
            </w:pPr>
            <w:r>
              <w:rPr>
                <w:rFonts w:ascii="Times New Roman" w:hAnsi="Times New Roman"/>
                <w:b/>
                <w:sz w:val="20"/>
                <w:szCs w:val="20"/>
                <w:u w:val="single"/>
              </w:rPr>
              <w:t xml:space="preserve">Vysoká  priorita </w:t>
            </w:r>
          </w:p>
          <w:p w:rsidR="00043D8B" w:rsidRPr="00F52E69" w:rsidRDefault="00043D8B" w:rsidP="003847E2">
            <w:pPr>
              <w:spacing w:after="0"/>
              <w:ind w:left="4" w:right="49"/>
              <w:jc w:val="both"/>
              <w:rPr>
                <w:rFonts w:ascii="Times New Roman" w:hAnsi="Times New Roman"/>
                <w:sz w:val="20"/>
              </w:rPr>
            </w:pPr>
            <w:r>
              <w:rPr>
                <w:rFonts w:ascii="Times New Roman" w:hAnsi="Times New Roman"/>
                <w:sz w:val="20"/>
              </w:rPr>
              <w:t>Prijatá úprava bude mať priamy dopad na občanov EÚ, teda aj na občanov SR. V súčasnosti prebiehajú rokovania v rámci  trialógov.</w:t>
            </w:r>
          </w:p>
        </w:tc>
      </w:tr>
      <w:tr w:rsidR="00043D8B" w:rsidTr="007864C8">
        <w:tc>
          <w:tcPr>
            <w:tcW w:w="466" w:type="dxa"/>
          </w:tcPr>
          <w:p w:rsidR="00043D8B" w:rsidRDefault="00043D8B" w:rsidP="003847E2">
            <w:pPr>
              <w:spacing w:after="0"/>
            </w:pPr>
            <w:r>
              <w:rPr>
                <w:rFonts w:ascii="Times New Roman" w:hAnsi="Times New Roman"/>
                <w:sz w:val="20"/>
              </w:rPr>
              <w:t>26.</w:t>
            </w:r>
            <w:r>
              <w:rPr>
                <w:rFonts w:ascii="Arial" w:hAnsi="Arial" w:cs="Arial"/>
                <w:sz w:val="20"/>
              </w:rPr>
              <w:t xml:space="preserve"> </w:t>
            </w:r>
            <w:r>
              <w:rPr>
                <w:rFonts w:ascii="Times New Roman" w:hAnsi="Times New Roman"/>
                <w:sz w:val="20"/>
              </w:rPr>
              <w:t xml:space="preserve"> </w:t>
            </w:r>
          </w:p>
          <w:p w:rsidR="00043D8B" w:rsidRDefault="00043D8B" w:rsidP="003847E2">
            <w:pPr>
              <w:spacing w:after="0"/>
              <w:jc w:val="right"/>
            </w:pPr>
            <w:r>
              <w:rPr>
                <w:rFonts w:ascii="Times New Roman" w:hAnsi="Times New Roman"/>
                <w:sz w:val="20"/>
              </w:rPr>
              <w:t xml:space="preserve"> </w:t>
            </w:r>
          </w:p>
          <w:p w:rsidR="00043D8B" w:rsidRDefault="00043D8B" w:rsidP="003847E2">
            <w:pPr>
              <w:spacing w:after="0"/>
              <w:jc w:val="right"/>
            </w:pPr>
            <w:r>
              <w:rPr>
                <w:rFonts w:ascii="Times New Roman" w:hAnsi="Times New Roman"/>
                <w:sz w:val="20"/>
              </w:rPr>
              <w:t xml:space="preserve"> </w:t>
            </w:r>
          </w:p>
        </w:tc>
        <w:tc>
          <w:tcPr>
            <w:tcW w:w="1943" w:type="dxa"/>
          </w:tcPr>
          <w:p w:rsidR="00043D8B" w:rsidRDefault="00043D8B" w:rsidP="003847E2">
            <w:pPr>
              <w:spacing w:after="0"/>
              <w:ind w:left="1"/>
            </w:pPr>
            <w:r>
              <w:rPr>
                <w:rFonts w:ascii="Times New Roman" w:hAnsi="Times New Roman"/>
                <w:sz w:val="20"/>
              </w:rPr>
              <w:t xml:space="preserve">Úlohy, správa a financovanie európskych orgánov dohľadu </w:t>
            </w:r>
          </w:p>
        </w:tc>
        <w:tc>
          <w:tcPr>
            <w:tcW w:w="5637" w:type="dxa"/>
          </w:tcPr>
          <w:p w:rsidR="00043D8B" w:rsidRDefault="00043D8B" w:rsidP="00D15EE0">
            <w:pPr>
              <w:spacing w:after="0"/>
              <w:ind w:left="1"/>
              <w:jc w:val="both"/>
            </w:pPr>
            <w:r>
              <w:rPr>
                <w:rFonts w:ascii="Times New Roman" w:hAnsi="Times New Roman"/>
                <w:sz w:val="20"/>
              </w:rPr>
              <w:t>Návrh NARIADENIA EURÓPSKEHO PARLAMENTU A RADY, ktorým sa mení nariadenie (EÚ) č. 1093/2010, ktorým sa zriaďuje Európsky orgán dohľadu (Európsky orgán pre bankovníctvo); nariadenie (EÚ) č. 1094/2010, ktorým sa zriaďuje Európsky orgán dohľadu (Európsky orgán pre poisťovníctvo a dôchodkové poistenie zamestnancov); nariadenie (EÚ) č. 1095/2010, ktorým sa zriaďuje Európsky orgán dohľadu (Európsky orgán pre cenné papiere a trhy); nariadenie (EÚ) č. 345/2013 o európskych fondoch rizikového kapitálu; nariadenie (EÚ) č. 346/2013 o európskych fondoch sociálneho podnikania; nariadenie (EÚ) č. 600/2014 o trhoch s finančnými nástrojmi; nariadenie (EÚ) 2015/760 o európskych dlhodobých investičných fondoch; nariadenie (EÚ) 2016/1011 o indexoch používaných ako referenčné hodnoty vo finančných nástrojoch a finančných zmluvách alebo na meranie výkonnosti investičných fondov; a nariadenie (EÚ) 2017/1129 o prospekte, ktorý sa má uverejniť pri verejnej ponuke cenných papierov alebo ich prijatí na obchodovanie na regulovanom trhu** COM(2017) 536 final 2017/0230 (COD) 20. 9. 2017</w:t>
            </w:r>
          </w:p>
        </w:tc>
        <w:tc>
          <w:tcPr>
            <w:tcW w:w="1418" w:type="dxa"/>
          </w:tcPr>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MF SR</w:t>
            </w:r>
          </w:p>
        </w:tc>
        <w:tc>
          <w:tcPr>
            <w:tcW w:w="5386" w:type="dxa"/>
          </w:tcPr>
          <w:p w:rsidR="00043D8B" w:rsidRPr="00150E00" w:rsidRDefault="00043D8B" w:rsidP="003847E2">
            <w:pPr>
              <w:spacing w:after="0"/>
              <w:ind w:left="4" w:right="49"/>
              <w:rPr>
                <w:rFonts w:ascii="Times New Roman" w:hAnsi="Times New Roman"/>
                <w:b/>
                <w:sz w:val="20"/>
                <w:szCs w:val="20"/>
                <w:u w:val="single"/>
              </w:rPr>
            </w:pPr>
            <w:r w:rsidRPr="00150E00">
              <w:rPr>
                <w:rFonts w:ascii="Times New Roman" w:hAnsi="Times New Roman"/>
                <w:b/>
                <w:sz w:val="20"/>
                <w:szCs w:val="20"/>
                <w:u w:val="single"/>
              </w:rPr>
              <w:t xml:space="preserve">Stredná priorita </w:t>
            </w:r>
          </w:p>
          <w:p w:rsidR="00043D8B" w:rsidRPr="00F52E69" w:rsidRDefault="00043D8B" w:rsidP="003847E2">
            <w:pPr>
              <w:spacing w:after="0"/>
              <w:ind w:left="4" w:right="49"/>
              <w:jc w:val="both"/>
              <w:rPr>
                <w:rFonts w:ascii="Times New Roman" w:hAnsi="Times New Roman"/>
                <w:sz w:val="20"/>
              </w:rPr>
            </w:pPr>
            <w:r>
              <w:rPr>
                <w:rFonts w:ascii="Times New Roman" w:hAnsi="Times New Roman"/>
                <w:bCs/>
                <w:color w:val="auto"/>
                <w:sz w:val="20"/>
                <w:szCs w:val="20"/>
              </w:rPr>
              <w:t xml:space="preserve">SR </w:t>
            </w:r>
            <w:r w:rsidRPr="004F3B07">
              <w:rPr>
                <w:rFonts w:ascii="Times New Roman" w:hAnsi="Times New Roman"/>
                <w:bCs/>
                <w:color w:val="auto"/>
                <w:sz w:val="20"/>
                <w:szCs w:val="20"/>
              </w:rPr>
              <w:t>podporuje návrh nariadenia a jeho ciele, ktorými sú zlepšenie a zefektívnenie fungovania Európskych orgánov dohľadu. Uskutočnená verejná konzultácia poukázala na nedostatky, ktoré je potrebné vyriešiť. Ide napríklad o konzistentné uplatňovanie práva EÚ, poskytovane priebežnej podpory v súvislosti s rozhodnutiami o rovnocennosti a efektívnejšie riadenie ESAs.  Keďže integrované finančné trhy prinášajú významné prínosy z hľadiska financovania európskeho hospodárstva, plne podporujeme zmeny, ktoré povedú k ich vyššej stabilite a dôveryhodnosti tak z európskeho, ako aj medzinárodného hľadiska</w:t>
            </w:r>
          </w:p>
        </w:tc>
      </w:tr>
      <w:tr w:rsidR="00043D8B" w:rsidTr="007864C8">
        <w:tc>
          <w:tcPr>
            <w:tcW w:w="466" w:type="dxa"/>
          </w:tcPr>
          <w:p w:rsidR="00043D8B" w:rsidRDefault="00043D8B" w:rsidP="003847E2">
            <w:pPr>
              <w:spacing w:after="0"/>
            </w:pPr>
          </w:p>
        </w:tc>
        <w:tc>
          <w:tcPr>
            <w:tcW w:w="1943" w:type="dxa"/>
          </w:tcPr>
          <w:p w:rsidR="00043D8B" w:rsidRDefault="00043D8B" w:rsidP="003847E2">
            <w:pPr>
              <w:spacing w:after="0"/>
            </w:pPr>
          </w:p>
        </w:tc>
        <w:tc>
          <w:tcPr>
            <w:tcW w:w="5637" w:type="dxa"/>
          </w:tcPr>
          <w:p w:rsidR="00043D8B" w:rsidRDefault="00043D8B" w:rsidP="00D15EE0">
            <w:pPr>
              <w:spacing w:after="0"/>
              <w:ind w:left="1"/>
              <w:jc w:val="both"/>
            </w:pPr>
            <w:r>
              <w:rPr>
                <w:rFonts w:ascii="Times New Roman" w:hAnsi="Times New Roman"/>
                <w:sz w:val="20"/>
              </w:rPr>
              <w:t xml:space="preserve">Návrh SMERNICE EURÓPSKEHO PARLAMENTU A RADY, ktorou sa mení smernica 2014/65/EÚ o trhoch s finančnými nástrojmi a smernica 2009/138/ES o začatí a vykonávaní poistenia a zaistenia </w:t>
            </w:r>
          </w:p>
          <w:p w:rsidR="00043D8B" w:rsidRPr="009F01FD" w:rsidRDefault="00043D8B" w:rsidP="00D15EE0">
            <w:pPr>
              <w:spacing w:after="0"/>
              <w:ind w:left="1"/>
              <w:jc w:val="both"/>
            </w:pPr>
            <w:r>
              <w:rPr>
                <w:rFonts w:ascii="Times New Roman" w:hAnsi="Times New Roman"/>
                <w:sz w:val="20"/>
              </w:rPr>
              <w:t>(Solventnosť II)** COM(2017) 537 2017/0231 (COD) 20. 9. 2017</w:t>
            </w:r>
          </w:p>
        </w:tc>
        <w:tc>
          <w:tcPr>
            <w:tcW w:w="1418" w:type="dxa"/>
          </w:tcPr>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MF SR</w:t>
            </w:r>
          </w:p>
        </w:tc>
        <w:tc>
          <w:tcPr>
            <w:tcW w:w="5386" w:type="dxa"/>
          </w:tcPr>
          <w:p w:rsidR="00043D8B" w:rsidRPr="00150E00" w:rsidRDefault="00043D8B" w:rsidP="003847E2">
            <w:pPr>
              <w:spacing w:after="0"/>
              <w:ind w:left="4" w:right="49"/>
              <w:jc w:val="both"/>
              <w:rPr>
                <w:rFonts w:ascii="Times New Roman" w:hAnsi="Times New Roman"/>
                <w:b/>
                <w:sz w:val="20"/>
                <w:szCs w:val="20"/>
                <w:u w:val="single"/>
              </w:rPr>
            </w:pPr>
            <w:r w:rsidRPr="00150E00">
              <w:rPr>
                <w:rFonts w:ascii="Times New Roman" w:hAnsi="Times New Roman"/>
                <w:b/>
                <w:sz w:val="20"/>
                <w:szCs w:val="20"/>
                <w:u w:val="single"/>
              </w:rPr>
              <w:t xml:space="preserve">Stredná priorita </w:t>
            </w:r>
          </w:p>
          <w:p w:rsidR="00043D8B" w:rsidRPr="00F52E69" w:rsidRDefault="00043D8B" w:rsidP="003847E2">
            <w:pPr>
              <w:spacing w:after="0"/>
              <w:ind w:left="4" w:right="49"/>
              <w:jc w:val="both"/>
              <w:rPr>
                <w:rFonts w:ascii="Times New Roman" w:hAnsi="Times New Roman"/>
                <w:sz w:val="20"/>
              </w:rPr>
            </w:pPr>
            <w:r>
              <w:rPr>
                <w:rFonts w:ascii="Times New Roman" w:hAnsi="Times New Roman"/>
                <w:bCs/>
                <w:color w:val="auto"/>
                <w:sz w:val="20"/>
                <w:szCs w:val="20"/>
              </w:rPr>
              <w:t xml:space="preserve">SR </w:t>
            </w:r>
            <w:r w:rsidRPr="004F3B07">
              <w:rPr>
                <w:rFonts w:ascii="Times New Roman" w:hAnsi="Times New Roman"/>
                <w:bCs/>
                <w:color w:val="auto"/>
                <w:sz w:val="20"/>
                <w:szCs w:val="20"/>
              </w:rPr>
              <w:t>podporuje návrh nariadenia a jeho ciele, ktorými sú zlepšenie a zefektívnenie fungovania Európskych orgánov dohľadu. Uskutočnená verejná konzultácia poukázala na nedostatky, ktoré je potrebné vyriešiť. Ide napríklad o konzistentné uplatňovanie práva EÚ, poskytovane priebežnej podpory v súvislosti s rozhodnutiami o rovnocennosti a efektívnejšie riadenie ESAs.  Keďže integrované finančné trhy prinášajú významné prínosy z hľadiska financovania európskeho hospodárstva, plne podporujeme zmeny, ktoré povedú k ich vyššej stabilite a dôveryhodnosti tak z európskeho, ako aj medzinárodného hľadiska</w:t>
            </w:r>
          </w:p>
        </w:tc>
      </w:tr>
      <w:tr w:rsidR="00043D8B" w:rsidTr="007864C8">
        <w:tc>
          <w:tcPr>
            <w:tcW w:w="466" w:type="dxa"/>
          </w:tcPr>
          <w:p w:rsidR="00043D8B" w:rsidRDefault="00043D8B" w:rsidP="003847E2">
            <w:pPr>
              <w:spacing w:after="0"/>
            </w:pPr>
          </w:p>
        </w:tc>
        <w:tc>
          <w:tcPr>
            <w:tcW w:w="1943" w:type="dxa"/>
          </w:tcPr>
          <w:p w:rsidR="00043D8B" w:rsidRDefault="00043D8B" w:rsidP="003847E2">
            <w:pPr>
              <w:spacing w:after="0"/>
            </w:pPr>
          </w:p>
        </w:tc>
        <w:tc>
          <w:tcPr>
            <w:tcW w:w="5637" w:type="dxa"/>
          </w:tcPr>
          <w:p w:rsidR="00043D8B" w:rsidRDefault="00043D8B" w:rsidP="00D15EE0">
            <w:pPr>
              <w:spacing w:after="0"/>
              <w:ind w:left="1"/>
              <w:jc w:val="both"/>
            </w:pPr>
            <w:r>
              <w:rPr>
                <w:rFonts w:ascii="Times New Roman" w:hAnsi="Times New Roman"/>
                <w:sz w:val="20"/>
              </w:rPr>
              <w:t>Návrh NARIADENIA EURÓPSKEHO PARLAMENTU A RADY, ktorým sa mení nariadenie (EÚ) č. 1092/2010 o makroprudenciálnom dohľade Európskej únie nad finančným systémom a o zriadení Európskeho výboru pre systémové riziká** COM(2017) 538 final 2017/0232 (COD)  20. 9. 2017</w:t>
            </w:r>
          </w:p>
        </w:tc>
        <w:tc>
          <w:tcPr>
            <w:tcW w:w="1418" w:type="dxa"/>
          </w:tcPr>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MF SR</w:t>
            </w:r>
          </w:p>
        </w:tc>
        <w:tc>
          <w:tcPr>
            <w:tcW w:w="5386" w:type="dxa"/>
          </w:tcPr>
          <w:p w:rsidR="00043D8B" w:rsidRPr="00150E00" w:rsidRDefault="00043D8B" w:rsidP="003847E2">
            <w:pPr>
              <w:spacing w:after="0"/>
              <w:ind w:left="4" w:right="49"/>
              <w:jc w:val="both"/>
              <w:rPr>
                <w:rFonts w:ascii="Times New Roman" w:hAnsi="Times New Roman"/>
                <w:b/>
                <w:sz w:val="20"/>
                <w:szCs w:val="20"/>
                <w:u w:val="single"/>
              </w:rPr>
            </w:pPr>
            <w:r w:rsidRPr="00150E00">
              <w:rPr>
                <w:rFonts w:ascii="Times New Roman" w:hAnsi="Times New Roman"/>
                <w:b/>
                <w:sz w:val="20"/>
                <w:szCs w:val="20"/>
                <w:u w:val="single"/>
              </w:rPr>
              <w:t xml:space="preserve">Stredná priorita </w:t>
            </w:r>
          </w:p>
          <w:p w:rsidR="00043D8B" w:rsidRPr="00F52E69" w:rsidRDefault="00043D8B" w:rsidP="003847E2">
            <w:pPr>
              <w:spacing w:after="0"/>
              <w:ind w:left="4" w:right="49"/>
              <w:jc w:val="both"/>
              <w:rPr>
                <w:rFonts w:ascii="Times New Roman" w:hAnsi="Times New Roman"/>
                <w:sz w:val="20"/>
              </w:rPr>
            </w:pPr>
            <w:r>
              <w:rPr>
                <w:rFonts w:ascii="Times New Roman" w:hAnsi="Times New Roman"/>
                <w:bCs/>
                <w:color w:val="auto"/>
                <w:sz w:val="20"/>
                <w:szCs w:val="20"/>
              </w:rPr>
              <w:t xml:space="preserve">SR </w:t>
            </w:r>
            <w:r w:rsidRPr="004F3B07">
              <w:rPr>
                <w:rFonts w:ascii="Times New Roman" w:hAnsi="Times New Roman"/>
                <w:bCs/>
                <w:color w:val="auto"/>
                <w:sz w:val="20"/>
                <w:szCs w:val="20"/>
              </w:rPr>
              <w:t>podporuje návrh nariadenia a jeho ciele, ktorými sú zlepšenie a zefektívnenie fungovania Európskych orgánov dohľadu. Uskutočnená verejná konzultácia poukázala na nedostatky, ktoré je potrebné vyriešiť. Ide napríklad o konzistentné uplatňovanie práva EÚ, poskytovane priebežnej podpory v súvislosti s rozhodnutiami o rovnocennosti a efektívnejšie riadenie ESAs.  Keďže integrované finančné trhy prinášajú významné prínosy z hľadiska financovania európskeho hospodárstva, plne podporujeme zmeny, ktoré povedú k ich vyššej stabilite a dôveryhodnosti tak z európskeho, ako aj medzinárodného hľadiska</w:t>
            </w:r>
          </w:p>
        </w:tc>
      </w:tr>
      <w:tr w:rsidR="00043D8B" w:rsidTr="007864C8">
        <w:tc>
          <w:tcPr>
            <w:tcW w:w="466" w:type="dxa"/>
          </w:tcPr>
          <w:p w:rsidR="00043D8B" w:rsidRDefault="00043D8B" w:rsidP="003847E2">
            <w:pPr>
              <w:spacing w:after="0"/>
            </w:pPr>
            <w:r>
              <w:rPr>
                <w:rFonts w:ascii="Times New Roman" w:hAnsi="Times New Roman"/>
                <w:sz w:val="20"/>
              </w:rPr>
              <w:t>27.</w:t>
            </w:r>
            <w:r>
              <w:rPr>
                <w:rFonts w:ascii="Arial" w:hAnsi="Arial" w:cs="Arial"/>
                <w:sz w:val="20"/>
              </w:rPr>
              <w:t xml:space="preserve"> </w:t>
            </w:r>
            <w:r>
              <w:rPr>
                <w:rFonts w:ascii="Times New Roman" w:hAnsi="Times New Roman"/>
                <w:sz w:val="20"/>
              </w:rPr>
              <w:t xml:space="preserve"> </w:t>
            </w:r>
          </w:p>
          <w:p w:rsidR="00043D8B" w:rsidRDefault="00043D8B" w:rsidP="003847E2">
            <w:pPr>
              <w:spacing w:after="0"/>
              <w:jc w:val="right"/>
            </w:pPr>
            <w:r>
              <w:rPr>
                <w:rFonts w:ascii="Times New Roman" w:hAnsi="Times New Roman"/>
                <w:sz w:val="20"/>
              </w:rPr>
              <w:t xml:space="preserve"> </w:t>
            </w:r>
          </w:p>
        </w:tc>
        <w:tc>
          <w:tcPr>
            <w:tcW w:w="1943" w:type="dxa"/>
          </w:tcPr>
          <w:p w:rsidR="00043D8B" w:rsidRDefault="00043D8B" w:rsidP="003847E2">
            <w:pPr>
              <w:spacing w:after="0"/>
              <w:ind w:left="1"/>
            </w:pPr>
            <w:r>
              <w:rPr>
                <w:rFonts w:ascii="Times New Roman" w:hAnsi="Times New Roman"/>
                <w:sz w:val="20"/>
              </w:rPr>
              <w:t xml:space="preserve">Požiadavky a dohľad nad investičnými spoločnosťami </w:t>
            </w:r>
          </w:p>
        </w:tc>
        <w:tc>
          <w:tcPr>
            <w:tcW w:w="5637" w:type="dxa"/>
          </w:tcPr>
          <w:p w:rsidR="00043D8B" w:rsidRDefault="00043D8B" w:rsidP="00D15EE0">
            <w:pPr>
              <w:spacing w:after="0"/>
              <w:ind w:left="1"/>
              <w:jc w:val="both"/>
            </w:pPr>
            <w:r>
              <w:rPr>
                <w:rFonts w:ascii="Times New Roman" w:hAnsi="Times New Roman"/>
                <w:sz w:val="20"/>
              </w:rPr>
              <w:t>Návrh NARIADENIA EURÓPSKEHO PARLAMENTU A RADY o prudenciálnych požiadavkách na investičné spoločnosti a o zmene nariadenia (EÚ) č. 575/2013, nariadenia (EÚ) č. 600/2014 a nariadenia (EÚ) č. 1093/2010** COM(2017) 790 final 2017/0359 (COD)  20. 12. 2017</w:t>
            </w:r>
          </w:p>
        </w:tc>
        <w:tc>
          <w:tcPr>
            <w:tcW w:w="1418" w:type="dxa"/>
          </w:tcPr>
          <w:p w:rsidR="00043D8B" w:rsidRPr="006458BF" w:rsidRDefault="00043D8B" w:rsidP="003847E2">
            <w:pPr>
              <w:spacing w:after="0"/>
              <w:ind w:left="4" w:right="49"/>
              <w:rPr>
                <w:rFonts w:ascii="Times New Roman" w:hAnsi="Times New Roman"/>
                <w:b/>
                <w:sz w:val="20"/>
              </w:rPr>
            </w:pPr>
            <w:r w:rsidRPr="006458BF">
              <w:rPr>
                <w:rFonts w:ascii="Times New Roman" w:hAnsi="Times New Roman"/>
                <w:b/>
                <w:sz w:val="20"/>
              </w:rPr>
              <w:t>MF SR</w:t>
            </w:r>
          </w:p>
        </w:tc>
        <w:tc>
          <w:tcPr>
            <w:tcW w:w="5386" w:type="dxa"/>
          </w:tcPr>
          <w:p w:rsidR="00043D8B" w:rsidRPr="00150E00" w:rsidRDefault="00043D8B" w:rsidP="003847E2">
            <w:pPr>
              <w:spacing w:after="0"/>
              <w:ind w:right="49"/>
              <w:rPr>
                <w:rFonts w:ascii="Times New Roman" w:hAnsi="Times New Roman"/>
                <w:b/>
                <w:sz w:val="20"/>
                <w:szCs w:val="20"/>
                <w:u w:val="single"/>
              </w:rPr>
            </w:pPr>
            <w:r w:rsidRPr="00150E00">
              <w:rPr>
                <w:rFonts w:ascii="Times New Roman" w:hAnsi="Times New Roman"/>
                <w:b/>
                <w:sz w:val="20"/>
                <w:szCs w:val="20"/>
                <w:u w:val="single"/>
              </w:rPr>
              <w:t xml:space="preserve">Stredná priorita </w:t>
            </w:r>
          </w:p>
          <w:p w:rsidR="00043D8B" w:rsidRPr="00150E00" w:rsidRDefault="00043D8B" w:rsidP="003847E2">
            <w:pPr>
              <w:autoSpaceDE w:val="0"/>
              <w:autoSpaceDN w:val="0"/>
              <w:adjustRightInd w:val="0"/>
              <w:spacing w:after="0"/>
              <w:jc w:val="both"/>
              <w:rPr>
                <w:rFonts w:ascii="Times New Roman" w:hAnsi="Times New Roman"/>
                <w:sz w:val="20"/>
                <w:szCs w:val="20"/>
              </w:rPr>
            </w:pPr>
            <w:r w:rsidRPr="004F3B07">
              <w:rPr>
                <w:rFonts w:ascii="Times New Roman" w:hAnsi="Times New Roman"/>
                <w:bCs/>
                <w:sz w:val="20"/>
                <w:szCs w:val="20"/>
              </w:rPr>
              <w:t xml:space="preserve">SR podporuje návrh nariadenia a jeho ciele, ktorými sú </w:t>
            </w:r>
            <w:r w:rsidRPr="004F3B07">
              <w:rPr>
                <w:rFonts w:ascii="Times New Roman" w:hAnsi="Times New Roman"/>
                <w:sz w:val="20"/>
                <w:szCs w:val="20"/>
              </w:rPr>
              <w:t xml:space="preserve">zjednodušenie fungovania menších investičných spoločností a zároveň dosiahnuť, aby najväčšie, systémové spoločnosti začali podliehať rovnakému režimu ako európske banky. Podľa návrhu nariadenia by menšie investičné spoločnosti v EÚ už nemali ďalej podliehať pravidlám, ktoré boli pôvodne navrhnuté pre banky. Tým sa zníži administratívna záťaž, posilní sa hospodárska súťaž a zvýšia sa investičné toky – čo sú všetko priority únie kapitálových trhov – a to bez toho, aby bola ohrozená finančná stabilita. </w:t>
            </w:r>
          </w:p>
        </w:tc>
      </w:tr>
      <w:tr w:rsidR="00043D8B" w:rsidTr="007864C8">
        <w:tc>
          <w:tcPr>
            <w:tcW w:w="466" w:type="dxa"/>
          </w:tcPr>
          <w:p w:rsidR="00043D8B" w:rsidRDefault="00043D8B" w:rsidP="003847E2">
            <w:pPr>
              <w:spacing w:after="0"/>
            </w:pPr>
          </w:p>
        </w:tc>
        <w:tc>
          <w:tcPr>
            <w:tcW w:w="1943" w:type="dxa"/>
          </w:tcPr>
          <w:p w:rsidR="00043D8B" w:rsidRDefault="00043D8B" w:rsidP="003847E2">
            <w:pPr>
              <w:spacing w:after="0"/>
            </w:pPr>
          </w:p>
        </w:tc>
        <w:tc>
          <w:tcPr>
            <w:tcW w:w="5637" w:type="dxa"/>
          </w:tcPr>
          <w:p w:rsidR="00043D8B" w:rsidRDefault="00043D8B" w:rsidP="00D15EE0">
            <w:pPr>
              <w:spacing w:after="0"/>
              <w:ind w:left="1"/>
              <w:jc w:val="both"/>
            </w:pPr>
            <w:r>
              <w:rPr>
                <w:rFonts w:ascii="Times New Roman" w:hAnsi="Times New Roman"/>
                <w:sz w:val="20"/>
              </w:rPr>
              <w:t>Návrh SMERNICE EURÓPSKEHO PARLAMENTU A RADY o prudenciálnom dohľade nad investičnými spoločnosťami a o zmene smerníc 2013/36/EÚ a 2014/65/EÚ** COM(2017) 791 final 2017/0358 (COD)  20. 12. 2017</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MF SR</w:t>
            </w:r>
          </w:p>
        </w:tc>
        <w:tc>
          <w:tcPr>
            <w:tcW w:w="5386" w:type="dxa"/>
          </w:tcPr>
          <w:p w:rsidR="00043D8B" w:rsidRPr="00150E00" w:rsidRDefault="00043D8B" w:rsidP="00D15EE0">
            <w:pPr>
              <w:spacing w:after="0"/>
              <w:ind w:left="4" w:right="49"/>
              <w:jc w:val="both"/>
              <w:rPr>
                <w:rFonts w:ascii="Times New Roman" w:hAnsi="Times New Roman"/>
                <w:b/>
                <w:sz w:val="20"/>
                <w:u w:val="single"/>
              </w:rPr>
            </w:pPr>
            <w:r w:rsidRPr="00150E00">
              <w:rPr>
                <w:rFonts w:ascii="Times New Roman" w:hAnsi="Times New Roman"/>
                <w:b/>
                <w:sz w:val="20"/>
                <w:u w:val="single"/>
              </w:rPr>
              <w:t xml:space="preserve">Nízka priorita </w:t>
            </w:r>
          </w:p>
          <w:p w:rsidR="00043D8B" w:rsidRPr="00150E00" w:rsidRDefault="00043D8B" w:rsidP="00D15EE0">
            <w:pPr>
              <w:autoSpaceDE w:val="0"/>
              <w:autoSpaceDN w:val="0"/>
              <w:adjustRightInd w:val="0"/>
              <w:spacing w:after="0"/>
              <w:jc w:val="both"/>
              <w:rPr>
                <w:rFonts w:ascii="Times New Roman" w:hAnsi="Times New Roman"/>
                <w:sz w:val="20"/>
                <w:szCs w:val="20"/>
              </w:rPr>
            </w:pPr>
            <w:r>
              <w:rPr>
                <w:rFonts w:ascii="Times New Roman" w:hAnsi="Times New Roman"/>
                <w:sz w:val="20"/>
                <w:szCs w:val="20"/>
              </w:rPr>
              <w:t xml:space="preserve">SR </w:t>
            </w:r>
            <w:r w:rsidRPr="004F3B07">
              <w:rPr>
                <w:rFonts w:ascii="Times New Roman" w:hAnsi="Times New Roman"/>
                <w:sz w:val="20"/>
                <w:szCs w:val="20"/>
              </w:rPr>
              <w:t>podporuje návrh smernice a jej ciele, ktorými sú zjednodušenie fungovania menších investičných spoločností a zároveň dosiahnuť, aby najväčšie, systémové spoločnosti začali podliehať rovnakému režimu ako európske banky. Podľa návrhu smernice by menšie investičné spoločnosti v EÚ už nemali ďalej podliehať pravidlám, ktoré boli pôvodne navrhnuté pre banky. Tým sa zníži administratívna záťaž, posilní sa hospodárska súťaž a zvýšia sa investičné toky – čo sú všetko priority únie kapitálových trhov – a to bez toho, aby bo</w:t>
            </w:r>
            <w:r>
              <w:rPr>
                <w:rFonts w:ascii="Times New Roman" w:hAnsi="Times New Roman"/>
                <w:sz w:val="20"/>
                <w:szCs w:val="20"/>
              </w:rPr>
              <w:t>la ohrozená finančná stabilita.</w:t>
            </w:r>
          </w:p>
        </w:tc>
      </w:tr>
      <w:tr w:rsidR="00043D8B" w:rsidTr="007864C8">
        <w:trPr>
          <w:trHeight w:val="2636"/>
        </w:trPr>
        <w:tc>
          <w:tcPr>
            <w:tcW w:w="466" w:type="dxa"/>
          </w:tcPr>
          <w:p w:rsidR="00043D8B" w:rsidRDefault="00043D8B" w:rsidP="003847E2">
            <w:pPr>
              <w:spacing w:after="0"/>
            </w:pPr>
            <w:r>
              <w:rPr>
                <w:rFonts w:ascii="Times New Roman" w:hAnsi="Times New Roman"/>
                <w:sz w:val="20"/>
              </w:rPr>
              <w:t>28.</w:t>
            </w:r>
            <w:r>
              <w:rPr>
                <w:rFonts w:ascii="Arial" w:hAnsi="Arial" w:cs="Arial"/>
                <w:sz w:val="20"/>
              </w:rPr>
              <w:t xml:space="preserve"> </w:t>
            </w:r>
            <w:r>
              <w:rPr>
                <w:rFonts w:ascii="Times New Roman" w:hAnsi="Times New Roman"/>
                <w:sz w:val="20"/>
              </w:rPr>
              <w:t xml:space="preserve"> </w:t>
            </w:r>
          </w:p>
        </w:tc>
        <w:tc>
          <w:tcPr>
            <w:tcW w:w="1943" w:type="dxa"/>
          </w:tcPr>
          <w:p w:rsidR="00043D8B" w:rsidRDefault="00043D8B" w:rsidP="003847E2">
            <w:pPr>
              <w:spacing w:after="0"/>
              <w:ind w:left="1" w:right="228"/>
            </w:pPr>
            <w:r>
              <w:rPr>
                <w:rFonts w:ascii="Times New Roman" w:hAnsi="Times New Roman"/>
                <w:sz w:val="20"/>
              </w:rPr>
              <w:t xml:space="preserve">Zverejňovanie informácií o dani z príjmu </w:t>
            </w:r>
          </w:p>
        </w:tc>
        <w:tc>
          <w:tcPr>
            <w:tcW w:w="5637" w:type="dxa"/>
          </w:tcPr>
          <w:p w:rsidR="00043D8B" w:rsidRDefault="00043D8B" w:rsidP="00D15EE0">
            <w:pPr>
              <w:spacing w:after="0"/>
              <w:ind w:left="1"/>
              <w:jc w:val="both"/>
            </w:pPr>
            <w:r>
              <w:rPr>
                <w:rFonts w:ascii="Times New Roman" w:hAnsi="Times New Roman"/>
                <w:sz w:val="20"/>
              </w:rPr>
              <w:t>Návrh SMERNICE EURÓPSKEHO PARLAMENTU A RADY, ktorou sa mení smernica 2013/34/EÚ, pokiaľ ide o zverejňovanie informácií o dani z príjmu určitými podnikmi a pobočkami** COM(2016) 198 final 2016/0107 (COD)  12. 4. 2016</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MF SR</w:t>
            </w:r>
          </w:p>
        </w:tc>
        <w:tc>
          <w:tcPr>
            <w:tcW w:w="5386" w:type="dxa"/>
          </w:tcPr>
          <w:p w:rsidR="00043D8B" w:rsidRPr="00150E00" w:rsidRDefault="00043D8B" w:rsidP="00D15EE0">
            <w:pPr>
              <w:spacing w:after="0"/>
              <w:ind w:left="4" w:right="49"/>
              <w:jc w:val="both"/>
              <w:rPr>
                <w:rFonts w:ascii="Times New Roman" w:hAnsi="Times New Roman"/>
                <w:sz w:val="20"/>
                <w:u w:val="single"/>
              </w:rPr>
            </w:pPr>
            <w:r w:rsidRPr="00150E00">
              <w:rPr>
                <w:rFonts w:ascii="Times New Roman" w:hAnsi="Times New Roman"/>
                <w:b/>
                <w:sz w:val="20"/>
                <w:u w:val="single"/>
              </w:rPr>
              <w:t>Nízka priorita</w:t>
            </w:r>
          </w:p>
          <w:p w:rsidR="00043D8B" w:rsidRDefault="00043D8B" w:rsidP="00D15EE0">
            <w:pPr>
              <w:spacing w:after="0"/>
              <w:ind w:left="4" w:right="49"/>
              <w:jc w:val="both"/>
              <w:rPr>
                <w:rFonts w:ascii="Times New Roman" w:hAnsi="Times New Roman"/>
                <w:sz w:val="20"/>
              </w:rPr>
            </w:pPr>
            <w:r>
              <w:rPr>
                <w:rFonts w:ascii="Times New Roman" w:hAnsi="Times New Roman"/>
                <w:sz w:val="20"/>
              </w:rPr>
              <w:t xml:space="preserve">Cieľom návrhu smernice je zvýšiť transparentnosť nadnárodných spoločností zavedením ich povinnosti verejne zverejňovať vybrané informácie týkajúce sa dane z príjmov podľa krajín (EÚ aj mimo EÚ). Keďže smernica sa má vzťahovať na podniky, ktoré majú konsolidovaný čistý obrat viac ako 750 mil. eur a na stredné podniky, ktorých konečná materská spoločnosť so sídlom mimo EÚ má uvedený obrat, nepredpokladá sa významný vplyv na podniky so sídlom v SR. Vo všeobecnosti SR podporuje iniciatívu zameranú na zvyšovanie transparentnosti. Vzhľadom na rozdielne názory týkajúce sa správnosti právneho základu návrhu smernice je diskusia k návrhu pozastavená. </w:t>
            </w:r>
          </w:p>
          <w:p w:rsidR="00043D8B" w:rsidRPr="00F52E69" w:rsidRDefault="00043D8B" w:rsidP="00D15EE0">
            <w:pPr>
              <w:spacing w:after="0"/>
              <w:ind w:right="49"/>
              <w:jc w:val="both"/>
              <w:rPr>
                <w:rFonts w:ascii="Times New Roman" w:hAnsi="Times New Roman"/>
                <w:sz w:val="20"/>
              </w:rPr>
            </w:pPr>
          </w:p>
        </w:tc>
      </w:tr>
      <w:tr w:rsidR="00043D8B" w:rsidTr="007864C8">
        <w:tc>
          <w:tcPr>
            <w:tcW w:w="466" w:type="dxa"/>
          </w:tcPr>
          <w:p w:rsidR="00043D8B" w:rsidRDefault="00043D8B" w:rsidP="003847E2">
            <w:pPr>
              <w:spacing w:after="0"/>
            </w:pPr>
            <w:r>
              <w:rPr>
                <w:rFonts w:ascii="Times New Roman" w:hAnsi="Times New Roman"/>
                <w:sz w:val="20"/>
              </w:rPr>
              <w:t>29.</w:t>
            </w:r>
            <w:r>
              <w:rPr>
                <w:rFonts w:ascii="Arial" w:hAnsi="Arial" w:cs="Arial"/>
                <w:sz w:val="20"/>
              </w:rPr>
              <w:t xml:space="preserve"> </w:t>
            </w:r>
            <w:r>
              <w:rPr>
                <w:rFonts w:ascii="Times New Roman" w:hAnsi="Times New Roman"/>
                <w:sz w:val="20"/>
              </w:rPr>
              <w:t xml:space="preserve"> </w:t>
            </w:r>
          </w:p>
        </w:tc>
        <w:tc>
          <w:tcPr>
            <w:tcW w:w="1943" w:type="dxa"/>
          </w:tcPr>
          <w:p w:rsidR="00043D8B" w:rsidRDefault="00043D8B" w:rsidP="003847E2">
            <w:pPr>
              <w:spacing w:after="0"/>
              <w:ind w:left="1" w:right="407"/>
              <w:jc w:val="both"/>
            </w:pPr>
            <w:r>
              <w:rPr>
                <w:rFonts w:ascii="Times New Roman" w:hAnsi="Times New Roman"/>
                <w:sz w:val="20"/>
              </w:rPr>
              <w:t xml:space="preserve">Transparentnosť a udržateľnosť hodnotenia rizika EÚ v rámci potravinového reťazca </w:t>
            </w:r>
          </w:p>
        </w:tc>
        <w:tc>
          <w:tcPr>
            <w:tcW w:w="5637" w:type="dxa"/>
          </w:tcPr>
          <w:p w:rsidR="00043D8B" w:rsidRDefault="00043D8B" w:rsidP="00D15EE0">
            <w:pPr>
              <w:spacing w:after="0"/>
              <w:ind w:left="1"/>
              <w:jc w:val="both"/>
            </w:pPr>
            <w:r>
              <w:rPr>
                <w:rFonts w:ascii="Times New Roman" w:hAnsi="Times New Roman"/>
                <w:sz w:val="20"/>
              </w:rPr>
              <w:t>Návrh NARIADENIA EURÓPSKEHO PARLAMENTU A RADY o transparentnosti a udržateľnosti hodnotenia rizika EÚ v potravinovom reťazci, ktorým sa mení nariadenie (ES) č. 178/2002 [o všeobecnom potravinovom práve], smernica 2001/18/ES [o zámernom uvoľnení geneticky modifikovaných organizmov do životného prostredia], nariadenie (ES) č. 1829/2003 [o geneticky modifikovaných potravinách a krmivách], nariadenie (ES) č. 1831/2003 [o kŕmnych doplnkových látkach], nariadenie (ES) č. 2065/2003 [o udiarenských dochucovadlách], nariadenie (ES) č. 1935/2004 [o materiáloch v styku s potravinami], nariadenie (ES) č. 1331/2008 [o spoločnom postupe schvaľovania prídavných látok v potravinách, potravinárskych enzýmov a potravinárskych aróm], nariadenie (ES) č. 1107/2009 [o prípravkoch na ochranu rastlín] a nariadenie (EÚ) 2015/2283 [o nových potravinách]** COM(2018) 179 final 2018/0088 (COD)  11. 4. 2018</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MPaRV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MZ SR</w:t>
            </w:r>
          </w:p>
        </w:tc>
        <w:tc>
          <w:tcPr>
            <w:tcW w:w="5386" w:type="dxa"/>
          </w:tcPr>
          <w:p w:rsidR="00043D8B" w:rsidRPr="00043D8B" w:rsidRDefault="00043D8B" w:rsidP="00D15EE0">
            <w:pPr>
              <w:spacing w:after="0"/>
              <w:jc w:val="both"/>
              <w:rPr>
                <w:rFonts w:ascii="Times New Roman" w:hAnsi="Times New Roman"/>
                <w:b/>
                <w:sz w:val="20"/>
                <w:szCs w:val="20"/>
                <w:u w:val="single"/>
              </w:rPr>
            </w:pPr>
            <w:r w:rsidRPr="00641738">
              <w:rPr>
                <w:rFonts w:ascii="Times New Roman" w:hAnsi="Times New Roman"/>
                <w:b/>
                <w:sz w:val="20"/>
                <w:szCs w:val="20"/>
                <w:u w:val="single"/>
              </w:rPr>
              <w:t>Vysoká priorita</w:t>
            </w:r>
          </w:p>
          <w:p w:rsidR="00043D8B" w:rsidRPr="00043D8B" w:rsidRDefault="00043D8B" w:rsidP="00D15EE0">
            <w:pPr>
              <w:spacing w:after="0"/>
              <w:jc w:val="both"/>
              <w:rPr>
                <w:rFonts w:ascii="Times New Roman" w:hAnsi="Times New Roman"/>
                <w:sz w:val="20"/>
                <w:szCs w:val="20"/>
                <w:lang w:eastAsia="en-US"/>
              </w:rPr>
            </w:pPr>
            <w:r w:rsidRPr="00043D8B">
              <w:rPr>
                <w:rFonts w:ascii="Times New Roman" w:hAnsi="Times New Roman"/>
                <w:sz w:val="20"/>
                <w:szCs w:val="20"/>
              </w:rPr>
              <w:t>Cieľom návrhu je zlepšiť a vyjasniť pravidlá týkajúce sa transparentnosti, najmä pokiaľ ide o vedecké štúdie používané ako základ pre vedecké hodnotenie rizika a reagovať tak na spoločenské požiadavky transparentnejšieho a nezávislejšieho procesu hodnotenia rizika a efektívnejšej komunikácie o riziku. Posilnením správy úradu EFSA pomocou lepšieho zapojenia členských štátov a dosiahnutím vyššej udržateľnosti hodnotenia rizika sa zabezpečí, že úrad EFSA bude aj naďalej zohrávať zásadnú úlohu v systéme bezpečnosti potravín Únie a naďalej prispievať k zdraviu a dobrým životným podmienkam občanov Únie.</w:t>
            </w:r>
          </w:p>
          <w:p w:rsidR="00043D8B" w:rsidRPr="00F52E69" w:rsidRDefault="00043D8B" w:rsidP="00D15EE0">
            <w:pPr>
              <w:spacing w:after="0"/>
              <w:ind w:left="4" w:right="49"/>
              <w:jc w:val="both"/>
              <w:rPr>
                <w:rFonts w:ascii="Times New Roman" w:hAnsi="Times New Roman"/>
                <w:sz w:val="20"/>
              </w:rPr>
            </w:pPr>
          </w:p>
        </w:tc>
      </w:tr>
      <w:tr w:rsidR="00043D8B" w:rsidTr="007864C8">
        <w:trPr>
          <w:trHeight w:val="1183"/>
        </w:trPr>
        <w:tc>
          <w:tcPr>
            <w:tcW w:w="466" w:type="dxa"/>
          </w:tcPr>
          <w:p w:rsidR="00043D8B" w:rsidRDefault="00043D8B" w:rsidP="003847E2">
            <w:pPr>
              <w:spacing w:after="0"/>
            </w:pPr>
            <w:r>
              <w:rPr>
                <w:rFonts w:ascii="Times New Roman" w:hAnsi="Times New Roman"/>
                <w:sz w:val="20"/>
              </w:rPr>
              <w:t>30.</w:t>
            </w:r>
            <w:r>
              <w:rPr>
                <w:rFonts w:ascii="Arial" w:hAnsi="Arial" w:cs="Arial"/>
                <w:sz w:val="20"/>
              </w:rPr>
              <w:t xml:space="preserve"> </w:t>
            </w:r>
            <w:r>
              <w:rPr>
                <w:rFonts w:ascii="Times New Roman" w:hAnsi="Times New Roman"/>
                <w:sz w:val="20"/>
              </w:rPr>
              <w:t xml:space="preserve"> </w:t>
            </w:r>
          </w:p>
          <w:p w:rsidR="00043D8B" w:rsidRDefault="00043D8B" w:rsidP="003847E2">
            <w:pPr>
              <w:spacing w:after="0"/>
              <w:jc w:val="right"/>
            </w:pPr>
            <w:r>
              <w:rPr>
                <w:rFonts w:ascii="Times New Roman" w:hAnsi="Times New Roman"/>
                <w:sz w:val="20"/>
              </w:rPr>
              <w:t xml:space="preserve"> </w:t>
            </w:r>
          </w:p>
          <w:p w:rsidR="00043D8B" w:rsidRDefault="00043D8B" w:rsidP="003847E2">
            <w:pPr>
              <w:spacing w:after="0"/>
              <w:jc w:val="right"/>
            </w:pPr>
            <w:r>
              <w:rPr>
                <w:rFonts w:ascii="Times New Roman" w:hAnsi="Times New Roman"/>
                <w:sz w:val="20"/>
              </w:rPr>
              <w:t xml:space="preserve"> </w:t>
            </w:r>
          </w:p>
          <w:p w:rsidR="00043D8B" w:rsidRDefault="00043D8B" w:rsidP="003847E2">
            <w:pPr>
              <w:spacing w:after="0"/>
              <w:jc w:val="right"/>
            </w:pPr>
            <w:r>
              <w:rPr>
                <w:rFonts w:ascii="Times New Roman" w:hAnsi="Times New Roman"/>
                <w:sz w:val="20"/>
              </w:rPr>
              <w:t xml:space="preserve"> </w:t>
            </w:r>
          </w:p>
          <w:p w:rsidR="00043D8B" w:rsidRDefault="00043D8B" w:rsidP="003847E2">
            <w:pPr>
              <w:spacing w:after="0"/>
              <w:jc w:val="right"/>
            </w:pPr>
            <w:r>
              <w:rPr>
                <w:rFonts w:ascii="Times New Roman" w:hAnsi="Times New Roman"/>
                <w:sz w:val="20"/>
              </w:rPr>
              <w:t xml:space="preserve"> </w:t>
            </w:r>
          </w:p>
          <w:p w:rsidR="00043D8B" w:rsidRDefault="00043D8B" w:rsidP="003847E2">
            <w:pPr>
              <w:spacing w:after="0"/>
              <w:jc w:val="right"/>
            </w:pPr>
            <w:r>
              <w:rPr>
                <w:rFonts w:ascii="Times New Roman" w:hAnsi="Times New Roman"/>
                <w:sz w:val="20"/>
              </w:rPr>
              <w:t xml:space="preserve"> </w:t>
            </w:r>
          </w:p>
        </w:tc>
        <w:tc>
          <w:tcPr>
            <w:tcW w:w="1943" w:type="dxa"/>
          </w:tcPr>
          <w:p w:rsidR="00043D8B" w:rsidRDefault="00043D8B" w:rsidP="003847E2">
            <w:pPr>
              <w:spacing w:after="0"/>
              <w:ind w:left="1"/>
            </w:pPr>
            <w:r>
              <w:rPr>
                <w:rFonts w:ascii="Times New Roman" w:hAnsi="Times New Roman"/>
                <w:sz w:val="20"/>
              </w:rPr>
              <w:t xml:space="preserve">Sociálny rozmer vnútorného trhu </w:t>
            </w:r>
          </w:p>
        </w:tc>
        <w:tc>
          <w:tcPr>
            <w:tcW w:w="5637" w:type="dxa"/>
          </w:tcPr>
          <w:p w:rsidR="00043D8B" w:rsidRDefault="00043D8B" w:rsidP="00D15EE0">
            <w:pPr>
              <w:spacing w:after="0"/>
              <w:ind w:left="1"/>
              <w:jc w:val="both"/>
            </w:pPr>
            <w:r>
              <w:rPr>
                <w:rFonts w:ascii="Times New Roman" w:hAnsi="Times New Roman"/>
                <w:sz w:val="20"/>
              </w:rPr>
              <w:t xml:space="preserve">Návrh NARIADENIA EURÓPSKEHO PARLAMENTU A RADY, ktorým sa zriaďuje Európsky orgán </w:t>
            </w:r>
          </w:p>
          <w:p w:rsidR="00043D8B" w:rsidRPr="00D21E47" w:rsidRDefault="00043D8B" w:rsidP="00D15EE0">
            <w:pPr>
              <w:spacing w:after="0"/>
              <w:ind w:left="1"/>
              <w:jc w:val="both"/>
              <w:rPr>
                <w:rFonts w:ascii="Times New Roman" w:hAnsi="Times New Roman"/>
                <w:sz w:val="20"/>
              </w:rPr>
            </w:pPr>
            <w:r>
              <w:rPr>
                <w:rFonts w:ascii="Times New Roman" w:hAnsi="Times New Roman"/>
                <w:sz w:val="20"/>
              </w:rPr>
              <w:t>práce** COM(2018) 131 final 2018/0064 (COD)  13. 3. 2018</w:t>
            </w:r>
          </w:p>
        </w:tc>
        <w:tc>
          <w:tcPr>
            <w:tcW w:w="1418" w:type="dxa"/>
          </w:tcPr>
          <w:p w:rsidR="00043D8B" w:rsidRPr="006458BF" w:rsidRDefault="00043D8B" w:rsidP="006D72B4">
            <w:pPr>
              <w:spacing w:after="0"/>
              <w:ind w:left="4" w:right="49"/>
              <w:rPr>
                <w:rFonts w:ascii="Times New Roman" w:hAnsi="Times New Roman"/>
                <w:b/>
                <w:sz w:val="20"/>
              </w:rPr>
            </w:pPr>
            <w:r w:rsidRPr="006458BF">
              <w:rPr>
                <w:rFonts w:ascii="Times New Roman" w:hAnsi="Times New Roman"/>
                <w:b/>
                <w:sz w:val="20"/>
              </w:rPr>
              <w:t>MPSVaR SR</w:t>
            </w:r>
          </w:p>
          <w:p w:rsidR="00043D8B" w:rsidRPr="006458BF" w:rsidRDefault="00043D8B" w:rsidP="006D72B4">
            <w:pPr>
              <w:spacing w:after="0"/>
              <w:ind w:left="4" w:right="49"/>
              <w:rPr>
                <w:rFonts w:ascii="Times New Roman" w:hAnsi="Times New Roman"/>
                <w:b/>
                <w:sz w:val="20"/>
              </w:rPr>
            </w:pPr>
            <w:r w:rsidRPr="006458BF">
              <w:rPr>
                <w:rFonts w:ascii="Times New Roman" w:hAnsi="Times New Roman"/>
                <w:b/>
                <w:sz w:val="20"/>
              </w:rPr>
              <w:t>MZ SR</w:t>
            </w:r>
            <w:r w:rsidRPr="006458BF">
              <w:rPr>
                <w:rFonts w:ascii="Times New Roman" w:hAnsi="Times New Roman"/>
                <w:b/>
                <w:sz w:val="20"/>
              </w:rPr>
              <w:br/>
              <w:t>MDVaR SR</w:t>
            </w:r>
          </w:p>
        </w:tc>
        <w:tc>
          <w:tcPr>
            <w:tcW w:w="5386" w:type="dxa"/>
          </w:tcPr>
          <w:p w:rsidR="00043D8B" w:rsidRPr="00CE59E3" w:rsidRDefault="00043D8B" w:rsidP="00D15EE0">
            <w:pPr>
              <w:spacing w:after="0"/>
              <w:ind w:left="4" w:right="49"/>
              <w:jc w:val="both"/>
              <w:rPr>
                <w:rFonts w:ascii="Times New Roman" w:hAnsi="Times New Roman"/>
                <w:b/>
                <w:sz w:val="20"/>
                <w:u w:val="single"/>
              </w:rPr>
            </w:pPr>
            <w:r w:rsidRPr="00CE59E3">
              <w:rPr>
                <w:rFonts w:ascii="Times New Roman" w:hAnsi="Times New Roman"/>
                <w:b/>
                <w:sz w:val="20"/>
                <w:u w:val="single"/>
              </w:rPr>
              <w:t xml:space="preserve">Vysoká priorita </w:t>
            </w:r>
          </w:p>
          <w:p w:rsidR="00043D8B" w:rsidRPr="00F52E69" w:rsidRDefault="00043D8B" w:rsidP="00D15EE0">
            <w:pPr>
              <w:spacing w:after="0"/>
              <w:ind w:left="4" w:right="49"/>
              <w:jc w:val="both"/>
              <w:rPr>
                <w:rFonts w:ascii="Times New Roman" w:hAnsi="Times New Roman"/>
                <w:sz w:val="20"/>
              </w:rPr>
            </w:pPr>
            <w:r>
              <w:rPr>
                <w:rFonts w:ascii="Times New Roman" w:hAnsi="Times New Roman"/>
                <w:sz w:val="20"/>
              </w:rPr>
              <w:t>V súčasnosti prebieha rokovanie v  trialógy.  SR má záujem o sídlo ELA.</w:t>
            </w:r>
          </w:p>
        </w:tc>
      </w:tr>
      <w:tr w:rsidR="00043D8B" w:rsidTr="007864C8">
        <w:tc>
          <w:tcPr>
            <w:tcW w:w="466" w:type="dxa"/>
          </w:tcPr>
          <w:p w:rsidR="00043D8B" w:rsidRDefault="00043D8B" w:rsidP="003847E2">
            <w:pPr>
              <w:spacing w:after="0"/>
            </w:pPr>
          </w:p>
        </w:tc>
        <w:tc>
          <w:tcPr>
            <w:tcW w:w="1943" w:type="dxa"/>
          </w:tcPr>
          <w:p w:rsidR="00043D8B" w:rsidRDefault="00043D8B" w:rsidP="003847E2">
            <w:pPr>
              <w:spacing w:after="0"/>
            </w:pPr>
          </w:p>
        </w:tc>
        <w:tc>
          <w:tcPr>
            <w:tcW w:w="5637" w:type="dxa"/>
          </w:tcPr>
          <w:p w:rsidR="00043D8B" w:rsidRDefault="00043D8B" w:rsidP="00D15EE0">
            <w:pPr>
              <w:spacing w:after="0"/>
              <w:ind w:left="1"/>
              <w:jc w:val="both"/>
            </w:pPr>
            <w:r>
              <w:rPr>
                <w:rFonts w:ascii="Times New Roman" w:hAnsi="Times New Roman"/>
                <w:sz w:val="20"/>
              </w:rPr>
              <w:t>Návrh SMERNICE EURÓPSKEHO PARLAMENTU A RADY, ktorou sa mení smernica 2004/37/ES o ochrane pracovníkov pred rizikami súvisiacimi s expozíciou karcinogénom alebo mutagénom pri práci (tretia skupina látok)** COM(2018) 171 final 2018/0081 (COD)  5. 4. 2018</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MZ SR</w:t>
            </w:r>
            <w:r w:rsidRPr="006458BF">
              <w:rPr>
                <w:rFonts w:ascii="Times New Roman" w:hAnsi="Times New Roman"/>
                <w:b/>
                <w:sz w:val="20"/>
              </w:rPr>
              <w:br/>
              <w:t>MPSVaR SR</w:t>
            </w:r>
          </w:p>
        </w:tc>
        <w:tc>
          <w:tcPr>
            <w:tcW w:w="5386" w:type="dxa"/>
          </w:tcPr>
          <w:p w:rsidR="00043D8B" w:rsidRPr="0047673C" w:rsidRDefault="00043D8B" w:rsidP="00D15EE0">
            <w:pPr>
              <w:spacing w:after="0"/>
              <w:ind w:left="4" w:right="49"/>
              <w:jc w:val="both"/>
              <w:rPr>
                <w:rFonts w:ascii="Times New Roman" w:hAnsi="Times New Roman"/>
                <w:b/>
                <w:sz w:val="20"/>
                <w:u w:val="single"/>
              </w:rPr>
            </w:pPr>
            <w:r w:rsidRPr="0047673C">
              <w:rPr>
                <w:rFonts w:ascii="Times New Roman" w:hAnsi="Times New Roman"/>
                <w:b/>
                <w:sz w:val="20"/>
                <w:u w:val="single"/>
              </w:rPr>
              <w:t>Vysoká priorita</w:t>
            </w:r>
          </w:p>
          <w:p w:rsidR="00043D8B" w:rsidRPr="0047673C" w:rsidRDefault="00043D8B" w:rsidP="00D15EE0">
            <w:pPr>
              <w:spacing w:after="0"/>
              <w:ind w:left="4" w:right="49"/>
              <w:jc w:val="both"/>
              <w:rPr>
                <w:rFonts w:ascii="Times New Roman" w:hAnsi="Times New Roman"/>
                <w:sz w:val="20"/>
              </w:rPr>
            </w:pPr>
            <w:r>
              <w:rPr>
                <w:rFonts w:ascii="Times New Roman" w:hAnsi="Times New Roman"/>
                <w:sz w:val="20"/>
              </w:rPr>
              <w:t xml:space="preserve">SR považuje predloženú legislatívu za dôležitú. </w:t>
            </w:r>
            <w:r w:rsidRPr="0047673C">
              <w:rPr>
                <w:rFonts w:ascii="Times New Roman" w:hAnsi="Times New Roman"/>
                <w:sz w:val="20"/>
              </w:rPr>
              <w:t xml:space="preserve">ÚVZ SR prostredníctvom hlavnej odborníčky HH SR pre odbor preventívne pracovné lekárstvo a  toxikológiu na požiadanie Stáleho zastúpenia SR pri EK pripravuje expertné stanoviská  súvisiace s ochranou zdravia pri práci a zúčastňuje sa na rokovaniach súvisiacich s prípravou návrhu uvedenej smernice EP a Rady. </w:t>
            </w:r>
          </w:p>
          <w:p w:rsidR="00043D8B" w:rsidRPr="00F52E69" w:rsidRDefault="00043D8B" w:rsidP="00D15EE0">
            <w:pPr>
              <w:spacing w:after="0"/>
              <w:ind w:left="4" w:right="49"/>
              <w:jc w:val="both"/>
              <w:rPr>
                <w:rFonts w:ascii="Times New Roman" w:hAnsi="Times New Roman"/>
                <w:sz w:val="20"/>
              </w:rPr>
            </w:pPr>
            <w:r w:rsidRPr="0047673C">
              <w:rPr>
                <w:rFonts w:ascii="Times New Roman" w:hAnsi="Times New Roman"/>
                <w:sz w:val="20"/>
              </w:rPr>
              <w:t>ÚVZ SR pripravilo k  návrhu uvedenej smernice EP a Rady podklady pre MZ SR pre riadne predbežné stanovisko.</w:t>
            </w:r>
          </w:p>
        </w:tc>
      </w:tr>
      <w:tr w:rsidR="00043D8B" w:rsidTr="007864C8">
        <w:tc>
          <w:tcPr>
            <w:tcW w:w="466" w:type="dxa"/>
          </w:tcPr>
          <w:p w:rsidR="00043D8B" w:rsidRDefault="00043D8B" w:rsidP="003847E2">
            <w:pPr>
              <w:spacing w:after="0"/>
            </w:pPr>
          </w:p>
        </w:tc>
        <w:tc>
          <w:tcPr>
            <w:tcW w:w="1943" w:type="dxa"/>
          </w:tcPr>
          <w:p w:rsidR="00043D8B" w:rsidRDefault="00043D8B" w:rsidP="003847E2">
            <w:pPr>
              <w:spacing w:after="0"/>
            </w:pPr>
          </w:p>
        </w:tc>
        <w:tc>
          <w:tcPr>
            <w:tcW w:w="5637" w:type="dxa"/>
          </w:tcPr>
          <w:p w:rsidR="00043D8B" w:rsidRDefault="00043D8B" w:rsidP="00D15EE0">
            <w:pPr>
              <w:spacing w:after="0"/>
              <w:ind w:left="1"/>
              <w:jc w:val="both"/>
            </w:pPr>
            <w:r>
              <w:rPr>
                <w:rFonts w:ascii="Times New Roman" w:hAnsi="Times New Roman"/>
                <w:sz w:val="20"/>
              </w:rPr>
              <w:t>Návrh SMERNICE EURÓPSKEHO PARLAMENTU A RADY o transparentných a predvídateľných pracovných podmienkach v Európskej únii** COM(2017) 797 2017/0355 (COD)  21. 12. 2017</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MPSVaR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ÚV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MO SR</w:t>
            </w:r>
            <w:r w:rsidRPr="006458BF">
              <w:rPr>
                <w:rFonts w:ascii="Times New Roman" w:hAnsi="Times New Roman"/>
                <w:b/>
                <w:sz w:val="20"/>
              </w:rPr>
              <w:br/>
              <w:t>MV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MS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MF SR</w:t>
            </w:r>
          </w:p>
        </w:tc>
        <w:tc>
          <w:tcPr>
            <w:tcW w:w="5386" w:type="dxa"/>
          </w:tcPr>
          <w:p w:rsidR="00043D8B" w:rsidRPr="00CE59E3" w:rsidRDefault="00043D8B" w:rsidP="00D15EE0">
            <w:pPr>
              <w:spacing w:after="0"/>
              <w:ind w:left="4" w:right="49"/>
              <w:jc w:val="both"/>
              <w:rPr>
                <w:rFonts w:ascii="Times New Roman" w:hAnsi="Times New Roman"/>
                <w:b/>
                <w:sz w:val="20"/>
                <w:u w:val="single"/>
              </w:rPr>
            </w:pPr>
            <w:r w:rsidRPr="00CE59E3">
              <w:rPr>
                <w:rFonts w:ascii="Times New Roman" w:hAnsi="Times New Roman"/>
                <w:b/>
                <w:sz w:val="20"/>
                <w:u w:val="single"/>
              </w:rPr>
              <w:t xml:space="preserve">Vysoká priorita </w:t>
            </w:r>
          </w:p>
          <w:p w:rsidR="00043D8B" w:rsidRPr="00F52E69" w:rsidRDefault="00043D8B" w:rsidP="00D15EE0">
            <w:pPr>
              <w:spacing w:after="0"/>
              <w:ind w:left="4" w:right="49"/>
              <w:jc w:val="both"/>
              <w:rPr>
                <w:rFonts w:ascii="Times New Roman" w:hAnsi="Times New Roman"/>
                <w:sz w:val="20"/>
              </w:rPr>
            </w:pPr>
            <w:r>
              <w:rPr>
                <w:rFonts w:ascii="Times New Roman" w:hAnsi="Times New Roman"/>
                <w:sz w:val="20"/>
              </w:rPr>
              <w:t>V súčasnosti prebiehajú trialógy s EP.</w:t>
            </w:r>
          </w:p>
        </w:tc>
      </w:tr>
      <w:tr w:rsidR="00043D8B" w:rsidTr="007864C8">
        <w:tc>
          <w:tcPr>
            <w:tcW w:w="466" w:type="dxa"/>
          </w:tcPr>
          <w:p w:rsidR="00043D8B" w:rsidRDefault="00043D8B" w:rsidP="003847E2">
            <w:pPr>
              <w:spacing w:after="0"/>
            </w:pPr>
          </w:p>
        </w:tc>
        <w:tc>
          <w:tcPr>
            <w:tcW w:w="1943" w:type="dxa"/>
          </w:tcPr>
          <w:p w:rsidR="00043D8B" w:rsidRDefault="00043D8B" w:rsidP="003847E2">
            <w:pPr>
              <w:spacing w:after="0"/>
            </w:pPr>
          </w:p>
        </w:tc>
        <w:tc>
          <w:tcPr>
            <w:tcW w:w="5637" w:type="dxa"/>
          </w:tcPr>
          <w:p w:rsidR="00043D8B" w:rsidRDefault="00043D8B" w:rsidP="00D15EE0">
            <w:pPr>
              <w:spacing w:after="0"/>
              <w:ind w:left="1"/>
              <w:jc w:val="both"/>
            </w:pPr>
            <w:r>
              <w:rPr>
                <w:rFonts w:ascii="Times New Roman" w:hAnsi="Times New Roman"/>
                <w:sz w:val="20"/>
              </w:rPr>
              <w:t>Návrh SMERNICE EURÓPSKEHO PARLAMENTU A RADY o rovnováhe medzi pracovným a súkromným životom rodičov a opatrovateľov, ktorou sa zrušuje smernica Rady 2010/18/EÚ** COM(2017) 253 final 2017/0085 (COD)  26. 4. 2017</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MPSVAR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ÚV SR</w:t>
            </w:r>
            <w:r w:rsidRPr="006458BF">
              <w:rPr>
                <w:rFonts w:ascii="Times New Roman" w:hAnsi="Times New Roman"/>
                <w:b/>
                <w:sz w:val="20"/>
              </w:rPr>
              <w:br/>
              <w:t>MO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MV SR</w:t>
            </w:r>
            <w:r w:rsidRPr="006458BF">
              <w:rPr>
                <w:rFonts w:ascii="Times New Roman" w:hAnsi="Times New Roman"/>
                <w:b/>
                <w:sz w:val="20"/>
              </w:rPr>
              <w:br/>
              <w:t>MF SR</w:t>
            </w:r>
          </w:p>
        </w:tc>
        <w:tc>
          <w:tcPr>
            <w:tcW w:w="5386" w:type="dxa"/>
          </w:tcPr>
          <w:p w:rsidR="00043D8B" w:rsidRPr="00CE59E3" w:rsidRDefault="00043D8B" w:rsidP="00D15EE0">
            <w:pPr>
              <w:spacing w:after="0"/>
              <w:ind w:left="4" w:right="49"/>
              <w:jc w:val="both"/>
              <w:rPr>
                <w:rFonts w:ascii="Times New Roman" w:hAnsi="Times New Roman"/>
                <w:b/>
                <w:sz w:val="20"/>
                <w:u w:val="single"/>
              </w:rPr>
            </w:pPr>
            <w:r w:rsidRPr="00CE59E3">
              <w:rPr>
                <w:rFonts w:ascii="Times New Roman" w:hAnsi="Times New Roman"/>
                <w:b/>
                <w:sz w:val="20"/>
                <w:u w:val="single"/>
              </w:rPr>
              <w:t xml:space="preserve">Vysoká priorita </w:t>
            </w:r>
          </w:p>
          <w:p w:rsidR="00043D8B" w:rsidRPr="00F52E69" w:rsidRDefault="00043D8B" w:rsidP="00D15EE0">
            <w:pPr>
              <w:spacing w:after="0"/>
              <w:ind w:left="4" w:right="49"/>
              <w:jc w:val="both"/>
              <w:rPr>
                <w:rFonts w:ascii="Times New Roman" w:hAnsi="Times New Roman"/>
                <w:sz w:val="20"/>
              </w:rPr>
            </w:pPr>
            <w:r>
              <w:rPr>
                <w:rFonts w:ascii="Times New Roman" w:hAnsi="Times New Roman"/>
                <w:sz w:val="20"/>
              </w:rPr>
              <w:t>V súčasnosti prebiehajú trialógy s EP, dosiahnutie predbežnej dohody sa očakáva do konca februára 2019.</w:t>
            </w:r>
          </w:p>
        </w:tc>
      </w:tr>
      <w:tr w:rsidR="00043D8B" w:rsidTr="007864C8">
        <w:tc>
          <w:tcPr>
            <w:tcW w:w="466" w:type="dxa"/>
          </w:tcPr>
          <w:p w:rsidR="00043D8B" w:rsidRDefault="00043D8B" w:rsidP="003847E2">
            <w:pPr>
              <w:spacing w:after="0"/>
            </w:pPr>
          </w:p>
        </w:tc>
        <w:tc>
          <w:tcPr>
            <w:tcW w:w="1943" w:type="dxa"/>
          </w:tcPr>
          <w:p w:rsidR="00043D8B" w:rsidRDefault="00043D8B" w:rsidP="003847E2">
            <w:pPr>
              <w:spacing w:after="0"/>
            </w:pPr>
          </w:p>
        </w:tc>
        <w:tc>
          <w:tcPr>
            <w:tcW w:w="5637" w:type="dxa"/>
          </w:tcPr>
          <w:p w:rsidR="00043D8B" w:rsidRDefault="00043D8B" w:rsidP="00D15EE0">
            <w:pPr>
              <w:spacing w:after="0"/>
              <w:ind w:left="1"/>
              <w:jc w:val="both"/>
            </w:pPr>
            <w:r>
              <w:rPr>
                <w:rFonts w:ascii="Times New Roman" w:hAnsi="Times New Roman"/>
                <w:sz w:val="20"/>
              </w:rPr>
              <w:t>Návrh NARIADENIE EURÓPSKEHO PARLAMENTU A RADY o zriadení Európskej nadácie pre zlepšovanie životných a pracovných podmienok (Eurofound) a o zrušení nariadenia Rady (EHS) č. 1365/75** COM(2016) 531 final 2016/0256 (COD)  23. 8. 2016</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MPSVaR SR</w:t>
            </w:r>
          </w:p>
        </w:tc>
        <w:tc>
          <w:tcPr>
            <w:tcW w:w="5386" w:type="dxa"/>
          </w:tcPr>
          <w:p w:rsidR="00043D8B" w:rsidRPr="00CE59E3" w:rsidRDefault="00043D8B" w:rsidP="00D15EE0">
            <w:pPr>
              <w:spacing w:after="0"/>
              <w:ind w:left="4" w:right="49"/>
              <w:jc w:val="both"/>
              <w:rPr>
                <w:rFonts w:ascii="Times New Roman" w:hAnsi="Times New Roman"/>
                <w:b/>
                <w:sz w:val="20"/>
                <w:u w:val="single"/>
              </w:rPr>
            </w:pPr>
            <w:r w:rsidRPr="00CE59E3">
              <w:rPr>
                <w:rFonts w:ascii="Times New Roman" w:hAnsi="Times New Roman"/>
                <w:b/>
                <w:sz w:val="20"/>
                <w:u w:val="single"/>
              </w:rPr>
              <w:t xml:space="preserve">Vysoká priorita </w:t>
            </w:r>
          </w:p>
          <w:p w:rsidR="00043D8B" w:rsidRPr="00F52E69" w:rsidRDefault="00043D8B" w:rsidP="00D15EE0">
            <w:pPr>
              <w:spacing w:after="0"/>
              <w:ind w:left="4" w:right="49"/>
              <w:jc w:val="both"/>
              <w:rPr>
                <w:rFonts w:ascii="Times New Roman" w:hAnsi="Times New Roman"/>
                <w:sz w:val="20"/>
              </w:rPr>
            </w:pPr>
            <w:r>
              <w:rPr>
                <w:rFonts w:ascii="Times New Roman" w:hAnsi="Times New Roman"/>
                <w:sz w:val="20"/>
              </w:rPr>
              <w:t>Rokovania s EP boli úspešne ukončené. V nadácii Eurofound má SR svojho zástupcu.</w:t>
            </w:r>
          </w:p>
        </w:tc>
      </w:tr>
      <w:tr w:rsidR="00043D8B" w:rsidTr="007864C8">
        <w:tc>
          <w:tcPr>
            <w:tcW w:w="466" w:type="dxa"/>
          </w:tcPr>
          <w:p w:rsidR="00043D8B" w:rsidRDefault="00043D8B" w:rsidP="003847E2">
            <w:pPr>
              <w:spacing w:after="0"/>
            </w:pPr>
          </w:p>
        </w:tc>
        <w:tc>
          <w:tcPr>
            <w:tcW w:w="1943" w:type="dxa"/>
          </w:tcPr>
          <w:p w:rsidR="00043D8B" w:rsidRDefault="00043D8B" w:rsidP="003847E2">
            <w:pPr>
              <w:spacing w:after="0"/>
            </w:pPr>
          </w:p>
        </w:tc>
        <w:tc>
          <w:tcPr>
            <w:tcW w:w="5637" w:type="dxa"/>
          </w:tcPr>
          <w:p w:rsidR="00043D8B" w:rsidRDefault="00043D8B" w:rsidP="00D15EE0">
            <w:pPr>
              <w:spacing w:after="0"/>
              <w:ind w:left="1"/>
              <w:jc w:val="both"/>
            </w:pPr>
            <w:r>
              <w:rPr>
                <w:rFonts w:ascii="Times New Roman" w:hAnsi="Times New Roman"/>
                <w:sz w:val="20"/>
              </w:rPr>
              <w:t>Návrh NARIADENIE EURÓPSKEHO PARLAMENTU A RADY, ktorým sa mení nariadenie (ES) č. 883/2004 o koordinácii systémov sociálneho zabezpečenia a nariadenie (ES) č. 987/2009, ktorým sa stanovuje postup vykonávania nariadenia (ES) č. 883/2004 (Text s významom pre EHP a Švajčiarsko)* COM(2016) 815final 2016/0397 (COD)  13.12. 2016</w:t>
            </w:r>
          </w:p>
        </w:tc>
        <w:tc>
          <w:tcPr>
            <w:tcW w:w="1418" w:type="dxa"/>
          </w:tcPr>
          <w:p w:rsidR="00043D8B" w:rsidRPr="006458BF" w:rsidRDefault="00043D8B" w:rsidP="00D15EE0">
            <w:pPr>
              <w:spacing w:after="0"/>
              <w:ind w:left="4" w:right="49"/>
              <w:jc w:val="both"/>
              <w:rPr>
                <w:rFonts w:ascii="Times New Roman" w:hAnsi="Times New Roman"/>
                <w:b/>
                <w:color w:val="auto"/>
                <w:sz w:val="20"/>
              </w:rPr>
            </w:pPr>
            <w:r w:rsidRPr="006458BF">
              <w:rPr>
                <w:rFonts w:ascii="Times New Roman" w:hAnsi="Times New Roman"/>
                <w:b/>
                <w:color w:val="auto"/>
                <w:sz w:val="20"/>
              </w:rPr>
              <w:t xml:space="preserve">MPSVaR SR </w:t>
            </w:r>
          </w:p>
          <w:p w:rsidR="00043D8B" w:rsidRPr="006458BF" w:rsidRDefault="00043D8B" w:rsidP="00D15EE0">
            <w:pPr>
              <w:spacing w:after="0"/>
              <w:ind w:left="4" w:right="49"/>
              <w:jc w:val="both"/>
              <w:rPr>
                <w:rFonts w:ascii="Times New Roman" w:hAnsi="Times New Roman"/>
                <w:b/>
                <w:color w:val="auto"/>
                <w:sz w:val="20"/>
              </w:rPr>
            </w:pPr>
            <w:r w:rsidRPr="006458BF">
              <w:rPr>
                <w:rFonts w:ascii="Times New Roman" w:hAnsi="Times New Roman"/>
                <w:b/>
                <w:color w:val="auto"/>
                <w:sz w:val="20"/>
              </w:rPr>
              <w:t>MZ SR</w:t>
            </w:r>
          </w:p>
        </w:tc>
        <w:tc>
          <w:tcPr>
            <w:tcW w:w="5386" w:type="dxa"/>
          </w:tcPr>
          <w:p w:rsidR="00043D8B" w:rsidRPr="007639A4" w:rsidRDefault="00043D8B" w:rsidP="00D15EE0">
            <w:pPr>
              <w:spacing w:after="0"/>
              <w:ind w:left="4" w:right="49"/>
              <w:jc w:val="both"/>
              <w:rPr>
                <w:rFonts w:ascii="Times New Roman" w:hAnsi="Times New Roman"/>
                <w:b/>
                <w:color w:val="auto"/>
                <w:sz w:val="20"/>
                <w:u w:val="single"/>
              </w:rPr>
            </w:pPr>
            <w:r w:rsidRPr="007639A4">
              <w:rPr>
                <w:rFonts w:ascii="Times New Roman" w:hAnsi="Times New Roman"/>
                <w:b/>
                <w:color w:val="auto"/>
                <w:sz w:val="20"/>
                <w:u w:val="single"/>
              </w:rPr>
              <w:t>Vysoká priorita</w:t>
            </w:r>
          </w:p>
          <w:p w:rsidR="00043D8B" w:rsidRPr="007639A4" w:rsidRDefault="00043D8B" w:rsidP="00D15EE0">
            <w:pPr>
              <w:spacing w:after="0"/>
              <w:ind w:left="4" w:right="49"/>
              <w:jc w:val="both"/>
              <w:rPr>
                <w:rFonts w:ascii="Times New Roman" w:hAnsi="Times New Roman"/>
                <w:color w:val="auto"/>
                <w:sz w:val="20"/>
              </w:rPr>
            </w:pPr>
            <w:r>
              <w:rPr>
                <w:rFonts w:ascii="Times New Roman" w:hAnsi="Times New Roman"/>
                <w:sz w:val="20"/>
              </w:rPr>
              <w:t xml:space="preserve">Prijatá úprava bude mať priamy dopad na občanov EÚ, teda aj na občanov SR.V súčasnosti prebiehajú trialógy a EP, SR má zásadný problém s niektorými návrhmi EP, najmä v oblasti uplatniteľnej legislatívy, dávkach v nezamestnanosti a rodinných dávkach. </w:t>
            </w:r>
            <w:r>
              <w:rPr>
                <w:rFonts w:ascii="Times New Roman" w:hAnsi="Times New Roman"/>
                <w:color w:val="auto"/>
                <w:sz w:val="20"/>
              </w:rPr>
              <w:t xml:space="preserve">V SR </w:t>
            </w:r>
            <w:r w:rsidRPr="007639A4">
              <w:rPr>
                <w:rFonts w:ascii="Times New Roman" w:hAnsi="Times New Roman"/>
                <w:color w:val="auto"/>
                <w:sz w:val="20"/>
              </w:rPr>
              <w:t>existujú dva oddelené systémy jedného celku</w:t>
            </w:r>
            <w:r>
              <w:rPr>
                <w:rFonts w:ascii="Times New Roman" w:hAnsi="Times New Roman"/>
                <w:color w:val="auto"/>
                <w:sz w:val="20"/>
              </w:rPr>
              <w:t xml:space="preserve"> – sociálneho </w:t>
            </w:r>
            <w:r w:rsidRPr="007639A4">
              <w:rPr>
                <w:rFonts w:ascii="Times New Roman" w:hAnsi="Times New Roman"/>
                <w:color w:val="auto"/>
                <w:sz w:val="20"/>
              </w:rPr>
              <w:t>zabezpečenia. Ide o systém sociálneho poistenia a systém zdravotného poistenia.</w:t>
            </w:r>
            <w:r w:rsidR="005B0F9A">
              <w:rPr>
                <w:rFonts w:ascii="Times New Roman" w:hAnsi="Times New Roman"/>
                <w:color w:val="auto"/>
                <w:sz w:val="20"/>
              </w:rPr>
              <w:t xml:space="preserve"> Oba tieto systémy a teda aj príslušné orgány, do ktorých pôsobnosti spadajú, rozvíjajú spoluprácu a spoločne sa podieľajú na hľadaní možných riešení, vhodných pre oba systémy. Zásahy do jedného zo systémov často krát ovplyvňujú druhý systém, čo môže mať ďalekosiahle dôsledky. </w:t>
            </w:r>
          </w:p>
        </w:tc>
      </w:tr>
      <w:tr w:rsidR="00043D8B" w:rsidTr="007864C8">
        <w:tc>
          <w:tcPr>
            <w:tcW w:w="466" w:type="dxa"/>
          </w:tcPr>
          <w:p w:rsidR="00043D8B" w:rsidRDefault="00043D8B" w:rsidP="003847E2">
            <w:pPr>
              <w:spacing w:after="0"/>
            </w:pPr>
            <w:r>
              <w:rPr>
                <w:rFonts w:ascii="Times New Roman" w:hAnsi="Times New Roman"/>
                <w:sz w:val="20"/>
              </w:rPr>
              <w:t>31.</w:t>
            </w:r>
            <w:r>
              <w:rPr>
                <w:rFonts w:ascii="Arial" w:hAnsi="Arial" w:cs="Arial"/>
                <w:sz w:val="20"/>
              </w:rPr>
              <w:t xml:space="preserve"> </w:t>
            </w:r>
            <w:r>
              <w:rPr>
                <w:rFonts w:ascii="Times New Roman" w:hAnsi="Times New Roman"/>
                <w:sz w:val="20"/>
              </w:rPr>
              <w:t xml:space="preserve"> </w:t>
            </w:r>
          </w:p>
        </w:tc>
        <w:tc>
          <w:tcPr>
            <w:tcW w:w="1943" w:type="dxa"/>
          </w:tcPr>
          <w:p w:rsidR="00043D8B" w:rsidRDefault="00043D8B" w:rsidP="003847E2">
            <w:pPr>
              <w:spacing w:after="0"/>
              <w:ind w:left="1"/>
            </w:pPr>
            <w:r>
              <w:rPr>
                <w:rFonts w:ascii="Times New Roman" w:hAnsi="Times New Roman"/>
                <w:sz w:val="20"/>
              </w:rPr>
              <w:t xml:space="preserve">Spoločný systém dane z pridanej hodnoty: osobitná úprava pre malé podniky </w:t>
            </w:r>
          </w:p>
        </w:tc>
        <w:tc>
          <w:tcPr>
            <w:tcW w:w="5637" w:type="dxa"/>
          </w:tcPr>
          <w:p w:rsidR="00043D8B" w:rsidRDefault="00043D8B" w:rsidP="00D15EE0">
            <w:pPr>
              <w:spacing w:after="0"/>
              <w:ind w:left="1"/>
              <w:jc w:val="both"/>
            </w:pPr>
            <w:r>
              <w:rPr>
                <w:rFonts w:ascii="Times New Roman" w:hAnsi="Times New Roman"/>
                <w:sz w:val="20"/>
              </w:rPr>
              <w:t>Návrh SMERNICE RADY, ktorou sa mení smernica 2006/112/ES o spoločnom systéme dane z pridanej hodnoty, pokiaľ ide o osobitnú úpravu pre malé podniky** COM(2018) 21 final 2018/0006 (CNS)  18. 1. 2018</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MF SR</w:t>
            </w:r>
          </w:p>
        </w:tc>
        <w:tc>
          <w:tcPr>
            <w:tcW w:w="5386" w:type="dxa"/>
          </w:tcPr>
          <w:p w:rsidR="00043D8B" w:rsidRPr="00150E00" w:rsidRDefault="00043D8B" w:rsidP="00D15EE0">
            <w:pPr>
              <w:spacing w:after="0"/>
              <w:ind w:left="4" w:right="49"/>
              <w:jc w:val="both"/>
              <w:rPr>
                <w:rFonts w:ascii="Times New Roman" w:hAnsi="Times New Roman"/>
                <w:sz w:val="20"/>
                <w:u w:val="single"/>
              </w:rPr>
            </w:pPr>
            <w:r w:rsidRPr="00150E00">
              <w:rPr>
                <w:rFonts w:ascii="Times New Roman" w:hAnsi="Times New Roman"/>
                <w:b/>
                <w:sz w:val="20"/>
                <w:u w:val="single"/>
              </w:rPr>
              <w:t>Stredná priorita</w:t>
            </w:r>
          </w:p>
          <w:p w:rsidR="00043D8B" w:rsidRPr="00F52E69" w:rsidRDefault="00043D8B" w:rsidP="00D15EE0">
            <w:pPr>
              <w:spacing w:after="0"/>
              <w:ind w:left="4" w:right="49"/>
              <w:jc w:val="both"/>
              <w:rPr>
                <w:rFonts w:ascii="Times New Roman" w:hAnsi="Times New Roman"/>
                <w:sz w:val="20"/>
              </w:rPr>
            </w:pPr>
            <w:r>
              <w:rPr>
                <w:rFonts w:ascii="Times New Roman" w:hAnsi="Times New Roman"/>
                <w:sz w:val="20"/>
              </w:rPr>
              <w:t xml:space="preserve">SR </w:t>
            </w:r>
            <w:r w:rsidRPr="00150E00">
              <w:rPr>
                <w:rFonts w:ascii="Times New Roman" w:hAnsi="Times New Roman"/>
                <w:sz w:val="20"/>
              </w:rPr>
              <w:t>podporuje opatrenia, ktoré pomáhajú malým podnikom v ich úspešnom fungovaní na vnútornom trhu. Tieto opatrenia však musia byť vyvážené, aby neotvárali priestor pre nové typy podvodov na DPH.</w:t>
            </w:r>
          </w:p>
        </w:tc>
      </w:tr>
      <w:tr w:rsidR="00043D8B" w:rsidTr="007864C8">
        <w:tc>
          <w:tcPr>
            <w:tcW w:w="466" w:type="dxa"/>
          </w:tcPr>
          <w:p w:rsidR="00043D8B" w:rsidRDefault="00043D8B" w:rsidP="003847E2">
            <w:pPr>
              <w:spacing w:after="0"/>
            </w:pPr>
            <w:r>
              <w:rPr>
                <w:rFonts w:ascii="Times New Roman" w:hAnsi="Times New Roman"/>
                <w:sz w:val="20"/>
              </w:rPr>
              <w:t>32.</w:t>
            </w:r>
            <w:r>
              <w:rPr>
                <w:rFonts w:ascii="Arial" w:hAnsi="Arial" w:cs="Arial"/>
                <w:sz w:val="20"/>
              </w:rPr>
              <w:t xml:space="preserve"> </w:t>
            </w:r>
            <w:r>
              <w:rPr>
                <w:rFonts w:ascii="Times New Roman" w:hAnsi="Times New Roman"/>
                <w:sz w:val="20"/>
              </w:rPr>
              <w:t xml:space="preserve"> </w:t>
            </w:r>
          </w:p>
          <w:p w:rsidR="00043D8B" w:rsidRDefault="00043D8B" w:rsidP="003847E2">
            <w:pPr>
              <w:spacing w:after="0"/>
              <w:jc w:val="right"/>
            </w:pPr>
            <w:r>
              <w:rPr>
                <w:rFonts w:ascii="Times New Roman" w:hAnsi="Times New Roman"/>
                <w:sz w:val="20"/>
              </w:rPr>
              <w:t xml:space="preserve"> </w:t>
            </w:r>
          </w:p>
        </w:tc>
        <w:tc>
          <w:tcPr>
            <w:tcW w:w="1943" w:type="dxa"/>
          </w:tcPr>
          <w:p w:rsidR="00043D8B" w:rsidRDefault="00043D8B" w:rsidP="003847E2">
            <w:pPr>
              <w:spacing w:after="0"/>
              <w:ind w:left="1"/>
            </w:pPr>
            <w:r>
              <w:rPr>
                <w:rFonts w:ascii="Times New Roman" w:hAnsi="Times New Roman"/>
                <w:sz w:val="20"/>
              </w:rPr>
              <w:t xml:space="preserve">Spravodlivé zdaňovanie: </w:t>
            </w:r>
          </w:p>
        </w:tc>
        <w:tc>
          <w:tcPr>
            <w:tcW w:w="5637" w:type="dxa"/>
          </w:tcPr>
          <w:p w:rsidR="00043D8B" w:rsidRDefault="00043D8B" w:rsidP="00D15EE0">
            <w:pPr>
              <w:spacing w:after="0"/>
              <w:ind w:left="1"/>
              <w:jc w:val="both"/>
            </w:pPr>
            <w:r>
              <w:rPr>
                <w:rFonts w:ascii="Times New Roman" w:hAnsi="Times New Roman"/>
                <w:sz w:val="20"/>
              </w:rPr>
              <w:t>Návrh SMERNICE RADY o spoločnom systéme zdanenia digitálnych služieb formou dane z výnosov z poskytovania určitých digitálnych služieb** COM(2018) 148 final 2018/0073 (CNS)  21. 3. 2018</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MF SR</w:t>
            </w:r>
          </w:p>
        </w:tc>
        <w:tc>
          <w:tcPr>
            <w:tcW w:w="5386" w:type="dxa"/>
          </w:tcPr>
          <w:p w:rsidR="00043D8B" w:rsidRPr="00150E00" w:rsidRDefault="00043D8B" w:rsidP="00D15EE0">
            <w:pPr>
              <w:spacing w:after="0"/>
              <w:ind w:left="4" w:right="49"/>
              <w:jc w:val="both"/>
              <w:rPr>
                <w:rFonts w:ascii="Times New Roman" w:hAnsi="Times New Roman"/>
                <w:b/>
                <w:sz w:val="20"/>
                <w:u w:val="single"/>
              </w:rPr>
            </w:pPr>
            <w:r w:rsidRPr="00150E00">
              <w:rPr>
                <w:rFonts w:ascii="Times New Roman" w:hAnsi="Times New Roman"/>
                <w:b/>
                <w:sz w:val="20"/>
                <w:u w:val="single"/>
              </w:rPr>
              <w:t>Vysoká priorita</w:t>
            </w:r>
          </w:p>
          <w:p w:rsidR="00043D8B" w:rsidRPr="00F52E69" w:rsidRDefault="00043D8B" w:rsidP="00D15EE0">
            <w:pPr>
              <w:spacing w:after="0"/>
              <w:ind w:left="4" w:right="49"/>
              <w:jc w:val="both"/>
              <w:rPr>
                <w:rFonts w:ascii="Times New Roman" w:hAnsi="Times New Roman"/>
                <w:sz w:val="20"/>
              </w:rPr>
            </w:pPr>
            <w:r w:rsidRPr="00150E00">
              <w:rPr>
                <w:rFonts w:ascii="Times New Roman" w:hAnsi="Times New Roman"/>
                <w:sz w:val="20"/>
              </w:rPr>
              <w:t>SR podporuje čo najskoršie prijatie kompromisného riešenia pre  zdanenie digitálnych služieb formou dane z výnosov z poskytovania určitých digitálnych služieb.</w:t>
            </w:r>
          </w:p>
        </w:tc>
      </w:tr>
      <w:tr w:rsidR="00043D8B" w:rsidTr="007864C8">
        <w:tc>
          <w:tcPr>
            <w:tcW w:w="466" w:type="dxa"/>
          </w:tcPr>
          <w:p w:rsidR="00043D8B" w:rsidRDefault="00043D8B" w:rsidP="003847E2">
            <w:pPr>
              <w:spacing w:after="0"/>
            </w:pPr>
          </w:p>
        </w:tc>
        <w:tc>
          <w:tcPr>
            <w:tcW w:w="1943" w:type="dxa"/>
          </w:tcPr>
          <w:p w:rsidR="00043D8B" w:rsidRDefault="00043D8B" w:rsidP="003847E2">
            <w:pPr>
              <w:spacing w:after="0"/>
            </w:pPr>
          </w:p>
        </w:tc>
        <w:tc>
          <w:tcPr>
            <w:tcW w:w="5637" w:type="dxa"/>
          </w:tcPr>
          <w:p w:rsidR="00043D8B" w:rsidRDefault="00043D8B" w:rsidP="00D15EE0">
            <w:pPr>
              <w:spacing w:after="0"/>
              <w:ind w:left="1"/>
              <w:jc w:val="both"/>
            </w:pPr>
            <w:r>
              <w:rPr>
                <w:rFonts w:ascii="Times New Roman" w:hAnsi="Times New Roman"/>
                <w:sz w:val="20"/>
              </w:rPr>
              <w:t xml:space="preserve">Návrh SMERNICE RADY, ktorou sa stanovujú pravidlá týkajúce sa zdaňovania príjmov právnických osôb, ktoré sa vyznačujú významnou digitálnou prítomnosťou** COM(2018) 147 final 2018/0072 (CNS)  </w:t>
            </w:r>
          </w:p>
          <w:p w:rsidR="00043D8B" w:rsidRDefault="00043D8B" w:rsidP="00D15EE0">
            <w:pPr>
              <w:spacing w:after="0"/>
              <w:ind w:left="1"/>
              <w:jc w:val="both"/>
            </w:pPr>
            <w:r>
              <w:rPr>
                <w:rFonts w:ascii="Times New Roman" w:hAnsi="Times New Roman"/>
                <w:sz w:val="20"/>
              </w:rPr>
              <w:t>21. 3. 2018</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MF SR</w:t>
            </w:r>
          </w:p>
        </w:tc>
        <w:tc>
          <w:tcPr>
            <w:tcW w:w="5386" w:type="dxa"/>
          </w:tcPr>
          <w:p w:rsidR="00043D8B" w:rsidRPr="00150E00" w:rsidRDefault="00043D8B" w:rsidP="00D15EE0">
            <w:pPr>
              <w:spacing w:after="0"/>
              <w:ind w:left="4" w:right="49"/>
              <w:jc w:val="both"/>
              <w:rPr>
                <w:rFonts w:ascii="Times New Roman" w:hAnsi="Times New Roman"/>
                <w:b/>
                <w:sz w:val="20"/>
                <w:u w:val="single"/>
              </w:rPr>
            </w:pPr>
            <w:r w:rsidRPr="00150E00">
              <w:rPr>
                <w:rFonts w:ascii="Times New Roman" w:hAnsi="Times New Roman"/>
                <w:b/>
                <w:sz w:val="20"/>
                <w:u w:val="single"/>
              </w:rPr>
              <w:t>Vysoká priorita</w:t>
            </w:r>
          </w:p>
          <w:p w:rsidR="00043D8B" w:rsidRPr="00F52E69" w:rsidRDefault="00043D8B" w:rsidP="00D15EE0">
            <w:pPr>
              <w:spacing w:after="0"/>
              <w:ind w:left="4" w:right="49"/>
              <w:jc w:val="both"/>
              <w:rPr>
                <w:rFonts w:ascii="Times New Roman" w:hAnsi="Times New Roman"/>
                <w:sz w:val="20"/>
              </w:rPr>
            </w:pPr>
            <w:r w:rsidRPr="00150E00">
              <w:rPr>
                <w:rFonts w:ascii="Times New Roman" w:hAnsi="Times New Roman"/>
                <w:sz w:val="20"/>
              </w:rPr>
              <w:t xml:space="preserve">SR podporuje skúmanie návrhu smernice Rady, ktorou sa stanovujú pravidlá týkajúce sa zdaňovania príjmov právnických osôb, ktoré sa vyznačujú významnou digitálnou prítomnosťou. Nakoľko ide o tzv. dlhodobé riešenie, ktoré úzko súvisí s diskusiami na rovnakú tému na úrovni OECD (pracovná skupina TFDE), je potrebné zabezpečiť koordináciu medzi vývojom situácie na úrovni EÚ a OECD.  </w:t>
            </w:r>
          </w:p>
        </w:tc>
      </w:tr>
      <w:tr w:rsidR="00043D8B" w:rsidTr="007864C8">
        <w:tc>
          <w:tcPr>
            <w:tcW w:w="466" w:type="dxa"/>
          </w:tcPr>
          <w:p w:rsidR="00043D8B" w:rsidRDefault="00043D8B" w:rsidP="003847E2">
            <w:pPr>
              <w:spacing w:after="0"/>
            </w:pPr>
            <w:r>
              <w:rPr>
                <w:rFonts w:ascii="Times New Roman" w:hAnsi="Times New Roman"/>
                <w:sz w:val="20"/>
              </w:rPr>
              <w:t>33.</w:t>
            </w:r>
            <w:r>
              <w:rPr>
                <w:rFonts w:ascii="Arial" w:hAnsi="Arial" w:cs="Arial"/>
                <w:sz w:val="20"/>
              </w:rPr>
              <w:t xml:space="preserve"> </w:t>
            </w:r>
            <w:r>
              <w:rPr>
                <w:rFonts w:ascii="Times New Roman" w:hAnsi="Times New Roman"/>
                <w:sz w:val="20"/>
              </w:rPr>
              <w:t xml:space="preserve"> </w:t>
            </w:r>
          </w:p>
        </w:tc>
        <w:tc>
          <w:tcPr>
            <w:tcW w:w="1943" w:type="dxa"/>
          </w:tcPr>
          <w:p w:rsidR="00043D8B" w:rsidRDefault="00043D8B" w:rsidP="003847E2">
            <w:pPr>
              <w:spacing w:after="0"/>
              <w:ind w:left="1" w:right="387"/>
            </w:pPr>
            <w:r>
              <w:rPr>
                <w:rFonts w:ascii="Times New Roman" w:hAnsi="Times New Roman"/>
                <w:sz w:val="20"/>
              </w:rPr>
              <w:t xml:space="preserve">Reformný balík v oblasti dane z pridanej hodnoty </w:t>
            </w:r>
          </w:p>
        </w:tc>
        <w:tc>
          <w:tcPr>
            <w:tcW w:w="5637" w:type="dxa"/>
          </w:tcPr>
          <w:p w:rsidR="00043D8B" w:rsidRDefault="00043D8B" w:rsidP="00D15EE0">
            <w:pPr>
              <w:spacing w:after="0"/>
              <w:ind w:left="1"/>
              <w:jc w:val="both"/>
            </w:pPr>
            <w:r>
              <w:rPr>
                <w:rFonts w:ascii="Times New Roman" w:hAnsi="Times New Roman"/>
                <w:sz w:val="20"/>
              </w:rPr>
              <w:t>Návrh SMERNICE RADY, ktorou sa mení smernica 2006/112/ES, pokiaľ ide o harmonizáciu a zjednodušenie určitých pravidiel v systéme dane z pridanej hodnoty, a ktorou sa zavádza konečný systém zdaňovania obchodu medzi členskými štátmi** COM(2017) 569 final 2017/0251(CNS)  4. 10. 2017</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MF SR</w:t>
            </w:r>
          </w:p>
        </w:tc>
        <w:tc>
          <w:tcPr>
            <w:tcW w:w="5386" w:type="dxa"/>
          </w:tcPr>
          <w:p w:rsidR="00043D8B" w:rsidRPr="00150E00" w:rsidRDefault="00043D8B" w:rsidP="00D15EE0">
            <w:pPr>
              <w:spacing w:after="0"/>
              <w:ind w:left="4" w:right="49"/>
              <w:jc w:val="both"/>
              <w:rPr>
                <w:rFonts w:ascii="Times New Roman" w:hAnsi="Times New Roman"/>
                <w:sz w:val="20"/>
                <w:u w:val="single"/>
              </w:rPr>
            </w:pPr>
            <w:r w:rsidRPr="00150E00">
              <w:rPr>
                <w:rFonts w:ascii="Times New Roman" w:hAnsi="Times New Roman"/>
                <w:b/>
                <w:sz w:val="20"/>
                <w:u w:val="single"/>
              </w:rPr>
              <w:t>Stredná priorita</w:t>
            </w:r>
            <w:r w:rsidRPr="00150E00">
              <w:rPr>
                <w:rFonts w:ascii="Times New Roman" w:hAnsi="Times New Roman"/>
                <w:sz w:val="20"/>
                <w:u w:val="single"/>
              </w:rPr>
              <w:t xml:space="preserve">. </w:t>
            </w:r>
          </w:p>
          <w:p w:rsidR="00043D8B" w:rsidRPr="00F52E69" w:rsidRDefault="00043D8B" w:rsidP="00D15EE0">
            <w:pPr>
              <w:spacing w:after="0"/>
              <w:ind w:left="4" w:right="49"/>
              <w:jc w:val="both"/>
              <w:rPr>
                <w:rFonts w:ascii="Times New Roman" w:hAnsi="Times New Roman"/>
                <w:sz w:val="20"/>
              </w:rPr>
            </w:pPr>
            <w:r w:rsidRPr="00150E00">
              <w:rPr>
                <w:rFonts w:ascii="Times New Roman" w:hAnsi="Times New Roman"/>
                <w:sz w:val="20"/>
              </w:rPr>
              <w:t>SR podporuje skúmanie pravidiel pre zavedenie konečného režimu DPH pre cezhraničné obchodovanie medzi štátmi EÚ. Je potrebné dôsledne preskúmať najmä hľadisko administratívnej záťaže pre finančné správy a aj pre podniky. Najdôležitejšie hľadisko však stále zostáva hľadisko boja proti podvodom. Navrhované pravidlá konečného režimu nemôžu v žiadnom prípade spôsobiť vznik nových podvodov na DPH.</w:t>
            </w:r>
          </w:p>
        </w:tc>
      </w:tr>
      <w:tr w:rsidR="00043D8B" w:rsidTr="007864C8">
        <w:tc>
          <w:tcPr>
            <w:tcW w:w="466" w:type="dxa"/>
          </w:tcPr>
          <w:p w:rsidR="00043D8B" w:rsidRDefault="00043D8B" w:rsidP="003847E2">
            <w:pPr>
              <w:spacing w:after="0"/>
            </w:pPr>
          </w:p>
        </w:tc>
        <w:tc>
          <w:tcPr>
            <w:tcW w:w="1943" w:type="dxa"/>
          </w:tcPr>
          <w:p w:rsidR="00043D8B" w:rsidRDefault="00043D8B" w:rsidP="003847E2">
            <w:pPr>
              <w:spacing w:after="0"/>
            </w:pPr>
          </w:p>
        </w:tc>
        <w:tc>
          <w:tcPr>
            <w:tcW w:w="5637" w:type="dxa"/>
          </w:tcPr>
          <w:p w:rsidR="00043D8B" w:rsidRDefault="00043D8B" w:rsidP="00D15EE0">
            <w:pPr>
              <w:spacing w:after="0"/>
              <w:ind w:left="1"/>
              <w:jc w:val="both"/>
            </w:pPr>
            <w:r>
              <w:rPr>
                <w:rFonts w:ascii="Times New Roman" w:hAnsi="Times New Roman"/>
                <w:sz w:val="20"/>
              </w:rPr>
              <w:t>Návrh NARIADENIA RADY, ktorým sa mení nariadenie (EÚ) č. 904/2010, pokiaľ ide o certifikovanú zdaniteľnú osobu** COM(2017) 567 final 2017/0248 (CNS)  4. 10. 2017</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MF SR</w:t>
            </w:r>
          </w:p>
        </w:tc>
        <w:tc>
          <w:tcPr>
            <w:tcW w:w="5386" w:type="dxa"/>
          </w:tcPr>
          <w:p w:rsidR="00043D8B" w:rsidRPr="00150E00" w:rsidRDefault="00043D8B" w:rsidP="00D15EE0">
            <w:pPr>
              <w:autoSpaceDE w:val="0"/>
              <w:autoSpaceDN w:val="0"/>
              <w:adjustRightInd w:val="0"/>
              <w:spacing w:after="0"/>
              <w:jc w:val="both"/>
              <w:rPr>
                <w:rFonts w:ascii="Times New Roman" w:hAnsi="Times New Roman"/>
                <w:b/>
                <w:sz w:val="20"/>
                <w:u w:val="single"/>
              </w:rPr>
            </w:pPr>
            <w:r w:rsidRPr="00150E00">
              <w:rPr>
                <w:rFonts w:ascii="Times New Roman" w:hAnsi="Times New Roman"/>
                <w:b/>
                <w:sz w:val="20"/>
                <w:u w:val="single"/>
              </w:rPr>
              <w:t>Stredná priorita</w:t>
            </w:r>
          </w:p>
          <w:p w:rsidR="00043D8B" w:rsidRPr="00150E00" w:rsidRDefault="00043D8B" w:rsidP="00D15EE0">
            <w:pPr>
              <w:autoSpaceDE w:val="0"/>
              <w:autoSpaceDN w:val="0"/>
              <w:adjustRightInd w:val="0"/>
              <w:spacing w:after="0"/>
              <w:jc w:val="both"/>
              <w:rPr>
                <w:rFonts w:ascii="Times New Roman" w:hAnsi="Times New Roman"/>
                <w:sz w:val="20"/>
                <w:highlight w:val="yellow"/>
              </w:rPr>
            </w:pPr>
            <w:r w:rsidRPr="00150E00">
              <w:rPr>
                <w:rFonts w:ascii="Times New Roman" w:hAnsi="Times New Roman"/>
                <w:sz w:val="20"/>
              </w:rPr>
              <w:t>Uvedené nariadenie bolo v kontexte diskusií k smernici DPH o rýchlych zlepšeniach súčasných pravidiel cezhraničného obchodovania tzv. Quick Fixes (smernica Rady (EÚ) 2018/1910 zo 4.12.2018) zmenené  na  nariadenie Rady o výmene informácií v súvislosti s uplatňovaním schémy pre malé podniky (SMEs) - Regulation (EU) No 904/2010 as regards the administrative cooperation and exchange of information for the purpose of monitoring the correct applicationof the special scheme for small enterprises.SR podporuje cieľ uvedeného nariadenia.</w:t>
            </w:r>
          </w:p>
        </w:tc>
      </w:tr>
      <w:tr w:rsidR="00043D8B" w:rsidTr="007864C8">
        <w:tc>
          <w:tcPr>
            <w:tcW w:w="466" w:type="dxa"/>
          </w:tcPr>
          <w:p w:rsidR="00043D8B" w:rsidRDefault="00043D8B" w:rsidP="003847E2">
            <w:pPr>
              <w:spacing w:after="0"/>
            </w:pPr>
            <w:r>
              <w:rPr>
                <w:rFonts w:ascii="Times New Roman" w:hAnsi="Times New Roman"/>
                <w:sz w:val="20"/>
              </w:rPr>
              <w:t>34.</w:t>
            </w:r>
            <w:r>
              <w:rPr>
                <w:rFonts w:ascii="Arial" w:hAnsi="Arial" w:cs="Arial"/>
                <w:sz w:val="20"/>
              </w:rPr>
              <w:t xml:space="preserve"> </w:t>
            </w:r>
            <w:r>
              <w:rPr>
                <w:rFonts w:ascii="Times New Roman" w:hAnsi="Times New Roman"/>
                <w:sz w:val="20"/>
              </w:rPr>
              <w:t xml:space="preserve"> </w:t>
            </w:r>
          </w:p>
          <w:p w:rsidR="00043D8B" w:rsidRDefault="00043D8B" w:rsidP="003847E2">
            <w:pPr>
              <w:spacing w:after="0"/>
              <w:jc w:val="right"/>
            </w:pPr>
            <w:r>
              <w:rPr>
                <w:rFonts w:ascii="Times New Roman" w:hAnsi="Times New Roman"/>
                <w:sz w:val="20"/>
              </w:rPr>
              <w:t xml:space="preserve"> </w:t>
            </w:r>
          </w:p>
        </w:tc>
        <w:tc>
          <w:tcPr>
            <w:tcW w:w="1943" w:type="dxa"/>
          </w:tcPr>
          <w:p w:rsidR="00043D8B" w:rsidRDefault="00043D8B" w:rsidP="003847E2">
            <w:pPr>
              <w:spacing w:after="0"/>
              <w:ind w:left="1"/>
              <w:jc w:val="both"/>
            </w:pPr>
            <w:r>
              <w:rPr>
                <w:rFonts w:ascii="Times New Roman" w:hAnsi="Times New Roman"/>
                <w:sz w:val="20"/>
              </w:rPr>
              <w:t xml:space="preserve">Spoločný konsolidovaný základ dane z príjmov právnických osôb </w:t>
            </w:r>
          </w:p>
        </w:tc>
        <w:tc>
          <w:tcPr>
            <w:tcW w:w="5637" w:type="dxa"/>
          </w:tcPr>
          <w:p w:rsidR="00043D8B" w:rsidRDefault="00043D8B" w:rsidP="00D15EE0">
            <w:pPr>
              <w:spacing w:after="0"/>
              <w:ind w:left="1"/>
              <w:jc w:val="both"/>
            </w:pPr>
            <w:r>
              <w:rPr>
                <w:rFonts w:ascii="Times New Roman" w:hAnsi="Times New Roman"/>
                <w:sz w:val="20"/>
              </w:rPr>
              <w:t>Návrh SMERNICE RADY o spoločnom konsolidovanom základe dane z príjmov právnických osôb (CCCTB)** COM(2016) 683 final 2016/0336 (CNS)  25. 10. 2016</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MF SR</w:t>
            </w:r>
          </w:p>
        </w:tc>
        <w:tc>
          <w:tcPr>
            <w:tcW w:w="5386" w:type="dxa"/>
          </w:tcPr>
          <w:p w:rsidR="00043D8B" w:rsidRPr="00150E00" w:rsidRDefault="00043D8B" w:rsidP="00D15EE0">
            <w:pPr>
              <w:spacing w:after="0"/>
              <w:ind w:left="4" w:right="49"/>
              <w:jc w:val="both"/>
              <w:rPr>
                <w:rFonts w:ascii="Times New Roman" w:hAnsi="Times New Roman"/>
                <w:b/>
                <w:sz w:val="20"/>
                <w:u w:val="single"/>
              </w:rPr>
            </w:pPr>
            <w:r>
              <w:rPr>
                <w:rFonts w:ascii="Times New Roman" w:hAnsi="Times New Roman"/>
                <w:b/>
                <w:sz w:val="20"/>
                <w:u w:val="single"/>
              </w:rPr>
              <w:t>Stredná priorita</w:t>
            </w:r>
          </w:p>
          <w:p w:rsidR="00043D8B" w:rsidRPr="00F52E69" w:rsidRDefault="00043D8B" w:rsidP="00D15EE0">
            <w:pPr>
              <w:spacing w:after="0"/>
              <w:ind w:left="4" w:right="49"/>
              <w:jc w:val="both"/>
              <w:rPr>
                <w:rFonts w:ascii="Times New Roman" w:hAnsi="Times New Roman"/>
                <w:sz w:val="20"/>
              </w:rPr>
            </w:pPr>
            <w:r w:rsidRPr="00150E00">
              <w:rPr>
                <w:rFonts w:ascii="Times New Roman" w:hAnsi="Times New Roman"/>
                <w:sz w:val="20"/>
              </w:rPr>
              <w:t>SR podporuje skúmanie návrhu smernice Rady  o spoločnom konsolidovanom základe dane z príjmov právnických osôb (CCCTB) po ukončení prác na návrhu smernice Rady o spoločnom základe dane z príjmov právnických osôb.</w:t>
            </w:r>
          </w:p>
        </w:tc>
      </w:tr>
      <w:tr w:rsidR="00043D8B" w:rsidTr="007864C8">
        <w:tc>
          <w:tcPr>
            <w:tcW w:w="466" w:type="dxa"/>
          </w:tcPr>
          <w:p w:rsidR="00043D8B" w:rsidRDefault="00043D8B" w:rsidP="003847E2">
            <w:pPr>
              <w:spacing w:after="0"/>
            </w:pPr>
          </w:p>
        </w:tc>
        <w:tc>
          <w:tcPr>
            <w:tcW w:w="1943" w:type="dxa"/>
          </w:tcPr>
          <w:p w:rsidR="00043D8B" w:rsidRDefault="00043D8B" w:rsidP="003847E2">
            <w:pPr>
              <w:spacing w:after="0"/>
            </w:pPr>
          </w:p>
        </w:tc>
        <w:tc>
          <w:tcPr>
            <w:tcW w:w="5637" w:type="dxa"/>
          </w:tcPr>
          <w:p w:rsidR="00043D8B" w:rsidRPr="00150E00" w:rsidRDefault="00043D8B" w:rsidP="00D15EE0">
            <w:pPr>
              <w:spacing w:after="0"/>
              <w:ind w:left="1"/>
              <w:jc w:val="both"/>
              <w:rPr>
                <w:rFonts w:ascii="Times New Roman" w:hAnsi="Times New Roman"/>
                <w:sz w:val="20"/>
              </w:rPr>
            </w:pPr>
            <w:r>
              <w:rPr>
                <w:rFonts w:ascii="Times New Roman" w:hAnsi="Times New Roman"/>
                <w:sz w:val="20"/>
              </w:rPr>
              <w:t>Návrh SMERNICE RADY o spoločnom základe dane z príjmov právnických osôb** COM(2016) 685 final 2016/0337 (CNS)  25. 10. 2016</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MF SR</w:t>
            </w:r>
          </w:p>
        </w:tc>
        <w:tc>
          <w:tcPr>
            <w:tcW w:w="5386" w:type="dxa"/>
          </w:tcPr>
          <w:p w:rsidR="00043D8B" w:rsidRPr="00150E00" w:rsidRDefault="00043D8B" w:rsidP="00D15EE0">
            <w:pPr>
              <w:spacing w:after="0"/>
              <w:ind w:left="4" w:right="49"/>
              <w:jc w:val="both"/>
              <w:rPr>
                <w:rFonts w:ascii="Times New Roman" w:hAnsi="Times New Roman"/>
                <w:b/>
                <w:sz w:val="20"/>
                <w:u w:val="single"/>
              </w:rPr>
            </w:pPr>
            <w:r>
              <w:rPr>
                <w:rFonts w:ascii="Times New Roman" w:hAnsi="Times New Roman"/>
                <w:b/>
                <w:sz w:val="20"/>
                <w:u w:val="single"/>
              </w:rPr>
              <w:t>Stredná priorita</w:t>
            </w:r>
          </w:p>
          <w:p w:rsidR="00043D8B" w:rsidRPr="00F52E69" w:rsidRDefault="00043D8B" w:rsidP="00D15EE0">
            <w:pPr>
              <w:spacing w:after="0"/>
              <w:ind w:left="4" w:right="49"/>
              <w:jc w:val="both"/>
              <w:rPr>
                <w:rFonts w:ascii="Times New Roman" w:hAnsi="Times New Roman"/>
                <w:sz w:val="20"/>
              </w:rPr>
            </w:pPr>
            <w:r w:rsidRPr="00150E00">
              <w:rPr>
                <w:rFonts w:ascii="Times New Roman" w:hAnsi="Times New Roman"/>
                <w:sz w:val="20"/>
              </w:rPr>
              <w:t>SR podporuje pokračovanie v skúmaní návrhu smernice Rady  o spoločnom základe dane z príjmov právnických osôb.</w:t>
            </w:r>
          </w:p>
        </w:tc>
      </w:tr>
      <w:tr w:rsidR="00043D8B" w:rsidTr="007864C8">
        <w:tc>
          <w:tcPr>
            <w:tcW w:w="466" w:type="dxa"/>
          </w:tcPr>
          <w:p w:rsidR="00043D8B" w:rsidRDefault="00043D8B" w:rsidP="003847E2">
            <w:pPr>
              <w:spacing w:after="0"/>
            </w:pPr>
            <w:r>
              <w:rPr>
                <w:rFonts w:ascii="Times New Roman" w:hAnsi="Times New Roman"/>
                <w:sz w:val="20"/>
              </w:rPr>
              <w:t>35.</w:t>
            </w:r>
            <w:r>
              <w:rPr>
                <w:rFonts w:ascii="Arial" w:hAnsi="Arial" w:cs="Arial"/>
                <w:sz w:val="20"/>
              </w:rPr>
              <w:t xml:space="preserve"> </w:t>
            </w:r>
            <w:r>
              <w:rPr>
                <w:rFonts w:ascii="Times New Roman" w:hAnsi="Times New Roman"/>
                <w:sz w:val="20"/>
              </w:rPr>
              <w:t xml:space="preserve"> </w:t>
            </w:r>
          </w:p>
        </w:tc>
        <w:tc>
          <w:tcPr>
            <w:tcW w:w="1943" w:type="dxa"/>
          </w:tcPr>
          <w:p w:rsidR="00043D8B" w:rsidRDefault="00043D8B" w:rsidP="003847E2">
            <w:pPr>
              <w:spacing w:after="0"/>
              <w:ind w:left="1" w:right="36"/>
            </w:pPr>
            <w:r>
              <w:rPr>
                <w:rFonts w:ascii="Times New Roman" w:hAnsi="Times New Roman"/>
                <w:sz w:val="20"/>
              </w:rPr>
              <w:t xml:space="preserve">Všeobecný systém spotrebných daní  </w:t>
            </w:r>
          </w:p>
        </w:tc>
        <w:tc>
          <w:tcPr>
            <w:tcW w:w="5637" w:type="dxa"/>
          </w:tcPr>
          <w:p w:rsidR="00043D8B" w:rsidRDefault="00043D8B" w:rsidP="00D15EE0">
            <w:pPr>
              <w:spacing w:after="0"/>
              <w:ind w:left="1"/>
              <w:jc w:val="both"/>
              <w:rPr>
                <w:rFonts w:ascii="Times New Roman" w:hAnsi="Times New Roman"/>
                <w:sz w:val="20"/>
              </w:rPr>
            </w:pPr>
            <w:r>
              <w:rPr>
                <w:rFonts w:ascii="Times New Roman" w:hAnsi="Times New Roman"/>
                <w:sz w:val="20"/>
              </w:rPr>
              <w:t>Návrh SMERNICE RADY, ktorou sa stanovuje  všeobecný systém spotrebných daní (prepracované znenie)**</w:t>
            </w:r>
          </w:p>
          <w:p w:rsidR="00043D8B" w:rsidRDefault="00043D8B" w:rsidP="00D15EE0">
            <w:pPr>
              <w:spacing w:after="0"/>
              <w:ind w:left="1"/>
              <w:jc w:val="both"/>
            </w:pPr>
            <w:r>
              <w:rPr>
                <w:rFonts w:ascii="Times New Roman" w:hAnsi="Times New Roman"/>
                <w:sz w:val="20"/>
              </w:rPr>
              <w:t>COM(2018) 346 final 2018/0176(CNS)  25. 5. 2018</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MF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FS SR</w:t>
            </w:r>
          </w:p>
        </w:tc>
        <w:tc>
          <w:tcPr>
            <w:tcW w:w="5386" w:type="dxa"/>
          </w:tcPr>
          <w:p w:rsidR="00043D8B" w:rsidRPr="00150E00" w:rsidRDefault="00043D8B" w:rsidP="00D15EE0">
            <w:pPr>
              <w:spacing w:after="0"/>
              <w:jc w:val="both"/>
              <w:rPr>
                <w:rFonts w:ascii="Times New Roman" w:hAnsi="Times New Roman"/>
                <w:b/>
                <w:bCs/>
                <w:sz w:val="20"/>
                <w:szCs w:val="20"/>
                <w:u w:val="single"/>
              </w:rPr>
            </w:pPr>
            <w:r w:rsidRPr="00150E00">
              <w:rPr>
                <w:rFonts w:ascii="Times New Roman" w:hAnsi="Times New Roman"/>
                <w:b/>
                <w:bCs/>
                <w:sz w:val="20"/>
                <w:szCs w:val="20"/>
                <w:u w:val="single"/>
              </w:rPr>
              <w:t>Vysoká priorita</w:t>
            </w:r>
          </w:p>
          <w:p w:rsidR="00043D8B" w:rsidRPr="00150E00" w:rsidRDefault="00043D8B" w:rsidP="00D15EE0">
            <w:pPr>
              <w:spacing w:after="0"/>
              <w:jc w:val="both"/>
              <w:rPr>
                <w:rFonts w:ascii="Times New Roman" w:hAnsi="Times New Roman"/>
                <w:sz w:val="20"/>
                <w:szCs w:val="20"/>
              </w:rPr>
            </w:pPr>
            <w:r w:rsidRPr="00150E00">
              <w:rPr>
                <w:rFonts w:ascii="Times New Roman" w:hAnsi="Times New Roman"/>
                <w:sz w:val="20"/>
                <w:szCs w:val="20"/>
              </w:rPr>
              <w:t xml:space="preserve">Uvedená iniciatíva je významná pre SR z dôvodu odstránenia nesúladov medzi daňovými a colnými predpismi. Zároveň je cieľom uľahčiť </w:t>
            </w:r>
            <w:r>
              <w:rPr>
                <w:rFonts w:ascii="Times New Roman" w:hAnsi="Times New Roman"/>
                <w:sz w:val="20"/>
                <w:szCs w:val="20"/>
              </w:rPr>
              <w:t xml:space="preserve">daňové postupy pri cezhraničnom obchode </w:t>
            </w:r>
            <w:r w:rsidRPr="00150E00">
              <w:rPr>
                <w:rFonts w:ascii="Times New Roman" w:hAnsi="Times New Roman"/>
                <w:sz w:val="20"/>
                <w:szCs w:val="20"/>
              </w:rPr>
              <w:t>a zabezpečiť rovnaké  zaobchádzanie pre hospodárske subjekty. SR plne podporuje danú iniciatívu. Uvedená zmena bude premietnutá do všetkých zákonov o spotrebných daniach.</w:t>
            </w:r>
          </w:p>
        </w:tc>
      </w:tr>
      <w:tr w:rsidR="00043D8B" w:rsidTr="007864C8">
        <w:tc>
          <w:tcPr>
            <w:tcW w:w="466" w:type="dxa"/>
          </w:tcPr>
          <w:p w:rsidR="00043D8B" w:rsidRDefault="00043D8B" w:rsidP="003847E2">
            <w:pPr>
              <w:spacing w:after="0"/>
            </w:pPr>
            <w:r>
              <w:rPr>
                <w:rFonts w:ascii="Times New Roman" w:hAnsi="Times New Roman"/>
                <w:sz w:val="20"/>
              </w:rPr>
              <w:t>36.</w:t>
            </w:r>
            <w:r>
              <w:rPr>
                <w:rFonts w:ascii="Arial" w:hAnsi="Arial" w:cs="Arial"/>
                <w:sz w:val="20"/>
              </w:rPr>
              <w:t xml:space="preserve"> </w:t>
            </w:r>
            <w:r>
              <w:rPr>
                <w:rFonts w:ascii="Times New Roman" w:hAnsi="Times New Roman"/>
                <w:sz w:val="20"/>
              </w:rPr>
              <w:t xml:space="preserve"> </w:t>
            </w:r>
          </w:p>
        </w:tc>
        <w:tc>
          <w:tcPr>
            <w:tcW w:w="1943" w:type="dxa"/>
          </w:tcPr>
          <w:p w:rsidR="00043D8B" w:rsidRDefault="00043D8B" w:rsidP="003847E2">
            <w:pPr>
              <w:spacing w:after="0"/>
              <w:ind w:left="1" w:right="392"/>
            </w:pPr>
            <w:r>
              <w:rPr>
                <w:rFonts w:ascii="Times New Roman" w:hAnsi="Times New Roman"/>
                <w:sz w:val="20"/>
              </w:rPr>
              <w:t xml:space="preserve">Nekalé obchodné praktiky vo vzťahoch medzi podnikmi v potravinovom dodávateľskom reťazci </w:t>
            </w:r>
          </w:p>
        </w:tc>
        <w:tc>
          <w:tcPr>
            <w:tcW w:w="5637" w:type="dxa"/>
          </w:tcPr>
          <w:p w:rsidR="00043D8B" w:rsidRDefault="00043D8B" w:rsidP="00D15EE0">
            <w:pPr>
              <w:spacing w:after="0"/>
              <w:ind w:left="1"/>
              <w:jc w:val="both"/>
            </w:pPr>
            <w:r>
              <w:rPr>
                <w:rFonts w:ascii="Times New Roman" w:hAnsi="Times New Roman"/>
                <w:sz w:val="20"/>
              </w:rPr>
              <w:t xml:space="preserve">Návrh SMERNICE EURÓPSKEHO PARLAMENTU A RADY o nekalých obchodných praktikách vo vzťahoch medzi podnikmi v potravinovom dodávateľskom reťazci** COM(2018) 173 final </w:t>
            </w:r>
          </w:p>
          <w:p w:rsidR="00043D8B" w:rsidRDefault="00043D8B" w:rsidP="00D15EE0">
            <w:pPr>
              <w:spacing w:after="0"/>
              <w:ind w:left="1"/>
              <w:jc w:val="both"/>
            </w:pPr>
            <w:r>
              <w:rPr>
                <w:rFonts w:ascii="Times New Roman" w:hAnsi="Times New Roman"/>
                <w:sz w:val="20"/>
              </w:rPr>
              <w:t>2018/0082 (COD)  12. 4. 2018</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MPaRV SR</w:t>
            </w:r>
          </w:p>
        </w:tc>
        <w:tc>
          <w:tcPr>
            <w:tcW w:w="5386" w:type="dxa"/>
          </w:tcPr>
          <w:p w:rsidR="00043D8B" w:rsidRPr="00043D8B" w:rsidRDefault="00043D8B" w:rsidP="00D15EE0">
            <w:pPr>
              <w:spacing w:after="0"/>
              <w:jc w:val="both"/>
              <w:rPr>
                <w:rFonts w:ascii="Times New Roman" w:hAnsi="Times New Roman"/>
                <w:b/>
                <w:sz w:val="20"/>
                <w:szCs w:val="20"/>
                <w:u w:val="single"/>
              </w:rPr>
            </w:pPr>
            <w:r w:rsidRPr="00D21E47">
              <w:rPr>
                <w:rFonts w:ascii="Times New Roman" w:hAnsi="Times New Roman"/>
                <w:b/>
                <w:sz w:val="20"/>
                <w:szCs w:val="20"/>
                <w:u w:val="single"/>
              </w:rPr>
              <w:t>Vysoká priorita</w:t>
            </w:r>
          </w:p>
          <w:p w:rsidR="00043D8B" w:rsidRPr="00F52E69" w:rsidRDefault="00632382" w:rsidP="00D15EE0">
            <w:pPr>
              <w:spacing w:after="0"/>
              <w:ind w:left="4" w:right="49"/>
              <w:jc w:val="both"/>
              <w:rPr>
                <w:rFonts w:ascii="Times New Roman" w:hAnsi="Times New Roman"/>
                <w:sz w:val="20"/>
              </w:rPr>
            </w:pPr>
            <w:r w:rsidRPr="00632382">
              <w:rPr>
                <w:rFonts w:ascii="Times New Roman" w:hAnsi="Times New Roman"/>
                <w:sz w:val="20"/>
                <w:szCs w:val="20"/>
              </w:rPr>
              <w:t>SR podporuje prijatie Smernice EP a Rady o nekalých obchodných praktikách v potravinovom dodávateľskom reťazci</w:t>
            </w:r>
            <w:r w:rsidR="00043D8B" w:rsidRPr="00D21E47">
              <w:rPr>
                <w:rFonts w:ascii="Times New Roman" w:hAnsi="Times New Roman"/>
                <w:sz w:val="20"/>
                <w:szCs w:val="20"/>
              </w:rPr>
              <w:t>.</w:t>
            </w:r>
          </w:p>
        </w:tc>
      </w:tr>
      <w:tr w:rsidR="00043D8B" w:rsidTr="007864C8">
        <w:tc>
          <w:tcPr>
            <w:tcW w:w="466" w:type="dxa"/>
          </w:tcPr>
          <w:p w:rsidR="00043D8B" w:rsidRDefault="00043D8B" w:rsidP="003847E2">
            <w:pPr>
              <w:spacing w:after="0"/>
            </w:pPr>
            <w:r>
              <w:rPr>
                <w:rFonts w:ascii="Times New Roman" w:hAnsi="Times New Roman"/>
                <w:sz w:val="20"/>
              </w:rPr>
              <w:t>37.</w:t>
            </w:r>
            <w:r>
              <w:rPr>
                <w:rFonts w:ascii="Arial" w:hAnsi="Arial" w:cs="Arial"/>
                <w:sz w:val="20"/>
              </w:rPr>
              <w:t xml:space="preserve"> </w:t>
            </w:r>
            <w:r>
              <w:rPr>
                <w:rFonts w:ascii="Times New Roman" w:hAnsi="Times New Roman"/>
                <w:sz w:val="20"/>
              </w:rPr>
              <w:t xml:space="preserve"> </w:t>
            </w:r>
          </w:p>
        </w:tc>
        <w:tc>
          <w:tcPr>
            <w:tcW w:w="1943" w:type="dxa"/>
          </w:tcPr>
          <w:p w:rsidR="00043D8B" w:rsidRDefault="00043D8B" w:rsidP="003847E2">
            <w:pPr>
              <w:spacing w:after="0"/>
              <w:ind w:left="1"/>
            </w:pPr>
            <w:r>
              <w:rPr>
                <w:rFonts w:ascii="Times New Roman" w:hAnsi="Times New Roman"/>
                <w:sz w:val="20"/>
              </w:rPr>
              <w:t xml:space="preserve">Dodatkové ochranné osvedčovanie </w:t>
            </w:r>
          </w:p>
          <w:p w:rsidR="00043D8B" w:rsidRDefault="00043D8B" w:rsidP="003847E2">
            <w:pPr>
              <w:spacing w:after="0"/>
              <w:ind w:left="1"/>
            </w:pPr>
            <w:r>
              <w:rPr>
                <w:rFonts w:ascii="Times New Roman" w:hAnsi="Times New Roman"/>
                <w:sz w:val="20"/>
              </w:rPr>
              <w:t xml:space="preserve">liečiv </w:t>
            </w:r>
          </w:p>
        </w:tc>
        <w:tc>
          <w:tcPr>
            <w:tcW w:w="5637" w:type="dxa"/>
          </w:tcPr>
          <w:p w:rsidR="00043D8B" w:rsidRDefault="00043D8B" w:rsidP="00D15EE0">
            <w:pPr>
              <w:spacing w:after="0"/>
              <w:ind w:left="1"/>
              <w:jc w:val="both"/>
            </w:pPr>
            <w:r>
              <w:rPr>
                <w:rFonts w:ascii="Times New Roman" w:hAnsi="Times New Roman"/>
                <w:sz w:val="20"/>
              </w:rPr>
              <w:t xml:space="preserve">Návrh NARIADENIA EURÓPSKEHO PARLAMENTU A RADY, ktorým sa mení nariadenie (ES) č. 469/2009 o dodatkovom ochrannom osvedčení pre liečivá** COM(2018) 317 final </w:t>
            </w:r>
          </w:p>
          <w:p w:rsidR="00043D8B" w:rsidRDefault="00043D8B" w:rsidP="00D15EE0">
            <w:pPr>
              <w:spacing w:after="0"/>
              <w:ind w:left="1"/>
              <w:jc w:val="both"/>
            </w:pPr>
            <w:r>
              <w:rPr>
                <w:rFonts w:ascii="Times New Roman" w:hAnsi="Times New Roman"/>
                <w:sz w:val="20"/>
              </w:rPr>
              <w:t>2018/0161 (COD) 28. 5. 2018</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ÚPV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MZ SR</w:t>
            </w:r>
          </w:p>
        </w:tc>
        <w:tc>
          <w:tcPr>
            <w:tcW w:w="5386" w:type="dxa"/>
          </w:tcPr>
          <w:p w:rsidR="00043D8B" w:rsidRPr="00150E00" w:rsidRDefault="00043D8B" w:rsidP="00D15EE0">
            <w:pPr>
              <w:spacing w:after="0"/>
              <w:ind w:left="4" w:right="49"/>
              <w:jc w:val="both"/>
              <w:rPr>
                <w:rFonts w:ascii="Times New Roman" w:hAnsi="Times New Roman"/>
                <w:b/>
                <w:color w:val="auto"/>
                <w:sz w:val="20"/>
                <w:u w:val="single"/>
              </w:rPr>
            </w:pPr>
            <w:r w:rsidRPr="00150E00">
              <w:rPr>
                <w:rFonts w:ascii="Times New Roman" w:hAnsi="Times New Roman"/>
                <w:b/>
                <w:color w:val="auto"/>
                <w:sz w:val="20"/>
                <w:u w:val="single"/>
              </w:rPr>
              <w:t>Stredná priorita</w:t>
            </w:r>
          </w:p>
          <w:p w:rsidR="00043D8B" w:rsidRPr="00756657" w:rsidRDefault="00043D8B" w:rsidP="00D15EE0">
            <w:pPr>
              <w:spacing w:after="0"/>
              <w:ind w:left="4" w:right="49"/>
              <w:jc w:val="both"/>
              <w:rPr>
                <w:rFonts w:ascii="Times New Roman" w:hAnsi="Times New Roman"/>
                <w:color w:val="auto"/>
                <w:sz w:val="20"/>
              </w:rPr>
            </w:pPr>
            <w:r w:rsidRPr="00756657">
              <w:rPr>
                <w:rFonts w:ascii="Times New Roman" w:hAnsi="Times New Roman"/>
                <w:color w:val="auto"/>
                <w:sz w:val="20"/>
              </w:rPr>
              <w:t>Diskusie k legislatívnemu návrhu na úrovni pracovnej skupiny už boli ukončené.</w:t>
            </w:r>
          </w:p>
        </w:tc>
      </w:tr>
      <w:tr w:rsidR="00043D8B" w:rsidTr="007864C8">
        <w:tc>
          <w:tcPr>
            <w:tcW w:w="466" w:type="dxa"/>
          </w:tcPr>
          <w:p w:rsidR="00043D8B" w:rsidRDefault="00043D8B" w:rsidP="003847E2">
            <w:pPr>
              <w:spacing w:after="0"/>
            </w:pPr>
            <w:r>
              <w:rPr>
                <w:rFonts w:ascii="Times New Roman" w:hAnsi="Times New Roman"/>
                <w:sz w:val="20"/>
              </w:rPr>
              <w:t>38.</w:t>
            </w:r>
            <w:r>
              <w:rPr>
                <w:rFonts w:ascii="Arial" w:hAnsi="Arial" w:cs="Arial"/>
                <w:sz w:val="20"/>
              </w:rPr>
              <w:t xml:space="preserve"> </w:t>
            </w:r>
            <w:r>
              <w:rPr>
                <w:rFonts w:ascii="Times New Roman" w:hAnsi="Times New Roman"/>
                <w:sz w:val="20"/>
              </w:rPr>
              <w:t xml:space="preserve"> </w:t>
            </w:r>
          </w:p>
          <w:p w:rsidR="00043D8B" w:rsidRDefault="00043D8B" w:rsidP="003847E2">
            <w:pPr>
              <w:spacing w:after="0"/>
              <w:ind w:right="43"/>
              <w:jc w:val="center"/>
            </w:pPr>
            <w:r>
              <w:rPr>
                <w:rFonts w:ascii="Times New Roman" w:hAnsi="Times New Roman"/>
                <w:sz w:val="20"/>
              </w:rPr>
              <w:t xml:space="preserve"> </w:t>
            </w:r>
          </w:p>
          <w:p w:rsidR="00043D8B" w:rsidRDefault="00043D8B" w:rsidP="003847E2">
            <w:pPr>
              <w:spacing w:after="0"/>
              <w:jc w:val="right"/>
            </w:pPr>
            <w:r>
              <w:rPr>
                <w:rFonts w:ascii="Times New Roman" w:hAnsi="Times New Roman"/>
                <w:sz w:val="20"/>
              </w:rPr>
              <w:t xml:space="preserve"> </w:t>
            </w:r>
          </w:p>
        </w:tc>
        <w:tc>
          <w:tcPr>
            <w:tcW w:w="1943" w:type="dxa"/>
          </w:tcPr>
          <w:p w:rsidR="00043D8B" w:rsidRDefault="00043D8B" w:rsidP="003847E2">
            <w:pPr>
              <w:spacing w:after="0"/>
              <w:ind w:left="1"/>
            </w:pPr>
            <w:r>
              <w:rPr>
                <w:rFonts w:ascii="Times New Roman" w:hAnsi="Times New Roman"/>
                <w:sz w:val="20"/>
              </w:rPr>
              <w:t xml:space="preserve">Balík predpisov v oblasti služieb </w:t>
            </w:r>
          </w:p>
        </w:tc>
        <w:tc>
          <w:tcPr>
            <w:tcW w:w="5637" w:type="dxa"/>
          </w:tcPr>
          <w:p w:rsidR="00043D8B" w:rsidRDefault="00043D8B" w:rsidP="00D15EE0">
            <w:pPr>
              <w:spacing w:after="0"/>
              <w:ind w:left="1"/>
              <w:jc w:val="both"/>
            </w:pPr>
            <w:r>
              <w:rPr>
                <w:rFonts w:ascii="Times New Roman" w:hAnsi="Times New Roman"/>
                <w:sz w:val="20"/>
              </w:rPr>
              <w:t>Návrh SMERNICE EURÓPSKEHO PARLAMENTU A RADY o presadzovaní smernice 2006/123/ES o službách na vnútornom trhu, ktorou sa stanovuje postup oznamovania pre systémy udeľovania povolení a požiadavky súvisiace so službami a ktorou sa mení smernica 2006/123/ES a nariadenie (EÚ) č. 1024/2012 o administratívnej spolupráci prostredníctvom informačného systému o vnútornom trhu** COM(2016) 821 final 2016/0398 (COD)  10. 1. 2017</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MH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MV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MF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MZ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MPSVaR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MDaV SR</w:t>
            </w:r>
          </w:p>
        </w:tc>
        <w:tc>
          <w:tcPr>
            <w:tcW w:w="5386" w:type="dxa"/>
          </w:tcPr>
          <w:p w:rsidR="00043D8B" w:rsidRPr="00150E00" w:rsidRDefault="00043D8B" w:rsidP="00D15EE0">
            <w:pPr>
              <w:spacing w:after="0"/>
              <w:ind w:left="4" w:right="49"/>
              <w:jc w:val="both"/>
              <w:rPr>
                <w:rFonts w:ascii="Times New Roman" w:hAnsi="Times New Roman"/>
                <w:b/>
                <w:color w:val="auto"/>
                <w:sz w:val="20"/>
                <w:u w:val="single"/>
              </w:rPr>
            </w:pPr>
            <w:r w:rsidRPr="00150E00">
              <w:rPr>
                <w:rFonts w:ascii="Times New Roman" w:hAnsi="Times New Roman"/>
                <w:b/>
                <w:color w:val="auto"/>
                <w:sz w:val="20"/>
                <w:u w:val="single"/>
              </w:rPr>
              <w:t>Stredná priorita</w:t>
            </w:r>
          </w:p>
          <w:p w:rsidR="00043D8B" w:rsidRPr="00F52E69" w:rsidRDefault="00043D8B" w:rsidP="00D15EE0">
            <w:pPr>
              <w:spacing w:after="0"/>
              <w:ind w:left="4" w:right="49"/>
              <w:jc w:val="both"/>
              <w:rPr>
                <w:rFonts w:ascii="Times New Roman" w:hAnsi="Times New Roman"/>
                <w:sz w:val="20"/>
              </w:rPr>
            </w:pPr>
            <w:r>
              <w:rPr>
                <w:rFonts w:ascii="Times New Roman" w:hAnsi="Times New Roman"/>
                <w:sz w:val="20"/>
                <w:szCs w:val="20"/>
              </w:rPr>
              <w:t>Rada EÚ aj EP schválili svoje znenia, odvtedy sa však zatiaľ neúspešne snažia nájsť spoločný kompromis. Názorové rozdiely sa objavili aj v rámci Rady, kde sa niektoré štáty odklonili od schváleného textu Rady. V súčasnosti sa nedá jednoznačne povedať, aké bude ďalšie pokračovanie počas RO PRES a je aj možnosť, že sa dohoda nedosiahne vôbec. SR podporuje dosiahnutie kompromisu.</w:t>
            </w:r>
          </w:p>
        </w:tc>
      </w:tr>
      <w:tr w:rsidR="00043D8B" w:rsidTr="007864C8">
        <w:tc>
          <w:tcPr>
            <w:tcW w:w="466" w:type="dxa"/>
          </w:tcPr>
          <w:p w:rsidR="00043D8B" w:rsidRDefault="00043D8B" w:rsidP="003847E2">
            <w:pPr>
              <w:spacing w:after="0"/>
            </w:pPr>
          </w:p>
        </w:tc>
        <w:tc>
          <w:tcPr>
            <w:tcW w:w="1943" w:type="dxa"/>
          </w:tcPr>
          <w:p w:rsidR="00043D8B" w:rsidRDefault="00043D8B" w:rsidP="003847E2">
            <w:pPr>
              <w:spacing w:after="0"/>
            </w:pPr>
          </w:p>
        </w:tc>
        <w:tc>
          <w:tcPr>
            <w:tcW w:w="5637" w:type="dxa"/>
          </w:tcPr>
          <w:p w:rsidR="00043D8B" w:rsidRDefault="00043D8B" w:rsidP="00D15EE0">
            <w:pPr>
              <w:spacing w:after="0"/>
              <w:ind w:left="1"/>
              <w:jc w:val="both"/>
            </w:pPr>
            <w:r>
              <w:rPr>
                <w:rFonts w:ascii="Times New Roman" w:hAnsi="Times New Roman"/>
                <w:sz w:val="20"/>
              </w:rPr>
              <w:t>Návrh SMERNICE EURÓPSKEHO PARLAMENTU A RADY o právnom a operačnom rámci pre európsky elektronický preukaz služieb zavedený nariadením... [ESC Regulation]...** COM(2016) 823 final 2016/0402 (COD)  10. 1. 2017</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MH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MV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MF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MZ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MPSVaR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MDaV SR</w:t>
            </w:r>
          </w:p>
        </w:tc>
        <w:tc>
          <w:tcPr>
            <w:tcW w:w="5386" w:type="dxa"/>
          </w:tcPr>
          <w:p w:rsidR="00043D8B" w:rsidRPr="00150E00" w:rsidRDefault="00043D8B" w:rsidP="00D15EE0">
            <w:pPr>
              <w:spacing w:after="0"/>
              <w:ind w:left="4" w:right="49"/>
              <w:jc w:val="both"/>
              <w:rPr>
                <w:rFonts w:ascii="Times New Roman" w:hAnsi="Times New Roman"/>
                <w:b/>
                <w:color w:val="auto"/>
                <w:sz w:val="20"/>
                <w:u w:val="single"/>
              </w:rPr>
            </w:pPr>
            <w:r w:rsidRPr="00150E00">
              <w:rPr>
                <w:rFonts w:ascii="Times New Roman" w:hAnsi="Times New Roman"/>
                <w:b/>
                <w:color w:val="auto"/>
                <w:sz w:val="20"/>
                <w:u w:val="single"/>
              </w:rPr>
              <w:t>Stredná priorita</w:t>
            </w:r>
          </w:p>
          <w:p w:rsidR="00043D8B" w:rsidRPr="00F52E69" w:rsidRDefault="00043D8B" w:rsidP="00D15EE0">
            <w:pPr>
              <w:spacing w:after="0"/>
              <w:ind w:left="4" w:right="49"/>
              <w:jc w:val="both"/>
              <w:rPr>
                <w:rFonts w:ascii="Times New Roman" w:hAnsi="Times New Roman"/>
                <w:sz w:val="20"/>
              </w:rPr>
            </w:pPr>
            <w:r>
              <w:rPr>
                <w:rFonts w:ascii="Times New Roman" w:hAnsi="Times New Roman"/>
                <w:sz w:val="20"/>
              </w:rPr>
              <w:t>Rokovania Rady pozastavené vzhľadom na pretrvávajúce rozdielne názory ČS na pridanú hodnotu návrhu a tiež neschválenie správy gesčným výborom EP IMCO dňa 21.3.2018.</w:t>
            </w:r>
          </w:p>
        </w:tc>
      </w:tr>
      <w:tr w:rsidR="00043D8B" w:rsidTr="007864C8">
        <w:tc>
          <w:tcPr>
            <w:tcW w:w="466" w:type="dxa"/>
          </w:tcPr>
          <w:p w:rsidR="00043D8B" w:rsidRDefault="00043D8B" w:rsidP="003847E2">
            <w:pPr>
              <w:spacing w:after="0"/>
            </w:pPr>
          </w:p>
        </w:tc>
        <w:tc>
          <w:tcPr>
            <w:tcW w:w="1943" w:type="dxa"/>
          </w:tcPr>
          <w:p w:rsidR="00043D8B" w:rsidRDefault="00043D8B" w:rsidP="003847E2">
            <w:pPr>
              <w:spacing w:after="0"/>
            </w:pPr>
          </w:p>
        </w:tc>
        <w:tc>
          <w:tcPr>
            <w:tcW w:w="5637" w:type="dxa"/>
          </w:tcPr>
          <w:p w:rsidR="00043D8B" w:rsidRDefault="00043D8B" w:rsidP="00D15EE0">
            <w:pPr>
              <w:spacing w:after="0"/>
              <w:ind w:left="1"/>
              <w:jc w:val="both"/>
              <w:rPr>
                <w:rFonts w:ascii="Times New Roman" w:hAnsi="Times New Roman"/>
                <w:sz w:val="20"/>
              </w:rPr>
            </w:pPr>
            <w:r>
              <w:rPr>
                <w:rFonts w:ascii="Times New Roman" w:hAnsi="Times New Roman"/>
                <w:sz w:val="20"/>
              </w:rPr>
              <w:t>Návrh NARIADENIA EURÓPSKEHO PARLAMENTU A RADY o zavedení európskeho elektronického preukazu služieb a súvisiacich administratívnych prostriedkoch** COM(2016) 824 final 2016/0403 (COD)  10. 1. 2017</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MH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MV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MF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MZ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MPSVaR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MDaV SR</w:t>
            </w:r>
          </w:p>
        </w:tc>
        <w:tc>
          <w:tcPr>
            <w:tcW w:w="5386" w:type="dxa"/>
          </w:tcPr>
          <w:p w:rsidR="00043D8B" w:rsidRPr="00150E00" w:rsidRDefault="00043D8B" w:rsidP="00D15EE0">
            <w:pPr>
              <w:spacing w:after="0"/>
              <w:ind w:left="4" w:right="49"/>
              <w:jc w:val="both"/>
              <w:rPr>
                <w:rFonts w:ascii="Times New Roman" w:hAnsi="Times New Roman"/>
                <w:b/>
                <w:color w:val="auto"/>
                <w:sz w:val="20"/>
                <w:u w:val="single"/>
              </w:rPr>
            </w:pPr>
            <w:r w:rsidRPr="00150E00">
              <w:rPr>
                <w:rFonts w:ascii="Times New Roman" w:hAnsi="Times New Roman"/>
                <w:b/>
                <w:color w:val="auto"/>
                <w:sz w:val="20"/>
                <w:u w:val="single"/>
              </w:rPr>
              <w:t>Stredná priorita</w:t>
            </w:r>
          </w:p>
          <w:p w:rsidR="00043D8B" w:rsidRPr="00F52E69" w:rsidRDefault="00043D8B" w:rsidP="00D15EE0">
            <w:pPr>
              <w:spacing w:after="0"/>
              <w:ind w:left="4" w:right="49"/>
              <w:jc w:val="both"/>
              <w:rPr>
                <w:rFonts w:ascii="Times New Roman" w:hAnsi="Times New Roman"/>
                <w:sz w:val="20"/>
              </w:rPr>
            </w:pPr>
            <w:r>
              <w:rPr>
                <w:rFonts w:ascii="Times New Roman" w:hAnsi="Times New Roman"/>
                <w:sz w:val="20"/>
              </w:rPr>
              <w:t>Rokovania Rady pozastavené vzhľadom na pretrvávajúce rozdielne názory ČS na pridanú hodnotu návrhu a tiež neschválenie správy gesčným výborom EP IMCO dňa 21.3.2018.</w:t>
            </w:r>
          </w:p>
        </w:tc>
      </w:tr>
      <w:tr w:rsidR="00043D8B" w:rsidTr="007864C8">
        <w:tc>
          <w:tcPr>
            <w:tcW w:w="466" w:type="dxa"/>
          </w:tcPr>
          <w:p w:rsidR="00043D8B" w:rsidRDefault="00043D8B" w:rsidP="003847E2">
            <w:pPr>
              <w:spacing w:after="0"/>
            </w:pPr>
            <w:r>
              <w:rPr>
                <w:rFonts w:ascii="Times New Roman" w:hAnsi="Times New Roman"/>
                <w:sz w:val="20"/>
              </w:rPr>
              <w:t>39.</w:t>
            </w:r>
            <w:r>
              <w:rPr>
                <w:rFonts w:ascii="Arial" w:hAnsi="Arial" w:cs="Arial"/>
                <w:sz w:val="20"/>
              </w:rPr>
              <w:t xml:space="preserve"> </w:t>
            </w:r>
            <w:r>
              <w:rPr>
                <w:rFonts w:ascii="Times New Roman" w:hAnsi="Times New Roman"/>
                <w:sz w:val="20"/>
              </w:rPr>
              <w:t xml:space="preserve"> </w:t>
            </w:r>
          </w:p>
        </w:tc>
        <w:tc>
          <w:tcPr>
            <w:tcW w:w="1943" w:type="dxa"/>
          </w:tcPr>
          <w:p w:rsidR="00043D8B" w:rsidRDefault="00043D8B" w:rsidP="003847E2">
            <w:pPr>
              <w:spacing w:after="0"/>
              <w:ind w:left="1"/>
            </w:pPr>
            <w:r>
              <w:rPr>
                <w:rFonts w:ascii="Times New Roman" w:hAnsi="Times New Roman"/>
                <w:sz w:val="20"/>
              </w:rPr>
              <w:t xml:space="preserve">Podmienky a postup, na základe ktorých môže Komisia požiadať podniky o poskytnutie informácií </w:t>
            </w:r>
          </w:p>
        </w:tc>
        <w:tc>
          <w:tcPr>
            <w:tcW w:w="5637" w:type="dxa"/>
          </w:tcPr>
          <w:p w:rsidR="00043D8B" w:rsidRDefault="00043D8B" w:rsidP="00D15EE0">
            <w:pPr>
              <w:spacing w:after="0"/>
              <w:ind w:left="1"/>
              <w:jc w:val="both"/>
            </w:pPr>
            <w:r>
              <w:rPr>
                <w:rFonts w:ascii="Times New Roman" w:hAnsi="Times New Roman"/>
                <w:sz w:val="20"/>
              </w:rPr>
              <w:t>Návrh NARIADENIA EURÓPSKEHO PARLAMENTU A RADY o stanovení podmienok a postupu, na základe ktorých môže Komisia požiadať podniky a združenia podnikov o poskytnutie informácií týkajúcich sa vnútorného trhu a súvisiacich oblastí** COM(2017) 257 final 2017/0087 (COD)  2.5.2017</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MH SR</w:t>
            </w:r>
            <w:r w:rsidRPr="006458BF">
              <w:rPr>
                <w:rFonts w:ascii="Times New Roman" w:hAnsi="Times New Roman"/>
                <w:b/>
                <w:sz w:val="20"/>
              </w:rPr>
              <w:br/>
              <w:t>MŽP SR</w:t>
            </w:r>
            <w:r w:rsidRPr="006458BF">
              <w:rPr>
                <w:rFonts w:ascii="Times New Roman" w:hAnsi="Times New Roman"/>
                <w:b/>
                <w:sz w:val="20"/>
              </w:rPr>
              <w:br/>
              <w:t>MPaRV</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MDaV SR</w:t>
            </w:r>
          </w:p>
        </w:tc>
        <w:tc>
          <w:tcPr>
            <w:tcW w:w="5386" w:type="dxa"/>
          </w:tcPr>
          <w:p w:rsidR="00043D8B" w:rsidRPr="00150E00" w:rsidRDefault="00043D8B" w:rsidP="00D15EE0">
            <w:pPr>
              <w:spacing w:after="0"/>
              <w:ind w:left="4" w:right="49"/>
              <w:jc w:val="both"/>
              <w:rPr>
                <w:rFonts w:ascii="Times New Roman" w:hAnsi="Times New Roman"/>
                <w:b/>
                <w:color w:val="auto"/>
                <w:sz w:val="20"/>
                <w:u w:val="single"/>
              </w:rPr>
            </w:pPr>
            <w:r>
              <w:rPr>
                <w:rFonts w:ascii="Times New Roman" w:hAnsi="Times New Roman"/>
                <w:b/>
                <w:color w:val="auto"/>
                <w:sz w:val="20"/>
                <w:u w:val="single"/>
              </w:rPr>
              <w:t>Nízka</w:t>
            </w:r>
            <w:r w:rsidRPr="00150E00">
              <w:rPr>
                <w:rFonts w:ascii="Times New Roman" w:hAnsi="Times New Roman"/>
                <w:b/>
                <w:color w:val="auto"/>
                <w:sz w:val="20"/>
                <w:u w:val="single"/>
              </w:rPr>
              <w:t xml:space="preserve"> priorita</w:t>
            </w:r>
          </w:p>
          <w:p w:rsidR="00043D8B" w:rsidRPr="00F52E69" w:rsidRDefault="00043D8B" w:rsidP="00D15EE0">
            <w:pPr>
              <w:spacing w:after="0"/>
              <w:ind w:left="4" w:right="49"/>
              <w:jc w:val="both"/>
              <w:rPr>
                <w:rFonts w:ascii="Times New Roman" w:hAnsi="Times New Roman"/>
                <w:sz w:val="20"/>
              </w:rPr>
            </w:pPr>
            <w:r>
              <w:rPr>
                <w:rFonts w:ascii="Times New Roman" w:hAnsi="Times New Roman"/>
                <w:sz w:val="20"/>
              </w:rPr>
              <w:t>Tento návrh od začiatku nemal v Rade podporu, preto sa v diskusiách nedosiahol v podstate žiadny pokrok a nedá sa očakávať, že by sa nejaký dosiahol v ďalšom období. SR s návrhom nemala problém.</w:t>
            </w:r>
          </w:p>
        </w:tc>
      </w:tr>
      <w:tr w:rsidR="00043D8B" w:rsidTr="007864C8">
        <w:tc>
          <w:tcPr>
            <w:tcW w:w="466" w:type="dxa"/>
          </w:tcPr>
          <w:p w:rsidR="00043D8B" w:rsidRDefault="00043D8B" w:rsidP="003847E2">
            <w:pPr>
              <w:spacing w:after="0"/>
            </w:pPr>
            <w:r>
              <w:rPr>
                <w:rFonts w:ascii="Times New Roman" w:hAnsi="Times New Roman"/>
                <w:sz w:val="20"/>
              </w:rPr>
              <w:t>40.</w:t>
            </w:r>
            <w:r>
              <w:rPr>
                <w:rFonts w:ascii="Arial" w:hAnsi="Arial" w:cs="Arial"/>
                <w:sz w:val="20"/>
              </w:rPr>
              <w:t xml:space="preserve"> </w:t>
            </w:r>
            <w:r>
              <w:rPr>
                <w:rFonts w:ascii="Times New Roman" w:hAnsi="Times New Roman"/>
                <w:sz w:val="20"/>
              </w:rPr>
              <w:t xml:space="preserve"> </w:t>
            </w:r>
          </w:p>
          <w:p w:rsidR="00043D8B" w:rsidRDefault="00043D8B" w:rsidP="003847E2">
            <w:pPr>
              <w:spacing w:after="0"/>
              <w:ind w:right="43"/>
              <w:jc w:val="center"/>
            </w:pPr>
            <w:r>
              <w:rPr>
                <w:rFonts w:ascii="Times New Roman" w:hAnsi="Times New Roman"/>
                <w:sz w:val="20"/>
              </w:rPr>
              <w:t xml:space="preserve"> </w:t>
            </w:r>
          </w:p>
        </w:tc>
        <w:tc>
          <w:tcPr>
            <w:tcW w:w="1943" w:type="dxa"/>
          </w:tcPr>
          <w:p w:rsidR="00043D8B" w:rsidRDefault="00043D8B" w:rsidP="003847E2">
            <w:pPr>
              <w:spacing w:after="0"/>
              <w:ind w:left="1"/>
            </w:pPr>
            <w:r>
              <w:rPr>
                <w:rFonts w:ascii="Times New Roman" w:hAnsi="Times New Roman"/>
                <w:sz w:val="20"/>
              </w:rPr>
              <w:t xml:space="preserve">Balík predpisov v oblasti výrobkov </w:t>
            </w:r>
          </w:p>
        </w:tc>
        <w:tc>
          <w:tcPr>
            <w:tcW w:w="5637" w:type="dxa"/>
          </w:tcPr>
          <w:p w:rsidR="00043D8B" w:rsidRPr="008C5015" w:rsidRDefault="00043D8B" w:rsidP="00D15EE0">
            <w:pPr>
              <w:spacing w:after="0"/>
              <w:ind w:left="4" w:right="49"/>
              <w:jc w:val="both"/>
              <w:rPr>
                <w:rFonts w:ascii="Times New Roman" w:hAnsi="Times New Roman"/>
                <w:sz w:val="20"/>
              </w:rPr>
            </w:pPr>
            <w:r>
              <w:rPr>
                <w:rFonts w:ascii="Times New Roman" w:hAnsi="Times New Roman"/>
                <w:sz w:val="20"/>
              </w:rPr>
              <w:t>Návrh NARIADENIA EURÓPSKEHO PARLAMENTU A RADY, ktorým sa stanovujú pravidlá a postupy dodržiavania a presadzovania harmonizačných právnych predpisov Únie týkajúcich sa výrobkov a ktorým sa menia nariadenia Európskeho parlamentu a Rady (EÚ) č. 305/2011, (EÚ) č. 528/2012, (EÚ) 2016/424, (EÚ) 2016/425, (EÚ) 2016/426 a (EÚ) 2017/1369 a smernice Európskeho parlamentu a Rady 2004/42/ES, 2009/48/ES, 2010/35/EÚ,2013/29/EÚ, 2013/53/EÚ,2014/28/EÚ, 2014/29/EÚ, 2014/30/EÚ, 2014/31/EÚ, 2014/32/EÚ, 2014/33/EÚ, 2014/34/EÚ, 2014/35/EÚ, 2014/53/EÚ, 2014/68/EÚ a 2014/90/EÚ** COM(2017) 795 final 2017/0353 (COD)  19. 12. 2017</w:t>
            </w:r>
          </w:p>
        </w:tc>
        <w:tc>
          <w:tcPr>
            <w:tcW w:w="1418" w:type="dxa"/>
          </w:tcPr>
          <w:p w:rsidR="00146393" w:rsidRDefault="00146393" w:rsidP="00D15EE0">
            <w:pPr>
              <w:spacing w:after="0"/>
              <w:ind w:left="4" w:right="49"/>
              <w:jc w:val="both"/>
              <w:rPr>
                <w:rFonts w:ascii="Times New Roman" w:hAnsi="Times New Roman"/>
                <w:b/>
                <w:sz w:val="20"/>
              </w:rPr>
            </w:pPr>
            <w:r w:rsidRPr="006458BF">
              <w:rPr>
                <w:rFonts w:ascii="Times New Roman" w:hAnsi="Times New Roman"/>
                <w:b/>
                <w:sz w:val="20"/>
              </w:rPr>
              <w:t xml:space="preserve">MH SR </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MF SR</w:t>
            </w:r>
          </w:p>
          <w:p w:rsidR="00146393" w:rsidRPr="006458BF" w:rsidRDefault="00146393" w:rsidP="00D15EE0">
            <w:pPr>
              <w:spacing w:after="0"/>
              <w:ind w:left="4" w:right="49"/>
              <w:jc w:val="both"/>
              <w:rPr>
                <w:rFonts w:ascii="Times New Roman" w:hAnsi="Times New Roman"/>
                <w:b/>
                <w:sz w:val="20"/>
              </w:rPr>
            </w:pPr>
            <w:r w:rsidRPr="006458BF">
              <w:rPr>
                <w:rFonts w:ascii="Times New Roman" w:hAnsi="Times New Roman"/>
                <w:b/>
                <w:sz w:val="20"/>
              </w:rPr>
              <w:t>ÚNMS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MŽP SR</w:t>
            </w:r>
            <w:r w:rsidRPr="006458BF">
              <w:rPr>
                <w:rFonts w:ascii="Times New Roman" w:hAnsi="Times New Roman"/>
                <w:b/>
                <w:sz w:val="20"/>
              </w:rPr>
              <w:br/>
              <w:t>MZ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MPSaR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MH SR</w:t>
            </w:r>
            <w:r w:rsidRPr="006458BF">
              <w:rPr>
                <w:rFonts w:ascii="Times New Roman" w:hAnsi="Times New Roman"/>
                <w:b/>
                <w:sz w:val="20"/>
              </w:rPr>
              <w:br/>
              <w:t>MPaRV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MDaV SR</w:t>
            </w:r>
          </w:p>
        </w:tc>
        <w:tc>
          <w:tcPr>
            <w:tcW w:w="5386" w:type="dxa"/>
          </w:tcPr>
          <w:p w:rsidR="00043D8B" w:rsidRPr="00150E00" w:rsidRDefault="00043D8B" w:rsidP="00D15EE0">
            <w:pPr>
              <w:spacing w:after="0"/>
              <w:ind w:left="4" w:right="49"/>
              <w:jc w:val="both"/>
              <w:rPr>
                <w:rFonts w:ascii="Times New Roman" w:hAnsi="Times New Roman"/>
                <w:b/>
                <w:color w:val="auto"/>
                <w:sz w:val="20"/>
                <w:u w:val="single"/>
              </w:rPr>
            </w:pPr>
            <w:r w:rsidRPr="00150E00">
              <w:rPr>
                <w:rFonts w:ascii="Times New Roman" w:hAnsi="Times New Roman"/>
                <w:b/>
                <w:color w:val="auto"/>
                <w:sz w:val="20"/>
                <w:u w:val="single"/>
              </w:rPr>
              <w:t>Stredná priorita</w:t>
            </w:r>
          </w:p>
          <w:p w:rsidR="00043D8B" w:rsidRPr="00F52E69" w:rsidRDefault="00043D8B" w:rsidP="00D15EE0">
            <w:pPr>
              <w:spacing w:after="0"/>
              <w:ind w:left="4" w:right="49"/>
              <w:jc w:val="both"/>
              <w:rPr>
                <w:rFonts w:ascii="Times New Roman" w:hAnsi="Times New Roman"/>
                <w:sz w:val="20"/>
              </w:rPr>
            </w:pPr>
            <w:r>
              <w:rPr>
                <w:rFonts w:ascii="Times New Roman" w:hAnsi="Times New Roman"/>
                <w:sz w:val="20"/>
              </w:rPr>
              <w:t>SR podporuje cieľ návrhu, ktorým je posilnenie právomocí a úloh orgánov dohľadu ČŠ a zabránenie prepustenia nebezpečných výrobkov na trh EÚ. SR má však výrazné problémy s čl.4 (subjekt zodpovedný za súlad výrobku s požiadavkami legislatívy EÚ) pre jeho nepriaznivý dopad na podniky EÚ, hlavne MSP. SR preto nepodporilo mandát pre začatie rokovaní Rady s EP (Coreper 23.11.2018). Očakáva sa skoré dosiahnutie dohody EP a Rady o návrhu, vrátane čl. 4 (ešte v rámci tohto legislatívneho cyklu).</w:t>
            </w:r>
          </w:p>
        </w:tc>
      </w:tr>
      <w:tr w:rsidR="00043D8B" w:rsidTr="007864C8">
        <w:tc>
          <w:tcPr>
            <w:tcW w:w="466" w:type="dxa"/>
          </w:tcPr>
          <w:p w:rsidR="00043D8B" w:rsidRDefault="00043D8B" w:rsidP="003847E2">
            <w:pPr>
              <w:spacing w:after="0"/>
            </w:pPr>
            <w:r>
              <w:rPr>
                <w:rFonts w:ascii="Times New Roman" w:hAnsi="Times New Roman"/>
                <w:sz w:val="20"/>
              </w:rPr>
              <w:t>41.</w:t>
            </w:r>
            <w:r>
              <w:rPr>
                <w:rFonts w:ascii="Arial" w:hAnsi="Arial" w:cs="Arial"/>
                <w:sz w:val="20"/>
              </w:rPr>
              <w:t xml:space="preserve"> </w:t>
            </w:r>
            <w:r>
              <w:rPr>
                <w:rFonts w:ascii="Times New Roman" w:hAnsi="Times New Roman"/>
                <w:sz w:val="20"/>
              </w:rPr>
              <w:t xml:space="preserve"> </w:t>
            </w:r>
          </w:p>
          <w:p w:rsidR="00043D8B" w:rsidRDefault="00043D8B" w:rsidP="003847E2">
            <w:pPr>
              <w:spacing w:after="0"/>
              <w:ind w:right="43"/>
              <w:jc w:val="center"/>
            </w:pPr>
            <w:r>
              <w:rPr>
                <w:rFonts w:ascii="Times New Roman" w:hAnsi="Times New Roman"/>
                <w:sz w:val="20"/>
              </w:rPr>
              <w:t xml:space="preserve"> </w:t>
            </w:r>
          </w:p>
        </w:tc>
        <w:tc>
          <w:tcPr>
            <w:tcW w:w="1943" w:type="dxa"/>
          </w:tcPr>
          <w:p w:rsidR="00043D8B" w:rsidRDefault="00043D8B" w:rsidP="003847E2">
            <w:pPr>
              <w:spacing w:after="0"/>
              <w:ind w:left="1"/>
              <w:jc w:val="both"/>
            </w:pPr>
            <w:r>
              <w:rPr>
                <w:rFonts w:ascii="Times New Roman" w:hAnsi="Times New Roman"/>
                <w:sz w:val="20"/>
              </w:rPr>
              <w:t xml:space="preserve">Balík predpisov v oblasti práva obchodných spoločností </w:t>
            </w:r>
          </w:p>
        </w:tc>
        <w:tc>
          <w:tcPr>
            <w:tcW w:w="5637" w:type="dxa"/>
          </w:tcPr>
          <w:p w:rsidR="00043D8B" w:rsidRPr="008C5015" w:rsidRDefault="00043D8B" w:rsidP="00D15EE0">
            <w:pPr>
              <w:spacing w:after="0"/>
              <w:ind w:left="4" w:right="49"/>
              <w:jc w:val="both"/>
              <w:rPr>
                <w:rFonts w:ascii="Times New Roman" w:hAnsi="Times New Roman"/>
                <w:sz w:val="20"/>
              </w:rPr>
            </w:pPr>
            <w:r>
              <w:rPr>
                <w:rFonts w:ascii="Times New Roman" w:hAnsi="Times New Roman"/>
                <w:sz w:val="20"/>
              </w:rPr>
              <w:t>Návrh SMERNICE EURÓPSKEHO PARLAMENTU A RADY, ktorou sa mení smernica (EÚ) 2017/1132, pokiaľ ide o používanie digitálnych nástrojov a postupov v rámci práva obchodných spoločností** COM(2018) 239 final 2018/0113 (COD)  25. 4. 2018</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MS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MF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MH SR</w:t>
            </w:r>
            <w:r w:rsidRPr="006458BF">
              <w:rPr>
                <w:rFonts w:ascii="Times New Roman" w:hAnsi="Times New Roman"/>
                <w:b/>
                <w:sz w:val="20"/>
              </w:rPr>
              <w:br/>
              <w:t>ÚPVVII</w:t>
            </w:r>
          </w:p>
          <w:p w:rsidR="00043D8B" w:rsidRPr="006458BF" w:rsidRDefault="00043D8B" w:rsidP="00D15EE0">
            <w:pPr>
              <w:spacing w:after="0"/>
              <w:ind w:left="4" w:right="49"/>
              <w:jc w:val="both"/>
              <w:rPr>
                <w:rFonts w:ascii="Times New Roman" w:hAnsi="Times New Roman"/>
                <w:b/>
                <w:sz w:val="20"/>
              </w:rPr>
            </w:pPr>
          </w:p>
        </w:tc>
        <w:tc>
          <w:tcPr>
            <w:tcW w:w="5386" w:type="dxa"/>
          </w:tcPr>
          <w:p w:rsidR="00043D8B" w:rsidRPr="00005488" w:rsidRDefault="00043D8B" w:rsidP="00D15EE0">
            <w:pPr>
              <w:spacing w:after="0"/>
              <w:ind w:left="4" w:right="49"/>
              <w:jc w:val="both"/>
              <w:rPr>
                <w:rFonts w:ascii="Times New Roman" w:hAnsi="Times New Roman"/>
                <w:b/>
                <w:sz w:val="20"/>
                <w:u w:val="single"/>
              </w:rPr>
            </w:pPr>
            <w:r w:rsidRPr="00005488">
              <w:rPr>
                <w:rFonts w:ascii="Times New Roman" w:hAnsi="Times New Roman"/>
                <w:b/>
                <w:sz w:val="20"/>
                <w:u w:val="single"/>
              </w:rPr>
              <w:t>Stredná priorita</w:t>
            </w:r>
          </w:p>
          <w:p w:rsidR="00043D8B" w:rsidRPr="008C5015" w:rsidRDefault="00043D8B" w:rsidP="00D15EE0">
            <w:pPr>
              <w:spacing w:after="0"/>
              <w:ind w:left="4" w:right="49"/>
              <w:jc w:val="both"/>
              <w:rPr>
                <w:rFonts w:ascii="Times New Roman" w:hAnsi="Times New Roman"/>
                <w:sz w:val="20"/>
              </w:rPr>
            </w:pPr>
            <w:r>
              <w:rPr>
                <w:rFonts w:ascii="Times New Roman" w:hAnsi="Times New Roman"/>
                <w:sz w:val="20"/>
              </w:rPr>
              <w:t>SK prijatie návrhu podporuje</w:t>
            </w:r>
          </w:p>
        </w:tc>
      </w:tr>
      <w:tr w:rsidR="00043D8B" w:rsidTr="007864C8">
        <w:tc>
          <w:tcPr>
            <w:tcW w:w="466" w:type="dxa"/>
          </w:tcPr>
          <w:p w:rsidR="00043D8B" w:rsidRDefault="00043D8B" w:rsidP="003847E2">
            <w:pPr>
              <w:spacing w:after="0"/>
            </w:pPr>
          </w:p>
        </w:tc>
        <w:tc>
          <w:tcPr>
            <w:tcW w:w="1943" w:type="dxa"/>
          </w:tcPr>
          <w:p w:rsidR="00043D8B" w:rsidRDefault="00043D8B" w:rsidP="003847E2">
            <w:pPr>
              <w:spacing w:after="0"/>
            </w:pPr>
          </w:p>
        </w:tc>
        <w:tc>
          <w:tcPr>
            <w:tcW w:w="5637" w:type="dxa"/>
          </w:tcPr>
          <w:p w:rsidR="00043D8B" w:rsidRPr="008C5015" w:rsidRDefault="00043D8B" w:rsidP="00D15EE0">
            <w:pPr>
              <w:spacing w:after="0"/>
              <w:ind w:left="4" w:right="49"/>
              <w:jc w:val="both"/>
              <w:rPr>
                <w:rFonts w:ascii="Times New Roman" w:hAnsi="Times New Roman"/>
                <w:sz w:val="20"/>
              </w:rPr>
            </w:pPr>
            <w:r>
              <w:rPr>
                <w:rFonts w:ascii="Times New Roman" w:hAnsi="Times New Roman"/>
                <w:sz w:val="20"/>
              </w:rPr>
              <w:t xml:space="preserve">Návrh SMERNICE EURÓPSKEHO PARLAMENTU A RADY, ktorou sa mení smernica (EÚ) 2017/1132, pokiaľ ide o cezhraničné premeny, zlúčenia alebo splynutia a rozdelenia** COM(2018) 241 final </w:t>
            </w:r>
          </w:p>
          <w:p w:rsidR="00043D8B" w:rsidRPr="008C5015" w:rsidRDefault="00043D8B" w:rsidP="00D15EE0">
            <w:pPr>
              <w:spacing w:after="0"/>
              <w:ind w:left="4" w:right="49"/>
              <w:jc w:val="both"/>
              <w:rPr>
                <w:rFonts w:ascii="Times New Roman" w:hAnsi="Times New Roman"/>
                <w:sz w:val="20"/>
              </w:rPr>
            </w:pPr>
            <w:r>
              <w:rPr>
                <w:rFonts w:ascii="Times New Roman" w:hAnsi="Times New Roman"/>
                <w:sz w:val="20"/>
              </w:rPr>
              <w:t>2018/0114 (COD)  25. 4. 2018</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MS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MH SR</w:t>
            </w:r>
            <w:r w:rsidRPr="006458BF">
              <w:rPr>
                <w:rFonts w:ascii="Times New Roman" w:hAnsi="Times New Roman"/>
                <w:b/>
                <w:sz w:val="20"/>
              </w:rPr>
              <w:br/>
              <w:t>MV SR</w:t>
            </w:r>
          </w:p>
        </w:tc>
        <w:tc>
          <w:tcPr>
            <w:tcW w:w="5386" w:type="dxa"/>
          </w:tcPr>
          <w:p w:rsidR="00043D8B" w:rsidRPr="00005488" w:rsidRDefault="00043D8B" w:rsidP="00D15EE0">
            <w:pPr>
              <w:spacing w:after="0"/>
              <w:ind w:left="4" w:right="49"/>
              <w:jc w:val="both"/>
              <w:rPr>
                <w:rFonts w:ascii="Times New Roman" w:hAnsi="Times New Roman"/>
                <w:b/>
                <w:sz w:val="20"/>
                <w:u w:val="single"/>
              </w:rPr>
            </w:pPr>
            <w:r w:rsidRPr="00005488">
              <w:rPr>
                <w:rFonts w:ascii="Times New Roman" w:hAnsi="Times New Roman"/>
                <w:b/>
                <w:sz w:val="20"/>
                <w:u w:val="single"/>
              </w:rPr>
              <w:t>Stredná priorita</w:t>
            </w:r>
          </w:p>
          <w:p w:rsidR="00043D8B" w:rsidRPr="008C5015" w:rsidRDefault="00043D8B" w:rsidP="00D15EE0">
            <w:pPr>
              <w:spacing w:after="0"/>
              <w:ind w:left="4" w:right="49"/>
              <w:jc w:val="both"/>
              <w:rPr>
                <w:rFonts w:ascii="Times New Roman" w:hAnsi="Times New Roman"/>
                <w:sz w:val="20"/>
              </w:rPr>
            </w:pPr>
            <w:r>
              <w:rPr>
                <w:rFonts w:ascii="Times New Roman" w:hAnsi="Times New Roman"/>
                <w:sz w:val="20"/>
              </w:rPr>
              <w:t>SR prijatie návrhu podporuje</w:t>
            </w:r>
          </w:p>
        </w:tc>
      </w:tr>
      <w:tr w:rsidR="00043D8B" w:rsidTr="007864C8">
        <w:tc>
          <w:tcPr>
            <w:tcW w:w="466" w:type="dxa"/>
          </w:tcPr>
          <w:p w:rsidR="00043D8B" w:rsidRDefault="00043D8B" w:rsidP="003847E2">
            <w:pPr>
              <w:spacing w:after="0"/>
            </w:pPr>
            <w:r>
              <w:rPr>
                <w:rFonts w:ascii="Times New Roman" w:hAnsi="Times New Roman"/>
                <w:sz w:val="20"/>
              </w:rPr>
              <w:t>42.</w:t>
            </w:r>
            <w:r>
              <w:rPr>
                <w:rFonts w:ascii="Arial" w:hAnsi="Arial" w:cs="Arial"/>
                <w:sz w:val="20"/>
              </w:rPr>
              <w:t xml:space="preserve"> </w:t>
            </w:r>
            <w:r>
              <w:rPr>
                <w:rFonts w:ascii="Times New Roman" w:hAnsi="Times New Roman"/>
                <w:sz w:val="20"/>
              </w:rPr>
              <w:t xml:space="preserve"> </w:t>
            </w:r>
          </w:p>
        </w:tc>
        <w:tc>
          <w:tcPr>
            <w:tcW w:w="1943" w:type="dxa"/>
          </w:tcPr>
          <w:p w:rsidR="00043D8B" w:rsidRDefault="00043D8B" w:rsidP="003847E2">
            <w:pPr>
              <w:spacing w:after="0"/>
              <w:ind w:left="1" w:right="279"/>
            </w:pPr>
            <w:r>
              <w:rPr>
                <w:rFonts w:ascii="Times New Roman" w:hAnsi="Times New Roman"/>
                <w:sz w:val="20"/>
              </w:rPr>
              <w:t xml:space="preserve">Postupy platobnej neschopnosti a oddlženia </w:t>
            </w:r>
          </w:p>
        </w:tc>
        <w:tc>
          <w:tcPr>
            <w:tcW w:w="5637" w:type="dxa"/>
          </w:tcPr>
          <w:p w:rsidR="00043D8B" w:rsidRPr="008C5015" w:rsidRDefault="00043D8B" w:rsidP="00D15EE0">
            <w:pPr>
              <w:spacing w:after="0"/>
              <w:ind w:left="4" w:right="49"/>
              <w:jc w:val="both"/>
              <w:rPr>
                <w:rFonts w:ascii="Times New Roman" w:hAnsi="Times New Roman"/>
                <w:sz w:val="20"/>
              </w:rPr>
            </w:pPr>
            <w:r>
              <w:rPr>
                <w:rFonts w:ascii="Times New Roman" w:hAnsi="Times New Roman"/>
                <w:sz w:val="20"/>
              </w:rPr>
              <w:t>Návrh SMERNICE EURÓPSKEHO PARLAMENTU A RADY o rámcoch preventívnej reštrukturalizácie, druhej šanci a opatreniach na zvýšenie účinnosti postupov reštrukturalizácie, platobnej neschopnosti a oddlženia a o zmene smernice 2012/30/EÚ** COM(2016) 723 final 2016/0359 (COD)  22. 11. 2016</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MS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MH SR</w:t>
            </w:r>
            <w:r w:rsidRPr="006458BF">
              <w:rPr>
                <w:rFonts w:ascii="Times New Roman" w:hAnsi="Times New Roman"/>
                <w:b/>
                <w:sz w:val="20"/>
              </w:rPr>
              <w:br/>
              <w:t>MV SR</w:t>
            </w:r>
          </w:p>
        </w:tc>
        <w:tc>
          <w:tcPr>
            <w:tcW w:w="5386" w:type="dxa"/>
          </w:tcPr>
          <w:p w:rsidR="00043D8B" w:rsidRPr="00005488" w:rsidRDefault="00043D8B" w:rsidP="00D15EE0">
            <w:pPr>
              <w:spacing w:after="0"/>
              <w:ind w:left="4" w:right="49"/>
              <w:jc w:val="both"/>
              <w:rPr>
                <w:rFonts w:ascii="Times New Roman" w:hAnsi="Times New Roman"/>
                <w:b/>
                <w:sz w:val="20"/>
                <w:u w:val="single"/>
              </w:rPr>
            </w:pPr>
            <w:r w:rsidRPr="00005488">
              <w:rPr>
                <w:rFonts w:ascii="Times New Roman" w:hAnsi="Times New Roman"/>
                <w:b/>
                <w:sz w:val="20"/>
                <w:u w:val="single"/>
              </w:rPr>
              <w:t>Stredná priorita</w:t>
            </w:r>
          </w:p>
          <w:p w:rsidR="00043D8B" w:rsidRPr="008C5015" w:rsidRDefault="00043D8B" w:rsidP="00D15EE0">
            <w:pPr>
              <w:spacing w:after="0"/>
              <w:ind w:left="4" w:right="49"/>
              <w:jc w:val="both"/>
              <w:rPr>
                <w:rFonts w:ascii="Times New Roman" w:hAnsi="Times New Roman"/>
                <w:sz w:val="20"/>
              </w:rPr>
            </w:pPr>
            <w:r>
              <w:rPr>
                <w:rFonts w:ascii="Times New Roman" w:hAnsi="Times New Roman"/>
                <w:sz w:val="20"/>
              </w:rPr>
              <w:t>SR prijatie návrhu podporuje</w:t>
            </w:r>
          </w:p>
        </w:tc>
      </w:tr>
      <w:tr w:rsidR="00043D8B" w:rsidTr="007864C8">
        <w:tc>
          <w:tcPr>
            <w:tcW w:w="466" w:type="dxa"/>
          </w:tcPr>
          <w:p w:rsidR="00043D8B" w:rsidRDefault="00043D8B" w:rsidP="003847E2">
            <w:pPr>
              <w:spacing w:after="0"/>
            </w:pPr>
            <w:r>
              <w:rPr>
                <w:rFonts w:ascii="Times New Roman" w:hAnsi="Times New Roman"/>
                <w:sz w:val="20"/>
              </w:rPr>
              <w:t>43.</w:t>
            </w:r>
            <w:r>
              <w:rPr>
                <w:rFonts w:ascii="Arial" w:hAnsi="Arial" w:cs="Arial"/>
                <w:sz w:val="20"/>
              </w:rPr>
              <w:t xml:space="preserve"> </w:t>
            </w:r>
            <w:r>
              <w:rPr>
                <w:rFonts w:ascii="Times New Roman" w:hAnsi="Times New Roman"/>
                <w:sz w:val="20"/>
              </w:rPr>
              <w:t xml:space="preserve"> </w:t>
            </w:r>
          </w:p>
        </w:tc>
        <w:tc>
          <w:tcPr>
            <w:tcW w:w="1943" w:type="dxa"/>
          </w:tcPr>
          <w:p w:rsidR="00043D8B" w:rsidRDefault="00043D8B" w:rsidP="003847E2">
            <w:pPr>
              <w:spacing w:after="0" w:line="248" w:lineRule="auto"/>
              <w:ind w:left="1" w:right="76"/>
            </w:pPr>
            <w:r>
              <w:rPr>
                <w:rFonts w:ascii="Times New Roman" w:hAnsi="Times New Roman"/>
                <w:sz w:val="20"/>
              </w:rPr>
              <w:t xml:space="preserve"> Právne predpisy týkajúce sa typového schválenia EÚ, pokiaľ ide o vystúpenie Spojeného kráľovstva z Únie </w:t>
            </w:r>
          </w:p>
          <w:p w:rsidR="00043D8B" w:rsidRDefault="00043D8B" w:rsidP="003847E2">
            <w:pPr>
              <w:spacing w:after="0"/>
              <w:ind w:left="1"/>
            </w:pPr>
            <w:r>
              <w:rPr>
                <w:rFonts w:ascii="Times New Roman" w:hAnsi="Times New Roman"/>
                <w:b/>
                <w:sz w:val="20"/>
              </w:rPr>
              <w:t>(pripravenosť na brexit)</w:t>
            </w:r>
            <w:r>
              <w:rPr>
                <w:rFonts w:ascii="Times New Roman" w:hAnsi="Times New Roman"/>
                <w:sz w:val="20"/>
              </w:rPr>
              <w:t xml:space="preserve"> </w:t>
            </w:r>
          </w:p>
        </w:tc>
        <w:tc>
          <w:tcPr>
            <w:tcW w:w="5637" w:type="dxa"/>
          </w:tcPr>
          <w:p w:rsidR="00043D8B" w:rsidRDefault="00043D8B" w:rsidP="00D15EE0">
            <w:pPr>
              <w:spacing w:after="0"/>
              <w:ind w:left="1"/>
              <w:jc w:val="both"/>
            </w:pPr>
            <w:r>
              <w:rPr>
                <w:rFonts w:ascii="Times New Roman" w:hAnsi="Times New Roman"/>
                <w:sz w:val="20"/>
              </w:rPr>
              <w:t>Návrh NARIADENIA EURÓPSKEHO PARLAMENTU A RADY, ktorým sa dopĺňajú právne predpisy EÚ týkajúce sa typového schvaľovania, pokiaľ ide o vystúpenie Spojeného kráľovstva z Únie COM(2018) 397 final 2018/0220 (COD)  4. 6. 2018</w:t>
            </w:r>
          </w:p>
        </w:tc>
        <w:tc>
          <w:tcPr>
            <w:tcW w:w="1418" w:type="dxa"/>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MDaV SR</w:t>
            </w:r>
          </w:p>
        </w:tc>
        <w:tc>
          <w:tcPr>
            <w:tcW w:w="5386" w:type="dxa"/>
          </w:tcPr>
          <w:p w:rsidR="00043D8B" w:rsidRPr="00005488" w:rsidRDefault="00043D8B" w:rsidP="00D15EE0">
            <w:pPr>
              <w:spacing w:after="0"/>
              <w:ind w:left="4" w:right="49"/>
              <w:jc w:val="both"/>
              <w:rPr>
                <w:rFonts w:ascii="Times New Roman" w:hAnsi="Times New Roman"/>
                <w:b/>
                <w:sz w:val="20"/>
                <w:u w:val="single"/>
              </w:rPr>
            </w:pPr>
            <w:r>
              <w:rPr>
                <w:rFonts w:ascii="Times New Roman" w:hAnsi="Times New Roman"/>
                <w:b/>
                <w:sz w:val="20"/>
                <w:u w:val="single"/>
              </w:rPr>
              <w:t xml:space="preserve">Vysoká </w:t>
            </w:r>
            <w:r w:rsidRPr="00005488">
              <w:rPr>
                <w:rFonts w:ascii="Times New Roman" w:hAnsi="Times New Roman"/>
                <w:b/>
                <w:sz w:val="20"/>
                <w:u w:val="single"/>
              </w:rPr>
              <w:t>priorita</w:t>
            </w:r>
          </w:p>
          <w:p w:rsidR="00043D8B" w:rsidRPr="00F62041" w:rsidRDefault="00043D8B" w:rsidP="00D15EE0">
            <w:pPr>
              <w:spacing w:after="0"/>
              <w:jc w:val="both"/>
              <w:rPr>
                <w:rFonts w:ascii="Times New Roman" w:hAnsi="Times New Roman"/>
                <w:sz w:val="20"/>
              </w:rPr>
            </w:pPr>
            <w:r>
              <w:rPr>
                <w:rFonts w:ascii="Times New Roman" w:hAnsi="Times New Roman"/>
                <w:sz w:val="20"/>
              </w:rPr>
              <w:t xml:space="preserve">Smernicou Európskeho parlamentu a Rady 2007/46/ES, nariadeniami Európskeho parlamentu a Rady (EÚ) č. 167/2013, (EÚ) č. 168/2013 a (EÚ) 2016/1628 bol vytvorený komplexný legislatívny rámec EÚ pre typové schvaľovanie. Tieto akty ponechávajú výrobcom možnosť výberu úradu, ktorý im má udeliť typové schválenie, čo im </w:t>
            </w:r>
            <w:r w:rsidR="00833647">
              <w:rPr>
                <w:rFonts w:ascii="Times New Roman" w:hAnsi="Times New Roman"/>
                <w:sz w:val="20"/>
              </w:rPr>
              <w:t xml:space="preserve">umožňuje uviesť výrobky na trh vo všetkých členských štátoch. </w:t>
            </w:r>
            <w:r>
              <w:rPr>
                <w:rFonts w:ascii="Times New Roman" w:hAnsi="Times New Roman"/>
                <w:sz w:val="20"/>
              </w:rPr>
              <w:t>Vystúpenie Spojeného kráľovstva z Únie by v dôsledku absencie akýchkoľvek osobitných ustanovení malo za následok, že typové schválenia, ktoré predtým udelil schvaľovací úrad Spojeného kráľovstva, by už nemohli zabezpečiť prístup na trh Únie. Toto nariadenie by žiadnym spôsobom nemalo zabraňovať výrobcovi vozidla,aby dobrovoľne požiadal o schválenie typu vozidla Úniou, ktoré bolo predtým schválené v Spojenom kráľovstve v súlade s určitými požiadavkami uplatniteľnými na nové typy systémov, komponentov alebo samostatných technických jednotiek, v prípadoch, kedy je vozidlo inak aj naďalej totožné s vozidlom schváleným v Spojenom kráľovstve a úplne nové typy by patriť do rozsahu pôsobnosti tohto nariadenia nemali. SR návrh  podporuje.</w:t>
            </w:r>
          </w:p>
        </w:tc>
      </w:tr>
    </w:tbl>
    <w:p w:rsidR="00043D8B" w:rsidRPr="00043D8B" w:rsidRDefault="00043D8B" w:rsidP="003847E2">
      <w:pPr>
        <w:spacing w:after="0"/>
        <w:rPr>
          <w:vanish/>
        </w:rPr>
      </w:pPr>
    </w:p>
    <w:tbl>
      <w:tblPr>
        <w:tblStyle w:val="ablnaChar"/>
        <w:tblW w:w="14826" w:type="dxa"/>
        <w:tblCellMar>
          <w:top w:w="64" w:type="dxa"/>
          <w:left w:w="83" w:type="dxa"/>
          <w:right w:w="22" w:type="dxa"/>
        </w:tblCellMar>
        <w:tblLook w:val="04A0" w:firstRow="1" w:lastRow="0" w:firstColumn="1" w:lastColumn="0" w:noHBand="0" w:noVBand="1"/>
      </w:tblPr>
      <w:tblGrid>
        <w:gridCol w:w="420"/>
        <w:gridCol w:w="2012"/>
        <w:gridCol w:w="4657"/>
        <w:gridCol w:w="992"/>
        <w:gridCol w:w="507"/>
        <w:gridCol w:w="911"/>
        <w:gridCol w:w="5327"/>
      </w:tblGrid>
      <w:tr w:rsidR="00043D8B" w:rsidTr="00B1660F">
        <w:trPr>
          <w:trHeight w:val="343"/>
        </w:trPr>
        <w:tc>
          <w:tcPr>
            <w:tcW w:w="8081" w:type="dxa"/>
            <w:gridSpan w:val="4"/>
            <w:shd w:val="clear" w:color="auto" w:fill="92D050"/>
          </w:tcPr>
          <w:p w:rsidR="00043D8B" w:rsidRPr="008C5015" w:rsidRDefault="00043D8B" w:rsidP="003847E2">
            <w:pPr>
              <w:spacing w:after="0"/>
              <w:ind w:left="4" w:right="49"/>
              <w:rPr>
                <w:rFonts w:ascii="Times New Roman" w:hAnsi="Times New Roman"/>
                <w:b/>
                <w:sz w:val="20"/>
              </w:rPr>
            </w:pPr>
            <w:r w:rsidRPr="008C5015">
              <w:rPr>
                <w:rFonts w:ascii="Times New Roman" w:hAnsi="Times New Roman"/>
                <w:b/>
                <w:sz w:val="20"/>
              </w:rPr>
              <w:t xml:space="preserve">Hlbšia a spravodlivejšia hospodárska a menová únia </w:t>
            </w:r>
          </w:p>
        </w:tc>
        <w:tc>
          <w:tcPr>
            <w:tcW w:w="1418" w:type="dxa"/>
            <w:gridSpan w:val="2"/>
            <w:tcBorders>
              <w:left w:val="nil"/>
            </w:tcBorders>
            <w:shd w:val="clear" w:color="auto" w:fill="92D050"/>
          </w:tcPr>
          <w:p w:rsidR="00043D8B" w:rsidRPr="008C5015" w:rsidRDefault="00043D8B" w:rsidP="003847E2">
            <w:pPr>
              <w:spacing w:after="0"/>
              <w:ind w:left="4" w:right="49"/>
              <w:rPr>
                <w:rFonts w:ascii="Times New Roman" w:hAnsi="Times New Roman"/>
                <w:sz w:val="20"/>
              </w:rPr>
            </w:pPr>
          </w:p>
        </w:tc>
        <w:tc>
          <w:tcPr>
            <w:tcW w:w="5327" w:type="dxa"/>
            <w:shd w:val="clear" w:color="auto" w:fill="92D050"/>
          </w:tcPr>
          <w:p w:rsidR="00043D8B" w:rsidRPr="008C5015" w:rsidRDefault="00043D8B" w:rsidP="003847E2">
            <w:pPr>
              <w:spacing w:after="0"/>
              <w:ind w:left="4" w:right="49"/>
              <w:rPr>
                <w:rFonts w:ascii="Times New Roman" w:hAnsi="Times New Roman"/>
                <w:sz w:val="20"/>
              </w:rPr>
            </w:pPr>
          </w:p>
        </w:tc>
      </w:tr>
      <w:tr w:rsidR="00043D8B" w:rsidTr="00B1660F">
        <w:trPr>
          <w:trHeight w:val="343"/>
        </w:trPr>
        <w:tc>
          <w:tcPr>
            <w:tcW w:w="8081" w:type="dxa"/>
            <w:gridSpan w:val="4"/>
            <w:shd w:val="clear" w:color="auto" w:fill="92D050"/>
          </w:tcPr>
          <w:p w:rsidR="00043D8B" w:rsidRPr="008C5015" w:rsidRDefault="00043D8B" w:rsidP="00B1660F">
            <w:pPr>
              <w:spacing w:after="0"/>
              <w:ind w:right="49"/>
              <w:rPr>
                <w:rFonts w:ascii="Times New Roman" w:hAnsi="Times New Roman"/>
                <w:b/>
                <w:sz w:val="20"/>
              </w:rPr>
            </w:pPr>
          </w:p>
        </w:tc>
        <w:tc>
          <w:tcPr>
            <w:tcW w:w="1418" w:type="dxa"/>
            <w:gridSpan w:val="2"/>
            <w:tcBorders>
              <w:left w:val="nil"/>
            </w:tcBorders>
            <w:shd w:val="clear" w:color="auto" w:fill="92D050"/>
          </w:tcPr>
          <w:p w:rsidR="00043D8B" w:rsidRPr="008C5015" w:rsidRDefault="00043D8B" w:rsidP="003847E2">
            <w:pPr>
              <w:spacing w:after="0"/>
              <w:ind w:left="4" w:right="49"/>
              <w:rPr>
                <w:rFonts w:ascii="Times New Roman" w:hAnsi="Times New Roman"/>
                <w:sz w:val="20"/>
              </w:rPr>
            </w:pPr>
          </w:p>
        </w:tc>
        <w:tc>
          <w:tcPr>
            <w:tcW w:w="5327" w:type="dxa"/>
            <w:shd w:val="clear" w:color="auto" w:fill="92D050"/>
          </w:tcPr>
          <w:p w:rsidR="00043D8B" w:rsidRPr="008C5015" w:rsidRDefault="00043D8B" w:rsidP="003847E2">
            <w:pPr>
              <w:spacing w:after="0"/>
              <w:ind w:left="4" w:right="49"/>
              <w:rPr>
                <w:rFonts w:ascii="Times New Roman" w:hAnsi="Times New Roman"/>
                <w:sz w:val="20"/>
              </w:rPr>
            </w:pPr>
          </w:p>
        </w:tc>
      </w:tr>
      <w:tr w:rsidR="00043D8B" w:rsidTr="00E63E2A">
        <w:trPr>
          <w:trHeight w:val="903"/>
        </w:trPr>
        <w:tc>
          <w:tcPr>
            <w:tcW w:w="420" w:type="dxa"/>
            <w:tcBorders>
              <w:top w:val="single" w:sz="4" w:space="0" w:color="000000"/>
              <w:left w:val="single" w:sz="4" w:space="0" w:color="000000"/>
              <w:bottom w:val="single" w:sz="4" w:space="0" w:color="000000"/>
              <w:right w:val="single" w:sz="4" w:space="0" w:color="000000"/>
            </w:tcBorders>
          </w:tcPr>
          <w:p w:rsidR="00043D8B" w:rsidRPr="008C5015" w:rsidRDefault="00043D8B" w:rsidP="00D15EE0">
            <w:pPr>
              <w:spacing w:after="0"/>
              <w:ind w:left="4" w:right="49"/>
              <w:jc w:val="both"/>
              <w:rPr>
                <w:rFonts w:ascii="Times New Roman" w:hAnsi="Times New Roman"/>
                <w:sz w:val="20"/>
              </w:rPr>
            </w:pPr>
            <w:r>
              <w:rPr>
                <w:rFonts w:ascii="Times New Roman" w:hAnsi="Times New Roman"/>
                <w:sz w:val="20"/>
              </w:rPr>
              <w:t>44.</w:t>
            </w:r>
            <w:r w:rsidRPr="008C5015">
              <w:rPr>
                <w:rFonts w:ascii="Times New Roman" w:hAnsi="Times New Roman"/>
                <w:sz w:val="20"/>
              </w:rPr>
              <w:t xml:space="preserve"> </w:t>
            </w:r>
            <w:r>
              <w:rPr>
                <w:rFonts w:ascii="Times New Roman" w:hAnsi="Times New Roman"/>
                <w:sz w:val="20"/>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043D8B" w:rsidRPr="008C5015" w:rsidRDefault="00043D8B" w:rsidP="00D15EE0">
            <w:pPr>
              <w:spacing w:after="0"/>
              <w:ind w:left="4" w:right="49"/>
              <w:jc w:val="both"/>
              <w:rPr>
                <w:rFonts w:ascii="Times New Roman" w:hAnsi="Times New Roman"/>
                <w:sz w:val="20"/>
              </w:rPr>
            </w:pPr>
            <w:r>
              <w:rPr>
                <w:rFonts w:ascii="Times New Roman" w:hAnsi="Times New Roman"/>
                <w:sz w:val="20"/>
              </w:rPr>
              <w:t xml:space="preserve">Cenné papiere zabezpečené štátnymi dlhopismi </w:t>
            </w:r>
          </w:p>
        </w:tc>
        <w:tc>
          <w:tcPr>
            <w:tcW w:w="4657" w:type="dxa"/>
            <w:tcBorders>
              <w:top w:val="single" w:sz="4" w:space="0" w:color="000000"/>
              <w:left w:val="single" w:sz="4" w:space="0" w:color="000000"/>
              <w:bottom w:val="single" w:sz="4" w:space="0" w:color="000000"/>
              <w:right w:val="single" w:sz="4" w:space="0" w:color="000000"/>
            </w:tcBorders>
          </w:tcPr>
          <w:p w:rsidR="00043D8B" w:rsidRPr="008C5015" w:rsidRDefault="00043D8B" w:rsidP="00D15EE0">
            <w:pPr>
              <w:spacing w:after="0"/>
              <w:ind w:left="4" w:right="49"/>
              <w:jc w:val="both"/>
              <w:rPr>
                <w:rFonts w:ascii="Times New Roman" w:hAnsi="Times New Roman"/>
                <w:sz w:val="20"/>
              </w:rPr>
            </w:pPr>
            <w:r>
              <w:rPr>
                <w:rFonts w:ascii="Times New Roman" w:hAnsi="Times New Roman"/>
                <w:sz w:val="20"/>
              </w:rPr>
              <w:t>Návrh NARIADENIA EURÓPSKEHO PARLAMENTU A RADY o cenných papieroch zabezpečených štátnymi dlhopismi* COM(2018) 339 final 2018/0171 (COD)  24. 5. 2018</w:t>
            </w:r>
          </w:p>
        </w:tc>
        <w:tc>
          <w:tcPr>
            <w:tcW w:w="1499" w:type="dxa"/>
            <w:gridSpan w:val="2"/>
            <w:tcBorders>
              <w:top w:val="single" w:sz="4" w:space="0" w:color="000000"/>
              <w:left w:val="single" w:sz="4" w:space="0" w:color="000000"/>
              <w:bottom w:val="single" w:sz="4" w:space="0" w:color="000000"/>
              <w:right w:val="single" w:sz="4" w:space="0" w:color="000000"/>
            </w:tcBorders>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MF SR</w:t>
            </w:r>
          </w:p>
        </w:tc>
        <w:tc>
          <w:tcPr>
            <w:tcW w:w="6238" w:type="dxa"/>
            <w:gridSpan w:val="2"/>
            <w:tcBorders>
              <w:top w:val="single" w:sz="4" w:space="0" w:color="000000"/>
              <w:left w:val="single" w:sz="4" w:space="0" w:color="000000"/>
              <w:bottom w:val="single" w:sz="4" w:space="0" w:color="000000"/>
              <w:right w:val="single" w:sz="4" w:space="0" w:color="000000"/>
            </w:tcBorders>
          </w:tcPr>
          <w:p w:rsidR="00043D8B" w:rsidRPr="00DB1FAA" w:rsidRDefault="00043D8B" w:rsidP="00D15EE0">
            <w:pPr>
              <w:spacing w:after="0"/>
              <w:ind w:left="4" w:right="49"/>
              <w:jc w:val="both"/>
              <w:rPr>
                <w:rFonts w:ascii="Times New Roman" w:hAnsi="Times New Roman"/>
                <w:b/>
                <w:bCs/>
                <w:sz w:val="20"/>
                <w:szCs w:val="20"/>
                <w:u w:val="single"/>
              </w:rPr>
            </w:pPr>
            <w:r>
              <w:rPr>
                <w:rFonts w:ascii="Times New Roman" w:hAnsi="Times New Roman"/>
                <w:b/>
                <w:bCs/>
                <w:sz w:val="20"/>
                <w:szCs w:val="20"/>
                <w:u w:val="single"/>
              </w:rPr>
              <w:t xml:space="preserve">Stredná </w:t>
            </w:r>
            <w:r w:rsidRPr="00DB1FAA">
              <w:rPr>
                <w:rFonts w:ascii="Times New Roman" w:hAnsi="Times New Roman"/>
                <w:b/>
                <w:bCs/>
                <w:sz w:val="20"/>
                <w:szCs w:val="20"/>
                <w:u w:val="single"/>
              </w:rPr>
              <w:t xml:space="preserve"> priorita </w:t>
            </w:r>
          </w:p>
          <w:p w:rsidR="00043D8B" w:rsidRPr="00DB1FAA" w:rsidRDefault="00043D8B" w:rsidP="00D15EE0">
            <w:pPr>
              <w:spacing w:after="0"/>
              <w:ind w:left="4" w:right="49"/>
              <w:jc w:val="both"/>
              <w:rPr>
                <w:rFonts w:ascii="Times New Roman" w:hAnsi="Times New Roman"/>
                <w:sz w:val="20"/>
                <w:szCs w:val="20"/>
              </w:rPr>
            </w:pPr>
            <w:r>
              <w:rPr>
                <w:rFonts w:ascii="Times New Roman" w:hAnsi="Times New Roman"/>
                <w:sz w:val="20"/>
                <w:szCs w:val="20"/>
              </w:rPr>
              <w:t xml:space="preserve">SR </w:t>
            </w:r>
            <w:r w:rsidRPr="00DB1FAA">
              <w:rPr>
                <w:rFonts w:ascii="Times New Roman" w:hAnsi="Times New Roman"/>
                <w:sz w:val="20"/>
                <w:szCs w:val="20"/>
              </w:rPr>
              <w:t>súhlasí s potrebou zmierniť prepojenie bankového sektora a štátov a takisto aj s potrebou dostatočného objemu vysoko kvalitných aktív.  Aktuálny návrh nariadenia o cenných papieroch zabezpečených štátnymi dlhopismi (SBBS) má viaceré nedostatky a preto by mal byť vo všeobecnosti zaujatý opatrný prístup k predloženému návrhu nariadenia a taktiež aj v rámci diskusií o ňom.</w:t>
            </w:r>
            <w:r>
              <w:rPr>
                <w:rFonts w:ascii="Times New Roman" w:hAnsi="Times New Roman"/>
                <w:sz w:val="20"/>
                <w:szCs w:val="20"/>
              </w:rPr>
              <w:t xml:space="preserve"> SR </w:t>
            </w:r>
            <w:r w:rsidRPr="00DB1FAA">
              <w:rPr>
                <w:rFonts w:ascii="Times New Roman" w:hAnsi="Times New Roman"/>
                <w:sz w:val="20"/>
                <w:szCs w:val="20"/>
              </w:rPr>
              <w:t xml:space="preserve">bude </w:t>
            </w:r>
            <w:r>
              <w:rPr>
                <w:rFonts w:ascii="Times New Roman" w:hAnsi="Times New Roman"/>
                <w:sz w:val="20"/>
                <w:szCs w:val="20"/>
              </w:rPr>
              <w:t>presadzovať</w:t>
            </w:r>
            <w:r w:rsidRPr="00DB1FAA">
              <w:rPr>
                <w:rFonts w:ascii="Times New Roman" w:hAnsi="Times New Roman"/>
                <w:sz w:val="20"/>
                <w:szCs w:val="20"/>
              </w:rPr>
              <w:t xml:space="preserve"> formuláciu ustanovení, ktoré prispejú k jednoduchej a správnej aplikácii daného nariadenia, eliminácii súvisiacej administratívnej a vykazovacej záťaže a vytvoreniu efektívneho trhu s  nástrojmi SBBS pri zachovaní adekvátnej ochrany investorov, a to v kontexte správneho fungovania kapitálových trhov a finančnej stability.</w:t>
            </w:r>
          </w:p>
        </w:tc>
      </w:tr>
      <w:tr w:rsidR="00043D8B" w:rsidTr="00E63E2A">
        <w:trPr>
          <w:trHeight w:val="871"/>
        </w:trPr>
        <w:tc>
          <w:tcPr>
            <w:tcW w:w="420"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jc w:val="both"/>
            </w:pPr>
            <w:r>
              <w:rPr>
                <w:rFonts w:ascii="Times New Roman" w:hAnsi="Times New Roman"/>
                <w:sz w:val="20"/>
              </w:rPr>
              <w:t>45.</w:t>
            </w:r>
            <w:r>
              <w:rPr>
                <w:rFonts w:ascii="Arial" w:hAnsi="Arial" w:cs="Arial"/>
                <w:sz w:val="20"/>
              </w:rPr>
              <w:t xml:space="preserve"> </w:t>
            </w:r>
            <w:r>
              <w:rPr>
                <w:rFonts w:ascii="Times New Roman" w:hAnsi="Times New Roman"/>
                <w:sz w:val="20"/>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 xml:space="preserve">Správcovia úverov, nákupcovia úverov a vymáhanie kolaterálu </w:t>
            </w:r>
          </w:p>
        </w:tc>
        <w:tc>
          <w:tcPr>
            <w:tcW w:w="4657"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 xml:space="preserve">Návrh SMERNICE EURÓPSKEHO PARLAMENTU A RADY o správcoch úverov, nákupcoch úverov a vymáhaní kolaterálu** COM(2018) 135 final </w:t>
            </w:r>
          </w:p>
          <w:p w:rsidR="00043D8B" w:rsidRDefault="00043D8B" w:rsidP="00D15EE0">
            <w:pPr>
              <w:spacing w:after="0"/>
              <w:ind w:left="1"/>
              <w:jc w:val="both"/>
            </w:pPr>
            <w:r>
              <w:rPr>
                <w:rFonts w:ascii="Times New Roman" w:hAnsi="Times New Roman"/>
                <w:sz w:val="20"/>
              </w:rPr>
              <w:t>2018/0063 (COD)  14. 3. 2018</w:t>
            </w:r>
          </w:p>
        </w:tc>
        <w:tc>
          <w:tcPr>
            <w:tcW w:w="1499" w:type="dxa"/>
            <w:gridSpan w:val="2"/>
            <w:tcBorders>
              <w:top w:val="single" w:sz="4" w:space="0" w:color="000000"/>
              <w:left w:val="single" w:sz="4" w:space="0" w:color="000000"/>
              <w:bottom w:val="single" w:sz="4" w:space="0" w:color="000000"/>
              <w:right w:val="single" w:sz="4" w:space="0" w:color="000000"/>
            </w:tcBorders>
          </w:tcPr>
          <w:p w:rsidR="00043D8B" w:rsidRPr="006458BF" w:rsidRDefault="00043D8B" w:rsidP="007864C8">
            <w:pPr>
              <w:spacing w:after="0"/>
              <w:ind w:left="4" w:right="49"/>
              <w:rPr>
                <w:rFonts w:ascii="Times New Roman" w:hAnsi="Times New Roman"/>
                <w:b/>
                <w:sz w:val="20"/>
              </w:rPr>
            </w:pPr>
            <w:r w:rsidRPr="006458BF">
              <w:rPr>
                <w:rFonts w:ascii="Times New Roman" w:hAnsi="Times New Roman"/>
                <w:b/>
                <w:sz w:val="20"/>
              </w:rPr>
              <w:t>MF SR</w:t>
            </w:r>
            <w:r w:rsidRPr="006458BF">
              <w:rPr>
                <w:rFonts w:ascii="Times New Roman" w:hAnsi="Times New Roman"/>
                <w:b/>
                <w:sz w:val="20"/>
              </w:rPr>
              <w:br/>
              <w:t>MS SR</w:t>
            </w:r>
            <w:r w:rsidRPr="006458BF">
              <w:rPr>
                <w:rFonts w:ascii="Times New Roman" w:hAnsi="Times New Roman"/>
                <w:b/>
                <w:sz w:val="20"/>
              </w:rPr>
              <w:br/>
            </w:r>
          </w:p>
        </w:tc>
        <w:tc>
          <w:tcPr>
            <w:tcW w:w="6238" w:type="dxa"/>
            <w:gridSpan w:val="2"/>
            <w:tcBorders>
              <w:top w:val="single" w:sz="4" w:space="0" w:color="000000"/>
              <w:left w:val="single" w:sz="4" w:space="0" w:color="000000"/>
              <w:bottom w:val="single" w:sz="4" w:space="0" w:color="000000"/>
              <w:right w:val="single" w:sz="4" w:space="0" w:color="000000"/>
            </w:tcBorders>
          </w:tcPr>
          <w:p w:rsidR="00043D8B" w:rsidRPr="00AA4B57" w:rsidRDefault="00043D8B" w:rsidP="00D15EE0">
            <w:pPr>
              <w:spacing w:after="0"/>
              <w:ind w:left="4" w:right="49"/>
              <w:jc w:val="both"/>
              <w:rPr>
                <w:rFonts w:ascii="Times New Roman" w:hAnsi="Times New Roman"/>
                <w:b/>
                <w:bCs/>
                <w:sz w:val="20"/>
                <w:szCs w:val="20"/>
                <w:u w:val="single"/>
              </w:rPr>
            </w:pPr>
            <w:r w:rsidRPr="00AA4B57">
              <w:rPr>
                <w:rFonts w:ascii="Times New Roman" w:hAnsi="Times New Roman"/>
                <w:b/>
                <w:bCs/>
                <w:sz w:val="20"/>
                <w:szCs w:val="20"/>
                <w:u w:val="single"/>
              </w:rPr>
              <w:t xml:space="preserve">Vysoká priorita </w:t>
            </w:r>
          </w:p>
          <w:p w:rsidR="00043D8B" w:rsidRPr="008C5015" w:rsidRDefault="00043D8B" w:rsidP="00D15EE0">
            <w:pPr>
              <w:spacing w:after="0"/>
              <w:ind w:left="4" w:right="49"/>
              <w:jc w:val="both"/>
              <w:rPr>
                <w:rFonts w:ascii="Times New Roman" w:hAnsi="Times New Roman"/>
                <w:sz w:val="20"/>
              </w:rPr>
            </w:pPr>
            <w:r w:rsidRPr="00AA4B57">
              <w:rPr>
                <w:rFonts w:ascii="Times New Roman" w:hAnsi="Times New Roman"/>
                <w:bCs/>
                <w:sz w:val="20"/>
                <w:szCs w:val="20"/>
              </w:rPr>
              <w:t xml:space="preserve">SR podporuje návrh tejto smernice a jej ciele, ktorými sú najmä </w:t>
            </w:r>
            <w:r w:rsidRPr="00AA4B57">
              <w:rPr>
                <w:rFonts w:ascii="Times New Roman" w:hAnsi="Times New Roman"/>
                <w:sz w:val="20"/>
                <w:szCs w:val="20"/>
              </w:rPr>
              <w:t>zjednodušenie fungovania menších investičných spoločností a zároveň dosiahnuť, aby najväčšie, systémové spoločnosti začali podliehať rovnakému režimu ako európske banky. Podľa návrhu smernice by menšie investičné spoločnosti v EÚ už nemali ďalej podliehať pravidlám, ktoré boli pôvodne navrhnuté pre banky. Tým sa zníži administratívna záťaž, posilní sa hospodárska súťaž a zvýšia sa investičné toky – čo sú všetko priority únie kapitálových trhov – a to bez toho, aby bola ohrozená finančná stabilita</w:t>
            </w:r>
          </w:p>
        </w:tc>
      </w:tr>
      <w:tr w:rsidR="00043D8B" w:rsidTr="00E63E2A">
        <w:trPr>
          <w:trHeight w:val="871"/>
        </w:trPr>
        <w:tc>
          <w:tcPr>
            <w:tcW w:w="420"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jc w:val="both"/>
            </w:pPr>
            <w:r>
              <w:rPr>
                <w:rFonts w:ascii="Times New Roman" w:hAnsi="Times New Roman"/>
                <w:sz w:val="20"/>
              </w:rPr>
              <w:t>46.</w:t>
            </w:r>
            <w:r>
              <w:rPr>
                <w:rFonts w:ascii="Arial" w:hAnsi="Arial" w:cs="Arial"/>
                <w:sz w:val="20"/>
              </w:rPr>
              <w:t xml:space="preserve"> </w:t>
            </w:r>
            <w:r>
              <w:rPr>
                <w:rFonts w:ascii="Times New Roman" w:hAnsi="Times New Roman"/>
                <w:sz w:val="20"/>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right="192"/>
              <w:jc w:val="both"/>
            </w:pPr>
            <w:r>
              <w:rPr>
                <w:rFonts w:ascii="Times New Roman" w:hAnsi="Times New Roman"/>
                <w:sz w:val="20"/>
              </w:rPr>
              <w:t xml:space="preserve">Podpora štrukturálnych reforiem v členských štátoch </w:t>
            </w:r>
          </w:p>
        </w:tc>
        <w:tc>
          <w:tcPr>
            <w:tcW w:w="4657"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Návrh NARIADENIA EURÓPSKEHO PARLAMENTU A RADY, ktorým sa mení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pokiaľ ide o podporu štrukturálnych reforiem v členských štátoch* COM(2017) 826 final 2017/0336 (COD)  6. 12. 2017</w:t>
            </w:r>
          </w:p>
        </w:tc>
        <w:tc>
          <w:tcPr>
            <w:tcW w:w="1499" w:type="dxa"/>
            <w:gridSpan w:val="2"/>
            <w:tcBorders>
              <w:top w:val="single" w:sz="4" w:space="0" w:color="000000"/>
              <w:left w:val="single" w:sz="4" w:space="0" w:color="000000"/>
              <w:bottom w:val="single" w:sz="4" w:space="0" w:color="000000"/>
              <w:right w:val="single" w:sz="4" w:space="0" w:color="000000"/>
            </w:tcBorders>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 xml:space="preserve">ÚPVVII </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MF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MŽP SR</w:t>
            </w:r>
          </w:p>
        </w:tc>
        <w:tc>
          <w:tcPr>
            <w:tcW w:w="6238" w:type="dxa"/>
            <w:gridSpan w:val="2"/>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4" w:right="49"/>
              <w:jc w:val="both"/>
              <w:rPr>
                <w:rFonts w:ascii="Times New Roman" w:hAnsi="Times New Roman"/>
                <w:sz w:val="20"/>
                <w:szCs w:val="20"/>
                <w:u w:val="single"/>
              </w:rPr>
            </w:pPr>
            <w:r w:rsidRPr="00150E00">
              <w:rPr>
                <w:rFonts w:ascii="Times New Roman" w:hAnsi="Times New Roman"/>
                <w:b/>
                <w:sz w:val="20"/>
                <w:szCs w:val="20"/>
                <w:u w:val="single"/>
              </w:rPr>
              <w:t>Nízka priorita</w:t>
            </w:r>
          </w:p>
          <w:p w:rsidR="00043D8B" w:rsidRDefault="00043D8B" w:rsidP="00D15EE0">
            <w:pPr>
              <w:spacing w:after="0"/>
              <w:ind w:left="4" w:right="49"/>
              <w:jc w:val="both"/>
              <w:rPr>
                <w:rFonts w:ascii="Times New Roman" w:hAnsi="Times New Roman"/>
                <w:sz w:val="20"/>
                <w:szCs w:val="20"/>
              </w:rPr>
            </w:pPr>
            <w:r>
              <w:rPr>
                <w:rFonts w:ascii="Times New Roman" w:hAnsi="Times New Roman"/>
                <w:sz w:val="20"/>
                <w:szCs w:val="20"/>
              </w:rPr>
              <w:t>Predmetný návrh nariadenia bol predmetom rokovania na Pracovnej skupine Rady pre štrukturálne opatrenia (SMWP). ÚPPVII vypracovalo vo februári 2018 predbežné stanovisko k návrhu s nižšou dôležitosťou.</w:t>
            </w:r>
          </w:p>
          <w:p w:rsidR="00043D8B" w:rsidRPr="008C5015" w:rsidRDefault="00043D8B" w:rsidP="00D15EE0">
            <w:pPr>
              <w:spacing w:after="0"/>
              <w:ind w:left="4" w:right="49"/>
              <w:jc w:val="both"/>
              <w:rPr>
                <w:rFonts w:ascii="Times New Roman" w:hAnsi="Times New Roman"/>
                <w:sz w:val="20"/>
              </w:rPr>
            </w:pPr>
          </w:p>
        </w:tc>
      </w:tr>
      <w:tr w:rsidR="00043D8B" w:rsidTr="00E63E2A">
        <w:trPr>
          <w:trHeight w:val="871"/>
        </w:trPr>
        <w:tc>
          <w:tcPr>
            <w:tcW w:w="420"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jc w:val="both"/>
            </w:pPr>
            <w:r>
              <w:rPr>
                <w:rFonts w:ascii="Times New Roman" w:hAnsi="Times New Roman"/>
                <w:sz w:val="20"/>
              </w:rPr>
              <w:t>47.</w:t>
            </w:r>
            <w:r>
              <w:rPr>
                <w:rFonts w:ascii="Arial" w:hAnsi="Arial" w:cs="Arial"/>
                <w:sz w:val="20"/>
              </w:rPr>
              <w:t xml:space="preserve"> </w:t>
            </w:r>
            <w:r>
              <w:rPr>
                <w:rFonts w:ascii="Times New Roman" w:hAnsi="Times New Roman"/>
                <w:sz w:val="20"/>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right="24"/>
              <w:jc w:val="both"/>
            </w:pPr>
            <w:r>
              <w:rPr>
                <w:rFonts w:ascii="Times New Roman" w:hAnsi="Times New Roman"/>
                <w:sz w:val="20"/>
              </w:rPr>
              <w:t>Posilnenie fiškálnej zodpovednosti a strednodobého rozpočtového smerovania v členských štátoch</w:t>
            </w:r>
            <w:r>
              <w:rPr>
                <w:rFonts w:ascii="Times New Roman" w:hAnsi="Times New Roman"/>
                <w:color w:val="1F497D"/>
                <w:sz w:val="20"/>
              </w:rPr>
              <w:t xml:space="preserve"> </w:t>
            </w:r>
          </w:p>
        </w:tc>
        <w:tc>
          <w:tcPr>
            <w:tcW w:w="4657"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Návrh SMERNICE RADY, ktorou sa prijímajú ustanovenia týkajúce sa posilnenia fiškálnej zodpovednosti a strednodobého rozpočtového smerovania v členských štátoch* COM(2017) 824 final 2017/0335 (CNS)  6. 12. 2017</w:t>
            </w:r>
          </w:p>
        </w:tc>
        <w:tc>
          <w:tcPr>
            <w:tcW w:w="1499" w:type="dxa"/>
            <w:gridSpan w:val="2"/>
            <w:tcBorders>
              <w:top w:val="single" w:sz="4" w:space="0" w:color="000000"/>
              <w:left w:val="single" w:sz="4" w:space="0" w:color="000000"/>
              <w:bottom w:val="single" w:sz="4" w:space="0" w:color="000000"/>
              <w:right w:val="single" w:sz="4" w:space="0" w:color="000000"/>
            </w:tcBorders>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MF SR</w:t>
            </w:r>
          </w:p>
        </w:tc>
        <w:tc>
          <w:tcPr>
            <w:tcW w:w="6238" w:type="dxa"/>
            <w:gridSpan w:val="2"/>
            <w:tcBorders>
              <w:top w:val="single" w:sz="4" w:space="0" w:color="000000"/>
              <w:left w:val="single" w:sz="4" w:space="0" w:color="000000"/>
              <w:bottom w:val="single" w:sz="4" w:space="0" w:color="000000"/>
              <w:right w:val="single" w:sz="4" w:space="0" w:color="000000"/>
            </w:tcBorders>
          </w:tcPr>
          <w:p w:rsidR="00043D8B" w:rsidRPr="00AA4B57" w:rsidRDefault="00043D8B" w:rsidP="00D15EE0">
            <w:pPr>
              <w:spacing w:after="0"/>
              <w:ind w:right="49"/>
              <w:jc w:val="both"/>
              <w:rPr>
                <w:rFonts w:ascii="Times New Roman" w:hAnsi="Times New Roman"/>
                <w:b/>
                <w:sz w:val="20"/>
                <w:u w:val="single"/>
              </w:rPr>
            </w:pPr>
            <w:r w:rsidRPr="00AA4B57">
              <w:rPr>
                <w:rFonts w:ascii="Times New Roman" w:hAnsi="Times New Roman"/>
                <w:b/>
                <w:sz w:val="20"/>
                <w:u w:val="single"/>
              </w:rPr>
              <w:t xml:space="preserve">Vysoká priorita </w:t>
            </w:r>
          </w:p>
          <w:p w:rsidR="00043D8B" w:rsidRPr="00AA4B57" w:rsidRDefault="00043D8B" w:rsidP="00D15EE0">
            <w:pPr>
              <w:spacing w:after="0"/>
              <w:ind w:right="49"/>
              <w:jc w:val="both"/>
              <w:rPr>
                <w:rFonts w:ascii="Times New Roman" w:hAnsi="Times New Roman"/>
                <w:sz w:val="20"/>
                <w:highlight w:val="yellow"/>
              </w:rPr>
            </w:pPr>
            <w:r w:rsidRPr="00AA4B57">
              <w:rPr>
                <w:rFonts w:ascii="Times New Roman" w:hAnsi="Times New Roman"/>
                <w:sz w:val="20"/>
              </w:rPr>
              <w:t>SR podporuje snahy o začlenenie Zmluvy o stabilite, koordinácii a správe v hospodárskej a menovej únii (TSCG) do právneho rámca EÚ. Navrhovaná smernica sa však vo viacerých častiach odlišuje od jej pôvodného znenia. Smernica zároveň nepopisuje jasne, či a akým spôsobom by mala byť zmenená súčasná národná legislatíva, ktorou sa transponovalo pôvodné znenie TSCG (Zákon č. 523/2004 Z.z. o rozpočtových pravidlách verejnej správy  a o zmene a doplnení niektorých zákonov). K samotnému návrhu smernice EK nie je v tomto momente možné zaujať jednoznačné stanovisko.</w:t>
            </w:r>
          </w:p>
        </w:tc>
      </w:tr>
      <w:tr w:rsidR="00043D8B" w:rsidTr="00E63E2A">
        <w:trPr>
          <w:trHeight w:val="3039"/>
        </w:trPr>
        <w:tc>
          <w:tcPr>
            <w:tcW w:w="420"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jc w:val="both"/>
            </w:pPr>
            <w:r>
              <w:rPr>
                <w:rFonts w:ascii="Times New Roman" w:hAnsi="Times New Roman"/>
                <w:sz w:val="20"/>
              </w:rPr>
              <w:t>48.</w:t>
            </w:r>
            <w:r>
              <w:rPr>
                <w:rFonts w:ascii="Arial" w:hAnsi="Arial" w:cs="Arial"/>
                <w:sz w:val="20"/>
              </w:rPr>
              <w:t xml:space="preserve"> </w:t>
            </w:r>
            <w:r>
              <w:rPr>
                <w:rFonts w:ascii="Times New Roman" w:hAnsi="Times New Roman"/>
                <w:sz w:val="20"/>
              </w:rPr>
              <w:t xml:space="preserve"> </w:t>
            </w:r>
          </w:p>
          <w:p w:rsidR="00043D8B" w:rsidRDefault="00043D8B" w:rsidP="00D15EE0">
            <w:pPr>
              <w:spacing w:after="0"/>
              <w:ind w:right="43"/>
              <w:jc w:val="both"/>
            </w:pPr>
            <w:r>
              <w:rPr>
                <w:rFonts w:ascii="Times New Roman" w:hAnsi="Times New Roman"/>
                <w:sz w:val="20"/>
              </w:rPr>
              <w:t xml:space="preserve"> </w:t>
            </w:r>
          </w:p>
          <w:p w:rsidR="00043D8B" w:rsidRDefault="00043D8B" w:rsidP="00D15EE0">
            <w:pPr>
              <w:spacing w:after="0"/>
              <w:jc w:val="both"/>
            </w:pPr>
            <w:r>
              <w:rPr>
                <w:rFonts w:ascii="Times New Roman" w:hAnsi="Times New Roman"/>
                <w:sz w:val="20"/>
              </w:rPr>
              <w:t xml:space="preserve"> </w:t>
            </w:r>
          </w:p>
          <w:p w:rsidR="00043D8B" w:rsidRDefault="00043D8B" w:rsidP="00D15EE0">
            <w:pPr>
              <w:spacing w:after="0"/>
              <w:ind w:right="43"/>
              <w:jc w:val="both"/>
            </w:pPr>
            <w:r>
              <w:rPr>
                <w:rFonts w:ascii="Times New Roman" w:hAnsi="Times New Roman"/>
                <w:sz w:val="20"/>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color w:val="003366"/>
                <w:sz w:val="20"/>
              </w:rPr>
              <w:t xml:space="preserve"> </w:t>
            </w:r>
            <w:r>
              <w:rPr>
                <w:rFonts w:ascii="Times New Roman" w:hAnsi="Times New Roman"/>
                <w:sz w:val="20"/>
              </w:rPr>
              <w:t>Balík predpisov v oblasti bankovníctva</w:t>
            </w:r>
            <w:r>
              <w:rPr>
                <w:rFonts w:ascii="Times New Roman" w:hAnsi="Times New Roman"/>
                <w:color w:val="003366"/>
                <w:sz w:val="20"/>
              </w:rPr>
              <w:t xml:space="preserve"> </w:t>
            </w:r>
          </w:p>
        </w:tc>
        <w:tc>
          <w:tcPr>
            <w:tcW w:w="4657"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 xml:space="preserve">Návrh NARIADENIA EURÓPSKEHO PARLAMENTU A RADY, ktorým sa mení nariadenie (EÚ) č. 575/2013, pokiaľ ide o ukazovateľ finančnej páky, ukazovateľ čistého stabilného financovania, požiadavky na vlastné zdroje a oprávnené záväzky, kreditné riziko protistrany, trhové riziko, expozície voči centrálnym protistranám, expozície voči podnikom kolektívneho investovania, veľkú majetkovú angažovanosť, požiadavky na predkladanie správ a zverejňovanie informácií, a ktorým sa mení nariadenie (EÚ) č. 648/2012* COM(2016) 850 final  </w:t>
            </w:r>
            <w:r>
              <w:t xml:space="preserve"> </w:t>
            </w:r>
            <w:r>
              <w:rPr>
                <w:rFonts w:ascii="Times New Roman" w:hAnsi="Times New Roman"/>
                <w:sz w:val="20"/>
              </w:rPr>
              <w:t>2016/0360 (COD)  23. 11. 2016</w:t>
            </w:r>
          </w:p>
        </w:tc>
        <w:tc>
          <w:tcPr>
            <w:tcW w:w="1499" w:type="dxa"/>
            <w:gridSpan w:val="2"/>
            <w:tcBorders>
              <w:top w:val="single" w:sz="4" w:space="0" w:color="000000"/>
              <w:left w:val="single" w:sz="4" w:space="0" w:color="000000"/>
              <w:bottom w:val="single" w:sz="4" w:space="0" w:color="000000"/>
              <w:right w:val="single" w:sz="4" w:space="0" w:color="000000"/>
            </w:tcBorders>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MF SR</w:t>
            </w:r>
          </w:p>
        </w:tc>
        <w:tc>
          <w:tcPr>
            <w:tcW w:w="6238" w:type="dxa"/>
            <w:gridSpan w:val="2"/>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4" w:right="49"/>
              <w:jc w:val="both"/>
              <w:rPr>
                <w:rFonts w:ascii="Times New Roman" w:hAnsi="Times New Roman"/>
                <w:b/>
                <w:sz w:val="20"/>
                <w:u w:val="single"/>
              </w:rPr>
            </w:pPr>
            <w:r w:rsidRPr="00AA4B57">
              <w:rPr>
                <w:rFonts w:ascii="Times New Roman" w:hAnsi="Times New Roman"/>
                <w:b/>
                <w:sz w:val="20"/>
                <w:u w:val="single"/>
              </w:rPr>
              <w:t xml:space="preserve">Stredná priorita </w:t>
            </w:r>
          </w:p>
          <w:p w:rsidR="00043D8B" w:rsidRPr="00AA4B57" w:rsidRDefault="00043D8B" w:rsidP="00D15EE0">
            <w:pPr>
              <w:spacing w:after="0"/>
              <w:ind w:left="4" w:right="49"/>
              <w:jc w:val="both"/>
              <w:rPr>
                <w:rFonts w:ascii="Times New Roman" w:hAnsi="Times New Roman"/>
                <w:b/>
                <w:sz w:val="20"/>
                <w:u w:val="single"/>
              </w:rPr>
            </w:pPr>
            <w:r w:rsidRPr="00AA4B57">
              <w:rPr>
                <w:rFonts w:ascii="Times New Roman" w:hAnsi="Times New Roman"/>
                <w:sz w:val="20"/>
              </w:rPr>
              <w:t>Slovenská republika podporuje opatrenia na znižovanie rizík v bankovom sektore, pričom je potrebné dodržiavať a brať ohľad na rovnováhu medzi hostiteľskými a domovskými členskými štátmi</w:t>
            </w:r>
          </w:p>
        </w:tc>
      </w:tr>
      <w:tr w:rsidR="00043D8B" w:rsidTr="00E63E2A">
        <w:trPr>
          <w:trHeight w:val="871"/>
        </w:trPr>
        <w:tc>
          <w:tcPr>
            <w:tcW w:w="420"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jc w:val="both"/>
            </w:pPr>
          </w:p>
        </w:tc>
        <w:tc>
          <w:tcPr>
            <w:tcW w:w="2012"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jc w:val="both"/>
            </w:pPr>
          </w:p>
        </w:tc>
        <w:tc>
          <w:tcPr>
            <w:tcW w:w="4657"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Návrh NARIADENIA EURÓPSKEHO PARLAMENTU A RADY, ktorým sa mení nariadenie (EÚ) č. 806/2014, pokiaľ ide o kapacitu na absorpciu strát a rekapitalizáciu úverových inštitúcií a investičných spoločností* COM(2016) 851 final  2016/0361 (COD)  23. 11. 2016</w:t>
            </w:r>
          </w:p>
        </w:tc>
        <w:tc>
          <w:tcPr>
            <w:tcW w:w="1499" w:type="dxa"/>
            <w:gridSpan w:val="2"/>
            <w:tcBorders>
              <w:top w:val="single" w:sz="4" w:space="0" w:color="000000"/>
              <w:left w:val="single" w:sz="4" w:space="0" w:color="000000"/>
              <w:bottom w:val="single" w:sz="4" w:space="0" w:color="000000"/>
              <w:right w:val="single" w:sz="4" w:space="0" w:color="000000"/>
            </w:tcBorders>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MF SR</w:t>
            </w:r>
          </w:p>
        </w:tc>
        <w:tc>
          <w:tcPr>
            <w:tcW w:w="6238" w:type="dxa"/>
            <w:gridSpan w:val="2"/>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4" w:right="49"/>
              <w:jc w:val="both"/>
              <w:rPr>
                <w:rFonts w:ascii="Times New Roman" w:hAnsi="Times New Roman"/>
                <w:b/>
                <w:sz w:val="20"/>
                <w:u w:val="single"/>
              </w:rPr>
            </w:pPr>
            <w:r w:rsidRPr="00AA4B57">
              <w:rPr>
                <w:rFonts w:ascii="Times New Roman" w:hAnsi="Times New Roman"/>
                <w:b/>
                <w:sz w:val="20"/>
                <w:u w:val="single"/>
              </w:rPr>
              <w:t xml:space="preserve">Stredná priorita </w:t>
            </w:r>
          </w:p>
          <w:p w:rsidR="00043D8B" w:rsidRPr="008C5015" w:rsidRDefault="00043D8B" w:rsidP="00D15EE0">
            <w:pPr>
              <w:spacing w:after="0"/>
              <w:ind w:left="4" w:right="49"/>
              <w:jc w:val="both"/>
              <w:rPr>
                <w:rFonts w:ascii="Times New Roman" w:hAnsi="Times New Roman"/>
                <w:sz w:val="20"/>
              </w:rPr>
            </w:pPr>
            <w:r w:rsidRPr="00AA4B57">
              <w:rPr>
                <w:rFonts w:ascii="Times New Roman" w:hAnsi="Times New Roman"/>
                <w:sz w:val="20"/>
              </w:rPr>
              <w:t>Slovenská republika podporuje opatrenia na znižovanie rizík v bankovom sektore, pričom je potrebné dodržiavať a brať ohľad na rovnováhu medzi hostiteľskými a domovskými členskými štátmi</w:t>
            </w:r>
          </w:p>
        </w:tc>
      </w:tr>
      <w:tr w:rsidR="00043D8B" w:rsidTr="00E63E2A">
        <w:trPr>
          <w:trHeight w:val="871"/>
        </w:trPr>
        <w:tc>
          <w:tcPr>
            <w:tcW w:w="420"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jc w:val="both"/>
            </w:pPr>
          </w:p>
        </w:tc>
        <w:tc>
          <w:tcPr>
            <w:tcW w:w="2012"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jc w:val="both"/>
            </w:pPr>
          </w:p>
        </w:tc>
        <w:tc>
          <w:tcPr>
            <w:tcW w:w="4657"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Návrh SMERNICE EURÓPSKEHO PARLAMENTU A RADY, ktorou sa mení smernica 2014/59/EÚ, pokiaľ ide o kapacitu úverových inštitúcií a investičných spoločností na absorpciu strát a rekapitalizáciu, a ktorou sa mení smernica 98/26/ES, smernica 2002/47/ES, smernica 2012/30/EÚ, smernica 2011/35/EÚ, smernica 2005/56/ES, smernica 2004/25/ES a smernica 2007/36/ES* COM(2016) 852 final 2016/0362 (COD)  23. 11. 2016</w:t>
            </w:r>
          </w:p>
        </w:tc>
        <w:tc>
          <w:tcPr>
            <w:tcW w:w="1499" w:type="dxa"/>
            <w:gridSpan w:val="2"/>
            <w:tcBorders>
              <w:top w:val="single" w:sz="4" w:space="0" w:color="000000"/>
              <w:left w:val="single" w:sz="4" w:space="0" w:color="000000"/>
              <w:bottom w:val="single" w:sz="4" w:space="0" w:color="000000"/>
              <w:right w:val="single" w:sz="4" w:space="0" w:color="000000"/>
            </w:tcBorders>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MF SR</w:t>
            </w:r>
          </w:p>
        </w:tc>
        <w:tc>
          <w:tcPr>
            <w:tcW w:w="6238" w:type="dxa"/>
            <w:gridSpan w:val="2"/>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4" w:right="49"/>
              <w:jc w:val="both"/>
              <w:rPr>
                <w:rFonts w:ascii="Times New Roman" w:hAnsi="Times New Roman"/>
                <w:b/>
                <w:sz w:val="20"/>
                <w:u w:val="single"/>
              </w:rPr>
            </w:pPr>
            <w:r w:rsidRPr="00AA4B57">
              <w:rPr>
                <w:rFonts w:ascii="Times New Roman" w:hAnsi="Times New Roman"/>
                <w:b/>
                <w:sz w:val="20"/>
                <w:u w:val="single"/>
              </w:rPr>
              <w:t xml:space="preserve">Stredná priorita </w:t>
            </w:r>
          </w:p>
          <w:p w:rsidR="00043D8B" w:rsidRPr="008C5015" w:rsidRDefault="00043D8B" w:rsidP="00D15EE0">
            <w:pPr>
              <w:spacing w:after="0"/>
              <w:ind w:left="4" w:right="49"/>
              <w:jc w:val="both"/>
              <w:rPr>
                <w:rFonts w:ascii="Times New Roman" w:hAnsi="Times New Roman"/>
                <w:sz w:val="20"/>
              </w:rPr>
            </w:pPr>
            <w:r w:rsidRPr="00AA4B57">
              <w:rPr>
                <w:rFonts w:ascii="Times New Roman" w:hAnsi="Times New Roman"/>
                <w:sz w:val="20"/>
              </w:rPr>
              <w:t>Slovenská republika podporuje opatrenia na znižovanie rizík v bankovom sektore, pričom je potrebné dodržiavať a brať ohľad na rovnováhu medzi hostiteľskými a domovskými členskými štátmi</w:t>
            </w:r>
          </w:p>
        </w:tc>
      </w:tr>
      <w:tr w:rsidR="00043D8B" w:rsidTr="00E63E2A">
        <w:trPr>
          <w:trHeight w:val="493"/>
        </w:trPr>
        <w:tc>
          <w:tcPr>
            <w:tcW w:w="420"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jc w:val="both"/>
            </w:pPr>
          </w:p>
        </w:tc>
        <w:tc>
          <w:tcPr>
            <w:tcW w:w="2012"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jc w:val="both"/>
            </w:pPr>
          </w:p>
        </w:tc>
        <w:tc>
          <w:tcPr>
            <w:tcW w:w="4657"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Návrh SMERNICE EURÓPSKEHO PARLAMENTU A RADY, ktorou sa mení smernica 2013/36/EÚ, pokiaľ ide o oslobodené subjekty, finančné holdingové spoločnosti, zmiešané finančné holdingové spoločnosti, odmeňovanie, opatrenia dohľadu a právomoci v oblasti dohľadu a opatrenia na zachovanie kapitálu* COM(2016) 852 final 2016/0364 (COD)  23. 11. 2016</w:t>
            </w:r>
          </w:p>
        </w:tc>
        <w:tc>
          <w:tcPr>
            <w:tcW w:w="1499" w:type="dxa"/>
            <w:gridSpan w:val="2"/>
            <w:tcBorders>
              <w:top w:val="single" w:sz="4" w:space="0" w:color="000000"/>
              <w:left w:val="single" w:sz="4" w:space="0" w:color="000000"/>
              <w:bottom w:val="single" w:sz="4" w:space="0" w:color="000000"/>
              <w:right w:val="single" w:sz="4" w:space="0" w:color="000000"/>
            </w:tcBorders>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MF SR</w:t>
            </w:r>
          </w:p>
        </w:tc>
        <w:tc>
          <w:tcPr>
            <w:tcW w:w="6238" w:type="dxa"/>
            <w:gridSpan w:val="2"/>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4" w:right="49"/>
              <w:jc w:val="both"/>
              <w:rPr>
                <w:rFonts w:ascii="Times New Roman" w:hAnsi="Times New Roman"/>
                <w:b/>
                <w:sz w:val="20"/>
                <w:u w:val="single"/>
              </w:rPr>
            </w:pPr>
            <w:r w:rsidRPr="00AA4B57">
              <w:rPr>
                <w:rFonts w:ascii="Times New Roman" w:hAnsi="Times New Roman"/>
                <w:b/>
                <w:sz w:val="20"/>
                <w:u w:val="single"/>
              </w:rPr>
              <w:t xml:space="preserve">Stredná priorita </w:t>
            </w:r>
          </w:p>
          <w:p w:rsidR="00043D8B" w:rsidRPr="008C5015" w:rsidRDefault="00043D8B" w:rsidP="00D15EE0">
            <w:pPr>
              <w:spacing w:after="0"/>
              <w:ind w:left="4" w:right="49"/>
              <w:jc w:val="both"/>
              <w:rPr>
                <w:rFonts w:ascii="Times New Roman" w:hAnsi="Times New Roman"/>
                <w:sz w:val="20"/>
              </w:rPr>
            </w:pPr>
            <w:r w:rsidRPr="00AA4B57">
              <w:rPr>
                <w:rFonts w:ascii="Times New Roman" w:hAnsi="Times New Roman"/>
                <w:sz w:val="20"/>
              </w:rPr>
              <w:t>Slovenská republika podporuje opatrenia na znižovanie rizík v bankovom sektore, pričom je potrebné dodržiavať a brať ohľad na rovnováhu medzi hostiteľskými a domovskými členskými štátmi</w:t>
            </w:r>
          </w:p>
        </w:tc>
      </w:tr>
      <w:tr w:rsidR="00043D8B" w:rsidTr="00E63E2A">
        <w:trPr>
          <w:trHeight w:val="544"/>
        </w:trPr>
        <w:tc>
          <w:tcPr>
            <w:tcW w:w="420"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jc w:val="both"/>
            </w:pPr>
            <w:r>
              <w:rPr>
                <w:rFonts w:ascii="Times New Roman" w:hAnsi="Times New Roman"/>
                <w:sz w:val="20"/>
              </w:rPr>
              <w:t>49.</w:t>
            </w:r>
            <w:r>
              <w:rPr>
                <w:rFonts w:ascii="Arial" w:hAnsi="Arial" w:cs="Arial"/>
                <w:sz w:val="20"/>
              </w:rPr>
              <w:t xml:space="preserve"> </w:t>
            </w:r>
            <w:r>
              <w:rPr>
                <w:rFonts w:ascii="Times New Roman" w:hAnsi="Times New Roman"/>
                <w:sz w:val="20"/>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 xml:space="preserve">Ozdravenie a riešenie krízových situácií centrálnych protistrán  </w:t>
            </w:r>
          </w:p>
        </w:tc>
        <w:tc>
          <w:tcPr>
            <w:tcW w:w="4657"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Návrh NARIADENIA EURÓPSKEHO PARLAMENTU A RADY o rámci na ozdravenie a riešenie krízových situácií centrálnych protistrán a o zmene nariadení (EÚ) č. 1095/2010, (EÚ) č. 648/2012 a (EÚ) 2015/2365* COM(2016) 856 final 2016/0365 (COD)  28. 11. 2016</w:t>
            </w:r>
          </w:p>
        </w:tc>
        <w:tc>
          <w:tcPr>
            <w:tcW w:w="1499" w:type="dxa"/>
            <w:gridSpan w:val="2"/>
            <w:tcBorders>
              <w:top w:val="single" w:sz="4" w:space="0" w:color="000000"/>
              <w:left w:val="single" w:sz="4" w:space="0" w:color="000000"/>
              <w:bottom w:val="single" w:sz="4" w:space="0" w:color="000000"/>
              <w:right w:val="single" w:sz="4" w:space="0" w:color="000000"/>
            </w:tcBorders>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MF SR</w:t>
            </w:r>
          </w:p>
        </w:tc>
        <w:tc>
          <w:tcPr>
            <w:tcW w:w="6238" w:type="dxa"/>
            <w:gridSpan w:val="2"/>
            <w:tcBorders>
              <w:top w:val="single" w:sz="4" w:space="0" w:color="000000"/>
              <w:left w:val="single" w:sz="4" w:space="0" w:color="000000"/>
              <w:bottom w:val="single" w:sz="4" w:space="0" w:color="000000"/>
              <w:right w:val="single" w:sz="4" w:space="0" w:color="000000"/>
            </w:tcBorders>
          </w:tcPr>
          <w:p w:rsidR="00043D8B" w:rsidRPr="00AA4B57" w:rsidRDefault="00043D8B" w:rsidP="00D15EE0">
            <w:pPr>
              <w:spacing w:after="0"/>
              <w:ind w:left="4" w:right="49"/>
              <w:jc w:val="both"/>
              <w:rPr>
                <w:rFonts w:ascii="Times New Roman" w:hAnsi="Times New Roman"/>
                <w:b/>
                <w:sz w:val="20"/>
                <w:u w:val="single"/>
              </w:rPr>
            </w:pPr>
            <w:r w:rsidRPr="00AA4B57">
              <w:rPr>
                <w:rFonts w:ascii="Times New Roman" w:hAnsi="Times New Roman"/>
                <w:b/>
                <w:sz w:val="20"/>
                <w:u w:val="single"/>
              </w:rPr>
              <w:t>Nízka priorita</w:t>
            </w:r>
          </w:p>
          <w:p w:rsidR="00043D8B" w:rsidRPr="008C5015" w:rsidRDefault="00043D8B" w:rsidP="00D15EE0">
            <w:pPr>
              <w:spacing w:after="0"/>
              <w:ind w:left="4" w:right="49"/>
              <w:jc w:val="both"/>
              <w:rPr>
                <w:rFonts w:ascii="Times New Roman" w:hAnsi="Times New Roman"/>
                <w:sz w:val="20"/>
              </w:rPr>
            </w:pPr>
            <w:r w:rsidRPr="00AA4B57">
              <w:rPr>
                <w:rFonts w:ascii="Times New Roman" w:hAnsi="Times New Roman"/>
                <w:sz w:val="20"/>
                <w:szCs w:val="20"/>
              </w:rPr>
              <w:t>Slovenská republika vo všeobecnosti podporuje návrh Komisie, pričom jej záujmom je dosiahnutie zhody na podstatných aspektoch riešenia krízových situácií na strane centrálnych protistrán tak, aby nedošlo k masívnemu poškodeniu ostatných účastníkov trhu nejakým spôsobom napojených na centrálnu protistranu, či už ako účastníci určitej transakcie s finančnými nástrojmi alebo ako jej členovia.</w:t>
            </w:r>
          </w:p>
        </w:tc>
      </w:tr>
      <w:tr w:rsidR="00043D8B" w:rsidTr="00E63E2A">
        <w:trPr>
          <w:trHeight w:val="871"/>
        </w:trPr>
        <w:tc>
          <w:tcPr>
            <w:tcW w:w="420"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jc w:val="both"/>
            </w:pPr>
            <w:r>
              <w:rPr>
                <w:rFonts w:ascii="Times New Roman" w:hAnsi="Times New Roman"/>
                <w:sz w:val="20"/>
              </w:rPr>
              <w:t>50.</w:t>
            </w:r>
            <w:r>
              <w:rPr>
                <w:rFonts w:ascii="Arial" w:hAnsi="Arial" w:cs="Arial"/>
                <w:sz w:val="20"/>
              </w:rPr>
              <w:t xml:space="preserve"> </w:t>
            </w:r>
            <w:r>
              <w:rPr>
                <w:rFonts w:ascii="Times New Roman" w:hAnsi="Times New Roman"/>
                <w:sz w:val="20"/>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 xml:space="preserve">Európsky systém ochrany vkladov </w:t>
            </w:r>
          </w:p>
        </w:tc>
        <w:tc>
          <w:tcPr>
            <w:tcW w:w="4657"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Návrh NARIADENIA EURÓPSKEHO PARLAMENTU A RADY, ktorým sa mení nariadenie (EÚ) č. 806/2014 s cieľom vytvoriť európsky systém ochrany vkladov* COM(2015) 586 final 2015/0270 (COD)  24. 11. 2015</w:t>
            </w:r>
          </w:p>
        </w:tc>
        <w:tc>
          <w:tcPr>
            <w:tcW w:w="1499" w:type="dxa"/>
            <w:gridSpan w:val="2"/>
            <w:tcBorders>
              <w:top w:val="single" w:sz="4" w:space="0" w:color="000000"/>
              <w:left w:val="single" w:sz="4" w:space="0" w:color="000000"/>
              <w:bottom w:val="single" w:sz="4" w:space="0" w:color="000000"/>
              <w:right w:val="single" w:sz="4" w:space="0" w:color="000000"/>
            </w:tcBorders>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MF SR</w:t>
            </w:r>
          </w:p>
        </w:tc>
        <w:tc>
          <w:tcPr>
            <w:tcW w:w="6238" w:type="dxa"/>
            <w:gridSpan w:val="2"/>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4" w:right="49"/>
              <w:jc w:val="both"/>
              <w:rPr>
                <w:rFonts w:ascii="Times New Roman" w:hAnsi="Times New Roman"/>
                <w:b/>
                <w:sz w:val="20"/>
                <w:u w:val="single"/>
              </w:rPr>
            </w:pPr>
            <w:r w:rsidRPr="00BD72C0">
              <w:rPr>
                <w:rFonts w:ascii="Times New Roman" w:hAnsi="Times New Roman"/>
                <w:b/>
                <w:sz w:val="20"/>
                <w:u w:val="single"/>
              </w:rPr>
              <w:t xml:space="preserve">Stredná priorita </w:t>
            </w:r>
          </w:p>
          <w:p w:rsidR="00043D8B" w:rsidRPr="00BD72C0" w:rsidRDefault="00043D8B" w:rsidP="00D15EE0">
            <w:pPr>
              <w:spacing w:after="0"/>
              <w:ind w:left="4" w:right="49"/>
              <w:jc w:val="both"/>
              <w:rPr>
                <w:rFonts w:ascii="Times New Roman" w:hAnsi="Times New Roman"/>
                <w:b/>
                <w:sz w:val="20"/>
                <w:u w:val="single"/>
              </w:rPr>
            </w:pPr>
            <w:r w:rsidRPr="00BD72C0">
              <w:rPr>
                <w:rFonts w:ascii="Times New Roman" w:hAnsi="Times New Roman"/>
                <w:sz w:val="20"/>
              </w:rPr>
              <w:t>Slovenská republika podporuje dobudovanie bankovej únie po dostatočnom znížení rizík v bankovom sektore, a to najmä pokiaľ ide o vysoký objem nesplácaných úverov.</w:t>
            </w:r>
          </w:p>
        </w:tc>
      </w:tr>
      <w:tr w:rsidR="00043D8B" w:rsidTr="00E63E2A">
        <w:trPr>
          <w:trHeight w:val="871"/>
        </w:trPr>
        <w:tc>
          <w:tcPr>
            <w:tcW w:w="420"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jc w:val="both"/>
            </w:pPr>
            <w:r>
              <w:rPr>
                <w:rFonts w:ascii="Times New Roman" w:hAnsi="Times New Roman"/>
                <w:sz w:val="20"/>
              </w:rPr>
              <w:t>51.</w:t>
            </w:r>
            <w:r>
              <w:rPr>
                <w:rFonts w:ascii="Arial" w:hAnsi="Arial" w:cs="Arial"/>
                <w:sz w:val="20"/>
              </w:rPr>
              <w:t xml:space="preserve"> </w:t>
            </w:r>
            <w:r>
              <w:rPr>
                <w:rFonts w:ascii="Times New Roman" w:hAnsi="Times New Roman"/>
                <w:sz w:val="20"/>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right="550"/>
              <w:jc w:val="both"/>
            </w:pPr>
            <w:r>
              <w:rPr>
                <w:rFonts w:ascii="Times New Roman" w:hAnsi="Times New Roman"/>
                <w:sz w:val="20"/>
              </w:rPr>
              <w:t xml:space="preserve">Jednotné zastúpenie eurozóny v rámci Medzinárodného menového fondu </w:t>
            </w:r>
          </w:p>
        </w:tc>
        <w:tc>
          <w:tcPr>
            <w:tcW w:w="4657"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Návrh ROZHODNUTIA RADY, ktorým sa stanovujú opatrenia na postupné vytvorenie jednotného zastúpenia eurozóny v rámci Medzinárodného menového fondu** COM(2015) 603 final 2015/250 (NLE)  21. 10. 2015</w:t>
            </w:r>
          </w:p>
        </w:tc>
        <w:tc>
          <w:tcPr>
            <w:tcW w:w="1499" w:type="dxa"/>
            <w:gridSpan w:val="2"/>
            <w:tcBorders>
              <w:top w:val="single" w:sz="4" w:space="0" w:color="000000"/>
              <w:left w:val="single" w:sz="4" w:space="0" w:color="000000"/>
              <w:bottom w:val="single" w:sz="4" w:space="0" w:color="000000"/>
              <w:right w:val="single" w:sz="4" w:space="0" w:color="000000"/>
            </w:tcBorders>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MF SR</w:t>
            </w:r>
          </w:p>
        </w:tc>
        <w:tc>
          <w:tcPr>
            <w:tcW w:w="6238" w:type="dxa"/>
            <w:gridSpan w:val="2"/>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4" w:right="49"/>
              <w:jc w:val="both"/>
              <w:rPr>
                <w:rFonts w:ascii="Times New Roman" w:hAnsi="Times New Roman"/>
                <w:sz w:val="20"/>
                <w:szCs w:val="20"/>
                <w:highlight w:val="yellow"/>
              </w:rPr>
            </w:pPr>
            <w:r w:rsidRPr="00BD72C0">
              <w:rPr>
                <w:rFonts w:ascii="Times New Roman" w:hAnsi="Times New Roman"/>
                <w:b/>
                <w:sz w:val="20"/>
                <w:szCs w:val="20"/>
                <w:u w:val="single"/>
              </w:rPr>
              <w:t xml:space="preserve">Nízka priorita </w:t>
            </w:r>
            <w:r>
              <w:rPr>
                <w:rFonts w:ascii="Times New Roman" w:hAnsi="Times New Roman"/>
                <w:sz w:val="20"/>
                <w:szCs w:val="20"/>
                <w:highlight w:val="yellow"/>
              </w:rPr>
              <w:t xml:space="preserve"> </w:t>
            </w:r>
          </w:p>
          <w:p w:rsidR="00043D8B" w:rsidRPr="008C5015" w:rsidRDefault="00043D8B" w:rsidP="00D15EE0">
            <w:pPr>
              <w:spacing w:after="0"/>
              <w:ind w:left="4" w:right="49"/>
              <w:jc w:val="both"/>
              <w:rPr>
                <w:rFonts w:ascii="Times New Roman" w:hAnsi="Times New Roman"/>
                <w:sz w:val="20"/>
              </w:rPr>
            </w:pPr>
            <w:r w:rsidRPr="00BD72C0">
              <w:rPr>
                <w:rFonts w:ascii="Times New Roman" w:hAnsi="Times New Roman"/>
                <w:sz w:val="20"/>
                <w:szCs w:val="20"/>
              </w:rPr>
              <w:t>Z pohľadu SR nejde o prioritu, ale o dlhodobú a politicky citlivú záležitosť. Postoj SR je skôr zdržanlivý, pretože aktuálne platí Konštituenčná dohoda do roku 2022, podľa ktorej má SR permanentné zastúpenie na pozícii senior poradcu.</w:t>
            </w:r>
          </w:p>
        </w:tc>
      </w:tr>
      <w:tr w:rsidR="00043D8B" w:rsidTr="00E63E2A">
        <w:trPr>
          <w:trHeight w:val="871"/>
        </w:trPr>
        <w:tc>
          <w:tcPr>
            <w:tcW w:w="420"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jc w:val="both"/>
            </w:pPr>
            <w:r>
              <w:rPr>
                <w:rFonts w:ascii="Times New Roman" w:hAnsi="Times New Roman"/>
                <w:sz w:val="20"/>
              </w:rPr>
              <w:t>52.</w:t>
            </w:r>
            <w:r>
              <w:rPr>
                <w:rFonts w:ascii="Arial" w:hAnsi="Arial" w:cs="Arial"/>
                <w:sz w:val="20"/>
              </w:rPr>
              <w:t xml:space="preserve"> </w:t>
            </w:r>
            <w:r>
              <w:rPr>
                <w:rFonts w:ascii="Times New Roman" w:hAnsi="Times New Roman"/>
                <w:sz w:val="20"/>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 xml:space="preserve">Boj proti praniu špinavých peňazí  </w:t>
            </w:r>
          </w:p>
        </w:tc>
        <w:tc>
          <w:tcPr>
            <w:tcW w:w="4657"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rPr>
                <w:rFonts w:ascii="Times New Roman" w:hAnsi="Times New Roman"/>
                <w:sz w:val="20"/>
              </w:rPr>
            </w:pPr>
            <w:r>
              <w:rPr>
                <w:rFonts w:ascii="Times New Roman" w:hAnsi="Times New Roman"/>
                <w:sz w:val="20"/>
              </w:rPr>
              <w:t>Zmenený návrh NARIADENIA EURÓPSKEHO PARLAMENTU A RADY, ktorým sa mení nariadenie (EÚ) č. 1093/2010, ktorým sa zriaďuje Európsky orgán dohľadu (Európsky orgán pre bankovníctvo); nariadenie (EÚ) č. 1094/2010, ktorým sa zriaďuje Európsky orgán dohľadu (Európsky orgán pre poisťovníctvo a dôchodkové poistenie zamestnancov); nariadenie (EÚ) č. 1095/2010, ktorým sa zriaďuje Európsky orgán dohľadu (Európsky orgán pre cenné papiere a trhy); nariadenie (EÚ) č. 345/2013 o európskych fondoch rizikového kapitálu; nariadenie (EÚ) č. 346/2013 o európskych fondoch sociálneho podnikania; nariadenie (EÚ) č. 600/2014 o trhoch s finančnými nástrojmi; nariadenie (EÚ) 2015/760 o európskych dlhodobých investičných fondoch; nariadenie (EÚ) 2016/1011 o indexoch používaných ako referenčné hodnoty vo finančných nástrojoch a finančných zmluvách alebo na meranie výkonnosti investičných fondov; nariadenie (EÚ) 2017/1129 o prospekte, ktorý sa má uverejniť pri verejnej ponuke cenných papierov alebo ich prijatí na obchodovanie na regulovanom trhu; a smernica (EÚ) 2015/849 o predchádzaní využívaniu finančného systému na účely prania špinavých peňazí alebo financovania terorizmu** COM(2018) 646 final 2017/0230 (COD) 12. 9. 2018</w:t>
            </w:r>
          </w:p>
          <w:p w:rsidR="00043D8B" w:rsidRDefault="00043D8B" w:rsidP="00D15EE0">
            <w:pPr>
              <w:spacing w:after="0"/>
              <w:ind w:left="1"/>
              <w:jc w:val="both"/>
            </w:pPr>
          </w:p>
        </w:tc>
        <w:tc>
          <w:tcPr>
            <w:tcW w:w="1499" w:type="dxa"/>
            <w:gridSpan w:val="2"/>
            <w:tcBorders>
              <w:top w:val="single" w:sz="4" w:space="0" w:color="000000"/>
              <w:left w:val="single" w:sz="4" w:space="0" w:color="000000"/>
              <w:bottom w:val="single" w:sz="4" w:space="0" w:color="000000"/>
              <w:right w:val="single" w:sz="4" w:space="0" w:color="000000"/>
            </w:tcBorders>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MF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MPSVaR SR</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NBS</w:t>
            </w:r>
          </w:p>
        </w:tc>
        <w:tc>
          <w:tcPr>
            <w:tcW w:w="6238" w:type="dxa"/>
            <w:gridSpan w:val="2"/>
            <w:tcBorders>
              <w:top w:val="single" w:sz="4" w:space="0" w:color="000000"/>
              <w:left w:val="single" w:sz="4" w:space="0" w:color="000000"/>
              <w:bottom w:val="single" w:sz="4" w:space="0" w:color="000000"/>
              <w:right w:val="single" w:sz="4" w:space="0" w:color="000000"/>
            </w:tcBorders>
          </w:tcPr>
          <w:p w:rsidR="005B0F9A" w:rsidRDefault="005B0F9A" w:rsidP="00D15EE0">
            <w:pPr>
              <w:spacing w:after="0"/>
              <w:ind w:left="4" w:right="49"/>
              <w:jc w:val="both"/>
              <w:rPr>
                <w:rFonts w:ascii="Times New Roman" w:hAnsi="Times New Roman"/>
                <w:b/>
                <w:sz w:val="20"/>
                <w:u w:val="single"/>
              </w:rPr>
            </w:pPr>
            <w:r>
              <w:rPr>
                <w:rFonts w:ascii="Times New Roman" w:hAnsi="Times New Roman"/>
                <w:b/>
                <w:sz w:val="20"/>
                <w:u w:val="single"/>
              </w:rPr>
              <w:t>Vysoká priorita</w:t>
            </w:r>
          </w:p>
          <w:p w:rsidR="005B0F9A" w:rsidRDefault="005B0F9A" w:rsidP="00D15EE0">
            <w:pPr>
              <w:spacing w:after="0"/>
              <w:ind w:left="4" w:right="49"/>
              <w:jc w:val="both"/>
              <w:rPr>
                <w:rFonts w:ascii="Times New Roman" w:hAnsi="Times New Roman"/>
                <w:sz w:val="20"/>
              </w:rPr>
            </w:pPr>
            <w:r>
              <w:rPr>
                <w:rFonts w:ascii="Times New Roman" w:hAnsi="Times New Roman"/>
                <w:sz w:val="20"/>
              </w:rPr>
              <w:t xml:space="preserve">Rokovania v roku 2018 smerovali k dosiahnutiu všeobecného smerovania, čo sa podarilo začiatkom roka 2019. Trialógy (EK, Rada a EP) sa začnú vo februári 2019. </w:t>
            </w:r>
          </w:p>
          <w:p w:rsidR="00043D8B" w:rsidRPr="008C5015" w:rsidRDefault="00043D8B" w:rsidP="00D15EE0">
            <w:pPr>
              <w:spacing w:after="0"/>
              <w:ind w:left="4" w:right="49"/>
              <w:jc w:val="both"/>
              <w:rPr>
                <w:rFonts w:ascii="Times New Roman" w:hAnsi="Times New Roman"/>
                <w:sz w:val="20"/>
              </w:rPr>
            </w:pPr>
          </w:p>
        </w:tc>
      </w:tr>
      <w:tr w:rsidR="00043D8B" w:rsidTr="00E63E2A">
        <w:trPr>
          <w:trHeight w:val="21"/>
        </w:trPr>
        <w:tc>
          <w:tcPr>
            <w:tcW w:w="420"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jc w:val="both"/>
            </w:pPr>
            <w:r>
              <w:rPr>
                <w:rFonts w:ascii="Times New Roman" w:hAnsi="Times New Roman"/>
                <w:sz w:val="20"/>
              </w:rPr>
              <w:t>53.</w:t>
            </w:r>
            <w:r>
              <w:rPr>
                <w:rFonts w:ascii="Arial" w:hAnsi="Arial" w:cs="Arial"/>
                <w:sz w:val="20"/>
              </w:rPr>
              <w:t xml:space="preserve"> </w:t>
            </w:r>
            <w:r>
              <w:rPr>
                <w:rFonts w:ascii="Times New Roman" w:hAnsi="Times New Roman"/>
                <w:sz w:val="20"/>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 xml:space="preserve">Európsky menový fond*  </w:t>
            </w:r>
          </w:p>
        </w:tc>
        <w:tc>
          <w:tcPr>
            <w:tcW w:w="4657"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Návrh NARIADENIA RADY o zriadení Európskeho menového fondu* COM(2017) 827 final 2017/0333 (APP)  6. 12. 2017</w:t>
            </w:r>
          </w:p>
        </w:tc>
        <w:tc>
          <w:tcPr>
            <w:tcW w:w="1499" w:type="dxa"/>
            <w:gridSpan w:val="2"/>
            <w:tcBorders>
              <w:top w:val="single" w:sz="4" w:space="0" w:color="000000"/>
              <w:left w:val="single" w:sz="4" w:space="0" w:color="000000"/>
              <w:bottom w:val="single" w:sz="4" w:space="0" w:color="000000"/>
              <w:right w:val="single" w:sz="4" w:space="0" w:color="000000"/>
            </w:tcBorders>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MF SR</w:t>
            </w:r>
          </w:p>
        </w:tc>
        <w:tc>
          <w:tcPr>
            <w:tcW w:w="6238" w:type="dxa"/>
            <w:gridSpan w:val="2"/>
            <w:tcBorders>
              <w:top w:val="single" w:sz="4" w:space="0" w:color="000000"/>
              <w:left w:val="single" w:sz="4" w:space="0" w:color="000000"/>
              <w:bottom w:val="single" w:sz="4" w:space="0" w:color="000000"/>
              <w:right w:val="single" w:sz="4" w:space="0" w:color="000000"/>
            </w:tcBorders>
          </w:tcPr>
          <w:p w:rsidR="00043D8B" w:rsidRPr="00BD72C0" w:rsidRDefault="00043D8B" w:rsidP="00D15EE0">
            <w:pPr>
              <w:spacing w:after="0"/>
              <w:ind w:left="4" w:right="49"/>
              <w:jc w:val="both"/>
              <w:rPr>
                <w:rFonts w:ascii="Times New Roman" w:hAnsi="Times New Roman"/>
                <w:b/>
                <w:sz w:val="20"/>
                <w:u w:val="single"/>
              </w:rPr>
            </w:pPr>
            <w:r w:rsidRPr="00BD72C0">
              <w:rPr>
                <w:rFonts w:ascii="Times New Roman" w:hAnsi="Times New Roman"/>
                <w:b/>
                <w:sz w:val="20"/>
                <w:u w:val="single"/>
              </w:rPr>
              <w:t xml:space="preserve">Vysoká priorita </w:t>
            </w:r>
          </w:p>
          <w:p w:rsidR="00043D8B" w:rsidRPr="00E63E2A" w:rsidRDefault="00043D8B" w:rsidP="00D15EE0">
            <w:pPr>
              <w:spacing w:after="0"/>
              <w:ind w:left="4" w:right="49"/>
              <w:jc w:val="both"/>
              <w:rPr>
                <w:rFonts w:ascii="Times New Roman" w:hAnsi="Times New Roman"/>
                <w:sz w:val="20"/>
              </w:rPr>
            </w:pPr>
            <w:r>
              <w:rPr>
                <w:rFonts w:ascii="Times New Roman" w:hAnsi="Times New Roman"/>
                <w:i/>
                <w:sz w:val="20"/>
              </w:rPr>
              <w:t>(</w:t>
            </w:r>
            <w:r w:rsidRPr="00BD72C0">
              <w:rPr>
                <w:rFonts w:ascii="Times New Roman" w:hAnsi="Times New Roman"/>
                <w:i/>
                <w:sz w:val="20"/>
              </w:rPr>
              <w:t>Poznámka: stupeň priority podľa predbežného stanoviska</w:t>
            </w:r>
            <w:r>
              <w:rPr>
                <w:rFonts w:ascii="Times New Roman" w:hAnsi="Times New Roman"/>
                <w:i/>
                <w:sz w:val="20"/>
              </w:rPr>
              <w:t xml:space="preserve">) </w:t>
            </w:r>
            <w:r w:rsidRPr="00BD72C0">
              <w:rPr>
                <w:rFonts w:ascii="Times New Roman" w:hAnsi="Times New Roman"/>
                <w:sz w:val="20"/>
              </w:rPr>
              <w:t>Návrh nariadenia nebude ďalej prerokovávaný kvôli výhradám členských štátov. Rokovania o reforme Európskeho mechanizmu pre stabilitu (ESM) prebehnú v medzivládnom formáte. SR podporuje posilnenie kompetencií ESM a vytvorenie zabezpečovacieho mechanizmu pre Jednotný fond pre riešenie krízových situácií formou kreditnej linky z ESM.</w:t>
            </w:r>
          </w:p>
        </w:tc>
      </w:tr>
      <w:tr w:rsidR="00043D8B" w:rsidTr="00E63E2A">
        <w:trPr>
          <w:trHeight w:val="871"/>
        </w:trPr>
        <w:tc>
          <w:tcPr>
            <w:tcW w:w="420"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jc w:val="both"/>
            </w:pPr>
            <w:r>
              <w:rPr>
                <w:rFonts w:ascii="Times New Roman" w:hAnsi="Times New Roman"/>
                <w:sz w:val="20"/>
              </w:rPr>
              <w:t>54.</w:t>
            </w:r>
            <w:r>
              <w:rPr>
                <w:rFonts w:ascii="Arial" w:hAnsi="Arial" w:cs="Arial"/>
                <w:sz w:val="20"/>
              </w:rPr>
              <w:t xml:space="preserve"> </w:t>
            </w:r>
            <w:r>
              <w:rPr>
                <w:rFonts w:ascii="Times New Roman" w:hAnsi="Times New Roman"/>
                <w:sz w:val="20"/>
              </w:rPr>
              <w:t xml:space="preserve"> </w:t>
            </w:r>
          </w:p>
        </w:tc>
        <w:tc>
          <w:tcPr>
            <w:tcW w:w="2012"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Viacročný finančný rámec</w:t>
            </w:r>
            <w:r>
              <w:rPr>
                <w:rFonts w:ascii="Times New Roman" w:hAnsi="Times New Roman"/>
                <w:color w:val="FF0000"/>
                <w:sz w:val="20"/>
              </w:rPr>
              <w:t xml:space="preserve"> </w:t>
            </w:r>
          </w:p>
        </w:tc>
        <w:tc>
          <w:tcPr>
            <w:tcW w:w="4657" w:type="dxa"/>
            <w:tcBorders>
              <w:top w:val="single" w:sz="4" w:space="0" w:color="000000"/>
              <w:left w:val="single" w:sz="4" w:space="0" w:color="000000"/>
              <w:bottom w:val="single" w:sz="4" w:space="0" w:color="000000"/>
              <w:right w:val="single" w:sz="4" w:space="0" w:color="000000"/>
            </w:tcBorders>
            <w:vAlign w:val="center"/>
          </w:tcPr>
          <w:p w:rsidR="00043D8B" w:rsidRDefault="00043D8B" w:rsidP="00D15EE0">
            <w:pPr>
              <w:spacing w:after="0" w:line="267" w:lineRule="auto"/>
              <w:ind w:left="1"/>
              <w:jc w:val="both"/>
            </w:pPr>
            <w:r>
              <w:rPr>
                <w:rFonts w:ascii="Times New Roman" w:hAnsi="Times New Roman"/>
                <w:sz w:val="20"/>
              </w:rPr>
              <w:t xml:space="preserve">Návrh NARIADENIA RADY o rozšírení uplatňovania nariadenia (EÚ) č. .../2018, ktorým sa stanovuje výmenný, pomocný a školiaci program na ochranu eura proti falšovaniu na obdobie rokov 2021 – 2027 (program „Pericles IV“), na nezúčastnené členské štáty  COM(2018) 371 final 2018/0219 (APP) 31.5.2018 </w:t>
            </w:r>
          </w:p>
        </w:tc>
        <w:tc>
          <w:tcPr>
            <w:tcW w:w="1499" w:type="dxa"/>
            <w:gridSpan w:val="2"/>
            <w:tcBorders>
              <w:top w:val="single" w:sz="4" w:space="0" w:color="000000"/>
              <w:left w:val="single" w:sz="4" w:space="0" w:color="000000"/>
              <w:bottom w:val="single" w:sz="4" w:space="0" w:color="000000"/>
              <w:right w:val="single" w:sz="4" w:space="0" w:color="000000"/>
            </w:tcBorders>
          </w:tcPr>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 xml:space="preserve">MF SR </w:t>
            </w:r>
          </w:p>
          <w:p w:rsidR="00043D8B" w:rsidRPr="006458BF" w:rsidRDefault="00043D8B" w:rsidP="00D15EE0">
            <w:pPr>
              <w:spacing w:after="0"/>
              <w:ind w:left="4" w:right="49"/>
              <w:jc w:val="both"/>
              <w:rPr>
                <w:rFonts w:ascii="Times New Roman" w:hAnsi="Times New Roman"/>
                <w:b/>
                <w:sz w:val="20"/>
              </w:rPr>
            </w:pPr>
            <w:r w:rsidRPr="006458BF">
              <w:rPr>
                <w:rFonts w:ascii="Times New Roman" w:hAnsi="Times New Roman"/>
                <w:b/>
                <w:sz w:val="20"/>
              </w:rPr>
              <w:t xml:space="preserve">NBS </w:t>
            </w:r>
          </w:p>
        </w:tc>
        <w:tc>
          <w:tcPr>
            <w:tcW w:w="6238" w:type="dxa"/>
            <w:gridSpan w:val="2"/>
            <w:tcBorders>
              <w:top w:val="single" w:sz="4" w:space="0" w:color="000000"/>
              <w:left w:val="single" w:sz="4" w:space="0" w:color="000000"/>
              <w:bottom w:val="single" w:sz="4" w:space="0" w:color="000000"/>
              <w:right w:val="single" w:sz="4" w:space="0" w:color="000000"/>
            </w:tcBorders>
          </w:tcPr>
          <w:p w:rsidR="00043D8B" w:rsidRPr="00BD72C0" w:rsidRDefault="00043D8B" w:rsidP="00D15EE0">
            <w:pPr>
              <w:spacing w:after="0"/>
              <w:ind w:right="49"/>
              <w:jc w:val="both"/>
              <w:rPr>
                <w:rFonts w:ascii="Times New Roman" w:hAnsi="Times New Roman"/>
                <w:b/>
                <w:sz w:val="20"/>
                <w:u w:val="single"/>
              </w:rPr>
            </w:pPr>
            <w:r>
              <w:rPr>
                <w:rFonts w:ascii="Times New Roman" w:hAnsi="Times New Roman"/>
                <w:b/>
                <w:sz w:val="20"/>
                <w:u w:val="single"/>
              </w:rPr>
              <w:t xml:space="preserve">Stredná </w:t>
            </w:r>
            <w:r w:rsidRPr="00BD72C0">
              <w:rPr>
                <w:rFonts w:ascii="Times New Roman" w:hAnsi="Times New Roman"/>
                <w:b/>
                <w:sz w:val="20"/>
                <w:u w:val="single"/>
              </w:rPr>
              <w:t xml:space="preserve">priorita </w:t>
            </w:r>
          </w:p>
          <w:p w:rsidR="00043D8B" w:rsidRPr="008C5015" w:rsidRDefault="00043D8B" w:rsidP="00D15EE0">
            <w:pPr>
              <w:spacing w:after="0"/>
              <w:ind w:left="4" w:right="49"/>
              <w:jc w:val="both"/>
              <w:rPr>
                <w:rFonts w:ascii="Times New Roman" w:hAnsi="Times New Roman"/>
                <w:sz w:val="20"/>
              </w:rPr>
            </w:pPr>
            <w:r>
              <w:rPr>
                <w:rFonts w:ascii="Times New Roman" w:hAnsi="Times New Roman"/>
                <w:sz w:val="20"/>
              </w:rPr>
              <w:t xml:space="preserve">SR </w:t>
            </w:r>
            <w:r w:rsidRPr="00DB03CC">
              <w:rPr>
                <w:rFonts w:ascii="Times New Roman" w:hAnsi="Times New Roman"/>
                <w:sz w:val="20"/>
              </w:rPr>
              <w:t>podporuje aktivity projektu Pericles, ktorý je programom na výmenu informácii a skúseností v boji proti falšovaniu eurobankoviek a euromincí medzi jednotlivými kooperujúcimi národnými a medzinárodnými zložkami</w:t>
            </w:r>
            <w:r>
              <w:rPr>
                <w:rFonts w:ascii="Times New Roman" w:hAnsi="Times New Roman"/>
                <w:sz w:val="20"/>
              </w:rPr>
              <w:t>.</w:t>
            </w:r>
            <w:r w:rsidRPr="00DB03CC">
              <w:rPr>
                <w:rFonts w:ascii="Times New Roman" w:hAnsi="Times New Roman"/>
                <w:sz w:val="20"/>
              </w:rPr>
              <w:t xml:space="preserve"> Program Pericles je určený pre jednotlivé národné zložky polície, ktoré bojujú proti falšovaniu eura na národnej úrovní a súčasne pre medzinárodné policajné zložky, pôsobiace na území EÚ – EUROPOL, OLAF a ostatné národné a medzinárodné zložky participujúce na boji proti falšovaniu eura – ECB, EK, ETSC, národné zložky NAC a CNAC, prokuratúry a súdy.</w:t>
            </w:r>
            <w:r>
              <w:t xml:space="preserve"> </w:t>
            </w:r>
          </w:p>
        </w:tc>
      </w:tr>
    </w:tbl>
    <w:tbl>
      <w:tblPr>
        <w:tblW w:w="15034"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034"/>
      </w:tblGrid>
      <w:tr w:rsidR="00043D8B" w:rsidRPr="00FF18DF" w:rsidTr="00043D8B">
        <w:trPr>
          <w:trHeight w:val="709"/>
        </w:trPr>
        <w:tc>
          <w:tcPr>
            <w:tcW w:w="15034" w:type="dxa"/>
          </w:tcPr>
          <w:tbl>
            <w:tblPr>
              <w:tblStyle w:val="ablnaChar"/>
              <w:tblW w:w="18546" w:type="dxa"/>
              <w:tblLayout w:type="fixed"/>
              <w:tblCellMar>
                <w:top w:w="61" w:type="dxa"/>
                <w:left w:w="83" w:type="dxa"/>
                <w:right w:w="32" w:type="dxa"/>
              </w:tblCellMar>
              <w:tblLook w:val="04A0" w:firstRow="1" w:lastRow="0" w:firstColumn="1" w:lastColumn="0" w:noHBand="0" w:noVBand="1"/>
            </w:tblPr>
            <w:tblGrid>
              <w:gridCol w:w="18546"/>
            </w:tblGrid>
            <w:tr w:rsidR="00043D8B" w:rsidRPr="00FF18DF" w:rsidTr="00B1660F">
              <w:trPr>
                <w:trHeight w:val="605"/>
              </w:trPr>
              <w:tc>
                <w:tcPr>
                  <w:tcW w:w="18546" w:type="dxa"/>
                  <w:tcBorders>
                    <w:top w:val="single" w:sz="4" w:space="0" w:color="auto"/>
                    <w:left w:val="single" w:sz="4" w:space="0" w:color="auto"/>
                    <w:bottom w:val="single" w:sz="4" w:space="0" w:color="auto"/>
                    <w:right w:val="single" w:sz="4" w:space="0" w:color="auto"/>
                  </w:tcBorders>
                  <w:shd w:val="clear" w:color="auto" w:fill="92D050"/>
                  <w:vAlign w:val="center"/>
                </w:tcPr>
                <w:p w:rsidR="00043D8B" w:rsidRPr="003C70E4" w:rsidRDefault="00043D8B" w:rsidP="00D15EE0">
                  <w:pPr>
                    <w:spacing w:after="0"/>
                    <w:jc w:val="both"/>
                    <w:rPr>
                      <w:rFonts w:ascii="Times New Roman" w:hAnsi="Times New Roman"/>
                      <w:b/>
                      <w:sz w:val="20"/>
                    </w:rPr>
                  </w:pPr>
                  <w:r w:rsidRPr="003C70E4">
                    <w:rPr>
                      <w:rFonts w:ascii="Times New Roman" w:hAnsi="Times New Roman"/>
                      <w:b/>
                      <w:sz w:val="20"/>
                    </w:rPr>
                    <w:t xml:space="preserve">Obchod:  Vyvážená a pokroková obchodná politika na využívanie migrácie                                                                                                                                                                                                   </w:t>
                  </w:r>
                </w:p>
              </w:tc>
            </w:tr>
          </w:tbl>
          <w:p w:rsidR="00043D8B" w:rsidRPr="00FF18DF" w:rsidRDefault="00043D8B" w:rsidP="00D15EE0">
            <w:pPr>
              <w:spacing w:after="0" w:line="240" w:lineRule="auto"/>
              <w:jc w:val="both"/>
              <w:rPr>
                <w:rFonts w:ascii="Times New Roman" w:hAnsi="Times New Roman" w:cs="Times New Roman"/>
                <w:sz w:val="20"/>
              </w:rPr>
            </w:pPr>
          </w:p>
        </w:tc>
      </w:tr>
    </w:tbl>
    <w:p w:rsidR="00043D8B" w:rsidRPr="00043D8B" w:rsidRDefault="00043D8B" w:rsidP="00D15EE0">
      <w:pPr>
        <w:spacing w:after="0"/>
        <w:jc w:val="both"/>
        <w:rPr>
          <w:vanish/>
        </w:rPr>
      </w:pPr>
    </w:p>
    <w:tbl>
      <w:tblPr>
        <w:tblStyle w:val="ablnaChar"/>
        <w:tblW w:w="20555" w:type="dxa"/>
        <w:tblInd w:w="-59" w:type="dxa"/>
        <w:tblCellMar>
          <w:top w:w="61" w:type="dxa"/>
          <w:left w:w="83" w:type="dxa"/>
          <w:right w:w="32" w:type="dxa"/>
        </w:tblCellMar>
        <w:tblLook w:val="04A0" w:firstRow="1" w:lastRow="0" w:firstColumn="1" w:lastColumn="0" w:noHBand="0" w:noVBand="1"/>
      </w:tblPr>
      <w:tblGrid>
        <w:gridCol w:w="383"/>
        <w:gridCol w:w="15"/>
        <w:gridCol w:w="10"/>
        <w:gridCol w:w="104"/>
        <w:gridCol w:w="1952"/>
        <w:gridCol w:w="4678"/>
        <w:gridCol w:w="1505"/>
        <w:gridCol w:w="6289"/>
        <w:gridCol w:w="5619"/>
      </w:tblGrid>
      <w:tr w:rsidR="00043D8B" w:rsidRPr="00FF18DF" w:rsidTr="00E63E2A">
        <w:trPr>
          <w:gridAfter w:val="1"/>
          <w:wAfter w:w="5619" w:type="dxa"/>
          <w:trHeight w:val="445"/>
        </w:trPr>
        <w:tc>
          <w:tcPr>
            <w:tcW w:w="512" w:type="dxa"/>
            <w:gridSpan w:val="4"/>
            <w:tcBorders>
              <w:top w:val="single" w:sz="34" w:space="0" w:color="FFFFFF"/>
              <w:left w:val="single" w:sz="4" w:space="0" w:color="000000"/>
              <w:bottom w:val="single" w:sz="4" w:space="0" w:color="auto"/>
              <w:right w:val="single" w:sz="4" w:space="0" w:color="000000"/>
            </w:tcBorders>
          </w:tcPr>
          <w:p w:rsidR="00043D8B" w:rsidRPr="00FF18DF" w:rsidRDefault="00043D8B" w:rsidP="00D15EE0">
            <w:pPr>
              <w:spacing w:after="0"/>
              <w:jc w:val="both"/>
              <w:rPr>
                <w:rFonts w:ascii="Times New Roman" w:hAnsi="Times New Roman"/>
                <w:sz w:val="20"/>
              </w:rPr>
            </w:pPr>
            <w:r>
              <w:rPr>
                <w:rFonts w:ascii="Times New Roman" w:hAnsi="Times New Roman"/>
                <w:sz w:val="20"/>
              </w:rPr>
              <w:t>55.</w:t>
            </w:r>
            <w:r w:rsidRPr="00FF18DF">
              <w:rPr>
                <w:rFonts w:ascii="Times New Roman" w:hAnsi="Times New Roman"/>
                <w:sz w:val="20"/>
              </w:rPr>
              <w:t xml:space="preserve"> </w:t>
            </w:r>
          </w:p>
        </w:tc>
        <w:tc>
          <w:tcPr>
            <w:tcW w:w="1952" w:type="dxa"/>
            <w:tcBorders>
              <w:top w:val="single" w:sz="34" w:space="0" w:color="FFFFFF"/>
              <w:left w:val="single" w:sz="4" w:space="0" w:color="000000"/>
              <w:bottom w:val="single" w:sz="4" w:space="0" w:color="auto"/>
              <w:right w:val="single" w:sz="4" w:space="0" w:color="000000"/>
            </w:tcBorders>
          </w:tcPr>
          <w:p w:rsidR="00043D8B" w:rsidRPr="00FF18DF" w:rsidRDefault="00043D8B" w:rsidP="00D15EE0">
            <w:pPr>
              <w:spacing w:after="0"/>
              <w:jc w:val="both"/>
              <w:rPr>
                <w:rFonts w:ascii="Times New Roman" w:hAnsi="Times New Roman"/>
                <w:sz w:val="20"/>
              </w:rPr>
            </w:pPr>
            <w:r>
              <w:rPr>
                <w:rFonts w:ascii="Times New Roman" w:hAnsi="Times New Roman"/>
                <w:sz w:val="20"/>
              </w:rPr>
              <w:t>Preverovanie priamych zahraničných investícií smerujúcich do Európskej únie</w:t>
            </w:r>
          </w:p>
        </w:tc>
        <w:tc>
          <w:tcPr>
            <w:tcW w:w="4678" w:type="dxa"/>
            <w:tcBorders>
              <w:top w:val="single" w:sz="34" w:space="0" w:color="FFFFFF"/>
              <w:left w:val="single" w:sz="4" w:space="0" w:color="000000"/>
              <w:bottom w:val="single" w:sz="4" w:space="0" w:color="auto"/>
              <w:right w:val="single" w:sz="4" w:space="0" w:color="000000"/>
            </w:tcBorders>
          </w:tcPr>
          <w:p w:rsidR="00043D8B" w:rsidRPr="00FF18DF" w:rsidRDefault="00043D8B" w:rsidP="00D15EE0">
            <w:pPr>
              <w:spacing w:after="0"/>
              <w:jc w:val="both"/>
              <w:rPr>
                <w:rFonts w:ascii="Times New Roman" w:hAnsi="Times New Roman"/>
                <w:sz w:val="20"/>
              </w:rPr>
            </w:pPr>
            <w:r>
              <w:rPr>
                <w:rFonts w:ascii="Times New Roman" w:hAnsi="Times New Roman"/>
                <w:sz w:val="20"/>
              </w:rPr>
              <w:t>Návrh NARIADENIA EURÓPSKEHO PARLAMENTU A RADY, ktorým sa stanovuje rámec na preverovanie priamych zahraničných investícií do Európskej únie* COM(2017) 487 final  2017/0224 (COD)  13. 9. 2017</w:t>
            </w:r>
          </w:p>
        </w:tc>
        <w:tc>
          <w:tcPr>
            <w:tcW w:w="1505" w:type="dxa"/>
            <w:tcBorders>
              <w:top w:val="single" w:sz="34" w:space="0" w:color="FFFFFF"/>
              <w:left w:val="single" w:sz="4" w:space="0" w:color="000000"/>
              <w:bottom w:val="single" w:sz="4" w:space="0" w:color="auto"/>
              <w:right w:val="single" w:sz="4" w:space="0" w:color="000000"/>
            </w:tcBorders>
          </w:tcPr>
          <w:p w:rsidR="00043D8B" w:rsidRPr="006458BF" w:rsidRDefault="00043D8B" w:rsidP="00D15EE0">
            <w:pPr>
              <w:spacing w:after="0"/>
              <w:jc w:val="both"/>
              <w:rPr>
                <w:rFonts w:ascii="Times New Roman" w:hAnsi="Times New Roman"/>
                <w:b/>
                <w:sz w:val="20"/>
              </w:rPr>
            </w:pPr>
            <w:r w:rsidRPr="006458BF">
              <w:rPr>
                <w:rFonts w:ascii="Times New Roman" w:hAnsi="Times New Roman"/>
                <w:b/>
                <w:sz w:val="20"/>
              </w:rPr>
              <w:t xml:space="preserve"> MH SR</w:t>
            </w:r>
          </w:p>
          <w:p w:rsidR="00043D8B" w:rsidRPr="006458BF" w:rsidRDefault="00043D8B" w:rsidP="00D15EE0">
            <w:pPr>
              <w:spacing w:after="0"/>
              <w:jc w:val="both"/>
              <w:rPr>
                <w:rFonts w:ascii="Times New Roman" w:hAnsi="Times New Roman"/>
                <w:b/>
                <w:sz w:val="20"/>
              </w:rPr>
            </w:pPr>
            <w:r w:rsidRPr="006458BF">
              <w:rPr>
                <w:rFonts w:ascii="Times New Roman" w:hAnsi="Times New Roman"/>
                <w:b/>
                <w:sz w:val="20"/>
              </w:rPr>
              <w:t>MF SR</w:t>
            </w:r>
          </w:p>
          <w:p w:rsidR="00043D8B" w:rsidRPr="006458BF" w:rsidRDefault="00043D8B" w:rsidP="00D15EE0">
            <w:pPr>
              <w:spacing w:after="0"/>
              <w:jc w:val="both"/>
              <w:rPr>
                <w:rFonts w:ascii="Times New Roman" w:hAnsi="Times New Roman"/>
                <w:b/>
                <w:sz w:val="20"/>
              </w:rPr>
            </w:pPr>
            <w:r w:rsidRPr="006458BF">
              <w:rPr>
                <w:rFonts w:ascii="Times New Roman" w:hAnsi="Times New Roman"/>
                <w:b/>
                <w:sz w:val="20"/>
              </w:rPr>
              <w:t>NBS</w:t>
            </w:r>
          </w:p>
          <w:p w:rsidR="00043D8B" w:rsidRPr="006458BF" w:rsidRDefault="00043D8B" w:rsidP="00D15EE0">
            <w:pPr>
              <w:spacing w:after="0"/>
              <w:jc w:val="both"/>
              <w:rPr>
                <w:rFonts w:ascii="Times New Roman" w:hAnsi="Times New Roman"/>
                <w:b/>
                <w:sz w:val="20"/>
              </w:rPr>
            </w:pPr>
            <w:r w:rsidRPr="006458BF">
              <w:rPr>
                <w:rFonts w:ascii="Times New Roman" w:hAnsi="Times New Roman"/>
                <w:b/>
                <w:sz w:val="20"/>
              </w:rPr>
              <w:t>ÚPVVII</w:t>
            </w:r>
          </w:p>
          <w:p w:rsidR="00043D8B" w:rsidRPr="006458BF" w:rsidRDefault="00043D8B" w:rsidP="00D15EE0">
            <w:pPr>
              <w:spacing w:after="0"/>
              <w:jc w:val="both"/>
              <w:rPr>
                <w:rFonts w:ascii="Times New Roman" w:hAnsi="Times New Roman"/>
                <w:b/>
                <w:sz w:val="20"/>
              </w:rPr>
            </w:pPr>
            <w:r w:rsidRPr="006458BF">
              <w:rPr>
                <w:rFonts w:ascii="Times New Roman" w:hAnsi="Times New Roman"/>
                <w:b/>
                <w:sz w:val="20"/>
              </w:rPr>
              <w:t xml:space="preserve">                    </w:t>
            </w:r>
          </w:p>
        </w:tc>
        <w:tc>
          <w:tcPr>
            <w:tcW w:w="6289" w:type="dxa"/>
            <w:tcBorders>
              <w:top w:val="single" w:sz="34" w:space="0" w:color="FFFFFF"/>
              <w:left w:val="single" w:sz="4" w:space="0" w:color="000000"/>
              <w:bottom w:val="single" w:sz="4" w:space="0" w:color="auto"/>
              <w:right w:val="single" w:sz="4" w:space="0" w:color="auto"/>
            </w:tcBorders>
          </w:tcPr>
          <w:p w:rsidR="00043D8B" w:rsidRPr="00043D8B" w:rsidRDefault="00043D8B" w:rsidP="00D15EE0">
            <w:pPr>
              <w:spacing w:after="0"/>
              <w:jc w:val="both"/>
              <w:rPr>
                <w:rFonts w:ascii="Times New Roman" w:hAnsi="Times New Roman"/>
                <w:b/>
                <w:color w:val="auto"/>
                <w:sz w:val="20"/>
                <w:szCs w:val="20"/>
                <w:u w:val="single"/>
              </w:rPr>
            </w:pPr>
            <w:r w:rsidRPr="00F915E0">
              <w:rPr>
                <w:rFonts w:ascii="Times New Roman" w:hAnsi="Times New Roman"/>
                <w:b/>
                <w:sz w:val="20"/>
                <w:szCs w:val="20"/>
                <w:u w:val="single"/>
              </w:rPr>
              <w:t xml:space="preserve">Stredná priorita  </w:t>
            </w:r>
          </w:p>
          <w:p w:rsidR="00043D8B" w:rsidRPr="003C70E4" w:rsidRDefault="00043D8B" w:rsidP="00D15EE0">
            <w:pPr>
              <w:spacing w:after="0"/>
              <w:jc w:val="both"/>
              <w:rPr>
                <w:rFonts w:ascii="Times New Roman" w:hAnsi="Times New Roman"/>
                <w:sz w:val="20"/>
                <w:szCs w:val="20"/>
              </w:rPr>
            </w:pPr>
            <w:r>
              <w:rPr>
                <w:rFonts w:ascii="Times New Roman" w:hAnsi="Times New Roman"/>
                <w:sz w:val="20"/>
                <w:szCs w:val="20"/>
              </w:rPr>
              <w:t xml:space="preserve">Hoci sa v súčasnosti v SR mechanizmus preverovania priamych zahraničných investícií neuplatňuje, SR sa stotožňuje s cieľom predloženého návrhu EK. SR je otvorená priamym zahraničným investíciám. Nemožno však vylúčiť, že v budúcnosti budú narastať priame zahraničné investície do kritickej infraštruktúry a kritických technológií zo strany investorov, ktorí budú sledovať iné ako ekonomické ciele. SR preto bude počas rokovaní venovať osobitnú pozornosť napr. nasledujúcim prvkom nariadenia: definícia priamych zahraničných investícií; verejný poriadok, bezpečnosť, kritická infraštruktúra a technológie; miera administratívnej záťaže, kontaktné body, notifikačná povinnosť, pripomienky, výročné správy). Osobitne je potrebné objasniť povinnosť členských štátov v maximálnej možnej miere vziať do úvahy stanovisko EK k priamym zahraničným investíciám, pri ktorých existuje záujem EÚ, a to najmä v prípade, že členský štát neuplatňuje preverovanie priamych zahraničných investícií. Cieľom SR počas rokovaní o tomto návrhu EK je zamedziť </w:t>
            </w:r>
            <w:r>
              <w:rPr>
                <w:rFonts w:ascii="Times New Roman" w:hAnsi="Times New Roman"/>
                <w:i/>
                <w:sz w:val="20"/>
                <w:szCs w:val="20"/>
              </w:rPr>
              <w:t>de facto</w:t>
            </w:r>
            <w:r>
              <w:rPr>
                <w:rFonts w:ascii="Times New Roman" w:hAnsi="Times New Roman"/>
                <w:sz w:val="20"/>
                <w:szCs w:val="20"/>
              </w:rPr>
              <w:t xml:space="preserve"> povinnému zavedeniu povinného preverovania PZI a zabezpečiť prijateľnú mieru dodatočnej administratívnej záťaže.</w:t>
            </w:r>
          </w:p>
        </w:tc>
      </w:tr>
      <w:tr w:rsidR="00043D8B" w:rsidRPr="00FF18DF" w:rsidTr="00E63E2A">
        <w:trPr>
          <w:gridAfter w:val="1"/>
          <w:wAfter w:w="5619" w:type="dxa"/>
          <w:trHeight w:val="608"/>
        </w:trPr>
        <w:tc>
          <w:tcPr>
            <w:tcW w:w="512" w:type="dxa"/>
            <w:gridSpan w:val="4"/>
            <w:tcBorders>
              <w:top w:val="single" w:sz="4" w:space="0" w:color="auto"/>
              <w:left w:val="single" w:sz="4" w:space="0" w:color="auto"/>
              <w:bottom w:val="single" w:sz="4" w:space="0" w:color="auto"/>
              <w:right w:val="single" w:sz="4" w:space="0" w:color="auto"/>
            </w:tcBorders>
          </w:tcPr>
          <w:p w:rsidR="00043D8B" w:rsidRPr="008114F7" w:rsidRDefault="00043D8B" w:rsidP="00D15EE0">
            <w:pPr>
              <w:spacing w:after="0"/>
              <w:jc w:val="both"/>
              <w:rPr>
                <w:rFonts w:ascii="Times New Roman" w:hAnsi="Times New Roman"/>
                <w:sz w:val="20"/>
              </w:rPr>
            </w:pPr>
            <w:r>
              <w:rPr>
                <w:rFonts w:ascii="Times New Roman" w:hAnsi="Times New Roman"/>
                <w:sz w:val="20"/>
              </w:rPr>
              <w:t>56.</w:t>
            </w:r>
            <w:r w:rsidRPr="008114F7">
              <w:rPr>
                <w:rFonts w:ascii="Times New Roman" w:hAnsi="Times New Roman"/>
                <w:sz w:val="20"/>
              </w:rPr>
              <w:t xml:space="preserve"> </w:t>
            </w:r>
            <w:r>
              <w:rPr>
                <w:rFonts w:ascii="Times New Roman" w:hAnsi="Times New Roman"/>
                <w:sz w:val="20"/>
              </w:rPr>
              <w:t xml:space="preserve"> </w:t>
            </w:r>
          </w:p>
        </w:tc>
        <w:tc>
          <w:tcPr>
            <w:tcW w:w="1952" w:type="dxa"/>
            <w:tcBorders>
              <w:top w:val="single" w:sz="4" w:space="0" w:color="auto"/>
              <w:left w:val="single" w:sz="4" w:space="0" w:color="auto"/>
              <w:bottom w:val="single" w:sz="4" w:space="0" w:color="auto"/>
              <w:right w:val="single" w:sz="4" w:space="0" w:color="auto"/>
            </w:tcBorders>
          </w:tcPr>
          <w:p w:rsidR="00043D8B" w:rsidRPr="008114F7" w:rsidRDefault="00043D8B" w:rsidP="00D15EE0">
            <w:pPr>
              <w:spacing w:after="0"/>
              <w:jc w:val="both"/>
              <w:rPr>
                <w:rFonts w:ascii="Times New Roman" w:hAnsi="Times New Roman"/>
                <w:sz w:val="20"/>
              </w:rPr>
            </w:pPr>
            <w:r>
              <w:rPr>
                <w:rFonts w:ascii="Times New Roman" w:hAnsi="Times New Roman"/>
                <w:sz w:val="20"/>
              </w:rPr>
              <w:t xml:space="preserve">Zmenený návrh, prístup tovaru a služieb tretích krajín na vnútorný trh Európskej únie  </w:t>
            </w:r>
          </w:p>
          <w:p w:rsidR="00043D8B" w:rsidRPr="008114F7" w:rsidRDefault="00043D8B" w:rsidP="00D15EE0">
            <w:pPr>
              <w:spacing w:after="0"/>
              <w:jc w:val="both"/>
              <w:rPr>
                <w:rFonts w:ascii="Times New Roman" w:hAnsi="Times New Roman"/>
                <w:sz w:val="20"/>
              </w:rPr>
            </w:pPr>
            <w:r>
              <w:rPr>
                <w:rFonts w:ascii="Times New Roman" w:hAnsi="Times New Roman"/>
                <w:sz w:val="20"/>
              </w:rPr>
              <w:t xml:space="preserve">(verejné obstarávanie s účasťou tretích krajín) </w:t>
            </w:r>
          </w:p>
        </w:tc>
        <w:tc>
          <w:tcPr>
            <w:tcW w:w="4678" w:type="dxa"/>
            <w:tcBorders>
              <w:top w:val="single" w:sz="4" w:space="0" w:color="auto"/>
              <w:left w:val="single" w:sz="4" w:space="0" w:color="auto"/>
              <w:bottom w:val="single" w:sz="4" w:space="0" w:color="auto"/>
              <w:right w:val="single" w:sz="4" w:space="0" w:color="auto"/>
            </w:tcBorders>
          </w:tcPr>
          <w:p w:rsidR="00043D8B" w:rsidRPr="008114F7" w:rsidRDefault="00043D8B" w:rsidP="00D15EE0">
            <w:pPr>
              <w:spacing w:after="0"/>
              <w:jc w:val="both"/>
              <w:rPr>
                <w:rFonts w:ascii="Times New Roman" w:hAnsi="Times New Roman"/>
                <w:sz w:val="20"/>
              </w:rPr>
            </w:pPr>
            <w:r>
              <w:rPr>
                <w:rFonts w:ascii="Times New Roman" w:hAnsi="Times New Roman"/>
                <w:sz w:val="20"/>
              </w:rPr>
              <w:t>Návrh NARIADENIA EURÓPSKEHO PARLAMENTU A RADY o prístupe tovaru a služieb tretích krajín na vnútorný trh verejného obstarávania Únie a o postupoch podporujúcich rokovania o prístupe tovaru a služieb Únie na trhy verejného obstarávania tretích krajín** COM(2016) 34 final 2012/0060 (COD) 29.1.2016</w:t>
            </w:r>
          </w:p>
        </w:tc>
        <w:tc>
          <w:tcPr>
            <w:tcW w:w="1505" w:type="dxa"/>
            <w:tcBorders>
              <w:top w:val="single" w:sz="4" w:space="0" w:color="auto"/>
              <w:left w:val="single" w:sz="4" w:space="0" w:color="auto"/>
              <w:bottom w:val="single" w:sz="4" w:space="0" w:color="auto"/>
              <w:right w:val="single" w:sz="4" w:space="0" w:color="auto"/>
            </w:tcBorders>
          </w:tcPr>
          <w:p w:rsidR="00043D8B" w:rsidRPr="006458BF" w:rsidRDefault="00043D8B" w:rsidP="00D15EE0">
            <w:pPr>
              <w:spacing w:after="0"/>
              <w:jc w:val="both"/>
              <w:rPr>
                <w:rFonts w:ascii="Times New Roman" w:hAnsi="Times New Roman"/>
                <w:b/>
                <w:sz w:val="20"/>
              </w:rPr>
            </w:pPr>
            <w:r w:rsidRPr="006458BF">
              <w:rPr>
                <w:rFonts w:ascii="Times New Roman" w:hAnsi="Times New Roman"/>
                <w:b/>
                <w:sz w:val="20"/>
              </w:rPr>
              <w:t>MH SR</w:t>
            </w:r>
          </w:p>
        </w:tc>
        <w:tc>
          <w:tcPr>
            <w:tcW w:w="6289" w:type="dxa"/>
            <w:tcBorders>
              <w:top w:val="single" w:sz="4" w:space="0" w:color="auto"/>
              <w:left w:val="single" w:sz="4" w:space="0" w:color="auto"/>
              <w:bottom w:val="single" w:sz="4" w:space="0" w:color="auto"/>
              <w:right w:val="single" w:sz="4" w:space="0" w:color="auto"/>
            </w:tcBorders>
          </w:tcPr>
          <w:p w:rsidR="00043D8B" w:rsidRPr="00043D8B" w:rsidRDefault="00043D8B" w:rsidP="00D15EE0">
            <w:pPr>
              <w:spacing w:after="0"/>
              <w:jc w:val="both"/>
              <w:rPr>
                <w:rFonts w:ascii="Times New Roman" w:hAnsi="Times New Roman"/>
                <w:b/>
                <w:color w:val="auto"/>
                <w:sz w:val="20"/>
                <w:szCs w:val="20"/>
                <w:u w:val="single"/>
              </w:rPr>
            </w:pPr>
            <w:r w:rsidRPr="00F915E0">
              <w:rPr>
                <w:rFonts w:ascii="Times New Roman" w:hAnsi="Times New Roman"/>
                <w:b/>
                <w:sz w:val="20"/>
                <w:szCs w:val="20"/>
                <w:u w:val="single"/>
              </w:rPr>
              <w:t xml:space="preserve">Nízka priorita                           </w:t>
            </w:r>
          </w:p>
          <w:p w:rsidR="00043D8B" w:rsidRPr="008114F7" w:rsidRDefault="00043D8B" w:rsidP="00D15EE0">
            <w:pPr>
              <w:spacing w:after="0"/>
              <w:jc w:val="both"/>
              <w:rPr>
                <w:rFonts w:ascii="Times New Roman" w:hAnsi="Times New Roman"/>
                <w:sz w:val="20"/>
              </w:rPr>
            </w:pPr>
            <w:r>
              <w:rPr>
                <w:rFonts w:ascii="Times New Roman" w:hAnsi="Times New Roman"/>
                <w:sz w:val="20"/>
                <w:szCs w:val="20"/>
              </w:rPr>
              <w:t xml:space="preserve">SR podporuje návrh týkajúci sa nástroja medzinárodného obstarávania, ktorý je reakciou EÚ na nerovnaké podmienky na trhoch verejného obstarávania vo svete. Zatiaľ čo trh verejného obstarávania v EÚ je otvorený pre zahraničných uchádzačov, trhy verejného obstarávania pre zahraničné tovary a služby v tretích krajinách zostávajú do veľkej miery uzatvorené </w:t>
            </w:r>
            <w:r>
              <w:rPr>
                <w:rFonts w:ascii="Times New Roman" w:hAnsi="Times New Roman"/>
                <w:i/>
                <w:sz w:val="20"/>
                <w:szCs w:val="20"/>
              </w:rPr>
              <w:t>de iure</w:t>
            </w:r>
            <w:r>
              <w:rPr>
                <w:rFonts w:ascii="Times New Roman" w:hAnsi="Times New Roman"/>
                <w:sz w:val="20"/>
                <w:szCs w:val="20"/>
              </w:rPr>
              <w:t xml:space="preserve"> alebo </w:t>
            </w:r>
            <w:r>
              <w:rPr>
                <w:rFonts w:ascii="Times New Roman" w:hAnsi="Times New Roman"/>
                <w:i/>
                <w:sz w:val="20"/>
                <w:szCs w:val="20"/>
              </w:rPr>
              <w:t>de facto.</w:t>
            </w:r>
            <w:r>
              <w:rPr>
                <w:rFonts w:ascii="Times New Roman" w:hAnsi="Times New Roman"/>
                <w:sz w:val="20"/>
                <w:szCs w:val="20"/>
              </w:rPr>
              <w:t xml:space="preserve"> Cieľom návrhu je povzbudiť tretie krajiny, aby sa zapojili do rokovaní, a umožniť účasť uchádzačom a tovaru z EÚ na ponukových konaniach v tretích krajinách.</w:t>
            </w:r>
          </w:p>
        </w:tc>
      </w:tr>
      <w:tr w:rsidR="00043D8B" w:rsidRPr="00FF18DF" w:rsidTr="00E63E2A">
        <w:tblPrEx>
          <w:tblCellMar>
            <w:top w:w="64" w:type="dxa"/>
            <w:right w:w="22" w:type="dxa"/>
          </w:tblCellMar>
        </w:tblPrEx>
        <w:trPr>
          <w:gridAfter w:val="1"/>
          <w:wAfter w:w="5619" w:type="dxa"/>
          <w:trHeight w:val="1469"/>
        </w:trPr>
        <w:tc>
          <w:tcPr>
            <w:tcW w:w="383" w:type="dxa"/>
            <w:tcBorders>
              <w:top w:val="single" w:sz="4" w:space="0" w:color="000000"/>
              <w:left w:val="single" w:sz="4" w:space="0" w:color="000000"/>
              <w:bottom w:val="single" w:sz="34" w:space="0" w:color="92D050"/>
              <w:right w:val="single" w:sz="4" w:space="0" w:color="000000"/>
            </w:tcBorders>
          </w:tcPr>
          <w:p w:rsidR="00043D8B" w:rsidRPr="00FF18DF" w:rsidRDefault="00043D8B" w:rsidP="00D15EE0">
            <w:pPr>
              <w:spacing w:after="0"/>
              <w:jc w:val="both"/>
              <w:rPr>
                <w:rFonts w:ascii="Times New Roman" w:hAnsi="Times New Roman"/>
                <w:sz w:val="20"/>
              </w:rPr>
            </w:pPr>
            <w:r>
              <w:rPr>
                <w:rFonts w:ascii="Times New Roman" w:hAnsi="Times New Roman"/>
                <w:sz w:val="20"/>
              </w:rPr>
              <w:t>57.</w:t>
            </w:r>
            <w:r w:rsidRPr="00FF18DF">
              <w:rPr>
                <w:rFonts w:ascii="Times New Roman" w:hAnsi="Times New Roman"/>
                <w:sz w:val="20"/>
              </w:rPr>
              <w:t xml:space="preserve"> </w:t>
            </w:r>
            <w:r>
              <w:rPr>
                <w:rFonts w:ascii="Times New Roman" w:hAnsi="Times New Roman"/>
                <w:sz w:val="20"/>
              </w:rPr>
              <w:t xml:space="preserve"> </w:t>
            </w:r>
          </w:p>
        </w:tc>
        <w:tc>
          <w:tcPr>
            <w:tcW w:w="2081" w:type="dxa"/>
            <w:gridSpan w:val="4"/>
            <w:tcBorders>
              <w:top w:val="single" w:sz="4" w:space="0" w:color="000000"/>
              <w:left w:val="single" w:sz="4" w:space="0" w:color="000000"/>
              <w:bottom w:val="single" w:sz="34" w:space="0" w:color="92D050"/>
              <w:right w:val="single" w:sz="4" w:space="0" w:color="000000"/>
            </w:tcBorders>
            <w:vAlign w:val="center"/>
          </w:tcPr>
          <w:p w:rsidR="00043D8B" w:rsidRPr="00FF18DF" w:rsidRDefault="00043D8B" w:rsidP="00D15EE0">
            <w:pPr>
              <w:spacing w:after="0"/>
              <w:jc w:val="both"/>
              <w:rPr>
                <w:rFonts w:ascii="Times New Roman" w:hAnsi="Times New Roman"/>
                <w:sz w:val="20"/>
              </w:rPr>
            </w:pPr>
            <w:r>
              <w:rPr>
                <w:rFonts w:ascii="Times New Roman" w:hAnsi="Times New Roman"/>
                <w:sz w:val="20"/>
              </w:rPr>
              <w:t xml:space="preserve">Colné kvóty         uvedené v listine </w:t>
            </w:r>
          </w:p>
          <w:p w:rsidR="00043D8B" w:rsidRPr="00FF18DF" w:rsidRDefault="00043D8B" w:rsidP="00D15EE0">
            <w:pPr>
              <w:spacing w:after="0"/>
              <w:jc w:val="both"/>
              <w:rPr>
                <w:rFonts w:ascii="Times New Roman" w:hAnsi="Times New Roman"/>
                <w:sz w:val="20"/>
              </w:rPr>
            </w:pPr>
            <w:r>
              <w:rPr>
                <w:rFonts w:ascii="Times New Roman" w:hAnsi="Times New Roman"/>
                <w:sz w:val="20"/>
              </w:rPr>
              <w:t xml:space="preserve">Svetovej obchodnej organizácie (WTO) pre Úniu po vystúpení Spojeného kráľovstva z Únie </w:t>
            </w:r>
          </w:p>
          <w:p w:rsidR="00043D8B" w:rsidRPr="00FF18DF" w:rsidRDefault="00043D8B" w:rsidP="00D15EE0">
            <w:pPr>
              <w:spacing w:after="0"/>
              <w:jc w:val="both"/>
              <w:rPr>
                <w:rFonts w:ascii="Times New Roman" w:hAnsi="Times New Roman"/>
                <w:sz w:val="20"/>
              </w:rPr>
            </w:pPr>
            <w:r w:rsidRPr="00FF18DF">
              <w:rPr>
                <w:rFonts w:ascii="Times New Roman" w:hAnsi="Times New Roman"/>
                <w:sz w:val="20"/>
              </w:rPr>
              <w:t>(pripravenosť na brexit)</w:t>
            </w:r>
            <w:r>
              <w:rPr>
                <w:rFonts w:ascii="Times New Roman" w:hAnsi="Times New Roman"/>
                <w:sz w:val="20"/>
              </w:rPr>
              <w:t xml:space="preserve"> </w:t>
            </w:r>
          </w:p>
        </w:tc>
        <w:tc>
          <w:tcPr>
            <w:tcW w:w="4678" w:type="dxa"/>
            <w:tcBorders>
              <w:top w:val="single" w:sz="4" w:space="0" w:color="000000"/>
              <w:left w:val="single" w:sz="4" w:space="0" w:color="000000"/>
              <w:bottom w:val="single" w:sz="34" w:space="0" w:color="92D050"/>
              <w:right w:val="single" w:sz="4" w:space="0" w:color="000000"/>
            </w:tcBorders>
          </w:tcPr>
          <w:p w:rsidR="00043D8B" w:rsidRPr="00FF18DF" w:rsidRDefault="00043D8B" w:rsidP="00D15EE0">
            <w:pPr>
              <w:spacing w:after="0"/>
              <w:jc w:val="both"/>
              <w:rPr>
                <w:rFonts w:ascii="Times New Roman" w:hAnsi="Times New Roman"/>
                <w:sz w:val="20"/>
              </w:rPr>
            </w:pPr>
            <w:r>
              <w:rPr>
                <w:rFonts w:ascii="Times New Roman" w:hAnsi="Times New Roman"/>
                <w:sz w:val="20"/>
              </w:rPr>
              <w:t xml:space="preserve"> Návrh NARIADENIA EURÓPSKEHO PARLAMENTU A RADY o proporčnom rozdelení colných kvót uvedených v listine WTO pre Úniu po vystúpení Spojeného kráľovstva z Únie a o zmene nariadenia Rady (ES) č. 32/2000 COM(2018) 312 2018/0158 (COD)  22. 5. 2018</w:t>
            </w:r>
          </w:p>
        </w:tc>
        <w:tc>
          <w:tcPr>
            <w:tcW w:w="1505" w:type="dxa"/>
            <w:tcBorders>
              <w:top w:val="single" w:sz="4" w:space="0" w:color="000000"/>
              <w:left w:val="single" w:sz="4" w:space="0" w:color="000000"/>
              <w:bottom w:val="single" w:sz="34" w:space="0" w:color="92D050"/>
              <w:right w:val="single" w:sz="4" w:space="0" w:color="000000"/>
            </w:tcBorders>
          </w:tcPr>
          <w:p w:rsidR="00043D8B" w:rsidRPr="006458BF" w:rsidRDefault="00043D8B" w:rsidP="00D15EE0">
            <w:pPr>
              <w:spacing w:after="0"/>
              <w:jc w:val="both"/>
              <w:rPr>
                <w:rFonts w:ascii="Times New Roman" w:hAnsi="Times New Roman"/>
                <w:b/>
                <w:sz w:val="20"/>
              </w:rPr>
            </w:pPr>
            <w:r w:rsidRPr="006458BF">
              <w:rPr>
                <w:rFonts w:ascii="Times New Roman" w:hAnsi="Times New Roman"/>
                <w:b/>
                <w:sz w:val="20"/>
              </w:rPr>
              <w:t>MH SR</w:t>
            </w:r>
          </w:p>
          <w:p w:rsidR="00043D8B" w:rsidRPr="006458BF" w:rsidRDefault="00043D8B" w:rsidP="00D15EE0">
            <w:pPr>
              <w:spacing w:after="0"/>
              <w:jc w:val="both"/>
              <w:rPr>
                <w:rFonts w:ascii="Times New Roman" w:hAnsi="Times New Roman"/>
                <w:b/>
                <w:sz w:val="20"/>
              </w:rPr>
            </w:pPr>
            <w:r w:rsidRPr="006458BF">
              <w:rPr>
                <w:rFonts w:ascii="Times New Roman" w:hAnsi="Times New Roman"/>
                <w:b/>
                <w:sz w:val="20"/>
              </w:rPr>
              <w:t>MF SR</w:t>
            </w:r>
          </w:p>
          <w:p w:rsidR="00043D8B" w:rsidRPr="006458BF" w:rsidRDefault="00043D8B" w:rsidP="00D15EE0">
            <w:pPr>
              <w:spacing w:after="0"/>
              <w:jc w:val="both"/>
              <w:rPr>
                <w:rFonts w:ascii="Times New Roman" w:hAnsi="Times New Roman"/>
                <w:b/>
                <w:sz w:val="20"/>
              </w:rPr>
            </w:pPr>
            <w:r w:rsidRPr="006458BF">
              <w:rPr>
                <w:rFonts w:ascii="Times New Roman" w:hAnsi="Times New Roman"/>
                <w:b/>
                <w:sz w:val="20"/>
              </w:rPr>
              <w:t>MPaRV SR</w:t>
            </w:r>
          </w:p>
          <w:p w:rsidR="00043D8B" w:rsidRPr="006458BF" w:rsidRDefault="00043D8B" w:rsidP="00D15EE0">
            <w:pPr>
              <w:spacing w:after="0"/>
              <w:jc w:val="both"/>
              <w:rPr>
                <w:rFonts w:ascii="Times New Roman" w:hAnsi="Times New Roman"/>
                <w:b/>
                <w:sz w:val="20"/>
              </w:rPr>
            </w:pPr>
          </w:p>
        </w:tc>
        <w:tc>
          <w:tcPr>
            <w:tcW w:w="6289" w:type="dxa"/>
            <w:tcBorders>
              <w:top w:val="single" w:sz="4" w:space="0" w:color="000000"/>
              <w:left w:val="single" w:sz="4" w:space="0" w:color="000000"/>
              <w:bottom w:val="single" w:sz="34" w:space="0" w:color="92D050"/>
              <w:right w:val="single" w:sz="4" w:space="0" w:color="000000"/>
            </w:tcBorders>
          </w:tcPr>
          <w:p w:rsidR="00043D8B" w:rsidRPr="00043D8B" w:rsidRDefault="00043D8B" w:rsidP="00D15EE0">
            <w:pPr>
              <w:spacing w:after="0"/>
              <w:jc w:val="both"/>
              <w:rPr>
                <w:rFonts w:ascii="Times New Roman" w:hAnsi="Times New Roman"/>
                <w:b/>
                <w:color w:val="auto"/>
                <w:sz w:val="20"/>
                <w:szCs w:val="20"/>
                <w:u w:val="single"/>
              </w:rPr>
            </w:pPr>
            <w:r w:rsidRPr="00F915E0">
              <w:rPr>
                <w:rFonts w:ascii="Times New Roman" w:hAnsi="Times New Roman"/>
                <w:b/>
                <w:sz w:val="20"/>
                <w:szCs w:val="20"/>
                <w:u w:val="single"/>
              </w:rPr>
              <w:t xml:space="preserve">Nízka priorita                           </w:t>
            </w:r>
          </w:p>
          <w:p w:rsidR="00043D8B" w:rsidRPr="00043D8B" w:rsidRDefault="00043D8B" w:rsidP="00D15EE0">
            <w:pPr>
              <w:spacing w:after="0"/>
              <w:jc w:val="both"/>
              <w:rPr>
                <w:rFonts w:ascii="Times New Roman" w:hAnsi="Times New Roman"/>
                <w:sz w:val="20"/>
              </w:rPr>
            </w:pPr>
            <w:r w:rsidRPr="00043D8B">
              <w:rPr>
                <w:rFonts w:ascii="Times New Roman" w:hAnsi="Times New Roman"/>
                <w:sz w:val="20"/>
              </w:rPr>
              <w:t>Colné kvóty uvedené v Listine koncesií a záväzkov EÚ, ktorá je pripojená k Všeobecnej dohode o clách a obchode z roku 1994, sa proporčne rozdelia medzi EÚ a Spojené kráľovstvo podľa metodiky, ktorá zohľadňuje podiel využitia každej individuálnej colnej kvóty Spojeným kráľovstvom za posledné reprezentatívne obdobie troch rokov.SR súhlasí s názorom, že rozdelenie uvedených colných kvót v súvislosti s vystúpením Spojeného kráľovstva z EÚ by mala byť technická záležitosť, pretože celkový objem každej colnej kvóty po rozdelení medzi EÚ 27 a UK sa nezmení.SR súhlasí s metodikou rozdelenia colných kvót a nemá pripomienky k výške jednotlivých colných kvót.SR súhlasí so splnomocnením Komisie na zmenu prílohy k navrhovanému nariadeniu a prílohy 1 k nariadeniu (ES) č. 32/2000.</w:t>
            </w:r>
          </w:p>
        </w:tc>
      </w:tr>
      <w:tr w:rsidR="00043D8B" w:rsidRPr="00FF18DF" w:rsidTr="00B1660F">
        <w:tblPrEx>
          <w:tblCellMar>
            <w:top w:w="64" w:type="dxa"/>
            <w:right w:w="22" w:type="dxa"/>
          </w:tblCellMar>
        </w:tblPrEx>
        <w:trPr>
          <w:trHeight w:val="343"/>
        </w:trPr>
        <w:tc>
          <w:tcPr>
            <w:tcW w:w="20555" w:type="dxa"/>
            <w:gridSpan w:val="9"/>
            <w:tcBorders>
              <w:top w:val="single" w:sz="34" w:space="0" w:color="92D050"/>
              <w:left w:val="single" w:sz="4" w:space="0" w:color="000000"/>
              <w:bottom w:val="single" w:sz="4" w:space="0" w:color="000000"/>
              <w:right w:val="single" w:sz="4" w:space="0" w:color="000000"/>
            </w:tcBorders>
            <w:shd w:val="clear" w:color="auto" w:fill="92D050"/>
          </w:tcPr>
          <w:p w:rsidR="00043D8B" w:rsidRPr="00FF18DF" w:rsidRDefault="00043D8B" w:rsidP="00D15EE0">
            <w:pPr>
              <w:jc w:val="both"/>
              <w:rPr>
                <w:rFonts w:ascii="Times New Roman" w:hAnsi="Times New Roman"/>
                <w:b/>
                <w:sz w:val="20"/>
              </w:rPr>
            </w:pPr>
            <w:r w:rsidRPr="00FF18DF">
              <w:rPr>
                <w:rFonts w:ascii="Times New Roman" w:hAnsi="Times New Roman"/>
                <w:b/>
                <w:sz w:val="20"/>
              </w:rPr>
              <w:t xml:space="preserve">Oblasť spravodlivosti a základných práv založená na vzájomnej dôvere </w:t>
            </w:r>
          </w:p>
        </w:tc>
      </w:tr>
      <w:tr w:rsidR="00043D8B" w:rsidRPr="00FF18DF" w:rsidTr="00E63E2A">
        <w:tblPrEx>
          <w:tblCellMar>
            <w:top w:w="64" w:type="dxa"/>
            <w:right w:w="22" w:type="dxa"/>
          </w:tblCellMar>
        </w:tblPrEx>
        <w:trPr>
          <w:gridAfter w:val="1"/>
          <w:wAfter w:w="5619" w:type="dxa"/>
          <w:trHeight w:val="906"/>
        </w:trPr>
        <w:tc>
          <w:tcPr>
            <w:tcW w:w="383" w:type="dxa"/>
            <w:tcBorders>
              <w:top w:val="single" w:sz="4" w:space="0" w:color="000000"/>
              <w:left w:val="single" w:sz="4" w:space="0" w:color="000000"/>
              <w:bottom w:val="single" w:sz="4" w:space="0" w:color="000000"/>
              <w:right w:val="single" w:sz="4" w:space="0" w:color="000000"/>
            </w:tcBorders>
          </w:tcPr>
          <w:p w:rsidR="00043D8B" w:rsidRPr="00FF18DF" w:rsidRDefault="00043D8B" w:rsidP="00D15EE0">
            <w:pPr>
              <w:spacing w:after="0"/>
              <w:jc w:val="both"/>
              <w:rPr>
                <w:rFonts w:ascii="Times New Roman" w:hAnsi="Times New Roman"/>
                <w:sz w:val="20"/>
              </w:rPr>
            </w:pPr>
            <w:r>
              <w:rPr>
                <w:rFonts w:ascii="Times New Roman" w:hAnsi="Times New Roman"/>
                <w:sz w:val="20"/>
              </w:rPr>
              <w:t>58.</w:t>
            </w:r>
            <w:r w:rsidRPr="00FF18DF">
              <w:rPr>
                <w:rFonts w:ascii="Times New Roman" w:hAnsi="Times New Roman"/>
                <w:sz w:val="20"/>
              </w:rPr>
              <w:t xml:space="preserve"> </w:t>
            </w:r>
            <w:r>
              <w:rPr>
                <w:rFonts w:ascii="Times New Roman" w:hAnsi="Times New Roman"/>
                <w:sz w:val="20"/>
              </w:rPr>
              <w:t xml:space="preserve"> </w:t>
            </w:r>
          </w:p>
        </w:tc>
        <w:tc>
          <w:tcPr>
            <w:tcW w:w="2081" w:type="dxa"/>
            <w:gridSpan w:val="4"/>
            <w:tcBorders>
              <w:top w:val="single" w:sz="4" w:space="0" w:color="000000"/>
              <w:left w:val="single" w:sz="4" w:space="0" w:color="000000"/>
              <w:bottom w:val="single" w:sz="4" w:space="0" w:color="000000"/>
              <w:right w:val="single" w:sz="4" w:space="0" w:color="000000"/>
            </w:tcBorders>
          </w:tcPr>
          <w:p w:rsidR="00043D8B" w:rsidRPr="00FF18DF" w:rsidRDefault="00043D8B" w:rsidP="00D15EE0">
            <w:pPr>
              <w:spacing w:after="0"/>
              <w:jc w:val="both"/>
              <w:rPr>
                <w:rFonts w:ascii="Times New Roman" w:hAnsi="Times New Roman"/>
                <w:sz w:val="20"/>
              </w:rPr>
            </w:pPr>
            <w:r>
              <w:rPr>
                <w:rFonts w:ascii="Times New Roman" w:hAnsi="Times New Roman"/>
                <w:sz w:val="20"/>
              </w:rPr>
              <w:t xml:space="preserve">Uvádzanie prekurzorov výbušnín na trh a ich používanie </w:t>
            </w:r>
          </w:p>
        </w:tc>
        <w:tc>
          <w:tcPr>
            <w:tcW w:w="4678"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jc w:val="both"/>
              <w:rPr>
                <w:rFonts w:ascii="Times New Roman" w:hAnsi="Times New Roman"/>
                <w:sz w:val="20"/>
              </w:rPr>
            </w:pPr>
            <w:r>
              <w:rPr>
                <w:rFonts w:ascii="Times New Roman" w:hAnsi="Times New Roman"/>
                <w:sz w:val="20"/>
              </w:rPr>
              <w:t>Návrh NARIADENIA EURÓPSKEHO PARLAMENTU A RADY o uvádzaní prekurzorov výbušnín na trh a ich používaní, ktorým sa mení príloha XVII k nariadeniu (ES) č. 1907/2006 a ktorým sa zrušuje nariadenie (EÚ) č. 98/2013 o uvádzaní prekurzorov výbušnín na trh a ich používaní**</w:t>
            </w:r>
          </w:p>
          <w:p w:rsidR="00043D8B" w:rsidRPr="00FF18DF" w:rsidRDefault="00043D8B" w:rsidP="00D15EE0">
            <w:pPr>
              <w:spacing w:after="0"/>
              <w:jc w:val="both"/>
              <w:rPr>
                <w:rFonts w:ascii="Times New Roman" w:hAnsi="Times New Roman"/>
                <w:sz w:val="20"/>
              </w:rPr>
            </w:pPr>
            <w:r>
              <w:rPr>
                <w:rFonts w:ascii="Times New Roman" w:hAnsi="Times New Roman"/>
                <w:sz w:val="20"/>
              </w:rPr>
              <w:t>COM(2018) 209 final 2018/0103 (COD)  17. 4. 2018</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D15EE0">
            <w:pPr>
              <w:spacing w:after="0"/>
              <w:jc w:val="both"/>
              <w:rPr>
                <w:rFonts w:ascii="Times New Roman" w:hAnsi="Times New Roman"/>
                <w:b/>
                <w:sz w:val="20"/>
              </w:rPr>
            </w:pPr>
            <w:r w:rsidRPr="006458BF">
              <w:rPr>
                <w:rFonts w:ascii="Times New Roman" w:hAnsi="Times New Roman"/>
                <w:b/>
                <w:sz w:val="20"/>
              </w:rPr>
              <w:t xml:space="preserve">MH SR </w:t>
            </w:r>
          </w:p>
          <w:p w:rsidR="00043D8B" w:rsidRPr="006458BF" w:rsidRDefault="00043D8B" w:rsidP="00D15EE0">
            <w:pPr>
              <w:spacing w:after="0"/>
              <w:jc w:val="both"/>
              <w:rPr>
                <w:rFonts w:ascii="Times New Roman" w:hAnsi="Times New Roman"/>
                <w:b/>
                <w:sz w:val="20"/>
              </w:rPr>
            </w:pPr>
            <w:r w:rsidRPr="006458BF">
              <w:rPr>
                <w:rFonts w:ascii="Times New Roman" w:hAnsi="Times New Roman"/>
                <w:b/>
                <w:sz w:val="20"/>
              </w:rPr>
              <w:t>MV SR</w:t>
            </w:r>
          </w:p>
          <w:p w:rsidR="00043D8B" w:rsidRPr="006458BF" w:rsidRDefault="00043D8B" w:rsidP="00D15EE0">
            <w:pPr>
              <w:spacing w:after="0"/>
              <w:jc w:val="both"/>
              <w:rPr>
                <w:rFonts w:ascii="Times New Roman" w:hAnsi="Times New Roman"/>
                <w:b/>
                <w:sz w:val="20"/>
              </w:rPr>
            </w:pPr>
          </w:p>
        </w:tc>
        <w:tc>
          <w:tcPr>
            <w:tcW w:w="6289" w:type="dxa"/>
            <w:tcBorders>
              <w:top w:val="single" w:sz="4" w:space="0" w:color="000000"/>
              <w:left w:val="single" w:sz="4" w:space="0" w:color="000000"/>
              <w:bottom w:val="single" w:sz="4" w:space="0" w:color="000000"/>
              <w:right w:val="single" w:sz="4" w:space="0" w:color="000000"/>
            </w:tcBorders>
          </w:tcPr>
          <w:p w:rsidR="00043D8B" w:rsidRPr="00660512" w:rsidRDefault="00043D8B" w:rsidP="00D15EE0">
            <w:pPr>
              <w:spacing w:after="0"/>
              <w:jc w:val="both"/>
              <w:rPr>
                <w:rFonts w:ascii="Times New Roman" w:hAnsi="Times New Roman"/>
                <w:b/>
                <w:color w:val="auto"/>
                <w:highlight w:val="yellow"/>
                <w:u w:val="single"/>
              </w:rPr>
            </w:pPr>
            <w:r w:rsidRPr="00043D8B">
              <w:rPr>
                <w:rFonts w:ascii="Times New Roman" w:hAnsi="Times New Roman"/>
                <w:b/>
                <w:sz w:val="20"/>
                <w:u w:val="single"/>
              </w:rPr>
              <w:t>Stredná priorita</w:t>
            </w:r>
          </w:p>
          <w:p w:rsidR="00043D8B" w:rsidRPr="00043D8B" w:rsidRDefault="00043D8B" w:rsidP="00D15EE0">
            <w:pPr>
              <w:spacing w:after="0"/>
              <w:jc w:val="both"/>
              <w:rPr>
                <w:rFonts w:ascii="Times New Roman" w:hAnsi="Times New Roman"/>
                <w:sz w:val="20"/>
              </w:rPr>
            </w:pPr>
            <w:r w:rsidRPr="00043D8B">
              <w:rPr>
                <w:rFonts w:ascii="Times New Roman" w:hAnsi="Times New Roman"/>
                <w:sz w:val="20"/>
              </w:rPr>
              <w:t>SR podporuje návrh znenia nového nariadenia. Prerokovávané Nariadenie má za cieľ nahradiť a v mnohých aspektoch vylepšiť aktuálne platné Nariadenie 98/2013.</w:t>
            </w:r>
          </w:p>
          <w:p w:rsidR="00043D8B" w:rsidRPr="00043D8B" w:rsidRDefault="00043D8B" w:rsidP="00D15EE0">
            <w:pPr>
              <w:spacing w:after="0"/>
              <w:jc w:val="both"/>
              <w:rPr>
                <w:rFonts w:ascii="Times New Roman" w:hAnsi="Times New Roman"/>
                <w:sz w:val="20"/>
              </w:rPr>
            </w:pPr>
            <w:r w:rsidRPr="00043D8B">
              <w:rPr>
                <w:rFonts w:ascii="Times New Roman" w:hAnsi="Times New Roman"/>
                <w:sz w:val="20"/>
              </w:rPr>
              <w:t>Pôvodné Nariadenie (EÚ) č. 98/2013 prispelo k zníženiu hrozby, ktorú predstavujú prekurzory výbušnín v Únii, a ktoré možno použiť na výrobu domácich výbušnín. V záujme zrozumiteľnosti bolo potrebné primerane nahradiť a upraviť pôvodné nariadenie (EÚ) č. 98/2013.</w:t>
            </w:r>
          </w:p>
          <w:p w:rsidR="00043D8B" w:rsidRPr="00043D8B" w:rsidRDefault="00043D8B" w:rsidP="00D15EE0">
            <w:pPr>
              <w:spacing w:after="0"/>
              <w:jc w:val="both"/>
              <w:rPr>
                <w:rFonts w:ascii="Times New Roman" w:hAnsi="Times New Roman"/>
                <w:sz w:val="20"/>
              </w:rPr>
            </w:pPr>
            <w:r w:rsidRPr="00043D8B">
              <w:rPr>
                <w:rFonts w:ascii="Times New Roman" w:hAnsi="Times New Roman"/>
                <w:sz w:val="20"/>
              </w:rPr>
              <w:t>Pre SR boli počas rokovaní najdôležitejšie dve otázky a to: 1.Online marketplace kde sa skupina krajín snažila o návrat k pôvodnému textu, ktorý nezavádzal monitorovaciu povinnosť pre online trhoviská pôsobiace ako sprostredkovatelia. 2.Delegované akty (čl. 15) kde SK nepodporovalo možnosť pre KOM pridať nové látky do prílohy I cez delegované akty. Trialógy začne RO PRES, očakáva sa dohoda ko-legislátorov do volieb do EP.</w:t>
            </w:r>
          </w:p>
          <w:p w:rsidR="00043D8B" w:rsidRPr="00FF18DF" w:rsidRDefault="00043D8B" w:rsidP="00D15EE0">
            <w:pPr>
              <w:spacing w:after="0"/>
              <w:jc w:val="both"/>
              <w:rPr>
                <w:rFonts w:ascii="Times New Roman" w:hAnsi="Times New Roman"/>
                <w:sz w:val="20"/>
              </w:rPr>
            </w:pPr>
            <w:r w:rsidRPr="00043D8B">
              <w:rPr>
                <w:rFonts w:ascii="Times New Roman" w:hAnsi="Times New Roman"/>
                <w:sz w:val="20"/>
              </w:rPr>
              <w:t>Text v súčasnej podobe predstavuje vyvážený kompromis medzi rôznymi požiadavkami krajín. Otvorenou otázkou zostáva znenie čl. 15, ktorý neumožňuje KOM dopĺňať látky do prílohy I cez delegované akty. KOM verí, že text bude zmenený v priebehu trialógov, nakoľko EP takúto možnosť (v zmysle pôvodného návrhu KOM) pripúšťa. KOM verí, že dohoda na návrhu bude dosiahnutá do konca inštitucionálneho cyklu.</w:t>
            </w:r>
          </w:p>
        </w:tc>
      </w:tr>
      <w:tr w:rsidR="00043D8B" w:rsidTr="00E63E2A">
        <w:tblPrEx>
          <w:tblCellMar>
            <w:top w:w="64" w:type="dxa"/>
            <w:right w:w="22" w:type="dxa"/>
          </w:tblCellMar>
        </w:tblPrEx>
        <w:trPr>
          <w:gridAfter w:val="1"/>
          <w:wAfter w:w="5619" w:type="dxa"/>
          <w:trHeight w:val="1330"/>
        </w:trPr>
        <w:tc>
          <w:tcPr>
            <w:tcW w:w="383"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pPr>
            <w:r>
              <w:rPr>
                <w:rFonts w:ascii="Times New Roman" w:hAnsi="Times New Roman"/>
                <w:sz w:val="20"/>
              </w:rPr>
              <w:t>59.</w:t>
            </w:r>
            <w:r>
              <w:rPr>
                <w:rFonts w:ascii="Arial" w:hAnsi="Arial" w:cs="Arial"/>
                <w:sz w:val="20"/>
              </w:rPr>
              <w:t xml:space="preserve"> </w:t>
            </w:r>
            <w:r>
              <w:rPr>
                <w:rFonts w:ascii="Times New Roman" w:hAnsi="Times New Roman"/>
                <w:sz w:val="20"/>
              </w:rPr>
              <w:t xml:space="preserve"> </w:t>
            </w:r>
          </w:p>
        </w:tc>
        <w:tc>
          <w:tcPr>
            <w:tcW w:w="2081" w:type="dxa"/>
            <w:gridSpan w:val="4"/>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ight="62"/>
            </w:pPr>
            <w:r>
              <w:rPr>
                <w:rFonts w:ascii="Times New Roman" w:hAnsi="Times New Roman"/>
                <w:sz w:val="20"/>
              </w:rPr>
              <w:t xml:space="preserve">Používanie finančných a iných informácií na účely prevencie, odhaľovania, vyšetrovania alebo trestného stíhania určitých trestných činov </w:t>
            </w:r>
          </w:p>
        </w:tc>
        <w:tc>
          <w:tcPr>
            <w:tcW w:w="4678"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jc w:val="both"/>
              <w:rPr>
                <w:rFonts w:ascii="Times New Roman" w:hAnsi="Times New Roman"/>
                <w:sz w:val="20"/>
              </w:rPr>
            </w:pPr>
            <w:r>
              <w:rPr>
                <w:rFonts w:ascii="Times New Roman" w:hAnsi="Times New Roman"/>
                <w:sz w:val="20"/>
              </w:rPr>
              <w:t>Návrh SMERNICE EURÓPSKEHO PARLAMENTU A RADY, ktorou sa stanovujú pravidlá uľahčovania využívania finančných a iných informácií na predchádzanie určitým trestným činom, ich odhaľovanie, vyšetrovanie alebo stíhanie a zrušuje rozhodnutie 2000/642/SVV* COM(2018) 213 final 2018/0105 (COD)  17. 4. 2018</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jc w:val="both"/>
              <w:rPr>
                <w:rFonts w:ascii="Times New Roman" w:hAnsi="Times New Roman"/>
                <w:b/>
                <w:sz w:val="20"/>
              </w:rPr>
            </w:pPr>
            <w:r w:rsidRPr="006458BF">
              <w:rPr>
                <w:rFonts w:ascii="Times New Roman" w:hAnsi="Times New Roman"/>
                <w:b/>
                <w:sz w:val="20"/>
              </w:rPr>
              <w:t>MV SR</w:t>
            </w:r>
          </w:p>
          <w:p w:rsidR="00043D8B" w:rsidRPr="006458BF" w:rsidRDefault="00043D8B" w:rsidP="00833647">
            <w:pPr>
              <w:spacing w:after="0"/>
              <w:jc w:val="both"/>
              <w:rPr>
                <w:rFonts w:ascii="Times New Roman" w:hAnsi="Times New Roman"/>
                <w:b/>
                <w:sz w:val="20"/>
              </w:rPr>
            </w:pPr>
            <w:r w:rsidRPr="006458BF">
              <w:rPr>
                <w:rFonts w:ascii="Times New Roman" w:hAnsi="Times New Roman"/>
                <w:b/>
                <w:sz w:val="20"/>
              </w:rPr>
              <w:t>MF SR</w:t>
            </w:r>
          </w:p>
        </w:tc>
        <w:tc>
          <w:tcPr>
            <w:tcW w:w="6289" w:type="dxa"/>
            <w:tcBorders>
              <w:top w:val="single" w:sz="4" w:space="0" w:color="000000"/>
              <w:left w:val="single" w:sz="4" w:space="0" w:color="000000"/>
              <w:bottom w:val="single" w:sz="4" w:space="0" w:color="000000"/>
              <w:right w:val="single" w:sz="4" w:space="0" w:color="000000"/>
            </w:tcBorders>
          </w:tcPr>
          <w:p w:rsidR="00043D8B" w:rsidRPr="00676AA1" w:rsidRDefault="00043D8B" w:rsidP="00833647">
            <w:pPr>
              <w:spacing w:after="0"/>
              <w:jc w:val="both"/>
              <w:rPr>
                <w:rFonts w:ascii="Times New Roman" w:hAnsi="Times New Roman"/>
                <w:b/>
                <w:color w:val="FF0000"/>
                <w:sz w:val="20"/>
                <w:u w:val="single"/>
              </w:rPr>
            </w:pPr>
            <w:r>
              <w:rPr>
                <w:rFonts w:ascii="Times New Roman" w:hAnsi="Times New Roman"/>
                <w:sz w:val="20"/>
              </w:rPr>
              <w:t xml:space="preserve"> </w:t>
            </w:r>
            <w:r w:rsidRPr="00676AA1">
              <w:rPr>
                <w:rFonts w:ascii="Times New Roman" w:hAnsi="Times New Roman"/>
                <w:b/>
                <w:sz w:val="20"/>
                <w:u w:val="single"/>
              </w:rPr>
              <w:t xml:space="preserve">Stredná priorita </w:t>
            </w:r>
            <w:r w:rsidRPr="00676AA1">
              <w:rPr>
                <w:rFonts w:ascii="Times New Roman" w:hAnsi="Times New Roman"/>
                <w:b/>
                <w:color w:val="FF0000"/>
                <w:sz w:val="20"/>
                <w:u w:val="single"/>
              </w:rPr>
              <w:t xml:space="preserve">      </w:t>
            </w:r>
          </w:p>
          <w:p w:rsidR="00043D8B" w:rsidRPr="00676AA1" w:rsidRDefault="00043D8B" w:rsidP="00833647">
            <w:pPr>
              <w:spacing w:after="0"/>
              <w:jc w:val="both"/>
              <w:rPr>
                <w:rFonts w:ascii="Times New Roman" w:hAnsi="Times New Roman"/>
                <w:color w:val="auto"/>
                <w:sz w:val="20"/>
              </w:rPr>
            </w:pPr>
            <w:r>
              <w:rPr>
                <w:rFonts w:ascii="Times New Roman" w:hAnsi="Times New Roman"/>
                <w:color w:val="auto"/>
                <w:sz w:val="20"/>
              </w:rPr>
              <w:t>Cieľom návrhu je prepojiť povinnosť vytvoriť centrálne bankové registre v ČŠ (implementácia smerníc proti praniu špinavých peňazí AML4 a AML5) s možnosťou priameho prístupu k údajom o bankových účtoch pre spravodajské jednotky finančných polícií (FIU) za účelom  vyšetrovania, s dôrazom na účinnejší boj proti financovaniu terorizmu a organizovaného zločinu</w:t>
            </w:r>
          </w:p>
        </w:tc>
      </w:tr>
      <w:tr w:rsidR="00043D8B" w:rsidTr="00E63E2A">
        <w:tblPrEx>
          <w:tblCellMar>
            <w:top w:w="64" w:type="dxa"/>
            <w:right w:w="22" w:type="dxa"/>
          </w:tblCellMar>
        </w:tblPrEx>
        <w:trPr>
          <w:gridAfter w:val="1"/>
          <w:wAfter w:w="5619" w:type="dxa"/>
          <w:trHeight w:val="869"/>
        </w:trPr>
        <w:tc>
          <w:tcPr>
            <w:tcW w:w="383"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pPr>
            <w:r>
              <w:rPr>
                <w:rFonts w:ascii="Times New Roman" w:hAnsi="Times New Roman"/>
                <w:sz w:val="20"/>
              </w:rPr>
              <w:t>60.</w:t>
            </w:r>
            <w:r>
              <w:rPr>
                <w:rFonts w:ascii="Arial" w:hAnsi="Arial" w:cs="Arial"/>
                <w:sz w:val="20"/>
              </w:rPr>
              <w:t xml:space="preserve"> </w:t>
            </w:r>
            <w:r>
              <w:rPr>
                <w:rFonts w:ascii="Times New Roman" w:hAnsi="Times New Roman"/>
                <w:sz w:val="20"/>
              </w:rPr>
              <w:t xml:space="preserve"> </w:t>
            </w:r>
          </w:p>
        </w:tc>
        <w:tc>
          <w:tcPr>
            <w:tcW w:w="2081" w:type="dxa"/>
            <w:gridSpan w:val="4"/>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ight="306"/>
              <w:jc w:val="both"/>
            </w:pPr>
            <w:r>
              <w:rPr>
                <w:rFonts w:ascii="Times New Roman" w:hAnsi="Times New Roman"/>
                <w:sz w:val="20"/>
              </w:rPr>
              <w:t xml:space="preserve">Boj proti podvodom a falšovaniu bezhotovostných platobných prostriedkov  </w:t>
            </w:r>
          </w:p>
        </w:tc>
        <w:tc>
          <w:tcPr>
            <w:tcW w:w="4678" w:type="dxa"/>
            <w:tcBorders>
              <w:top w:val="single" w:sz="4" w:space="0" w:color="000000"/>
              <w:left w:val="single" w:sz="4" w:space="0" w:color="000000"/>
              <w:bottom w:val="single" w:sz="4" w:space="0" w:color="000000"/>
              <w:right w:val="single" w:sz="4" w:space="0" w:color="000000"/>
            </w:tcBorders>
          </w:tcPr>
          <w:p w:rsidR="00043D8B" w:rsidRPr="00A93C5A" w:rsidRDefault="00043D8B" w:rsidP="00D15EE0">
            <w:pPr>
              <w:spacing w:after="0"/>
              <w:jc w:val="both"/>
              <w:rPr>
                <w:rFonts w:ascii="Times New Roman" w:hAnsi="Times New Roman"/>
                <w:sz w:val="20"/>
              </w:rPr>
            </w:pPr>
            <w:r>
              <w:rPr>
                <w:rFonts w:ascii="Times New Roman" w:hAnsi="Times New Roman"/>
                <w:sz w:val="20"/>
              </w:rPr>
              <w:t>Návrh SMERNICE EURÓPSKEHO PARLAMENTU A RADY o boji proti podvodom s bezhotovostnými platobnými prostriedkami a proti ich falšovaniu, ktorou sa nahrádza rámcové rozhodnutie Rady 2001/413/SVV** COM(2017) 489 final 2017/0226 (COD)  13. 9. 2017</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ind w:left="1"/>
              <w:rPr>
                <w:rFonts w:ascii="Times New Roman" w:hAnsi="Times New Roman"/>
                <w:b/>
                <w:sz w:val="20"/>
              </w:rPr>
            </w:pPr>
            <w:r w:rsidRPr="006458BF">
              <w:rPr>
                <w:rFonts w:ascii="Times New Roman" w:hAnsi="Times New Roman"/>
                <w:b/>
                <w:sz w:val="20"/>
              </w:rPr>
              <w:t>MS SR</w:t>
            </w:r>
          </w:p>
          <w:p w:rsidR="00043D8B" w:rsidRPr="006458BF" w:rsidRDefault="00043D8B" w:rsidP="00833647">
            <w:pPr>
              <w:spacing w:after="0"/>
              <w:ind w:left="1"/>
              <w:rPr>
                <w:rFonts w:ascii="Times New Roman" w:hAnsi="Times New Roman"/>
                <w:b/>
                <w:sz w:val="20"/>
              </w:rPr>
            </w:pPr>
            <w:r w:rsidRPr="006458BF">
              <w:rPr>
                <w:rFonts w:ascii="Times New Roman" w:hAnsi="Times New Roman"/>
                <w:b/>
                <w:sz w:val="20"/>
              </w:rPr>
              <w:t>MV SR</w:t>
            </w:r>
          </w:p>
          <w:p w:rsidR="00043D8B" w:rsidRPr="006458BF" w:rsidRDefault="00043D8B" w:rsidP="00833647">
            <w:pPr>
              <w:spacing w:after="0"/>
              <w:ind w:right="125"/>
              <w:jc w:val="both"/>
              <w:rPr>
                <w:rFonts w:ascii="Times New Roman" w:hAnsi="Times New Roman"/>
                <w:b/>
                <w:sz w:val="20"/>
              </w:rPr>
            </w:pPr>
            <w:r w:rsidRPr="006458BF">
              <w:rPr>
                <w:rFonts w:ascii="Times New Roman" w:hAnsi="Times New Roman"/>
                <w:b/>
                <w:sz w:val="20"/>
              </w:rPr>
              <w:t>GP SR</w:t>
            </w:r>
          </w:p>
        </w:tc>
        <w:tc>
          <w:tcPr>
            <w:tcW w:w="6289" w:type="dxa"/>
            <w:tcBorders>
              <w:top w:val="single" w:sz="4" w:space="0" w:color="000000"/>
              <w:left w:val="single" w:sz="4" w:space="0" w:color="000000"/>
              <w:bottom w:val="single" w:sz="4" w:space="0" w:color="000000"/>
              <w:right w:val="single" w:sz="4" w:space="0" w:color="000000"/>
            </w:tcBorders>
          </w:tcPr>
          <w:p w:rsidR="00043D8B" w:rsidRPr="00005488" w:rsidRDefault="00043D8B" w:rsidP="00833647">
            <w:pPr>
              <w:spacing w:after="0"/>
              <w:jc w:val="both"/>
              <w:rPr>
                <w:rFonts w:ascii="Times New Roman" w:hAnsi="Times New Roman"/>
                <w:b/>
                <w:sz w:val="20"/>
                <w:szCs w:val="20"/>
                <w:u w:val="single"/>
              </w:rPr>
            </w:pPr>
            <w:r w:rsidRPr="00005488">
              <w:rPr>
                <w:rFonts w:ascii="Times New Roman" w:hAnsi="Times New Roman"/>
                <w:b/>
                <w:sz w:val="20"/>
                <w:szCs w:val="20"/>
                <w:u w:val="single"/>
              </w:rPr>
              <w:t>Nízka priorita</w:t>
            </w:r>
          </w:p>
          <w:p w:rsidR="00043D8B" w:rsidRPr="00A93C5A" w:rsidRDefault="00043D8B" w:rsidP="00833647">
            <w:pPr>
              <w:spacing w:after="0"/>
              <w:rPr>
                <w:rFonts w:ascii="Times New Roman" w:hAnsi="Times New Roman"/>
                <w:sz w:val="20"/>
              </w:rPr>
            </w:pPr>
            <w:r>
              <w:rPr>
                <w:rFonts w:ascii="Times New Roman" w:hAnsi="Times New Roman"/>
                <w:sz w:val="20"/>
                <w:szCs w:val="20"/>
              </w:rPr>
              <w:t>SK prijatie návrhu podporuje, nakoľko návrh predstavuje vyvážený kompromis</w:t>
            </w:r>
            <w:r w:rsidRPr="00043D8B">
              <w:t>.</w:t>
            </w:r>
          </w:p>
        </w:tc>
      </w:tr>
      <w:tr w:rsidR="00043D8B" w:rsidRPr="00A93C5A" w:rsidTr="00E63E2A">
        <w:tblPrEx>
          <w:tblCellMar>
            <w:top w:w="64" w:type="dxa"/>
            <w:right w:w="22" w:type="dxa"/>
          </w:tblCellMar>
        </w:tblPrEx>
        <w:trPr>
          <w:gridAfter w:val="1"/>
          <w:wAfter w:w="5619" w:type="dxa"/>
          <w:trHeight w:val="1102"/>
        </w:trPr>
        <w:tc>
          <w:tcPr>
            <w:tcW w:w="383" w:type="dxa"/>
            <w:vMerge w:val="restart"/>
            <w:tcBorders>
              <w:top w:val="single" w:sz="4" w:space="0" w:color="000000"/>
              <w:left w:val="single" w:sz="4" w:space="0" w:color="000000"/>
              <w:bottom w:val="single" w:sz="4" w:space="0" w:color="000000"/>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61.</w:t>
            </w:r>
            <w:r w:rsidRPr="00A93C5A">
              <w:rPr>
                <w:rFonts w:ascii="Times New Roman" w:hAnsi="Times New Roman"/>
                <w:sz w:val="20"/>
              </w:rPr>
              <w:t xml:space="preserve"> </w:t>
            </w:r>
            <w:r>
              <w:rPr>
                <w:rFonts w:ascii="Times New Roman" w:hAnsi="Times New Roman"/>
                <w:sz w:val="20"/>
              </w:rPr>
              <w:t xml:space="preserve"> </w:t>
            </w:r>
          </w:p>
          <w:p w:rsidR="00043D8B" w:rsidRPr="00A93C5A" w:rsidRDefault="00043D8B" w:rsidP="00833647">
            <w:pPr>
              <w:spacing w:after="0"/>
              <w:rPr>
                <w:rFonts w:ascii="Times New Roman" w:hAnsi="Times New Roman"/>
                <w:sz w:val="20"/>
              </w:rPr>
            </w:pPr>
            <w:r>
              <w:rPr>
                <w:rFonts w:ascii="Times New Roman" w:hAnsi="Times New Roman"/>
                <w:sz w:val="20"/>
              </w:rPr>
              <w:t xml:space="preserve"> </w:t>
            </w:r>
          </w:p>
        </w:tc>
        <w:tc>
          <w:tcPr>
            <w:tcW w:w="2081" w:type="dxa"/>
            <w:gridSpan w:val="4"/>
            <w:vMerge w:val="restart"/>
            <w:tcBorders>
              <w:top w:val="single" w:sz="4" w:space="0" w:color="000000"/>
              <w:left w:val="single" w:sz="4" w:space="0" w:color="000000"/>
              <w:bottom w:val="single" w:sz="4" w:space="0" w:color="000000"/>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 xml:space="preserve">Interoperabilita informačných systémov EÚ </w:t>
            </w:r>
          </w:p>
        </w:tc>
        <w:tc>
          <w:tcPr>
            <w:tcW w:w="4678" w:type="dxa"/>
            <w:tcBorders>
              <w:top w:val="single" w:sz="4" w:space="0" w:color="000000"/>
              <w:left w:val="single" w:sz="4" w:space="0" w:color="000000"/>
              <w:bottom w:val="single" w:sz="4" w:space="0" w:color="000000"/>
              <w:right w:val="single" w:sz="4" w:space="0" w:color="000000"/>
            </w:tcBorders>
          </w:tcPr>
          <w:p w:rsidR="00043D8B" w:rsidRPr="00A93C5A" w:rsidRDefault="00043D8B" w:rsidP="00D15EE0">
            <w:pPr>
              <w:spacing w:after="0"/>
              <w:jc w:val="both"/>
              <w:rPr>
                <w:rFonts w:ascii="Times New Roman" w:hAnsi="Times New Roman"/>
                <w:sz w:val="20"/>
              </w:rPr>
            </w:pPr>
            <w:r>
              <w:rPr>
                <w:rFonts w:ascii="Times New Roman" w:hAnsi="Times New Roman"/>
                <w:sz w:val="20"/>
              </w:rPr>
              <w:t>Návrh NARIADENIA EURÓPSKEHO PARLAMENTU A RADY o stanovení rámca pre interoperabilitu medzi informačnými systémami EÚ (hranice a víza) a o zmene rozhodnutia Rady 2004/512/ES, nariadenia (ES) č. 767/2008, rozhodnutia Rady 2008/633/SVV, nariadenia (EÚ) 2016/399 a nariadenia (EÚ) 2017/2226*COM(2017) 793 final 2017/0351 (COD)  12. 12. 2017</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rPr>
            </w:pPr>
            <w:r w:rsidRPr="006458BF">
              <w:rPr>
                <w:rFonts w:ascii="Times New Roman" w:hAnsi="Times New Roman"/>
                <w:b/>
                <w:sz w:val="20"/>
              </w:rPr>
              <w:t>MV SR</w:t>
            </w:r>
          </w:p>
        </w:tc>
        <w:tc>
          <w:tcPr>
            <w:tcW w:w="6289" w:type="dxa"/>
            <w:tcBorders>
              <w:top w:val="single" w:sz="4" w:space="0" w:color="000000"/>
              <w:left w:val="single" w:sz="4" w:space="0" w:color="000000"/>
              <w:bottom w:val="single" w:sz="4" w:space="0" w:color="000000"/>
              <w:right w:val="single" w:sz="4" w:space="0" w:color="000000"/>
            </w:tcBorders>
          </w:tcPr>
          <w:p w:rsidR="00043D8B" w:rsidRPr="003E55E8" w:rsidRDefault="00043D8B" w:rsidP="00833647">
            <w:pPr>
              <w:spacing w:after="0"/>
              <w:rPr>
                <w:rFonts w:ascii="Times New Roman" w:hAnsi="Times New Roman"/>
                <w:b/>
                <w:sz w:val="20"/>
                <w:szCs w:val="20"/>
                <w:u w:val="single"/>
              </w:rPr>
            </w:pPr>
            <w:r w:rsidRPr="003E55E8">
              <w:rPr>
                <w:rFonts w:ascii="Times New Roman" w:hAnsi="Times New Roman"/>
                <w:b/>
                <w:sz w:val="20"/>
                <w:szCs w:val="20"/>
                <w:u w:val="single"/>
              </w:rPr>
              <w:t xml:space="preserve">Vysoká priorita </w:t>
            </w:r>
          </w:p>
          <w:p w:rsidR="00043D8B" w:rsidRPr="00A93C5A" w:rsidRDefault="00043D8B" w:rsidP="00833647">
            <w:pPr>
              <w:spacing w:after="0"/>
              <w:jc w:val="both"/>
              <w:rPr>
                <w:rFonts w:ascii="Times New Roman" w:hAnsi="Times New Roman"/>
                <w:sz w:val="20"/>
              </w:rPr>
            </w:pPr>
            <w:r>
              <w:rPr>
                <w:rFonts w:ascii="Times New Roman" w:hAnsi="Times New Roman"/>
                <w:sz w:val="20"/>
                <w:szCs w:val="20"/>
              </w:rPr>
              <w:t>SR podporuje zavádzanie interoperability na národnej aj nadnárodnej úrovni. V súčasnosti prebiehajú trialógy s EP. Zámer dosiahnuť dohodu s EP do konca roku 2018 nebol naplnený.</w:t>
            </w:r>
          </w:p>
        </w:tc>
      </w:tr>
      <w:tr w:rsidR="00043D8B" w:rsidRPr="00A93C5A" w:rsidTr="00E63E2A">
        <w:tblPrEx>
          <w:tblCellMar>
            <w:top w:w="64" w:type="dxa"/>
            <w:right w:w="22" w:type="dxa"/>
          </w:tblCellMar>
        </w:tblPrEx>
        <w:trPr>
          <w:gridAfter w:val="1"/>
          <w:wAfter w:w="5619" w:type="dxa"/>
          <w:trHeight w:val="869"/>
        </w:trPr>
        <w:tc>
          <w:tcPr>
            <w:tcW w:w="383" w:type="dxa"/>
            <w:vMerge/>
            <w:tcBorders>
              <w:top w:val="nil"/>
              <w:left w:val="single" w:sz="4" w:space="0" w:color="000000"/>
              <w:bottom w:val="single" w:sz="4" w:space="0" w:color="000000"/>
              <w:right w:val="single" w:sz="4" w:space="0" w:color="000000"/>
            </w:tcBorders>
          </w:tcPr>
          <w:p w:rsidR="00043D8B" w:rsidRPr="00A93C5A" w:rsidRDefault="00043D8B" w:rsidP="00833647">
            <w:pPr>
              <w:spacing w:after="0"/>
              <w:rPr>
                <w:rFonts w:ascii="Times New Roman" w:hAnsi="Times New Roman"/>
                <w:sz w:val="20"/>
              </w:rPr>
            </w:pPr>
          </w:p>
        </w:tc>
        <w:tc>
          <w:tcPr>
            <w:tcW w:w="2081" w:type="dxa"/>
            <w:gridSpan w:val="4"/>
            <w:vMerge/>
            <w:tcBorders>
              <w:top w:val="nil"/>
              <w:left w:val="single" w:sz="4" w:space="0" w:color="000000"/>
              <w:bottom w:val="single" w:sz="4" w:space="0" w:color="000000"/>
              <w:right w:val="single" w:sz="4" w:space="0" w:color="000000"/>
            </w:tcBorders>
          </w:tcPr>
          <w:p w:rsidR="00043D8B" w:rsidRPr="00A93C5A" w:rsidRDefault="00043D8B" w:rsidP="00833647">
            <w:pPr>
              <w:spacing w:after="0"/>
              <w:rPr>
                <w:rFonts w:ascii="Times New Roman" w:hAnsi="Times New Roman"/>
                <w:sz w:val="20"/>
              </w:rPr>
            </w:pPr>
          </w:p>
        </w:tc>
        <w:tc>
          <w:tcPr>
            <w:tcW w:w="4678" w:type="dxa"/>
            <w:tcBorders>
              <w:top w:val="single" w:sz="4" w:space="0" w:color="000000"/>
              <w:left w:val="single" w:sz="4" w:space="0" w:color="000000"/>
              <w:bottom w:val="single" w:sz="4" w:space="0" w:color="000000"/>
              <w:right w:val="single" w:sz="4" w:space="0" w:color="000000"/>
            </w:tcBorders>
          </w:tcPr>
          <w:p w:rsidR="00043D8B" w:rsidRPr="00A93C5A" w:rsidRDefault="00043D8B" w:rsidP="00D15EE0">
            <w:pPr>
              <w:spacing w:after="0"/>
              <w:jc w:val="both"/>
              <w:rPr>
                <w:rFonts w:ascii="Times New Roman" w:hAnsi="Times New Roman"/>
                <w:sz w:val="20"/>
              </w:rPr>
            </w:pPr>
            <w:r>
              <w:rPr>
                <w:rFonts w:ascii="Times New Roman" w:hAnsi="Times New Roman"/>
                <w:sz w:val="20"/>
              </w:rPr>
              <w:t>Návrh NARIADENIA EURÓPSKEHO PARLAMENTU A RADY o stanovení rámca pre interoperabilitu medzi informačnými systémami EÚ (policajná a justičná spolupráca, azyl a migrácia)* COM(2017) 794 final 2017/0352 (COD)  12. 12. 2017</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rPr>
            </w:pPr>
            <w:r w:rsidRPr="006458BF">
              <w:rPr>
                <w:rFonts w:ascii="Times New Roman" w:hAnsi="Times New Roman"/>
                <w:b/>
                <w:sz w:val="20"/>
              </w:rPr>
              <w:t>MV SR</w:t>
            </w:r>
            <w:r w:rsidRPr="006458BF">
              <w:rPr>
                <w:rFonts w:ascii="Times New Roman" w:hAnsi="Times New Roman"/>
                <w:b/>
                <w:sz w:val="20"/>
              </w:rPr>
              <w:br/>
              <w:t>MS SR</w:t>
            </w:r>
          </w:p>
        </w:tc>
        <w:tc>
          <w:tcPr>
            <w:tcW w:w="6289" w:type="dxa"/>
            <w:tcBorders>
              <w:top w:val="single" w:sz="4" w:space="0" w:color="000000"/>
              <w:left w:val="single" w:sz="4" w:space="0" w:color="000000"/>
              <w:bottom w:val="single" w:sz="4" w:space="0" w:color="000000"/>
              <w:right w:val="single" w:sz="4" w:space="0" w:color="000000"/>
            </w:tcBorders>
          </w:tcPr>
          <w:p w:rsidR="00043D8B" w:rsidRPr="003E55E8" w:rsidRDefault="00043D8B" w:rsidP="00833647">
            <w:pPr>
              <w:spacing w:after="0"/>
              <w:rPr>
                <w:rFonts w:ascii="Times New Roman" w:hAnsi="Times New Roman"/>
                <w:b/>
                <w:sz w:val="20"/>
                <w:szCs w:val="20"/>
                <w:u w:val="single"/>
              </w:rPr>
            </w:pPr>
            <w:r w:rsidRPr="003E55E8">
              <w:rPr>
                <w:rFonts w:ascii="Times New Roman" w:hAnsi="Times New Roman"/>
                <w:b/>
                <w:sz w:val="20"/>
                <w:szCs w:val="20"/>
                <w:u w:val="single"/>
              </w:rPr>
              <w:t xml:space="preserve">Vysoká priorita </w:t>
            </w:r>
          </w:p>
          <w:p w:rsidR="00043D8B" w:rsidRPr="00A93C5A" w:rsidRDefault="00043D8B" w:rsidP="00833647">
            <w:pPr>
              <w:spacing w:after="0"/>
              <w:jc w:val="both"/>
              <w:rPr>
                <w:rFonts w:ascii="Times New Roman" w:hAnsi="Times New Roman"/>
                <w:sz w:val="20"/>
              </w:rPr>
            </w:pPr>
            <w:r>
              <w:rPr>
                <w:rFonts w:ascii="Times New Roman" w:hAnsi="Times New Roman"/>
                <w:sz w:val="20"/>
                <w:szCs w:val="20"/>
              </w:rPr>
              <w:t>SR podporuje zavádzanie interoperability na národnej aj nadnárodnej úrovni. V súčasnosti prebiehajú trialógy s EP. Zámer dosiahnuť dohodu s EP do konca roku 2018 nebol naplnený.</w:t>
            </w:r>
          </w:p>
        </w:tc>
      </w:tr>
      <w:tr w:rsidR="00043D8B" w:rsidRPr="00A93C5A" w:rsidTr="00E63E2A">
        <w:tblPrEx>
          <w:tblCellMar>
            <w:top w:w="64" w:type="dxa"/>
            <w:right w:w="22" w:type="dxa"/>
          </w:tblCellMar>
        </w:tblPrEx>
        <w:trPr>
          <w:gridAfter w:val="1"/>
          <w:wAfter w:w="5619" w:type="dxa"/>
          <w:trHeight w:val="871"/>
        </w:trPr>
        <w:tc>
          <w:tcPr>
            <w:tcW w:w="383" w:type="dxa"/>
            <w:tcBorders>
              <w:top w:val="single" w:sz="4" w:space="0" w:color="000000"/>
              <w:left w:val="single" w:sz="4" w:space="0" w:color="000000"/>
              <w:bottom w:val="single" w:sz="4" w:space="0" w:color="000000"/>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62.</w:t>
            </w:r>
            <w:r w:rsidRPr="00A93C5A">
              <w:rPr>
                <w:rFonts w:ascii="Times New Roman" w:hAnsi="Times New Roman"/>
                <w:sz w:val="20"/>
              </w:rPr>
              <w:t xml:space="preserve"> </w:t>
            </w:r>
            <w:r>
              <w:rPr>
                <w:rFonts w:ascii="Times New Roman" w:hAnsi="Times New Roman"/>
                <w:sz w:val="20"/>
              </w:rPr>
              <w:t xml:space="preserve"> </w:t>
            </w:r>
          </w:p>
        </w:tc>
        <w:tc>
          <w:tcPr>
            <w:tcW w:w="2081" w:type="dxa"/>
            <w:gridSpan w:val="4"/>
            <w:tcBorders>
              <w:top w:val="single" w:sz="4" w:space="0" w:color="000000"/>
              <w:left w:val="single" w:sz="4" w:space="0" w:color="000000"/>
              <w:bottom w:val="single" w:sz="4" w:space="0" w:color="000000"/>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 xml:space="preserve">Predchádzanie šíreniu teroristického obsahu online </w:t>
            </w:r>
          </w:p>
        </w:tc>
        <w:tc>
          <w:tcPr>
            <w:tcW w:w="4678" w:type="dxa"/>
            <w:tcBorders>
              <w:top w:val="single" w:sz="4" w:space="0" w:color="000000"/>
              <w:left w:val="single" w:sz="4" w:space="0" w:color="000000"/>
              <w:bottom w:val="single" w:sz="4" w:space="0" w:color="000000"/>
              <w:right w:val="single" w:sz="4" w:space="0" w:color="000000"/>
            </w:tcBorders>
          </w:tcPr>
          <w:p w:rsidR="00043D8B" w:rsidRPr="00A93C5A" w:rsidRDefault="00043D8B" w:rsidP="00D15EE0">
            <w:pPr>
              <w:spacing w:after="0"/>
              <w:jc w:val="both"/>
              <w:rPr>
                <w:rFonts w:ascii="Times New Roman" w:hAnsi="Times New Roman"/>
                <w:sz w:val="20"/>
              </w:rPr>
            </w:pPr>
            <w:r>
              <w:rPr>
                <w:rFonts w:ascii="Times New Roman" w:hAnsi="Times New Roman"/>
                <w:sz w:val="20"/>
              </w:rPr>
              <w:t>Návrh NARIADENIA EURÓPSKEHO PARLAMENTU A RADY o predchádzaní šíreniu teroristického obsahu online – Príspevok Európskej komisie k stretnutiu čelných predstaviteľov v Salzburgu, 19. až 20. septembra 2018** COM(2018) 640 final 2018/0331 (COD)  12. 9. 2018</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rPr>
            </w:pPr>
            <w:r w:rsidRPr="006458BF">
              <w:rPr>
                <w:rFonts w:ascii="Times New Roman" w:hAnsi="Times New Roman"/>
                <w:b/>
                <w:sz w:val="20"/>
              </w:rPr>
              <w:t>MV SR</w:t>
            </w:r>
          </w:p>
        </w:tc>
        <w:tc>
          <w:tcPr>
            <w:tcW w:w="6289" w:type="dxa"/>
            <w:tcBorders>
              <w:top w:val="single" w:sz="4" w:space="0" w:color="000000"/>
              <w:left w:val="single" w:sz="4" w:space="0" w:color="000000"/>
              <w:bottom w:val="single" w:sz="4" w:space="0" w:color="000000"/>
              <w:right w:val="single" w:sz="4" w:space="0" w:color="000000"/>
            </w:tcBorders>
          </w:tcPr>
          <w:p w:rsidR="00043D8B" w:rsidRPr="003E55E8" w:rsidRDefault="00043D8B" w:rsidP="00833647">
            <w:pPr>
              <w:spacing w:after="0"/>
              <w:rPr>
                <w:rFonts w:ascii="Times New Roman" w:hAnsi="Times New Roman"/>
                <w:b/>
                <w:sz w:val="20"/>
                <w:szCs w:val="20"/>
                <w:u w:val="single"/>
              </w:rPr>
            </w:pPr>
            <w:r w:rsidRPr="003E55E8">
              <w:rPr>
                <w:rFonts w:ascii="Times New Roman" w:hAnsi="Times New Roman"/>
                <w:b/>
                <w:sz w:val="20"/>
                <w:szCs w:val="20"/>
                <w:u w:val="single"/>
              </w:rPr>
              <w:t>Stredná priorita</w:t>
            </w:r>
          </w:p>
          <w:p w:rsidR="00043D8B" w:rsidRPr="003E55E8" w:rsidRDefault="00043D8B" w:rsidP="00833647">
            <w:pPr>
              <w:spacing w:after="0"/>
              <w:rPr>
                <w:rFonts w:ascii="Times New Roman" w:hAnsi="Times New Roman"/>
                <w:sz w:val="20"/>
                <w:szCs w:val="20"/>
              </w:rPr>
            </w:pPr>
            <w:r>
              <w:rPr>
                <w:rFonts w:ascii="Times New Roman" w:hAnsi="Times New Roman"/>
                <w:sz w:val="20"/>
                <w:szCs w:val="20"/>
              </w:rPr>
              <w:t>SR sa k cieľom predmetného návrhu nariadenia, smerujúcim k obmedzeniu, resp. znemožneniu dostupnosti teroristického obsahu na internete, stavia pozitívne. Z pohľadu SR v návrhu chýba precíznejšie prepracovanie jednotlivých navrhovaných opatrení, procesov, postupov a definícií. Vzhľadom na rozsah navrhovaných opatrení, finančnú a organizačnú náročnosť ako na strane členských štátov, tak aj na strane podnikateľov, je potrebné stanoviť primeranú lehotu pre začatie uplatňovania nariadenia od nadobudnutia jeho účinnosti. Rada pre spravodlivosť a vnútro (JHA) schválila dňa 6.12.2018 k návrhu všeobecné smerovanie, ako pozíciu Rady EÚ pre začatie rokovaní o návrhu s Európskym parlamentom.</w:t>
            </w:r>
          </w:p>
        </w:tc>
      </w:tr>
      <w:tr w:rsidR="00043D8B" w:rsidRPr="00A93C5A" w:rsidTr="00E63E2A">
        <w:tblPrEx>
          <w:tblCellMar>
            <w:top w:w="64" w:type="dxa"/>
            <w:right w:w="22" w:type="dxa"/>
          </w:tblCellMar>
        </w:tblPrEx>
        <w:trPr>
          <w:gridAfter w:val="1"/>
          <w:wAfter w:w="5619" w:type="dxa"/>
          <w:trHeight w:val="869"/>
        </w:trPr>
        <w:tc>
          <w:tcPr>
            <w:tcW w:w="383" w:type="dxa"/>
            <w:tcBorders>
              <w:top w:val="single" w:sz="4" w:space="0" w:color="000000"/>
              <w:left w:val="single" w:sz="4" w:space="0" w:color="000000"/>
              <w:bottom w:val="single" w:sz="4" w:space="0" w:color="000000"/>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63.</w:t>
            </w:r>
            <w:r w:rsidRPr="00A93C5A">
              <w:rPr>
                <w:rFonts w:ascii="Times New Roman" w:hAnsi="Times New Roman"/>
                <w:sz w:val="20"/>
              </w:rPr>
              <w:t xml:space="preserve"> </w:t>
            </w:r>
            <w:r>
              <w:rPr>
                <w:rFonts w:ascii="Times New Roman" w:hAnsi="Times New Roman"/>
                <w:sz w:val="20"/>
              </w:rPr>
              <w:t xml:space="preserve"> </w:t>
            </w:r>
          </w:p>
        </w:tc>
        <w:tc>
          <w:tcPr>
            <w:tcW w:w="2081" w:type="dxa"/>
            <w:gridSpan w:val="4"/>
            <w:tcBorders>
              <w:top w:val="single" w:sz="4" w:space="0" w:color="000000"/>
              <w:left w:val="single" w:sz="4" w:space="0" w:color="000000"/>
              <w:bottom w:val="single" w:sz="4" w:space="0" w:color="000000"/>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 xml:space="preserve">Mechanizmus Únie v oblasti civilnej ochrany </w:t>
            </w:r>
          </w:p>
        </w:tc>
        <w:tc>
          <w:tcPr>
            <w:tcW w:w="4678"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jc w:val="both"/>
              <w:rPr>
                <w:rFonts w:ascii="Times New Roman" w:hAnsi="Times New Roman"/>
                <w:sz w:val="20"/>
              </w:rPr>
            </w:pPr>
            <w:r>
              <w:rPr>
                <w:rFonts w:ascii="Times New Roman" w:hAnsi="Times New Roman"/>
                <w:sz w:val="20"/>
              </w:rPr>
              <w:t>Návrh ROZHODNUTIA EURÓPSKEHO PARLAMENTU A RADY, ktorým sa mení rozhodnutie č. 1313/2013/EÚ o mechanizme Únie v oblasti civilnej ochrany**COM(2017) 772 final 2017/0309 (COD)  23. 11. 2017</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rPr>
            </w:pPr>
            <w:r w:rsidRPr="006458BF">
              <w:rPr>
                <w:rFonts w:ascii="Times New Roman" w:hAnsi="Times New Roman"/>
                <w:b/>
                <w:sz w:val="20"/>
              </w:rPr>
              <w:t xml:space="preserve"> MV SR </w:t>
            </w:r>
          </w:p>
        </w:tc>
        <w:tc>
          <w:tcPr>
            <w:tcW w:w="6289" w:type="dxa"/>
            <w:tcBorders>
              <w:top w:val="single" w:sz="4" w:space="0" w:color="000000"/>
              <w:left w:val="single" w:sz="4" w:space="0" w:color="000000"/>
              <w:bottom w:val="single" w:sz="4" w:space="0" w:color="000000"/>
              <w:right w:val="single" w:sz="4" w:space="0" w:color="000000"/>
            </w:tcBorders>
          </w:tcPr>
          <w:p w:rsidR="00043D8B" w:rsidRPr="003E55E8" w:rsidRDefault="00043D8B" w:rsidP="00833647">
            <w:pPr>
              <w:spacing w:after="0"/>
              <w:rPr>
                <w:rFonts w:ascii="Times New Roman" w:hAnsi="Times New Roman"/>
                <w:b/>
                <w:sz w:val="20"/>
                <w:szCs w:val="20"/>
                <w:u w:val="single"/>
              </w:rPr>
            </w:pPr>
            <w:r w:rsidRPr="003E55E8">
              <w:rPr>
                <w:rFonts w:ascii="Times New Roman" w:hAnsi="Times New Roman"/>
                <w:b/>
                <w:sz w:val="20"/>
                <w:szCs w:val="20"/>
                <w:u w:val="single"/>
              </w:rPr>
              <w:t>Vysoká priorita</w:t>
            </w:r>
          </w:p>
          <w:p w:rsidR="00043D8B" w:rsidRPr="00A93C5A" w:rsidRDefault="00043D8B" w:rsidP="00833647">
            <w:pPr>
              <w:spacing w:after="0"/>
              <w:rPr>
                <w:rFonts w:ascii="Times New Roman" w:hAnsi="Times New Roman"/>
                <w:sz w:val="20"/>
              </w:rPr>
            </w:pPr>
            <w:r>
              <w:rPr>
                <w:rFonts w:ascii="Times New Roman" w:hAnsi="Times New Roman"/>
                <w:sz w:val="20"/>
                <w:szCs w:val="20"/>
              </w:rPr>
              <w:t>Predmetný návrh je jedným z prioritných oblastí záujmu SR. V decembri 2018 bola dosiahnutá dohoda s EP v rámci trialógov</w:t>
            </w:r>
          </w:p>
        </w:tc>
      </w:tr>
      <w:tr w:rsidR="00043D8B" w:rsidRPr="00A93C5A" w:rsidTr="00E63E2A">
        <w:tblPrEx>
          <w:tblCellMar>
            <w:top w:w="64" w:type="dxa"/>
            <w:right w:w="22" w:type="dxa"/>
          </w:tblCellMar>
        </w:tblPrEx>
        <w:trPr>
          <w:gridAfter w:val="1"/>
          <w:wAfter w:w="5619" w:type="dxa"/>
          <w:trHeight w:val="494"/>
        </w:trPr>
        <w:tc>
          <w:tcPr>
            <w:tcW w:w="383" w:type="dxa"/>
            <w:tcBorders>
              <w:top w:val="single" w:sz="4" w:space="0" w:color="000000"/>
              <w:left w:val="single" w:sz="4" w:space="0" w:color="000000"/>
              <w:bottom w:val="nil"/>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64.</w:t>
            </w:r>
            <w:r w:rsidRPr="00A93C5A">
              <w:rPr>
                <w:rFonts w:ascii="Times New Roman" w:hAnsi="Times New Roman"/>
                <w:sz w:val="20"/>
              </w:rPr>
              <w:t xml:space="preserve"> </w:t>
            </w:r>
            <w:r>
              <w:rPr>
                <w:rFonts w:ascii="Times New Roman" w:hAnsi="Times New Roman"/>
                <w:sz w:val="20"/>
              </w:rPr>
              <w:t xml:space="preserve"> </w:t>
            </w:r>
          </w:p>
        </w:tc>
        <w:tc>
          <w:tcPr>
            <w:tcW w:w="2081" w:type="dxa"/>
            <w:gridSpan w:val="4"/>
            <w:tcBorders>
              <w:top w:val="single" w:sz="4" w:space="0" w:color="000000"/>
              <w:left w:val="single" w:sz="4" w:space="0" w:color="000000"/>
              <w:bottom w:val="nil"/>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 xml:space="preserve">Ochrana spotrebiteľa </w:t>
            </w:r>
          </w:p>
        </w:tc>
        <w:tc>
          <w:tcPr>
            <w:tcW w:w="4678" w:type="dxa"/>
            <w:tcBorders>
              <w:top w:val="single" w:sz="4" w:space="0" w:color="000000"/>
              <w:left w:val="single" w:sz="4" w:space="0" w:color="000000"/>
              <w:bottom w:val="single" w:sz="4" w:space="0" w:color="000000"/>
              <w:right w:val="single" w:sz="4" w:space="0" w:color="000000"/>
            </w:tcBorders>
          </w:tcPr>
          <w:p w:rsidR="00043D8B" w:rsidRPr="00A93C5A" w:rsidRDefault="00043D8B" w:rsidP="00D15EE0">
            <w:pPr>
              <w:spacing w:after="0"/>
              <w:jc w:val="both"/>
              <w:rPr>
                <w:rFonts w:ascii="Times New Roman" w:hAnsi="Times New Roman"/>
                <w:sz w:val="20"/>
              </w:rPr>
            </w:pPr>
            <w:r>
              <w:rPr>
                <w:rFonts w:ascii="Times New Roman" w:hAnsi="Times New Roman"/>
                <w:sz w:val="20"/>
              </w:rPr>
              <w:t>Návrh SMERNICE EURÓPSKEHO PARLAMENTU A RADY o žalobách v zastúpení na ochranu kolektívnych záujmov spotrebiteľov a o zrušení smernice 2009/22/ES** COM(2018) 184 final 2018/0089 (COD)  11. 4. 2018</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rPr>
            </w:pPr>
            <w:r w:rsidRPr="006458BF">
              <w:rPr>
                <w:rFonts w:ascii="Times New Roman" w:hAnsi="Times New Roman"/>
                <w:b/>
                <w:sz w:val="20"/>
              </w:rPr>
              <w:t>MH SR</w:t>
            </w:r>
          </w:p>
          <w:p w:rsidR="00043D8B" w:rsidRPr="006458BF" w:rsidRDefault="00043D8B" w:rsidP="00833647">
            <w:pPr>
              <w:spacing w:after="0"/>
              <w:rPr>
                <w:rFonts w:ascii="Times New Roman" w:hAnsi="Times New Roman"/>
                <w:b/>
                <w:sz w:val="20"/>
              </w:rPr>
            </w:pPr>
            <w:r w:rsidRPr="006458BF">
              <w:rPr>
                <w:rFonts w:ascii="Times New Roman" w:hAnsi="Times New Roman"/>
                <w:b/>
                <w:sz w:val="20"/>
              </w:rPr>
              <w:t>MV SR</w:t>
            </w:r>
          </w:p>
          <w:p w:rsidR="00043D8B" w:rsidRPr="006458BF" w:rsidRDefault="00043D8B" w:rsidP="00833647">
            <w:pPr>
              <w:spacing w:after="0"/>
              <w:rPr>
                <w:rFonts w:ascii="Times New Roman" w:hAnsi="Times New Roman"/>
                <w:b/>
                <w:sz w:val="20"/>
              </w:rPr>
            </w:pPr>
            <w:r>
              <w:rPr>
                <w:rFonts w:ascii="Times New Roman" w:hAnsi="Times New Roman"/>
                <w:b/>
                <w:sz w:val="20"/>
              </w:rPr>
              <w:t>MZVEZ SR</w:t>
            </w:r>
          </w:p>
          <w:p w:rsidR="00043D8B" w:rsidRPr="006458BF" w:rsidRDefault="00043D8B" w:rsidP="00833647">
            <w:pPr>
              <w:spacing w:after="0"/>
              <w:rPr>
                <w:rFonts w:ascii="Times New Roman" w:hAnsi="Times New Roman"/>
                <w:b/>
                <w:sz w:val="20"/>
              </w:rPr>
            </w:pPr>
            <w:r w:rsidRPr="006458BF">
              <w:rPr>
                <w:rFonts w:ascii="Times New Roman" w:hAnsi="Times New Roman"/>
                <w:b/>
                <w:sz w:val="20"/>
              </w:rPr>
              <w:t>MŽP SR</w:t>
            </w:r>
            <w:r w:rsidRPr="006458BF">
              <w:rPr>
                <w:rFonts w:ascii="Times New Roman" w:hAnsi="Times New Roman"/>
                <w:b/>
                <w:sz w:val="20"/>
              </w:rPr>
              <w:br/>
              <w:t>MZ SR</w:t>
            </w:r>
          </w:p>
        </w:tc>
        <w:tc>
          <w:tcPr>
            <w:tcW w:w="6289" w:type="dxa"/>
            <w:tcBorders>
              <w:top w:val="single" w:sz="4" w:space="0" w:color="000000"/>
              <w:left w:val="single" w:sz="4" w:space="0" w:color="000000"/>
              <w:bottom w:val="single" w:sz="4" w:space="0" w:color="000000"/>
              <w:right w:val="single" w:sz="4" w:space="0" w:color="000000"/>
            </w:tcBorders>
          </w:tcPr>
          <w:p w:rsidR="00043D8B" w:rsidRPr="003E55E8" w:rsidRDefault="00043D8B" w:rsidP="00833647">
            <w:pPr>
              <w:spacing w:after="0"/>
              <w:jc w:val="both"/>
              <w:rPr>
                <w:rFonts w:ascii="Times New Roman" w:hAnsi="Times New Roman"/>
                <w:b/>
                <w:sz w:val="20"/>
                <w:u w:val="single"/>
              </w:rPr>
            </w:pPr>
            <w:r w:rsidRPr="003E55E8">
              <w:rPr>
                <w:rFonts w:ascii="Times New Roman" w:hAnsi="Times New Roman"/>
                <w:b/>
                <w:sz w:val="20"/>
                <w:u w:val="single"/>
              </w:rPr>
              <w:t>Stredná priorita</w:t>
            </w:r>
          </w:p>
          <w:p w:rsidR="00043D8B" w:rsidRPr="00A93C5A" w:rsidRDefault="00043D8B" w:rsidP="00833647">
            <w:pPr>
              <w:spacing w:after="0"/>
              <w:jc w:val="both"/>
              <w:rPr>
                <w:rFonts w:ascii="Times New Roman" w:hAnsi="Times New Roman"/>
                <w:sz w:val="20"/>
              </w:rPr>
            </w:pPr>
            <w:r>
              <w:rPr>
                <w:rFonts w:ascii="Times New Roman" w:hAnsi="Times New Roman"/>
                <w:sz w:val="20"/>
              </w:rPr>
              <w:t xml:space="preserve">SR podporuje návrh, ktorého cieľom je zvýšiť vymožiteľnosť kolektívnych práv spotrebiteľov, keďže v SR v súčasnosti neexistuje efektívny systém kolektívneho uplatňovania nárokov spotrebiteľov. V prípade niektorých prvkov návrhu však SR bude presadzovať ich modifikáciu.  </w:t>
            </w:r>
          </w:p>
        </w:tc>
      </w:tr>
      <w:tr w:rsidR="00043D8B" w:rsidRPr="00A93C5A" w:rsidTr="00E63E2A">
        <w:tblPrEx>
          <w:tblCellMar>
            <w:top w:w="64" w:type="dxa"/>
            <w:right w:w="22" w:type="dxa"/>
          </w:tblCellMar>
        </w:tblPrEx>
        <w:trPr>
          <w:gridAfter w:val="1"/>
          <w:wAfter w:w="5619" w:type="dxa"/>
          <w:trHeight w:val="493"/>
        </w:trPr>
        <w:tc>
          <w:tcPr>
            <w:tcW w:w="408" w:type="dxa"/>
            <w:gridSpan w:val="3"/>
            <w:tcBorders>
              <w:top w:val="single" w:sz="4" w:space="0" w:color="000000"/>
              <w:left w:val="single" w:sz="4" w:space="0" w:color="000000"/>
              <w:bottom w:val="single" w:sz="4" w:space="0" w:color="000000"/>
              <w:right w:val="single" w:sz="4" w:space="0" w:color="000000"/>
            </w:tcBorders>
          </w:tcPr>
          <w:p w:rsidR="00043D8B" w:rsidRPr="00A93C5A" w:rsidRDefault="00043D8B" w:rsidP="00833647">
            <w:pPr>
              <w:spacing w:after="0"/>
              <w:rPr>
                <w:rFonts w:ascii="Times New Roman" w:hAnsi="Times New Roman"/>
                <w:sz w:val="20"/>
              </w:rPr>
            </w:pPr>
          </w:p>
        </w:tc>
        <w:tc>
          <w:tcPr>
            <w:tcW w:w="2056" w:type="dxa"/>
            <w:gridSpan w:val="2"/>
            <w:tcBorders>
              <w:top w:val="single" w:sz="4" w:space="0" w:color="000000"/>
              <w:left w:val="single" w:sz="4" w:space="0" w:color="000000"/>
              <w:bottom w:val="single" w:sz="4" w:space="0" w:color="000000"/>
              <w:right w:val="single" w:sz="4" w:space="0" w:color="000000"/>
            </w:tcBorders>
          </w:tcPr>
          <w:p w:rsidR="00043D8B" w:rsidRPr="00A93C5A" w:rsidRDefault="00043D8B" w:rsidP="00833647">
            <w:pPr>
              <w:spacing w:after="0"/>
              <w:rPr>
                <w:rFonts w:ascii="Times New Roman" w:hAnsi="Times New Roman"/>
                <w:sz w:val="20"/>
              </w:rPr>
            </w:pPr>
          </w:p>
        </w:tc>
        <w:tc>
          <w:tcPr>
            <w:tcW w:w="4678" w:type="dxa"/>
            <w:tcBorders>
              <w:top w:val="single" w:sz="4" w:space="0" w:color="000000"/>
              <w:left w:val="single" w:sz="4" w:space="0" w:color="000000"/>
              <w:bottom w:val="single" w:sz="4" w:space="0" w:color="000000"/>
              <w:right w:val="single" w:sz="4" w:space="0" w:color="000000"/>
            </w:tcBorders>
          </w:tcPr>
          <w:p w:rsidR="00043D8B" w:rsidRPr="00A93C5A" w:rsidRDefault="00043D8B" w:rsidP="00D15EE0">
            <w:pPr>
              <w:spacing w:after="0"/>
              <w:jc w:val="both"/>
              <w:rPr>
                <w:rFonts w:ascii="Times New Roman" w:hAnsi="Times New Roman"/>
                <w:sz w:val="20"/>
              </w:rPr>
            </w:pPr>
            <w:r>
              <w:rPr>
                <w:rFonts w:ascii="Times New Roman" w:hAnsi="Times New Roman"/>
                <w:sz w:val="20"/>
              </w:rPr>
              <w:t xml:space="preserve"> Návrh SMERNICE EURÓPSKEHO PARLAMENTU A RADY, ktorou sa menia smernica Rady 93/13/EHS z 5. apríla 1993, smernica Európskeho parlamentu a Rady 98/6/ES, smernica Európskeho parlamentu a Rady 2005/29/ES a smernica Európskeho parlamentu a Rady 2011/83/EÚ, pokiaľ ide o lepšie presadzovanie a modernizáciu právnych predpisov EÚ v oblasti ochrany spotrebiteľa**COM(2018) 185 final 2018/0090 (COD)  11. 4.2008 </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rPr>
            </w:pPr>
            <w:r w:rsidRPr="006458BF">
              <w:rPr>
                <w:rFonts w:ascii="Times New Roman" w:hAnsi="Times New Roman"/>
                <w:b/>
                <w:sz w:val="20"/>
              </w:rPr>
              <w:t>MH SR</w:t>
            </w:r>
          </w:p>
          <w:p w:rsidR="00043D8B" w:rsidRPr="006458BF" w:rsidRDefault="00043D8B" w:rsidP="00833647">
            <w:pPr>
              <w:spacing w:after="0"/>
              <w:rPr>
                <w:rFonts w:ascii="Times New Roman" w:hAnsi="Times New Roman"/>
                <w:b/>
                <w:sz w:val="20"/>
              </w:rPr>
            </w:pPr>
          </w:p>
          <w:p w:rsidR="00043D8B" w:rsidRPr="006458BF" w:rsidRDefault="00043D8B" w:rsidP="00833647">
            <w:pPr>
              <w:spacing w:after="0"/>
              <w:rPr>
                <w:rFonts w:ascii="Times New Roman" w:hAnsi="Times New Roman"/>
                <w:b/>
                <w:sz w:val="20"/>
              </w:rPr>
            </w:pPr>
          </w:p>
        </w:tc>
        <w:tc>
          <w:tcPr>
            <w:tcW w:w="6289" w:type="dxa"/>
            <w:tcBorders>
              <w:top w:val="single" w:sz="4" w:space="0" w:color="000000"/>
              <w:left w:val="single" w:sz="4" w:space="0" w:color="000000"/>
              <w:bottom w:val="single" w:sz="4" w:space="0" w:color="000000"/>
              <w:right w:val="single" w:sz="4" w:space="0" w:color="000000"/>
            </w:tcBorders>
          </w:tcPr>
          <w:p w:rsidR="00043D8B" w:rsidRPr="00F915E0" w:rsidRDefault="00043D8B" w:rsidP="00833647">
            <w:pPr>
              <w:spacing w:after="0"/>
              <w:jc w:val="both"/>
              <w:rPr>
                <w:rFonts w:ascii="Times New Roman" w:hAnsi="Times New Roman"/>
                <w:b/>
                <w:sz w:val="20"/>
                <w:u w:val="single"/>
              </w:rPr>
            </w:pPr>
            <w:r w:rsidRPr="00F915E0">
              <w:rPr>
                <w:rFonts w:ascii="Times New Roman" w:hAnsi="Times New Roman"/>
                <w:b/>
                <w:sz w:val="20"/>
                <w:u w:val="single"/>
              </w:rPr>
              <w:t>Stredná priorita</w:t>
            </w:r>
          </w:p>
          <w:p w:rsidR="00043D8B" w:rsidRDefault="00043D8B" w:rsidP="00833647">
            <w:pPr>
              <w:spacing w:after="0"/>
              <w:jc w:val="both"/>
              <w:rPr>
                <w:rFonts w:ascii="Times New Roman" w:hAnsi="Times New Roman"/>
                <w:sz w:val="20"/>
              </w:rPr>
            </w:pPr>
            <w:r>
              <w:rPr>
                <w:rFonts w:ascii="Times New Roman" w:hAnsi="Times New Roman"/>
                <w:sz w:val="20"/>
              </w:rPr>
              <w:t>SR víta a podporuje návrh, ktorým sa revidujú a modernizujú štyri smernice z oblasti ochrany spotrebiteľa. SR predovšetkým podporuje legislatívne riešenie problematiky dvojakej kvality výrobkov, ktoré je súčasťou návrhu. K navrhnutému zneniu daného ustanovenia, ako aj k niektorým ďalším ustanoveniam návrhu SR uplatnila určité výhrady, ktorých zapracovanie bude presadzovať pri ďalších rokovaniach.</w:t>
            </w:r>
          </w:p>
        </w:tc>
      </w:tr>
      <w:tr w:rsidR="00043D8B" w:rsidRPr="00A93C5A" w:rsidTr="00E63E2A">
        <w:tblPrEx>
          <w:tblCellMar>
            <w:top w:w="64" w:type="dxa"/>
            <w:right w:w="22" w:type="dxa"/>
          </w:tblCellMar>
        </w:tblPrEx>
        <w:trPr>
          <w:gridAfter w:val="1"/>
          <w:wAfter w:w="5619" w:type="dxa"/>
          <w:trHeight w:val="869"/>
        </w:trPr>
        <w:tc>
          <w:tcPr>
            <w:tcW w:w="408" w:type="dxa"/>
            <w:gridSpan w:val="3"/>
            <w:tcBorders>
              <w:top w:val="single" w:sz="4" w:space="0" w:color="000000"/>
              <w:left w:val="single" w:sz="4" w:space="0" w:color="000000"/>
              <w:bottom w:val="single" w:sz="4" w:space="0" w:color="000000"/>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65.</w:t>
            </w:r>
            <w:r w:rsidRPr="00A93C5A">
              <w:rPr>
                <w:rFonts w:ascii="Times New Roman" w:hAnsi="Times New Roman"/>
                <w:sz w:val="20"/>
              </w:rPr>
              <w:t xml:space="preserve"> </w:t>
            </w:r>
            <w:r>
              <w:rPr>
                <w:rFonts w:ascii="Times New Roman" w:hAnsi="Times New Roman"/>
                <w:sz w:val="20"/>
              </w:rPr>
              <w:t xml:space="preserve"> </w:t>
            </w:r>
          </w:p>
        </w:tc>
        <w:tc>
          <w:tcPr>
            <w:tcW w:w="2056" w:type="dxa"/>
            <w:gridSpan w:val="2"/>
            <w:tcBorders>
              <w:top w:val="single" w:sz="4" w:space="0" w:color="000000"/>
              <w:left w:val="single" w:sz="4" w:space="0" w:color="000000"/>
              <w:bottom w:val="single" w:sz="4" w:space="0" w:color="000000"/>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 xml:space="preserve">Posilnenie zabezpečenia preukazov totožnosti  </w:t>
            </w:r>
          </w:p>
        </w:tc>
        <w:tc>
          <w:tcPr>
            <w:tcW w:w="4678"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jc w:val="both"/>
              <w:rPr>
                <w:rFonts w:ascii="Times New Roman" w:hAnsi="Times New Roman"/>
                <w:sz w:val="20"/>
              </w:rPr>
            </w:pPr>
            <w:r>
              <w:rPr>
                <w:rFonts w:ascii="Times New Roman" w:hAnsi="Times New Roman"/>
                <w:sz w:val="20"/>
              </w:rPr>
              <w:t xml:space="preserve">Návrh NARIADENIA EURÓPSKEHO PARLAMENTU A RADY o posilnení zabezpečenia preukazov totožnosti občanov Únie a dokladov o pobyte vydávaných občanom Únie a ich rodinným príslušníkom vykonávajúcim svoje právo na voľný pohyb** </w:t>
            </w:r>
          </w:p>
          <w:p w:rsidR="00043D8B" w:rsidRPr="00A93C5A" w:rsidRDefault="00043D8B" w:rsidP="00D15EE0">
            <w:pPr>
              <w:spacing w:after="0"/>
              <w:jc w:val="both"/>
              <w:rPr>
                <w:rFonts w:ascii="Times New Roman" w:hAnsi="Times New Roman"/>
                <w:sz w:val="20"/>
              </w:rPr>
            </w:pPr>
            <w:r>
              <w:rPr>
                <w:rFonts w:ascii="Times New Roman" w:hAnsi="Times New Roman"/>
                <w:sz w:val="20"/>
              </w:rPr>
              <w:t>COM(2018) 212 final 2018/0104 (COD)  17. 4. 2018</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rPr>
            </w:pPr>
            <w:r w:rsidRPr="006458BF">
              <w:rPr>
                <w:rFonts w:ascii="Times New Roman" w:hAnsi="Times New Roman"/>
                <w:b/>
                <w:sz w:val="20"/>
              </w:rPr>
              <w:t xml:space="preserve"> MV SR</w:t>
            </w:r>
          </w:p>
        </w:tc>
        <w:tc>
          <w:tcPr>
            <w:tcW w:w="6289" w:type="dxa"/>
            <w:tcBorders>
              <w:top w:val="single" w:sz="4" w:space="0" w:color="000000"/>
              <w:left w:val="single" w:sz="4" w:space="0" w:color="000000"/>
              <w:bottom w:val="single" w:sz="4" w:space="0" w:color="000000"/>
              <w:right w:val="single" w:sz="4" w:space="0" w:color="000000"/>
            </w:tcBorders>
          </w:tcPr>
          <w:p w:rsidR="00043D8B" w:rsidRPr="00F915E0" w:rsidRDefault="00043D8B" w:rsidP="00833647">
            <w:pPr>
              <w:spacing w:after="0"/>
              <w:rPr>
                <w:rFonts w:ascii="Times New Roman" w:hAnsi="Times New Roman"/>
                <w:b/>
                <w:sz w:val="20"/>
                <w:szCs w:val="20"/>
                <w:u w:val="single"/>
              </w:rPr>
            </w:pPr>
            <w:r w:rsidRPr="00F915E0">
              <w:rPr>
                <w:rFonts w:ascii="Times New Roman" w:hAnsi="Times New Roman"/>
                <w:b/>
                <w:sz w:val="20"/>
                <w:szCs w:val="20"/>
                <w:u w:val="single"/>
              </w:rPr>
              <w:t>Vysoká priorita</w:t>
            </w:r>
          </w:p>
          <w:p w:rsidR="00043D8B" w:rsidRPr="00F915E0" w:rsidRDefault="00043D8B" w:rsidP="00833647">
            <w:pPr>
              <w:spacing w:after="0"/>
              <w:jc w:val="both"/>
              <w:rPr>
                <w:rFonts w:ascii="Times New Roman" w:hAnsi="Times New Roman"/>
                <w:sz w:val="20"/>
                <w:szCs w:val="20"/>
              </w:rPr>
            </w:pPr>
            <w:r>
              <w:rPr>
                <w:rFonts w:ascii="Times New Roman" w:hAnsi="Times New Roman"/>
                <w:sz w:val="20"/>
                <w:szCs w:val="20"/>
              </w:rPr>
              <w:t>SR podporuje prijatie návrhu, ktorým dôjde k zvýšeniu bezpečnosti v rámci Európskej únie a jednotnou identifikáciou osôb s právom na voľný pohyb sa uľahčí jeho výkon. SR však nemôže podporiť navrhnuté ukončenie platnosti preukazov totožnosti po 5 rokoch od začatia uplatňovania tohto nariadenia. Navrhujeme predĺžiť prechodné obdobie na 10 rokov. Navrhujeme aj predĺženie lehoty začatia uplatňovania tohto nariadenia z 12 na 24 mesiacov.</w:t>
            </w:r>
          </w:p>
        </w:tc>
      </w:tr>
      <w:tr w:rsidR="00043D8B" w:rsidRPr="00A93C5A" w:rsidTr="00E63E2A">
        <w:tblPrEx>
          <w:tblCellMar>
            <w:top w:w="64" w:type="dxa"/>
            <w:right w:w="22" w:type="dxa"/>
          </w:tblCellMar>
        </w:tblPrEx>
        <w:trPr>
          <w:gridAfter w:val="1"/>
          <w:wAfter w:w="5619" w:type="dxa"/>
          <w:trHeight w:val="352"/>
        </w:trPr>
        <w:tc>
          <w:tcPr>
            <w:tcW w:w="408" w:type="dxa"/>
            <w:gridSpan w:val="3"/>
            <w:tcBorders>
              <w:top w:val="single" w:sz="4" w:space="0" w:color="000000"/>
              <w:left w:val="single" w:sz="4" w:space="0" w:color="000000"/>
              <w:bottom w:val="single" w:sz="4" w:space="0" w:color="000000"/>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66.</w:t>
            </w:r>
            <w:r w:rsidRPr="00A93C5A">
              <w:rPr>
                <w:rFonts w:ascii="Times New Roman" w:hAnsi="Times New Roman"/>
                <w:sz w:val="20"/>
              </w:rPr>
              <w:t xml:space="preserve"> </w:t>
            </w:r>
            <w:r>
              <w:rPr>
                <w:rFonts w:ascii="Times New Roman" w:hAnsi="Times New Roman"/>
                <w:sz w:val="20"/>
              </w:rPr>
              <w:t xml:space="preserve"> </w:t>
            </w:r>
          </w:p>
        </w:tc>
        <w:tc>
          <w:tcPr>
            <w:tcW w:w="2056" w:type="dxa"/>
            <w:gridSpan w:val="2"/>
            <w:tcBorders>
              <w:top w:val="single" w:sz="4" w:space="0" w:color="000000"/>
              <w:left w:val="single" w:sz="4" w:space="0" w:color="000000"/>
              <w:bottom w:val="single" w:sz="4" w:space="0" w:color="000000"/>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 xml:space="preserve">Návrh týkajúci sa ochrany oznamovateľov </w:t>
            </w:r>
          </w:p>
        </w:tc>
        <w:tc>
          <w:tcPr>
            <w:tcW w:w="4678" w:type="dxa"/>
            <w:tcBorders>
              <w:top w:val="single" w:sz="4" w:space="0" w:color="000000"/>
              <w:left w:val="single" w:sz="4" w:space="0" w:color="000000"/>
              <w:bottom w:val="single" w:sz="4" w:space="0" w:color="000000"/>
              <w:right w:val="single" w:sz="4" w:space="0" w:color="000000"/>
            </w:tcBorders>
          </w:tcPr>
          <w:p w:rsidR="00043D8B" w:rsidRPr="00A93C5A" w:rsidRDefault="00043D8B" w:rsidP="00D15EE0">
            <w:pPr>
              <w:spacing w:after="0"/>
              <w:jc w:val="both"/>
              <w:rPr>
                <w:rFonts w:ascii="Times New Roman" w:hAnsi="Times New Roman"/>
                <w:sz w:val="20"/>
              </w:rPr>
            </w:pPr>
            <w:r>
              <w:rPr>
                <w:rFonts w:ascii="Times New Roman" w:hAnsi="Times New Roman"/>
                <w:sz w:val="20"/>
              </w:rPr>
              <w:t xml:space="preserve"> Návrh SMERNICE EURÓPSKEHO PARLAMENTU A RADY o ochrane osôb nahlasujúcich porušenia práva Únie** COM(2018) 218 final  2018/0106 (COD)  23. 4. 2018</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rPr>
            </w:pPr>
            <w:r w:rsidRPr="006458BF">
              <w:rPr>
                <w:rFonts w:ascii="Times New Roman" w:hAnsi="Times New Roman"/>
                <w:b/>
                <w:sz w:val="20"/>
              </w:rPr>
              <w:t>ÚV SR</w:t>
            </w:r>
          </w:p>
          <w:p w:rsidR="00043D8B" w:rsidRPr="006458BF" w:rsidRDefault="00043D8B" w:rsidP="00833647">
            <w:pPr>
              <w:spacing w:after="0"/>
              <w:rPr>
                <w:rFonts w:ascii="Times New Roman" w:hAnsi="Times New Roman"/>
                <w:b/>
                <w:sz w:val="20"/>
              </w:rPr>
            </w:pPr>
            <w:r w:rsidRPr="006458BF">
              <w:rPr>
                <w:rFonts w:ascii="Times New Roman" w:hAnsi="Times New Roman"/>
                <w:b/>
                <w:sz w:val="20"/>
              </w:rPr>
              <w:t>MV SR</w:t>
            </w:r>
          </w:p>
          <w:p w:rsidR="00043D8B" w:rsidRPr="006458BF" w:rsidRDefault="00043D8B" w:rsidP="00833647">
            <w:pPr>
              <w:spacing w:after="0"/>
              <w:rPr>
                <w:rFonts w:ascii="Times New Roman" w:hAnsi="Times New Roman"/>
                <w:b/>
                <w:sz w:val="20"/>
              </w:rPr>
            </w:pPr>
            <w:r w:rsidRPr="006458BF">
              <w:rPr>
                <w:rFonts w:ascii="Times New Roman" w:hAnsi="Times New Roman"/>
                <w:b/>
                <w:sz w:val="20"/>
              </w:rPr>
              <w:t>MS SR</w:t>
            </w:r>
          </w:p>
          <w:p w:rsidR="00043D8B" w:rsidRPr="006458BF" w:rsidRDefault="00043D8B" w:rsidP="00833647">
            <w:pPr>
              <w:spacing w:after="0"/>
              <w:rPr>
                <w:rFonts w:ascii="Times New Roman" w:hAnsi="Times New Roman"/>
                <w:b/>
                <w:sz w:val="20"/>
              </w:rPr>
            </w:pPr>
            <w:r w:rsidRPr="006458BF">
              <w:rPr>
                <w:rFonts w:ascii="Times New Roman" w:hAnsi="Times New Roman"/>
                <w:b/>
                <w:sz w:val="20"/>
              </w:rPr>
              <w:t>MPSVaR SR</w:t>
            </w:r>
          </w:p>
        </w:tc>
        <w:tc>
          <w:tcPr>
            <w:tcW w:w="6289" w:type="dxa"/>
            <w:tcBorders>
              <w:top w:val="single" w:sz="4" w:space="0" w:color="000000"/>
              <w:left w:val="single" w:sz="4" w:space="0" w:color="000000"/>
              <w:bottom w:val="single" w:sz="4" w:space="0" w:color="000000"/>
              <w:right w:val="single" w:sz="4" w:space="0" w:color="000000"/>
            </w:tcBorders>
          </w:tcPr>
          <w:p w:rsidR="00043D8B" w:rsidRPr="000F5CEF" w:rsidRDefault="00043D8B" w:rsidP="00833647">
            <w:pPr>
              <w:spacing w:after="0"/>
              <w:rPr>
                <w:rFonts w:ascii="Times New Roman" w:hAnsi="Times New Roman"/>
                <w:b/>
                <w:sz w:val="20"/>
                <w:szCs w:val="20"/>
                <w:u w:val="single"/>
              </w:rPr>
            </w:pPr>
            <w:r w:rsidRPr="000F5CEF">
              <w:rPr>
                <w:rFonts w:ascii="Times New Roman" w:hAnsi="Times New Roman"/>
                <w:b/>
                <w:sz w:val="20"/>
                <w:szCs w:val="20"/>
                <w:u w:val="single"/>
              </w:rPr>
              <w:t>Vysoká priorita</w:t>
            </w:r>
          </w:p>
          <w:p w:rsidR="00043D8B" w:rsidRPr="000F5CEF" w:rsidRDefault="00043D8B" w:rsidP="00833647">
            <w:pPr>
              <w:spacing w:after="0"/>
              <w:jc w:val="both"/>
              <w:rPr>
                <w:rFonts w:ascii="Times New Roman" w:hAnsi="Times New Roman"/>
                <w:sz w:val="20"/>
                <w:szCs w:val="20"/>
              </w:rPr>
            </w:pPr>
            <w:r w:rsidRPr="000F5CEF">
              <w:rPr>
                <w:rFonts w:ascii="Times New Roman" w:hAnsi="Times New Roman"/>
                <w:sz w:val="20"/>
                <w:szCs w:val="20"/>
              </w:rPr>
              <w:t>Návrh Smernice EP a Rady je v súlade s prioritou č. 1 Protikorupčnej politiky SR na roky 2019 – 2023 (Presadzovať a chrániť verejný záujem prostredníctvom zmenšovania priestoru a príležitostí pre korupciu) a z nej vyplývajúceho opatrenia č. 1.8 (Zlepšovať podmienky na účinné oznamovanie podozrení z korupcie prostredníctvom Zákona o ochrane oznamovateľov). V súčasnosti prebieha v NR SR</w:t>
            </w:r>
            <w:r>
              <w:rPr>
                <w:rFonts w:ascii="Times New Roman" w:hAnsi="Times New Roman"/>
                <w:sz w:val="20"/>
                <w:szCs w:val="20"/>
              </w:rPr>
              <w:t xml:space="preserve"> legislatívny proces prijímania. </w:t>
            </w:r>
            <w:r w:rsidRPr="000F5CEF">
              <w:rPr>
                <w:rFonts w:ascii="Times New Roman" w:hAnsi="Times New Roman"/>
                <w:sz w:val="20"/>
                <w:szCs w:val="20"/>
              </w:rPr>
              <w:t>Zákona  o ochrane oznamovateľov protispoločenskej činnosti. Účinnosť sa predpokladá od 1. 3. 2019. Prijatie smernice môže vyvolať potrebu novelizácie predmetného zákona.</w:t>
            </w:r>
          </w:p>
        </w:tc>
      </w:tr>
      <w:tr w:rsidR="00043D8B" w:rsidRPr="00A93C5A" w:rsidTr="00E63E2A">
        <w:tblPrEx>
          <w:tblCellMar>
            <w:top w:w="64" w:type="dxa"/>
            <w:right w:w="22" w:type="dxa"/>
          </w:tblCellMar>
        </w:tblPrEx>
        <w:trPr>
          <w:gridAfter w:val="1"/>
          <w:wAfter w:w="5619" w:type="dxa"/>
          <w:trHeight w:val="869"/>
        </w:trPr>
        <w:tc>
          <w:tcPr>
            <w:tcW w:w="408" w:type="dxa"/>
            <w:gridSpan w:val="3"/>
            <w:tcBorders>
              <w:top w:val="single" w:sz="4" w:space="0" w:color="000000"/>
              <w:left w:val="single" w:sz="4" w:space="0" w:color="000000"/>
              <w:bottom w:val="single" w:sz="4" w:space="0" w:color="000000"/>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67.</w:t>
            </w:r>
            <w:r w:rsidRPr="00A93C5A">
              <w:rPr>
                <w:rFonts w:ascii="Times New Roman" w:hAnsi="Times New Roman"/>
                <w:sz w:val="20"/>
              </w:rPr>
              <w:t xml:space="preserve"> </w:t>
            </w:r>
            <w:r>
              <w:rPr>
                <w:rFonts w:ascii="Times New Roman" w:hAnsi="Times New Roman"/>
                <w:sz w:val="20"/>
              </w:rPr>
              <w:t xml:space="preserve"> </w:t>
            </w:r>
          </w:p>
        </w:tc>
        <w:tc>
          <w:tcPr>
            <w:tcW w:w="2056" w:type="dxa"/>
            <w:gridSpan w:val="2"/>
            <w:tcBorders>
              <w:top w:val="single" w:sz="4" w:space="0" w:color="000000"/>
              <w:left w:val="single" w:sz="4" w:space="0" w:color="000000"/>
              <w:bottom w:val="single" w:sz="4" w:space="0" w:color="000000"/>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 xml:space="preserve">Európske príkazy na predloženie a uchovanie elektronických dôkazov v trestných veciach </w:t>
            </w:r>
          </w:p>
        </w:tc>
        <w:tc>
          <w:tcPr>
            <w:tcW w:w="4678" w:type="dxa"/>
            <w:tcBorders>
              <w:top w:val="single" w:sz="4" w:space="0" w:color="000000"/>
              <w:left w:val="single" w:sz="4" w:space="0" w:color="000000"/>
              <w:bottom w:val="single" w:sz="4" w:space="0" w:color="000000"/>
              <w:right w:val="single" w:sz="4" w:space="0" w:color="000000"/>
            </w:tcBorders>
          </w:tcPr>
          <w:p w:rsidR="00043D8B" w:rsidRPr="00AF40D2" w:rsidRDefault="00043D8B" w:rsidP="00D15EE0">
            <w:pPr>
              <w:spacing w:after="0"/>
              <w:jc w:val="both"/>
              <w:rPr>
                <w:rFonts w:ascii="Times New Roman" w:hAnsi="Times New Roman"/>
                <w:sz w:val="20"/>
              </w:rPr>
            </w:pPr>
            <w:r>
              <w:rPr>
                <w:rFonts w:ascii="Times New Roman" w:hAnsi="Times New Roman"/>
                <w:sz w:val="20"/>
              </w:rPr>
              <w:t xml:space="preserve"> Návrh NARIADENIA EURÓPSKEHO PARLAMENTU A RADY o európskom príkaze na predloženie a uchovanie elektronických dôkazov v trestných veciach*COM(2018) 225 final 2018/0108 (COD)  17. 4. 2018  </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rPr>
            </w:pPr>
            <w:r w:rsidRPr="006458BF">
              <w:rPr>
                <w:rFonts w:ascii="Times New Roman" w:hAnsi="Times New Roman"/>
                <w:b/>
                <w:sz w:val="20"/>
              </w:rPr>
              <w:t>MS SR</w:t>
            </w:r>
          </w:p>
          <w:p w:rsidR="00043D8B" w:rsidRPr="006458BF" w:rsidRDefault="00043D8B" w:rsidP="00833647">
            <w:pPr>
              <w:spacing w:after="0"/>
              <w:rPr>
                <w:rFonts w:ascii="Times New Roman" w:hAnsi="Times New Roman"/>
                <w:b/>
                <w:sz w:val="20"/>
              </w:rPr>
            </w:pPr>
            <w:r w:rsidRPr="006458BF">
              <w:rPr>
                <w:rFonts w:ascii="Times New Roman" w:hAnsi="Times New Roman"/>
                <w:b/>
                <w:sz w:val="20"/>
              </w:rPr>
              <w:t>MV SR</w:t>
            </w:r>
          </w:p>
          <w:p w:rsidR="00043D8B" w:rsidRPr="006458BF" w:rsidRDefault="00043D8B" w:rsidP="00833647">
            <w:pPr>
              <w:spacing w:after="0"/>
              <w:rPr>
                <w:rFonts w:ascii="Times New Roman" w:hAnsi="Times New Roman"/>
                <w:b/>
                <w:sz w:val="20"/>
              </w:rPr>
            </w:pPr>
            <w:r w:rsidRPr="006458BF">
              <w:rPr>
                <w:rFonts w:ascii="Times New Roman" w:hAnsi="Times New Roman"/>
                <w:b/>
                <w:sz w:val="20"/>
              </w:rPr>
              <w:t>MDaV SR</w:t>
            </w:r>
          </w:p>
          <w:p w:rsidR="00043D8B" w:rsidRPr="006458BF" w:rsidRDefault="00043D8B" w:rsidP="00833647">
            <w:pPr>
              <w:spacing w:after="0"/>
              <w:rPr>
                <w:rFonts w:ascii="Times New Roman" w:hAnsi="Times New Roman"/>
                <w:b/>
                <w:sz w:val="20"/>
              </w:rPr>
            </w:pPr>
            <w:r w:rsidRPr="006458BF">
              <w:rPr>
                <w:rFonts w:ascii="Times New Roman" w:hAnsi="Times New Roman"/>
                <w:b/>
                <w:sz w:val="20"/>
              </w:rPr>
              <w:t>GP SR</w:t>
            </w:r>
          </w:p>
          <w:p w:rsidR="00043D8B" w:rsidRPr="006458BF" w:rsidRDefault="00043D8B" w:rsidP="00833647">
            <w:pPr>
              <w:spacing w:after="0"/>
              <w:rPr>
                <w:rFonts w:ascii="Times New Roman" w:hAnsi="Times New Roman"/>
                <w:b/>
                <w:sz w:val="20"/>
              </w:rPr>
            </w:pPr>
            <w:r w:rsidRPr="006458BF">
              <w:rPr>
                <w:rFonts w:ascii="Times New Roman" w:hAnsi="Times New Roman"/>
                <w:b/>
                <w:sz w:val="20"/>
              </w:rPr>
              <w:t>UPVVII</w:t>
            </w:r>
          </w:p>
          <w:p w:rsidR="00043D8B" w:rsidRPr="006458BF" w:rsidRDefault="00043D8B" w:rsidP="00833647">
            <w:pPr>
              <w:spacing w:after="0"/>
              <w:rPr>
                <w:rFonts w:ascii="Times New Roman" w:hAnsi="Times New Roman"/>
                <w:b/>
                <w:sz w:val="20"/>
              </w:rPr>
            </w:pPr>
            <w:r w:rsidRPr="006458BF">
              <w:rPr>
                <w:rFonts w:ascii="Times New Roman" w:hAnsi="Times New Roman"/>
                <w:b/>
                <w:sz w:val="20"/>
              </w:rPr>
              <w:t>ÚOOÚ SR</w:t>
            </w:r>
          </w:p>
        </w:tc>
        <w:tc>
          <w:tcPr>
            <w:tcW w:w="6289"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rPr>
                <w:rFonts w:ascii="Times New Roman" w:hAnsi="Times New Roman"/>
                <w:b/>
                <w:sz w:val="20"/>
                <w:szCs w:val="20"/>
              </w:rPr>
            </w:pPr>
            <w:r>
              <w:rPr>
                <w:rFonts w:ascii="Times New Roman" w:hAnsi="Times New Roman"/>
                <w:b/>
                <w:sz w:val="20"/>
                <w:szCs w:val="20"/>
              </w:rPr>
              <w:t>Vysoká priorita</w:t>
            </w:r>
          </w:p>
          <w:p w:rsidR="00043D8B" w:rsidRPr="006458BF" w:rsidRDefault="00043D8B" w:rsidP="00833647">
            <w:pPr>
              <w:spacing w:after="0"/>
              <w:jc w:val="both"/>
              <w:rPr>
                <w:rFonts w:ascii="Times New Roman" w:hAnsi="Times New Roman"/>
                <w:sz w:val="20"/>
                <w:szCs w:val="20"/>
              </w:rPr>
            </w:pPr>
            <w:r>
              <w:rPr>
                <w:rFonts w:ascii="Times New Roman" w:hAnsi="Times New Roman"/>
                <w:sz w:val="20"/>
                <w:szCs w:val="20"/>
              </w:rPr>
              <w:t>SK podporuje ciele návrhu a dosiahnutie dohody s EP. Nebude sa brániť ani sprísneniu režimu návrhu vo vzťahu k transakčným údajom.</w:t>
            </w:r>
            <w:r w:rsidRPr="0084149F">
              <w:rPr>
                <w:rFonts w:ascii="Times New Roman" w:hAnsi="Times New Roman"/>
                <w:b/>
                <w:color w:val="92D050"/>
                <w:sz w:val="20"/>
                <w:szCs w:val="20"/>
              </w:rPr>
              <w:t xml:space="preserve"> Vysoká </w:t>
            </w:r>
            <w:r w:rsidRPr="006458BF">
              <w:rPr>
                <w:rFonts w:ascii="Times New Roman" w:hAnsi="Times New Roman"/>
                <w:sz w:val="20"/>
                <w:szCs w:val="20"/>
              </w:rPr>
              <w:t>priorita.</w:t>
            </w:r>
          </w:p>
          <w:p w:rsidR="00043D8B" w:rsidRDefault="00043D8B" w:rsidP="00833647">
            <w:pPr>
              <w:spacing w:after="0"/>
              <w:jc w:val="both"/>
              <w:rPr>
                <w:rFonts w:ascii="Times New Roman" w:hAnsi="Times New Roman"/>
                <w:sz w:val="20"/>
              </w:rPr>
            </w:pPr>
            <w:r w:rsidRPr="006458BF">
              <w:rPr>
                <w:rFonts w:ascii="Times New Roman" w:hAnsi="Times New Roman"/>
                <w:sz w:val="20"/>
                <w:szCs w:val="20"/>
              </w:rPr>
              <w:t>ÚOOÚ SR je dozorným orgánom, ktorý sa podieľa na ochrane základných práv fyzických osôb pri spracúvaní osobných údajov. Podľa recitálu č. 117 NARIADENIA EURÓPSKEHO PARLAMENTU A RADY (EÚ) 2016/679 z 27. apríla 2016 o ochrane fyzických osôb pri spracúvaní osobných údajov a o voľnom pohybe takýchto údajov, ktorým sa zrušuje smernica 95/46/ES (všeobecné nariadenie o ochrane údajov) je zásadným prvkom ochrany fyzických osôb pri spracúvaní ich osobných údajov nezávislosť dozorných orgánov. V rámci SR je podľa § 80 ods. 1 zákona č. 18/2018 Z. z. o ochrane osobných údajov a o zmene a doplnení niektorých zákonov určený ako dozorný orgán - Úrad na ochranu osobných údajov SR (ÚOOÚ SR). Vzhľadom na tieto ustanovenia, ÚOOÚ nemôže byť spolugestorom, pretože by bola narušená jeho nezávislosť pri výkone kontrolných a dozorných činností nad spracúvaním osobných údajov, ktoré sú povolené aj na základe tohto právneho aktu. Ak by napriek uvedenému, bolo spolugestorstvo ÚOOÚ SR ponechané, vznikol by tak precedens a ÚOOÚ SR by musel byť gestorom každého právneho aktu, ktorý povoľuje spracúvanie osobných údajov</w:t>
            </w:r>
            <w:r>
              <w:rPr>
                <w:rFonts w:ascii="Times New Roman" w:hAnsi="Times New Roman"/>
                <w:sz w:val="20"/>
                <w:szCs w:val="20"/>
              </w:rPr>
              <w:t>.</w:t>
            </w:r>
          </w:p>
        </w:tc>
      </w:tr>
      <w:tr w:rsidR="00043D8B" w:rsidRPr="00A93C5A" w:rsidTr="00E63E2A">
        <w:tblPrEx>
          <w:tblCellMar>
            <w:top w:w="64" w:type="dxa"/>
            <w:right w:w="22" w:type="dxa"/>
          </w:tblCellMar>
        </w:tblPrEx>
        <w:trPr>
          <w:gridAfter w:val="1"/>
          <w:wAfter w:w="5619" w:type="dxa"/>
          <w:trHeight w:val="352"/>
        </w:trPr>
        <w:tc>
          <w:tcPr>
            <w:tcW w:w="408" w:type="dxa"/>
            <w:gridSpan w:val="3"/>
            <w:vMerge w:val="restart"/>
            <w:tcBorders>
              <w:top w:val="single" w:sz="4" w:space="0" w:color="000000"/>
              <w:left w:val="single" w:sz="4" w:space="0" w:color="000000"/>
              <w:bottom w:val="single" w:sz="4" w:space="0" w:color="000000"/>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68.</w:t>
            </w:r>
            <w:r w:rsidRPr="00A93C5A">
              <w:rPr>
                <w:rFonts w:ascii="Times New Roman" w:hAnsi="Times New Roman"/>
                <w:sz w:val="20"/>
              </w:rPr>
              <w:t xml:space="preserve"> </w:t>
            </w:r>
            <w:r>
              <w:rPr>
                <w:rFonts w:ascii="Times New Roman" w:hAnsi="Times New Roman"/>
                <w:sz w:val="20"/>
              </w:rPr>
              <w:t xml:space="preserve"> </w:t>
            </w:r>
          </w:p>
          <w:p w:rsidR="00043D8B" w:rsidRPr="00A93C5A" w:rsidRDefault="00043D8B" w:rsidP="00833647">
            <w:pPr>
              <w:spacing w:after="0"/>
              <w:rPr>
                <w:rFonts w:ascii="Times New Roman" w:hAnsi="Times New Roman"/>
                <w:sz w:val="20"/>
              </w:rPr>
            </w:pPr>
            <w:r>
              <w:rPr>
                <w:rFonts w:ascii="Times New Roman" w:hAnsi="Times New Roman"/>
                <w:sz w:val="20"/>
              </w:rPr>
              <w:t xml:space="preserve"> </w:t>
            </w:r>
          </w:p>
        </w:tc>
        <w:tc>
          <w:tcPr>
            <w:tcW w:w="2056" w:type="dxa"/>
            <w:gridSpan w:val="2"/>
            <w:vMerge w:val="restart"/>
            <w:tcBorders>
              <w:top w:val="single" w:sz="4" w:space="0" w:color="000000"/>
              <w:left w:val="single" w:sz="4" w:space="0" w:color="000000"/>
              <w:bottom w:val="single" w:sz="4" w:space="0" w:color="000000"/>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 xml:space="preserve">Európsky informačný systém registrov trestov </w:t>
            </w:r>
          </w:p>
        </w:tc>
        <w:tc>
          <w:tcPr>
            <w:tcW w:w="4678" w:type="dxa"/>
            <w:tcBorders>
              <w:top w:val="single" w:sz="4" w:space="0" w:color="000000"/>
              <w:left w:val="single" w:sz="4" w:space="0" w:color="000000"/>
              <w:bottom w:val="single" w:sz="4" w:space="0" w:color="000000"/>
              <w:right w:val="single" w:sz="4" w:space="0" w:color="000000"/>
            </w:tcBorders>
          </w:tcPr>
          <w:p w:rsidR="00043D8B" w:rsidRPr="00A93C5A" w:rsidRDefault="00043D8B" w:rsidP="00D15EE0">
            <w:pPr>
              <w:spacing w:after="0"/>
              <w:jc w:val="both"/>
              <w:rPr>
                <w:rFonts w:ascii="Times New Roman" w:hAnsi="Times New Roman"/>
                <w:sz w:val="20"/>
              </w:rPr>
            </w:pPr>
            <w:r>
              <w:rPr>
                <w:rFonts w:ascii="Times New Roman" w:hAnsi="Times New Roman"/>
                <w:sz w:val="20"/>
              </w:rPr>
              <w:t xml:space="preserve"> Návrh NARIADENIA EURÓPSKEHO PARLAMENTU A RADY, ktorým sa zriaďuje centralizovaný systém na identifikáciu členských štátov, v ktorých sú k dispozícii informácie o odsúdeniach štátnych príslušníkov tretích krajín a osôb bez štátnej príslušnosti (TCN), s cieľom doplniť a podporiť Európsky informačný systém registrov trestov (ECRIS-TCN), a ktorým sa mení nariadenie (EÚ) č. 1077/2011* COM(2017) 344 final 2017/0144 (COD)  29. 6. 2017</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rPr>
            </w:pPr>
            <w:r w:rsidRPr="006458BF">
              <w:rPr>
                <w:rFonts w:ascii="Times New Roman" w:hAnsi="Times New Roman"/>
                <w:b/>
                <w:sz w:val="20"/>
              </w:rPr>
              <w:t>MS SR</w:t>
            </w:r>
          </w:p>
          <w:p w:rsidR="00043D8B" w:rsidRPr="006458BF" w:rsidRDefault="00043D8B" w:rsidP="00833647">
            <w:pPr>
              <w:spacing w:after="0"/>
              <w:rPr>
                <w:rFonts w:ascii="Times New Roman" w:hAnsi="Times New Roman"/>
                <w:b/>
                <w:sz w:val="20"/>
              </w:rPr>
            </w:pPr>
            <w:r w:rsidRPr="006458BF">
              <w:rPr>
                <w:rFonts w:ascii="Times New Roman" w:hAnsi="Times New Roman"/>
                <w:b/>
                <w:sz w:val="20"/>
              </w:rPr>
              <w:t>MV SR</w:t>
            </w:r>
          </w:p>
          <w:p w:rsidR="00043D8B" w:rsidRPr="006458BF" w:rsidRDefault="00043D8B" w:rsidP="00833647">
            <w:pPr>
              <w:spacing w:after="0"/>
              <w:rPr>
                <w:rFonts w:ascii="Times New Roman" w:hAnsi="Times New Roman"/>
                <w:b/>
                <w:sz w:val="20"/>
              </w:rPr>
            </w:pPr>
            <w:r w:rsidRPr="006458BF">
              <w:rPr>
                <w:rFonts w:ascii="Times New Roman" w:hAnsi="Times New Roman"/>
                <w:b/>
                <w:sz w:val="20"/>
              </w:rPr>
              <w:t>GP SR</w:t>
            </w:r>
          </w:p>
        </w:tc>
        <w:tc>
          <w:tcPr>
            <w:tcW w:w="6289"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szCs w:val="20"/>
                <w:u w:val="single"/>
              </w:rPr>
            </w:pPr>
            <w:r w:rsidRPr="006458BF">
              <w:rPr>
                <w:rFonts w:ascii="Times New Roman" w:hAnsi="Times New Roman"/>
                <w:b/>
                <w:sz w:val="20"/>
                <w:szCs w:val="20"/>
                <w:u w:val="single"/>
              </w:rPr>
              <w:t xml:space="preserve">Vysoká priorita </w:t>
            </w:r>
          </w:p>
          <w:p w:rsidR="00043D8B" w:rsidRDefault="00043D8B" w:rsidP="00833647">
            <w:pPr>
              <w:spacing w:after="0"/>
              <w:rPr>
                <w:rFonts w:ascii="Times New Roman" w:hAnsi="Times New Roman"/>
                <w:sz w:val="20"/>
              </w:rPr>
            </w:pPr>
            <w:r>
              <w:rPr>
                <w:rFonts w:ascii="Times New Roman" w:hAnsi="Times New Roman"/>
                <w:sz w:val="20"/>
                <w:szCs w:val="20"/>
              </w:rPr>
              <w:t>SR podporuje čo najskoršie prijatie návrhu (aj za cenu zásadnejších kompromisov).</w:t>
            </w:r>
          </w:p>
        </w:tc>
      </w:tr>
      <w:tr w:rsidR="00043D8B" w:rsidRPr="00A93C5A" w:rsidTr="00E63E2A">
        <w:tblPrEx>
          <w:tblCellMar>
            <w:top w:w="64" w:type="dxa"/>
            <w:right w:w="22" w:type="dxa"/>
          </w:tblCellMar>
        </w:tblPrEx>
        <w:trPr>
          <w:gridAfter w:val="1"/>
          <w:wAfter w:w="5619" w:type="dxa"/>
          <w:trHeight w:val="1102"/>
        </w:trPr>
        <w:tc>
          <w:tcPr>
            <w:tcW w:w="408" w:type="dxa"/>
            <w:gridSpan w:val="3"/>
            <w:vMerge/>
            <w:tcBorders>
              <w:top w:val="nil"/>
              <w:left w:val="single" w:sz="4" w:space="0" w:color="000000"/>
              <w:bottom w:val="single" w:sz="4" w:space="0" w:color="000000"/>
              <w:right w:val="single" w:sz="4" w:space="0" w:color="000000"/>
            </w:tcBorders>
          </w:tcPr>
          <w:p w:rsidR="00043D8B" w:rsidRPr="00A93C5A" w:rsidRDefault="00043D8B" w:rsidP="00833647">
            <w:pPr>
              <w:spacing w:after="0"/>
              <w:rPr>
                <w:rFonts w:ascii="Times New Roman" w:hAnsi="Times New Roman"/>
                <w:sz w:val="20"/>
              </w:rPr>
            </w:pPr>
          </w:p>
        </w:tc>
        <w:tc>
          <w:tcPr>
            <w:tcW w:w="2056" w:type="dxa"/>
            <w:gridSpan w:val="2"/>
            <w:vMerge/>
            <w:tcBorders>
              <w:top w:val="nil"/>
              <w:left w:val="single" w:sz="4" w:space="0" w:color="000000"/>
              <w:bottom w:val="single" w:sz="4" w:space="0" w:color="000000"/>
              <w:right w:val="single" w:sz="4" w:space="0" w:color="000000"/>
            </w:tcBorders>
          </w:tcPr>
          <w:p w:rsidR="00043D8B" w:rsidRPr="00A93C5A" w:rsidRDefault="00043D8B" w:rsidP="00833647">
            <w:pPr>
              <w:spacing w:after="0"/>
              <w:rPr>
                <w:rFonts w:ascii="Times New Roman" w:hAnsi="Times New Roman"/>
                <w:sz w:val="20"/>
              </w:rPr>
            </w:pPr>
          </w:p>
        </w:tc>
        <w:tc>
          <w:tcPr>
            <w:tcW w:w="4678" w:type="dxa"/>
            <w:tcBorders>
              <w:top w:val="single" w:sz="4" w:space="0" w:color="000000"/>
              <w:left w:val="single" w:sz="4" w:space="0" w:color="000000"/>
              <w:bottom w:val="single" w:sz="4" w:space="0" w:color="000000"/>
              <w:right w:val="single" w:sz="4" w:space="0" w:color="000000"/>
            </w:tcBorders>
          </w:tcPr>
          <w:p w:rsidR="00043D8B" w:rsidRPr="00A93C5A" w:rsidRDefault="00043D8B" w:rsidP="00D15EE0">
            <w:pPr>
              <w:spacing w:after="0"/>
              <w:jc w:val="both"/>
              <w:rPr>
                <w:rFonts w:ascii="Times New Roman" w:hAnsi="Times New Roman"/>
                <w:sz w:val="20"/>
              </w:rPr>
            </w:pPr>
            <w:r>
              <w:rPr>
                <w:rFonts w:ascii="Times New Roman" w:hAnsi="Times New Roman"/>
                <w:sz w:val="20"/>
              </w:rPr>
              <w:t xml:space="preserve"> Návrh SMERNICE EURÓPSKEHO PARLAMENTU A RADY, ktorou sa mení rámcové rozhodnutie </w:t>
            </w:r>
          </w:p>
          <w:p w:rsidR="00043D8B" w:rsidRPr="00A93C5A" w:rsidRDefault="00043D8B" w:rsidP="00D15EE0">
            <w:pPr>
              <w:spacing w:after="0"/>
              <w:jc w:val="both"/>
              <w:rPr>
                <w:rFonts w:ascii="Times New Roman" w:hAnsi="Times New Roman"/>
                <w:sz w:val="20"/>
              </w:rPr>
            </w:pPr>
            <w:r>
              <w:rPr>
                <w:rFonts w:ascii="Times New Roman" w:hAnsi="Times New Roman"/>
                <w:sz w:val="20"/>
              </w:rPr>
              <w:t xml:space="preserve">Rady 2009/315/SVV, pokiaľ ide o výmenu informácií o štátnych príslušníkoch tretích krajín a pokiaľ ide o Európsky informačný systém registrov trestov (ECRIS), a ktorou sa nahrádza rozhodnutie Rady </w:t>
            </w:r>
          </w:p>
          <w:p w:rsidR="00043D8B" w:rsidRPr="00A93C5A" w:rsidRDefault="00043D8B" w:rsidP="00D15EE0">
            <w:pPr>
              <w:spacing w:after="0"/>
              <w:jc w:val="both"/>
              <w:rPr>
                <w:rFonts w:ascii="Times New Roman" w:hAnsi="Times New Roman"/>
                <w:sz w:val="20"/>
              </w:rPr>
            </w:pPr>
            <w:r>
              <w:rPr>
                <w:rFonts w:ascii="Times New Roman" w:hAnsi="Times New Roman"/>
                <w:sz w:val="20"/>
              </w:rPr>
              <w:t>2009/316/SVV* COM(2016) 7 final 2016/0002 (COD)  19. 1. 2016</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rPr>
            </w:pPr>
            <w:r w:rsidRPr="006458BF">
              <w:rPr>
                <w:rFonts w:ascii="Times New Roman" w:hAnsi="Times New Roman"/>
                <w:b/>
                <w:sz w:val="20"/>
              </w:rPr>
              <w:t>MS SR</w:t>
            </w:r>
          </w:p>
          <w:p w:rsidR="00043D8B" w:rsidRPr="006458BF" w:rsidRDefault="00043D8B" w:rsidP="00833647">
            <w:pPr>
              <w:spacing w:after="0"/>
              <w:rPr>
                <w:rFonts w:ascii="Times New Roman" w:hAnsi="Times New Roman"/>
                <w:b/>
                <w:sz w:val="20"/>
              </w:rPr>
            </w:pPr>
            <w:r w:rsidRPr="006458BF">
              <w:rPr>
                <w:rFonts w:ascii="Times New Roman" w:hAnsi="Times New Roman"/>
                <w:b/>
                <w:sz w:val="20"/>
              </w:rPr>
              <w:t>MV SR</w:t>
            </w:r>
          </w:p>
          <w:p w:rsidR="00043D8B" w:rsidRPr="006458BF" w:rsidRDefault="00043D8B" w:rsidP="00833647">
            <w:pPr>
              <w:spacing w:after="0"/>
              <w:rPr>
                <w:rFonts w:ascii="Times New Roman" w:hAnsi="Times New Roman"/>
                <w:b/>
                <w:sz w:val="20"/>
              </w:rPr>
            </w:pPr>
            <w:r w:rsidRPr="006458BF">
              <w:rPr>
                <w:rFonts w:ascii="Times New Roman" w:hAnsi="Times New Roman"/>
                <w:b/>
                <w:sz w:val="20"/>
              </w:rPr>
              <w:t>GP SR</w:t>
            </w:r>
          </w:p>
          <w:p w:rsidR="00043D8B" w:rsidRPr="006458BF" w:rsidRDefault="00043D8B" w:rsidP="00833647">
            <w:pPr>
              <w:spacing w:after="0"/>
              <w:rPr>
                <w:rFonts w:ascii="Times New Roman" w:hAnsi="Times New Roman"/>
                <w:b/>
                <w:sz w:val="20"/>
              </w:rPr>
            </w:pPr>
          </w:p>
        </w:tc>
        <w:tc>
          <w:tcPr>
            <w:tcW w:w="6289"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szCs w:val="20"/>
                <w:u w:val="single"/>
              </w:rPr>
            </w:pPr>
            <w:r w:rsidRPr="006458BF">
              <w:rPr>
                <w:rFonts w:ascii="Times New Roman" w:hAnsi="Times New Roman"/>
                <w:b/>
                <w:sz w:val="20"/>
                <w:szCs w:val="20"/>
                <w:u w:val="single"/>
              </w:rPr>
              <w:t xml:space="preserve">Vysoká priorita </w:t>
            </w:r>
          </w:p>
          <w:p w:rsidR="00043D8B" w:rsidRDefault="00043D8B" w:rsidP="00833647">
            <w:pPr>
              <w:spacing w:after="0"/>
              <w:rPr>
                <w:rFonts w:ascii="Times New Roman" w:hAnsi="Times New Roman"/>
                <w:sz w:val="20"/>
              </w:rPr>
            </w:pPr>
            <w:r>
              <w:rPr>
                <w:rFonts w:ascii="Times New Roman" w:hAnsi="Times New Roman"/>
                <w:sz w:val="20"/>
                <w:szCs w:val="20"/>
              </w:rPr>
              <w:t>SK podporuje čo najskoršie prijatie návrhu (aj za cenu zásadnejších kompromisov).</w:t>
            </w:r>
          </w:p>
        </w:tc>
      </w:tr>
      <w:tr w:rsidR="00043D8B" w:rsidRPr="00A93C5A" w:rsidTr="00E63E2A">
        <w:tblPrEx>
          <w:tblCellMar>
            <w:top w:w="64" w:type="dxa"/>
            <w:right w:w="22" w:type="dxa"/>
          </w:tblCellMar>
        </w:tblPrEx>
        <w:trPr>
          <w:gridAfter w:val="1"/>
          <w:wAfter w:w="5619" w:type="dxa"/>
          <w:trHeight w:val="869"/>
        </w:trPr>
        <w:tc>
          <w:tcPr>
            <w:tcW w:w="408" w:type="dxa"/>
            <w:gridSpan w:val="3"/>
            <w:tcBorders>
              <w:top w:val="single" w:sz="4" w:space="0" w:color="000000"/>
              <w:left w:val="single" w:sz="4" w:space="0" w:color="000000"/>
              <w:bottom w:val="single" w:sz="4" w:space="0" w:color="000000"/>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69.</w:t>
            </w:r>
            <w:r w:rsidRPr="00A93C5A">
              <w:rPr>
                <w:rFonts w:ascii="Times New Roman" w:hAnsi="Times New Roman"/>
                <w:sz w:val="20"/>
              </w:rPr>
              <w:t xml:space="preserve"> </w:t>
            </w:r>
            <w:r>
              <w:rPr>
                <w:rFonts w:ascii="Times New Roman" w:hAnsi="Times New Roman"/>
                <w:sz w:val="20"/>
              </w:rPr>
              <w:t xml:space="preserve"> </w:t>
            </w:r>
          </w:p>
        </w:tc>
        <w:tc>
          <w:tcPr>
            <w:tcW w:w="2056" w:type="dxa"/>
            <w:gridSpan w:val="2"/>
            <w:tcBorders>
              <w:top w:val="single" w:sz="4" w:space="0" w:color="000000"/>
              <w:left w:val="single" w:sz="4" w:space="0" w:color="000000"/>
              <w:bottom w:val="single" w:sz="4" w:space="0" w:color="000000"/>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 xml:space="preserve">Náhradný cestovný doklad EÚ  </w:t>
            </w:r>
          </w:p>
        </w:tc>
        <w:tc>
          <w:tcPr>
            <w:tcW w:w="4678" w:type="dxa"/>
            <w:tcBorders>
              <w:top w:val="single" w:sz="4" w:space="0" w:color="000000"/>
              <w:left w:val="single" w:sz="4" w:space="0" w:color="000000"/>
              <w:bottom w:val="single" w:sz="4" w:space="0" w:color="000000"/>
              <w:right w:val="single" w:sz="4" w:space="0" w:color="000000"/>
            </w:tcBorders>
          </w:tcPr>
          <w:p w:rsidR="00043D8B" w:rsidRPr="00A93C5A" w:rsidRDefault="00043D8B" w:rsidP="00D15EE0">
            <w:pPr>
              <w:spacing w:after="0"/>
              <w:jc w:val="both"/>
              <w:rPr>
                <w:rFonts w:ascii="Times New Roman" w:hAnsi="Times New Roman"/>
                <w:sz w:val="20"/>
              </w:rPr>
            </w:pPr>
            <w:r>
              <w:rPr>
                <w:rFonts w:ascii="Times New Roman" w:hAnsi="Times New Roman"/>
                <w:sz w:val="20"/>
              </w:rPr>
              <w:t xml:space="preserve"> Návrh SMERNICE RADY, ktorou sa zavádza náhradný cestovný doklad EÚ a ktorou sa zrušuje rozhodnutie 96/409/SZBP** COM(2018) 358 2018/0186 (CNS)  </w:t>
            </w:r>
          </w:p>
          <w:p w:rsidR="00043D8B" w:rsidRPr="00A93C5A" w:rsidRDefault="00043D8B" w:rsidP="00D15EE0">
            <w:pPr>
              <w:spacing w:after="0"/>
              <w:jc w:val="both"/>
              <w:rPr>
                <w:rFonts w:ascii="Times New Roman" w:hAnsi="Times New Roman"/>
                <w:sz w:val="20"/>
              </w:rPr>
            </w:pPr>
            <w:r>
              <w:rPr>
                <w:rFonts w:ascii="Times New Roman" w:hAnsi="Times New Roman"/>
                <w:sz w:val="20"/>
              </w:rPr>
              <w:t>31. 5. 2018</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D15EE0">
            <w:pPr>
              <w:spacing w:after="0"/>
              <w:jc w:val="both"/>
              <w:rPr>
                <w:rFonts w:ascii="Times New Roman" w:hAnsi="Times New Roman"/>
                <w:b/>
                <w:sz w:val="20"/>
              </w:rPr>
            </w:pPr>
            <w:r>
              <w:rPr>
                <w:rFonts w:ascii="Times New Roman" w:hAnsi="Times New Roman"/>
                <w:b/>
                <w:sz w:val="20"/>
              </w:rPr>
              <w:t>MZVEZ SR</w:t>
            </w:r>
          </w:p>
          <w:p w:rsidR="00043D8B" w:rsidRPr="006458BF" w:rsidRDefault="00043D8B" w:rsidP="00D15EE0">
            <w:pPr>
              <w:spacing w:after="0"/>
              <w:jc w:val="both"/>
              <w:rPr>
                <w:rFonts w:ascii="Times New Roman" w:hAnsi="Times New Roman"/>
                <w:b/>
                <w:sz w:val="20"/>
              </w:rPr>
            </w:pPr>
            <w:r w:rsidRPr="006458BF">
              <w:rPr>
                <w:rFonts w:ascii="Times New Roman" w:hAnsi="Times New Roman"/>
                <w:b/>
                <w:sz w:val="20"/>
              </w:rPr>
              <w:t>MV SR</w:t>
            </w:r>
          </w:p>
        </w:tc>
        <w:tc>
          <w:tcPr>
            <w:tcW w:w="6289" w:type="dxa"/>
            <w:tcBorders>
              <w:top w:val="single" w:sz="4" w:space="0" w:color="000000"/>
              <w:left w:val="single" w:sz="4" w:space="0" w:color="000000"/>
              <w:bottom w:val="single" w:sz="4" w:space="0" w:color="000000"/>
              <w:right w:val="single" w:sz="4" w:space="0" w:color="000000"/>
            </w:tcBorders>
          </w:tcPr>
          <w:p w:rsidR="00043D8B" w:rsidRPr="006458BF" w:rsidRDefault="00043D8B" w:rsidP="00D15EE0">
            <w:pPr>
              <w:spacing w:after="0"/>
              <w:jc w:val="both"/>
              <w:rPr>
                <w:rFonts w:ascii="Times New Roman" w:hAnsi="Times New Roman"/>
                <w:b/>
                <w:sz w:val="20"/>
                <w:szCs w:val="20"/>
                <w:u w:val="single"/>
              </w:rPr>
            </w:pPr>
            <w:r>
              <w:rPr>
                <w:rFonts w:ascii="Times New Roman" w:hAnsi="Times New Roman"/>
                <w:b/>
                <w:sz w:val="20"/>
                <w:szCs w:val="20"/>
                <w:u w:val="single"/>
              </w:rPr>
              <w:t xml:space="preserve">Nízka </w:t>
            </w:r>
            <w:r w:rsidRPr="006458BF">
              <w:rPr>
                <w:rFonts w:ascii="Times New Roman" w:hAnsi="Times New Roman"/>
                <w:b/>
                <w:sz w:val="20"/>
                <w:szCs w:val="20"/>
                <w:u w:val="single"/>
              </w:rPr>
              <w:t xml:space="preserve">priorita </w:t>
            </w:r>
          </w:p>
          <w:p w:rsidR="00043D8B" w:rsidRPr="00043D8B" w:rsidRDefault="00043D8B" w:rsidP="00D15EE0">
            <w:pPr>
              <w:spacing w:after="0"/>
              <w:jc w:val="both"/>
              <w:rPr>
                <w:rFonts w:ascii="Times New Roman" w:hAnsi="Times New Roman"/>
                <w:sz w:val="20"/>
                <w:szCs w:val="20"/>
              </w:rPr>
            </w:pPr>
            <w:r w:rsidRPr="00160895">
              <w:rPr>
                <w:rFonts w:ascii="Times New Roman" w:hAnsi="Times New Roman"/>
                <w:sz w:val="20"/>
                <w:szCs w:val="20"/>
              </w:rPr>
              <w:t xml:space="preserve">Predkladaný návrh smernice stanovuje okruh oprávnených osôb, podmienky vydávania a nový formát náhradného cestovného dokladu EÚ a tiež určuje postupy pri jeho vydávaní. Nový formát náhradného cestovného dokladu EÚ s modernizovanými ochrannými prvkami zlepší celkovú bezpečnosť EÚ, keďže tieto doklady umožňujú ich držiteľom prekračovať vonkajšie hranice EÚ a vďaka širšiemu využívaniu jednotného formátu a harmonizovaných bezpečnostných prvkov zvýši ich uznávanie zo strany tretích krajín. </w:t>
            </w:r>
          </w:p>
          <w:p w:rsidR="00043D8B" w:rsidRDefault="00043D8B" w:rsidP="00D15EE0">
            <w:pPr>
              <w:spacing w:after="0"/>
              <w:jc w:val="both"/>
              <w:rPr>
                <w:rFonts w:ascii="Times New Roman" w:hAnsi="Times New Roman"/>
                <w:sz w:val="20"/>
              </w:rPr>
            </w:pPr>
          </w:p>
        </w:tc>
      </w:tr>
      <w:tr w:rsidR="00043D8B" w:rsidRPr="00A93C5A" w:rsidTr="00E63E2A">
        <w:tblPrEx>
          <w:tblCellMar>
            <w:top w:w="64" w:type="dxa"/>
            <w:right w:w="22" w:type="dxa"/>
          </w:tblCellMar>
        </w:tblPrEx>
        <w:trPr>
          <w:gridAfter w:val="1"/>
          <w:wAfter w:w="5619" w:type="dxa"/>
          <w:trHeight w:val="871"/>
        </w:trPr>
        <w:tc>
          <w:tcPr>
            <w:tcW w:w="408" w:type="dxa"/>
            <w:gridSpan w:val="3"/>
            <w:vMerge w:val="restart"/>
            <w:tcBorders>
              <w:top w:val="single" w:sz="4" w:space="0" w:color="000000"/>
              <w:left w:val="single" w:sz="4" w:space="0" w:color="000000"/>
              <w:bottom w:val="single" w:sz="4" w:space="0" w:color="000000"/>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70.</w:t>
            </w:r>
            <w:r w:rsidRPr="00A93C5A">
              <w:rPr>
                <w:rFonts w:ascii="Times New Roman" w:hAnsi="Times New Roman"/>
                <w:sz w:val="20"/>
              </w:rPr>
              <w:t xml:space="preserve"> </w:t>
            </w:r>
            <w:r>
              <w:rPr>
                <w:rFonts w:ascii="Times New Roman" w:hAnsi="Times New Roman"/>
                <w:sz w:val="20"/>
              </w:rPr>
              <w:t xml:space="preserve"> </w:t>
            </w:r>
          </w:p>
          <w:p w:rsidR="00043D8B" w:rsidRPr="00A93C5A" w:rsidRDefault="00043D8B" w:rsidP="00833647">
            <w:pPr>
              <w:spacing w:after="0"/>
              <w:rPr>
                <w:rFonts w:ascii="Times New Roman" w:hAnsi="Times New Roman"/>
                <w:sz w:val="20"/>
              </w:rPr>
            </w:pPr>
            <w:r>
              <w:rPr>
                <w:rFonts w:ascii="Times New Roman" w:hAnsi="Times New Roman"/>
                <w:sz w:val="20"/>
              </w:rPr>
              <w:t xml:space="preserve"> </w:t>
            </w:r>
          </w:p>
        </w:tc>
        <w:tc>
          <w:tcPr>
            <w:tcW w:w="2056" w:type="dxa"/>
            <w:gridSpan w:val="2"/>
            <w:vMerge w:val="restart"/>
            <w:tcBorders>
              <w:top w:val="single" w:sz="4" w:space="0" w:color="000000"/>
              <w:left w:val="single" w:sz="4" w:space="0" w:color="000000"/>
              <w:bottom w:val="single" w:sz="4" w:space="0" w:color="000000"/>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 xml:space="preserve">Občianske a obchodné veci </w:t>
            </w:r>
          </w:p>
        </w:tc>
        <w:tc>
          <w:tcPr>
            <w:tcW w:w="4678" w:type="dxa"/>
            <w:tcBorders>
              <w:top w:val="single" w:sz="4" w:space="0" w:color="000000"/>
              <w:left w:val="single" w:sz="4" w:space="0" w:color="000000"/>
              <w:bottom w:val="single" w:sz="4" w:space="0" w:color="000000"/>
              <w:right w:val="single" w:sz="4" w:space="0" w:color="000000"/>
            </w:tcBorders>
          </w:tcPr>
          <w:p w:rsidR="00043D8B" w:rsidRPr="00A93C5A" w:rsidRDefault="00043D8B" w:rsidP="00D15EE0">
            <w:pPr>
              <w:spacing w:after="0"/>
              <w:jc w:val="both"/>
              <w:rPr>
                <w:rFonts w:ascii="Times New Roman" w:hAnsi="Times New Roman"/>
                <w:sz w:val="20"/>
              </w:rPr>
            </w:pPr>
            <w:r>
              <w:rPr>
                <w:rFonts w:ascii="Times New Roman" w:hAnsi="Times New Roman"/>
                <w:sz w:val="20"/>
              </w:rPr>
              <w:t xml:space="preserve"> Návrh NARIADENIA EURÓPSKEHO PARLAMENTU A RADY, ktorým sa mení nariadenie Európskeho parlamentu a Rady (ES) č. 1393/2007 o doručovaní súdnych a mimosúdnych písomností v občianskych a obchodných veciach v členských štátoch („doručovanie písomností“)** COM(2018) 379 final  2018/0204 (COD)  31. 5. 2018</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D15EE0">
            <w:pPr>
              <w:spacing w:after="0"/>
              <w:jc w:val="both"/>
              <w:rPr>
                <w:rFonts w:ascii="Times New Roman" w:hAnsi="Times New Roman"/>
                <w:b/>
                <w:sz w:val="20"/>
              </w:rPr>
            </w:pPr>
            <w:r w:rsidRPr="006458BF">
              <w:rPr>
                <w:rFonts w:ascii="Times New Roman" w:hAnsi="Times New Roman"/>
                <w:b/>
                <w:sz w:val="20"/>
              </w:rPr>
              <w:t>MS SR</w:t>
            </w:r>
          </w:p>
          <w:p w:rsidR="00043D8B" w:rsidRPr="006458BF" w:rsidRDefault="00043D8B" w:rsidP="00D15EE0">
            <w:pPr>
              <w:spacing w:after="0"/>
              <w:jc w:val="both"/>
              <w:rPr>
                <w:rFonts w:ascii="Times New Roman" w:hAnsi="Times New Roman"/>
                <w:b/>
                <w:sz w:val="20"/>
              </w:rPr>
            </w:pPr>
            <w:r w:rsidRPr="006458BF">
              <w:rPr>
                <w:rFonts w:ascii="Times New Roman" w:hAnsi="Times New Roman"/>
                <w:b/>
                <w:sz w:val="20"/>
              </w:rPr>
              <w:t>ÚPVVII</w:t>
            </w:r>
          </w:p>
        </w:tc>
        <w:tc>
          <w:tcPr>
            <w:tcW w:w="6289" w:type="dxa"/>
            <w:tcBorders>
              <w:top w:val="single" w:sz="4" w:space="0" w:color="000000"/>
              <w:left w:val="single" w:sz="4" w:space="0" w:color="000000"/>
              <w:bottom w:val="single" w:sz="4" w:space="0" w:color="000000"/>
              <w:right w:val="single" w:sz="4" w:space="0" w:color="000000"/>
            </w:tcBorders>
          </w:tcPr>
          <w:p w:rsidR="00043D8B" w:rsidRPr="00005488" w:rsidRDefault="00043D8B" w:rsidP="00D15EE0">
            <w:pPr>
              <w:spacing w:after="0"/>
              <w:jc w:val="both"/>
              <w:rPr>
                <w:rFonts w:ascii="Times New Roman" w:hAnsi="Times New Roman"/>
                <w:b/>
                <w:sz w:val="20"/>
                <w:u w:val="single"/>
              </w:rPr>
            </w:pPr>
            <w:r w:rsidRPr="00005488">
              <w:rPr>
                <w:rFonts w:ascii="Times New Roman" w:hAnsi="Times New Roman"/>
                <w:b/>
                <w:sz w:val="20"/>
                <w:u w:val="single"/>
              </w:rPr>
              <w:t>Stredná priorita</w:t>
            </w:r>
          </w:p>
          <w:p w:rsidR="00043D8B" w:rsidRDefault="00043D8B" w:rsidP="00D15EE0">
            <w:pPr>
              <w:spacing w:after="0"/>
              <w:jc w:val="both"/>
              <w:rPr>
                <w:rFonts w:ascii="Times New Roman" w:hAnsi="Times New Roman"/>
                <w:sz w:val="20"/>
              </w:rPr>
            </w:pPr>
            <w:r>
              <w:rPr>
                <w:rFonts w:ascii="Times New Roman" w:hAnsi="Times New Roman"/>
                <w:sz w:val="20"/>
              </w:rPr>
              <w:t>SR podporuje prijatie návrhu</w:t>
            </w:r>
          </w:p>
        </w:tc>
      </w:tr>
      <w:tr w:rsidR="00043D8B" w:rsidRPr="00A93C5A" w:rsidTr="00E63E2A">
        <w:tblPrEx>
          <w:tblCellMar>
            <w:top w:w="64" w:type="dxa"/>
            <w:right w:w="22" w:type="dxa"/>
          </w:tblCellMar>
        </w:tblPrEx>
        <w:trPr>
          <w:gridAfter w:val="1"/>
          <w:wAfter w:w="5619" w:type="dxa"/>
          <w:trHeight w:val="869"/>
        </w:trPr>
        <w:tc>
          <w:tcPr>
            <w:tcW w:w="408" w:type="dxa"/>
            <w:gridSpan w:val="3"/>
            <w:vMerge/>
            <w:tcBorders>
              <w:top w:val="nil"/>
              <w:left w:val="single" w:sz="4" w:space="0" w:color="000000"/>
              <w:bottom w:val="single" w:sz="4" w:space="0" w:color="000000"/>
              <w:right w:val="single" w:sz="4" w:space="0" w:color="000000"/>
            </w:tcBorders>
          </w:tcPr>
          <w:p w:rsidR="00043D8B" w:rsidRPr="00A93C5A" w:rsidRDefault="00043D8B" w:rsidP="00833647">
            <w:pPr>
              <w:spacing w:after="0"/>
              <w:rPr>
                <w:rFonts w:ascii="Times New Roman" w:hAnsi="Times New Roman"/>
                <w:sz w:val="20"/>
              </w:rPr>
            </w:pPr>
          </w:p>
        </w:tc>
        <w:tc>
          <w:tcPr>
            <w:tcW w:w="2056" w:type="dxa"/>
            <w:gridSpan w:val="2"/>
            <w:vMerge/>
            <w:tcBorders>
              <w:top w:val="nil"/>
              <w:left w:val="single" w:sz="4" w:space="0" w:color="000000"/>
              <w:bottom w:val="single" w:sz="4" w:space="0" w:color="000000"/>
              <w:right w:val="single" w:sz="4" w:space="0" w:color="000000"/>
            </w:tcBorders>
          </w:tcPr>
          <w:p w:rsidR="00043D8B" w:rsidRPr="00A93C5A" w:rsidRDefault="00043D8B" w:rsidP="00833647">
            <w:pPr>
              <w:spacing w:after="0"/>
              <w:rPr>
                <w:rFonts w:ascii="Times New Roman" w:hAnsi="Times New Roman"/>
                <w:sz w:val="20"/>
              </w:rPr>
            </w:pPr>
          </w:p>
        </w:tc>
        <w:tc>
          <w:tcPr>
            <w:tcW w:w="4678" w:type="dxa"/>
            <w:tcBorders>
              <w:top w:val="single" w:sz="4" w:space="0" w:color="000000"/>
              <w:left w:val="single" w:sz="4" w:space="0" w:color="000000"/>
              <w:bottom w:val="single" w:sz="4" w:space="0" w:color="000000"/>
              <w:right w:val="single" w:sz="4" w:space="0" w:color="000000"/>
            </w:tcBorders>
          </w:tcPr>
          <w:p w:rsidR="00043D8B" w:rsidRPr="00A93C5A" w:rsidRDefault="00043D8B" w:rsidP="00D15EE0">
            <w:pPr>
              <w:spacing w:after="0"/>
              <w:jc w:val="both"/>
              <w:rPr>
                <w:rFonts w:ascii="Times New Roman" w:hAnsi="Times New Roman"/>
                <w:sz w:val="20"/>
              </w:rPr>
            </w:pPr>
            <w:r>
              <w:rPr>
                <w:rFonts w:ascii="Times New Roman" w:hAnsi="Times New Roman"/>
                <w:sz w:val="20"/>
              </w:rPr>
              <w:t xml:space="preserve">Návrh NARIADENIA EURÓPSKEHO PARLAMENTU A RADY, ktorým sa mení nariadenie Rady (ES) </w:t>
            </w:r>
          </w:p>
          <w:p w:rsidR="00043D8B" w:rsidRPr="00A93C5A" w:rsidRDefault="00043D8B" w:rsidP="00D15EE0">
            <w:pPr>
              <w:spacing w:after="0"/>
              <w:jc w:val="both"/>
              <w:rPr>
                <w:rFonts w:ascii="Times New Roman" w:hAnsi="Times New Roman"/>
                <w:sz w:val="20"/>
              </w:rPr>
            </w:pPr>
            <w:r>
              <w:rPr>
                <w:rFonts w:ascii="Times New Roman" w:hAnsi="Times New Roman"/>
                <w:sz w:val="20"/>
              </w:rPr>
              <w:t>č. 1206/2001 z 28. mája 2001 o spolupráci medzi súdmi členských štátov pri vykonávaní dôkazov v občianskych a obchodných veciach** COM(2018) 378 final 2018/0203 (COD) 31. 5. 2018</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D15EE0">
            <w:pPr>
              <w:spacing w:after="0"/>
              <w:jc w:val="both"/>
              <w:rPr>
                <w:rFonts w:ascii="Times New Roman" w:hAnsi="Times New Roman"/>
                <w:b/>
                <w:sz w:val="20"/>
              </w:rPr>
            </w:pPr>
            <w:r w:rsidRPr="006458BF">
              <w:rPr>
                <w:rFonts w:ascii="Times New Roman" w:hAnsi="Times New Roman"/>
                <w:b/>
                <w:sz w:val="20"/>
              </w:rPr>
              <w:t xml:space="preserve">MS SR </w:t>
            </w:r>
          </w:p>
          <w:p w:rsidR="00043D8B" w:rsidRPr="006458BF" w:rsidRDefault="00043D8B" w:rsidP="00D15EE0">
            <w:pPr>
              <w:spacing w:after="0"/>
              <w:jc w:val="both"/>
              <w:rPr>
                <w:rFonts w:ascii="Times New Roman" w:hAnsi="Times New Roman"/>
                <w:b/>
                <w:sz w:val="20"/>
              </w:rPr>
            </w:pPr>
            <w:r w:rsidRPr="006458BF">
              <w:rPr>
                <w:rFonts w:ascii="Times New Roman" w:hAnsi="Times New Roman"/>
                <w:b/>
                <w:sz w:val="20"/>
              </w:rPr>
              <w:t>ÚPVVII</w:t>
            </w:r>
          </w:p>
        </w:tc>
        <w:tc>
          <w:tcPr>
            <w:tcW w:w="6289" w:type="dxa"/>
            <w:tcBorders>
              <w:top w:val="single" w:sz="4" w:space="0" w:color="000000"/>
              <w:left w:val="single" w:sz="4" w:space="0" w:color="000000"/>
              <w:bottom w:val="single" w:sz="4" w:space="0" w:color="000000"/>
              <w:right w:val="single" w:sz="4" w:space="0" w:color="000000"/>
            </w:tcBorders>
          </w:tcPr>
          <w:p w:rsidR="00043D8B" w:rsidRPr="00005488" w:rsidRDefault="00043D8B" w:rsidP="00D15EE0">
            <w:pPr>
              <w:spacing w:after="0"/>
              <w:jc w:val="both"/>
              <w:rPr>
                <w:rFonts w:ascii="Times New Roman" w:hAnsi="Times New Roman"/>
                <w:b/>
                <w:sz w:val="20"/>
                <w:u w:val="single"/>
              </w:rPr>
            </w:pPr>
            <w:r w:rsidRPr="00005488">
              <w:rPr>
                <w:rFonts w:ascii="Times New Roman" w:hAnsi="Times New Roman"/>
                <w:b/>
                <w:sz w:val="20"/>
                <w:u w:val="single"/>
              </w:rPr>
              <w:t>Stredná priorita</w:t>
            </w:r>
          </w:p>
          <w:p w:rsidR="00043D8B" w:rsidRDefault="00043D8B" w:rsidP="00D15EE0">
            <w:pPr>
              <w:spacing w:after="0"/>
              <w:jc w:val="both"/>
              <w:rPr>
                <w:rFonts w:ascii="Times New Roman" w:hAnsi="Times New Roman"/>
                <w:sz w:val="20"/>
              </w:rPr>
            </w:pPr>
            <w:r>
              <w:rPr>
                <w:rFonts w:ascii="Times New Roman" w:hAnsi="Times New Roman"/>
                <w:sz w:val="20"/>
              </w:rPr>
              <w:t>SR podporuje prijatie návrhu</w:t>
            </w:r>
          </w:p>
        </w:tc>
      </w:tr>
      <w:tr w:rsidR="00043D8B" w:rsidRPr="00A93C5A" w:rsidTr="00E63E2A">
        <w:tblPrEx>
          <w:tblCellMar>
            <w:top w:w="64" w:type="dxa"/>
            <w:right w:w="22" w:type="dxa"/>
          </w:tblCellMar>
        </w:tblPrEx>
        <w:trPr>
          <w:gridAfter w:val="1"/>
          <w:wAfter w:w="5619" w:type="dxa"/>
          <w:trHeight w:val="872"/>
        </w:trPr>
        <w:tc>
          <w:tcPr>
            <w:tcW w:w="408" w:type="dxa"/>
            <w:gridSpan w:val="3"/>
            <w:tcBorders>
              <w:top w:val="single" w:sz="4" w:space="0" w:color="000000"/>
              <w:left w:val="single" w:sz="4" w:space="0" w:color="000000"/>
              <w:bottom w:val="nil"/>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71.</w:t>
            </w:r>
            <w:r w:rsidRPr="00A93C5A">
              <w:rPr>
                <w:rFonts w:ascii="Times New Roman" w:hAnsi="Times New Roman"/>
                <w:sz w:val="20"/>
              </w:rPr>
              <w:t xml:space="preserve"> </w:t>
            </w:r>
            <w:r>
              <w:rPr>
                <w:rFonts w:ascii="Times New Roman" w:hAnsi="Times New Roman"/>
                <w:sz w:val="20"/>
              </w:rPr>
              <w:t xml:space="preserve"> </w:t>
            </w:r>
          </w:p>
        </w:tc>
        <w:tc>
          <w:tcPr>
            <w:tcW w:w="2056" w:type="dxa"/>
            <w:gridSpan w:val="2"/>
            <w:tcBorders>
              <w:top w:val="single" w:sz="4" w:space="0" w:color="000000"/>
              <w:left w:val="single" w:sz="4" w:space="0" w:color="000000"/>
              <w:bottom w:val="nil"/>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 xml:space="preserve">Viacročný finančný rámec </w:t>
            </w:r>
          </w:p>
        </w:tc>
        <w:tc>
          <w:tcPr>
            <w:tcW w:w="4678" w:type="dxa"/>
            <w:tcBorders>
              <w:top w:val="single" w:sz="4" w:space="0" w:color="000000"/>
              <w:left w:val="single" w:sz="4" w:space="0" w:color="000000"/>
              <w:bottom w:val="single" w:sz="4" w:space="0" w:color="000000"/>
              <w:right w:val="single" w:sz="4" w:space="0" w:color="000000"/>
            </w:tcBorders>
          </w:tcPr>
          <w:p w:rsidR="00043D8B" w:rsidRPr="00A93C5A" w:rsidRDefault="00043D8B" w:rsidP="00D15EE0">
            <w:pPr>
              <w:spacing w:after="0"/>
              <w:jc w:val="both"/>
              <w:rPr>
                <w:rFonts w:ascii="Times New Roman" w:hAnsi="Times New Roman"/>
                <w:sz w:val="20"/>
              </w:rPr>
            </w:pPr>
            <w:r>
              <w:rPr>
                <w:rFonts w:ascii="Times New Roman" w:hAnsi="Times New Roman"/>
                <w:sz w:val="20"/>
              </w:rPr>
              <w:t xml:space="preserve"> Návrh NARIADENIA EURÓPSKEHO PARLAMENTU A RADY o ochrane rozpočtu Únie v prípade všeobecných nedostatkov v oblasti dodržiavania zásady právneho štátu v členských štátoch COM(2018) 324 final 2018/0136 (COD) 2. 5. 2018</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D15EE0">
            <w:pPr>
              <w:spacing w:after="0"/>
              <w:jc w:val="both"/>
              <w:rPr>
                <w:rFonts w:ascii="Times New Roman" w:hAnsi="Times New Roman"/>
                <w:b/>
                <w:sz w:val="20"/>
              </w:rPr>
            </w:pPr>
            <w:r>
              <w:rPr>
                <w:rFonts w:ascii="Times New Roman" w:hAnsi="Times New Roman"/>
                <w:b/>
                <w:sz w:val="20"/>
              </w:rPr>
              <w:t>MZVEZ SR</w:t>
            </w:r>
          </w:p>
          <w:p w:rsidR="00043D8B" w:rsidRPr="006458BF" w:rsidRDefault="00043D8B" w:rsidP="00D15EE0">
            <w:pPr>
              <w:spacing w:after="0"/>
              <w:jc w:val="both"/>
              <w:rPr>
                <w:rFonts w:ascii="Times New Roman" w:hAnsi="Times New Roman"/>
                <w:b/>
                <w:sz w:val="20"/>
              </w:rPr>
            </w:pPr>
            <w:r w:rsidRPr="006458BF">
              <w:rPr>
                <w:rFonts w:ascii="Times New Roman" w:hAnsi="Times New Roman"/>
                <w:b/>
                <w:sz w:val="20"/>
              </w:rPr>
              <w:t>MS SR</w:t>
            </w:r>
            <w:r w:rsidRPr="006458BF">
              <w:rPr>
                <w:rFonts w:ascii="Times New Roman" w:hAnsi="Times New Roman"/>
                <w:b/>
                <w:sz w:val="20"/>
              </w:rPr>
              <w:br/>
              <w:t>MF SR</w:t>
            </w:r>
          </w:p>
        </w:tc>
        <w:tc>
          <w:tcPr>
            <w:tcW w:w="6289" w:type="dxa"/>
            <w:tcBorders>
              <w:top w:val="single" w:sz="4" w:space="0" w:color="000000"/>
              <w:left w:val="single" w:sz="4" w:space="0" w:color="000000"/>
              <w:bottom w:val="single" w:sz="4" w:space="0" w:color="000000"/>
              <w:right w:val="single" w:sz="4" w:space="0" w:color="000000"/>
            </w:tcBorders>
          </w:tcPr>
          <w:p w:rsidR="00043D8B" w:rsidRPr="00005488" w:rsidRDefault="00043D8B" w:rsidP="00D15EE0">
            <w:pPr>
              <w:spacing w:after="0"/>
              <w:jc w:val="both"/>
              <w:rPr>
                <w:rFonts w:ascii="Times New Roman" w:hAnsi="Times New Roman"/>
                <w:b/>
                <w:sz w:val="20"/>
                <w:szCs w:val="20"/>
                <w:u w:val="single"/>
              </w:rPr>
            </w:pPr>
            <w:r w:rsidRPr="00005488">
              <w:rPr>
                <w:rFonts w:ascii="Times New Roman" w:hAnsi="Times New Roman"/>
                <w:b/>
                <w:sz w:val="20"/>
                <w:szCs w:val="20"/>
                <w:u w:val="single"/>
              </w:rPr>
              <w:t>Vysoká priorita</w:t>
            </w:r>
          </w:p>
          <w:p w:rsidR="00043D8B" w:rsidRPr="0088373D" w:rsidRDefault="00043D8B" w:rsidP="00D15EE0">
            <w:pPr>
              <w:pStyle w:val="Odsekzoznamu"/>
              <w:spacing w:after="0" w:line="252" w:lineRule="auto"/>
              <w:ind w:left="0" w:right="259"/>
              <w:jc w:val="both"/>
              <w:rPr>
                <w:rFonts w:ascii="Times New Roman" w:hAnsi="Times New Roman"/>
                <w:sz w:val="20"/>
              </w:rPr>
            </w:pPr>
            <w:r w:rsidRPr="0088373D">
              <w:rPr>
                <w:rFonts w:ascii="Times New Roman" w:hAnsi="Times New Roman"/>
                <w:sz w:val="20"/>
              </w:rPr>
              <w:t>Podľa Európskej komisie (EK) je cieľom predkladaného návrhu legislatívneho aktu vytvoriť prepojenie medzi výdavkami z rozpočtu EÚ a účinným dodržiavaním zásady právneho štátu, pričom by sa mal vytvoriť  paralelný prevenčný mechanizmus postihujúci prípady porušenia princípu právneho štátu. Návrh legislatívneho aktu je však problematický kvôli možnej absencii adekvátneho právneho základu a možnému rozporu (resp. obchádzaniu) s čl. 7 ZEÚ. Na druhej strane, obdobný mechanizmus by mohol byť akceptovateľný, ak by rešpektoval rámec daný právom EÚ.</w:t>
            </w:r>
          </w:p>
          <w:p w:rsidR="00043D8B" w:rsidRDefault="00043D8B" w:rsidP="00D15EE0">
            <w:pPr>
              <w:pStyle w:val="Odsekzoznamu"/>
              <w:spacing w:after="0"/>
              <w:ind w:left="0" w:right="259"/>
              <w:jc w:val="both"/>
              <w:rPr>
                <w:rFonts w:ascii="Times New Roman" w:hAnsi="Times New Roman"/>
                <w:sz w:val="20"/>
              </w:rPr>
            </w:pPr>
            <w:r w:rsidRPr="0088373D">
              <w:rPr>
                <w:rFonts w:ascii="Times New Roman" w:hAnsi="Times New Roman"/>
                <w:sz w:val="20"/>
              </w:rPr>
              <w:t>SR nie je principiálne proti tomuto mechanizmu, no bude potrebná ďalšia diskusia najmä v oblastiach právneho základu navrhovaného mechanizmu a zlučiteľnosti navrhovaného mechanizmu s existujúcimi zmluvami, najmä s článkom 7 ZEÚ. Rovnako je dôležité, aby návrh obsahoval jasné, presné a úplné kritériá pri posudzovaní dodržiavania zásady právneho štátu.</w:t>
            </w:r>
          </w:p>
        </w:tc>
      </w:tr>
      <w:tr w:rsidR="00043D8B" w:rsidRPr="00A93C5A" w:rsidTr="00E63E2A">
        <w:tblPrEx>
          <w:tblCellMar>
            <w:top w:w="64" w:type="dxa"/>
            <w:right w:w="22" w:type="dxa"/>
          </w:tblCellMar>
        </w:tblPrEx>
        <w:trPr>
          <w:gridAfter w:val="1"/>
          <w:wAfter w:w="5619" w:type="dxa"/>
          <w:trHeight w:val="872"/>
        </w:trPr>
        <w:tc>
          <w:tcPr>
            <w:tcW w:w="408" w:type="dxa"/>
            <w:gridSpan w:val="3"/>
            <w:tcBorders>
              <w:top w:val="single" w:sz="4" w:space="0" w:color="000000"/>
              <w:left w:val="single" w:sz="4" w:space="0" w:color="000000"/>
              <w:bottom w:val="nil"/>
              <w:right w:val="single" w:sz="4" w:space="0" w:color="000000"/>
            </w:tcBorders>
          </w:tcPr>
          <w:p w:rsidR="00043D8B" w:rsidRDefault="00043D8B" w:rsidP="00833647">
            <w:pPr>
              <w:spacing w:after="0"/>
              <w:rPr>
                <w:rFonts w:ascii="Times New Roman" w:hAnsi="Times New Roman"/>
                <w:sz w:val="20"/>
              </w:rPr>
            </w:pPr>
          </w:p>
        </w:tc>
        <w:tc>
          <w:tcPr>
            <w:tcW w:w="2056" w:type="dxa"/>
            <w:gridSpan w:val="2"/>
            <w:tcBorders>
              <w:top w:val="single" w:sz="4" w:space="0" w:color="000000"/>
              <w:left w:val="single" w:sz="4" w:space="0" w:color="000000"/>
              <w:bottom w:val="nil"/>
              <w:right w:val="single" w:sz="4" w:space="0" w:color="000000"/>
            </w:tcBorders>
          </w:tcPr>
          <w:p w:rsidR="00043D8B" w:rsidRDefault="00043D8B" w:rsidP="00833647">
            <w:pPr>
              <w:spacing w:after="0"/>
              <w:rPr>
                <w:rFonts w:ascii="Times New Roman" w:hAnsi="Times New Roman"/>
                <w:sz w:val="20"/>
              </w:rPr>
            </w:pPr>
          </w:p>
        </w:tc>
        <w:tc>
          <w:tcPr>
            <w:tcW w:w="4678" w:type="dxa"/>
            <w:tcBorders>
              <w:top w:val="single" w:sz="4" w:space="0" w:color="000000"/>
              <w:left w:val="single" w:sz="4" w:space="0" w:color="000000"/>
              <w:bottom w:val="single" w:sz="4" w:space="0" w:color="000000"/>
              <w:right w:val="single" w:sz="4" w:space="0" w:color="000000"/>
            </w:tcBorders>
          </w:tcPr>
          <w:p w:rsidR="00043D8B" w:rsidRPr="00A93C5A" w:rsidRDefault="00043D8B" w:rsidP="00D15EE0">
            <w:pPr>
              <w:spacing w:after="0"/>
              <w:jc w:val="both"/>
              <w:rPr>
                <w:rFonts w:ascii="Times New Roman" w:hAnsi="Times New Roman"/>
                <w:sz w:val="20"/>
              </w:rPr>
            </w:pPr>
            <w:r>
              <w:rPr>
                <w:rFonts w:ascii="Times New Roman" w:hAnsi="Times New Roman"/>
                <w:sz w:val="20"/>
              </w:rPr>
              <w:t xml:space="preserve">Návrh NARIADENIA EURÓPSKEHO PARLAMENTU A RADY, ktorým sa stanovuje program EÚ pre boj proti podvodom COM(2018) 386 final </w:t>
            </w:r>
          </w:p>
          <w:p w:rsidR="00043D8B" w:rsidRPr="00A93C5A" w:rsidRDefault="00043D8B" w:rsidP="00D15EE0">
            <w:pPr>
              <w:spacing w:after="0"/>
              <w:jc w:val="both"/>
              <w:rPr>
                <w:rFonts w:ascii="Times New Roman" w:hAnsi="Times New Roman"/>
                <w:sz w:val="20"/>
              </w:rPr>
            </w:pPr>
            <w:r>
              <w:rPr>
                <w:rFonts w:ascii="Times New Roman" w:hAnsi="Times New Roman"/>
                <w:sz w:val="20"/>
              </w:rPr>
              <w:t>2018/0211 (COD) 30. 5. 2018</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rPr>
            </w:pPr>
            <w:r w:rsidRPr="006458BF">
              <w:rPr>
                <w:rFonts w:ascii="Times New Roman" w:hAnsi="Times New Roman"/>
                <w:b/>
                <w:sz w:val="20"/>
              </w:rPr>
              <w:t>ÚV SR</w:t>
            </w:r>
          </w:p>
        </w:tc>
        <w:tc>
          <w:tcPr>
            <w:tcW w:w="6289" w:type="dxa"/>
            <w:tcBorders>
              <w:top w:val="single" w:sz="4" w:space="0" w:color="000000"/>
              <w:left w:val="single" w:sz="4" w:space="0" w:color="000000"/>
              <w:bottom w:val="single" w:sz="4" w:space="0" w:color="000000"/>
              <w:right w:val="single" w:sz="4" w:space="0" w:color="000000"/>
            </w:tcBorders>
          </w:tcPr>
          <w:p w:rsidR="00043D8B" w:rsidRPr="000F5CEF" w:rsidRDefault="00043D8B" w:rsidP="00833647">
            <w:pPr>
              <w:spacing w:after="0"/>
              <w:jc w:val="both"/>
              <w:rPr>
                <w:rFonts w:ascii="Times New Roman" w:hAnsi="Times New Roman"/>
                <w:b/>
                <w:sz w:val="20"/>
                <w:u w:val="single"/>
              </w:rPr>
            </w:pPr>
            <w:r w:rsidRPr="000F5CEF">
              <w:rPr>
                <w:rFonts w:ascii="Times New Roman" w:hAnsi="Times New Roman"/>
                <w:b/>
                <w:sz w:val="20"/>
                <w:u w:val="single"/>
              </w:rPr>
              <w:t>Stredná priorita</w:t>
            </w:r>
          </w:p>
          <w:p w:rsidR="00043D8B" w:rsidRDefault="00043D8B" w:rsidP="00833647">
            <w:pPr>
              <w:spacing w:after="0"/>
              <w:jc w:val="both"/>
              <w:rPr>
                <w:rFonts w:ascii="Times New Roman" w:hAnsi="Times New Roman"/>
                <w:sz w:val="20"/>
              </w:rPr>
            </w:pPr>
            <w:r w:rsidRPr="000F5CEF">
              <w:rPr>
                <w:rFonts w:ascii="Times New Roman" w:hAnsi="Times New Roman"/>
                <w:sz w:val="20"/>
              </w:rPr>
              <w:t>Návrh nariadenia bol prerokovaný v rámci Rady a je pripravený na začatie trialógov s EP. Navrhovaný program EÚ pre boj proti podvodom spája základné zložky predchádzajúceho programu Hercule III s finančným základom operačnej činnosti informačného systému pre boj proti podvodom (AFIS) a systému nahlasovania nezrovnalostí (IMS), pričom každý z týchto systémov bude naďalej poskytovať špecializovanú službu, na ktorú bol vytvorený. Z programu EÚ pre boj proti podvodom môžu byť financované niektoré druhy vybavenia, ako napríklad digitálne forenzné vybavenie, sledovacie zariadenia a pod. Zároveň sa z programu EÚ pre boj proti podvodom bude poskytovať podpora aj iným ako colným orgánom, a to napríklad daňovým orgánom, justičným orgánom, policajným inšpektorátom a hraničnej polícii, ministerstvám, rozličným vyšetrovacím orgánom, orgánom na boj proti korupcii atď. SR nemala k návrhu vecné pripomienky a na záver podporila upravený kompromisný text Rady. Ďalšie diskusie k návrhu nariadenia budú prebiehať v roku 2019.</w:t>
            </w:r>
          </w:p>
        </w:tc>
      </w:tr>
      <w:tr w:rsidR="00043D8B" w:rsidRPr="00A93C5A" w:rsidTr="00E63E2A">
        <w:tblPrEx>
          <w:tblCellMar>
            <w:top w:w="64" w:type="dxa"/>
            <w:right w:w="22" w:type="dxa"/>
          </w:tblCellMar>
        </w:tblPrEx>
        <w:trPr>
          <w:gridAfter w:val="1"/>
          <w:wAfter w:w="5619" w:type="dxa"/>
          <w:trHeight w:val="872"/>
        </w:trPr>
        <w:tc>
          <w:tcPr>
            <w:tcW w:w="408" w:type="dxa"/>
            <w:gridSpan w:val="3"/>
            <w:tcBorders>
              <w:top w:val="single" w:sz="4" w:space="0" w:color="000000"/>
              <w:left w:val="single" w:sz="4" w:space="0" w:color="000000"/>
              <w:bottom w:val="nil"/>
              <w:right w:val="single" w:sz="4" w:space="0" w:color="000000"/>
            </w:tcBorders>
          </w:tcPr>
          <w:p w:rsidR="00043D8B" w:rsidRDefault="00043D8B" w:rsidP="00833647">
            <w:pPr>
              <w:spacing w:after="0"/>
              <w:rPr>
                <w:rFonts w:ascii="Times New Roman" w:hAnsi="Times New Roman"/>
                <w:sz w:val="20"/>
              </w:rPr>
            </w:pPr>
          </w:p>
        </w:tc>
        <w:tc>
          <w:tcPr>
            <w:tcW w:w="2056" w:type="dxa"/>
            <w:gridSpan w:val="2"/>
            <w:tcBorders>
              <w:top w:val="single" w:sz="4" w:space="0" w:color="000000"/>
              <w:left w:val="single" w:sz="4" w:space="0" w:color="000000"/>
              <w:bottom w:val="nil"/>
              <w:right w:val="single" w:sz="4" w:space="0" w:color="000000"/>
            </w:tcBorders>
          </w:tcPr>
          <w:p w:rsidR="00043D8B" w:rsidRDefault="00043D8B" w:rsidP="00833647">
            <w:pPr>
              <w:spacing w:after="0"/>
              <w:rPr>
                <w:rFonts w:ascii="Times New Roman" w:hAnsi="Times New Roman"/>
                <w:sz w:val="20"/>
              </w:rPr>
            </w:pPr>
          </w:p>
        </w:tc>
        <w:tc>
          <w:tcPr>
            <w:tcW w:w="4678" w:type="dxa"/>
            <w:tcBorders>
              <w:top w:val="single" w:sz="4" w:space="0" w:color="000000"/>
              <w:left w:val="single" w:sz="4" w:space="0" w:color="000000"/>
              <w:bottom w:val="single" w:sz="4" w:space="0" w:color="000000"/>
              <w:right w:val="single" w:sz="4" w:space="0" w:color="000000"/>
            </w:tcBorders>
          </w:tcPr>
          <w:p w:rsidR="00043D8B" w:rsidRPr="00A93C5A" w:rsidRDefault="00043D8B" w:rsidP="00D15EE0">
            <w:pPr>
              <w:spacing w:after="0"/>
              <w:jc w:val="both"/>
              <w:rPr>
                <w:rFonts w:ascii="Times New Roman" w:hAnsi="Times New Roman"/>
                <w:sz w:val="20"/>
              </w:rPr>
            </w:pPr>
            <w:r>
              <w:rPr>
                <w:rFonts w:ascii="Times New Roman" w:hAnsi="Times New Roman"/>
                <w:sz w:val="20"/>
              </w:rPr>
              <w:t>Návrh NARIADENIA EURÓPSKEHO PARLAMENTU A RADY, ktorým sa zriaďuje program Práva a hodnoty COM(2018) 383 final  2018/0207 (COD) 30. 5. 2018</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rPr>
            </w:pPr>
            <w:r w:rsidRPr="006458BF">
              <w:rPr>
                <w:rFonts w:ascii="Times New Roman" w:hAnsi="Times New Roman"/>
                <w:b/>
                <w:sz w:val="20"/>
              </w:rPr>
              <w:t>MS SR</w:t>
            </w:r>
          </w:p>
          <w:p w:rsidR="00043D8B" w:rsidRPr="006458BF" w:rsidRDefault="00043D8B" w:rsidP="00833647">
            <w:pPr>
              <w:spacing w:after="0"/>
              <w:rPr>
                <w:rFonts w:ascii="Times New Roman" w:hAnsi="Times New Roman"/>
                <w:b/>
                <w:sz w:val="20"/>
              </w:rPr>
            </w:pPr>
            <w:r>
              <w:rPr>
                <w:rFonts w:ascii="Times New Roman" w:hAnsi="Times New Roman"/>
                <w:b/>
                <w:sz w:val="20"/>
              </w:rPr>
              <w:t>MZVEZ SR</w:t>
            </w:r>
          </w:p>
          <w:p w:rsidR="00043D8B" w:rsidRPr="006458BF" w:rsidRDefault="00043D8B" w:rsidP="00833647">
            <w:pPr>
              <w:spacing w:after="0"/>
              <w:rPr>
                <w:rFonts w:ascii="Times New Roman" w:hAnsi="Times New Roman"/>
                <w:b/>
                <w:sz w:val="20"/>
              </w:rPr>
            </w:pPr>
            <w:r w:rsidRPr="006458BF">
              <w:rPr>
                <w:rFonts w:ascii="Times New Roman" w:hAnsi="Times New Roman"/>
                <w:b/>
                <w:sz w:val="20"/>
              </w:rPr>
              <w:t>MF SR</w:t>
            </w:r>
          </w:p>
          <w:p w:rsidR="00043D8B" w:rsidRPr="006458BF" w:rsidRDefault="00043D8B" w:rsidP="00833647">
            <w:pPr>
              <w:spacing w:after="0"/>
              <w:rPr>
                <w:rFonts w:ascii="Times New Roman" w:hAnsi="Times New Roman"/>
                <w:b/>
                <w:sz w:val="20"/>
              </w:rPr>
            </w:pPr>
          </w:p>
        </w:tc>
        <w:tc>
          <w:tcPr>
            <w:tcW w:w="6289" w:type="dxa"/>
            <w:tcBorders>
              <w:top w:val="single" w:sz="4" w:space="0" w:color="000000"/>
              <w:left w:val="single" w:sz="4" w:space="0" w:color="000000"/>
              <w:bottom w:val="single" w:sz="4" w:space="0" w:color="000000"/>
              <w:right w:val="single" w:sz="4" w:space="0" w:color="000000"/>
            </w:tcBorders>
          </w:tcPr>
          <w:p w:rsidR="00043D8B" w:rsidRPr="00005488" w:rsidRDefault="00043D8B" w:rsidP="00833647">
            <w:pPr>
              <w:spacing w:after="0"/>
              <w:rPr>
                <w:rFonts w:ascii="Times New Roman" w:hAnsi="Times New Roman"/>
                <w:b/>
                <w:sz w:val="20"/>
                <w:u w:val="single"/>
              </w:rPr>
            </w:pPr>
            <w:r>
              <w:rPr>
                <w:rFonts w:ascii="Times New Roman" w:hAnsi="Times New Roman"/>
                <w:b/>
                <w:sz w:val="20"/>
                <w:u w:val="single"/>
              </w:rPr>
              <w:t>Nízka</w:t>
            </w:r>
            <w:r w:rsidRPr="00005488">
              <w:rPr>
                <w:rFonts w:ascii="Times New Roman" w:hAnsi="Times New Roman"/>
                <w:b/>
                <w:sz w:val="20"/>
                <w:u w:val="single"/>
              </w:rPr>
              <w:t xml:space="preserve"> priorita</w:t>
            </w:r>
          </w:p>
          <w:p w:rsidR="00043D8B" w:rsidRDefault="00043D8B" w:rsidP="00833647">
            <w:pPr>
              <w:spacing w:after="0"/>
              <w:rPr>
                <w:rFonts w:ascii="Times New Roman" w:hAnsi="Times New Roman"/>
                <w:sz w:val="20"/>
              </w:rPr>
            </w:pPr>
            <w:r>
              <w:rPr>
                <w:rFonts w:ascii="Times New Roman" w:hAnsi="Times New Roman"/>
                <w:sz w:val="20"/>
              </w:rPr>
              <w:t>SK podporuje prijatie návrhu</w:t>
            </w:r>
          </w:p>
        </w:tc>
      </w:tr>
      <w:tr w:rsidR="00043D8B" w:rsidRPr="00A93C5A" w:rsidTr="00E63E2A">
        <w:tblPrEx>
          <w:tblCellMar>
            <w:top w:w="64" w:type="dxa"/>
            <w:right w:w="22" w:type="dxa"/>
          </w:tblCellMar>
        </w:tblPrEx>
        <w:trPr>
          <w:gridAfter w:val="1"/>
          <w:wAfter w:w="5619" w:type="dxa"/>
          <w:trHeight w:val="872"/>
        </w:trPr>
        <w:tc>
          <w:tcPr>
            <w:tcW w:w="408" w:type="dxa"/>
            <w:gridSpan w:val="3"/>
            <w:tcBorders>
              <w:top w:val="single" w:sz="4" w:space="0" w:color="000000"/>
              <w:left w:val="single" w:sz="4" w:space="0" w:color="000000"/>
              <w:bottom w:val="nil"/>
              <w:right w:val="single" w:sz="4" w:space="0" w:color="000000"/>
            </w:tcBorders>
          </w:tcPr>
          <w:p w:rsidR="00043D8B" w:rsidRDefault="00043D8B" w:rsidP="00833647">
            <w:pPr>
              <w:spacing w:after="0"/>
              <w:rPr>
                <w:rFonts w:ascii="Times New Roman" w:hAnsi="Times New Roman"/>
                <w:sz w:val="20"/>
              </w:rPr>
            </w:pPr>
          </w:p>
        </w:tc>
        <w:tc>
          <w:tcPr>
            <w:tcW w:w="2056" w:type="dxa"/>
            <w:gridSpan w:val="2"/>
            <w:tcBorders>
              <w:top w:val="single" w:sz="4" w:space="0" w:color="000000"/>
              <w:left w:val="single" w:sz="4" w:space="0" w:color="000000"/>
              <w:bottom w:val="nil"/>
              <w:right w:val="single" w:sz="4" w:space="0" w:color="000000"/>
            </w:tcBorders>
          </w:tcPr>
          <w:p w:rsidR="00043D8B" w:rsidRDefault="00043D8B" w:rsidP="00833647">
            <w:pPr>
              <w:spacing w:after="0"/>
              <w:rPr>
                <w:rFonts w:ascii="Times New Roman" w:hAnsi="Times New Roman"/>
                <w:sz w:val="20"/>
              </w:rPr>
            </w:pPr>
          </w:p>
        </w:tc>
        <w:tc>
          <w:tcPr>
            <w:tcW w:w="4678" w:type="dxa"/>
            <w:tcBorders>
              <w:top w:val="single" w:sz="4" w:space="0" w:color="000000"/>
              <w:left w:val="single" w:sz="4" w:space="0" w:color="000000"/>
              <w:bottom w:val="single" w:sz="4" w:space="0" w:color="000000"/>
              <w:right w:val="single" w:sz="4" w:space="0" w:color="000000"/>
            </w:tcBorders>
          </w:tcPr>
          <w:p w:rsidR="00043D8B" w:rsidRPr="00A93C5A" w:rsidRDefault="00043D8B" w:rsidP="00D15EE0">
            <w:pPr>
              <w:spacing w:after="0"/>
              <w:jc w:val="both"/>
              <w:rPr>
                <w:rFonts w:ascii="Times New Roman" w:hAnsi="Times New Roman"/>
                <w:sz w:val="20"/>
              </w:rPr>
            </w:pPr>
            <w:r>
              <w:rPr>
                <w:rFonts w:ascii="Times New Roman" w:hAnsi="Times New Roman"/>
                <w:sz w:val="20"/>
              </w:rPr>
              <w:t>Návrh NARIADENIA EURÓPSKEHO PARLAMENTU A RADY, ktorým sa zriaďuje program Spravodlivosť COM(2018) 384 final 2018/0208 (COD)  30. 5. 201</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rPr>
            </w:pPr>
            <w:r w:rsidRPr="006458BF">
              <w:rPr>
                <w:rFonts w:ascii="Times New Roman" w:hAnsi="Times New Roman"/>
                <w:b/>
                <w:sz w:val="20"/>
              </w:rPr>
              <w:t>MS SR</w:t>
            </w:r>
          </w:p>
          <w:p w:rsidR="00043D8B" w:rsidRPr="006458BF" w:rsidRDefault="00043D8B" w:rsidP="00833647">
            <w:pPr>
              <w:spacing w:after="0"/>
              <w:rPr>
                <w:rFonts w:ascii="Times New Roman" w:hAnsi="Times New Roman"/>
                <w:b/>
                <w:sz w:val="20"/>
              </w:rPr>
            </w:pPr>
            <w:r>
              <w:rPr>
                <w:rFonts w:ascii="Times New Roman" w:hAnsi="Times New Roman"/>
                <w:b/>
                <w:sz w:val="20"/>
              </w:rPr>
              <w:t>MZVEZ SR</w:t>
            </w:r>
          </w:p>
          <w:p w:rsidR="00043D8B" w:rsidRPr="006458BF" w:rsidRDefault="00043D8B" w:rsidP="00833647">
            <w:pPr>
              <w:spacing w:after="0"/>
              <w:rPr>
                <w:rFonts w:ascii="Times New Roman" w:hAnsi="Times New Roman"/>
                <w:b/>
                <w:sz w:val="20"/>
              </w:rPr>
            </w:pPr>
            <w:r w:rsidRPr="006458BF">
              <w:rPr>
                <w:rFonts w:ascii="Times New Roman" w:hAnsi="Times New Roman"/>
                <w:b/>
                <w:sz w:val="20"/>
              </w:rPr>
              <w:t>MF SR</w:t>
            </w:r>
          </w:p>
        </w:tc>
        <w:tc>
          <w:tcPr>
            <w:tcW w:w="6289" w:type="dxa"/>
            <w:tcBorders>
              <w:top w:val="single" w:sz="4" w:space="0" w:color="000000"/>
              <w:left w:val="single" w:sz="4" w:space="0" w:color="000000"/>
              <w:bottom w:val="single" w:sz="4" w:space="0" w:color="000000"/>
              <w:right w:val="single" w:sz="4" w:space="0" w:color="000000"/>
            </w:tcBorders>
          </w:tcPr>
          <w:p w:rsidR="00043D8B" w:rsidRPr="00005488" w:rsidRDefault="00043D8B" w:rsidP="00833647">
            <w:pPr>
              <w:spacing w:after="0"/>
              <w:rPr>
                <w:rFonts w:ascii="Times New Roman" w:hAnsi="Times New Roman"/>
                <w:b/>
                <w:sz w:val="20"/>
                <w:u w:val="single"/>
              </w:rPr>
            </w:pPr>
            <w:r>
              <w:rPr>
                <w:rFonts w:ascii="Times New Roman" w:hAnsi="Times New Roman"/>
                <w:b/>
                <w:sz w:val="20"/>
                <w:u w:val="single"/>
              </w:rPr>
              <w:t>Nízka</w:t>
            </w:r>
            <w:r w:rsidRPr="00005488">
              <w:rPr>
                <w:rFonts w:ascii="Times New Roman" w:hAnsi="Times New Roman"/>
                <w:b/>
                <w:sz w:val="20"/>
                <w:u w:val="single"/>
              </w:rPr>
              <w:t xml:space="preserve"> priorita</w:t>
            </w:r>
          </w:p>
          <w:p w:rsidR="00043D8B" w:rsidRDefault="00043D8B" w:rsidP="00833647">
            <w:pPr>
              <w:spacing w:after="0"/>
              <w:rPr>
                <w:rFonts w:ascii="Times New Roman" w:hAnsi="Times New Roman"/>
                <w:sz w:val="20"/>
              </w:rPr>
            </w:pPr>
            <w:r>
              <w:rPr>
                <w:rFonts w:ascii="Times New Roman" w:hAnsi="Times New Roman"/>
                <w:sz w:val="20"/>
              </w:rPr>
              <w:t>SK podporuje prijatie návrhu</w:t>
            </w:r>
          </w:p>
        </w:tc>
      </w:tr>
      <w:tr w:rsidR="00043D8B" w:rsidRPr="00A93C5A" w:rsidTr="00E63E2A">
        <w:tblPrEx>
          <w:tblCellMar>
            <w:top w:w="64" w:type="dxa"/>
            <w:right w:w="22" w:type="dxa"/>
          </w:tblCellMar>
        </w:tblPrEx>
        <w:trPr>
          <w:gridAfter w:val="1"/>
          <w:wAfter w:w="5619" w:type="dxa"/>
          <w:trHeight w:val="872"/>
        </w:trPr>
        <w:tc>
          <w:tcPr>
            <w:tcW w:w="408" w:type="dxa"/>
            <w:gridSpan w:val="3"/>
            <w:tcBorders>
              <w:top w:val="single" w:sz="4" w:space="0" w:color="000000"/>
              <w:left w:val="single" w:sz="4" w:space="0" w:color="000000"/>
              <w:bottom w:val="nil"/>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72.</w:t>
            </w:r>
            <w:r w:rsidRPr="00A93C5A">
              <w:rPr>
                <w:rFonts w:ascii="Times New Roman" w:hAnsi="Times New Roman"/>
                <w:sz w:val="20"/>
              </w:rPr>
              <w:t xml:space="preserve"> </w:t>
            </w:r>
            <w:r>
              <w:rPr>
                <w:rFonts w:ascii="Times New Roman" w:hAnsi="Times New Roman"/>
                <w:sz w:val="20"/>
              </w:rPr>
              <w:t xml:space="preserve"> </w:t>
            </w:r>
          </w:p>
        </w:tc>
        <w:tc>
          <w:tcPr>
            <w:tcW w:w="2056" w:type="dxa"/>
            <w:gridSpan w:val="2"/>
            <w:tcBorders>
              <w:top w:val="single" w:sz="4" w:space="0" w:color="000000"/>
              <w:left w:val="single" w:sz="4" w:space="0" w:color="000000"/>
              <w:bottom w:val="nil"/>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 xml:space="preserve">Vízový kódex </w:t>
            </w:r>
          </w:p>
        </w:tc>
        <w:tc>
          <w:tcPr>
            <w:tcW w:w="4678" w:type="dxa"/>
            <w:tcBorders>
              <w:top w:val="single" w:sz="4" w:space="0" w:color="000000"/>
              <w:left w:val="single" w:sz="4" w:space="0" w:color="000000"/>
              <w:bottom w:val="single" w:sz="4" w:space="0" w:color="000000"/>
              <w:right w:val="single" w:sz="4" w:space="0" w:color="000000"/>
            </w:tcBorders>
          </w:tcPr>
          <w:p w:rsidR="00043D8B" w:rsidRPr="00A93C5A" w:rsidRDefault="00043D8B" w:rsidP="00D15EE0">
            <w:pPr>
              <w:spacing w:after="0"/>
              <w:jc w:val="both"/>
              <w:rPr>
                <w:rFonts w:ascii="Times New Roman" w:hAnsi="Times New Roman"/>
                <w:sz w:val="20"/>
              </w:rPr>
            </w:pPr>
            <w:r>
              <w:rPr>
                <w:rFonts w:ascii="Times New Roman" w:hAnsi="Times New Roman"/>
                <w:sz w:val="20"/>
              </w:rPr>
              <w:t xml:space="preserve">Návrh NARIADENIA EURÓPSKEHO PARLAMENTU A RADY, ktorým sa mení nariadenie (ES) č. 810/2009, ktorým sa ustanovuje vízový kódex Spoločenstva (vízový kódex)** COM(2018) 252 final 2018/0061 (COD)  </w:t>
            </w:r>
          </w:p>
          <w:p w:rsidR="00043D8B" w:rsidRPr="00A93C5A" w:rsidRDefault="00043D8B" w:rsidP="00D15EE0">
            <w:pPr>
              <w:spacing w:after="0"/>
              <w:jc w:val="both"/>
              <w:rPr>
                <w:rFonts w:ascii="Times New Roman" w:hAnsi="Times New Roman"/>
                <w:sz w:val="20"/>
              </w:rPr>
            </w:pPr>
            <w:r>
              <w:rPr>
                <w:rFonts w:ascii="Times New Roman" w:hAnsi="Times New Roman"/>
                <w:sz w:val="20"/>
              </w:rPr>
              <w:t>14. 3. 2018</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rPr>
            </w:pPr>
            <w:r w:rsidRPr="006458BF">
              <w:rPr>
                <w:rFonts w:ascii="Times New Roman" w:hAnsi="Times New Roman"/>
                <w:b/>
                <w:sz w:val="20"/>
              </w:rPr>
              <w:t>MV SR</w:t>
            </w:r>
          </w:p>
          <w:p w:rsidR="00043D8B" w:rsidRPr="006458BF" w:rsidRDefault="00043D8B" w:rsidP="00833647">
            <w:pPr>
              <w:spacing w:after="0"/>
              <w:rPr>
                <w:rFonts w:ascii="Times New Roman" w:hAnsi="Times New Roman"/>
                <w:b/>
                <w:sz w:val="20"/>
              </w:rPr>
            </w:pPr>
            <w:r>
              <w:rPr>
                <w:rFonts w:ascii="Times New Roman" w:hAnsi="Times New Roman"/>
                <w:b/>
                <w:sz w:val="20"/>
              </w:rPr>
              <w:t>MZVEZ SR</w:t>
            </w:r>
          </w:p>
        </w:tc>
        <w:tc>
          <w:tcPr>
            <w:tcW w:w="6289" w:type="dxa"/>
            <w:tcBorders>
              <w:top w:val="single" w:sz="4" w:space="0" w:color="000000"/>
              <w:left w:val="single" w:sz="4" w:space="0" w:color="000000"/>
              <w:bottom w:val="single" w:sz="4" w:space="0" w:color="000000"/>
              <w:right w:val="single" w:sz="4" w:space="0" w:color="000000"/>
            </w:tcBorders>
          </w:tcPr>
          <w:p w:rsidR="00043D8B" w:rsidRPr="00005488" w:rsidRDefault="00043D8B" w:rsidP="00833647">
            <w:pPr>
              <w:spacing w:after="0"/>
              <w:jc w:val="both"/>
              <w:rPr>
                <w:rFonts w:ascii="Times New Roman" w:hAnsi="Times New Roman"/>
                <w:b/>
                <w:sz w:val="20"/>
                <w:szCs w:val="20"/>
                <w:u w:val="single"/>
              </w:rPr>
            </w:pPr>
            <w:r w:rsidRPr="00005488">
              <w:rPr>
                <w:rFonts w:ascii="Times New Roman" w:hAnsi="Times New Roman"/>
                <w:b/>
                <w:sz w:val="20"/>
                <w:szCs w:val="20"/>
                <w:u w:val="single"/>
              </w:rPr>
              <w:t>Vysoká priorita</w:t>
            </w:r>
          </w:p>
          <w:p w:rsidR="00043D8B" w:rsidRPr="00CB595B" w:rsidRDefault="00043D8B" w:rsidP="00833647">
            <w:pPr>
              <w:spacing w:after="0"/>
              <w:jc w:val="both"/>
              <w:rPr>
                <w:rFonts w:ascii="Times New Roman" w:hAnsi="Times New Roman"/>
                <w:sz w:val="20"/>
                <w:szCs w:val="20"/>
              </w:rPr>
            </w:pPr>
            <w:r>
              <w:rPr>
                <w:rFonts w:ascii="Times New Roman" w:hAnsi="Times New Roman"/>
                <w:sz w:val="20"/>
                <w:szCs w:val="20"/>
              </w:rPr>
              <w:t>Slovenská republika vo všeobecnosti víta predložený návrh, ktorý je zameraný na zjednodušenie a zlepšenie prevádzkových aspektov vízového postupu a zohľadňujú sa v ňom výsledky rokovaní o návrhu na prepracovanie vízového kódexu. Doplnili sa nové prvky, ktoré sa presadzovali v oznámení Komisie zo septembra 2017 o realizácií európskej migračnej agendy a v jej konzultáciách, ako je napr. potreba dostatočných finančných zdrojov na podporu spracúvania víz členskými štátmi, jasné pravidlá týkajúce sa udeľovania víz na viac vstupov s dlhou platnosťou a úloha páky, ktorú vízová politika zohráva v politike readmisie EÚ. Aktuálne prebiehajú trialógy s EP.</w:t>
            </w:r>
          </w:p>
        </w:tc>
      </w:tr>
      <w:tr w:rsidR="00043D8B" w:rsidRPr="00A93C5A" w:rsidTr="00E63E2A">
        <w:tblPrEx>
          <w:tblCellMar>
            <w:top w:w="64" w:type="dxa"/>
            <w:right w:w="22" w:type="dxa"/>
          </w:tblCellMar>
        </w:tblPrEx>
        <w:trPr>
          <w:gridAfter w:val="1"/>
          <w:wAfter w:w="5619" w:type="dxa"/>
          <w:trHeight w:val="872"/>
        </w:trPr>
        <w:tc>
          <w:tcPr>
            <w:tcW w:w="408" w:type="dxa"/>
            <w:gridSpan w:val="3"/>
            <w:tcBorders>
              <w:top w:val="single" w:sz="4" w:space="0" w:color="000000"/>
              <w:left w:val="single" w:sz="4" w:space="0" w:color="000000"/>
              <w:bottom w:val="nil"/>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73.</w:t>
            </w:r>
            <w:r w:rsidRPr="00A93C5A">
              <w:rPr>
                <w:rFonts w:ascii="Times New Roman" w:hAnsi="Times New Roman"/>
                <w:sz w:val="20"/>
              </w:rPr>
              <w:t xml:space="preserve"> </w:t>
            </w:r>
            <w:r>
              <w:rPr>
                <w:rFonts w:ascii="Times New Roman" w:hAnsi="Times New Roman"/>
                <w:sz w:val="20"/>
              </w:rPr>
              <w:t xml:space="preserve"> </w:t>
            </w:r>
          </w:p>
        </w:tc>
        <w:tc>
          <w:tcPr>
            <w:tcW w:w="2056" w:type="dxa"/>
            <w:gridSpan w:val="2"/>
            <w:tcBorders>
              <w:top w:val="single" w:sz="4" w:space="0" w:color="000000"/>
              <w:left w:val="single" w:sz="4" w:space="0" w:color="000000"/>
              <w:bottom w:val="nil"/>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 xml:space="preserve">Vízové informačné systémy </w:t>
            </w:r>
          </w:p>
        </w:tc>
        <w:tc>
          <w:tcPr>
            <w:tcW w:w="4678" w:type="dxa"/>
            <w:tcBorders>
              <w:top w:val="single" w:sz="4" w:space="0" w:color="000000"/>
              <w:left w:val="single" w:sz="4" w:space="0" w:color="000000"/>
              <w:bottom w:val="single" w:sz="4" w:space="0" w:color="000000"/>
              <w:right w:val="single" w:sz="4" w:space="0" w:color="000000"/>
            </w:tcBorders>
          </w:tcPr>
          <w:p w:rsidR="00043D8B" w:rsidRPr="00A93C5A" w:rsidRDefault="00043D8B" w:rsidP="00D15EE0">
            <w:pPr>
              <w:spacing w:after="0"/>
              <w:jc w:val="both"/>
              <w:rPr>
                <w:rFonts w:ascii="Times New Roman" w:hAnsi="Times New Roman"/>
                <w:sz w:val="20"/>
              </w:rPr>
            </w:pPr>
            <w:r>
              <w:rPr>
                <w:rFonts w:ascii="Times New Roman" w:hAnsi="Times New Roman"/>
                <w:sz w:val="20"/>
              </w:rPr>
              <w:t>Návrh NARIADENIA EURÓPSKEHO PARLAMENTU A RADY, ktorým sa mení nariadenie (ES) č. 767/2008, nariadenie (ES) č. 810/2009, nariadenie (EÚ) 2017/2226, nariadenie (EÚ) 2016/399, nariadenie XX/2018 [nariadenie o interoperabilite] a rozhodnutie 2004/512/ES a zrušuje rozhodnutie Rady 2008/633/SVV** COM(2018) 302 final 2018/0152 (COD)  16. 5. 2018</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rPr>
            </w:pPr>
            <w:r w:rsidRPr="006458BF">
              <w:rPr>
                <w:rFonts w:ascii="Times New Roman" w:hAnsi="Times New Roman"/>
                <w:b/>
                <w:sz w:val="20"/>
              </w:rPr>
              <w:t>MV SR</w:t>
            </w:r>
            <w:r w:rsidRPr="006458BF">
              <w:rPr>
                <w:rFonts w:ascii="Times New Roman" w:hAnsi="Times New Roman"/>
                <w:b/>
                <w:sz w:val="20"/>
              </w:rPr>
              <w:br/>
            </w:r>
            <w:r>
              <w:rPr>
                <w:rFonts w:ascii="Times New Roman" w:hAnsi="Times New Roman"/>
                <w:b/>
                <w:sz w:val="20"/>
              </w:rPr>
              <w:t>MZVEZ SR</w:t>
            </w:r>
          </w:p>
          <w:p w:rsidR="00043D8B" w:rsidRPr="006458BF" w:rsidRDefault="00043D8B" w:rsidP="00833647">
            <w:pPr>
              <w:spacing w:after="0"/>
              <w:rPr>
                <w:rFonts w:ascii="Times New Roman" w:hAnsi="Times New Roman"/>
                <w:b/>
                <w:sz w:val="20"/>
              </w:rPr>
            </w:pPr>
          </w:p>
        </w:tc>
        <w:tc>
          <w:tcPr>
            <w:tcW w:w="6289"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jc w:val="both"/>
              <w:rPr>
                <w:sz w:val="24"/>
                <w:szCs w:val="24"/>
              </w:rPr>
            </w:pPr>
            <w:r>
              <w:rPr>
                <w:rFonts w:ascii="Times New Roman" w:hAnsi="Times New Roman"/>
                <w:b/>
                <w:sz w:val="20"/>
                <w:szCs w:val="20"/>
              </w:rPr>
              <w:t>Vysoká priorita</w:t>
            </w:r>
          </w:p>
          <w:p w:rsidR="00043D8B" w:rsidRDefault="00043D8B" w:rsidP="00833647">
            <w:pPr>
              <w:spacing w:after="0"/>
              <w:jc w:val="both"/>
              <w:rPr>
                <w:rFonts w:ascii="Times New Roman" w:hAnsi="Times New Roman"/>
                <w:sz w:val="20"/>
                <w:szCs w:val="20"/>
              </w:rPr>
            </w:pPr>
            <w:r>
              <w:rPr>
                <w:rFonts w:ascii="Times New Roman" w:hAnsi="Times New Roman"/>
                <w:sz w:val="20"/>
                <w:szCs w:val="20"/>
              </w:rPr>
              <w:t>SR víta predložený návrh nariadenia a sme presvedčení, že pomôže pri naplnení cieľov</w:t>
            </w:r>
          </w:p>
          <w:p w:rsidR="00043D8B" w:rsidRPr="00CB595B" w:rsidRDefault="00043D8B" w:rsidP="00833647">
            <w:pPr>
              <w:spacing w:after="0"/>
              <w:jc w:val="both"/>
              <w:rPr>
                <w:rFonts w:ascii="Times New Roman" w:hAnsi="Times New Roman"/>
                <w:sz w:val="20"/>
                <w:szCs w:val="20"/>
              </w:rPr>
            </w:pPr>
            <w:r>
              <w:rPr>
                <w:rFonts w:ascii="Times New Roman" w:hAnsi="Times New Roman"/>
                <w:sz w:val="20"/>
                <w:szCs w:val="20"/>
              </w:rPr>
              <w:t>uľahčiť konanie o udelení víza, uľahčiť a posilniť kontroly na hraničných priechodoch na vonkajších hraniciach a na území členských štáto a posilniť vnútornú bezpečnosť schengenského priestoru prostredníctvom uľahčenia výmeny informácií medzi členskými štátmi o štátnych príslušníkoch tretích krajín, ktorí sú držiteľmi dlhodobých víz a povolení na pobyt. V decembri 2018 bola schválená pozícia Rady pre trialógy s EP</w:t>
            </w:r>
          </w:p>
        </w:tc>
      </w:tr>
      <w:tr w:rsidR="00043D8B" w:rsidRPr="00A93C5A" w:rsidTr="00E63E2A">
        <w:tblPrEx>
          <w:tblCellMar>
            <w:top w:w="64" w:type="dxa"/>
            <w:right w:w="22" w:type="dxa"/>
          </w:tblCellMar>
        </w:tblPrEx>
        <w:trPr>
          <w:gridAfter w:val="1"/>
          <w:wAfter w:w="5619" w:type="dxa"/>
          <w:trHeight w:val="872"/>
        </w:trPr>
        <w:tc>
          <w:tcPr>
            <w:tcW w:w="408" w:type="dxa"/>
            <w:gridSpan w:val="3"/>
            <w:tcBorders>
              <w:top w:val="single" w:sz="4" w:space="0" w:color="000000"/>
              <w:left w:val="single" w:sz="4" w:space="0" w:color="000000"/>
              <w:bottom w:val="nil"/>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74.</w:t>
            </w:r>
            <w:r w:rsidRPr="00A93C5A">
              <w:rPr>
                <w:rFonts w:ascii="Times New Roman" w:hAnsi="Times New Roman"/>
                <w:sz w:val="20"/>
              </w:rPr>
              <w:t xml:space="preserve"> </w:t>
            </w:r>
            <w:r>
              <w:rPr>
                <w:rFonts w:ascii="Times New Roman" w:hAnsi="Times New Roman"/>
                <w:sz w:val="20"/>
              </w:rPr>
              <w:t xml:space="preserve"> </w:t>
            </w:r>
          </w:p>
        </w:tc>
        <w:tc>
          <w:tcPr>
            <w:tcW w:w="2056" w:type="dxa"/>
            <w:gridSpan w:val="2"/>
            <w:tcBorders>
              <w:top w:val="single" w:sz="4" w:space="0" w:color="000000"/>
              <w:left w:val="single" w:sz="4" w:space="0" w:color="000000"/>
              <w:bottom w:val="nil"/>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 xml:space="preserve">Európska sieť imigračných styčných dôstojníkov  </w:t>
            </w:r>
          </w:p>
        </w:tc>
        <w:tc>
          <w:tcPr>
            <w:tcW w:w="4678" w:type="dxa"/>
            <w:tcBorders>
              <w:top w:val="single" w:sz="4" w:space="0" w:color="000000"/>
              <w:left w:val="single" w:sz="4" w:space="0" w:color="000000"/>
              <w:bottom w:val="single" w:sz="4" w:space="0" w:color="000000"/>
              <w:right w:val="single" w:sz="4" w:space="0" w:color="000000"/>
            </w:tcBorders>
          </w:tcPr>
          <w:p w:rsidR="00043D8B" w:rsidRPr="00A93C5A" w:rsidRDefault="00043D8B" w:rsidP="00D15EE0">
            <w:pPr>
              <w:spacing w:after="0"/>
              <w:jc w:val="both"/>
              <w:rPr>
                <w:rFonts w:ascii="Times New Roman" w:hAnsi="Times New Roman"/>
                <w:sz w:val="20"/>
              </w:rPr>
            </w:pPr>
            <w:r>
              <w:rPr>
                <w:rFonts w:ascii="Times New Roman" w:hAnsi="Times New Roman"/>
                <w:sz w:val="20"/>
              </w:rPr>
              <w:t>Návrh NARIADENIA EURÓPSKEHO PARLAMENTU A RADY o vytvorení európskej siete imigračných styčných dôstojníkov (prepracované znenie)** COM(2018) 303 final 2018/0153 (COD)  16. 5. 2018</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rPr>
            </w:pPr>
            <w:r w:rsidRPr="006458BF">
              <w:rPr>
                <w:rFonts w:ascii="Times New Roman" w:hAnsi="Times New Roman"/>
                <w:b/>
                <w:sz w:val="20"/>
              </w:rPr>
              <w:t>MV SR</w:t>
            </w:r>
          </w:p>
        </w:tc>
        <w:tc>
          <w:tcPr>
            <w:tcW w:w="6289"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rPr>
                <w:rFonts w:ascii="Times New Roman" w:hAnsi="Times New Roman"/>
                <w:b/>
                <w:sz w:val="20"/>
                <w:szCs w:val="20"/>
              </w:rPr>
            </w:pPr>
            <w:r>
              <w:rPr>
                <w:rFonts w:ascii="Times New Roman" w:hAnsi="Times New Roman"/>
                <w:b/>
                <w:sz w:val="20"/>
                <w:szCs w:val="20"/>
              </w:rPr>
              <w:t>Vysoká priorita</w:t>
            </w:r>
          </w:p>
          <w:p w:rsidR="00043D8B" w:rsidRDefault="00043D8B" w:rsidP="00833647">
            <w:pPr>
              <w:spacing w:after="0"/>
              <w:rPr>
                <w:rFonts w:ascii="Times New Roman" w:hAnsi="Times New Roman"/>
                <w:sz w:val="20"/>
              </w:rPr>
            </w:pPr>
            <w:r>
              <w:rPr>
                <w:rFonts w:ascii="Times New Roman" w:hAnsi="Times New Roman"/>
                <w:sz w:val="20"/>
                <w:szCs w:val="20"/>
              </w:rPr>
              <w:t>SR vo všeobecnosti víta návrh, uplatnilo sa niekoľko pripomienok, aktuálne prebiehajú trialógy s EP.</w:t>
            </w:r>
          </w:p>
        </w:tc>
      </w:tr>
      <w:tr w:rsidR="00043D8B" w:rsidRPr="00A93C5A" w:rsidTr="00E63E2A">
        <w:tblPrEx>
          <w:tblCellMar>
            <w:top w:w="64" w:type="dxa"/>
            <w:right w:w="22" w:type="dxa"/>
          </w:tblCellMar>
        </w:tblPrEx>
        <w:trPr>
          <w:gridAfter w:val="1"/>
          <w:wAfter w:w="5619" w:type="dxa"/>
          <w:trHeight w:val="872"/>
        </w:trPr>
        <w:tc>
          <w:tcPr>
            <w:tcW w:w="408" w:type="dxa"/>
            <w:gridSpan w:val="3"/>
            <w:tcBorders>
              <w:top w:val="single" w:sz="4" w:space="0" w:color="000000"/>
              <w:left w:val="single" w:sz="4" w:space="0" w:color="000000"/>
              <w:bottom w:val="nil"/>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75.</w:t>
            </w:r>
            <w:r w:rsidRPr="00A93C5A">
              <w:rPr>
                <w:rFonts w:ascii="Times New Roman" w:hAnsi="Times New Roman"/>
                <w:sz w:val="20"/>
              </w:rPr>
              <w:t xml:space="preserve"> </w:t>
            </w:r>
            <w:r>
              <w:rPr>
                <w:rFonts w:ascii="Times New Roman" w:hAnsi="Times New Roman"/>
                <w:sz w:val="20"/>
              </w:rPr>
              <w:t xml:space="preserve"> </w:t>
            </w:r>
          </w:p>
        </w:tc>
        <w:tc>
          <w:tcPr>
            <w:tcW w:w="2056" w:type="dxa"/>
            <w:gridSpan w:val="2"/>
            <w:tcBorders>
              <w:top w:val="single" w:sz="4" w:space="0" w:color="000000"/>
              <w:left w:val="single" w:sz="4" w:space="0" w:color="000000"/>
              <w:bottom w:val="nil"/>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 xml:space="preserve">Dočasné obnovenie kontroly vnútorných hraníc </w:t>
            </w:r>
          </w:p>
        </w:tc>
        <w:tc>
          <w:tcPr>
            <w:tcW w:w="4678" w:type="dxa"/>
            <w:tcBorders>
              <w:top w:val="single" w:sz="4" w:space="0" w:color="000000"/>
              <w:left w:val="single" w:sz="4" w:space="0" w:color="000000"/>
              <w:bottom w:val="single" w:sz="4" w:space="0" w:color="000000"/>
              <w:right w:val="single" w:sz="4" w:space="0" w:color="000000"/>
            </w:tcBorders>
          </w:tcPr>
          <w:p w:rsidR="00043D8B" w:rsidRPr="00A93C5A" w:rsidRDefault="00043D8B" w:rsidP="00D15EE0">
            <w:pPr>
              <w:spacing w:after="0"/>
              <w:jc w:val="both"/>
              <w:rPr>
                <w:rFonts w:ascii="Times New Roman" w:hAnsi="Times New Roman"/>
                <w:sz w:val="20"/>
              </w:rPr>
            </w:pPr>
            <w:r>
              <w:rPr>
                <w:rFonts w:ascii="Times New Roman" w:hAnsi="Times New Roman"/>
                <w:sz w:val="20"/>
              </w:rPr>
              <w:t>Návrh NARIADENIA EURÓPSKEHO PARLAMENTU A RADY, ktorým sa mení nariadenie (EÚ) 2016/399, pokiaľ ide o pravidlá vzťahujúce sa na dočasné obnovenie kontroly vnútorných hraníc COM(2017) 571 final 2017/0245 (COD)  27. 9.2017</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rPr>
            </w:pPr>
            <w:r w:rsidRPr="006458BF">
              <w:rPr>
                <w:rFonts w:ascii="Times New Roman" w:hAnsi="Times New Roman"/>
                <w:b/>
                <w:sz w:val="20"/>
              </w:rPr>
              <w:t>MV SR</w:t>
            </w:r>
          </w:p>
        </w:tc>
        <w:tc>
          <w:tcPr>
            <w:tcW w:w="6289" w:type="dxa"/>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rPr>
                <w:rFonts w:ascii="Times New Roman" w:hAnsi="Times New Roman"/>
                <w:b/>
                <w:sz w:val="20"/>
                <w:szCs w:val="20"/>
              </w:rPr>
            </w:pPr>
            <w:r>
              <w:rPr>
                <w:rFonts w:ascii="Times New Roman" w:hAnsi="Times New Roman"/>
                <w:b/>
                <w:sz w:val="20"/>
                <w:szCs w:val="20"/>
              </w:rPr>
              <w:t xml:space="preserve">Vysoká priorita </w:t>
            </w:r>
          </w:p>
          <w:p w:rsidR="00043D8B" w:rsidRPr="00F26879" w:rsidRDefault="00043D8B" w:rsidP="00833647">
            <w:pPr>
              <w:spacing w:after="0"/>
              <w:rPr>
                <w:rFonts w:ascii="Times New Roman" w:hAnsi="Times New Roman"/>
                <w:sz w:val="20"/>
                <w:szCs w:val="20"/>
              </w:rPr>
            </w:pPr>
            <w:r>
              <w:rPr>
                <w:rFonts w:ascii="Times New Roman" w:hAnsi="Times New Roman"/>
                <w:sz w:val="20"/>
                <w:szCs w:val="20"/>
              </w:rPr>
              <w:t>SR nepodporila návrh nariadenia v znení predloženom Komisiou. Presadzovali sa zmeny v texte smerujúce k  posilneniu záruk proti zneužívaniu inštitútu dočasného obnove</w:t>
            </w:r>
            <w:r w:rsidR="00F26879">
              <w:rPr>
                <w:rFonts w:ascii="Times New Roman" w:hAnsi="Times New Roman"/>
                <w:sz w:val="20"/>
                <w:szCs w:val="20"/>
              </w:rPr>
              <w:t xml:space="preserve">nia kontroly vnútorných hraníc. </w:t>
            </w:r>
            <w:r>
              <w:rPr>
                <w:rFonts w:ascii="Times New Roman" w:hAnsi="Times New Roman"/>
                <w:sz w:val="20"/>
                <w:szCs w:val="20"/>
              </w:rPr>
              <w:t>Pozícia Rady bola schválená v júni 2018.</w:t>
            </w:r>
            <w:r w:rsidR="00F26879">
              <w:rPr>
                <w:rFonts w:ascii="Times New Roman" w:hAnsi="Times New Roman"/>
                <w:sz w:val="20"/>
                <w:szCs w:val="20"/>
              </w:rPr>
              <w:t xml:space="preserve"> Aktuálne prebiehajú trialógy s EP, je otázne či sa dospeje k dohode v tomto volebnom období EP.</w:t>
            </w:r>
          </w:p>
        </w:tc>
      </w:tr>
      <w:tr w:rsidR="00043D8B" w:rsidRPr="00A93C5A" w:rsidTr="00E63E2A">
        <w:tblPrEx>
          <w:tblCellMar>
            <w:top w:w="64" w:type="dxa"/>
            <w:right w:w="22" w:type="dxa"/>
          </w:tblCellMar>
        </w:tblPrEx>
        <w:trPr>
          <w:gridAfter w:val="1"/>
          <w:wAfter w:w="5619" w:type="dxa"/>
          <w:trHeight w:val="872"/>
        </w:trPr>
        <w:tc>
          <w:tcPr>
            <w:tcW w:w="408" w:type="dxa"/>
            <w:gridSpan w:val="3"/>
            <w:tcBorders>
              <w:top w:val="single" w:sz="4" w:space="0" w:color="000000"/>
              <w:left w:val="single" w:sz="4" w:space="0" w:color="000000"/>
              <w:bottom w:val="nil"/>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76.</w:t>
            </w:r>
            <w:r w:rsidRPr="00A93C5A">
              <w:rPr>
                <w:rFonts w:ascii="Times New Roman" w:hAnsi="Times New Roman"/>
                <w:sz w:val="20"/>
              </w:rPr>
              <w:t xml:space="preserve"> </w:t>
            </w:r>
            <w:r>
              <w:rPr>
                <w:rFonts w:ascii="Times New Roman" w:hAnsi="Times New Roman"/>
                <w:sz w:val="20"/>
              </w:rPr>
              <w:t xml:space="preserve"> </w:t>
            </w:r>
          </w:p>
        </w:tc>
        <w:tc>
          <w:tcPr>
            <w:tcW w:w="2056" w:type="dxa"/>
            <w:gridSpan w:val="2"/>
            <w:tcBorders>
              <w:top w:val="single" w:sz="4" w:space="0" w:color="000000"/>
              <w:left w:val="single" w:sz="4" w:space="0" w:color="000000"/>
              <w:bottom w:val="nil"/>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 xml:space="preserve">Európska pohraničná a pobrežná stráž </w:t>
            </w:r>
          </w:p>
          <w:p w:rsidR="00043D8B" w:rsidRPr="00A93C5A" w:rsidRDefault="00043D8B" w:rsidP="00833647">
            <w:pPr>
              <w:spacing w:after="0"/>
              <w:rPr>
                <w:rFonts w:ascii="Times New Roman" w:hAnsi="Times New Roman"/>
                <w:sz w:val="20"/>
              </w:rPr>
            </w:pPr>
            <w:r>
              <w:rPr>
                <w:rFonts w:ascii="Times New Roman" w:hAnsi="Times New Roman"/>
                <w:sz w:val="20"/>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043D8B" w:rsidRPr="00A93C5A" w:rsidRDefault="00043D8B" w:rsidP="00D15EE0">
            <w:pPr>
              <w:spacing w:after="0"/>
              <w:jc w:val="both"/>
              <w:rPr>
                <w:rFonts w:ascii="Times New Roman" w:hAnsi="Times New Roman"/>
                <w:sz w:val="20"/>
              </w:rPr>
            </w:pPr>
            <w:r>
              <w:rPr>
                <w:rFonts w:ascii="Times New Roman" w:hAnsi="Times New Roman"/>
                <w:sz w:val="20"/>
              </w:rPr>
              <w:t>Návrh NARIADENIA EURÓPSKEHO PARLAMENTU A RADY o európskej pohraničnej a pobrežnej stráži a zrušení jednotnej akcie Rady 98/700/JHA, nariadenia Európskeho parlamentu a Rady (EÚ) č. 1052/2013 a nariadenia Európskeho parlamentu a Rady (EÚ) 2016/1624 Príspevok Európskej komisie k stretnutiu lídrov v Salzburgu 19. – 20. septembra 2018** COM(2018) 631 final 2018/0330 (COD)  12. 9.2018</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rPr>
            </w:pPr>
            <w:r w:rsidRPr="006458BF">
              <w:rPr>
                <w:rFonts w:ascii="Times New Roman" w:hAnsi="Times New Roman"/>
                <w:b/>
                <w:sz w:val="20"/>
              </w:rPr>
              <w:t>MV SR</w:t>
            </w:r>
          </w:p>
        </w:tc>
        <w:tc>
          <w:tcPr>
            <w:tcW w:w="6289"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szCs w:val="20"/>
                <w:u w:val="single"/>
              </w:rPr>
            </w:pPr>
            <w:r w:rsidRPr="006458BF">
              <w:rPr>
                <w:rFonts w:ascii="Times New Roman" w:hAnsi="Times New Roman"/>
                <w:b/>
                <w:sz w:val="20"/>
                <w:szCs w:val="20"/>
                <w:u w:val="single"/>
              </w:rPr>
              <w:t xml:space="preserve">Stredná priorita </w:t>
            </w:r>
          </w:p>
          <w:p w:rsidR="00043D8B" w:rsidRDefault="00043D8B" w:rsidP="00833647">
            <w:pPr>
              <w:spacing w:after="0"/>
              <w:jc w:val="both"/>
              <w:rPr>
                <w:rFonts w:ascii="Times New Roman" w:hAnsi="Times New Roman"/>
                <w:sz w:val="20"/>
                <w:szCs w:val="20"/>
              </w:rPr>
            </w:pPr>
            <w:r>
              <w:rPr>
                <w:rFonts w:ascii="Times New Roman" w:hAnsi="Times New Roman"/>
                <w:sz w:val="20"/>
                <w:szCs w:val="20"/>
              </w:rPr>
              <w:t xml:space="preserve">Návrh prináša podstatné personálne navýšenie Európskej pohraničnej a pobrežnej stráže, kde vo veľmi krátkom čase (do roku 2020)  Európska komisia navrhuje zvýšenie počtu disponibilného personálu na 10 000 operačných pracovníkov. S ohľadom na aktuálne problémy pri získavaní nového personálu dávame do pozornosti, že takýto „rýchly nábor“ nesmie byť na úkor kvality získaného personálu.Predbežne (je nutná podrobná analýza ustanovení) pozitívne vnímame posilnenie pôsobnosti Agentúry v oblasti návratov, ako aj rozšírenie možností vykonávania operačných aktivít a posilnene spolupráce s tretími krajinami. Sme zato, že systém návratov treba zefektívniť a zrýchliť. </w:t>
            </w:r>
          </w:p>
          <w:p w:rsidR="00043D8B" w:rsidRPr="00CB595B" w:rsidRDefault="00043D8B" w:rsidP="00833647">
            <w:pPr>
              <w:spacing w:after="0"/>
              <w:jc w:val="both"/>
              <w:rPr>
                <w:rFonts w:ascii="Times New Roman" w:hAnsi="Times New Roman"/>
                <w:sz w:val="20"/>
                <w:szCs w:val="20"/>
              </w:rPr>
            </w:pPr>
            <w:r>
              <w:rPr>
                <w:rFonts w:ascii="Times New Roman" w:hAnsi="Times New Roman"/>
                <w:sz w:val="20"/>
                <w:szCs w:val="20"/>
              </w:rPr>
              <w:t>Pri spolupráci s tretími krajinami SR kladie dôraz na vyjasnenie zasielania dohôd s tretími krajinami Komisii. Spolupráca s tretími krajinami jednak na úrovni ČŠ, ako aj na úrovni agentúry je vítaná.SR podporuje efektívne návraty koordinované Frontexom, avšak vyjadrujeme obavu, že pri významnom rozšírení agentúry nebude SR disponovať dostatočným počtom skúsených expertov. Decembrová Rada JHA schválila čiastočné všeobecné smerovanie.</w:t>
            </w:r>
          </w:p>
        </w:tc>
      </w:tr>
      <w:tr w:rsidR="00043D8B" w:rsidRPr="00A93C5A" w:rsidTr="00E63E2A">
        <w:tblPrEx>
          <w:tblCellMar>
            <w:top w:w="64" w:type="dxa"/>
            <w:right w:w="22" w:type="dxa"/>
          </w:tblCellMar>
        </w:tblPrEx>
        <w:trPr>
          <w:gridAfter w:val="1"/>
          <w:wAfter w:w="5619" w:type="dxa"/>
          <w:trHeight w:val="872"/>
        </w:trPr>
        <w:tc>
          <w:tcPr>
            <w:tcW w:w="408" w:type="dxa"/>
            <w:gridSpan w:val="3"/>
            <w:tcBorders>
              <w:top w:val="single" w:sz="4" w:space="0" w:color="000000"/>
              <w:left w:val="single" w:sz="4" w:space="0" w:color="000000"/>
              <w:bottom w:val="nil"/>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77.</w:t>
            </w:r>
            <w:r w:rsidRPr="00A93C5A">
              <w:rPr>
                <w:rFonts w:ascii="Times New Roman" w:hAnsi="Times New Roman"/>
                <w:sz w:val="20"/>
              </w:rPr>
              <w:t xml:space="preserve"> </w:t>
            </w:r>
            <w:r>
              <w:rPr>
                <w:rFonts w:ascii="Times New Roman" w:hAnsi="Times New Roman"/>
                <w:sz w:val="20"/>
              </w:rPr>
              <w:t xml:space="preserve"> </w:t>
            </w:r>
          </w:p>
        </w:tc>
        <w:tc>
          <w:tcPr>
            <w:tcW w:w="2056" w:type="dxa"/>
            <w:gridSpan w:val="2"/>
            <w:tcBorders>
              <w:top w:val="single" w:sz="4" w:space="0" w:color="000000"/>
              <w:left w:val="single" w:sz="4" w:space="0" w:color="000000"/>
              <w:bottom w:val="nil"/>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 xml:space="preserve">Politika návratu </w:t>
            </w:r>
          </w:p>
        </w:tc>
        <w:tc>
          <w:tcPr>
            <w:tcW w:w="4678"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jc w:val="both"/>
              <w:rPr>
                <w:rFonts w:ascii="Times New Roman" w:hAnsi="Times New Roman"/>
                <w:sz w:val="20"/>
              </w:rPr>
            </w:pPr>
            <w:r>
              <w:rPr>
                <w:rFonts w:ascii="Times New Roman" w:hAnsi="Times New Roman"/>
                <w:sz w:val="20"/>
              </w:rPr>
              <w:t>Návrh SMERNICE EURÓPSKEHO PARLAMENTU A RADY o spoločných normách a postupoch členských štátov na účely návratu štátnych príslušníkov tretích krajín, ktorí sa neoprávnene zdržiavajú na ich území (prepracované znenie) – Príspevok Európskej komisie k stretnutiu lídrov v Salzburgu, ktoré sa uskutočnilo 19. a 20. septembra 2018** COM(2018) 634 final 2018/0329 (COD)  12. 9. 2018</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rPr>
            </w:pPr>
            <w:r w:rsidRPr="006458BF">
              <w:rPr>
                <w:rFonts w:ascii="Times New Roman" w:hAnsi="Times New Roman"/>
                <w:b/>
                <w:sz w:val="20"/>
              </w:rPr>
              <w:t>MV SR</w:t>
            </w:r>
          </w:p>
        </w:tc>
        <w:tc>
          <w:tcPr>
            <w:tcW w:w="6289"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szCs w:val="20"/>
                <w:u w:val="single"/>
              </w:rPr>
            </w:pPr>
            <w:r w:rsidRPr="006458BF">
              <w:rPr>
                <w:rFonts w:ascii="Times New Roman" w:hAnsi="Times New Roman"/>
                <w:b/>
                <w:sz w:val="20"/>
                <w:szCs w:val="20"/>
                <w:u w:val="single"/>
              </w:rPr>
              <w:t>Stredná priorita</w:t>
            </w:r>
          </w:p>
          <w:p w:rsidR="00043D8B" w:rsidRPr="00F26879" w:rsidRDefault="00043D8B" w:rsidP="00833647">
            <w:pPr>
              <w:spacing w:after="0"/>
              <w:rPr>
                <w:rFonts w:ascii="Times New Roman" w:hAnsi="Times New Roman"/>
                <w:sz w:val="20"/>
                <w:szCs w:val="20"/>
              </w:rPr>
            </w:pPr>
            <w:r>
              <w:rPr>
                <w:rFonts w:ascii="Times New Roman" w:hAnsi="Times New Roman"/>
                <w:sz w:val="20"/>
                <w:szCs w:val="20"/>
              </w:rPr>
              <w:t>Slovenská republika víta iniciatívu otvorenia návratovej smernice, sme presvedčení, že konkrétne opatrenia, resp. zmeny v smernici napomôžu urýchliť konania o návrate, zabrániť útekom a zvýšiť celkovú mieru návratu z EÚ za plného dodržiavania základných práv a zásady zák</w:t>
            </w:r>
            <w:r w:rsidR="00F26879">
              <w:rPr>
                <w:rFonts w:ascii="Times New Roman" w:hAnsi="Times New Roman"/>
                <w:sz w:val="20"/>
                <w:szCs w:val="20"/>
              </w:rPr>
              <w:t xml:space="preserve">azu vyhostenia alebo vrátenia. </w:t>
            </w:r>
            <w:r>
              <w:rPr>
                <w:rFonts w:ascii="Times New Roman" w:hAnsi="Times New Roman"/>
                <w:sz w:val="20"/>
                <w:szCs w:val="20"/>
              </w:rPr>
              <w:t>V súvislosti s navrhovaným textom smernice máme dve zásadné pripomienky týkajúce sa opravných prostriedkov a transpozície.</w:t>
            </w:r>
          </w:p>
        </w:tc>
      </w:tr>
      <w:tr w:rsidR="00043D8B" w:rsidRPr="00A93C5A" w:rsidTr="00E63E2A">
        <w:tblPrEx>
          <w:tblCellMar>
            <w:top w:w="64" w:type="dxa"/>
            <w:right w:w="22" w:type="dxa"/>
          </w:tblCellMar>
        </w:tblPrEx>
        <w:trPr>
          <w:gridAfter w:val="1"/>
          <w:wAfter w:w="5619" w:type="dxa"/>
          <w:trHeight w:val="493"/>
        </w:trPr>
        <w:tc>
          <w:tcPr>
            <w:tcW w:w="408" w:type="dxa"/>
            <w:gridSpan w:val="3"/>
            <w:tcBorders>
              <w:top w:val="single" w:sz="4" w:space="0" w:color="000000"/>
              <w:left w:val="single" w:sz="4" w:space="0" w:color="000000"/>
              <w:bottom w:val="nil"/>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78.</w:t>
            </w:r>
            <w:r w:rsidRPr="00A93C5A">
              <w:rPr>
                <w:rFonts w:ascii="Times New Roman" w:hAnsi="Times New Roman"/>
                <w:sz w:val="20"/>
              </w:rPr>
              <w:t xml:space="preserve"> </w:t>
            </w:r>
            <w:r>
              <w:rPr>
                <w:rFonts w:ascii="Times New Roman" w:hAnsi="Times New Roman"/>
                <w:sz w:val="20"/>
              </w:rPr>
              <w:t xml:space="preserve"> </w:t>
            </w:r>
          </w:p>
        </w:tc>
        <w:tc>
          <w:tcPr>
            <w:tcW w:w="2056" w:type="dxa"/>
            <w:gridSpan w:val="2"/>
            <w:tcBorders>
              <w:top w:val="single" w:sz="4" w:space="0" w:color="000000"/>
              <w:left w:val="single" w:sz="4" w:space="0" w:color="000000"/>
              <w:bottom w:val="nil"/>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 xml:space="preserve">Vstup a pobyt štátnych </w:t>
            </w:r>
          </w:p>
          <w:p w:rsidR="00043D8B" w:rsidRPr="00A93C5A" w:rsidRDefault="00043D8B" w:rsidP="00833647">
            <w:pPr>
              <w:spacing w:after="0"/>
              <w:rPr>
                <w:rFonts w:ascii="Times New Roman" w:hAnsi="Times New Roman"/>
                <w:sz w:val="20"/>
              </w:rPr>
            </w:pPr>
            <w:r>
              <w:rPr>
                <w:rFonts w:ascii="Times New Roman" w:hAnsi="Times New Roman"/>
                <w:sz w:val="20"/>
              </w:rPr>
              <w:t xml:space="preserve">príslušníkov tretích krajín na účely zamestnania, v ktorom sa vyžaduje vysoká úroveň zručností (návrh na zavedenie „modrej karty“) </w:t>
            </w:r>
          </w:p>
        </w:tc>
        <w:tc>
          <w:tcPr>
            <w:tcW w:w="4678" w:type="dxa"/>
            <w:tcBorders>
              <w:top w:val="single" w:sz="4" w:space="0" w:color="000000"/>
              <w:left w:val="single" w:sz="4" w:space="0" w:color="000000"/>
              <w:bottom w:val="single" w:sz="4" w:space="0" w:color="000000"/>
              <w:right w:val="single" w:sz="4" w:space="0" w:color="000000"/>
            </w:tcBorders>
          </w:tcPr>
          <w:p w:rsidR="00043D8B" w:rsidRPr="00A93C5A" w:rsidRDefault="00043D8B" w:rsidP="00D15EE0">
            <w:pPr>
              <w:spacing w:after="0"/>
              <w:jc w:val="both"/>
              <w:rPr>
                <w:rFonts w:ascii="Times New Roman" w:hAnsi="Times New Roman"/>
                <w:sz w:val="20"/>
              </w:rPr>
            </w:pPr>
            <w:r>
              <w:rPr>
                <w:rFonts w:ascii="Times New Roman" w:hAnsi="Times New Roman"/>
                <w:sz w:val="20"/>
              </w:rPr>
              <w:t xml:space="preserve">Návrh SMERNICE EURÓPSKEHO PARLAMENTU A RADY o podmienkach vstupu a pobytu štátnych </w:t>
            </w:r>
          </w:p>
          <w:p w:rsidR="00043D8B" w:rsidRPr="00A93C5A" w:rsidRDefault="00043D8B" w:rsidP="00D15EE0">
            <w:pPr>
              <w:spacing w:after="0"/>
              <w:jc w:val="both"/>
              <w:rPr>
                <w:rFonts w:ascii="Times New Roman" w:hAnsi="Times New Roman"/>
                <w:sz w:val="20"/>
              </w:rPr>
            </w:pPr>
            <w:r>
              <w:rPr>
                <w:rFonts w:ascii="Times New Roman" w:hAnsi="Times New Roman"/>
                <w:sz w:val="20"/>
              </w:rPr>
              <w:t xml:space="preserve">príslušníkov tretích krajín na účely zamestnania, v ktorom sa vyžaduje vysoká úroveň zručností* COM(2016) 378 final 2016/0176 (COD) 7. 6. 2016 </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color w:val="auto"/>
                <w:sz w:val="20"/>
              </w:rPr>
            </w:pPr>
            <w:r w:rsidRPr="006458BF">
              <w:rPr>
                <w:rFonts w:ascii="Times New Roman" w:hAnsi="Times New Roman"/>
                <w:b/>
                <w:color w:val="auto"/>
                <w:sz w:val="20"/>
              </w:rPr>
              <w:t xml:space="preserve">MV SR </w:t>
            </w:r>
          </w:p>
          <w:p w:rsidR="00043D8B" w:rsidRPr="006458BF" w:rsidRDefault="00043D8B" w:rsidP="00833647">
            <w:pPr>
              <w:spacing w:after="0"/>
              <w:rPr>
                <w:rFonts w:ascii="Times New Roman" w:hAnsi="Times New Roman"/>
                <w:b/>
                <w:color w:val="auto"/>
                <w:sz w:val="20"/>
              </w:rPr>
            </w:pPr>
            <w:r w:rsidRPr="006458BF">
              <w:rPr>
                <w:rFonts w:ascii="Times New Roman" w:hAnsi="Times New Roman"/>
                <w:b/>
                <w:color w:val="auto"/>
                <w:sz w:val="20"/>
              </w:rPr>
              <w:t xml:space="preserve">MPSVR SR </w:t>
            </w:r>
          </w:p>
          <w:p w:rsidR="00043D8B" w:rsidRPr="006458BF" w:rsidRDefault="00043D8B" w:rsidP="00833647">
            <w:pPr>
              <w:spacing w:after="0"/>
              <w:rPr>
                <w:rFonts w:ascii="Times New Roman" w:hAnsi="Times New Roman"/>
                <w:b/>
                <w:sz w:val="20"/>
              </w:rPr>
            </w:pPr>
          </w:p>
        </w:tc>
        <w:tc>
          <w:tcPr>
            <w:tcW w:w="6289" w:type="dxa"/>
            <w:tcBorders>
              <w:top w:val="single" w:sz="4" w:space="0" w:color="000000"/>
              <w:left w:val="single" w:sz="4" w:space="0" w:color="000000"/>
              <w:bottom w:val="single" w:sz="4" w:space="0" w:color="000000"/>
              <w:right w:val="single" w:sz="4" w:space="0" w:color="000000"/>
            </w:tcBorders>
          </w:tcPr>
          <w:p w:rsidR="00043D8B" w:rsidRPr="00F915E0" w:rsidRDefault="00043D8B" w:rsidP="00833647">
            <w:pPr>
              <w:spacing w:after="0"/>
              <w:jc w:val="both"/>
              <w:rPr>
                <w:rFonts w:ascii="Times New Roman" w:hAnsi="Times New Roman"/>
                <w:b/>
                <w:color w:val="auto"/>
                <w:sz w:val="20"/>
                <w:szCs w:val="20"/>
                <w:u w:val="single"/>
              </w:rPr>
            </w:pPr>
            <w:r w:rsidRPr="00F915E0">
              <w:rPr>
                <w:rFonts w:ascii="Times New Roman" w:hAnsi="Times New Roman"/>
                <w:b/>
                <w:color w:val="auto"/>
                <w:sz w:val="20"/>
                <w:szCs w:val="20"/>
                <w:u w:val="single"/>
              </w:rPr>
              <w:t xml:space="preserve">Stredná priorita </w:t>
            </w:r>
          </w:p>
          <w:p w:rsidR="00043D8B" w:rsidRDefault="00043D8B" w:rsidP="00833647">
            <w:pPr>
              <w:spacing w:after="0"/>
              <w:jc w:val="both"/>
              <w:rPr>
                <w:rFonts w:ascii="Times New Roman" w:hAnsi="Times New Roman"/>
                <w:sz w:val="20"/>
              </w:rPr>
            </w:pPr>
            <w:r w:rsidRPr="00F915E0">
              <w:rPr>
                <w:rFonts w:ascii="Times New Roman" w:hAnsi="Times New Roman"/>
                <w:color w:val="auto"/>
                <w:sz w:val="20"/>
                <w:szCs w:val="20"/>
              </w:rPr>
              <w:t>Návrh Smernice bol predmetom rokovaní v pracovnej skupine Rady EÚ a v júli 2017 sa podarilo dosiahnuť dohodu o mandáte</w:t>
            </w:r>
            <w:r>
              <w:rPr>
                <w:rFonts w:ascii="Times New Roman" w:hAnsi="Times New Roman"/>
                <w:color w:val="auto"/>
                <w:sz w:val="20"/>
                <w:szCs w:val="20"/>
              </w:rPr>
              <w:t xml:space="preserve"> predsedníctva začať rokovania </w:t>
            </w:r>
            <w:r w:rsidRPr="00F915E0">
              <w:rPr>
                <w:rFonts w:ascii="Times New Roman" w:hAnsi="Times New Roman"/>
                <w:color w:val="auto"/>
                <w:sz w:val="20"/>
                <w:szCs w:val="20"/>
              </w:rPr>
              <w:t>s</w:t>
            </w:r>
            <w:r>
              <w:rPr>
                <w:rFonts w:ascii="Times New Roman" w:hAnsi="Times New Roman"/>
                <w:color w:val="auto"/>
                <w:sz w:val="20"/>
                <w:szCs w:val="20"/>
              </w:rPr>
              <w:t xml:space="preserve"> EP</w:t>
            </w:r>
            <w:r w:rsidRPr="00F915E0">
              <w:rPr>
                <w:rFonts w:ascii="Times New Roman" w:hAnsi="Times New Roman"/>
                <w:color w:val="auto"/>
                <w:sz w:val="20"/>
                <w:szCs w:val="20"/>
              </w:rPr>
              <w:t>. Stanoviská Rady EÚ, Komisie a Európskeho parlamentu sa však značne líšia. SR si v súčasnej dobe uplatňuje zásadné pripomienky k predloženému návrhu v rámci prípravných pracovných orgánov Rady EÚ.</w:t>
            </w:r>
          </w:p>
        </w:tc>
      </w:tr>
      <w:tr w:rsidR="00043D8B" w:rsidRPr="00A93C5A" w:rsidTr="00E63E2A">
        <w:tblPrEx>
          <w:tblCellMar>
            <w:top w:w="64" w:type="dxa"/>
            <w:right w:w="22" w:type="dxa"/>
          </w:tblCellMar>
        </w:tblPrEx>
        <w:trPr>
          <w:gridAfter w:val="1"/>
          <w:wAfter w:w="5619" w:type="dxa"/>
          <w:trHeight w:val="1561"/>
        </w:trPr>
        <w:tc>
          <w:tcPr>
            <w:tcW w:w="408" w:type="dxa"/>
            <w:gridSpan w:val="3"/>
            <w:vMerge w:val="restart"/>
            <w:tcBorders>
              <w:top w:val="single" w:sz="4" w:space="0" w:color="000000"/>
              <w:left w:val="single" w:sz="4" w:space="0" w:color="000000"/>
              <w:bottom w:val="nil"/>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79.</w:t>
            </w:r>
            <w:r w:rsidRPr="00A93C5A">
              <w:rPr>
                <w:rFonts w:ascii="Times New Roman" w:hAnsi="Times New Roman"/>
                <w:sz w:val="20"/>
              </w:rPr>
              <w:t xml:space="preserve"> </w:t>
            </w:r>
            <w:r>
              <w:rPr>
                <w:rFonts w:ascii="Times New Roman" w:hAnsi="Times New Roman"/>
                <w:sz w:val="20"/>
              </w:rPr>
              <w:t xml:space="preserve"> </w:t>
            </w:r>
          </w:p>
          <w:p w:rsidR="00043D8B" w:rsidRPr="00A93C5A" w:rsidRDefault="00043D8B" w:rsidP="00833647">
            <w:pPr>
              <w:spacing w:after="0"/>
              <w:rPr>
                <w:rFonts w:ascii="Times New Roman" w:hAnsi="Times New Roman"/>
                <w:sz w:val="20"/>
              </w:rPr>
            </w:pPr>
            <w:r>
              <w:rPr>
                <w:rFonts w:ascii="Times New Roman" w:hAnsi="Times New Roman"/>
                <w:sz w:val="20"/>
              </w:rPr>
              <w:t xml:space="preserve"> </w:t>
            </w:r>
          </w:p>
          <w:p w:rsidR="00043D8B" w:rsidRPr="00A93C5A" w:rsidRDefault="00043D8B" w:rsidP="00833647">
            <w:pPr>
              <w:spacing w:after="0"/>
              <w:rPr>
                <w:rFonts w:ascii="Times New Roman" w:hAnsi="Times New Roman"/>
                <w:sz w:val="20"/>
              </w:rPr>
            </w:pPr>
            <w:r>
              <w:rPr>
                <w:rFonts w:ascii="Times New Roman" w:hAnsi="Times New Roman"/>
                <w:sz w:val="20"/>
              </w:rPr>
              <w:t xml:space="preserve"> </w:t>
            </w:r>
          </w:p>
          <w:p w:rsidR="00043D8B" w:rsidRPr="00A93C5A" w:rsidRDefault="00043D8B" w:rsidP="00833647">
            <w:pPr>
              <w:spacing w:after="0"/>
              <w:rPr>
                <w:rFonts w:ascii="Times New Roman" w:hAnsi="Times New Roman"/>
                <w:sz w:val="20"/>
              </w:rPr>
            </w:pPr>
            <w:r>
              <w:rPr>
                <w:rFonts w:ascii="Times New Roman" w:hAnsi="Times New Roman"/>
                <w:sz w:val="20"/>
              </w:rPr>
              <w:t xml:space="preserve"> </w:t>
            </w:r>
          </w:p>
          <w:p w:rsidR="00043D8B" w:rsidRPr="00A93C5A" w:rsidRDefault="00043D8B" w:rsidP="00833647">
            <w:pPr>
              <w:spacing w:after="0"/>
              <w:rPr>
                <w:rFonts w:ascii="Times New Roman" w:hAnsi="Times New Roman"/>
                <w:sz w:val="20"/>
              </w:rPr>
            </w:pPr>
            <w:r>
              <w:rPr>
                <w:rFonts w:ascii="Times New Roman" w:hAnsi="Times New Roman"/>
                <w:sz w:val="20"/>
              </w:rPr>
              <w:t xml:space="preserve"> </w:t>
            </w:r>
          </w:p>
          <w:p w:rsidR="00043D8B" w:rsidRPr="00A93C5A" w:rsidRDefault="00043D8B" w:rsidP="00833647">
            <w:pPr>
              <w:spacing w:after="0"/>
              <w:rPr>
                <w:rFonts w:ascii="Times New Roman" w:hAnsi="Times New Roman"/>
                <w:sz w:val="20"/>
              </w:rPr>
            </w:pPr>
            <w:r>
              <w:rPr>
                <w:rFonts w:ascii="Times New Roman" w:hAnsi="Times New Roman"/>
                <w:sz w:val="20"/>
              </w:rPr>
              <w:t xml:space="preserve"> </w:t>
            </w:r>
          </w:p>
        </w:tc>
        <w:tc>
          <w:tcPr>
            <w:tcW w:w="2056" w:type="dxa"/>
            <w:gridSpan w:val="2"/>
            <w:vMerge w:val="restart"/>
            <w:tcBorders>
              <w:top w:val="single" w:sz="4" w:space="0" w:color="000000"/>
              <w:left w:val="single" w:sz="4" w:space="0" w:color="000000"/>
              <w:bottom w:val="single" w:sz="4" w:space="0" w:color="000000"/>
              <w:right w:val="single" w:sz="4" w:space="0" w:color="000000"/>
            </w:tcBorders>
          </w:tcPr>
          <w:p w:rsidR="00043D8B" w:rsidRPr="00A93C5A" w:rsidRDefault="00043D8B" w:rsidP="00833647">
            <w:pPr>
              <w:spacing w:after="0"/>
              <w:rPr>
                <w:rFonts w:ascii="Times New Roman" w:hAnsi="Times New Roman"/>
                <w:sz w:val="20"/>
              </w:rPr>
            </w:pPr>
            <w:r>
              <w:rPr>
                <w:rFonts w:ascii="Times New Roman" w:hAnsi="Times New Roman"/>
                <w:sz w:val="20"/>
              </w:rPr>
              <w:t xml:space="preserve">Spoločný európsky azylový systém </w:t>
            </w:r>
          </w:p>
        </w:tc>
        <w:tc>
          <w:tcPr>
            <w:tcW w:w="4678" w:type="dxa"/>
            <w:tcBorders>
              <w:top w:val="single" w:sz="4" w:space="0" w:color="000000"/>
              <w:left w:val="single" w:sz="4" w:space="0" w:color="000000"/>
              <w:bottom w:val="single" w:sz="4" w:space="0" w:color="000000"/>
              <w:right w:val="single" w:sz="4" w:space="0" w:color="000000"/>
            </w:tcBorders>
          </w:tcPr>
          <w:p w:rsidR="00043D8B" w:rsidRPr="00A93C5A" w:rsidRDefault="00043D8B" w:rsidP="00D15EE0">
            <w:pPr>
              <w:spacing w:after="0"/>
              <w:jc w:val="both"/>
              <w:rPr>
                <w:rFonts w:ascii="Times New Roman" w:hAnsi="Times New Roman"/>
                <w:sz w:val="20"/>
              </w:rPr>
            </w:pPr>
            <w:r>
              <w:rPr>
                <w:rFonts w:ascii="Times New Roman" w:hAnsi="Times New Roman"/>
                <w:sz w:val="20"/>
              </w:rPr>
              <w:t xml:space="preserve">Návrh NARIADENIA EURÓPSKEHO PARLAMENTU A RADY o Agentúre Európskej únie pre azyl, ktorým sa zrušuje nariadenie (EÚ) č. 439/2010 COM(2016) 271 final </w:t>
            </w:r>
          </w:p>
          <w:p w:rsidR="00043D8B" w:rsidRPr="00A93C5A" w:rsidRDefault="00043D8B" w:rsidP="00D15EE0">
            <w:pPr>
              <w:spacing w:after="0"/>
              <w:jc w:val="both"/>
              <w:rPr>
                <w:rFonts w:ascii="Times New Roman" w:hAnsi="Times New Roman"/>
                <w:sz w:val="20"/>
              </w:rPr>
            </w:pPr>
          </w:p>
          <w:p w:rsidR="00043D8B" w:rsidRPr="00A93C5A" w:rsidRDefault="00043D8B" w:rsidP="00D15EE0">
            <w:pPr>
              <w:spacing w:after="0"/>
              <w:jc w:val="both"/>
              <w:rPr>
                <w:rFonts w:ascii="Times New Roman" w:hAnsi="Times New Roman"/>
                <w:sz w:val="20"/>
              </w:rPr>
            </w:pPr>
            <w:r>
              <w:rPr>
                <w:rFonts w:ascii="Times New Roman" w:hAnsi="Times New Roman"/>
                <w:sz w:val="20"/>
              </w:rPr>
              <w:t xml:space="preserve">Zmenený návrh NARIADENIA EURÓPSKEHO PARLAMENTU A RADY o Agentúre Európskej únie pre azyl, ktorým sa zrušuje nariadenie (EÚ) č. 439/2010 – Príspevok Európskej komisie k stretnutiu lídrov v Salzburgu, ktoré sa uskutočnilo 19. a 20. septembra 2018** COM(2018) 633 final </w:t>
            </w:r>
          </w:p>
          <w:p w:rsidR="00043D8B" w:rsidRPr="00A93C5A" w:rsidRDefault="00043D8B" w:rsidP="00D15EE0">
            <w:pPr>
              <w:spacing w:after="0"/>
              <w:jc w:val="both"/>
              <w:rPr>
                <w:rFonts w:ascii="Times New Roman" w:hAnsi="Times New Roman"/>
                <w:sz w:val="20"/>
              </w:rPr>
            </w:pPr>
            <w:r>
              <w:rPr>
                <w:rFonts w:ascii="Times New Roman" w:hAnsi="Times New Roman"/>
                <w:sz w:val="20"/>
              </w:rPr>
              <w:t>2016/0131 (COD) 12. 9. 2018</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rPr>
            </w:pPr>
            <w:r w:rsidRPr="006458BF">
              <w:rPr>
                <w:rFonts w:ascii="Times New Roman" w:hAnsi="Times New Roman"/>
                <w:b/>
                <w:sz w:val="20"/>
              </w:rPr>
              <w:t>MV SR</w:t>
            </w:r>
          </w:p>
          <w:p w:rsidR="00043D8B" w:rsidRPr="006458BF" w:rsidRDefault="00043D8B" w:rsidP="00833647">
            <w:pPr>
              <w:spacing w:after="0"/>
              <w:rPr>
                <w:rFonts w:ascii="Times New Roman" w:hAnsi="Times New Roman"/>
                <w:b/>
                <w:sz w:val="20"/>
              </w:rPr>
            </w:pPr>
          </w:p>
          <w:p w:rsidR="00043D8B" w:rsidRPr="006458BF" w:rsidRDefault="00043D8B" w:rsidP="00833647">
            <w:pPr>
              <w:spacing w:after="0"/>
              <w:rPr>
                <w:rFonts w:ascii="Times New Roman" w:hAnsi="Times New Roman"/>
                <w:b/>
                <w:sz w:val="20"/>
              </w:rPr>
            </w:pPr>
          </w:p>
          <w:p w:rsidR="00043D8B" w:rsidRPr="006458BF" w:rsidRDefault="00043D8B" w:rsidP="00833647">
            <w:pPr>
              <w:spacing w:after="0"/>
              <w:rPr>
                <w:rFonts w:ascii="Times New Roman" w:hAnsi="Times New Roman"/>
                <w:b/>
                <w:sz w:val="20"/>
              </w:rPr>
            </w:pPr>
          </w:p>
          <w:p w:rsidR="00043D8B" w:rsidRPr="006458BF" w:rsidRDefault="00043D8B" w:rsidP="00833647">
            <w:pPr>
              <w:spacing w:after="0"/>
              <w:rPr>
                <w:rFonts w:ascii="Times New Roman" w:hAnsi="Times New Roman"/>
                <w:b/>
                <w:sz w:val="20"/>
              </w:rPr>
            </w:pPr>
          </w:p>
          <w:p w:rsidR="00043D8B" w:rsidRPr="006458BF" w:rsidRDefault="00043D8B" w:rsidP="00833647">
            <w:pPr>
              <w:spacing w:after="0"/>
              <w:rPr>
                <w:rFonts w:ascii="Times New Roman" w:hAnsi="Times New Roman"/>
                <w:b/>
                <w:sz w:val="20"/>
              </w:rPr>
            </w:pPr>
          </w:p>
          <w:p w:rsidR="00043D8B" w:rsidRPr="006458BF" w:rsidRDefault="00043D8B" w:rsidP="00833647">
            <w:pPr>
              <w:spacing w:after="0"/>
              <w:rPr>
                <w:rFonts w:ascii="Times New Roman" w:hAnsi="Times New Roman"/>
                <w:b/>
                <w:sz w:val="20"/>
              </w:rPr>
            </w:pPr>
            <w:r w:rsidRPr="006458BF">
              <w:rPr>
                <w:rFonts w:ascii="Times New Roman" w:hAnsi="Times New Roman"/>
                <w:b/>
                <w:sz w:val="20"/>
              </w:rPr>
              <w:t>MV SR</w:t>
            </w:r>
          </w:p>
          <w:p w:rsidR="00043D8B" w:rsidRPr="006458BF" w:rsidRDefault="00043D8B" w:rsidP="00833647">
            <w:pPr>
              <w:spacing w:after="0"/>
              <w:rPr>
                <w:rFonts w:ascii="Times New Roman" w:hAnsi="Times New Roman"/>
                <w:b/>
                <w:sz w:val="20"/>
              </w:rPr>
            </w:pPr>
          </w:p>
        </w:tc>
        <w:tc>
          <w:tcPr>
            <w:tcW w:w="6289" w:type="dxa"/>
            <w:tcBorders>
              <w:top w:val="single" w:sz="4" w:space="0" w:color="000000"/>
              <w:left w:val="single" w:sz="4" w:space="0" w:color="000000"/>
              <w:bottom w:val="single" w:sz="4" w:space="0" w:color="000000"/>
              <w:right w:val="single" w:sz="4" w:space="0" w:color="000000"/>
            </w:tcBorders>
          </w:tcPr>
          <w:p w:rsidR="00043D8B" w:rsidRPr="00F915E0" w:rsidRDefault="00043D8B" w:rsidP="00833647">
            <w:pPr>
              <w:spacing w:after="0"/>
              <w:jc w:val="both"/>
              <w:rPr>
                <w:rFonts w:ascii="Times New Roman" w:hAnsi="Times New Roman"/>
                <w:b/>
                <w:sz w:val="20"/>
                <w:szCs w:val="20"/>
                <w:u w:val="single"/>
              </w:rPr>
            </w:pPr>
            <w:r w:rsidRPr="00F915E0">
              <w:rPr>
                <w:rFonts w:ascii="Times New Roman" w:hAnsi="Times New Roman"/>
                <w:b/>
                <w:sz w:val="20"/>
                <w:szCs w:val="20"/>
                <w:u w:val="single"/>
              </w:rPr>
              <w:t>Vysoká priorita</w:t>
            </w:r>
          </w:p>
          <w:p w:rsidR="00043D8B" w:rsidRDefault="00043D8B" w:rsidP="00833647">
            <w:pPr>
              <w:spacing w:after="0"/>
              <w:jc w:val="both"/>
              <w:rPr>
                <w:rFonts w:ascii="Times New Roman" w:hAnsi="Times New Roman"/>
                <w:sz w:val="20"/>
                <w:szCs w:val="20"/>
              </w:rPr>
            </w:pPr>
            <w:r>
              <w:rPr>
                <w:rFonts w:ascii="Times New Roman" w:hAnsi="Times New Roman"/>
                <w:sz w:val="20"/>
                <w:szCs w:val="20"/>
              </w:rPr>
              <w:t>Na základe návrhu má byť vytvorená Európska agentúra pre azyl (EUAA), ktorá nahradí doterajšiu agentúru EASO. Návrh počíta s posilnením právomocí agentúry, s rozšírením mandátu a posilneným personálnym zabezpečením. Návrh bol Komisiou zmenený v septembri 2018.</w:t>
            </w:r>
          </w:p>
          <w:p w:rsidR="00043D8B" w:rsidRPr="00A93C5A" w:rsidRDefault="00043D8B" w:rsidP="00833647">
            <w:pPr>
              <w:spacing w:after="0"/>
              <w:jc w:val="both"/>
              <w:rPr>
                <w:rFonts w:ascii="Times New Roman" w:hAnsi="Times New Roman"/>
                <w:sz w:val="20"/>
              </w:rPr>
            </w:pPr>
            <w:r>
              <w:rPr>
                <w:rFonts w:ascii="Times New Roman" w:hAnsi="Times New Roman"/>
                <w:sz w:val="20"/>
                <w:szCs w:val="20"/>
              </w:rPr>
              <w:t>Aktuálne prebiehajú rokovania o zmenenom návrhu na expertnej úrovni.</w:t>
            </w:r>
          </w:p>
        </w:tc>
      </w:tr>
      <w:tr w:rsidR="00043D8B" w:rsidRPr="00A93C5A" w:rsidTr="00E63E2A">
        <w:tblPrEx>
          <w:tblCellMar>
            <w:top w:w="64" w:type="dxa"/>
            <w:right w:w="22" w:type="dxa"/>
          </w:tblCellMar>
        </w:tblPrEx>
        <w:trPr>
          <w:gridAfter w:val="1"/>
          <w:wAfter w:w="5619" w:type="dxa"/>
          <w:trHeight w:val="629"/>
        </w:trPr>
        <w:tc>
          <w:tcPr>
            <w:tcW w:w="408" w:type="dxa"/>
            <w:gridSpan w:val="3"/>
            <w:vMerge/>
            <w:tcBorders>
              <w:top w:val="nil"/>
              <w:left w:val="single" w:sz="4" w:space="0" w:color="000000"/>
              <w:bottom w:val="nil"/>
              <w:right w:val="single" w:sz="4" w:space="0" w:color="000000"/>
            </w:tcBorders>
          </w:tcPr>
          <w:p w:rsidR="00043D8B" w:rsidRPr="00A93C5A" w:rsidRDefault="00043D8B" w:rsidP="00833647">
            <w:pPr>
              <w:spacing w:after="0"/>
              <w:rPr>
                <w:rFonts w:ascii="Times New Roman" w:hAnsi="Times New Roman"/>
                <w:sz w:val="20"/>
              </w:rPr>
            </w:pPr>
          </w:p>
        </w:tc>
        <w:tc>
          <w:tcPr>
            <w:tcW w:w="2056" w:type="dxa"/>
            <w:gridSpan w:val="2"/>
            <w:vMerge/>
            <w:tcBorders>
              <w:top w:val="nil"/>
              <w:left w:val="single" w:sz="4" w:space="0" w:color="000000"/>
              <w:bottom w:val="nil"/>
              <w:right w:val="single" w:sz="4" w:space="0" w:color="000000"/>
            </w:tcBorders>
          </w:tcPr>
          <w:p w:rsidR="00043D8B" w:rsidRPr="00A93C5A" w:rsidRDefault="00043D8B" w:rsidP="00833647">
            <w:pPr>
              <w:spacing w:after="0"/>
              <w:rPr>
                <w:rFonts w:ascii="Times New Roman" w:hAnsi="Times New Roman"/>
                <w:sz w:val="20"/>
              </w:rPr>
            </w:pPr>
          </w:p>
        </w:tc>
        <w:tc>
          <w:tcPr>
            <w:tcW w:w="4678" w:type="dxa"/>
            <w:tcBorders>
              <w:top w:val="single" w:sz="4" w:space="0" w:color="000000"/>
              <w:left w:val="single" w:sz="4" w:space="0" w:color="000000"/>
              <w:bottom w:val="single" w:sz="4" w:space="0" w:color="000000"/>
              <w:right w:val="single" w:sz="4" w:space="0" w:color="000000"/>
            </w:tcBorders>
          </w:tcPr>
          <w:p w:rsidR="00043D8B" w:rsidRPr="00A93C5A" w:rsidRDefault="00043D8B" w:rsidP="00D15EE0">
            <w:pPr>
              <w:spacing w:after="0"/>
              <w:jc w:val="both"/>
              <w:rPr>
                <w:rFonts w:ascii="Times New Roman" w:hAnsi="Times New Roman"/>
                <w:sz w:val="20"/>
              </w:rPr>
            </w:pPr>
            <w:r>
              <w:rPr>
                <w:rFonts w:ascii="Times New Roman" w:hAnsi="Times New Roman"/>
                <w:sz w:val="20"/>
              </w:rPr>
              <w:t>Návrh NARIADENIA EURÓPSKEHO PARLAMENTU A RADY o zriadení systému Eurodac na porovnávanie odtlačkov prstov pre účinné uplatňovanie [nariadenia (EÚ) č. 604/2013, ktorým sa ustanovujú kritériá a mechanizmy na určenie členského štátu zodpovedného za posúdenie žiadosti o medzinárodnú ochranu podanej štátnym príslušníkom tretej krajiny alebo osobou bez štátnej príslušnosti v jednom z členských štátov], na zistenie totožnosti neoprávnene sa zdržiavajúcich štátnych príslušníkov tretích krajín alebo osôb bez štátnej príslušnosti a o žiadostiach orgánov členských štátov na presadzovanie práva a Europolu o porovnanie s údajmi v systéme Eurodac na účely presadzovania práva (prepracované znenie)* COM(2016) 272 final 2016/0132 (COD)  4. 5. 2016</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rPr>
            </w:pPr>
            <w:r w:rsidRPr="006458BF">
              <w:rPr>
                <w:rFonts w:ascii="Times New Roman" w:hAnsi="Times New Roman"/>
                <w:b/>
                <w:sz w:val="20"/>
              </w:rPr>
              <w:t>MV SR</w:t>
            </w:r>
          </w:p>
        </w:tc>
        <w:tc>
          <w:tcPr>
            <w:tcW w:w="6289"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szCs w:val="20"/>
                <w:u w:val="single"/>
              </w:rPr>
            </w:pPr>
            <w:r w:rsidRPr="006458BF">
              <w:rPr>
                <w:rFonts w:ascii="Times New Roman" w:hAnsi="Times New Roman"/>
                <w:b/>
                <w:sz w:val="20"/>
                <w:szCs w:val="20"/>
                <w:u w:val="single"/>
              </w:rPr>
              <w:t>Vysoká priorita</w:t>
            </w:r>
          </w:p>
          <w:p w:rsidR="00043D8B" w:rsidRDefault="00043D8B" w:rsidP="00833647">
            <w:pPr>
              <w:spacing w:after="0"/>
              <w:jc w:val="both"/>
              <w:rPr>
                <w:rFonts w:ascii="Times New Roman" w:hAnsi="Times New Roman"/>
                <w:sz w:val="20"/>
              </w:rPr>
            </w:pPr>
            <w:r>
              <w:rPr>
                <w:rFonts w:ascii="Times New Roman" w:hAnsi="Times New Roman"/>
                <w:sz w:val="20"/>
                <w:szCs w:val="20"/>
              </w:rPr>
              <w:t>Návrh na posilnenie databázy na porovnávanie odtlačkov prstov EURODAC za účelom lepšieho riadenia azylového systému a potláčaniu nelegálnej migrácie. Aktuálne prebiehajú trialógy s EP.</w:t>
            </w:r>
          </w:p>
        </w:tc>
      </w:tr>
      <w:tr w:rsidR="00043D8B" w:rsidRPr="00A93C5A" w:rsidTr="00E63E2A">
        <w:tblPrEx>
          <w:tblCellMar>
            <w:top w:w="64" w:type="dxa"/>
            <w:right w:w="22" w:type="dxa"/>
          </w:tblCellMar>
        </w:tblPrEx>
        <w:trPr>
          <w:gridAfter w:val="1"/>
          <w:wAfter w:w="5619" w:type="dxa"/>
          <w:trHeight w:val="1099"/>
        </w:trPr>
        <w:tc>
          <w:tcPr>
            <w:tcW w:w="408" w:type="dxa"/>
            <w:gridSpan w:val="3"/>
            <w:vMerge/>
            <w:tcBorders>
              <w:top w:val="nil"/>
              <w:left w:val="single" w:sz="4" w:space="0" w:color="000000"/>
              <w:bottom w:val="nil"/>
              <w:right w:val="single" w:sz="4" w:space="0" w:color="000000"/>
            </w:tcBorders>
          </w:tcPr>
          <w:p w:rsidR="00043D8B" w:rsidRPr="00A93C5A" w:rsidRDefault="00043D8B" w:rsidP="00833647">
            <w:pPr>
              <w:spacing w:after="0"/>
              <w:rPr>
                <w:rFonts w:ascii="Times New Roman" w:hAnsi="Times New Roman"/>
                <w:sz w:val="20"/>
              </w:rPr>
            </w:pPr>
          </w:p>
        </w:tc>
        <w:tc>
          <w:tcPr>
            <w:tcW w:w="2056" w:type="dxa"/>
            <w:gridSpan w:val="2"/>
            <w:vMerge/>
            <w:tcBorders>
              <w:top w:val="nil"/>
              <w:left w:val="single" w:sz="4" w:space="0" w:color="000000"/>
              <w:bottom w:val="nil"/>
              <w:right w:val="single" w:sz="4" w:space="0" w:color="000000"/>
            </w:tcBorders>
          </w:tcPr>
          <w:p w:rsidR="00043D8B" w:rsidRPr="00A93C5A" w:rsidRDefault="00043D8B" w:rsidP="00833647">
            <w:pPr>
              <w:spacing w:after="0"/>
              <w:rPr>
                <w:rFonts w:ascii="Times New Roman" w:hAnsi="Times New Roman"/>
                <w:sz w:val="20"/>
              </w:rPr>
            </w:pPr>
          </w:p>
        </w:tc>
        <w:tc>
          <w:tcPr>
            <w:tcW w:w="4678" w:type="dxa"/>
            <w:tcBorders>
              <w:top w:val="single" w:sz="4" w:space="0" w:color="000000"/>
              <w:left w:val="single" w:sz="4" w:space="0" w:color="000000"/>
              <w:bottom w:val="single" w:sz="4" w:space="0" w:color="000000"/>
              <w:right w:val="single" w:sz="4" w:space="0" w:color="000000"/>
            </w:tcBorders>
          </w:tcPr>
          <w:p w:rsidR="00043D8B" w:rsidRPr="00A93C5A" w:rsidRDefault="00043D8B" w:rsidP="00D15EE0">
            <w:pPr>
              <w:spacing w:after="0"/>
              <w:jc w:val="both"/>
              <w:rPr>
                <w:rFonts w:ascii="Times New Roman" w:hAnsi="Times New Roman"/>
                <w:sz w:val="20"/>
              </w:rPr>
            </w:pPr>
            <w:r>
              <w:rPr>
                <w:rFonts w:ascii="Times New Roman" w:hAnsi="Times New Roman"/>
                <w:sz w:val="20"/>
              </w:rPr>
              <w:t xml:space="preserve"> Návrh NARIADENIA EURÓPSKEHO PARLAMENTU A RADY, ktorým sa stanovujú kritériá a mechanizmy na určenie členského štátu zodpovedného za posúdenie žiadosti o medzinárodnú ochranu podanej štátnym príslušníkom tretej krajiny alebo osobou bez štátnej príslušnosti v jednom z členských štátov (prepracované znenie)* (reforma dublinského systému) COM(2016) 270 final 2016/0133 (COD)  4. 5. 2016</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rPr>
            </w:pPr>
            <w:r w:rsidRPr="006458BF">
              <w:rPr>
                <w:rFonts w:ascii="Times New Roman" w:hAnsi="Times New Roman"/>
                <w:b/>
                <w:sz w:val="20"/>
              </w:rPr>
              <w:t>MV SR</w:t>
            </w:r>
          </w:p>
        </w:tc>
        <w:tc>
          <w:tcPr>
            <w:tcW w:w="6289" w:type="dxa"/>
            <w:tcBorders>
              <w:top w:val="single" w:sz="4" w:space="0" w:color="000000"/>
              <w:left w:val="single" w:sz="4" w:space="0" w:color="000000"/>
              <w:bottom w:val="single" w:sz="4" w:space="0" w:color="000000"/>
              <w:right w:val="single" w:sz="4" w:space="0" w:color="000000"/>
            </w:tcBorders>
          </w:tcPr>
          <w:p w:rsidR="00043D8B" w:rsidRPr="00F915E0" w:rsidRDefault="00043D8B" w:rsidP="00833647">
            <w:pPr>
              <w:spacing w:after="0"/>
              <w:jc w:val="both"/>
              <w:rPr>
                <w:rFonts w:ascii="Times New Roman" w:hAnsi="Times New Roman"/>
                <w:b/>
                <w:sz w:val="20"/>
                <w:szCs w:val="20"/>
                <w:u w:val="single"/>
              </w:rPr>
            </w:pPr>
            <w:r w:rsidRPr="00F915E0">
              <w:rPr>
                <w:rFonts w:ascii="Times New Roman" w:hAnsi="Times New Roman"/>
                <w:b/>
                <w:sz w:val="20"/>
                <w:szCs w:val="20"/>
                <w:u w:val="single"/>
              </w:rPr>
              <w:t>Vysoká priorita</w:t>
            </w:r>
          </w:p>
          <w:p w:rsidR="00043D8B" w:rsidRDefault="00043D8B" w:rsidP="00833647">
            <w:pPr>
              <w:spacing w:after="0"/>
              <w:jc w:val="both"/>
              <w:rPr>
                <w:rFonts w:ascii="Times New Roman" w:hAnsi="Times New Roman"/>
                <w:sz w:val="20"/>
                <w:szCs w:val="20"/>
              </w:rPr>
            </w:pPr>
            <w:r>
              <w:rPr>
                <w:rFonts w:ascii="Times New Roman" w:hAnsi="Times New Roman"/>
                <w:sz w:val="20"/>
                <w:szCs w:val="20"/>
              </w:rPr>
              <w:t>Vzhľadom na politickú pozíciu a odmietavý postoj voči nápravnému alokačnému (prerozdeľovaciemu) mechanizmu ide o citlivý návrh.</w:t>
            </w:r>
          </w:p>
          <w:p w:rsidR="00043D8B" w:rsidRDefault="00043D8B" w:rsidP="00833647">
            <w:pPr>
              <w:spacing w:after="0"/>
              <w:jc w:val="both"/>
              <w:rPr>
                <w:rFonts w:ascii="Times New Roman" w:hAnsi="Times New Roman"/>
                <w:sz w:val="20"/>
              </w:rPr>
            </w:pPr>
            <w:r>
              <w:rPr>
                <w:rFonts w:ascii="Times New Roman" w:hAnsi="Times New Roman"/>
                <w:sz w:val="20"/>
              </w:rPr>
              <w:t>V roku 2018 sa nepodarilo dosiahnuť konsenzus medzi členskými štátmi v otázke rovnováhy medzi zodpovednosťou a solidaritou.</w:t>
            </w:r>
          </w:p>
        </w:tc>
      </w:tr>
      <w:tr w:rsidR="00043D8B" w:rsidRPr="00A93C5A" w:rsidTr="00E63E2A">
        <w:tblPrEx>
          <w:tblCellMar>
            <w:top w:w="64" w:type="dxa"/>
            <w:right w:w="22" w:type="dxa"/>
          </w:tblCellMar>
        </w:tblPrEx>
        <w:trPr>
          <w:gridAfter w:val="1"/>
          <w:wAfter w:w="5619" w:type="dxa"/>
          <w:trHeight w:val="872"/>
        </w:trPr>
        <w:tc>
          <w:tcPr>
            <w:tcW w:w="408" w:type="dxa"/>
            <w:gridSpan w:val="3"/>
            <w:vMerge/>
            <w:tcBorders>
              <w:top w:val="nil"/>
              <w:left w:val="single" w:sz="4" w:space="0" w:color="000000"/>
              <w:bottom w:val="nil"/>
              <w:right w:val="single" w:sz="4" w:space="0" w:color="000000"/>
            </w:tcBorders>
          </w:tcPr>
          <w:p w:rsidR="00043D8B" w:rsidRPr="00A93C5A" w:rsidRDefault="00043D8B" w:rsidP="00833647">
            <w:pPr>
              <w:spacing w:after="0"/>
              <w:rPr>
                <w:rFonts w:ascii="Times New Roman" w:hAnsi="Times New Roman"/>
                <w:sz w:val="20"/>
              </w:rPr>
            </w:pPr>
          </w:p>
        </w:tc>
        <w:tc>
          <w:tcPr>
            <w:tcW w:w="2056" w:type="dxa"/>
            <w:gridSpan w:val="2"/>
            <w:vMerge/>
            <w:tcBorders>
              <w:top w:val="nil"/>
              <w:left w:val="single" w:sz="4" w:space="0" w:color="000000"/>
              <w:bottom w:val="nil"/>
              <w:right w:val="single" w:sz="4" w:space="0" w:color="000000"/>
            </w:tcBorders>
          </w:tcPr>
          <w:p w:rsidR="00043D8B" w:rsidRPr="00A93C5A" w:rsidRDefault="00043D8B" w:rsidP="00833647">
            <w:pPr>
              <w:spacing w:after="0"/>
              <w:rPr>
                <w:rFonts w:ascii="Times New Roman" w:hAnsi="Times New Roman"/>
                <w:sz w:val="20"/>
              </w:rPr>
            </w:pPr>
          </w:p>
        </w:tc>
        <w:tc>
          <w:tcPr>
            <w:tcW w:w="4678" w:type="dxa"/>
            <w:tcBorders>
              <w:top w:val="single" w:sz="4" w:space="0" w:color="000000"/>
              <w:left w:val="single" w:sz="4" w:space="0" w:color="000000"/>
              <w:bottom w:val="single" w:sz="4" w:space="0" w:color="000000"/>
              <w:right w:val="single" w:sz="4" w:space="0" w:color="000000"/>
            </w:tcBorders>
          </w:tcPr>
          <w:p w:rsidR="00043D8B" w:rsidRPr="00A93C5A" w:rsidRDefault="00043D8B" w:rsidP="00D15EE0">
            <w:pPr>
              <w:spacing w:after="0"/>
              <w:jc w:val="both"/>
              <w:rPr>
                <w:rFonts w:ascii="Times New Roman" w:hAnsi="Times New Roman"/>
                <w:sz w:val="20"/>
              </w:rPr>
            </w:pPr>
            <w:r>
              <w:rPr>
                <w:rFonts w:ascii="Times New Roman" w:hAnsi="Times New Roman"/>
                <w:sz w:val="20"/>
              </w:rPr>
              <w:t>Návrh SMERNICE EURÓPSKEHO PARLAMENTU A RADY, ktorou sa stanovujú normy pre prijímanie žiadateľov o medzinárodnú ochranu (prepracované znenie)* COM(2016) 465 final  2016/0222 (COD)  13. 7. 2016</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rPr>
            </w:pPr>
            <w:r w:rsidRPr="006458BF">
              <w:rPr>
                <w:rFonts w:ascii="Times New Roman" w:hAnsi="Times New Roman"/>
                <w:b/>
                <w:sz w:val="20"/>
              </w:rPr>
              <w:t>MV SR</w:t>
            </w:r>
          </w:p>
          <w:p w:rsidR="00043D8B" w:rsidRPr="006458BF" w:rsidRDefault="00043D8B" w:rsidP="00833647">
            <w:pPr>
              <w:spacing w:after="0"/>
              <w:rPr>
                <w:rFonts w:ascii="Times New Roman" w:hAnsi="Times New Roman"/>
                <w:b/>
                <w:sz w:val="20"/>
              </w:rPr>
            </w:pPr>
            <w:r w:rsidRPr="006458BF">
              <w:rPr>
                <w:rFonts w:ascii="Times New Roman" w:hAnsi="Times New Roman"/>
                <w:b/>
                <w:sz w:val="20"/>
              </w:rPr>
              <w:t>MZ SR</w:t>
            </w:r>
            <w:r w:rsidRPr="006458BF">
              <w:rPr>
                <w:rFonts w:ascii="Times New Roman" w:hAnsi="Times New Roman"/>
                <w:b/>
                <w:sz w:val="20"/>
              </w:rPr>
              <w:br/>
              <w:t>MF SR</w:t>
            </w:r>
          </w:p>
          <w:p w:rsidR="00043D8B" w:rsidRPr="006458BF" w:rsidRDefault="00043D8B" w:rsidP="00833647">
            <w:pPr>
              <w:spacing w:after="0"/>
              <w:rPr>
                <w:rFonts w:ascii="Times New Roman" w:hAnsi="Times New Roman"/>
                <w:b/>
                <w:sz w:val="20"/>
              </w:rPr>
            </w:pPr>
            <w:r w:rsidRPr="006458BF">
              <w:rPr>
                <w:rFonts w:ascii="Times New Roman" w:hAnsi="Times New Roman"/>
                <w:b/>
                <w:sz w:val="20"/>
              </w:rPr>
              <w:t>MPSVaR SR</w:t>
            </w:r>
          </w:p>
        </w:tc>
        <w:tc>
          <w:tcPr>
            <w:tcW w:w="6289" w:type="dxa"/>
            <w:tcBorders>
              <w:top w:val="single" w:sz="4" w:space="0" w:color="000000"/>
              <w:left w:val="single" w:sz="4" w:space="0" w:color="000000"/>
              <w:bottom w:val="single" w:sz="4" w:space="0" w:color="000000"/>
              <w:right w:val="single" w:sz="4" w:space="0" w:color="000000"/>
            </w:tcBorders>
          </w:tcPr>
          <w:p w:rsidR="00043D8B" w:rsidRPr="00F915E0" w:rsidRDefault="00043D8B" w:rsidP="00833647">
            <w:pPr>
              <w:spacing w:after="0"/>
              <w:jc w:val="both"/>
              <w:rPr>
                <w:rFonts w:ascii="Times New Roman" w:hAnsi="Times New Roman"/>
                <w:b/>
                <w:sz w:val="20"/>
                <w:szCs w:val="20"/>
                <w:u w:val="single"/>
              </w:rPr>
            </w:pPr>
            <w:r w:rsidRPr="00F915E0">
              <w:rPr>
                <w:rFonts w:ascii="Times New Roman" w:hAnsi="Times New Roman"/>
                <w:b/>
                <w:sz w:val="20"/>
                <w:szCs w:val="20"/>
                <w:u w:val="single"/>
              </w:rPr>
              <w:t>Vysoká priorita</w:t>
            </w:r>
          </w:p>
          <w:p w:rsidR="00043D8B" w:rsidRPr="00E652A7" w:rsidRDefault="00043D8B" w:rsidP="00833647">
            <w:pPr>
              <w:spacing w:after="0"/>
              <w:jc w:val="both"/>
              <w:rPr>
                <w:rFonts w:ascii="Times New Roman" w:hAnsi="Times New Roman"/>
                <w:sz w:val="20"/>
                <w:szCs w:val="20"/>
              </w:rPr>
            </w:pPr>
            <w:r>
              <w:rPr>
                <w:rFonts w:ascii="Times New Roman" w:hAnsi="Times New Roman"/>
                <w:sz w:val="20"/>
                <w:szCs w:val="20"/>
              </w:rPr>
              <w:t>Cieľom návrhu je vyššia miera harmonizácie noriem týkajúcich sa podmienok prijímania žiadateľov o medzinárodnú ochranu v celej EÚ. Aktuálne prebiehajú trialógy s EP.</w:t>
            </w:r>
          </w:p>
        </w:tc>
      </w:tr>
      <w:tr w:rsidR="00043D8B" w:rsidRPr="00A93C5A" w:rsidTr="00E63E2A">
        <w:tblPrEx>
          <w:tblCellMar>
            <w:top w:w="64" w:type="dxa"/>
            <w:right w:w="22" w:type="dxa"/>
          </w:tblCellMar>
        </w:tblPrEx>
        <w:trPr>
          <w:gridAfter w:val="1"/>
          <w:wAfter w:w="5619" w:type="dxa"/>
          <w:trHeight w:val="913"/>
        </w:trPr>
        <w:tc>
          <w:tcPr>
            <w:tcW w:w="408" w:type="dxa"/>
            <w:gridSpan w:val="3"/>
            <w:vMerge/>
            <w:tcBorders>
              <w:top w:val="nil"/>
              <w:left w:val="single" w:sz="4" w:space="0" w:color="000000"/>
              <w:bottom w:val="nil"/>
              <w:right w:val="single" w:sz="4" w:space="0" w:color="000000"/>
            </w:tcBorders>
          </w:tcPr>
          <w:p w:rsidR="00043D8B" w:rsidRPr="00A93C5A" w:rsidRDefault="00043D8B" w:rsidP="00833647">
            <w:pPr>
              <w:spacing w:after="0"/>
              <w:rPr>
                <w:rFonts w:ascii="Times New Roman" w:hAnsi="Times New Roman"/>
                <w:sz w:val="20"/>
              </w:rPr>
            </w:pPr>
          </w:p>
        </w:tc>
        <w:tc>
          <w:tcPr>
            <w:tcW w:w="2056" w:type="dxa"/>
            <w:gridSpan w:val="2"/>
            <w:vMerge/>
            <w:tcBorders>
              <w:top w:val="nil"/>
              <w:left w:val="single" w:sz="4" w:space="0" w:color="000000"/>
              <w:bottom w:val="nil"/>
              <w:right w:val="single" w:sz="4" w:space="0" w:color="000000"/>
            </w:tcBorders>
          </w:tcPr>
          <w:p w:rsidR="00043D8B" w:rsidRPr="00A93C5A" w:rsidRDefault="00043D8B" w:rsidP="00833647">
            <w:pPr>
              <w:spacing w:after="0"/>
              <w:rPr>
                <w:rFonts w:ascii="Times New Roman" w:hAnsi="Times New Roman"/>
                <w:sz w:val="20"/>
              </w:rPr>
            </w:pPr>
          </w:p>
        </w:tc>
        <w:tc>
          <w:tcPr>
            <w:tcW w:w="4678" w:type="dxa"/>
            <w:tcBorders>
              <w:top w:val="single" w:sz="4" w:space="0" w:color="000000"/>
              <w:left w:val="single" w:sz="4" w:space="0" w:color="000000"/>
              <w:bottom w:val="single" w:sz="4" w:space="0" w:color="000000"/>
              <w:right w:val="single" w:sz="4" w:space="0" w:color="000000"/>
            </w:tcBorders>
          </w:tcPr>
          <w:p w:rsidR="00043D8B" w:rsidRPr="00A93C5A" w:rsidRDefault="00043D8B" w:rsidP="00D15EE0">
            <w:pPr>
              <w:spacing w:after="0"/>
              <w:jc w:val="both"/>
              <w:rPr>
                <w:rFonts w:ascii="Times New Roman" w:hAnsi="Times New Roman"/>
                <w:sz w:val="20"/>
              </w:rPr>
            </w:pPr>
            <w:r>
              <w:rPr>
                <w:rFonts w:ascii="Times New Roman" w:hAnsi="Times New Roman"/>
                <w:sz w:val="20"/>
              </w:rPr>
              <w:t>Návrh NARIADENIA EURÓPSKEHO PARLAMENTU A RADY o normách pre podmienky, ktoré musia spĺňať štátni príslušníci tretej krajiny alebo osoby bez štátnej príslušnosti na poskytnutie medzinárodnej ochrany, pre jednotné postavenie utečencov alebo osôb oprávnených na doplnkovú ochranu a pre obsah poskytovanej ochrany, a ktorým sa mení smernica Rady 2003/109/ES z 25. novembra 2003, pokiaľ ide o postavenie štátnych príslušníkov tretej krajiny, ktorí sú osobami s dlhodobým pobytom* COM(2016) 466 final  2016/0223 (COD)  13. 7. 2016</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rPr>
                <w:rFonts w:ascii="Times New Roman" w:hAnsi="Times New Roman"/>
                <w:b/>
                <w:sz w:val="20"/>
              </w:rPr>
            </w:pPr>
            <w:r w:rsidRPr="006458BF">
              <w:rPr>
                <w:rFonts w:ascii="Times New Roman" w:hAnsi="Times New Roman"/>
                <w:b/>
                <w:sz w:val="20"/>
              </w:rPr>
              <w:t>MV SR</w:t>
            </w:r>
          </w:p>
          <w:p w:rsidR="00043D8B" w:rsidRPr="006458BF" w:rsidRDefault="00043D8B" w:rsidP="00833647">
            <w:pPr>
              <w:spacing w:after="0"/>
              <w:rPr>
                <w:rFonts w:ascii="Times New Roman" w:hAnsi="Times New Roman"/>
                <w:b/>
                <w:sz w:val="20"/>
              </w:rPr>
            </w:pPr>
            <w:r w:rsidRPr="006458BF">
              <w:rPr>
                <w:rFonts w:ascii="Times New Roman" w:hAnsi="Times New Roman"/>
                <w:b/>
                <w:sz w:val="20"/>
              </w:rPr>
              <w:t>MŠVVaŠ SR</w:t>
            </w:r>
          </w:p>
          <w:p w:rsidR="00043D8B" w:rsidRPr="006458BF" w:rsidRDefault="00043D8B" w:rsidP="00833647">
            <w:pPr>
              <w:spacing w:after="0"/>
              <w:rPr>
                <w:rFonts w:ascii="Times New Roman" w:hAnsi="Times New Roman"/>
                <w:b/>
                <w:sz w:val="20"/>
              </w:rPr>
            </w:pPr>
            <w:r w:rsidRPr="006458BF">
              <w:rPr>
                <w:rFonts w:ascii="Times New Roman" w:hAnsi="Times New Roman"/>
                <w:b/>
                <w:sz w:val="20"/>
              </w:rPr>
              <w:t>MZ SR</w:t>
            </w:r>
            <w:r w:rsidRPr="006458BF">
              <w:rPr>
                <w:rFonts w:ascii="Times New Roman" w:hAnsi="Times New Roman"/>
                <w:b/>
                <w:sz w:val="20"/>
              </w:rPr>
              <w:br/>
              <w:t>MPSVaR SR</w:t>
            </w:r>
          </w:p>
        </w:tc>
        <w:tc>
          <w:tcPr>
            <w:tcW w:w="6289" w:type="dxa"/>
            <w:tcBorders>
              <w:top w:val="single" w:sz="4" w:space="0" w:color="000000"/>
              <w:left w:val="single" w:sz="4" w:space="0" w:color="000000"/>
              <w:bottom w:val="single" w:sz="4" w:space="0" w:color="000000"/>
              <w:right w:val="single" w:sz="4" w:space="0" w:color="000000"/>
            </w:tcBorders>
          </w:tcPr>
          <w:p w:rsidR="00043D8B" w:rsidRPr="00F915E0" w:rsidRDefault="00043D8B" w:rsidP="00833647">
            <w:pPr>
              <w:spacing w:after="0"/>
              <w:jc w:val="both"/>
              <w:rPr>
                <w:rFonts w:ascii="Times New Roman" w:hAnsi="Times New Roman"/>
                <w:b/>
                <w:sz w:val="20"/>
                <w:szCs w:val="20"/>
                <w:u w:val="single"/>
              </w:rPr>
            </w:pPr>
            <w:r w:rsidRPr="00F915E0">
              <w:rPr>
                <w:rFonts w:ascii="Times New Roman" w:hAnsi="Times New Roman"/>
                <w:b/>
                <w:sz w:val="20"/>
                <w:szCs w:val="20"/>
                <w:u w:val="single"/>
              </w:rPr>
              <w:t>Vysoká priorita</w:t>
            </w:r>
          </w:p>
          <w:p w:rsidR="00043D8B" w:rsidRDefault="00043D8B" w:rsidP="00833647">
            <w:pPr>
              <w:spacing w:after="0"/>
              <w:jc w:val="both"/>
              <w:rPr>
                <w:rFonts w:ascii="Times New Roman" w:hAnsi="Times New Roman"/>
                <w:sz w:val="20"/>
              </w:rPr>
            </w:pPr>
            <w:r>
              <w:rPr>
                <w:rFonts w:ascii="Times New Roman" w:hAnsi="Times New Roman"/>
                <w:sz w:val="20"/>
                <w:szCs w:val="20"/>
              </w:rPr>
              <w:t>Za účelom lepšej harmonizácie kritérií pre uznanie medzinárodnej ochrany a obsah práv osôb, ktoré sa vzťahujú k tomuto postaveniu, nahradzuje legislatívny návrh doterajšiu tzv. Kvalifikačnú smernicu. Aktuálne prebiehajú trialógy s EP.</w:t>
            </w:r>
          </w:p>
        </w:tc>
      </w:tr>
      <w:tr w:rsidR="00043D8B" w:rsidTr="00E63E2A">
        <w:tblPrEx>
          <w:tblCellMar>
            <w:top w:w="64" w:type="dxa"/>
            <w:right w:w="22" w:type="dxa"/>
          </w:tblCellMar>
        </w:tblPrEx>
        <w:trPr>
          <w:gridAfter w:val="1"/>
          <w:wAfter w:w="5619" w:type="dxa"/>
          <w:trHeight w:val="872"/>
        </w:trPr>
        <w:tc>
          <w:tcPr>
            <w:tcW w:w="408" w:type="dxa"/>
            <w:gridSpan w:val="3"/>
            <w:vMerge/>
            <w:tcBorders>
              <w:top w:val="nil"/>
              <w:left w:val="single" w:sz="4" w:space="0" w:color="000000"/>
              <w:bottom w:val="nil"/>
              <w:right w:val="single" w:sz="4" w:space="0" w:color="000000"/>
            </w:tcBorders>
          </w:tcPr>
          <w:p w:rsidR="00043D8B" w:rsidRDefault="00043D8B" w:rsidP="00833647">
            <w:pPr>
              <w:spacing w:after="0"/>
            </w:pPr>
          </w:p>
        </w:tc>
        <w:tc>
          <w:tcPr>
            <w:tcW w:w="2056" w:type="dxa"/>
            <w:gridSpan w:val="2"/>
            <w:vMerge/>
            <w:tcBorders>
              <w:top w:val="nil"/>
              <w:left w:val="single" w:sz="4" w:space="0" w:color="000000"/>
              <w:bottom w:val="single" w:sz="4" w:space="0" w:color="000000"/>
              <w:right w:val="single" w:sz="4" w:space="0" w:color="000000"/>
            </w:tcBorders>
          </w:tcPr>
          <w:p w:rsidR="00043D8B" w:rsidRDefault="00043D8B" w:rsidP="00833647">
            <w:pPr>
              <w:spacing w:after="0"/>
            </w:pPr>
          </w:p>
        </w:tc>
        <w:tc>
          <w:tcPr>
            <w:tcW w:w="4678"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 xml:space="preserve"> Návrh NARIADENIA EURÓPSKEHO PARLAMENTU A RADY, ktorým sa stanovuje spoločné konanie o medzinárodnej ochrane v Únii a zrušuje smernica 2013/32/EÚ* COM(2016) 467 final  </w:t>
            </w:r>
          </w:p>
          <w:p w:rsidR="00043D8B" w:rsidRDefault="00043D8B" w:rsidP="00D15EE0">
            <w:pPr>
              <w:spacing w:after="0"/>
              <w:ind w:left="1"/>
              <w:jc w:val="both"/>
            </w:pPr>
            <w:r>
              <w:rPr>
                <w:rFonts w:ascii="Times New Roman" w:hAnsi="Times New Roman"/>
                <w:sz w:val="20"/>
              </w:rPr>
              <w:t>2016/0224 (COD)  13. 7. 2016</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ind w:left="1"/>
              <w:rPr>
                <w:rFonts w:ascii="Times New Roman" w:hAnsi="Times New Roman"/>
                <w:b/>
                <w:sz w:val="20"/>
              </w:rPr>
            </w:pPr>
            <w:r w:rsidRPr="006458BF">
              <w:rPr>
                <w:rFonts w:ascii="Times New Roman" w:hAnsi="Times New Roman"/>
                <w:b/>
                <w:sz w:val="20"/>
              </w:rPr>
              <w:t>MV SR</w:t>
            </w:r>
            <w:r w:rsidRPr="006458BF">
              <w:rPr>
                <w:rFonts w:ascii="Times New Roman" w:hAnsi="Times New Roman"/>
                <w:b/>
                <w:sz w:val="20"/>
              </w:rPr>
              <w:br/>
            </w:r>
            <w:r>
              <w:rPr>
                <w:rFonts w:ascii="Times New Roman" w:hAnsi="Times New Roman"/>
                <w:b/>
                <w:sz w:val="20"/>
              </w:rPr>
              <w:t>MZVEZ SR</w:t>
            </w:r>
          </w:p>
          <w:p w:rsidR="00043D8B" w:rsidRPr="006458BF" w:rsidRDefault="00043D8B" w:rsidP="00833647">
            <w:pPr>
              <w:spacing w:after="0"/>
              <w:ind w:left="1"/>
              <w:rPr>
                <w:rFonts w:ascii="Times New Roman" w:hAnsi="Times New Roman"/>
                <w:b/>
                <w:sz w:val="20"/>
              </w:rPr>
            </w:pPr>
            <w:r w:rsidRPr="006458BF">
              <w:rPr>
                <w:rFonts w:ascii="Times New Roman" w:hAnsi="Times New Roman"/>
                <w:b/>
                <w:sz w:val="20"/>
              </w:rPr>
              <w:t>MS SR</w:t>
            </w:r>
          </w:p>
          <w:p w:rsidR="00043D8B" w:rsidRPr="006458BF" w:rsidRDefault="00043D8B" w:rsidP="00833647">
            <w:pPr>
              <w:spacing w:after="0"/>
              <w:ind w:left="1"/>
              <w:rPr>
                <w:rFonts w:ascii="Times New Roman" w:hAnsi="Times New Roman"/>
                <w:b/>
                <w:sz w:val="20"/>
              </w:rPr>
            </w:pPr>
            <w:r w:rsidRPr="006458BF">
              <w:rPr>
                <w:rFonts w:ascii="Times New Roman" w:hAnsi="Times New Roman"/>
                <w:b/>
                <w:sz w:val="20"/>
              </w:rPr>
              <w:t xml:space="preserve">MZ SR </w:t>
            </w:r>
          </w:p>
          <w:p w:rsidR="00043D8B" w:rsidRPr="006458BF" w:rsidRDefault="00043D8B" w:rsidP="00833647">
            <w:pPr>
              <w:spacing w:after="0"/>
              <w:ind w:left="1"/>
              <w:rPr>
                <w:rFonts w:ascii="Times New Roman" w:hAnsi="Times New Roman"/>
                <w:b/>
                <w:sz w:val="20"/>
              </w:rPr>
            </w:pPr>
            <w:r w:rsidRPr="006458BF">
              <w:rPr>
                <w:rFonts w:ascii="Times New Roman" w:hAnsi="Times New Roman"/>
                <w:b/>
                <w:sz w:val="20"/>
              </w:rPr>
              <w:t>MPSVaR SR</w:t>
            </w:r>
          </w:p>
        </w:tc>
        <w:tc>
          <w:tcPr>
            <w:tcW w:w="6289" w:type="dxa"/>
            <w:tcBorders>
              <w:top w:val="single" w:sz="4" w:space="0" w:color="000000"/>
              <w:left w:val="single" w:sz="4" w:space="0" w:color="000000"/>
              <w:bottom w:val="single" w:sz="4" w:space="0" w:color="000000"/>
              <w:right w:val="single" w:sz="4" w:space="0" w:color="000000"/>
            </w:tcBorders>
          </w:tcPr>
          <w:p w:rsidR="00043D8B" w:rsidRPr="00F915E0" w:rsidRDefault="00043D8B" w:rsidP="00833647">
            <w:pPr>
              <w:spacing w:after="0"/>
              <w:jc w:val="both"/>
              <w:rPr>
                <w:rFonts w:ascii="Times New Roman" w:hAnsi="Times New Roman"/>
                <w:b/>
                <w:sz w:val="20"/>
                <w:szCs w:val="20"/>
                <w:u w:val="single"/>
              </w:rPr>
            </w:pPr>
            <w:r w:rsidRPr="00F915E0">
              <w:rPr>
                <w:rFonts w:ascii="Times New Roman" w:hAnsi="Times New Roman"/>
                <w:b/>
                <w:sz w:val="20"/>
                <w:szCs w:val="20"/>
                <w:u w:val="single"/>
              </w:rPr>
              <w:t>Vysoká priorita</w:t>
            </w:r>
          </w:p>
          <w:p w:rsidR="00043D8B" w:rsidRDefault="00043D8B" w:rsidP="00833647">
            <w:pPr>
              <w:spacing w:after="0"/>
              <w:ind w:left="1"/>
              <w:jc w:val="both"/>
              <w:rPr>
                <w:rFonts w:ascii="Times New Roman" w:hAnsi="Times New Roman"/>
                <w:sz w:val="20"/>
                <w:szCs w:val="20"/>
              </w:rPr>
            </w:pPr>
            <w:r>
              <w:rPr>
                <w:rFonts w:ascii="Times New Roman" w:hAnsi="Times New Roman"/>
                <w:sz w:val="20"/>
                <w:szCs w:val="20"/>
              </w:rPr>
              <w:t>Nahradením doterajšej tzv. Procedurálnej smernice má návrh prispieť k harmonizácií postupov v konaní o azyle v celej Únii.</w:t>
            </w:r>
          </w:p>
          <w:p w:rsidR="00043D8B" w:rsidRDefault="00043D8B" w:rsidP="00833647">
            <w:pPr>
              <w:spacing w:after="0"/>
              <w:ind w:left="1"/>
              <w:jc w:val="both"/>
              <w:rPr>
                <w:rFonts w:ascii="Times New Roman" w:hAnsi="Times New Roman"/>
                <w:sz w:val="20"/>
              </w:rPr>
            </w:pPr>
            <w:r>
              <w:rPr>
                <w:rFonts w:ascii="Times New Roman" w:hAnsi="Times New Roman"/>
                <w:sz w:val="20"/>
              </w:rPr>
              <w:t>Vzhľadom na citlivosť nariadenia a jeho previazanosť s Dublinským nariadením nebola dosiahnutá zhoda na úrovni Rady.</w:t>
            </w:r>
          </w:p>
        </w:tc>
      </w:tr>
      <w:tr w:rsidR="00043D8B" w:rsidTr="00E63E2A">
        <w:tblPrEx>
          <w:tblCellMar>
            <w:top w:w="64" w:type="dxa"/>
            <w:right w:w="22" w:type="dxa"/>
          </w:tblCellMar>
        </w:tblPrEx>
        <w:trPr>
          <w:gridAfter w:val="1"/>
          <w:wAfter w:w="5619" w:type="dxa"/>
          <w:trHeight w:val="1265"/>
        </w:trPr>
        <w:tc>
          <w:tcPr>
            <w:tcW w:w="398" w:type="dxa"/>
            <w:gridSpan w:val="2"/>
            <w:vMerge w:val="restart"/>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pPr>
            <w:r>
              <w:rPr>
                <w:rFonts w:ascii="Times New Roman" w:hAnsi="Times New Roman"/>
                <w:sz w:val="20"/>
              </w:rPr>
              <w:t>80.</w:t>
            </w:r>
            <w:r>
              <w:rPr>
                <w:rFonts w:ascii="Arial" w:hAnsi="Arial" w:cs="Arial"/>
                <w:sz w:val="20"/>
              </w:rPr>
              <w:t xml:space="preserve"> </w:t>
            </w:r>
            <w:r>
              <w:rPr>
                <w:rFonts w:ascii="Times New Roman" w:hAnsi="Times New Roman"/>
                <w:sz w:val="20"/>
              </w:rPr>
              <w:t xml:space="preserve"> </w:t>
            </w:r>
          </w:p>
          <w:p w:rsidR="00043D8B" w:rsidRDefault="00043D8B" w:rsidP="00833647">
            <w:pPr>
              <w:spacing w:after="0"/>
              <w:ind w:right="43"/>
              <w:jc w:val="center"/>
            </w:pPr>
            <w:r>
              <w:rPr>
                <w:rFonts w:ascii="Times New Roman" w:hAnsi="Times New Roman"/>
                <w:sz w:val="20"/>
              </w:rPr>
              <w:t xml:space="preserve"> </w:t>
            </w:r>
          </w:p>
          <w:p w:rsidR="00043D8B" w:rsidRDefault="00043D8B" w:rsidP="00833647">
            <w:pPr>
              <w:spacing w:after="0"/>
              <w:ind w:left="120" w:right="163"/>
              <w:jc w:val="center"/>
            </w:pPr>
            <w:r>
              <w:rPr>
                <w:rFonts w:ascii="Times New Roman" w:hAnsi="Times New Roman"/>
                <w:sz w:val="20"/>
              </w:rPr>
              <w:t xml:space="preserve">  </w:t>
            </w:r>
          </w:p>
        </w:tc>
        <w:tc>
          <w:tcPr>
            <w:tcW w:w="2066" w:type="dxa"/>
            <w:gridSpan w:val="3"/>
            <w:vMerge w:val="restart"/>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pPr>
            <w:r>
              <w:rPr>
                <w:rFonts w:ascii="Times New Roman" w:hAnsi="Times New Roman"/>
                <w:sz w:val="20"/>
              </w:rPr>
              <w:t xml:space="preserve">Viacročný finančný rámec </w:t>
            </w:r>
          </w:p>
        </w:tc>
        <w:tc>
          <w:tcPr>
            <w:tcW w:w="4678"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 xml:space="preserve">Návrh NARIADENIA EURÓPSKEHO PARLAMENTU A RADY, ktorým sa ako súčasť Fondu pre integrované riadenie hraníc zriaďuje nástroj finančnej podpory na riadenie hraníc a víza COM(2018) 473 final 2018/0249 (COD)  12. 6. 2018 </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ind w:left="1"/>
              <w:rPr>
                <w:rFonts w:ascii="Times New Roman" w:hAnsi="Times New Roman"/>
                <w:b/>
                <w:sz w:val="20"/>
              </w:rPr>
            </w:pPr>
            <w:r w:rsidRPr="006458BF">
              <w:rPr>
                <w:rFonts w:ascii="Times New Roman" w:hAnsi="Times New Roman"/>
                <w:b/>
                <w:sz w:val="20"/>
              </w:rPr>
              <w:t>MV SR</w:t>
            </w:r>
            <w:r w:rsidRPr="006458BF">
              <w:rPr>
                <w:rFonts w:ascii="Times New Roman" w:hAnsi="Times New Roman"/>
                <w:b/>
                <w:sz w:val="20"/>
              </w:rPr>
              <w:br/>
            </w:r>
            <w:r>
              <w:rPr>
                <w:rFonts w:ascii="Times New Roman" w:hAnsi="Times New Roman"/>
                <w:b/>
                <w:sz w:val="20"/>
              </w:rPr>
              <w:t>MZVEZ SR</w:t>
            </w:r>
          </w:p>
        </w:tc>
        <w:tc>
          <w:tcPr>
            <w:tcW w:w="6289" w:type="dxa"/>
            <w:tcBorders>
              <w:top w:val="single" w:sz="4" w:space="0" w:color="000000"/>
              <w:left w:val="single" w:sz="4" w:space="0" w:color="000000"/>
              <w:bottom w:val="single" w:sz="4" w:space="0" w:color="000000"/>
              <w:right w:val="single" w:sz="4" w:space="0" w:color="000000"/>
            </w:tcBorders>
          </w:tcPr>
          <w:p w:rsidR="00043D8B" w:rsidRPr="00F915E0" w:rsidRDefault="00043D8B" w:rsidP="00833647">
            <w:pPr>
              <w:spacing w:after="0"/>
              <w:ind w:left="1"/>
              <w:jc w:val="both"/>
              <w:rPr>
                <w:rFonts w:ascii="Times New Roman" w:hAnsi="Times New Roman"/>
                <w:b/>
                <w:sz w:val="20"/>
                <w:szCs w:val="20"/>
                <w:u w:val="single"/>
              </w:rPr>
            </w:pPr>
            <w:r w:rsidRPr="00F915E0">
              <w:rPr>
                <w:rFonts w:ascii="Times New Roman" w:hAnsi="Times New Roman"/>
                <w:b/>
                <w:sz w:val="20"/>
                <w:szCs w:val="20"/>
                <w:u w:val="single"/>
              </w:rPr>
              <w:t>Vysoká priorita</w:t>
            </w:r>
          </w:p>
          <w:p w:rsidR="00043D8B" w:rsidRDefault="00043D8B" w:rsidP="00833647">
            <w:pPr>
              <w:spacing w:after="0"/>
              <w:ind w:left="1"/>
              <w:jc w:val="both"/>
              <w:rPr>
                <w:rFonts w:ascii="Times New Roman" w:hAnsi="Times New Roman"/>
                <w:sz w:val="20"/>
              </w:rPr>
            </w:pPr>
            <w:r>
              <w:rPr>
                <w:rFonts w:ascii="Times New Roman" w:hAnsi="Times New Roman"/>
                <w:sz w:val="20"/>
              </w:rPr>
              <w:t xml:space="preserve">SR víta zverejnenie návrhu nariadenia a jeho predloženie zo strany Európskej komisie vníma ako východisko </w:t>
            </w:r>
            <w:r>
              <w:rPr>
                <w:rFonts w:ascii="Times New Roman" w:hAnsi="Times New Roman"/>
                <w:bCs/>
                <w:sz w:val="20"/>
              </w:rPr>
              <w:t>pre ďalšiu diskusiu</w:t>
            </w:r>
            <w:r>
              <w:rPr>
                <w:rFonts w:ascii="Times New Roman" w:hAnsi="Times New Roman"/>
                <w:sz w:val="20"/>
              </w:rPr>
              <w:t xml:space="preserve"> medzi členskými štátmi EÚ, EK. Radou EÚ a Európskym parlamentom. Záujmom SR bude počas celého procesu negociácií viesť konštruktívnu diskusiu o povahe jednotlivých návrhov ustanovení tohto predpisu EÚ, detailne tento legislatívny návrh EÚ analyzovať a v procese vyjednávania presadzovať hlavné priority SR v oblasti integrovaného riadenia hraníc.</w:t>
            </w:r>
          </w:p>
          <w:p w:rsidR="00043D8B" w:rsidRDefault="00043D8B" w:rsidP="00833647">
            <w:pPr>
              <w:spacing w:after="0"/>
              <w:ind w:left="1"/>
              <w:jc w:val="both"/>
              <w:rPr>
                <w:rFonts w:ascii="Times New Roman" w:hAnsi="Times New Roman"/>
                <w:sz w:val="20"/>
              </w:rPr>
            </w:pPr>
            <w:r>
              <w:rPr>
                <w:rFonts w:ascii="Times New Roman" w:hAnsi="Times New Roman"/>
                <w:sz w:val="20"/>
                <w:szCs w:val="20"/>
              </w:rPr>
              <w:t>Rokovania prebiehajú na expertnej úrovni</w:t>
            </w:r>
          </w:p>
        </w:tc>
      </w:tr>
      <w:tr w:rsidR="00043D8B" w:rsidTr="00E63E2A">
        <w:tblPrEx>
          <w:tblCellMar>
            <w:top w:w="64" w:type="dxa"/>
            <w:right w:w="22" w:type="dxa"/>
          </w:tblCellMar>
        </w:tblPrEx>
        <w:trPr>
          <w:gridAfter w:val="1"/>
          <w:wAfter w:w="5619" w:type="dxa"/>
          <w:trHeight w:val="869"/>
        </w:trPr>
        <w:tc>
          <w:tcPr>
            <w:tcW w:w="398" w:type="dxa"/>
            <w:gridSpan w:val="2"/>
            <w:vMerge/>
            <w:tcBorders>
              <w:top w:val="nil"/>
              <w:left w:val="single" w:sz="4" w:space="0" w:color="000000"/>
              <w:bottom w:val="nil"/>
              <w:right w:val="single" w:sz="4" w:space="0" w:color="000000"/>
            </w:tcBorders>
          </w:tcPr>
          <w:p w:rsidR="00043D8B" w:rsidRDefault="00043D8B" w:rsidP="00833647">
            <w:pPr>
              <w:spacing w:after="0"/>
            </w:pPr>
          </w:p>
        </w:tc>
        <w:tc>
          <w:tcPr>
            <w:tcW w:w="2066" w:type="dxa"/>
            <w:gridSpan w:val="3"/>
            <w:vMerge/>
            <w:tcBorders>
              <w:top w:val="nil"/>
              <w:left w:val="single" w:sz="4" w:space="0" w:color="000000"/>
              <w:bottom w:val="nil"/>
              <w:right w:val="single" w:sz="4" w:space="0" w:color="000000"/>
            </w:tcBorders>
          </w:tcPr>
          <w:p w:rsidR="00043D8B" w:rsidRDefault="00043D8B" w:rsidP="00833647">
            <w:pPr>
              <w:spacing w:after="0"/>
            </w:pPr>
          </w:p>
        </w:tc>
        <w:tc>
          <w:tcPr>
            <w:tcW w:w="4678"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 xml:space="preserve">Návrh NARIADENIA EURÓPSKEHO PARLAMENTU A RADY, ktorým sa zriaďuje Fond pre azyl a migráciu COM(2018) 471 final  2018/0248 (COD)  12. 6. 2018 </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ind w:left="1"/>
              <w:rPr>
                <w:rFonts w:ascii="Times New Roman" w:hAnsi="Times New Roman"/>
                <w:b/>
                <w:sz w:val="20"/>
              </w:rPr>
            </w:pPr>
            <w:r w:rsidRPr="006458BF">
              <w:rPr>
                <w:rFonts w:ascii="Times New Roman" w:hAnsi="Times New Roman"/>
                <w:b/>
                <w:sz w:val="20"/>
              </w:rPr>
              <w:t>MV SR</w:t>
            </w:r>
          </w:p>
        </w:tc>
        <w:tc>
          <w:tcPr>
            <w:tcW w:w="6289" w:type="dxa"/>
            <w:tcBorders>
              <w:top w:val="single" w:sz="4" w:space="0" w:color="000000"/>
              <w:left w:val="single" w:sz="4" w:space="0" w:color="000000"/>
              <w:bottom w:val="single" w:sz="4" w:space="0" w:color="000000"/>
              <w:right w:val="single" w:sz="4" w:space="0" w:color="000000"/>
            </w:tcBorders>
          </w:tcPr>
          <w:p w:rsidR="00043D8B" w:rsidRPr="00F915E0" w:rsidRDefault="00043D8B" w:rsidP="00833647">
            <w:pPr>
              <w:spacing w:after="0"/>
              <w:ind w:left="1"/>
              <w:rPr>
                <w:rFonts w:ascii="Times New Roman" w:hAnsi="Times New Roman"/>
                <w:b/>
                <w:sz w:val="20"/>
                <w:szCs w:val="20"/>
                <w:u w:val="single"/>
              </w:rPr>
            </w:pPr>
            <w:r w:rsidRPr="00F915E0">
              <w:rPr>
                <w:rFonts w:ascii="Times New Roman" w:hAnsi="Times New Roman"/>
                <w:b/>
                <w:sz w:val="20"/>
                <w:szCs w:val="20"/>
                <w:u w:val="single"/>
              </w:rPr>
              <w:t>Vysoká priorita</w:t>
            </w:r>
          </w:p>
          <w:p w:rsidR="00043D8B" w:rsidRDefault="00043D8B" w:rsidP="00833647">
            <w:pPr>
              <w:spacing w:after="0"/>
              <w:ind w:left="1"/>
              <w:rPr>
                <w:rFonts w:ascii="Times New Roman" w:hAnsi="Times New Roman"/>
                <w:sz w:val="20"/>
                <w:szCs w:val="20"/>
              </w:rPr>
            </w:pPr>
            <w:r>
              <w:rPr>
                <w:rFonts w:ascii="Times New Roman" w:hAnsi="Times New Roman"/>
                <w:sz w:val="20"/>
                <w:szCs w:val="20"/>
              </w:rPr>
              <w:t>SR víta zverejnenie návrhu nariadenia AMF a jeho predloženie zo strany Komisie vníma ako východisko pre ďalšiu diskusiu medzi členskými štátmi EÚ, Komisiou, Radou EÚ a Európskym parlamentom. Záujmom SR bude počas celého procesu negociácií viesť konštruktívnu diskusiu o povahe jednotlivých návrhov ustanovení tohto predpisu EÚ, detailne tento legislatívny návrh EÚ analyzovať a v procese vyjednávania presadzovať hlavné priority SR v oblasti migrácie, integrácie a návratov.</w:t>
            </w:r>
          </w:p>
          <w:p w:rsidR="00043D8B" w:rsidRDefault="00043D8B" w:rsidP="00833647">
            <w:pPr>
              <w:spacing w:after="0"/>
              <w:ind w:left="1"/>
              <w:rPr>
                <w:rFonts w:ascii="Times New Roman" w:hAnsi="Times New Roman"/>
                <w:sz w:val="20"/>
              </w:rPr>
            </w:pPr>
            <w:r>
              <w:rPr>
                <w:rFonts w:ascii="Times New Roman" w:hAnsi="Times New Roman"/>
                <w:sz w:val="20"/>
                <w:szCs w:val="20"/>
              </w:rPr>
              <w:t>Rokovania prebiehajú na expertnej úrovni</w:t>
            </w:r>
          </w:p>
        </w:tc>
      </w:tr>
      <w:tr w:rsidR="00043D8B" w:rsidTr="00E63E2A">
        <w:tblPrEx>
          <w:tblCellMar>
            <w:top w:w="64" w:type="dxa"/>
            <w:right w:w="22" w:type="dxa"/>
          </w:tblCellMar>
        </w:tblPrEx>
        <w:trPr>
          <w:gridAfter w:val="1"/>
          <w:wAfter w:w="5619" w:type="dxa"/>
          <w:trHeight w:val="870"/>
        </w:trPr>
        <w:tc>
          <w:tcPr>
            <w:tcW w:w="398" w:type="dxa"/>
            <w:gridSpan w:val="2"/>
            <w:vMerge/>
            <w:tcBorders>
              <w:top w:val="nil"/>
              <w:left w:val="single" w:sz="4" w:space="0" w:color="000000"/>
              <w:bottom w:val="single" w:sz="4" w:space="0" w:color="000000"/>
              <w:right w:val="single" w:sz="4" w:space="0" w:color="000000"/>
            </w:tcBorders>
          </w:tcPr>
          <w:p w:rsidR="00043D8B" w:rsidRDefault="00043D8B" w:rsidP="00833647">
            <w:pPr>
              <w:spacing w:after="0"/>
            </w:pPr>
          </w:p>
        </w:tc>
        <w:tc>
          <w:tcPr>
            <w:tcW w:w="2066" w:type="dxa"/>
            <w:gridSpan w:val="3"/>
            <w:vMerge/>
            <w:tcBorders>
              <w:top w:val="nil"/>
              <w:left w:val="single" w:sz="4" w:space="0" w:color="000000"/>
              <w:bottom w:val="single" w:sz="4" w:space="0" w:color="000000"/>
              <w:right w:val="single" w:sz="4" w:space="0" w:color="000000"/>
            </w:tcBorders>
          </w:tcPr>
          <w:p w:rsidR="00043D8B" w:rsidRDefault="00043D8B" w:rsidP="00833647">
            <w:pPr>
              <w:spacing w:after="0"/>
            </w:pPr>
          </w:p>
        </w:tc>
        <w:tc>
          <w:tcPr>
            <w:tcW w:w="4678"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 xml:space="preserve">Návrh NARIADENIA EURÓPSKEHO PARLAMENTU A RADY, ktorým sa zriaďuje Fond pre vnútornú bezpečnosť COM(2018) 472 final 2018/0250 (COD)  13. 6. 2018 </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ind w:left="1"/>
              <w:rPr>
                <w:rFonts w:ascii="Times New Roman" w:hAnsi="Times New Roman"/>
                <w:b/>
                <w:sz w:val="20"/>
              </w:rPr>
            </w:pPr>
            <w:r w:rsidRPr="006458BF">
              <w:rPr>
                <w:rFonts w:ascii="Times New Roman" w:hAnsi="Times New Roman"/>
                <w:b/>
                <w:sz w:val="20"/>
              </w:rPr>
              <w:t>MV SR</w:t>
            </w:r>
          </w:p>
        </w:tc>
        <w:tc>
          <w:tcPr>
            <w:tcW w:w="6289" w:type="dxa"/>
            <w:tcBorders>
              <w:top w:val="single" w:sz="4" w:space="0" w:color="000000"/>
              <w:left w:val="single" w:sz="4" w:space="0" w:color="000000"/>
              <w:bottom w:val="single" w:sz="4" w:space="0" w:color="000000"/>
              <w:right w:val="single" w:sz="4" w:space="0" w:color="000000"/>
            </w:tcBorders>
          </w:tcPr>
          <w:p w:rsidR="00043D8B" w:rsidRPr="00F915E0" w:rsidRDefault="00043D8B" w:rsidP="00833647">
            <w:pPr>
              <w:spacing w:after="0"/>
              <w:ind w:left="1"/>
              <w:jc w:val="both"/>
              <w:rPr>
                <w:rFonts w:ascii="Times New Roman" w:hAnsi="Times New Roman"/>
                <w:b/>
                <w:sz w:val="20"/>
                <w:szCs w:val="20"/>
                <w:u w:val="single"/>
              </w:rPr>
            </w:pPr>
            <w:r w:rsidRPr="00F915E0">
              <w:rPr>
                <w:rFonts w:ascii="Times New Roman" w:hAnsi="Times New Roman"/>
                <w:b/>
                <w:sz w:val="20"/>
                <w:szCs w:val="20"/>
                <w:u w:val="single"/>
              </w:rPr>
              <w:t>Vysoká priorita</w:t>
            </w:r>
          </w:p>
          <w:p w:rsidR="00043D8B" w:rsidRDefault="00043D8B" w:rsidP="00833647">
            <w:pPr>
              <w:spacing w:after="0"/>
              <w:ind w:left="1"/>
              <w:jc w:val="both"/>
              <w:rPr>
                <w:rFonts w:ascii="Times New Roman" w:hAnsi="Times New Roman"/>
                <w:sz w:val="20"/>
              </w:rPr>
            </w:pPr>
            <w:r>
              <w:rPr>
                <w:rFonts w:ascii="Times New Roman" w:hAnsi="Times New Roman"/>
                <w:sz w:val="20"/>
              </w:rPr>
              <w:t>SR víta zverejnenie návrhu nariadenia ISF a jeho predloženie zo strany Európskej komisie vníma ako východisko pre ďalšiu diskusiu medzi členskými štátmi EÚ, EK. Radou EÚ a Európskym parlamentom. Záujmom SR bude počas celého procesu negociácií viesť konštruktívnu diskusiu o povahe jednotlivých návrhov ustanovení tohto predpisu EÚ, detailne tento legislatívny návrh EÚ analyzovať a v procese vyjednávania presadzovať hlavné priority SR v oblasti bezpečnosti.</w:t>
            </w:r>
            <w:r>
              <w:rPr>
                <w:rFonts w:ascii="Times New Roman" w:hAnsi="Times New Roman"/>
                <w:sz w:val="20"/>
                <w:szCs w:val="20"/>
              </w:rPr>
              <w:t>Rokovania prebiehajú na expertnej úrovni.</w:t>
            </w:r>
          </w:p>
        </w:tc>
      </w:tr>
      <w:tr w:rsidR="00B1660F" w:rsidTr="00B1660F">
        <w:tblPrEx>
          <w:tblCellMar>
            <w:top w:w="64" w:type="dxa"/>
            <w:right w:w="22" w:type="dxa"/>
          </w:tblCellMar>
        </w:tblPrEx>
        <w:trPr>
          <w:gridAfter w:val="1"/>
          <w:wAfter w:w="5619" w:type="dxa"/>
          <w:trHeight w:val="366"/>
        </w:trPr>
        <w:tc>
          <w:tcPr>
            <w:tcW w:w="14936" w:type="dxa"/>
            <w:gridSpan w:val="8"/>
            <w:tcBorders>
              <w:top w:val="single" w:sz="4" w:space="0" w:color="000000"/>
              <w:left w:val="single" w:sz="4" w:space="0" w:color="000000"/>
              <w:bottom w:val="single" w:sz="4" w:space="0" w:color="000000"/>
              <w:right w:val="single" w:sz="4" w:space="0" w:color="000000"/>
            </w:tcBorders>
            <w:shd w:val="clear" w:color="auto" w:fill="92D050"/>
          </w:tcPr>
          <w:p w:rsidR="00B1660F" w:rsidRDefault="00B1660F" w:rsidP="00043D8B">
            <w:pPr>
              <w:rPr>
                <w:rFonts w:ascii="Times New Roman" w:hAnsi="Times New Roman"/>
                <w:b/>
                <w:sz w:val="20"/>
              </w:rPr>
            </w:pPr>
            <w:r>
              <w:rPr>
                <w:rFonts w:ascii="Times New Roman" w:hAnsi="Times New Roman"/>
                <w:b/>
                <w:sz w:val="20"/>
              </w:rPr>
              <w:t>Silnejší globálny aktér</w:t>
            </w:r>
            <w:r>
              <w:rPr>
                <w:rFonts w:ascii="Times New Roman" w:hAnsi="Times New Roman"/>
                <w:sz w:val="20"/>
              </w:rPr>
              <w:t xml:space="preserve"> </w:t>
            </w:r>
          </w:p>
        </w:tc>
      </w:tr>
      <w:tr w:rsidR="00043D8B" w:rsidTr="00E63E2A">
        <w:tblPrEx>
          <w:tblCellMar>
            <w:top w:w="64" w:type="dxa"/>
            <w:right w:w="22" w:type="dxa"/>
          </w:tblCellMar>
        </w:tblPrEx>
        <w:trPr>
          <w:gridAfter w:val="1"/>
          <w:wAfter w:w="5619" w:type="dxa"/>
          <w:trHeight w:val="905"/>
        </w:trPr>
        <w:tc>
          <w:tcPr>
            <w:tcW w:w="398" w:type="dxa"/>
            <w:gridSpan w:val="2"/>
            <w:vMerge w:val="restart"/>
            <w:tcBorders>
              <w:top w:val="single" w:sz="4" w:space="0" w:color="000000"/>
              <w:left w:val="single" w:sz="4" w:space="0" w:color="000000"/>
              <w:bottom w:val="single" w:sz="34" w:space="0" w:color="92D050"/>
              <w:right w:val="single" w:sz="4" w:space="0" w:color="000000"/>
            </w:tcBorders>
          </w:tcPr>
          <w:p w:rsidR="00043D8B" w:rsidRDefault="00043D8B" w:rsidP="00833647">
            <w:pPr>
              <w:spacing w:after="0"/>
            </w:pPr>
            <w:r>
              <w:rPr>
                <w:rFonts w:ascii="Times New Roman" w:hAnsi="Times New Roman"/>
                <w:sz w:val="20"/>
              </w:rPr>
              <w:t>81.</w:t>
            </w:r>
            <w:r>
              <w:rPr>
                <w:rFonts w:ascii="Arial" w:hAnsi="Arial" w:cs="Arial"/>
                <w:sz w:val="20"/>
              </w:rPr>
              <w:t xml:space="preserve"> </w:t>
            </w:r>
            <w:r>
              <w:rPr>
                <w:rFonts w:ascii="Times New Roman" w:hAnsi="Times New Roman"/>
                <w:sz w:val="20"/>
              </w:rPr>
              <w:t xml:space="preserve"> </w:t>
            </w:r>
          </w:p>
          <w:p w:rsidR="00043D8B" w:rsidRDefault="00043D8B" w:rsidP="00833647">
            <w:pPr>
              <w:spacing w:after="0"/>
              <w:ind w:right="43"/>
              <w:jc w:val="center"/>
            </w:pPr>
            <w:r>
              <w:rPr>
                <w:rFonts w:ascii="Times New Roman" w:hAnsi="Times New Roman"/>
                <w:sz w:val="20"/>
              </w:rPr>
              <w:t xml:space="preserve"> </w:t>
            </w:r>
          </w:p>
          <w:p w:rsidR="00043D8B" w:rsidRDefault="00043D8B" w:rsidP="00833647">
            <w:pPr>
              <w:spacing w:after="0"/>
              <w:ind w:right="43"/>
              <w:jc w:val="center"/>
            </w:pPr>
            <w:r>
              <w:rPr>
                <w:rFonts w:ascii="Times New Roman" w:hAnsi="Times New Roman"/>
                <w:sz w:val="20"/>
              </w:rPr>
              <w:t xml:space="preserve"> </w:t>
            </w:r>
          </w:p>
          <w:p w:rsidR="00043D8B" w:rsidRDefault="00043D8B" w:rsidP="00833647">
            <w:pPr>
              <w:spacing w:after="0"/>
              <w:ind w:right="43"/>
              <w:jc w:val="center"/>
            </w:pPr>
            <w:r>
              <w:rPr>
                <w:rFonts w:ascii="Times New Roman" w:hAnsi="Times New Roman"/>
                <w:sz w:val="20"/>
              </w:rPr>
              <w:t xml:space="preserve"> </w:t>
            </w:r>
          </w:p>
          <w:p w:rsidR="00043D8B" w:rsidRDefault="00043D8B" w:rsidP="00833647">
            <w:pPr>
              <w:spacing w:after="0"/>
              <w:ind w:right="43"/>
              <w:jc w:val="center"/>
            </w:pPr>
            <w:r>
              <w:rPr>
                <w:rFonts w:ascii="Times New Roman" w:hAnsi="Times New Roman"/>
                <w:sz w:val="20"/>
              </w:rPr>
              <w:t xml:space="preserve"> </w:t>
            </w:r>
          </w:p>
          <w:p w:rsidR="00043D8B" w:rsidRDefault="00043D8B" w:rsidP="00833647">
            <w:pPr>
              <w:spacing w:after="0"/>
              <w:ind w:right="43"/>
              <w:jc w:val="center"/>
            </w:pPr>
            <w:r>
              <w:rPr>
                <w:rFonts w:ascii="Times New Roman" w:hAnsi="Times New Roman"/>
                <w:sz w:val="20"/>
              </w:rPr>
              <w:t xml:space="preserve"> </w:t>
            </w:r>
          </w:p>
        </w:tc>
        <w:tc>
          <w:tcPr>
            <w:tcW w:w="2066" w:type="dxa"/>
            <w:gridSpan w:val="3"/>
            <w:vMerge w:val="restart"/>
            <w:tcBorders>
              <w:top w:val="single" w:sz="4" w:space="0" w:color="000000"/>
              <w:left w:val="single" w:sz="4" w:space="0" w:color="000000"/>
              <w:bottom w:val="single" w:sz="34" w:space="0" w:color="92D050"/>
              <w:right w:val="single" w:sz="4" w:space="0" w:color="000000"/>
            </w:tcBorders>
          </w:tcPr>
          <w:p w:rsidR="00043D8B" w:rsidRDefault="00043D8B" w:rsidP="00833647">
            <w:pPr>
              <w:spacing w:after="0"/>
              <w:ind w:left="1"/>
            </w:pPr>
            <w:r>
              <w:rPr>
                <w:rFonts w:ascii="Times New Roman" w:hAnsi="Times New Roman"/>
                <w:sz w:val="20"/>
              </w:rPr>
              <w:t xml:space="preserve">Viacročný finančný rámec </w:t>
            </w:r>
          </w:p>
        </w:tc>
        <w:tc>
          <w:tcPr>
            <w:tcW w:w="4678"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 xml:space="preserve">Návrh NARIADENIA EURÓPSKEHO PARLAMENTU A RADY, ktorým sa ako súčasť Fondu pre integrované riadenie hraníc zriaďuje nástroj finančnej podpory na vybavenie na colné kontroly COM(2018) 474 final 2018/0258 (COD)  12. 6. 2018 </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ind w:left="1"/>
              <w:rPr>
                <w:rFonts w:ascii="Times New Roman" w:hAnsi="Times New Roman"/>
                <w:b/>
                <w:sz w:val="20"/>
              </w:rPr>
            </w:pPr>
          </w:p>
          <w:p w:rsidR="00043D8B" w:rsidRPr="006458BF" w:rsidRDefault="00043D8B" w:rsidP="00833647">
            <w:pPr>
              <w:spacing w:after="0"/>
              <w:ind w:left="1"/>
              <w:rPr>
                <w:rFonts w:ascii="Times New Roman" w:hAnsi="Times New Roman"/>
                <w:b/>
                <w:sz w:val="20"/>
              </w:rPr>
            </w:pPr>
            <w:r w:rsidRPr="006458BF">
              <w:rPr>
                <w:rFonts w:ascii="Times New Roman" w:hAnsi="Times New Roman"/>
                <w:b/>
                <w:sz w:val="20"/>
              </w:rPr>
              <w:t>MF SR</w:t>
            </w:r>
          </w:p>
        </w:tc>
        <w:tc>
          <w:tcPr>
            <w:tcW w:w="6289" w:type="dxa"/>
            <w:tcBorders>
              <w:top w:val="single" w:sz="4" w:space="0" w:color="000000"/>
              <w:left w:val="single" w:sz="4" w:space="0" w:color="000000"/>
              <w:bottom w:val="single" w:sz="4" w:space="0" w:color="000000"/>
              <w:right w:val="single" w:sz="4" w:space="0" w:color="000000"/>
            </w:tcBorders>
          </w:tcPr>
          <w:p w:rsidR="00043D8B" w:rsidRPr="00880B33" w:rsidRDefault="00043D8B" w:rsidP="00833647">
            <w:pPr>
              <w:spacing w:after="0"/>
              <w:ind w:left="4" w:right="49"/>
              <w:jc w:val="both"/>
              <w:rPr>
                <w:rFonts w:ascii="Times New Roman" w:hAnsi="Times New Roman"/>
                <w:b/>
                <w:kern w:val="2"/>
                <w:sz w:val="20"/>
                <w:szCs w:val="20"/>
                <w:u w:val="single"/>
              </w:rPr>
            </w:pPr>
            <w:r w:rsidRPr="00880B33">
              <w:rPr>
                <w:rFonts w:ascii="Times New Roman" w:hAnsi="Times New Roman"/>
                <w:b/>
                <w:kern w:val="2"/>
                <w:sz w:val="20"/>
                <w:szCs w:val="20"/>
                <w:u w:val="single"/>
              </w:rPr>
              <w:t>Vysoká priorita</w:t>
            </w:r>
          </w:p>
          <w:p w:rsidR="00043D8B" w:rsidRDefault="00043D8B" w:rsidP="00833647">
            <w:pPr>
              <w:spacing w:after="0"/>
              <w:ind w:left="1"/>
              <w:rPr>
                <w:rFonts w:ascii="Times New Roman" w:hAnsi="Times New Roman"/>
                <w:sz w:val="20"/>
              </w:rPr>
            </w:pPr>
            <w:r w:rsidRPr="00880B33">
              <w:rPr>
                <w:rFonts w:ascii="Times New Roman" w:hAnsi="Times New Roman"/>
                <w:kern w:val="2"/>
                <w:sz w:val="20"/>
                <w:szCs w:val="20"/>
              </w:rPr>
              <w:t>SR podporuje návrh nariadenia.</w:t>
            </w:r>
          </w:p>
        </w:tc>
      </w:tr>
      <w:tr w:rsidR="00043D8B" w:rsidTr="00E63E2A">
        <w:tblPrEx>
          <w:tblCellMar>
            <w:top w:w="64" w:type="dxa"/>
            <w:right w:w="22" w:type="dxa"/>
          </w:tblCellMar>
        </w:tblPrEx>
        <w:trPr>
          <w:gridAfter w:val="1"/>
          <w:wAfter w:w="5619" w:type="dxa"/>
          <w:trHeight w:val="869"/>
        </w:trPr>
        <w:tc>
          <w:tcPr>
            <w:tcW w:w="398" w:type="dxa"/>
            <w:gridSpan w:val="2"/>
            <w:vMerge/>
            <w:tcBorders>
              <w:top w:val="nil"/>
              <w:left w:val="single" w:sz="4" w:space="0" w:color="000000"/>
              <w:bottom w:val="nil"/>
              <w:right w:val="single" w:sz="4" w:space="0" w:color="000000"/>
            </w:tcBorders>
          </w:tcPr>
          <w:p w:rsidR="00043D8B" w:rsidRDefault="00043D8B" w:rsidP="00833647">
            <w:pPr>
              <w:spacing w:after="0"/>
            </w:pPr>
          </w:p>
        </w:tc>
        <w:tc>
          <w:tcPr>
            <w:tcW w:w="2066" w:type="dxa"/>
            <w:gridSpan w:val="3"/>
            <w:vMerge/>
            <w:tcBorders>
              <w:top w:val="nil"/>
              <w:left w:val="single" w:sz="4" w:space="0" w:color="000000"/>
              <w:bottom w:val="nil"/>
              <w:right w:val="single" w:sz="4" w:space="0" w:color="000000"/>
            </w:tcBorders>
          </w:tcPr>
          <w:p w:rsidR="00043D8B" w:rsidRDefault="00043D8B" w:rsidP="00833647">
            <w:pPr>
              <w:spacing w:after="0"/>
            </w:pPr>
          </w:p>
        </w:tc>
        <w:tc>
          <w:tcPr>
            <w:tcW w:w="4678"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 xml:space="preserve"> Návrh NARIADENIA EURÓPSKEHO PARLAMENTU A RADY, ktorým sa zriaďuje Nástroj susedstva a rozvojovej a medzinárodnej spolupráce COM(2018) 460 final 2018/0243 (COD)  14. 6. 2018</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ind w:left="1"/>
              <w:rPr>
                <w:rFonts w:ascii="Times New Roman" w:hAnsi="Times New Roman"/>
                <w:b/>
                <w:sz w:val="20"/>
              </w:rPr>
            </w:pPr>
            <w:r>
              <w:rPr>
                <w:rFonts w:ascii="Times New Roman" w:hAnsi="Times New Roman"/>
                <w:b/>
                <w:sz w:val="20"/>
              </w:rPr>
              <w:t>MZVEZ SR</w:t>
            </w:r>
          </w:p>
          <w:p w:rsidR="00043D8B" w:rsidRPr="006458BF" w:rsidRDefault="00043D8B" w:rsidP="00833647">
            <w:pPr>
              <w:spacing w:after="0"/>
              <w:ind w:left="1"/>
              <w:rPr>
                <w:rFonts w:ascii="Times New Roman" w:hAnsi="Times New Roman"/>
                <w:b/>
                <w:sz w:val="20"/>
              </w:rPr>
            </w:pPr>
            <w:r w:rsidRPr="006458BF">
              <w:rPr>
                <w:rFonts w:ascii="Times New Roman" w:hAnsi="Times New Roman"/>
                <w:b/>
                <w:sz w:val="20"/>
              </w:rPr>
              <w:t>MF SR</w:t>
            </w:r>
          </w:p>
        </w:tc>
        <w:tc>
          <w:tcPr>
            <w:tcW w:w="6289" w:type="dxa"/>
            <w:tcBorders>
              <w:top w:val="single" w:sz="4" w:space="0" w:color="000000"/>
              <w:left w:val="single" w:sz="4" w:space="0" w:color="000000"/>
              <w:bottom w:val="single" w:sz="4" w:space="0" w:color="000000"/>
              <w:right w:val="single" w:sz="4" w:space="0" w:color="000000"/>
            </w:tcBorders>
          </w:tcPr>
          <w:p w:rsidR="00043D8B" w:rsidRPr="0047673C" w:rsidRDefault="00043D8B" w:rsidP="00833647">
            <w:pPr>
              <w:spacing w:after="0"/>
              <w:ind w:left="1"/>
              <w:jc w:val="both"/>
              <w:rPr>
                <w:rFonts w:ascii="Times New Roman" w:hAnsi="Times New Roman"/>
                <w:b/>
                <w:kern w:val="2"/>
                <w:sz w:val="20"/>
                <w:szCs w:val="20"/>
                <w:u w:val="single"/>
              </w:rPr>
            </w:pPr>
            <w:r w:rsidRPr="0047673C">
              <w:rPr>
                <w:rFonts w:ascii="Times New Roman" w:hAnsi="Times New Roman"/>
                <w:b/>
                <w:kern w:val="2"/>
                <w:sz w:val="20"/>
                <w:szCs w:val="20"/>
                <w:u w:val="single"/>
              </w:rPr>
              <w:t xml:space="preserve">Vysoká dôležitosť </w:t>
            </w:r>
          </w:p>
          <w:p w:rsidR="00043D8B" w:rsidRPr="00160895" w:rsidRDefault="00043D8B" w:rsidP="00833647">
            <w:pPr>
              <w:spacing w:after="0"/>
              <w:ind w:left="1"/>
              <w:jc w:val="both"/>
              <w:rPr>
                <w:rFonts w:ascii="Times New Roman" w:hAnsi="Times New Roman"/>
                <w:kern w:val="2"/>
                <w:sz w:val="20"/>
                <w:szCs w:val="20"/>
              </w:rPr>
            </w:pPr>
            <w:r w:rsidRPr="0047673C">
              <w:rPr>
                <w:rFonts w:ascii="Times New Roman" w:hAnsi="Times New Roman"/>
                <w:kern w:val="2"/>
                <w:sz w:val="20"/>
                <w:szCs w:val="20"/>
              </w:rPr>
              <w:t>SR v kontexte súčasného bezpečnostného prostredia navrhované navýšenie rozpočtu pre vonkajšie činnosti podporuje. V oblasti zefektívnenia a zjednodušenia architektúry vonkajších nástrojov má návrh na vytvorenie nového Nástroja pre susedstvo, rozvoj a medzinárodnú spolu</w:t>
            </w:r>
            <w:r>
              <w:rPr>
                <w:rFonts w:ascii="Times New Roman" w:hAnsi="Times New Roman"/>
                <w:kern w:val="2"/>
                <w:sz w:val="20"/>
                <w:szCs w:val="20"/>
              </w:rPr>
              <w:t xml:space="preserve">prácu (NDICI) pridanú hodnotu. </w:t>
            </w:r>
            <w:r w:rsidRPr="0047673C">
              <w:rPr>
                <w:rFonts w:ascii="Times New Roman" w:hAnsi="Times New Roman"/>
                <w:kern w:val="2"/>
                <w:sz w:val="20"/>
                <w:szCs w:val="20"/>
              </w:rPr>
              <w:t>SR však zastáva stanovisko, že Nástroj európskeho susedstva (ENI) by mal ostať samostatným finančným nástrojom v celkovej architektúre mechanizmov týkajúcich sa kapitoly VI - Susedstvo a Svet v rámci VFR 2012-2027. Jeho začlenenie do globálneho fondu v podobe NDICI by vyslalo negatívny politický signál pre krajiny v našom susedstve a najmä by zatienilo prioritné vzťahy k týmito regiónmi, ktoré uvádza aj Globálna st</w:t>
            </w:r>
            <w:r>
              <w:rPr>
                <w:rFonts w:ascii="Times New Roman" w:hAnsi="Times New Roman"/>
                <w:kern w:val="2"/>
                <w:sz w:val="20"/>
                <w:szCs w:val="20"/>
              </w:rPr>
              <w:t xml:space="preserve">ratégia EÚ. </w:t>
            </w:r>
            <w:r w:rsidRPr="0047673C">
              <w:rPr>
                <w:rFonts w:ascii="Times New Roman" w:hAnsi="Times New Roman"/>
                <w:kern w:val="2"/>
                <w:sz w:val="20"/>
                <w:szCs w:val="20"/>
              </w:rPr>
              <w:t>Zvažované zahrnutie Európskeho rozvojového fondu (EDF) do rozpočtu EÚ by viedlo k značnému navýšeniu povinného príspevku SR. Je nutné zvážiť a vyhodnotiť dopady alternatív postavenia EDF mimo, alebo v rámci rozpočtu, a to najmä v kontexte celkovej výšky rozpočtu EÚ.</w:t>
            </w:r>
          </w:p>
        </w:tc>
      </w:tr>
      <w:tr w:rsidR="00043D8B" w:rsidTr="00E63E2A">
        <w:tblPrEx>
          <w:tblCellMar>
            <w:top w:w="64" w:type="dxa"/>
            <w:right w:w="22" w:type="dxa"/>
          </w:tblCellMar>
        </w:tblPrEx>
        <w:trPr>
          <w:gridAfter w:val="1"/>
          <w:wAfter w:w="5619" w:type="dxa"/>
          <w:trHeight w:val="871"/>
        </w:trPr>
        <w:tc>
          <w:tcPr>
            <w:tcW w:w="398" w:type="dxa"/>
            <w:gridSpan w:val="2"/>
            <w:vMerge/>
            <w:tcBorders>
              <w:top w:val="nil"/>
              <w:left w:val="single" w:sz="4" w:space="0" w:color="000000"/>
              <w:bottom w:val="nil"/>
              <w:right w:val="single" w:sz="4" w:space="0" w:color="000000"/>
            </w:tcBorders>
          </w:tcPr>
          <w:p w:rsidR="00043D8B" w:rsidRDefault="00043D8B" w:rsidP="00833647">
            <w:pPr>
              <w:spacing w:after="0"/>
            </w:pPr>
          </w:p>
        </w:tc>
        <w:tc>
          <w:tcPr>
            <w:tcW w:w="2066" w:type="dxa"/>
            <w:gridSpan w:val="3"/>
            <w:vMerge/>
            <w:tcBorders>
              <w:top w:val="nil"/>
              <w:left w:val="single" w:sz="4" w:space="0" w:color="000000"/>
              <w:bottom w:val="nil"/>
              <w:right w:val="single" w:sz="4" w:space="0" w:color="000000"/>
            </w:tcBorders>
          </w:tcPr>
          <w:p w:rsidR="00043D8B" w:rsidRDefault="00043D8B" w:rsidP="00833647">
            <w:pPr>
              <w:spacing w:after="0"/>
            </w:pPr>
          </w:p>
        </w:tc>
        <w:tc>
          <w:tcPr>
            <w:tcW w:w="4678"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line="257" w:lineRule="auto"/>
              <w:ind w:left="1"/>
              <w:jc w:val="both"/>
            </w:pPr>
            <w:r>
              <w:rPr>
                <w:rFonts w:ascii="Times New Roman" w:hAnsi="Times New Roman"/>
                <w:sz w:val="20"/>
              </w:rPr>
              <w:t xml:space="preserve"> Návrh ROZHODNUTIA RADY o pridružení zámorských krajín a území k Európskej únii vrátane vzťahov medzi Európskou úniou na jednej strane a Grónskom a Dánskym kráľovstvom na strane druhej </w:t>
            </w:r>
          </w:p>
          <w:p w:rsidR="00043D8B" w:rsidRDefault="00043D8B" w:rsidP="00D15EE0">
            <w:pPr>
              <w:spacing w:after="0"/>
              <w:ind w:left="1"/>
              <w:jc w:val="both"/>
            </w:pPr>
            <w:r>
              <w:rPr>
                <w:rFonts w:ascii="Times New Roman" w:hAnsi="Times New Roman"/>
                <w:sz w:val="20"/>
              </w:rPr>
              <w:t xml:space="preserve">(„rozhodnutie o pridružení zámoria“) COM(2018) 461 final 2018/0244 (CNS)  </w:t>
            </w:r>
          </w:p>
          <w:p w:rsidR="00043D8B" w:rsidRDefault="00043D8B" w:rsidP="00D15EE0">
            <w:pPr>
              <w:spacing w:after="0"/>
              <w:ind w:left="1"/>
              <w:jc w:val="both"/>
            </w:pPr>
            <w:r>
              <w:rPr>
                <w:rFonts w:ascii="Times New Roman" w:hAnsi="Times New Roman"/>
                <w:sz w:val="20"/>
              </w:rPr>
              <w:t>14. 6. 2018</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ind w:left="1"/>
              <w:rPr>
                <w:rFonts w:ascii="Times New Roman" w:hAnsi="Times New Roman"/>
                <w:b/>
                <w:sz w:val="20"/>
              </w:rPr>
            </w:pPr>
            <w:r>
              <w:rPr>
                <w:rFonts w:ascii="Times New Roman" w:hAnsi="Times New Roman"/>
                <w:b/>
                <w:sz w:val="20"/>
              </w:rPr>
              <w:t>MZVEZ SR</w:t>
            </w:r>
          </w:p>
          <w:p w:rsidR="00043D8B" w:rsidRPr="006458BF" w:rsidRDefault="00043D8B" w:rsidP="00833647">
            <w:pPr>
              <w:spacing w:after="0"/>
              <w:ind w:left="1"/>
              <w:rPr>
                <w:rFonts w:ascii="Times New Roman" w:hAnsi="Times New Roman"/>
                <w:b/>
                <w:sz w:val="20"/>
              </w:rPr>
            </w:pPr>
            <w:r w:rsidRPr="006458BF">
              <w:rPr>
                <w:rFonts w:ascii="Times New Roman" w:hAnsi="Times New Roman"/>
                <w:b/>
                <w:sz w:val="20"/>
              </w:rPr>
              <w:t>MF SR</w:t>
            </w:r>
          </w:p>
        </w:tc>
        <w:tc>
          <w:tcPr>
            <w:tcW w:w="6289" w:type="dxa"/>
            <w:tcBorders>
              <w:top w:val="single" w:sz="4" w:space="0" w:color="000000"/>
              <w:left w:val="single" w:sz="4" w:space="0" w:color="000000"/>
              <w:bottom w:val="single" w:sz="4" w:space="0" w:color="000000"/>
              <w:right w:val="single" w:sz="4" w:space="0" w:color="000000"/>
            </w:tcBorders>
          </w:tcPr>
          <w:p w:rsidR="00043D8B" w:rsidRPr="00756657" w:rsidRDefault="00043D8B" w:rsidP="00833647">
            <w:pPr>
              <w:spacing w:after="0"/>
              <w:ind w:left="1"/>
              <w:rPr>
                <w:rFonts w:ascii="Times New Roman" w:hAnsi="Times New Roman"/>
                <w:b/>
                <w:color w:val="auto"/>
                <w:sz w:val="20"/>
                <w:u w:val="single"/>
              </w:rPr>
            </w:pPr>
            <w:r>
              <w:rPr>
                <w:rFonts w:ascii="Times New Roman" w:hAnsi="Times New Roman"/>
                <w:b/>
                <w:color w:val="auto"/>
                <w:sz w:val="20"/>
                <w:u w:val="single"/>
              </w:rPr>
              <w:t xml:space="preserve">Nízka </w:t>
            </w:r>
            <w:r w:rsidRPr="00756657">
              <w:rPr>
                <w:rFonts w:ascii="Times New Roman" w:hAnsi="Times New Roman"/>
                <w:b/>
                <w:color w:val="auto"/>
                <w:sz w:val="20"/>
                <w:u w:val="single"/>
              </w:rPr>
              <w:t>priorita</w:t>
            </w:r>
          </w:p>
          <w:p w:rsidR="00043D8B" w:rsidRDefault="00043D8B" w:rsidP="00833647">
            <w:pPr>
              <w:spacing w:after="0"/>
              <w:ind w:left="1"/>
              <w:jc w:val="both"/>
              <w:rPr>
                <w:rFonts w:ascii="Times New Roman" w:hAnsi="Times New Roman"/>
                <w:sz w:val="20"/>
              </w:rPr>
            </w:pPr>
            <w:r w:rsidRPr="00160895">
              <w:rPr>
                <w:rFonts w:ascii="Times New Roman" w:hAnsi="Times New Roman"/>
                <w:kern w:val="2"/>
                <w:sz w:val="20"/>
                <w:szCs w:val="20"/>
              </w:rPr>
              <w:t>SR sa podieľa na financovaní spolupráce a rozvoja zámorských krajín a území EÚ (ZKÚ EÚ) v zmysle čl. 198 ZFEÚ a Grónska v zmysle čl. 204 ZFEÚ. SR vníma predmetný návrh rozhodnutia Rady ako pokračovanie doterajšieho združenia ZKÚ EÚ a Grónska efektívnejším spôsobom, a to jednotným riadením a financovaním. Navrhované zmeny v návrhu rozhodnutia Rady umožnia väčšiu synergiu v programovaní a vykonávaní politiky EÚ pre tieto teritória. Finančná alokácia 500 miliónov eur nepredstavuje žiadnu zásadnú zmenu pre rozpočet EÚ v porovnaní s celkovou výškou návrhu VFR 2021-2027.</w:t>
            </w:r>
          </w:p>
        </w:tc>
      </w:tr>
      <w:tr w:rsidR="00043D8B" w:rsidTr="00E63E2A">
        <w:tblPrEx>
          <w:tblCellMar>
            <w:top w:w="64" w:type="dxa"/>
            <w:right w:w="22" w:type="dxa"/>
          </w:tblCellMar>
        </w:tblPrEx>
        <w:trPr>
          <w:gridAfter w:val="1"/>
          <w:wAfter w:w="5619" w:type="dxa"/>
          <w:trHeight w:val="869"/>
        </w:trPr>
        <w:tc>
          <w:tcPr>
            <w:tcW w:w="398" w:type="dxa"/>
            <w:gridSpan w:val="2"/>
            <w:vMerge/>
            <w:tcBorders>
              <w:top w:val="nil"/>
              <w:left w:val="single" w:sz="4" w:space="0" w:color="000000"/>
              <w:bottom w:val="nil"/>
              <w:right w:val="single" w:sz="4" w:space="0" w:color="000000"/>
            </w:tcBorders>
          </w:tcPr>
          <w:p w:rsidR="00043D8B" w:rsidRDefault="00043D8B" w:rsidP="00833647">
            <w:pPr>
              <w:spacing w:after="0"/>
            </w:pPr>
          </w:p>
        </w:tc>
        <w:tc>
          <w:tcPr>
            <w:tcW w:w="2066" w:type="dxa"/>
            <w:gridSpan w:val="3"/>
            <w:vMerge/>
            <w:tcBorders>
              <w:top w:val="nil"/>
              <w:left w:val="single" w:sz="4" w:space="0" w:color="000000"/>
              <w:bottom w:val="nil"/>
              <w:right w:val="single" w:sz="4" w:space="0" w:color="000000"/>
            </w:tcBorders>
          </w:tcPr>
          <w:p w:rsidR="00043D8B" w:rsidRDefault="00043D8B" w:rsidP="00833647">
            <w:pPr>
              <w:spacing w:after="0"/>
            </w:pPr>
          </w:p>
        </w:tc>
        <w:tc>
          <w:tcPr>
            <w:tcW w:w="4678"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 xml:space="preserve"> Návrh NARIADENIA RADY, ktorým sa zriaďuje Európsky nástroj pre jadrovú bezpečnosť dopĺňajúci Nástroj susedstva a rozvojovej a medzinárodnej spolupráce na základe Zmluvy o Euratome COM(2018) 462 final 2018/0245 (NLE) </w:t>
            </w:r>
          </w:p>
          <w:p w:rsidR="00043D8B" w:rsidRDefault="00043D8B" w:rsidP="00D15EE0">
            <w:pPr>
              <w:spacing w:after="0"/>
              <w:ind w:left="1"/>
              <w:jc w:val="both"/>
            </w:pPr>
            <w:r>
              <w:rPr>
                <w:rFonts w:ascii="Times New Roman" w:hAnsi="Times New Roman"/>
                <w:sz w:val="20"/>
              </w:rPr>
              <w:t>14. 6. 2018</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ind w:left="1"/>
              <w:rPr>
                <w:rFonts w:ascii="Times New Roman" w:hAnsi="Times New Roman"/>
                <w:b/>
                <w:sz w:val="20"/>
              </w:rPr>
            </w:pPr>
            <w:r w:rsidRPr="006458BF">
              <w:rPr>
                <w:rFonts w:ascii="Times New Roman" w:hAnsi="Times New Roman"/>
                <w:b/>
                <w:sz w:val="20"/>
              </w:rPr>
              <w:t>ÚJD SR</w:t>
            </w:r>
            <w:r w:rsidRPr="006458BF">
              <w:rPr>
                <w:rFonts w:ascii="Times New Roman" w:hAnsi="Times New Roman"/>
                <w:b/>
                <w:sz w:val="20"/>
              </w:rPr>
              <w:br/>
            </w:r>
            <w:r>
              <w:rPr>
                <w:rFonts w:ascii="Times New Roman" w:hAnsi="Times New Roman"/>
                <w:b/>
                <w:sz w:val="20"/>
              </w:rPr>
              <w:t>MZVEZ SR</w:t>
            </w:r>
          </w:p>
        </w:tc>
        <w:tc>
          <w:tcPr>
            <w:tcW w:w="6289" w:type="dxa"/>
            <w:tcBorders>
              <w:top w:val="single" w:sz="4" w:space="0" w:color="000000"/>
              <w:left w:val="single" w:sz="4" w:space="0" w:color="000000"/>
              <w:bottom w:val="single" w:sz="4" w:space="0" w:color="000000"/>
              <w:right w:val="single" w:sz="4" w:space="0" w:color="000000"/>
            </w:tcBorders>
          </w:tcPr>
          <w:p w:rsidR="00043D8B" w:rsidRPr="00756657" w:rsidRDefault="00043D8B" w:rsidP="00D15EE0">
            <w:pPr>
              <w:spacing w:after="0"/>
              <w:ind w:left="1"/>
              <w:jc w:val="both"/>
              <w:rPr>
                <w:rFonts w:ascii="Times New Roman" w:hAnsi="Times New Roman"/>
                <w:b/>
                <w:color w:val="auto"/>
                <w:sz w:val="20"/>
                <w:u w:val="single"/>
              </w:rPr>
            </w:pPr>
            <w:r w:rsidRPr="00756657">
              <w:rPr>
                <w:rFonts w:ascii="Times New Roman" w:hAnsi="Times New Roman"/>
                <w:b/>
                <w:color w:val="auto"/>
                <w:sz w:val="20"/>
                <w:u w:val="single"/>
              </w:rPr>
              <w:t>Stredná priorita</w:t>
            </w:r>
          </w:p>
          <w:p w:rsidR="00043D8B" w:rsidRDefault="00043D8B" w:rsidP="00D15EE0">
            <w:pPr>
              <w:spacing w:after="0"/>
              <w:ind w:left="1"/>
              <w:jc w:val="both"/>
              <w:rPr>
                <w:rFonts w:ascii="Times New Roman" w:hAnsi="Times New Roman"/>
                <w:sz w:val="20"/>
              </w:rPr>
            </w:pPr>
            <w:r w:rsidRPr="00756657">
              <w:rPr>
                <w:rFonts w:ascii="Times New Roman" w:hAnsi="Times New Roman"/>
                <w:color w:val="auto"/>
                <w:sz w:val="20"/>
              </w:rPr>
              <w:t>Návrh reflektuje a nadväzuje na výsledky a skúsenosti z implementácie nástroja jadrovej bezpečnosti z predchádzajúceho obdobia. Z pohľadu SR je nevyhnutné, aby bola zachovaná možnosť členských štátov zapojiť sa do celkového procesu implementácie, monitoringu a odsúhlasovania projektov, a zároveň aby bola zachovaná povinnosť Komisie informovať o priebehu a výsledkoch.</w:t>
            </w:r>
          </w:p>
        </w:tc>
      </w:tr>
      <w:tr w:rsidR="00043D8B" w:rsidTr="00E63E2A">
        <w:tblPrEx>
          <w:tblCellMar>
            <w:top w:w="64" w:type="dxa"/>
            <w:right w:w="22" w:type="dxa"/>
          </w:tblCellMar>
        </w:tblPrEx>
        <w:trPr>
          <w:gridAfter w:val="1"/>
          <w:wAfter w:w="5619" w:type="dxa"/>
          <w:trHeight w:val="871"/>
        </w:trPr>
        <w:tc>
          <w:tcPr>
            <w:tcW w:w="398" w:type="dxa"/>
            <w:gridSpan w:val="2"/>
            <w:vMerge/>
            <w:tcBorders>
              <w:top w:val="nil"/>
              <w:left w:val="single" w:sz="4" w:space="0" w:color="000000"/>
              <w:bottom w:val="nil"/>
              <w:right w:val="single" w:sz="4" w:space="0" w:color="000000"/>
            </w:tcBorders>
          </w:tcPr>
          <w:p w:rsidR="00043D8B" w:rsidRDefault="00043D8B" w:rsidP="00833647">
            <w:pPr>
              <w:spacing w:after="0"/>
            </w:pPr>
          </w:p>
        </w:tc>
        <w:tc>
          <w:tcPr>
            <w:tcW w:w="2066" w:type="dxa"/>
            <w:gridSpan w:val="3"/>
            <w:vMerge/>
            <w:tcBorders>
              <w:top w:val="nil"/>
              <w:left w:val="single" w:sz="4" w:space="0" w:color="000000"/>
              <w:bottom w:val="nil"/>
              <w:right w:val="single" w:sz="4" w:space="0" w:color="000000"/>
            </w:tcBorders>
          </w:tcPr>
          <w:p w:rsidR="00043D8B" w:rsidRDefault="00043D8B" w:rsidP="00833647">
            <w:pPr>
              <w:spacing w:after="0"/>
            </w:pPr>
          </w:p>
        </w:tc>
        <w:tc>
          <w:tcPr>
            <w:tcW w:w="4678" w:type="dxa"/>
            <w:tcBorders>
              <w:top w:val="single" w:sz="4" w:space="0" w:color="000000"/>
              <w:left w:val="single" w:sz="4" w:space="0" w:color="000000"/>
              <w:bottom w:val="single" w:sz="4" w:space="0" w:color="000000"/>
              <w:right w:val="single" w:sz="4" w:space="0" w:color="000000"/>
            </w:tcBorders>
          </w:tcPr>
          <w:p w:rsidR="00043D8B" w:rsidRPr="0047673C" w:rsidRDefault="00043D8B" w:rsidP="00D15EE0">
            <w:pPr>
              <w:spacing w:after="0"/>
              <w:ind w:left="1"/>
              <w:jc w:val="both"/>
              <w:rPr>
                <w:rFonts w:ascii="Times New Roman" w:hAnsi="Times New Roman"/>
                <w:sz w:val="20"/>
              </w:rPr>
            </w:pPr>
            <w:r>
              <w:rPr>
                <w:rFonts w:ascii="Times New Roman" w:hAnsi="Times New Roman"/>
                <w:sz w:val="20"/>
              </w:rPr>
              <w:t xml:space="preserve">Návrh NARIADENIA EURÓPSKEHO PARLAMENTU A RADY, ktorým sa stanovuje nástroj predvstupovej pomoci (IPA III) COM(2018) 465 final 2018/0247 (COD)  16. 6. 2018  </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833647">
            <w:pPr>
              <w:spacing w:after="0"/>
              <w:ind w:left="1"/>
              <w:rPr>
                <w:rFonts w:ascii="Times New Roman" w:hAnsi="Times New Roman"/>
                <w:b/>
                <w:sz w:val="20"/>
              </w:rPr>
            </w:pPr>
            <w:r>
              <w:rPr>
                <w:rFonts w:ascii="Times New Roman" w:hAnsi="Times New Roman"/>
                <w:b/>
                <w:sz w:val="20"/>
              </w:rPr>
              <w:t>MZVEZ SR</w:t>
            </w:r>
          </w:p>
        </w:tc>
        <w:tc>
          <w:tcPr>
            <w:tcW w:w="6289" w:type="dxa"/>
            <w:tcBorders>
              <w:top w:val="single" w:sz="4" w:space="0" w:color="000000"/>
              <w:left w:val="single" w:sz="4" w:space="0" w:color="000000"/>
              <w:bottom w:val="single" w:sz="4" w:space="0" w:color="000000"/>
              <w:right w:val="single" w:sz="4" w:space="0" w:color="000000"/>
            </w:tcBorders>
          </w:tcPr>
          <w:p w:rsidR="00043D8B" w:rsidRPr="00756657" w:rsidRDefault="00043D8B" w:rsidP="00D15EE0">
            <w:pPr>
              <w:spacing w:after="0"/>
              <w:ind w:left="1"/>
              <w:jc w:val="both"/>
              <w:rPr>
                <w:rFonts w:ascii="Times New Roman" w:hAnsi="Times New Roman"/>
                <w:b/>
                <w:color w:val="auto"/>
                <w:sz w:val="20"/>
                <w:u w:val="single"/>
              </w:rPr>
            </w:pPr>
            <w:r>
              <w:rPr>
                <w:rFonts w:ascii="Times New Roman" w:hAnsi="Times New Roman"/>
                <w:b/>
                <w:color w:val="auto"/>
                <w:sz w:val="20"/>
                <w:u w:val="single"/>
              </w:rPr>
              <w:t xml:space="preserve">Vysoká </w:t>
            </w:r>
            <w:r w:rsidRPr="00756657">
              <w:rPr>
                <w:rFonts w:ascii="Times New Roman" w:hAnsi="Times New Roman"/>
                <w:b/>
                <w:color w:val="auto"/>
                <w:sz w:val="20"/>
                <w:u w:val="single"/>
              </w:rPr>
              <w:t>priorita</w:t>
            </w:r>
          </w:p>
          <w:p w:rsidR="00043D8B" w:rsidRDefault="00043D8B" w:rsidP="00D15EE0">
            <w:pPr>
              <w:spacing w:after="0"/>
              <w:ind w:left="1"/>
              <w:jc w:val="both"/>
              <w:rPr>
                <w:rFonts w:ascii="Times New Roman" w:hAnsi="Times New Roman"/>
                <w:sz w:val="20"/>
              </w:rPr>
            </w:pPr>
            <w:r w:rsidRPr="00160895">
              <w:rPr>
                <w:rFonts w:ascii="Times New Roman" w:hAnsi="Times New Roman"/>
                <w:color w:val="auto"/>
                <w:sz w:val="20"/>
              </w:rPr>
              <w:t>SR podporuje tento návrh, ktorý umožní Únii pokračovať v plnení cieľov predvstupovej pomoci. Nástroj predvstupovej pomoci IPA sa zameriava na prípravu partnerov a podporu ich prístupového procesu s výhľadom na ich budúce členstvo v EÚ. Je potrebné zachovať špecializovaný nástroj na podporu politiky rozširovania a zároveň zabezpečiť, aby dopĺňal všeobecné ciele vonkajšej činnosti Únie, a najmä ciele Nástroja susedstva a rozvojovej a medzinárodnej spolupráce.</w:t>
            </w:r>
          </w:p>
        </w:tc>
      </w:tr>
      <w:tr w:rsidR="00043D8B" w:rsidTr="00E63E2A">
        <w:tblPrEx>
          <w:tblCellMar>
            <w:top w:w="64" w:type="dxa"/>
            <w:right w:w="22" w:type="dxa"/>
          </w:tblCellMar>
        </w:tblPrEx>
        <w:trPr>
          <w:gridAfter w:val="1"/>
          <w:wAfter w:w="5619" w:type="dxa"/>
          <w:trHeight w:val="902"/>
        </w:trPr>
        <w:tc>
          <w:tcPr>
            <w:tcW w:w="398" w:type="dxa"/>
            <w:gridSpan w:val="2"/>
            <w:vMerge/>
            <w:tcBorders>
              <w:top w:val="nil"/>
              <w:left w:val="single" w:sz="4" w:space="0" w:color="000000"/>
              <w:bottom w:val="single" w:sz="34" w:space="0" w:color="92D050"/>
              <w:right w:val="single" w:sz="4" w:space="0" w:color="000000"/>
            </w:tcBorders>
          </w:tcPr>
          <w:p w:rsidR="00043D8B" w:rsidRDefault="00043D8B" w:rsidP="00833647">
            <w:pPr>
              <w:spacing w:after="0"/>
            </w:pPr>
          </w:p>
        </w:tc>
        <w:tc>
          <w:tcPr>
            <w:tcW w:w="2066" w:type="dxa"/>
            <w:gridSpan w:val="3"/>
            <w:vMerge/>
            <w:tcBorders>
              <w:top w:val="nil"/>
              <w:left w:val="single" w:sz="4" w:space="0" w:color="000000"/>
              <w:bottom w:val="single" w:sz="34" w:space="0" w:color="92D050"/>
              <w:right w:val="single" w:sz="4" w:space="0" w:color="000000"/>
            </w:tcBorders>
          </w:tcPr>
          <w:p w:rsidR="00043D8B" w:rsidRDefault="00043D8B" w:rsidP="00833647">
            <w:pPr>
              <w:spacing w:after="0"/>
            </w:pPr>
          </w:p>
        </w:tc>
        <w:tc>
          <w:tcPr>
            <w:tcW w:w="4678" w:type="dxa"/>
            <w:tcBorders>
              <w:top w:val="single" w:sz="4" w:space="0" w:color="000000"/>
              <w:left w:val="single" w:sz="4" w:space="0" w:color="000000"/>
              <w:bottom w:val="single" w:sz="34" w:space="0" w:color="92D050"/>
              <w:right w:val="single" w:sz="4" w:space="0" w:color="000000"/>
            </w:tcBorders>
            <w:vAlign w:val="center"/>
          </w:tcPr>
          <w:p w:rsidR="00043D8B" w:rsidRPr="006D5779" w:rsidRDefault="00043D8B" w:rsidP="00D15EE0">
            <w:pPr>
              <w:spacing w:after="0"/>
              <w:ind w:left="1" w:right="124"/>
              <w:jc w:val="both"/>
            </w:pPr>
            <w:r w:rsidRPr="006D5779">
              <w:rPr>
                <w:rFonts w:ascii="Times New Roman" w:hAnsi="Times New Roman"/>
                <w:sz w:val="20"/>
              </w:rPr>
              <w:t>Návrh vysokej predstaviteľky Únie pre zahraničné veci a bezpečnostnú politiku, s podporou Komisie, určený Rade na rozhodnutie Rady o zriadení Európskeho mierového nástroja (mimorozpočtový fond na obdobie budúceho viacročného finančného rámca) HR(2018) 94</w:t>
            </w:r>
          </w:p>
        </w:tc>
        <w:tc>
          <w:tcPr>
            <w:tcW w:w="1505" w:type="dxa"/>
            <w:tcBorders>
              <w:top w:val="single" w:sz="4" w:space="0" w:color="000000"/>
              <w:left w:val="single" w:sz="4" w:space="0" w:color="000000"/>
              <w:bottom w:val="single" w:sz="34" w:space="0" w:color="92D050"/>
              <w:right w:val="single" w:sz="4" w:space="0" w:color="000000"/>
            </w:tcBorders>
          </w:tcPr>
          <w:p w:rsidR="00043D8B" w:rsidRPr="006458BF" w:rsidRDefault="00043D8B" w:rsidP="00833647">
            <w:pPr>
              <w:spacing w:after="0"/>
              <w:ind w:left="1"/>
              <w:rPr>
                <w:rFonts w:ascii="Times New Roman" w:hAnsi="Times New Roman"/>
                <w:b/>
                <w:sz w:val="20"/>
              </w:rPr>
            </w:pPr>
            <w:r w:rsidRPr="006458BF">
              <w:rPr>
                <w:rFonts w:ascii="Times New Roman" w:hAnsi="Times New Roman"/>
                <w:b/>
                <w:sz w:val="20"/>
              </w:rPr>
              <w:t>MF SR</w:t>
            </w:r>
          </w:p>
          <w:p w:rsidR="00043D8B" w:rsidRPr="006458BF" w:rsidRDefault="00043D8B" w:rsidP="00833647">
            <w:pPr>
              <w:spacing w:after="0"/>
              <w:ind w:left="1"/>
              <w:rPr>
                <w:rFonts w:ascii="Times New Roman" w:hAnsi="Times New Roman"/>
                <w:b/>
                <w:sz w:val="20"/>
              </w:rPr>
            </w:pPr>
            <w:r w:rsidRPr="006458BF">
              <w:rPr>
                <w:rFonts w:ascii="Times New Roman" w:hAnsi="Times New Roman"/>
                <w:b/>
                <w:sz w:val="20"/>
              </w:rPr>
              <w:t>MO SR</w:t>
            </w:r>
          </w:p>
          <w:p w:rsidR="00043D8B" w:rsidRPr="006458BF" w:rsidRDefault="00043D8B" w:rsidP="00833647">
            <w:pPr>
              <w:spacing w:after="0"/>
              <w:ind w:left="1"/>
              <w:rPr>
                <w:rFonts w:ascii="Times New Roman" w:hAnsi="Times New Roman"/>
                <w:b/>
                <w:sz w:val="20"/>
              </w:rPr>
            </w:pPr>
          </w:p>
          <w:p w:rsidR="00043D8B" w:rsidRPr="006458BF" w:rsidRDefault="00043D8B" w:rsidP="00833647">
            <w:pPr>
              <w:spacing w:after="0"/>
              <w:ind w:left="1"/>
              <w:rPr>
                <w:rFonts w:ascii="Times New Roman" w:hAnsi="Times New Roman"/>
                <w:b/>
                <w:sz w:val="20"/>
              </w:rPr>
            </w:pPr>
          </w:p>
        </w:tc>
        <w:tc>
          <w:tcPr>
            <w:tcW w:w="6289" w:type="dxa"/>
            <w:tcBorders>
              <w:top w:val="single" w:sz="4" w:space="0" w:color="000000"/>
              <w:left w:val="single" w:sz="4" w:space="0" w:color="000000"/>
              <w:bottom w:val="single" w:sz="34" w:space="0" w:color="92D050"/>
              <w:right w:val="single" w:sz="4" w:space="0" w:color="000000"/>
            </w:tcBorders>
          </w:tcPr>
          <w:p w:rsidR="00043D8B" w:rsidRDefault="00043D8B" w:rsidP="00D15EE0">
            <w:pPr>
              <w:spacing w:after="0"/>
              <w:ind w:left="1"/>
              <w:jc w:val="both"/>
              <w:rPr>
                <w:rFonts w:ascii="Times New Roman" w:hAnsi="Times New Roman"/>
                <w:sz w:val="20"/>
                <w:highlight w:val="yellow"/>
              </w:rPr>
            </w:pPr>
          </w:p>
          <w:p w:rsidR="00043D8B" w:rsidRDefault="00043D8B" w:rsidP="00D15EE0">
            <w:pPr>
              <w:spacing w:after="0"/>
              <w:ind w:left="1"/>
              <w:jc w:val="both"/>
              <w:rPr>
                <w:rFonts w:ascii="Times New Roman" w:hAnsi="Times New Roman"/>
                <w:sz w:val="20"/>
                <w:highlight w:val="yellow"/>
              </w:rPr>
            </w:pPr>
          </w:p>
          <w:p w:rsidR="00043D8B" w:rsidRDefault="00043D8B" w:rsidP="00D15EE0">
            <w:pPr>
              <w:spacing w:after="0"/>
              <w:ind w:left="1"/>
              <w:jc w:val="both"/>
              <w:rPr>
                <w:rFonts w:ascii="Times New Roman" w:hAnsi="Times New Roman"/>
                <w:sz w:val="20"/>
                <w:highlight w:val="yellow"/>
              </w:rPr>
            </w:pPr>
          </w:p>
          <w:p w:rsidR="00043D8B" w:rsidRPr="00112E83" w:rsidRDefault="00043D8B" w:rsidP="00D15EE0">
            <w:pPr>
              <w:spacing w:after="0"/>
              <w:ind w:left="1"/>
              <w:jc w:val="both"/>
              <w:rPr>
                <w:rFonts w:ascii="Times New Roman" w:hAnsi="Times New Roman"/>
                <w:sz w:val="20"/>
                <w:highlight w:val="yellow"/>
              </w:rPr>
            </w:pPr>
          </w:p>
        </w:tc>
      </w:tr>
      <w:tr w:rsidR="00043D8B" w:rsidTr="00E63E2A">
        <w:tblPrEx>
          <w:tblCellMar>
            <w:top w:w="64" w:type="dxa"/>
            <w:right w:w="22" w:type="dxa"/>
          </w:tblCellMar>
        </w:tblPrEx>
        <w:trPr>
          <w:gridAfter w:val="1"/>
          <w:wAfter w:w="5619" w:type="dxa"/>
          <w:trHeight w:val="905"/>
        </w:trPr>
        <w:tc>
          <w:tcPr>
            <w:tcW w:w="408" w:type="dxa"/>
            <w:gridSpan w:val="3"/>
            <w:vMerge w:val="restart"/>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pPr>
            <w:r>
              <w:rPr>
                <w:rFonts w:ascii="Times New Roman" w:hAnsi="Times New Roman"/>
                <w:sz w:val="20"/>
              </w:rPr>
              <w:t>82.</w:t>
            </w:r>
            <w:r>
              <w:rPr>
                <w:rFonts w:ascii="Arial" w:hAnsi="Arial" w:cs="Arial"/>
                <w:sz w:val="20"/>
              </w:rPr>
              <w:t xml:space="preserve"> </w:t>
            </w:r>
            <w:r>
              <w:rPr>
                <w:rFonts w:ascii="Times New Roman" w:hAnsi="Times New Roman"/>
                <w:sz w:val="20"/>
              </w:rPr>
              <w:t xml:space="preserve"> </w:t>
            </w:r>
          </w:p>
          <w:p w:rsidR="00043D8B" w:rsidRDefault="00043D8B" w:rsidP="00833647">
            <w:pPr>
              <w:spacing w:after="0"/>
              <w:ind w:right="43"/>
              <w:jc w:val="center"/>
            </w:pPr>
            <w:r>
              <w:rPr>
                <w:rFonts w:ascii="Times New Roman" w:hAnsi="Times New Roman"/>
                <w:sz w:val="20"/>
              </w:rPr>
              <w:t xml:space="preserve"> </w:t>
            </w:r>
          </w:p>
          <w:p w:rsidR="00043D8B" w:rsidRDefault="00043D8B" w:rsidP="00833647">
            <w:pPr>
              <w:spacing w:after="0"/>
              <w:ind w:right="43"/>
              <w:jc w:val="center"/>
            </w:pPr>
            <w:r>
              <w:rPr>
                <w:rFonts w:ascii="Times New Roman" w:hAnsi="Times New Roman"/>
                <w:sz w:val="20"/>
              </w:rPr>
              <w:t xml:space="preserve"> </w:t>
            </w:r>
          </w:p>
        </w:tc>
        <w:tc>
          <w:tcPr>
            <w:tcW w:w="2056" w:type="dxa"/>
            <w:gridSpan w:val="2"/>
            <w:vMerge w:val="restart"/>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pPr>
            <w:r>
              <w:rPr>
                <w:rFonts w:ascii="Times New Roman" w:hAnsi="Times New Roman"/>
                <w:sz w:val="20"/>
              </w:rPr>
              <w:t xml:space="preserve">Komitológia  </w:t>
            </w:r>
          </w:p>
          <w:p w:rsidR="00043D8B" w:rsidRDefault="00043D8B" w:rsidP="00833647">
            <w:pPr>
              <w:spacing w:after="0"/>
              <w:ind w:left="1"/>
            </w:pPr>
            <w:r>
              <w:rPr>
                <w:rFonts w:ascii="Times New Roman" w:hAnsi="Times New Roman"/>
                <w:sz w:val="20"/>
              </w:rPr>
              <w:t xml:space="preserve"> </w:t>
            </w:r>
          </w:p>
        </w:tc>
        <w:tc>
          <w:tcPr>
            <w:tcW w:w="4678"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Návrh NARIADENIA EURÓPSKEHO PARLAMENTU A RADY, ktorým sa viacero právnych aktov stanovujúcich použitie regulačného postupu s kontrolou prispôsobuje článkom 290 a 291 Zmluvy o fungovaní Európskej únie** COM(2016) 799 final 2016/0400 (COD)  14. 12. 2016</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D15EE0">
            <w:pPr>
              <w:spacing w:after="0"/>
              <w:ind w:left="1"/>
              <w:rPr>
                <w:rFonts w:ascii="Times New Roman" w:hAnsi="Times New Roman"/>
                <w:b/>
                <w:sz w:val="20"/>
              </w:rPr>
            </w:pPr>
            <w:r>
              <w:rPr>
                <w:rFonts w:ascii="Times New Roman" w:hAnsi="Times New Roman"/>
                <w:b/>
                <w:sz w:val="20"/>
              </w:rPr>
              <w:t>MZVEZ SR</w:t>
            </w:r>
          </w:p>
          <w:p w:rsidR="00043D8B" w:rsidRPr="006458BF" w:rsidRDefault="00D15EE0" w:rsidP="00D15EE0">
            <w:pPr>
              <w:spacing w:after="0"/>
              <w:ind w:left="1"/>
              <w:rPr>
                <w:rFonts w:ascii="Times New Roman" w:hAnsi="Times New Roman"/>
                <w:b/>
                <w:sz w:val="20"/>
              </w:rPr>
            </w:pPr>
            <w:r>
              <w:rPr>
                <w:rFonts w:ascii="Times New Roman" w:hAnsi="Times New Roman"/>
                <w:b/>
                <w:sz w:val="20"/>
              </w:rPr>
              <w:t>MŽP</w:t>
            </w:r>
            <w:r w:rsidR="00043D8B" w:rsidRPr="006458BF">
              <w:rPr>
                <w:rFonts w:ascii="Times New Roman" w:hAnsi="Times New Roman"/>
                <w:b/>
                <w:sz w:val="20"/>
              </w:rPr>
              <w:t>SR</w:t>
            </w:r>
            <w:r w:rsidR="00043D8B" w:rsidRPr="006458BF">
              <w:rPr>
                <w:rFonts w:ascii="Times New Roman" w:hAnsi="Times New Roman"/>
                <w:b/>
                <w:sz w:val="20"/>
              </w:rPr>
              <w:br/>
              <w:t>MZ SR</w:t>
            </w:r>
          </w:p>
          <w:p w:rsidR="00043D8B" w:rsidRPr="006458BF" w:rsidRDefault="00043D8B" w:rsidP="00D15EE0">
            <w:pPr>
              <w:spacing w:after="0"/>
              <w:ind w:left="1"/>
              <w:rPr>
                <w:rFonts w:ascii="Times New Roman" w:hAnsi="Times New Roman"/>
                <w:b/>
                <w:sz w:val="20"/>
              </w:rPr>
            </w:pPr>
            <w:r w:rsidRPr="006458BF">
              <w:rPr>
                <w:rFonts w:ascii="Times New Roman" w:hAnsi="Times New Roman"/>
                <w:b/>
                <w:sz w:val="20"/>
              </w:rPr>
              <w:t>MH SR</w:t>
            </w:r>
            <w:r w:rsidRPr="006458BF">
              <w:rPr>
                <w:rFonts w:ascii="Times New Roman" w:hAnsi="Times New Roman"/>
                <w:b/>
                <w:sz w:val="20"/>
              </w:rPr>
              <w:br/>
              <w:t>MPaRV SR</w:t>
            </w:r>
          </w:p>
          <w:p w:rsidR="00043D8B" w:rsidRPr="006458BF" w:rsidRDefault="00043D8B" w:rsidP="00D15EE0">
            <w:pPr>
              <w:spacing w:after="0"/>
              <w:ind w:left="1"/>
              <w:jc w:val="both"/>
              <w:rPr>
                <w:b/>
              </w:rPr>
            </w:pPr>
            <w:r w:rsidRPr="006458BF">
              <w:rPr>
                <w:rFonts w:ascii="Times New Roman" w:hAnsi="Times New Roman"/>
                <w:b/>
                <w:sz w:val="20"/>
              </w:rPr>
              <w:t>MDaV SR</w:t>
            </w:r>
          </w:p>
        </w:tc>
        <w:tc>
          <w:tcPr>
            <w:tcW w:w="6289" w:type="dxa"/>
            <w:tcBorders>
              <w:top w:val="single" w:sz="4" w:space="0" w:color="000000"/>
              <w:left w:val="single" w:sz="4" w:space="0" w:color="000000"/>
              <w:bottom w:val="single" w:sz="4" w:space="0" w:color="000000"/>
              <w:right w:val="single" w:sz="4" w:space="0" w:color="000000"/>
            </w:tcBorders>
          </w:tcPr>
          <w:p w:rsidR="00043D8B" w:rsidRPr="00C3111D" w:rsidRDefault="00043D8B" w:rsidP="00D15EE0">
            <w:pPr>
              <w:spacing w:after="0"/>
              <w:jc w:val="both"/>
              <w:rPr>
                <w:rFonts w:ascii="Times New Roman" w:hAnsi="Times New Roman"/>
                <w:b/>
                <w:sz w:val="20"/>
                <w:u w:val="single"/>
              </w:rPr>
            </w:pPr>
            <w:r w:rsidRPr="00C3111D">
              <w:rPr>
                <w:rFonts w:ascii="Times New Roman" w:hAnsi="Times New Roman"/>
                <w:b/>
                <w:sz w:val="20"/>
                <w:u w:val="single"/>
              </w:rPr>
              <w:t>Stredná priorita</w:t>
            </w:r>
          </w:p>
          <w:p w:rsidR="00043D8B" w:rsidRDefault="00043D8B" w:rsidP="00D15EE0">
            <w:pPr>
              <w:spacing w:after="0"/>
              <w:ind w:left="1"/>
              <w:jc w:val="both"/>
              <w:rPr>
                <w:rFonts w:ascii="Times New Roman" w:hAnsi="Times New Roman"/>
                <w:sz w:val="20"/>
              </w:rPr>
            </w:pPr>
            <w:r>
              <w:rPr>
                <w:rFonts w:ascii="Times New Roman" w:hAnsi="Times New Roman"/>
                <w:color w:val="auto"/>
                <w:sz w:val="20"/>
                <w:szCs w:val="20"/>
              </w:rPr>
              <w:t>Pôvodný návrh EK bol rozdelený kvôli rozsiahlosti a v súčasnosti prebiehajú rokovania s EP v rámci trialógu k časti, pozostávajúcej z cca 60 aktov, kde sa javí dosiahnutie dohody s EP v rámci tohto legislatívneho obdobia ako reálne. Zostávajúcu časť pôvodného návrhu predloží EK až po nadchádzajúcich voľbách do EP.</w:t>
            </w:r>
          </w:p>
        </w:tc>
      </w:tr>
      <w:tr w:rsidR="00043D8B" w:rsidTr="00E63E2A">
        <w:tblPrEx>
          <w:tblCellMar>
            <w:top w:w="64" w:type="dxa"/>
            <w:right w:w="22" w:type="dxa"/>
          </w:tblCellMar>
        </w:tblPrEx>
        <w:trPr>
          <w:gridAfter w:val="1"/>
          <w:wAfter w:w="5619" w:type="dxa"/>
          <w:trHeight w:val="869"/>
        </w:trPr>
        <w:tc>
          <w:tcPr>
            <w:tcW w:w="408" w:type="dxa"/>
            <w:gridSpan w:val="3"/>
            <w:vMerge/>
            <w:tcBorders>
              <w:top w:val="nil"/>
              <w:left w:val="single" w:sz="4" w:space="0" w:color="000000"/>
              <w:bottom w:val="nil"/>
              <w:right w:val="single" w:sz="4" w:space="0" w:color="000000"/>
            </w:tcBorders>
          </w:tcPr>
          <w:p w:rsidR="00043D8B" w:rsidRDefault="00043D8B" w:rsidP="00833647">
            <w:pPr>
              <w:spacing w:after="0"/>
            </w:pPr>
          </w:p>
        </w:tc>
        <w:tc>
          <w:tcPr>
            <w:tcW w:w="2056" w:type="dxa"/>
            <w:gridSpan w:val="2"/>
            <w:vMerge/>
            <w:tcBorders>
              <w:top w:val="nil"/>
              <w:left w:val="single" w:sz="4" w:space="0" w:color="000000"/>
              <w:bottom w:val="nil"/>
              <w:right w:val="single" w:sz="4" w:space="0" w:color="000000"/>
            </w:tcBorders>
          </w:tcPr>
          <w:p w:rsidR="00043D8B" w:rsidRDefault="00043D8B" w:rsidP="00833647">
            <w:pPr>
              <w:spacing w:after="0"/>
            </w:pPr>
          </w:p>
        </w:tc>
        <w:tc>
          <w:tcPr>
            <w:tcW w:w="4678"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Návrh NARIADENIA EURÓPSKEHO PARLAMENTU A RADY, ktorým sa viacero právnych aktov v oblasti spravodlivosti stanovujúcich použitie regulačného postupu s kontrolou prispôsobuje článku 290 Zmluvy o fungovaní Európskej únie COM(2016) 798 final 2016/0399 (COD) 14. 12. 2016</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D15EE0">
            <w:pPr>
              <w:spacing w:after="0"/>
              <w:ind w:left="1"/>
              <w:jc w:val="both"/>
              <w:rPr>
                <w:rFonts w:ascii="Times New Roman" w:hAnsi="Times New Roman"/>
                <w:b/>
                <w:sz w:val="20"/>
              </w:rPr>
            </w:pPr>
            <w:r w:rsidRPr="006458BF">
              <w:rPr>
                <w:rFonts w:ascii="Times New Roman" w:hAnsi="Times New Roman"/>
                <w:b/>
                <w:sz w:val="20"/>
              </w:rPr>
              <w:t xml:space="preserve"> MS SR</w:t>
            </w:r>
          </w:p>
          <w:p w:rsidR="00043D8B" w:rsidRPr="006458BF" w:rsidRDefault="00043D8B" w:rsidP="00D15EE0">
            <w:pPr>
              <w:spacing w:after="0"/>
              <w:ind w:left="1"/>
              <w:jc w:val="both"/>
              <w:rPr>
                <w:b/>
              </w:rPr>
            </w:pPr>
            <w:r>
              <w:rPr>
                <w:rFonts w:ascii="Times New Roman" w:hAnsi="Times New Roman"/>
                <w:b/>
                <w:sz w:val="20"/>
              </w:rPr>
              <w:t>MZVEZ SR</w:t>
            </w:r>
          </w:p>
        </w:tc>
        <w:tc>
          <w:tcPr>
            <w:tcW w:w="6289" w:type="dxa"/>
            <w:tcBorders>
              <w:top w:val="single" w:sz="4" w:space="0" w:color="000000"/>
              <w:left w:val="single" w:sz="4" w:space="0" w:color="000000"/>
              <w:bottom w:val="single" w:sz="4" w:space="0" w:color="000000"/>
              <w:right w:val="single" w:sz="4" w:space="0" w:color="000000"/>
            </w:tcBorders>
          </w:tcPr>
          <w:p w:rsidR="00043D8B" w:rsidRPr="00005488" w:rsidRDefault="00043D8B" w:rsidP="00D15EE0">
            <w:pPr>
              <w:spacing w:after="0"/>
              <w:jc w:val="both"/>
              <w:rPr>
                <w:rFonts w:ascii="Times New Roman" w:hAnsi="Times New Roman"/>
                <w:b/>
                <w:sz w:val="20"/>
                <w:u w:val="single"/>
              </w:rPr>
            </w:pPr>
            <w:r>
              <w:rPr>
                <w:rFonts w:ascii="Times New Roman" w:hAnsi="Times New Roman"/>
                <w:b/>
                <w:sz w:val="20"/>
                <w:u w:val="single"/>
              </w:rPr>
              <w:t>Nízka</w:t>
            </w:r>
            <w:r w:rsidRPr="00005488">
              <w:rPr>
                <w:rFonts w:ascii="Times New Roman" w:hAnsi="Times New Roman"/>
                <w:b/>
                <w:sz w:val="20"/>
                <w:u w:val="single"/>
              </w:rPr>
              <w:t xml:space="preserve"> priorita</w:t>
            </w:r>
          </w:p>
          <w:p w:rsidR="00043D8B" w:rsidRDefault="00043D8B" w:rsidP="00D15EE0">
            <w:pPr>
              <w:spacing w:after="0"/>
              <w:ind w:left="1"/>
              <w:jc w:val="both"/>
              <w:rPr>
                <w:rFonts w:ascii="Times New Roman" w:hAnsi="Times New Roman"/>
                <w:sz w:val="20"/>
              </w:rPr>
            </w:pPr>
            <w:r>
              <w:rPr>
                <w:rFonts w:ascii="Times New Roman" w:hAnsi="Times New Roman"/>
                <w:sz w:val="20"/>
              </w:rPr>
              <w:t>SK podporuje prijatie návrhu</w:t>
            </w:r>
          </w:p>
        </w:tc>
      </w:tr>
      <w:tr w:rsidR="00043D8B" w:rsidTr="00E63E2A">
        <w:tblPrEx>
          <w:tblCellMar>
            <w:top w:w="64" w:type="dxa"/>
            <w:right w:w="22" w:type="dxa"/>
          </w:tblCellMar>
        </w:tblPrEx>
        <w:trPr>
          <w:gridAfter w:val="1"/>
          <w:wAfter w:w="5619" w:type="dxa"/>
          <w:trHeight w:val="872"/>
        </w:trPr>
        <w:tc>
          <w:tcPr>
            <w:tcW w:w="408" w:type="dxa"/>
            <w:gridSpan w:val="3"/>
            <w:vMerge/>
            <w:tcBorders>
              <w:top w:val="nil"/>
              <w:left w:val="single" w:sz="4" w:space="0" w:color="000000"/>
              <w:bottom w:val="single" w:sz="4" w:space="0" w:color="000000"/>
              <w:right w:val="single" w:sz="4" w:space="0" w:color="000000"/>
            </w:tcBorders>
          </w:tcPr>
          <w:p w:rsidR="00043D8B" w:rsidRDefault="00043D8B" w:rsidP="00833647">
            <w:pPr>
              <w:spacing w:after="0"/>
            </w:pPr>
          </w:p>
        </w:tc>
        <w:tc>
          <w:tcPr>
            <w:tcW w:w="2056" w:type="dxa"/>
            <w:gridSpan w:val="2"/>
            <w:vMerge/>
            <w:tcBorders>
              <w:top w:val="nil"/>
              <w:left w:val="single" w:sz="4" w:space="0" w:color="000000"/>
              <w:bottom w:val="single" w:sz="4" w:space="0" w:color="000000"/>
              <w:right w:val="single" w:sz="4" w:space="0" w:color="000000"/>
            </w:tcBorders>
          </w:tcPr>
          <w:p w:rsidR="00043D8B" w:rsidRDefault="00043D8B" w:rsidP="00833647">
            <w:pPr>
              <w:spacing w:after="0"/>
            </w:pPr>
          </w:p>
        </w:tc>
        <w:tc>
          <w:tcPr>
            <w:tcW w:w="4678"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Návrh NARIADENIA EURÓPSKEHO PARLAMENTU A RADY, ktorým sa mení nariadenie (EÚ) č. 182/2011, ktorým sa ustanovujú pravidlá a všeobecné zásady mechanizmu, na základe ktorého členské štáty kontrolujú vykonávanie vykonávacích právomocí Komisie COM(2017) 85 final 2017/035 (COD)  14. 2. 2017</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D15EE0">
            <w:pPr>
              <w:spacing w:after="0"/>
              <w:ind w:left="1"/>
              <w:jc w:val="both"/>
              <w:rPr>
                <w:b/>
              </w:rPr>
            </w:pPr>
            <w:r w:rsidRPr="006458BF">
              <w:rPr>
                <w:rFonts w:ascii="Times New Roman" w:hAnsi="Times New Roman"/>
                <w:b/>
                <w:sz w:val="20"/>
              </w:rPr>
              <w:t xml:space="preserve"> </w:t>
            </w:r>
            <w:r>
              <w:rPr>
                <w:rFonts w:ascii="Times New Roman" w:hAnsi="Times New Roman"/>
                <w:b/>
                <w:sz w:val="20"/>
              </w:rPr>
              <w:t>MZVEZ SR</w:t>
            </w:r>
          </w:p>
        </w:tc>
        <w:tc>
          <w:tcPr>
            <w:tcW w:w="6289" w:type="dxa"/>
            <w:tcBorders>
              <w:top w:val="single" w:sz="4" w:space="0" w:color="000000"/>
              <w:left w:val="single" w:sz="4" w:space="0" w:color="000000"/>
              <w:bottom w:val="single" w:sz="4" w:space="0" w:color="000000"/>
              <w:right w:val="single" w:sz="4" w:space="0" w:color="000000"/>
            </w:tcBorders>
          </w:tcPr>
          <w:p w:rsidR="00043D8B" w:rsidRPr="00A26E97" w:rsidRDefault="00043D8B" w:rsidP="00D15EE0">
            <w:pPr>
              <w:spacing w:after="0"/>
              <w:ind w:left="1"/>
              <w:jc w:val="both"/>
              <w:rPr>
                <w:rFonts w:ascii="Times New Roman" w:hAnsi="Times New Roman"/>
                <w:b/>
                <w:sz w:val="20"/>
                <w:u w:val="single"/>
              </w:rPr>
            </w:pPr>
            <w:r w:rsidRPr="00A26E97">
              <w:rPr>
                <w:rFonts w:ascii="Times New Roman" w:hAnsi="Times New Roman"/>
                <w:b/>
                <w:sz w:val="20"/>
                <w:u w:val="single"/>
              </w:rPr>
              <w:t>Stredná priorita</w:t>
            </w:r>
          </w:p>
          <w:p w:rsidR="00043D8B" w:rsidRDefault="00043D8B" w:rsidP="00D15EE0">
            <w:pPr>
              <w:spacing w:after="0"/>
              <w:ind w:left="1"/>
              <w:jc w:val="both"/>
              <w:rPr>
                <w:rFonts w:ascii="Times New Roman" w:hAnsi="Times New Roman"/>
                <w:sz w:val="20"/>
              </w:rPr>
            </w:pPr>
            <w:r>
              <w:rPr>
                <w:rFonts w:ascii="Times New Roman" w:hAnsi="Times New Roman"/>
                <w:color w:val="auto"/>
                <w:sz w:val="20"/>
                <w:szCs w:val="20"/>
              </w:rPr>
              <w:t>Rokovania o návrhu (revízie všeobecného komitologického nariadenia) boli v októbri 2018 zastavené kvôli nedostatku podpory návrhu v Rade, keďže návrh predložený EK bol v rozpore so zásadou proporcionality a lojálnej spolupráce. Pochybnosti o súlade návrhu s primárnym právom potvrdilo aj písomné stanovisko právnej služby Rady. EK odmietla zmeniť návrh tak, aby rozpory odstránil.</w:t>
            </w:r>
          </w:p>
        </w:tc>
      </w:tr>
      <w:tr w:rsidR="00043D8B" w:rsidTr="00E63E2A">
        <w:tblPrEx>
          <w:tblCellMar>
            <w:top w:w="64" w:type="dxa"/>
            <w:right w:w="22" w:type="dxa"/>
          </w:tblCellMar>
        </w:tblPrEx>
        <w:trPr>
          <w:gridAfter w:val="1"/>
          <w:wAfter w:w="5619" w:type="dxa"/>
          <w:trHeight w:val="1099"/>
        </w:trPr>
        <w:tc>
          <w:tcPr>
            <w:tcW w:w="408" w:type="dxa"/>
            <w:gridSpan w:val="3"/>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pPr>
            <w:r>
              <w:rPr>
                <w:rFonts w:ascii="Times New Roman" w:hAnsi="Times New Roman"/>
                <w:sz w:val="20"/>
              </w:rPr>
              <w:t>83.</w:t>
            </w:r>
            <w:r>
              <w:rPr>
                <w:rFonts w:ascii="Arial" w:hAnsi="Arial" w:cs="Arial"/>
                <w:sz w:val="20"/>
              </w:rPr>
              <w:t xml:space="preserve"> </w:t>
            </w:r>
            <w:r>
              <w:rPr>
                <w:rFonts w:ascii="Times New Roman" w:hAnsi="Times New Roman"/>
                <w:sz w:val="20"/>
              </w:rPr>
              <w:t xml:space="preserve"> </w:t>
            </w:r>
          </w:p>
        </w:tc>
        <w:tc>
          <w:tcPr>
            <w:tcW w:w="2056" w:type="dxa"/>
            <w:gridSpan w:val="2"/>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right="308"/>
            </w:pPr>
            <w:r>
              <w:rPr>
                <w:rFonts w:ascii="Times New Roman" w:hAnsi="Times New Roman"/>
                <w:sz w:val="20"/>
              </w:rPr>
              <w:t xml:space="preserve">Ochrana osobných údajov v kontexte volieb do Európskeho parlamentu </w:t>
            </w:r>
          </w:p>
        </w:tc>
        <w:tc>
          <w:tcPr>
            <w:tcW w:w="4678"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Návrh NARIADENIAE EURÓPSKEHO PARLAMENTU A RADY, ktorým sa mení nariadenie (EÚ, Euratom) č. 1141/2014, pokiaľ ide o postup overovania porušovania pravidiel o ochrane osobných údajov v kontexte volieb do Európskeho parlamentu Príspevok Európskej komisie k stretnutiu lídrov v Salzburgu, ktoré sa uskutoční 19. a 20. septembra 2018** COM(2018) 636 final 2018/0336 (COD)  12. 9. 2018</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D15EE0">
            <w:pPr>
              <w:spacing w:after="0"/>
              <w:ind w:left="1"/>
              <w:jc w:val="both"/>
              <w:rPr>
                <w:b/>
              </w:rPr>
            </w:pPr>
            <w:r w:rsidRPr="006458BF">
              <w:rPr>
                <w:rFonts w:ascii="Times New Roman" w:hAnsi="Times New Roman"/>
                <w:b/>
                <w:sz w:val="20"/>
              </w:rPr>
              <w:t xml:space="preserve"> MV SR</w:t>
            </w:r>
          </w:p>
        </w:tc>
        <w:tc>
          <w:tcPr>
            <w:tcW w:w="6289" w:type="dxa"/>
            <w:tcBorders>
              <w:top w:val="single" w:sz="4" w:space="0" w:color="000000"/>
              <w:left w:val="single" w:sz="4" w:space="0" w:color="000000"/>
              <w:bottom w:val="single" w:sz="4" w:space="0" w:color="000000"/>
              <w:right w:val="single" w:sz="4" w:space="0" w:color="000000"/>
            </w:tcBorders>
          </w:tcPr>
          <w:p w:rsidR="00043D8B" w:rsidRPr="00F915E0" w:rsidRDefault="00043D8B" w:rsidP="00D15EE0">
            <w:pPr>
              <w:spacing w:after="0"/>
              <w:ind w:left="1"/>
              <w:jc w:val="both"/>
              <w:rPr>
                <w:rFonts w:ascii="Times New Roman" w:hAnsi="Times New Roman"/>
                <w:b/>
                <w:sz w:val="20"/>
                <w:u w:val="single"/>
              </w:rPr>
            </w:pPr>
            <w:r w:rsidRPr="00F915E0">
              <w:rPr>
                <w:rFonts w:ascii="Times New Roman" w:hAnsi="Times New Roman"/>
                <w:b/>
                <w:sz w:val="20"/>
                <w:u w:val="single"/>
              </w:rPr>
              <w:t>Nízka priorita</w:t>
            </w:r>
          </w:p>
          <w:p w:rsidR="00043D8B" w:rsidRDefault="00043D8B" w:rsidP="00D15EE0">
            <w:pPr>
              <w:spacing w:after="0"/>
              <w:ind w:left="1"/>
              <w:jc w:val="both"/>
              <w:rPr>
                <w:rFonts w:ascii="Times New Roman" w:hAnsi="Times New Roman"/>
                <w:sz w:val="20"/>
              </w:rPr>
            </w:pPr>
            <w:r>
              <w:rPr>
                <w:rFonts w:ascii="Times New Roman" w:hAnsi="Times New Roman"/>
                <w:sz w:val="20"/>
              </w:rPr>
              <w:t xml:space="preserve">Návrh nariadenia mení ustanovenia nariadenia (EÚ, Euratom) č. 1141/2014, ktoré sa nedotýkajú pôsobnosti jednotlivých členských štátov a upravujú predovšetkým vzťah európskych politických strán a európskych politických nadácií s inštitúciami Únie. </w:t>
            </w:r>
          </w:p>
          <w:p w:rsidR="00043D8B" w:rsidRDefault="00043D8B" w:rsidP="00D15EE0">
            <w:pPr>
              <w:spacing w:after="0"/>
              <w:ind w:left="1"/>
              <w:jc w:val="both"/>
              <w:rPr>
                <w:rFonts w:ascii="Times New Roman" w:hAnsi="Times New Roman"/>
                <w:sz w:val="20"/>
              </w:rPr>
            </w:pPr>
            <w:r>
              <w:rPr>
                <w:rFonts w:ascii="Times New Roman" w:hAnsi="Times New Roman"/>
                <w:sz w:val="20"/>
              </w:rPr>
              <w:t>Slovenská republika nemá výhrady k navrhovanému textu nariadenia.</w:t>
            </w:r>
          </w:p>
        </w:tc>
      </w:tr>
      <w:tr w:rsidR="00043D8B" w:rsidTr="00E63E2A">
        <w:tblPrEx>
          <w:tblCellMar>
            <w:top w:w="64" w:type="dxa"/>
            <w:right w:w="22" w:type="dxa"/>
          </w:tblCellMar>
        </w:tblPrEx>
        <w:trPr>
          <w:gridAfter w:val="1"/>
          <w:wAfter w:w="5619" w:type="dxa"/>
          <w:trHeight w:val="872"/>
        </w:trPr>
        <w:tc>
          <w:tcPr>
            <w:tcW w:w="408" w:type="dxa"/>
            <w:gridSpan w:val="3"/>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pPr>
            <w:r>
              <w:rPr>
                <w:rFonts w:ascii="Times New Roman" w:hAnsi="Times New Roman"/>
                <w:sz w:val="20"/>
              </w:rPr>
              <w:t>84.</w:t>
            </w:r>
            <w:r>
              <w:rPr>
                <w:rFonts w:ascii="Arial" w:hAnsi="Arial" w:cs="Arial"/>
                <w:sz w:val="20"/>
              </w:rPr>
              <w:t xml:space="preserve"> </w:t>
            </w:r>
            <w:r>
              <w:rPr>
                <w:rFonts w:ascii="Times New Roman" w:hAnsi="Times New Roman"/>
                <w:sz w:val="20"/>
              </w:rPr>
              <w:t xml:space="preserve"> </w:t>
            </w:r>
          </w:p>
        </w:tc>
        <w:tc>
          <w:tcPr>
            <w:tcW w:w="2056" w:type="dxa"/>
            <w:gridSpan w:val="2"/>
            <w:tcBorders>
              <w:top w:val="single" w:sz="4" w:space="0" w:color="000000"/>
              <w:left w:val="single" w:sz="4" w:space="0" w:color="000000"/>
              <w:bottom w:val="single" w:sz="4" w:space="0" w:color="000000"/>
              <w:right w:val="single" w:sz="4" w:space="0" w:color="000000"/>
            </w:tcBorders>
          </w:tcPr>
          <w:p w:rsidR="00043D8B" w:rsidRDefault="00043D8B" w:rsidP="00833647">
            <w:pPr>
              <w:spacing w:after="0"/>
              <w:ind w:left="1"/>
            </w:pPr>
            <w:r>
              <w:rPr>
                <w:rFonts w:ascii="Times New Roman" w:hAnsi="Times New Roman"/>
                <w:sz w:val="20"/>
              </w:rPr>
              <w:t xml:space="preserve">Európska iniciatíva občanov </w:t>
            </w:r>
          </w:p>
        </w:tc>
        <w:tc>
          <w:tcPr>
            <w:tcW w:w="4678" w:type="dxa"/>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1"/>
              <w:jc w:val="both"/>
            </w:pPr>
            <w:r>
              <w:rPr>
                <w:rFonts w:ascii="Times New Roman" w:hAnsi="Times New Roman"/>
                <w:sz w:val="20"/>
              </w:rPr>
              <w:t>Návrh NARIADENIE EURÓPSKEHO PARLAMENTU A RADY o európskej iniciatíve občanov* COM(2017) 482 final 2017/0220 (COD)  13. 9. 2017</w:t>
            </w:r>
          </w:p>
        </w:tc>
        <w:tc>
          <w:tcPr>
            <w:tcW w:w="1505" w:type="dxa"/>
            <w:tcBorders>
              <w:top w:val="single" w:sz="4" w:space="0" w:color="000000"/>
              <w:left w:val="single" w:sz="4" w:space="0" w:color="000000"/>
              <w:bottom w:val="single" w:sz="4" w:space="0" w:color="000000"/>
              <w:right w:val="single" w:sz="4" w:space="0" w:color="000000"/>
            </w:tcBorders>
          </w:tcPr>
          <w:p w:rsidR="00043D8B" w:rsidRPr="006458BF" w:rsidRDefault="00043D8B" w:rsidP="00D15EE0">
            <w:pPr>
              <w:spacing w:after="0"/>
              <w:rPr>
                <w:rFonts w:ascii="Times New Roman" w:hAnsi="Times New Roman"/>
                <w:b/>
                <w:sz w:val="20"/>
              </w:rPr>
            </w:pPr>
            <w:r>
              <w:rPr>
                <w:rFonts w:ascii="Times New Roman" w:hAnsi="Times New Roman"/>
                <w:b/>
                <w:sz w:val="20"/>
              </w:rPr>
              <w:t>MZVEZ SR</w:t>
            </w:r>
            <w:r w:rsidRPr="006458BF">
              <w:rPr>
                <w:rFonts w:ascii="Times New Roman" w:hAnsi="Times New Roman"/>
                <w:b/>
                <w:sz w:val="20"/>
              </w:rPr>
              <w:br/>
              <w:t>MV SR</w:t>
            </w:r>
          </w:p>
          <w:p w:rsidR="00043D8B" w:rsidRPr="006458BF" w:rsidRDefault="00043D8B" w:rsidP="00D15EE0">
            <w:pPr>
              <w:spacing w:after="0"/>
              <w:ind w:left="1"/>
              <w:rPr>
                <w:rFonts w:ascii="Times New Roman" w:hAnsi="Times New Roman"/>
                <w:b/>
                <w:sz w:val="20"/>
              </w:rPr>
            </w:pPr>
            <w:r w:rsidRPr="006458BF">
              <w:rPr>
                <w:rFonts w:ascii="Times New Roman" w:hAnsi="Times New Roman"/>
                <w:b/>
                <w:sz w:val="20"/>
              </w:rPr>
              <w:t xml:space="preserve">MS SR </w:t>
            </w:r>
          </w:p>
          <w:p w:rsidR="00043D8B" w:rsidRPr="006458BF" w:rsidRDefault="00043D8B" w:rsidP="00D15EE0">
            <w:pPr>
              <w:spacing w:after="0"/>
              <w:ind w:left="1"/>
              <w:rPr>
                <w:rFonts w:ascii="Times New Roman" w:hAnsi="Times New Roman"/>
                <w:b/>
                <w:sz w:val="20"/>
              </w:rPr>
            </w:pPr>
            <w:r w:rsidRPr="006458BF">
              <w:rPr>
                <w:rFonts w:ascii="Times New Roman" w:hAnsi="Times New Roman"/>
                <w:b/>
                <w:sz w:val="20"/>
              </w:rPr>
              <w:t>MF SR</w:t>
            </w:r>
          </w:p>
          <w:p w:rsidR="00043D8B" w:rsidRPr="006458BF" w:rsidRDefault="00043D8B" w:rsidP="00D15EE0">
            <w:pPr>
              <w:spacing w:after="0"/>
              <w:ind w:left="1"/>
              <w:rPr>
                <w:b/>
              </w:rPr>
            </w:pPr>
            <w:r w:rsidRPr="006458BF">
              <w:rPr>
                <w:rFonts w:ascii="Times New Roman" w:hAnsi="Times New Roman"/>
                <w:b/>
                <w:sz w:val="20"/>
              </w:rPr>
              <w:t>ÚOOÚ SR</w:t>
            </w:r>
          </w:p>
        </w:tc>
        <w:tc>
          <w:tcPr>
            <w:tcW w:w="6289" w:type="dxa"/>
            <w:tcBorders>
              <w:top w:val="single" w:sz="4" w:space="0" w:color="000000"/>
              <w:left w:val="single" w:sz="4" w:space="0" w:color="000000"/>
              <w:bottom w:val="single" w:sz="4" w:space="0" w:color="000000"/>
              <w:right w:val="single" w:sz="4" w:space="0" w:color="000000"/>
            </w:tcBorders>
          </w:tcPr>
          <w:p w:rsidR="00043D8B" w:rsidRPr="00043D8B" w:rsidRDefault="00043D8B" w:rsidP="00D15EE0">
            <w:pPr>
              <w:spacing w:after="0"/>
              <w:jc w:val="both"/>
              <w:rPr>
                <w:rFonts w:ascii="Times New Roman" w:hAnsi="Times New Roman"/>
                <w:b/>
                <w:color w:val="auto"/>
                <w:sz w:val="20"/>
                <w:szCs w:val="20"/>
                <w:u w:val="single"/>
              </w:rPr>
            </w:pPr>
            <w:r w:rsidRPr="007639A4">
              <w:rPr>
                <w:rFonts w:ascii="Times New Roman" w:hAnsi="Times New Roman"/>
                <w:b/>
                <w:color w:val="auto"/>
                <w:sz w:val="20"/>
                <w:szCs w:val="20"/>
                <w:u w:val="single"/>
              </w:rPr>
              <w:t>Vysoká priorita.</w:t>
            </w:r>
          </w:p>
          <w:p w:rsidR="00043D8B" w:rsidRPr="0084149F" w:rsidRDefault="00043D8B" w:rsidP="00D15EE0">
            <w:pPr>
              <w:spacing w:after="0"/>
              <w:ind w:left="1"/>
              <w:jc w:val="both"/>
              <w:rPr>
                <w:rFonts w:ascii="Times New Roman" w:hAnsi="Times New Roman"/>
                <w:color w:val="92D050"/>
                <w:sz w:val="20"/>
              </w:rPr>
            </w:pPr>
            <w:r w:rsidRPr="007639A4">
              <w:rPr>
                <w:rFonts w:ascii="Times New Roman" w:hAnsi="Times New Roman"/>
                <w:color w:val="auto"/>
                <w:sz w:val="20"/>
                <w:szCs w:val="20"/>
              </w:rPr>
              <w:t>ÚOOÚ SR je dozorným orgánom, ktorý sa podieľa na ochrane základných práv fyzických osôb pri spracúvaní osobných údajov. Podľa recitálu č. 117 NARIADENIA EURÓPSKEHO PARLAMENTU A RADY (EÚ) 2016/679 z 27. apríla 2016 o ochrane fyzických osôb pri spracúvaní osobných údajov a o voľnom pohybe takýchto údajov, ktorým sa zrušuje smernica 95/46/ES (všeobecné nariadenie o ochrane údajov) je zásadným prvkom ochrany fyzických osôb pri spracúvaní ich osobných údajov nezávislosť dozorných orgánov. V rámci SR je podľa § 80 ods. 1 zákona č. 18/2018 Z. z. o ochrane osobných údajov a o zmene a doplnení niektorých zákonov určený ako dozorný orgán - Úrad na ochranu osobných údajov SR (ÚOOÚ SR). Vzhľadom na tieto ustanovenia, ÚOOÚ nemôže byť spolugestorom, pretože by bola narušená jeho nezávislosť pri výkone kontrolných a dozorných činností nad spracúvaním osobných údajov, ktoré sú povolené aj na základe tohto právneho aktu. Ak by napriek uvedenému, bolo spolugestorstvo ÚOOÚ SR ponechané, vznikol by tak precedens a ÚOOÚ SR by musel byť gestorom každého právneho aktu, ktorý povoľuje spracúvanie osobných údajov.</w:t>
            </w:r>
          </w:p>
        </w:tc>
      </w:tr>
    </w:tbl>
    <w:p w:rsidR="00043D8B" w:rsidRDefault="00043D8B" w:rsidP="00043D8B">
      <w:pPr>
        <w:sectPr w:rsidR="00043D8B">
          <w:footerReference w:type="even" r:id="rId37"/>
          <w:footerReference w:type="default" r:id="rId38"/>
          <w:footerReference w:type="first" r:id="rId39"/>
          <w:pgSz w:w="16838" w:h="11906" w:orient="landscape"/>
          <w:pgMar w:top="1166" w:right="2917" w:bottom="965" w:left="1020" w:header="708" w:footer="592" w:gutter="0"/>
          <w:cols w:space="708"/>
        </w:sectPr>
      </w:pPr>
    </w:p>
    <w:p w:rsidR="00043D8B" w:rsidRDefault="00043D8B" w:rsidP="001129C1">
      <w:pPr>
        <w:spacing w:after="0"/>
        <w:ind w:right="351"/>
        <w:jc w:val="center"/>
        <w:rPr>
          <w:rFonts w:ascii="Times New Roman" w:hAnsi="Times New Roman" w:cs="Times New Roman"/>
          <w:b/>
          <w:sz w:val="28"/>
          <w:u w:val="single" w:color="000000"/>
        </w:rPr>
      </w:pPr>
      <w:r>
        <w:rPr>
          <w:rFonts w:ascii="Times New Roman" w:hAnsi="Times New Roman" w:cs="Times New Roman"/>
          <w:b/>
          <w:sz w:val="28"/>
          <w:u w:val="single" w:color="000000"/>
        </w:rPr>
        <w:t>Príloha IV: Návrhy, ktoré sa majú stiahnuť</w:t>
      </w:r>
    </w:p>
    <w:p w:rsidR="001129C1" w:rsidRDefault="001129C1" w:rsidP="001129C1">
      <w:pPr>
        <w:spacing w:after="0"/>
        <w:ind w:right="351"/>
        <w:jc w:val="center"/>
      </w:pPr>
    </w:p>
    <w:tbl>
      <w:tblPr>
        <w:tblStyle w:val="ablnaChar"/>
        <w:tblW w:w="14767" w:type="dxa"/>
        <w:tblInd w:w="-83" w:type="dxa"/>
        <w:tblLayout w:type="fixed"/>
        <w:tblCellMar>
          <w:top w:w="93" w:type="dxa"/>
          <w:left w:w="83" w:type="dxa"/>
        </w:tblCellMar>
        <w:tblLook w:val="04A0" w:firstRow="1" w:lastRow="0" w:firstColumn="1" w:lastColumn="0" w:noHBand="0" w:noVBand="1"/>
      </w:tblPr>
      <w:tblGrid>
        <w:gridCol w:w="591"/>
        <w:gridCol w:w="94"/>
        <w:gridCol w:w="2316"/>
        <w:gridCol w:w="32"/>
        <w:gridCol w:w="2286"/>
        <w:gridCol w:w="4812"/>
        <w:gridCol w:w="54"/>
        <w:gridCol w:w="1463"/>
        <w:gridCol w:w="3031"/>
        <w:gridCol w:w="88"/>
      </w:tblGrid>
      <w:tr w:rsidR="00043D8B" w:rsidTr="00E63E2A">
        <w:trPr>
          <w:gridAfter w:val="1"/>
          <w:wAfter w:w="88" w:type="dxa"/>
          <w:trHeight w:val="605"/>
        </w:trPr>
        <w:tc>
          <w:tcPr>
            <w:tcW w:w="685" w:type="dxa"/>
            <w:gridSpan w:val="2"/>
            <w:tcBorders>
              <w:top w:val="single" w:sz="4" w:space="0" w:color="000000"/>
              <w:left w:val="single" w:sz="4" w:space="0" w:color="000000"/>
              <w:bottom w:val="single" w:sz="34" w:space="0" w:color="92D050"/>
              <w:right w:val="single" w:sz="4" w:space="0" w:color="000000"/>
            </w:tcBorders>
            <w:shd w:val="clear" w:color="auto" w:fill="99CCFF"/>
          </w:tcPr>
          <w:p w:rsidR="00043D8B" w:rsidRPr="00444DEF" w:rsidRDefault="00043D8B" w:rsidP="00043D8B">
            <w:pPr>
              <w:ind w:left="1" w:right="308"/>
              <w:rPr>
                <w:rFonts w:ascii="Times New Roman" w:hAnsi="Times New Roman"/>
                <w:sz w:val="20"/>
              </w:rPr>
            </w:pPr>
            <w:r w:rsidRPr="00444DEF">
              <w:rPr>
                <w:rFonts w:ascii="Times New Roman" w:hAnsi="Times New Roman"/>
                <w:sz w:val="20"/>
              </w:rPr>
              <w:t xml:space="preserve">Č. </w:t>
            </w:r>
          </w:p>
        </w:tc>
        <w:tc>
          <w:tcPr>
            <w:tcW w:w="2316" w:type="dxa"/>
            <w:tcBorders>
              <w:top w:val="single" w:sz="4" w:space="0" w:color="000000"/>
              <w:left w:val="single" w:sz="4" w:space="0" w:color="000000"/>
              <w:bottom w:val="single" w:sz="34" w:space="0" w:color="92D050"/>
              <w:right w:val="single" w:sz="4" w:space="0" w:color="000000"/>
            </w:tcBorders>
            <w:shd w:val="clear" w:color="auto" w:fill="99CCFF"/>
          </w:tcPr>
          <w:p w:rsidR="00043D8B" w:rsidRPr="00444DEF" w:rsidRDefault="00043D8B" w:rsidP="00043D8B">
            <w:pPr>
              <w:ind w:left="1" w:right="308"/>
              <w:rPr>
                <w:rFonts w:ascii="Times New Roman" w:hAnsi="Times New Roman"/>
                <w:sz w:val="20"/>
              </w:rPr>
            </w:pPr>
            <w:r w:rsidRPr="00444DEF">
              <w:rPr>
                <w:rFonts w:ascii="Times New Roman" w:hAnsi="Times New Roman"/>
                <w:sz w:val="20"/>
              </w:rPr>
              <w:t xml:space="preserve">COM/Medziinštitucionálne číslo </w:t>
            </w:r>
          </w:p>
        </w:tc>
        <w:tc>
          <w:tcPr>
            <w:tcW w:w="2318" w:type="dxa"/>
            <w:gridSpan w:val="2"/>
            <w:tcBorders>
              <w:top w:val="single" w:sz="4" w:space="0" w:color="000000"/>
              <w:left w:val="single" w:sz="4" w:space="0" w:color="000000"/>
              <w:bottom w:val="single" w:sz="34" w:space="0" w:color="92D050"/>
              <w:right w:val="single" w:sz="4" w:space="0" w:color="000000"/>
            </w:tcBorders>
            <w:shd w:val="clear" w:color="auto" w:fill="99CCFF"/>
            <w:vAlign w:val="center"/>
          </w:tcPr>
          <w:p w:rsidR="00043D8B" w:rsidRPr="00444DEF" w:rsidRDefault="00043D8B" w:rsidP="00043D8B">
            <w:pPr>
              <w:ind w:left="1" w:right="308"/>
              <w:rPr>
                <w:rFonts w:ascii="Times New Roman" w:hAnsi="Times New Roman"/>
                <w:sz w:val="20"/>
              </w:rPr>
            </w:pPr>
            <w:r w:rsidRPr="00444DEF">
              <w:rPr>
                <w:rFonts w:ascii="Times New Roman" w:hAnsi="Times New Roman"/>
                <w:sz w:val="20"/>
              </w:rPr>
              <w:t>Názov</w:t>
            </w:r>
            <w:r>
              <w:rPr>
                <w:rFonts w:ascii="Times New Roman" w:hAnsi="Times New Roman"/>
                <w:sz w:val="20"/>
              </w:rPr>
              <w:t xml:space="preserve"> </w:t>
            </w:r>
          </w:p>
        </w:tc>
        <w:tc>
          <w:tcPr>
            <w:tcW w:w="4866" w:type="dxa"/>
            <w:gridSpan w:val="2"/>
            <w:tcBorders>
              <w:top w:val="single" w:sz="4" w:space="0" w:color="000000"/>
              <w:left w:val="single" w:sz="4" w:space="0" w:color="000000"/>
              <w:bottom w:val="single" w:sz="34" w:space="0" w:color="92D050"/>
              <w:right w:val="single" w:sz="4" w:space="0" w:color="000000"/>
            </w:tcBorders>
            <w:shd w:val="clear" w:color="auto" w:fill="99CCFF"/>
            <w:vAlign w:val="center"/>
          </w:tcPr>
          <w:p w:rsidR="00043D8B" w:rsidRPr="00444DEF" w:rsidRDefault="00043D8B" w:rsidP="00043D8B">
            <w:pPr>
              <w:ind w:left="1" w:right="308"/>
              <w:rPr>
                <w:rFonts w:ascii="Times New Roman" w:hAnsi="Times New Roman"/>
                <w:sz w:val="20"/>
              </w:rPr>
            </w:pPr>
            <w:r w:rsidRPr="00444DEF">
              <w:rPr>
                <w:rFonts w:ascii="Times New Roman" w:hAnsi="Times New Roman"/>
                <w:sz w:val="20"/>
              </w:rPr>
              <w:t>Dôvod stiahnutia</w:t>
            </w:r>
            <w:r>
              <w:rPr>
                <w:rFonts w:ascii="Times New Roman" w:hAnsi="Times New Roman"/>
                <w:sz w:val="20"/>
              </w:rPr>
              <w:t xml:space="preserve"> </w:t>
            </w:r>
          </w:p>
        </w:tc>
        <w:tc>
          <w:tcPr>
            <w:tcW w:w="1463" w:type="dxa"/>
            <w:tcBorders>
              <w:top w:val="single" w:sz="4" w:space="0" w:color="000000"/>
              <w:left w:val="single" w:sz="4" w:space="0" w:color="000000"/>
              <w:bottom w:val="single" w:sz="34" w:space="0" w:color="92D050"/>
              <w:right w:val="single" w:sz="4" w:space="0" w:color="000000"/>
            </w:tcBorders>
            <w:shd w:val="clear" w:color="auto" w:fill="99CCFF"/>
          </w:tcPr>
          <w:p w:rsidR="00043D8B" w:rsidRPr="00444DEF" w:rsidRDefault="00043D8B" w:rsidP="00043D8B">
            <w:pPr>
              <w:ind w:left="1" w:right="308"/>
              <w:rPr>
                <w:rFonts w:ascii="Times New Roman" w:hAnsi="Times New Roman"/>
                <w:sz w:val="20"/>
              </w:rPr>
            </w:pPr>
            <w:r w:rsidRPr="00444DEF">
              <w:rPr>
                <w:rFonts w:ascii="Times New Roman" w:hAnsi="Times New Roman"/>
                <w:sz w:val="20"/>
              </w:rPr>
              <w:t>Gestor</w:t>
            </w:r>
          </w:p>
        </w:tc>
        <w:tc>
          <w:tcPr>
            <w:tcW w:w="3031" w:type="dxa"/>
            <w:tcBorders>
              <w:top w:val="single" w:sz="4" w:space="0" w:color="000000"/>
              <w:left w:val="single" w:sz="4" w:space="0" w:color="000000"/>
              <w:bottom w:val="single" w:sz="34" w:space="0" w:color="92D050"/>
              <w:right w:val="single" w:sz="4" w:space="0" w:color="000000"/>
            </w:tcBorders>
            <w:shd w:val="clear" w:color="auto" w:fill="99CCFF"/>
          </w:tcPr>
          <w:p w:rsidR="00043D8B" w:rsidRPr="00444DEF" w:rsidRDefault="00043D8B" w:rsidP="00043D8B">
            <w:pPr>
              <w:ind w:left="1" w:right="308"/>
              <w:rPr>
                <w:rFonts w:ascii="Times New Roman" w:hAnsi="Times New Roman"/>
                <w:sz w:val="20"/>
              </w:rPr>
            </w:pPr>
            <w:r w:rsidRPr="00444DEF">
              <w:rPr>
                <w:rFonts w:ascii="Times New Roman" w:hAnsi="Times New Roman"/>
                <w:sz w:val="20"/>
              </w:rPr>
              <w:t>Pozícia SR</w:t>
            </w:r>
          </w:p>
        </w:tc>
      </w:tr>
      <w:tr w:rsidR="00043D8B" w:rsidTr="00E63E2A">
        <w:trPr>
          <w:gridAfter w:val="1"/>
          <w:wAfter w:w="88" w:type="dxa"/>
          <w:trHeight w:val="497"/>
        </w:trPr>
        <w:tc>
          <w:tcPr>
            <w:tcW w:w="10185" w:type="dxa"/>
            <w:gridSpan w:val="7"/>
            <w:tcBorders>
              <w:top w:val="single" w:sz="34" w:space="0" w:color="92D050"/>
              <w:left w:val="single" w:sz="4" w:space="0" w:color="000000"/>
              <w:bottom w:val="single" w:sz="4" w:space="0" w:color="000000"/>
              <w:right w:val="single" w:sz="4" w:space="0" w:color="000000"/>
            </w:tcBorders>
            <w:shd w:val="clear" w:color="auto" w:fill="92D050"/>
            <w:vAlign w:val="center"/>
          </w:tcPr>
          <w:p w:rsidR="00043D8B" w:rsidRPr="001129C1" w:rsidRDefault="00043D8B" w:rsidP="00043D8B">
            <w:pPr>
              <w:ind w:left="1" w:right="308"/>
              <w:rPr>
                <w:rFonts w:ascii="Times New Roman" w:hAnsi="Times New Roman"/>
                <w:b/>
                <w:sz w:val="20"/>
              </w:rPr>
            </w:pPr>
            <w:r w:rsidRPr="001129C1">
              <w:rPr>
                <w:rFonts w:ascii="Times New Roman" w:hAnsi="Times New Roman"/>
                <w:b/>
                <w:sz w:val="20"/>
              </w:rPr>
              <w:t xml:space="preserve">Hospodárske a finančné záležitosti, dane a clá </w:t>
            </w:r>
          </w:p>
        </w:tc>
        <w:tc>
          <w:tcPr>
            <w:tcW w:w="1463" w:type="dxa"/>
            <w:tcBorders>
              <w:top w:val="single" w:sz="34" w:space="0" w:color="92D050"/>
              <w:left w:val="single" w:sz="4" w:space="0" w:color="000000"/>
              <w:bottom w:val="single" w:sz="4" w:space="0" w:color="000000"/>
              <w:right w:val="single" w:sz="4" w:space="0" w:color="000000"/>
            </w:tcBorders>
            <w:shd w:val="clear" w:color="auto" w:fill="92D050"/>
          </w:tcPr>
          <w:p w:rsidR="00043D8B" w:rsidRPr="00444DEF" w:rsidRDefault="00043D8B" w:rsidP="00043D8B">
            <w:pPr>
              <w:ind w:left="1" w:right="308"/>
              <w:rPr>
                <w:rFonts w:ascii="Times New Roman" w:hAnsi="Times New Roman"/>
                <w:sz w:val="20"/>
              </w:rPr>
            </w:pPr>
          </w:p>
        </w:tc>
        <w:tc>
          <w:tcPr>
            <w:tcW w:w="3031" w:type="dxa"/>
            <w:tcBorders>
              <w:top w:val="single" w:sz="34" w:space="0" w:color="92D050"/>
              <w:left w:val="single" w:sz="4" w:space="0" w:color="000000"/>
              <w:bottom w:val="single" w:sz="4" w:space="0" w:color="000000"/>
              <w:right w:val="single" w:sz="4" w:space="0" w:color="000000"/>
            </w:tcBorders>
            <w:shd w:val="clear" w:color="auto" w:fill="92D050"/>
          </w:tcPr>
          <w:p w:rsidR="00043D8B" w:rsidRPr="00444DEF" w:rsidRDefault="00043D8B" w:rsidP="00043D8B">
            <w:pPr>
              <w:ind w:left="1" w:right="308"/>
              <w:rPr>
                <w:rFonts w:ascii="Times New Roman" w:hAnsi="Times New Roman"/>
                <w:sz w:val="20"/>
              </w:rPr>
            </w:pPr>
          </w:p>
        </w:tc>
      </w:tr>
      <w:tr w:rsidR="00043D8B" w:rsidTr="00E63E2A">
        <w:trPr>
          <w:gridAfter w:val="1"/>
          <w:wAfter w:w="88" w:type="dxa"/>
          <w:trHeight w:val="1364"/>
        </w:trPr>
        <w:tc>
          <w:tcPr>
            <w:tcW w:w="685" w:type="dxa"/>
            <w:gridSpan w:val="2"/>
            <w:tcBorders>
              <w:top w:val="single" w:sz="4" w:space="0" w:color="000000"/>
              <w:left w:val="single" w:sz="4" w:space="0" w:color="000000"/>
              <w:bottom w:val="single" w:sz="4" w:space="0" w:color="000000"/>
              <w:right w:val="single" w:sz="4" w:space="0" w:color="000000"/>
            </w:tcBorders>
          </w:tcPr>
          <w:p w:rsidR="00043D8B" w:rsidRPr="00444DEF" w:rsidRDefault="00043D8B" w:rsidP="001129C1">
            <w:pPr>
              <w:spacing w:after="0"/>
              <w:ind w:left="1" w:right="308"/>
              <w:rPr>
                <w:rFonts w:ascii="Times New Roman" w:hAnsi="Times New Roman"/>
                <w:sz w:val="20"/>
              </w:rPr>
            </w:pPr>
            <w:r>
              <w:rPr>
                <w:rFonts w:ascii="Times New Roman" w:hAnsi="Times New Roman"/>
                <w:sz w:val="20"/>
              </w:rPr>
              <w:t>1.</w:t>
            </w:r>
            <w:r w:rsidRPr="00444DEF">
              <w:rPr>
                <w:rFonts w:ascii="Times New Roman" w:hAnsi="Times New Roman"/>
                <w:sz w:val="20"/>
              </w:rPr>
              <w:t xml:space="preserve"> </w:t>
            </w:r>
            <w:r>
              <w:rPr>
                <w:rFonts w:ascii="Times New Roman" w:hAnsi="Times New Roman"/>
                <w:sz w:val="20"/>
              </w:rPr>
              <w:t xml:space="preserve"> </w:t>
            </w:r>
          </w:p>
        </w:tc>
        <w:tc>
          <w:tcPr>
            <w:tcW w:w="2316" w:type="dxa"/>
            <w:tcBorders>
              <w:top w:val="single" w:sz="4" w:space="0" w:color="000000"/>
              <w:left w:val="single" w:sz="4" w:space="0" w:color="000000"/>
              <w:bottom w:val="single" w:sz="4" w:space="0" w:color="000000"/>
              <w:right w:val="single" w:sz="4" w:space="0" w:color="000000"/>
            </w:tcBorders>
          </w:tcPr>
          <w:p w:rsidR="00043D8B" w:rsidRPr="00444DEF" w:rsidRDefault="00043D8B" w:rsidP="001129C1">
            <w:pPr>
              <w:tabs>
                <w:tab w:val="right" w:pos="2529"/>
              </w:tabs>
              <w:spacing w:after="0"/>
              <w:ind w:left="1" w:right="308"/>
              <w:rPr>
                <w:rFonts w:ascii="Times New Roman" w:hAnsi="Times New Roman"/>
                <w:sz w:val="20"/>
              </w:rPr>
            </w:pPr>
            <w:r>
              <w:rPr>
                <w:rFonts w:ascii="Times New Roman" w:hAnsi="Times New Roman"/>
                <w:sz w:val="20"/>
              </w:rPr>
              <w:t xml:space="preserve">SEK(2008) </w:t>
            </w:r>
            <w:r>
              <w:rPr>
                <w:rFonts w:ascii="Times New Roman" w:hAnsi="Times New Roman"/>
                <w:sz w:val="20"/>
              </w:rPr>
              <w:tab/>
              <w:t xml:space="preserve">2302 </w:t>
            </w:r>
          </w:p>
          <w:p w:rsidR="00043D8B" w:rsidRPr="00444DEF" w:rsidRDefault="00043D8B" w:rsidP="001129C1">
            <w:pPr>
              <w:spacing w:after="0"/>
              <w:ind w:left="1" w:right="308"/>
              <w:rPr>
                <w:rFonts w:ascii="Times New Roman" w:hAnsi="Times New Roman"/>
                <w:sz w:val="20"/>
              </w:rPr>
            </w:pPr>
            <w:r>
              <w:rPr>
                <w:rFonts w:ascii="Times New Roman" w:hAnsi="Times New Roman"/>
                <w:sz w:val="20"/>
              </w:rPr>
              <w:t xml:space="preserve">v konenčnom znení </w:t>
            </w:r>
          </w:p>
        </w:tc>
        <w:tc>
          <w:tcPr>
            <w:tcW w:w="2318" w:type="dxa"/>
            <w:gridSpan w:val="2"/>
            <w:tcBorders>
              <w:top w:val="single" w:sz="4" w:space="0" w:color="000000"/>
              <w:left w:val="single" w:sz="4" w:space="0" w:color="000000"/>
              <w:bottom w:val="single" w:sz="4" w:space="0" w:color="000000"/>
              <w:right w:val="single" w:sz="4" w:space="0" w:color="000000"/>
            </w:tcBorders>
          </w:tcPr>
          <w:p w:rsidR="00043D8B" w:rsidRPr="00444DEF" w:rsidRDefault="00043D8B" w:rsidP="00D15EE0">
            <w:pPr>
              <w:spacing w:after="0"/>
              <w:ind w:left="1" w:right="308"/>
              <w:jc w:val="both"/>
              <w:rPr>
                <w:rFonts w:ascii="Times New Roman" w:hAnsi="Times New Roman"/>
                <w:sz w:val="20"/>
              </w:rPr>
            </w:pPr>
            <w:r>
              <w:rPr>
                <w:rFonts w:ascii="Times New Roman" w:hAnsi="Times New Roman"/>
                <w:sz w:val="20"/>
              </w:rPr>
              <w:t>Odporúčanie na ROZHODNUTIE RADY, ktorým sa Komisia poveruje rokovať s Nórskym kráľovstvom o dohode na účely uplatňovania opatrení      rovnocenných s opatreniami stanovenými v smernici Rady 2003/48/ES z 3. júna 2003 o zdaňovaní príjmu z úspor v podobe výplaty úrokov</w:t>
            </w:r>
            <w:r w:rsidRPr="00444DEF">
              <w:rPr>
                <w:rFonts w:ascii="Times New Roman" w:hAnsi="Times New Roman"/>
                <w:sz w:val="20"/>
              </w:rPr>
              <w:t xml:space="preserve"> </w:t>
            </w:r>
          </w:p>
        </w:tc>
        <w:tc>
          <w:tcPr>
            <w:tcW w:w="4866" w:type="dxa"/>
            <w:gridSpan w:val="2"/>
            <w:tcBorders>
              <w:top w:val="single" w:sz="4" w:space="0" w:color="000000"/>
              <w:left w:val="single" w:sz="4" w:space="0" w:color="000000"/>
              <w:bottom w:val="single" w:sz="4" w:space="0" w:color="000000"/>
              <w:right w:val="single" w:sz="4" w:space="0" w:color="000000"/>
            </w:tcBorders>
          </w:tcPr>
          <w:p w:rsidR="00043D8B" w:rsidRPr="00444DEF" w:rsidRDefault="00043D8B" w:rsidP="00D15EE0">
            <w:pPr>
              <w:spacing w:after="0"/>
              <w:ind w:left="1" w:right="308"/>
              <w:jc w:val="both"/>
              <w:rPr>
                <w:rFonts w:ascii="Times New Roman" w:hAnsi="Times New Roman"/>
                <w:sz w:val="20"/>
              </w:rPr>
            </w:pPr>
            <w:r>
              <w:rPr>
                <w:rFonts w:ascii="Times New Roman" w:hAnsi="Times New Roman"/>
                <w:sz w:val="20"/>
              </w:rPr>
              <w:t xml:space="preserve">Neaktuálny návrh: na túto záležitosť sa vzťahuje spoločný štandard oznamovania v daňových záležitostiach (CRS) vypracovaný na žiadosť G20 a schválený Radou OECD 15. júla 2014. Mnohostranná dohoda, ktorou sa vykonáva CRS, sa vzťahuje na EÚ a Nórsko.  </w:t>
            </w:r>
          </w:p>
        </w:tc>
        <w:tc>
          <w:tcPr>
            <w:tcW w:w="1463" w:type="dxa"/>
            <w:tcBorders>
              <w:top w:val="single" w:sz="4" w:space="0" w:color="000000"/>
              <w:left w:val="single" w:sz="4" w:space="0" w:color="000000"/>
              <w:bottom w:val="single" w:sz="4" w:space="0" w:color="000000"/>
              <w:right w:val="single" w:sz="4" w:space="0" w:color="000000"/>
            </w:tcBorders>
          </w:tcPr>
          <w:p w:rsidR="00043D8B" w:rsidRPr="006458BF" w:rsidRDefault="00043D8B" w:rsidP="001129C1">
            <w:pPr>
              <w:spacing w:after="0"/>
              <w:ind w:left="1" w:right="308"/>
              <w:rPr>
                <w:rFonts w:ascii="Times New Roman" w:hAnsi="Times New Roman"/>
                <w:b/>
                <w:sz w:val="20"/>
              </w:rPr>
            </w:pPr>
            <w:r w:rsidRPr="006458BF">
              <w:rPr>
                <w:rFonts w:ascii="Times New Roman" w:hAnsi="Times New Roman"/>
                <w:b/>
                <w:sz w:val="20"/>
              </w:rPr>
              <w:t>MF SR</w:t>
            </w:r>
          </w:p>
        </w:tc>
        <w:tc>
          <w:tcPr>
            <w:tcW w:w="3031" w:type="dxa"/>
            <w:tcBorders>
              <w:top w:val="single" w:sz="4" w:space="0" w:color="000000"/>
              <w:left w:val="single" w:sz="4" w:space="0" w:color="000000"/>
              <w:bottom w:val="single" w:sz="4" w:space="0" w:color="000000"/>
              <w:right w:val="single" w:sz="4" w:space="0" w:color="000000"/>
            </w:tcBorders>
          </w:tcPr>
          <w:p w:rsidR="00043D8B" w:rsidRPr="00880B33" w:rsidRDefault="00043D8B" w:rsidP="001129C1">
            <w:pPr>
              <w:spacing w:after="0"/>
              <w:ind w:left="1" w:right="308"/>
              <w:rPr>
                <w:rFonts w:ascii="Times New Roman" w:hAnsi="Times New Roman"/>
                <w:sz w:val="20"/>
              </w:rPr>
            </w:pPr>
            <w:r w:rsidRPr="00880B33">
              <w:rPr>
                <w:rFonts w:ascii="Times New Roman" w:hAnsi="Times New Roman"/>
                <w:sz w:val="20"/>
              </w:rPr>
              <w:t>SR súhlasí so stiahnutím návrhu.</w:t>
            </w:r>
          </w:p>
        </w:tc>
      </w:tr>
      <w:tr w:rsidR="00043D8B" w:rsidTr="00E63E2A">
        <w:trPr>
          <w:gridAfter w:val="1"/>
          <w:wAfter w:w="88" w:type="dxa"/>
          <w:trHeight w:val="1026"/>
        </w:trPr>
        <w:tc>
          <w:tcPr>
            <w:tcW w:w="685" w:type="dxa"/>
            <w:gridSpan w:val="2"/>
            <w:tcBorders>
              <w:top w:val="single" w:sz="4" w:space="0" w:color="000000"/>
              <w:left w:val="single" w:sz="4" w:space="0" w:color="000000"/>
              <w:bottom w:val="single" w:sz="4" w:space="0" w:color="000000"/>
              <w:right w:val="single" w:sz="4" w:space="0" w:color="000000"/>
            </w:tcBorders>
          </w:tcPr>
          <w:p w:rsidR="00043D8B" w:rsidRDefault="00043D8B" w:rsidP="001129C1">
            <w:pPr>
              <w:spacing w:after="0"/>
              <w:ind w:right="250"/>
              <w:jc w:val="right"/>
            </w:pPr>
            <w:r>
              <w:rPr>
                <w:rFonts w:ascii="Times New Roman" w:hAnsi="Times New Roman"/>
                <w:sz w:val="20"/>
              </w:rPr>
              <w:t>2.</w:t>
            </w:r>
            <w:r>
              <w:rPr>
                <w:rFonts w:ascii="Arial" w:hAnsi="Arial" w:cs="Arial"/>
                <w:sz w:val="20"/>
              </w:rPr>
              <w:t xml:space="preserve"> </w:t>
            </w:r>
            <w:r>
              <w:rPr>
                <w:rFonts w:ascii="Times New Roman" w:hAnsi="Times New Roman"/>
                <w:sz w:val="20"/>
              </w:rPr>
              <w:t xml:space="preserve"> </w:t>
            </w:r>
          </w:p>
        </w:tc>
        <w:tc>
          <w:tcPr>
            <w:tcW w:w="2316" w:type="dxa"/>
            <w:tcBorders>
              <w:top w:val="single" w:sz="4" w:space="0" w:color="000000"/>
              <w:left w:val="single" w:sz="4" w:space="0" w:color="000000"/>
              <w:bottom w:val="single" w:sz="4" w:space="0" w:color="000000"/>
              <w:right w:val="single" w:sz="4" w:space="0" w:color="000000"/>
            </w:tcBorders>
          </w:tcPr>
          <w:p w:rsidR="00043D8B" w:rsidRDefault="00043D8B" w:rsidP="001129C1">
            <w:pPr>
              <w:tabs>
                <w:tab w:val="right" w:pos="2529"/>
              </w:tabs>
              <w:spacing w:after="0"/>
            </w:pPr>
            <w:r>
              <w:rPr>
                <w:rFonts w:ascii="Times New Roman" w:hAnsi="Times New Roman"/>
                <w:sz w:val="20"/>
              </w:rPr>
              <w:t xml:space="preserve">KOM(2009) </w:t>
            </w:r>
            <w:r>
              <w:rPr>
                <w:rFonts w:ascii="Times New Roman" w:hAnsi="Times New Roman"/>
                <w:sz w:val="20"/>
              </w:rPr>
              <w:tab/>
              <w:t xml:space="preserve">644 </w:t>
            </w:r>
          </w:p>
          <w:p w:rsidR="00043D8B" w:rsidRDefault="00043D8B" w:rsidP="001129C1">
            <w:pPr>
              <w:spacing w:after="0"/>
              <w:ind w:left="1" w:right="53"/>
            </w:pPr>
            <w:r>
              <w:rPr>
                <w:rFonts w:ascii="Times New Roman" w:hAnsi="Times New Roman"/>
                <w:sz w:val="20"/>
              </w:rPr>
              <w:t xml:space="preserve">v konenčnom znení 2008/0234 (CNS) </w:t>
            </w:r>
          </w:p>
        </w:tc>
        <w:tc>
          <w:tcPr>
            <w:tcW w:w="2318" w:type="dxa"/>
            <w:gridSpan w:val="2"/>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4" w:right="86"/>
              <w:jc w:val="both"/>
            </w:pPr>
            <w:r>
              <w:rPr>
                <w:rFonts w:ascii="Times New Roman" w:hAnsi="Times New Roman"/>
                <w:sz w:val="20"/>
              </w:rPr>
              <w:t xml:space="preserve">Zmenený a doplnený návrh rozhodnutia Rady o podpísaní v mene Európskej únie Dohody o spolupráci medzi Európskou úniou a jej členskými štátmi na jednej strane a Lichtenštajnským kniežatstvom na strane druhej na účely boja proti podvodom a iným protiprávnym konania poškodzujúcim ich finančné záujmy a na účely zabezpečenia výmeny informácií o daňových otázkach a o jej dočasnom uplatňovaní </w:t>
            </w:r>
          </w:p>
        </w:tc>
        <w:tc>
          <w:tcPr>
            <w:tcW w:w="4866" w:type="dxa"/>
            <w:gridSpan w:val="2"/>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4" w:right="85"/>
              <w:jc w:val="both"/>
            </w:pPr>
            <w:r>
              <w:rPr>
                <w:rFonts w:ascii="Times New Roman" w:hAnsi="Times New Roman"/>
                <w:sz w:val="20"/>
              </w:rPr>
              <w:t xml:space="preserve">Neaktuálny návrh: na túto záležitosť sa vzťahuje dohoda medzi EÚ a Lichtenštajnskom o zdaňovaní príjmu z úspor v znení z roku 2015 („dohoda o automatickej výmene daňových informácií“), ktorá je v súlade so spoločným štandardom oznamovania v daňových záležitostiach OECD (CRS). </w:t>
            </w:r>
          </w:p>
        </w:tc>
        <w:tc>
          <w:tcPr>
            <w:tcW w:w="1463" w:type="dxa"/>
            <w:tcBorders>
              <w:top w:val="single" w:sz="4" w:space="0" w:color="000000"/>
              <w:left w:val="single" w:sz="4" w:space="0" w:color="000000"/>
              <w:bottom w:val="single" w:sz="4" w:space="0" w:color="000000"/>
              <w:right w:val="single" w:sz="4" w:space="0" w:color="000000"/>
            </w:tcBorders>
          </w:tcPr>
          <w:p w:rsidR="00043D8B" w:rsidRPr="006458BF" w:rsidRDefault="00043D8B" w:rsidP="001129C1">
            <w:pPr>
              <w:spacing w:after="0"/>
              <w:ind w:left="4" w:right="85"/>
              <w:jc w:val="both"/>
              <w:rPr>
                <w:rFonts w:ascii="Times New Roman" w:hAnsi="Times New Roman"/>
                <w:b/>
                <w:sz w:val="20"/>
              </w:rPr>
            </w:pPr>
            <w:r w:rsidRPr="006458BF">
              <w:rPr>
                <w:rFonts w:ascii="Times New Roman" w:hAnsi="Times New Roman"/>
                <w:b/>
                <w:sz w:val="20"/>
              </w:rPr>
              <w:t>MF SR</w:t>
            </w:r>
          </w:p>
        </w:tc>
        <w:tc>
          <w:tcPr>
            <w:tcW w:w="3031" w:type="dxa"/>
            <w:tcBorders>
              <w:top w:val="single" w:sz="4" w:space="0" w:color="000000"/>
              <w:left w:val="single" w:sz="4" w:space="0" w:color="000000"/>
              <w:bottom w:val="single" w:sz="4" w:space="0" w:color="000000"/>
              <w:right w:val="single" w:sz="4" w:space="0" w:color="000000"/>
            </w:tcBorders>
          </w:tcPr>
          <w:p w:rsidR="00043D8B" w:rsidRPr="00880B33" w:rsidRDefault="00043D8B" w:rsidP="001129C1">
            <w:pPr>
              <w:spacing w:after="0"/>
              <w:ind w:left="4" w:right="85"/>
              <w:jc w:val="both"/>
              <w:rPr>
                <w:rFonts w:ascii="Times New Roman" w:hAnsi="Times New Roman"/>
                <w:sz w:val="20"/>
              </w:rPr>
            </w:pPr>
            <w:r w:rsidRPr="00880B33">
              <w:rPr>
                <w:rFonts w:ascii="Times New Roman" w:hAnsi="Times New Roman"/>
                <w:sz w:val="20"/>
              </w:rPr>
              <w:t>SR súhlasí so stiahnutím návrhu.</w:t>
            </w:r>
          </w:p>
        </w:tc>
      </w:tr>
      <w:tr w:rsidR="00043D8B" w:rsidTr="00E63E2A">
        <w:trPr>
          <w:gridAfter w:val="1"/>
          <w:wAfter w:w="88" w:type="dxa"/>
          <w:trHeight w:val="1792"/>
        </w:trPr>
        <w:tc>
          <w:tcPr>
            <w:tcW w:w="685" w:type="dxa"/>
            <w:gridSpan w:val="2"/>
            <w:tcBorders>
              <w:top w:val="single" w:sz="4" w:space="0" w:color="000000"/>
              <w:left w:val="single" w:sz="4" w:space="0" w:color="000000"/>
              <w:bottom w:val="single" w:sz="4" w:space="0" w:color="000000"/>
              <w:right w:val="single" w:sz="4" w:space="0" w:color="000000"/>
            </w:tcBorders>
          </w:tcPr>
          <w:p w:rsidR="00043D8B" w:rsidRDefault="00043D8B" w:rsidP="00043D8B">
            <w:pPr>
              <w:ind w:right="250"/>
              <w:jc w:val="right"/>
            </w:pPr>
            <w:r>
              <w:rPr>
                <w:rFonts w:ascii="Times New Roman" w:hAnsi="Times New Roman"/>
                <w:sz w:val="20"/>
              </w:rPr>
              <w:t>3.</w:t>
            </w:r>
            <w:r>
              <w:rPr>
                <w:rFonts w:ascii="Arial" w:hAnsi="Arial" w:cs="Arial"/>
                <w:sz w:val="20"/>
              </w:rPr>
              <w:t xml:space="preserve"> </w:t>
            </w:r>
            <w:r>
              <w:rPr>
                <w:rFonts w:ascii="Times New Roman" w:hAnsi="Times New Roman"/>
                <w:sz w:val="20"/>
              </w:rPr>
              <w:t xml:space="preserve"> </w:t>
            </w:r>
          </w:p>
        </w:tc>
        <w:tc>
          <w:tcPr>
            <w:tcW w:w="2316" w:type="dxa"/>
            <w:tcBorders>
              <w:top w:val="single" w:sz="4" w:space="0" w:color="000000"/>
              <w:left w:val="single" w:sz="4" w:space="0" w:color="000000"/>
              <w:bottom w:val="single" w:sz="4" w:space="0" w:color="000000"/>
              <w:right w:val="single" w:sz="4" w:space="0" w:color="000000"/>
            </w:tcBorders>
          </w:tcPr>
          <w:p w:rsidR="00043D8B" w:rsidRDefault="00043D8B" w:rsidP="00043D8B">
            <w:pPr>
              <w:spacing w:after="2" w:line="237" w:lineRule="auto"/>
              <w:ind w:left="1"/>
            </w:pPr>
            <w:r>
              <w:rPr>
                <w:rFonts w:ascii="Times New Roman" w:hAnsi="Times New Roman"/>
                <w:sz w:val="20"/>
              </w:rPr>
              <w:t xml:space="preserve">KOM(2009) 648 v konečnom znení </w:t>
            </w:r>
          </w:p>
          <w:p w:rsidR="00043D8B" w:rsidRDefault="00043D8B" w:rsidP="00043D8B">
            <w:pPr>
              <w:ind w:left="1"/>
            </w:pPr>
            <w:r>
              <w:rPr>
                <w:rFonts w:ascii="Times New Roman" w:hAnsi="Times New Roman"/>
                <w:sz w:val="20"/>
              </w:rPr>
              <w:t xml:space="preserve">2008/0234 (CNS) </w:t>
            </w:r>
          </w:p>
        </w:tc>
        <w:tc>
          <w:tcPr>
            <w:tcW w:w="2318" w:type="dxa"/>
            <w:gridSpan w:val="2"/>
            <w:tcBorders>
              <w:top w:val="single" w:sz="4" w:space="0" w:color="000000"/>
              <w:left w:val="single" w:sz="4" w:space="0" w:color="000000"/>
              <w:bottom w:val="single" w:sz="4" w:space="0" w:color="000000"/>
              <w:right w:val="single" w:sz="4" w:space="0" w:color="000000"/>
            </w:tcBorders>
          </w:tcPr>
          <w:p w:rsidR="00043D8B" w:rsidRDefault="00043D8B" w:rsidP="00D15EE0">
            <w:pPr>
              <w:ind w:left="4" w:right="85"/>
              <w:jc w:val="both"/>
            </w:pPr>
            <w:r>
              <w:rPr>
                <w:rFonts w:ascii="Times New Roman" w:hAnsi="Times New Roman"/>
                <w:sz w:val="20"/>
              </w:rPr>
              <w:t xml:space="preserve">Zmenený a doplnený návrh rozhodnutia Rady o uzatvorení v mene Európskej únie Dohody o spolupráci medzi Európskou úniou a jej členskými štátmi na jednej strane a Lichtenštajnským kniežatstvom na strane druhej na účely boja proti podvodom a iným protiprávnym konaniam poškodzujúcim ich finančné záujmy a na účely zabezpečenia výmeny informácií o daňových otázkach </w:t>
            </w:r>
          </w:p>
        </w:tc>
        <w:tc>
          <w:tcPr>
            <w:tcW w:w="4866" w:type="dxa"/>
            <w:gridSpan w:val="2"/>
            <w:tcBorders>
              <w:top w:val="single" w:sz="4" w:space="0" w:color="000000"/>
              <w:left w:val="single" w:sz="4" w:space="0" w:color="000000"/>
              <w:bottom w:val="single" w:sz="4" w:space="0" w:color="000000"/>
              <w:right w:val="single" w:sz="4" w:space="0" w:color="000000"/>
            </w:tcBorders>
          </w:tcPr>
          <w:p w:rsidR="00043D8B" w:rsidRDefault="00043D8B" w:rsidP="00D15EE0">
            <w:pPr>
              <w:ind w:left="4" w:right="85"/>
              <w:jc w:val="both"/>
            </w:pPr>
            <w:r>
              <w:rPr>
                <w:rFonts w:ascii="Times New Roman" w:hAnsi="Times New Roman"/>
                <w:sz w:val="20"/>
              </w:rPr>
              <w:t xml:space="preserve">Neaktuálny návrh: na túto záležitosť sa vzťahuje dohoda medzi EÚ a Lichtenštajnskom o zdaňovaní príjmu z úspor v znení z roku 2015 („dohoda o automatickej výmene daňových informácií“), ktorá je v súlade so spoločným štandardom oznamovania v daňových záležitostiach OECD (CRS). </w:t>
            </w:r>
          </w:p>
        </w:tc>
        <w:tc>
          <w:tcPr>
            <w:tcW w:w="1463" w:type="dxa"/>
            <w:tcBorders>
              <w:top w:val="single" w:sz="4" w:space="0" w:color="000000"/>
              <w:left w:val="single" w:sz="4" w:space="0" w:color="000000"/>
              <w:bottom w:val="single" w:sz="4" w:space="0" w:color="000000"/>
              <w:right w:val="single" w:sz="4" w:space="0" w:color="000000"/>
            </w:tcBorders>
          </w:tcPr>
          <w:p w:rsidR="00043D8B" w:rsidRPr="006458BF" w:rsidRDefault="00043D8B" w:rsidP="00043D8B">
            <w:pPr>
              <w:ind w:left="4" w:right="85"/>
              <w:jc w:val="both"/>
              <w:rPr>
                <w:rFonts w:ascii="Times New Roman" w:hAnsi="Times New Roman"/>
                <w:b/>
                <w:sz w:val="20"/>
              </w:rPr>
            </w:pPr>
            <w:r w:rsidRPr="006458BF">
              <w:rPr>
                <w:rFonts w:ascii="Times New Roman" w:hAnsi="Times New Roman"/>
                <w:b/>
                <w:sz w:val="20"/>
              </w:rPr>
              <w:t>MF SR</w:t>
            </w:r>
          </w:p>
        </w:tc>
        <w:tc>
          <w:tcPr>
            <w:tcW w:w="3031" w:type="dxa"/>
            <w:tcBorders>
              <w:top w:val="single" w:sz="4" w:space="0" w:color="000000"/>
              <w:left w:val="single" w:sz="4" w:space="0" w:color="000000"/>
              <w:bottom w:val="single" w:sz="4" w:space="0" w:color="000000"/>
              <w:right w:val="single" w:sz="4" w:space="0" w:color="000000"/>
            </w:tcBorders>
          </w:tcPr>
          <w:p w:rsidR="00043D8B" w:rsidRPr="00880B33" w:rsidRDefault="00043D8B" w:rsidP="00043D8B">
            <w:pPr>
              <w:ind w:left="4" w:right="85"/>
              <w:jc w:val="both"/>
              <w:rPr>
                <w:rFonts w:ascii="Times New Roman" w:hAnsi="Times New Roman"/>
                <w:sz w:val="20"/>
              </w:rPr>
            </w:pPr>
            <w:r w:rsidRPr="00880B33">
              <w:rPr>
                <w:rFonts w:ascii="Times New Roman" w:hAnsi="Times New Roman"/>
                <w:sz w:val="20"/>
              </w:rPr>
              <w:t>SR súhlasí so stiahnutím návrhu.</w:t>
            </w:r>
          </w:p>
        </w:tc>
      </w:tr>
      <w:tr w:rsidR="00043D8B" w:rsidTr="00E63E2A">
        <w:trPr>
          <w:gridAfter w:val="1"/>
          <w:wAfter w:w="88" w:type="dxa"/>
          <w:trHeight w:val="495"/>
        </w:trPr>
        <w:tc>
          <w:tcPr>
            <w:tcW w:w="10185" w:type="dxa"/>
            <w:gridSpan w:val="7"/>
            <w:tcBorders>
              <w:top w:val="single" w:sz="4" w:space="0" w:color="000000"/>
              <w:left w:val="single" w:sz="4" w:space="0" w:color="000000"/>
              <w:bottom w:val="single" w:sz="4" w:space="0" w:color="000000"/>
              <w:right w:val="single" w:sz="4" w:space="0" w:color="000000"/>
            </w:tcBorders>
            <w:shd w:val="clear" w:color="auto" w:fill="92D050"/>
            <w:vAlign w:val="center"/>
          </w:tcPr>
          <w:p w:rsidR="00043D8B" w:rsidRDefault="00043D8B" w:rsidP="00D15EE0">
            <w:pPr>
              <w:jc w:val="both"/>
            </w:pPr>
            <w:r>
              <w:rPr>
                <w:rFonts w:ascii="Times New Roman" w:hAnsi="Times New Roman"/>
                <w:b/>
                <w:sz w:val="20"/>
              </w:rPr>
              <w:t xml:space="preserve">Námorné záležitosti a rybárstvo </w:t>
            </w:r>
          </w:p>
        </w:tc>
        <w:tc>
          <w:tcPr>
            <w:tcW w:w="1463" w:type="dxa"/>
            <w:tcBorders>
              <w:top w:val="single" w:sz="4" w:space="0" w:color="000000"/>
              <w:left w:val="single" w:sz="4" w:space="0" w:color="000000"/>
              <w:bottom w:val="single" w:sz="4" w:space="0" w:color="000000"/>
              <w:right w:val="single" w:sz="4" w:space="0" w:color="000000"/>
            </w:tcBorders>
            <w:shd w:val="clear" w:color="auto" w:fill="92D050"/>
          </w:tcPr>
          <w:p w:rsidR="00043D8B" w:rsidRDefault="00043D8B" w:rsidP="00043D8B">
            <w:pPr>
              <w:rPr>
                <w:rFonts w:ascii="Times New Roman" w:hAnsi="Times New Roman"/>
                <w:b/>
                <w:sz w:val="20"/>
              </w:rPr>
            </w:pPr>
          </w:p>
        </w:tc>
        <w:tc>
          <w:tcPr>
            <w:tcW w:w="3031" w:type="dxa"/>
            <w:tcBorders>
              <w:top w:val="single" w:sz="4" w:space="0" w:color="000000"/>
              <w:left w:val="single" w:sz="4" w:space="0" w:color="000000"/>
              <w:bottom w:val="single" w:sz="4" w:space="0" w:color="000000"/>
              <w:right w:val="single" w:sz="4" w:space="0" w:color="000000"/>
            </w:tcBorders>
            <w:shd w:val="clear" w:color="auto" w:fill="92D050"/>
          </w:tcPr>
          <w:p w:rsidR="00043D8B" w:rsidRDefault="00043D8B" w:rsidP="00043D8B">
            <w:pPr>
              <w:rPr>
                <w:rFonts w:ascii="Times New Roman" w:hAnsi="Times New Roman"/>
                <w:b/>
                <w:sz w:val="20"/>
              </w:rPr>
            </w:pPr>
          </w:p>
        </w:tc>
      </w:tr>
      <w:tr w:rsidR="00043D8B" w:rsidTr="00E63E2A">
        <w:trPr>
          <w:gridAfter w:val="1"/>
          <w:wAfter w:w="88" w:type="dxa"/>
          <w:trHeight w:val="175"/>
        </w:trPr>
        <w:tc>
          <w:tcPr>
            <w:tcW w:w="685" w:type="dxa"/>
            <w:gridSpan w:val="2"/>
            <w:tcBorders>
              <w:top w:val="single" w:sz="4" w:space="0" w:color="000000"/>
              <w:left w:val="single" w:sz="4" w:space="0" w:color="000000"/>
              <w:bottom w:val="single" w:sz="4" w:space="0" w:color="000000"/>
              <w:right w:val="single" w:sz="4" w:space="0" w:color="000000"/>
            </w:tcBorders>
          </w:tcPr>
          <w:p w:rsidR="00043D8B" w:rsidRDefault="00043D8B" w:rsidP="001129C1">
            <w:pPr>
              <w:spacing w:after="0"/>
              <w:ind w:right="250"/>
              <w:jc w:val="right"/>
            </w:pPr>
            <w:r>
              <w:rPr>
                <w:rFonts w:ascii="Times New Roman" w:hAnsi="Times New Roman"/>
                <w:sz w:val="20"/>
              </w:rPr>
              <w:t>4.</w:t>
            </w:r>
            <w:r>
              <w:rPr>
                <w:rFonts w:ascii="Arial" w:hAnsi="Arial" w:cs="Arial"/>
                <w:sz w:val="20"/>
              </w:rPr>
              <w:t xml:space="preserve"> </w:t>
            </w:r>
            <w:r>
              <w:rPr>
                <w:rFonts w:ascii="Times New Roman" w:hAnsi="Times New Roman"/>
                <w:sz w:val="20"/>
              </w:rPr>
              <w:t xml:space="preserve"> </w:t>
            </w:r>
          </w:p>
        </w:tc>
        <w:tc>
          <w:tcPr>
            <w:tcW w:w="2316" w:type="dxa"/>
            <w:tcBorders>
              <w:top w:val="single" w:sz="4" w:space="0" w:color="000000"/>
              <w:left w:val="single" w:sz="4" w:space="0" w:color="000000"/>
              <w:bottom w:val="single" w:sz="4" w:space="0" w:color="000000"/>
              <w:right w:val="single" w:sz="4" w:space="0" w:color="000000"/>
            </w:tcBorders>
          </w:tcPr>
          <w:p w:rsidR="00043D8B" w:rsidRDefault="00043D8B" w:rsidP="001129C1">
            <w:pPr>
              <w:spacing w:after="0"/>
              <w:ind w:left="1"/>
              <w:jc w:val="both"/>
            </w:pPr>
            <w:r>
              <w:rPr>
                <w:rFonts w:ascii="Times New Roman" w:hAnsi="Times New Roman"/>
                <w:sz w:val="20"/>
              </w:rPr>
              <w:t xml:space="preserve">KOM(2012) 021 v konečnom znení – 2012/0013 (COD) </w:t>
            </w:r>
          </w:p>
        </w:tc>
        <w:tc>
          <w:tcPr>
            <w:tcW w:w="2318" w:type="dxa"/>
            <w:gridSpan w:val="2"/>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4"/>
              <w:jc w:val="both"/>
            </w:pPr>
            <w:r>
              <w:rPr>
                <w:rFonts w:ascii="Times New Roman" w:hAnsi="Times New Roman"/>
                <w:sz w:val="20"/>
              </w:rPr>
              <w:t xml:space="preserve">Návrh NARIADENIA EURÓPSKEHO PARLAMENTU A </w:t>
            </w:r>
          </w:p>
          <w:p w:rsidR="00043D8B" w:rsidRDefault="00043D8B" w:rsidP="00D15EE0">
            <w:pPr>
              <w:spacing w:after="0"/>
              <w:ind w:left="4" w:right="86"/>
              <w:jc w:val="both"/>
            </w:pPr>
            <w:r>
              <w:rPr>
                <w:rFonts w:ascii="Times New Roman" w:hAnsi="Times New Roman"/>
                <w:sz w:val="20"/>
              </w:rPr>
              <w:t xml:space="preserve">RADY ktorým sa mení a dopĺňa nariadenie Rady (ES) č. 1342/2008 z 18. decembra 2008, ktorým sa ustanovuje dlhodobý plán pre populácie tresky a na ne zameraný rybolov </w:t>
            </w:r>
          </w:p>
        </w:tc>
        <w:tc>
          <w:tcPr>
            <w:tcW w:w="4866" w:type="dxa"/>
            <w:gridSpan w:val="2"/>
            <w:tcBorders>
              <w:top w:val="single" w:sz="4" w:space="0" w:color="000000"/>
              <w:left w:val="single" w:sz="4" w:space="0" w:color="000000"/>
              <w:bottom w:val="single" w:sz="4" w:space="0" w:color="000000"/>
              <w:right w:val="single" w:sz="4" w:space="0" w:color="000000"/>
            </w:tcBorders>
          </w:tcPr>
          <w:p w:rsidR="00043D8B" w:rsidRDefault="00043D8B" w:rsidP="00D15EE0">
            <w:pPr>
              <w:spacing w:after="0"/>
              <w:ind w:left="4"/>
              <w:jc w:val="both"/>
            </w:pPr>
            <w:r>
              <w:rPr>
                <w:rFonts w:ascii="Times New Roman" w:hAnsi="Times New Roman"/>
                <w:sz w:val="20"/>
              </w:rPr>
              <w:t xml:space="preserve">Neaktuálny návrh: na túto záležitosť sa vzťahuje nový viacročný riadiaci plán pre Severné more [NARIADENIE (EÚ) 2018/973, Ú. v. EÚ L 179, </w:t>
            </w:r>
          </w:p>
          <w:p w:rsidR="00043D8B" w:rsidRDefault="00043D8B" w:rsidP="00D15EE0">
            <w:pPr>
              <w:spacing w:after="0"/>
              <w:ind w:left="4"/>
              <w:jc w:val="both"/>
            </w:pPr>
            <w:r>
              <w:rPr>
                <w:rFonts w:ascii="Times New Roman" w:hAnsi="Times New Roman"/>
                <w:sz w:val="20"/>
              </w:rPr>
              <w:t xml:space="preserve">16.7.2018]. </w:t>
            </w:r>
          </w:p>
        </w:tc>
        <w:tc>
          <w:tcPr>
            <w:tcW w:w="1463" w:type="dxa"/>
            <w:tcBorders>
              <w:top w:val="single" w:sz="4" w:space="0" w:color="000000"/>
              <w:left w:val="single" w:sz="4" w:space="0" w:color="000000"/>
              <w:bottom w:val="single" w:sz="4" w:space="0" w:color="000000"/>
              <w:right w:val="single" w:sz="4" w:space="0" w:color="000000"/>
            </w:tcBorders>
          </w:tcPr>
          <w:p w:rsidR="00043D8B" w:rsidRPr="006458BF" w:rsidRDefault="00043D8B" w:rsidP="001129C1">
            <w:pPr>
              <w:spacing w:after="0"/>
              <w:ind w:left="4"/>
              <w:jc w:val="both"/>
              <w:rPr>
                <w:rFonts w:ascii="Times New Roman" w:hAnsi="Times New Roman"/>
                <w:b/>
                <w:sz w:val="20"/>
              </w:rPr>
            </w:pPr>
            <w:r w:rsidRPr="006458BF">
              <w:rPr>
                <w:rFonts w:ascii="Times New Roman" w:hAnsi="Times New Roman"/>
                <w:b/>
                <w:sz w:val="20"/>
              </w:rPr>
              <w:t>MPaRV SR</w:t>
            </w:r>
          </w:p>
        </w:tc>
        <w:tc>
          <w:tcPr>
            <w:tcW w:w="3031" w:type="dxa"/>
            <w:tcBorders>
              <w:top w:val="single" w:sz="4" w:space="0" w:color="000000"/>
              <w:left w:val="single" w:sz="4" w:space="0" w:color="000000"/>
              <w:bottom w:val="single" w:sz="4" w:space="0" w:color="000000"/>
              <w:right w:val="single" w:sz="4" w:space="0" w:color="000000"/>
            </w:tcBorders>
          </w:tcPr>
          <w:p w:rsidR="00043D8B" w:rsidRPr="00043D8B" w:rsidRDefault="00043D8B" w:rsidP="001129C1">
            <w:pPr>
              <w:spacing w:after="0"/>
              <w:rPr>
                <w:rFonts w:ascii="Times New Roman" w:hAnsi="Times New Roman"/>
                <w:b/>
                <w:sz w:val="20"/>
                <w:szCs w:val="20"/>
                <w:u w:val="single"/>
              </w:rPr>
            </w:pPr>
            <w:r w:rsidRPr="00D21E47">
              <w:rPr>
                <w:rFonts w:ascii="Times New Roman" w:hAnsi="Times New Roman"/>
                <w:b/>
                <w:sz w:val="20"/>
                <w:szCs w:val="20"/>
                <w:u w:val="single"/>
              </w:rPr>
              <w:t>Nízka priorita</w:t>
            </w:r>
          </w:p>
          <w:p w:rsidR="00043D8B" w:rsidRDefault="00043D8B" w:rsidP="001129C1">
            <w:pPr>
              <w:spacing w:after="0"/>
              <w:ind w:left="4"/>
              <w:rPr>
                <w:rFonts w:ascii="Times New Roman" w:hAnsi="Times New Roman"/>
                <w:sz w:val="20"/>
              </w:rPr>
            </w:pPr>
            <w:r>
              <w:rPr>
                <w:rFonts w:ascii="Times New Roman" w:hAnsi="Times New Roman"/>
              </w:rPr>
              <w:t xml:space="preserve"> </w:t>
            </w:r>
            <w:r w:rsidRPr="00D21E47">
              <w:rPr>
                <w:rFonts w:ascii="Times New Roman" w:hAnsi="Times New Roman"/>
                <w:sz w:val="20"/>
                <w:szCs w:val="20"/>
              </w:rPr>
              <w:t>SR podporuje udržateľné hospodárenie s populáciami tresky</w:t>
            </w:r>
            <w:r>
              <w:rPr>
                <w:rFonts w:ascii="Times New Roman" w:hAnsi="Times New Roman"/>
                <w:sz w:val="20"/>
              </w:rPr>
              <w:t>.</w:t>
            </w:r>
          </w:p>
        </w:tc>
      </w:tr>
      <w:tr w:rsidR="00043D8B" w:rsidTr="00E63E2A">
        <w:trPr>
          <w:trHeight w:val="607"/>
        </w:trPr>
        <w:tc>
          <w:tcPr>
            <w:tcW w:w="591" w:type="dxa"/>
            <w:tcBorders>
              <w:top w:val="single" w:sz="4" w:space="0" w:color="000000"/>
              <w:left w:val="single" w:sz="4" w:space="0" w:color="000000"/>
              <w:bottom w:val="single" w:sz="34" w:space="0" w:color="92D050"/>
              <w:right w:val="single" w:sz="4" w:space="0" w:color="000000"/>
            </w:tcBorders>
            <w:shd w:val="clear" w:color="auto" w:fill="99CCFF"/>
          </w:tcPr>
          <w:p w:rsidR="00043D8B" w:rsidRDefault="00043D8B" w:rsidP="00043D8B">
            <w:pPr>
              <w:ind w:left="9"/>
              <w:jc w:val="center"/>
            </w:pPr>
            <w:r>
              <w:rPr>
                <w:rFonts w:ascii="Times New Roman" w:hAnsi="Times New Roman" w:cs="Times New Roman"/>
                <w:strike/>
                <w:sz w:val="24"/>
              </w:rPr>
              <w:t xml:space="preserve">                </w:t>
            </w:r>
            <w:r w:rsidR="001129C1">
              <w:rPr>
                <w:rFonts w:ascii="Times New Roman" w:hAnsi="Times New Roman" w:cs="Times New Roman"/>
                <w:strike/>
                <w:sz w:val="24"/>
              </w:rPr>
              <w:t xml:space="preserve">                   </w:t>
            </w:r>
            <w:r>
              <w:rPr>
                <w:rFonts w:ascii="Times New Roman" w:hAnsi="Times New Roman"/>
                <w:b/>
                <w:sz w:val="20"/>
              </w:rPr>
              <w:t xml:space="preserve">Č. </w:t>
            </w:r>
          </w:p>
        </w:tc>
        <w:tc>
          <w:tcPr>
            <w:tcW w:w="2410" w:type="dxa"/>
            <w:gridSpan w:val="2"/>
            <w:tcBorders>
              <w:top w:val="single" w:sz="4" w:space="0" w:color="000000"/>
              <w:left w:val="single" w:sz="4" w:space="0" w:color="000000"/>
              <w:bottom w:val="single" w:sz="34" w:space="0" w:color="92D050"/>
              <w:right w:val="single" w:sz="4" w:space="0" w:color="000000"/>
            </w:tcBorders>
            <w:shd w:val="clear" w:color="auto" w:fill="99CCFF"/>
          </w:tcPr>
          <w:p w:rsidR="00043D8B" w:rsidRDefault="00043D8B" w:rsidP="00043D8B">
            <w:pPr>
              <w:ind w:left="1"/>
            </w:pPr>
            <w:r>
              <w:rPr>
                <w:rFonts w:ascii="Times New Roman" w:hAnsi="Times New Roman"/>
                <w:b/>
                <w:sz w:val="20"/>
              </w:rPr>
              <w:t xml:space="preserve">COM/Medziinštitucionálne číslo </w:t>
            </w:r>
          </w:p>
        </w:tc>
        <w:tc>
          <w:tcPr>
            <w:tcW w:w="2318" w:type="dxa"/>
            <w:gridSpan w:val="2"/>
            <w:tcBorders>
              <w:top w:val="single" w:sz="4" w:space="0" w:color="000000"/>
              <w:left w:val="single" w:sz="4" w:space="0" w:color="000000"/>
              <w:bottom w:val="single" w:sz="34" w:space="0" w:color="92D050"/>
              <w:right w:val="single" w:sz="4" w:space="0" w:color="000000"/>
            </w:tcBorders>
            <w:shd w:val="clear" w:color="auto" w:fill="99CCFF"/>
            <w:vAlign w:val="center"/>
          </w:tcPr>
          <w:p w:rsidR="00043D8B" w:rsidRDefault="00043D8B" w:rsidP="00D15EE0">
            <w:pPr>
              <w:ind w:left="4"/>
              <w:jc w:val="both"/>
            </w:pPr>
            <w:r>
              <w:rPr>
                <w:rFonts w:ascii="Times New Roman" w:hAnsi="Times New Roman"/>
                <w:b/>
                <w:sz w:val="20"/>
              </w:rPr>
              <w:t>Názov</w:t>
            </w:r>
            <w:r>
              <w:rPr>
                <w:rFonts w:ascii="Times New Roman" w:hAnsi="Times New Roman"/>
                <w:sz w:val="20"/>
              </w:rPr>
              <w:t xml:space="preserve"> </w:t>
            </w:r>
          </w:p>
        </w:tc>
        <w:tc>
          <w:tcPr>
            <w:tcW w:w="4812" w:type="dxa"/>
            <w:tcBorders>
              <w:top w:val="single" w:sz="4" w:space="0" w:color="000000"/>
              <w:left w:val="single" w:sz="4" w:space="0" w:color="000000"/>
              <w:bottom w:val="single" w:sz="34" w:space="0" w:color="92D050"/>
              <w:right w:val="single" w:sz="4" w:space="0" w:color="000000"/>
            </w:tcBorders>
            <w:shd w:val="clear" w:color="auto" w:fill="99CCFF"/>
            <w:vAlign w:val="center"/>
          </w:tcPr>
          <w:p w:rsidR="00043D8B" w:rsidRDefault="00043D8B" w:rsidP="00D15EE0">
            <w:pPr>
              <w:ind w:left="4"/>
              <w:jc w:val="both"/>
            </w:pPr>
            <w:r>
              <w:rPr>
                <w:rFonts w:ascii="Times New Roman" w:hAnsi="Times New Roman"/>
                <w:b/>
                <w:sz w:val="20"/>
              </w:rPr>
              <w:t>Dôvod stiahnutia</w:t>
            </w:r>
            <w:r>
              <w:rPr>
                <w:rFonts w:ascii="Times New Roman" w:hAnsi="Times New Roman"/>
                <w:sz w:val="20"/>
              </w:rPr>
              <w:t xml:space="preserve"> </w:t>
            </w:r>
          </w:p>
        </w:tc>
        <w:tc>
          <w:tcPr>
            <w:tcW w:w="1517" w:type="dxa"/>
            <w:gridSpan w:val="2"/>
            <w:tcBorders>
              <w:top w:val="single" w:sz="4" w:space="0" w:color="000000"/>
              <w:left w:val="single" w:sz="4" w:space="0" w:color="000000"/>
              <w:bottom w:val="single" w:sz="34" w:space="0" w:color="92D050"/>
              <w:right w:val="single" w:sz="4" w:space="0" w:color="000000"/>
            </w:tcBorders>
            <w:shd w:val="clear" w:color="auto" w:fill="99CCFF"/>
          </w:tcPr>
          <w:p w:rsidR="00043D8B" w:rsidRDefault="00043D8B" w:rsidP="00043D8B">
            <w:pPr>
              <w:ind w:left="4"/>
              <w:rPr>
                <w:rFonts w:ascii="Times New Roman" w:hAnsi="Times New Roman"/>
                <w:b/>
                <w:sz w:val="20"/>
              </w:rPr>
            </w:pPr>
            <w:r>
              <w:rPr>
                <w:rFonts w:ascii="Times New Roman" w:hAnsi="Times New Roman"/>
                <w:b/>
                <w:sz w:val="20"/>
              </w:rPr>
              <w:t>Gestor</w:t>
            </w:r>
          </w:p>
        </w:tc>
        <w:tc>
          <w:tcPr>
            <w:tcW w:w="3119" w:type="dxa"/>
            <w:gridSpan w:val="2"/>
            <w:tcBorders>
              <w:top w:val="single" w:sz="4" w:space="0" w:color="000000"/>
              <w:left w:val="single" w:sz="4" w:space="0" w:color="000000"/>
              <w:bottom w:val="single" w:sz="34" w:space="0" w:color="92D050"/>
              <w:right w:val="single" w:sz="4" w:space="0" w:color="000000"/>
            </w:tcBorders>
            <w:shd w:val="clear" w:color="auto" w:fill="99CCFF"/>
          </w:tcPr>
          <w:p w:rsidR="00043D8B" w:rsidRDefault="00043D8B" w:rsidP="00043D8B">
            <w:pPr>
              <w:ind w:left="4"/>
              <w:rPr>
                <w:rFonts w:ascii="Times New Roman" w:hAnsi="Times New Roman"/>
                <w:b/>
                <w:sz w:val="20"/>
              </w:rPr>
            </w:pPr>
            <w:r>
              <w:rPr>
                <w:rFonts w:ascii="Times New Roman" w:hAnsi="Times New Roman"/>
                <w:b/>
                <w:sz w:val="20"/>
              </w:rPr>
              <w:t>Pozícia SR</w:t>
            </w:r>
          </w:p>
        </w:tc>
      </w:tr>
      <w:tr w:rsidR="00043D8B" w:rsidTr="00E63E2A">
        <w:trPr>
          <w:trHeight w:val="24"/>
        </w:trPr>
        <w:tc>
          <w:tcPr>
            <w:tcW w:w="10131" w:type="dxa"/>
            <w:gridSpan w:val="6"/>
            <w:tcBorders>
              <w:top w:val="single" w:sz="34" w:space="0" w:color="92D050"/>
              <w:left w:val="single" w:sz="4" w:space="0" w:color="000000"/>
              <w:bottom w:val="single" w:sz="4" w:space="0" w:color="000000"/>
              <w:right w:val="single" w:sz="4" w:space="0" w:color="000000"/>
            </w:tcBorders>
            <w:shd w:val="clear" w:color="auto" w:fill="92D050"/>
            <w:vAlign w:val="center"/>
          </w:tcPr>
          <w:p w:rsidR="00043D8B" w:rsidRDefault="00043D8B" w:rsidP="00D15EE0">
            <w:pPr>
              <w:jc w:val="both"/>
            </w:pPr>
            <w:r>
              <w:rPr>
                <w:rFonts w:ascii="Times New Roman" w:hAnsi="Times New Roman"/>
                <w:b/>
                <w:sz w:val="20"/>
              </w:rPr>
              <w:t xml:space="preserve">Bezpečnosť a migrácia </w:t>
            </w:r>
          </w:p>
        </w:tc>
        <w:tc>
          <w:tcPr>
            <w:tcW w:w="1517" w:type="dxa"/>
            <w:gridSpan w:val="2"/>
            <w:tcBorders>
              <w:top w:val="single" w:sz="34" w:space="0" w:color="92D050"/>
              <w:left w:val="single" w:sz="4" w:space="0" w:color="000000"/>
              <w:bottom w:val="single" w:sz="4" w:space="0" w:color="000000"/>
              <w:right w:val="single" w:sz="4" w:space="0" w:color="000000"/>
            </w:tcBorders>
            <w:shd w:val="clear" w:color="auto" w:fill="92D050"/>
          </w:tcPr>
          <w:p w:rsidR="00043D8B" w:rsidRDefault="00043D8B" w:rsidP="00043D8B">
            <w:pPr>
              <w:rPr>
                <w:rFonts w:ascii="Times New Roman" w:hAnsi="Times New Roman"/>
                <w:b/>
                <w:sz w:val="20"/>
              </w:rPr>
            </w:pPr>
          </w:p>
        </w:tc>
        <w:tc>
          <w:tcPr>
            <w:tcW w:w="3119" w:type="dxa"/>
            <w:gridSpan w:val="2"/>
            <w:tcBorders>
              <w:top w:val="single" w:sz="34" w:space="0" w:color="92D050"/>
              <w:left w:val="single" w:sz="4" w:space="0" w:color="000000"/>
              <w:bottom w:val="single" w:sz="4" w:space="0" w:color="000000"/>
              <w:right w:val="single" w:sz="4" w:space="0" w:color="000000"/>
            </w:tcBorders>
            <w:shd w:val="clear" w:color="auto" w:fill="92D050"/>
          </w:tcPr>
          <w:p w:rsidR="00043D8B" w:rsidRDefault="00043D8B" w:rsidP="00043D8B">
            <w:pPr>
              <w:rPr>
                <w:rFonts w:ascii="Times New Roman" w:hAnsi="Times New Roman"/>
                <w:b/>
                <w:sz w:val="20"/>
              </w:rPr>
            </w:pPr>
          </w:p>
        </w:tc>
      </w:tr>
      <w:tr w:rsidR="00043D8B" w:rsidTr="00E63E2A">
        <w:trPr>
          <w:trHeight w:val="1595"/>
        </w:trPr>
        <w:tc>
          <w:tcPr>
            <w:tcW w:w="591" w:type="dxa"/>
            <w:tcBorders>
              <w:top w:val="single" w:sz="4" w:space="0" w:color="000000"/>
              <w:left w:val="single" w:sz="4" w:space="0" w:color="000000"/>
              <w:bottom w:val="single" w:sz="4" w:space="0" w:color="000000"/>
              <w:right w:val="single" w:sz="4" w:space="0" w:color="000000"/>
            </w:tcBorders>
          </w:tcPr>
          <w:p w:rsidR="00043D8B" w:rsidRDefault="00043D8B" w:rsidP="00043D8B">
            <w:pPr>
              <w:ind w:right="250"/>
              <w:jc w:val="right"/>
            </w:pPr>
            <w:r>
              <w:rPr>
                <w:rFonts w:ascii="Times New Roman" w:hAnsi="Times New Roman"/>
                <w:sz w:val="20"/>
              </w:rPr>
              <w:t>5.</w:t>
            </w:r>
            <w:r>
              <w:rPr>
                <w:rFonts w:ascii="Arial" w:hAnsi="Arial" w:cs="Arial"/>
                <w:sz w:val="20"/>
              </w:rPr>
              <w:t xml:space="preserve"> </w:t>
            </w:r>
            <w:r>
              <w:rPr>
                <w:rFonts w:ascii="Times New Roman" w:hAnsi="Times New Roman"/>
                <w:sz w:val="20"/>
              </w:rPr>
              <w:t xml:space="preserve"> </w:t>
            </w:r>
          </w:p>
        </w:tc>
        <w:tc>
          <w:tcPr>
            <w:tcW w:w="2442" w:type="dxa"/>
            <w:gridSpan w:val="3"/>
            <w:tcBorders>
              <w:top w:val="single" w:sz="4" w:space="0" w:color="000000"/>
              <w:left w:val="single" w:sz="4" w:space="0" w:color="000000"/>
              <w:bottom w:val="single" w:sz="4" w:space="0" w:color="000000"/>
              <w:right w:val="single" w:sz="4" w:space="0" w:color="000000"/>
            </w:tcBorders>
          </w:tcPr>
          <w:p w:rsidR="00043D8B" w:rsidRDefault="00043D8B" w:rsidP="00D15EE0">
            <w:pPr>
              <w:ind w:left="1"/>
              <w:jc w:val="both"/>
            </w:pPr>
            <w:r>
              <w:rPr>
                <w:rFonts w:ascii="Times New Roman" w:hAnsi="Times New Roman"/>
                <w:sz w:val="20"/>
              </w:rPr>
              <w:t xml:space="preserve">COM(2016) 491 final 2016/0236 (COD) </w:t>
            </w:r>
          </w:p>
        </w:tc>
        <w:tc>
          <w:tcPr>
            <w:tcW w:w="2286" w:type="dxa"/>
            <w:tcBorders>
              <w:top w:val="single" w:sz="4" w:space="0" w:color="000000"/>
              <w:left w:val="single" w:sz="4" w:space="0" w:color="000000"/>
              <w:bottom w:val="single" w:sz="4" w:space="0" w:color="000000"/>
              <w:right w:val="single" w:sz="4" w:space="0" w:color="000000"/>
            </w:tcBorders>
          </w:tcPr>
          <w:p w:rsidR="00043D8B" w:rsidRDefault="00043D8B" w:rsidP="00D15EE0">
            <w:pPr>
              <w:ind w:left="4" w:right="90"/>
              <w:jc w:val="both"/>
            </w:pPr>
            <w:r>
              <w:rPr>
                <w:rFonts w:ascii="Times New Roman" w:hAnsi="Times New Roman"/>
                <w:sz w:val="20"/>
              </w:rPr>
              <w:t xml:space="preserve">Návrh NARIADENIA EURÓPSKEHO PARLAMENTU A RADY, ktorým sa zriaďuje certifikačný systém Únie pre detekčné zariadenia na zaistenie bezpečnostnej ochrany letectva </w:t>
            </w:r>
          </w:p>
        </w:tc>
        <w:tc>
          <w:tcPr>
            <w:tcW w:w="4812" w:type="dxa"/>
            <w:tcBorders>
              <w:top w:val="single" w:sz="4" w:space="0" w:color="000000"/>
              <w:left w:val="single" w:sz="4" w:space="0" w:color="000000"/>
              <w:bottom w:val="single" w:sz="4" w:space="0" w:color="000000"/>
              <w:right w:val="single" w:sz="4" w:space="0" w:color="000000"/>
            </w:tcBorders>
          </w:tcPr>
          <w:p w:rsidR="00043D8B" w:rsidRDefault="00043D8B" w:rsidP="00D15EE0">
            <w:pPr>
              <w:ind w:left="4" w:right="85"/>
              <w:jc w:val="both"/>
            </w:pPr>
            <w:r>
              <w:rPr>
                <w:rFonts w:ascii="Times New Roman" w:hAnsi="Times New Roman"/>
                <w:sz w:val="20"/>
              </w:rPr>
              <w:t>Na základe medziinštitucionálnych diskusií sa dospelo k zhode na tom, že vytvorenie certifikácie EÚ možno lepšie dosiahnuť zmenou vykonávacích právnych predpisov založených na článku 4 ods. 3 a článku 18 písm. a) nariadenia (ES) č. 300/2008 o spoločných pravidlách v oblasti bezpečnostnej ochrany civilného letectva. Komisia začne pracovať na príprave prípadných zmien vykonávacích právnych predpisov k nariadeniu (ES) č. 300/2008.</w:t>
            </w:r>
            <w:r>
              <w:rPr>
                <w:rFonts w:ascii="Times New Roman" w:hAnsi="Times New Roman"/>
                <w:i/>
                <w:sz w:val="20"/>
              </w:rPr>
              <w:t xml:space="preserve"> </w:t>
            </w:r>
          </w:p>
        </w:tc>
        <w:tc>
          <w:tcPr>
            <w:tcW w:w="1517" w:type="dxa"/>
            <w:gridSpan w:val="2"/>
            <w:tcBorders>
              <w:top w:val="single" w:sz="4" w:space="0" w:color="000000"/>
              <w:left w:val="single" w:sz="4" w:space="0" w:color="000000"/>
              <w:bottom w:val="single" w:sz="4" w:space="0" w:color="000000"/>
              <w:right w:val="single" w:sz="4" w:space="0" w:color="000000"/>
            </w:tcBorders>
          </w:tcPr>
          <w:p w:rsidR="00043D8B" w:rsidRPr="006458BF" w:rsidRDefault="00043D8B" w:rsidP="00043D8B">
            <w:pPr>
              <w:ind w:left="4" w:right="85"/>
              <w:jc w:val="both"/>
              <w:rPr>
                <w:rFonts w:ascii="Times New Roman" w:hAnsi="Times New Roman"/>
                <w:b/>
                <w:sz w:val="20"/>
              </w:rPr>
            </w:pPr>
            <w:r w:rsidRPr="006458BF">
              <w:rPr>
                <w:rFonts w:ascii="Times New Roman" w:hAnsi="Times New Roman"/>
                <w:b/>
                <w:sz w:val="20"/>
              </w:rPr>
              <w:t>MDaV SR</w:t>
            </w:r>
          </w:p>
        </w:tc>
        <w:tc>
          <w:tcPr>
            <w:tcW w:w="3119" w:type="dxa"/>
            <w:gridSpan w:val="2"/>
            <w:tcBorders>
              <w:top w:val="single" w:sz="4" w:space="0" w:color="000000"/>
              <w:left w:val="single" w:sz="4" w:space="0" w:color="000000"/>
              <w:bottom w:val="single" w:sz="4" w:space="0" w:color="000000"/>
              <w:right w:val="single" w:sz="4" w:space="0" w:color="000000"/>
            </w:tcBorders>
          </w:tcPr>
          <w:p w:rsidR="00043D8B" w:rsidRPr="0047673C" w:rsidRDefault="00043D8B" w:rsidP="00043D8B">
            <w:pPr>
              <w:ind w:left="4" w:right="85"/>
              <w:jc w:val="both"/>
              <w:rPr>
                <w:rFonts w:ascii="Times New Roman" w:hAnsi="Times New Roman"/>
                <w:sz w:val="20"/>
              </w:rPr>
            </w:pPr>
            <w:r w:rsidRPr="0047673C">
              <w:rPr>
                <w:rFonts w:ascii="Times New Roman" w:hAnsi="Times New Roman"/>
                <w:sz w:val="20"/>
                <w:szCs w:val="20"/>
              </w:rPr>
              <w:t>SR nemá výhrady voči stiahnutiu návrhu.</w:t>
            </w:r>
          </w:p>
        </w:tc>
      </w:tr>
      <w:tr w:rsidR="00043D8B" w:rsidTr="00E63E2A">
        <w:trPr>
          <w:trHeight w:val="1330"/>
        </w:trPr>
        <w:tc>
          <w:tcPr>
            <w:tcW w:w="591" w:type="dxa"/>
            <w:tcBorders>
              <w:top w:val="single" w:sz="4" w:space="0" w:color="000000"/>
              <w:left w:val="single" w:sz="4" w:space="0" w:color="000000"/>
              <w:bottom w:val="single" w:sz="4" w:space="0" w:color="000000"/>
              <w:right w:val="single" w:sz="4" w:space="0" w:color="000000"/>
            </w:tcBorders>
          </w:tcPr>
          <w:p w:rsidR="00043D8B" w:rsidRDefault="00043D8B" w:rsidP="00043D8B">
            <w:pPr>
              <w:ind w:right="250"/>
              <w:jc w:val="right"/>
            </w:pPr>
            <w:r>
              <w:rPr>
                <w:rFonts w:ascii="Times New Roman" w:hAnsi="Times New Roman"/>
                <w:sz w:val="20"/>
              </w:rPr>
              <w:t>6.</w:t>
            </w:r>
            <w:r>
              <w:rPr>
                <w:rFonts w:ascii="Arial" w:hAnsi="Arial" w:cs="Arial"/>
                <w:sz w:val="20"/>
              </w:rPr>
              <w:t xml:space="preserve"> </w:t>
            </w:r>
            <w:r>
              <w:rPr>
                <w:rFonts w:ascii="Times New Roman" w:hAnsi="Times New Roman"/>
                <w:sz w:val="20"/>
              </w:rPr>
              <w:t xml:space="preserve"> </w:t>
            </w:r>
          </w:p>
        </w:tc>
        <w:tc>
          <w:tcPr>
            <w:tcW w:w="2442" w:type="dxa"/>
            <w:gridSpan w:val="3"/>
            <w:tcBorders>
              <w:top w:val="single" w:sz="4" w:space="0" w:color="000000"/>
              <w:left w:val="single" w:sz="4" w:space="0" w:color="000000"/>
              <w:bottom w:val="single" w:sz="4" w:space="0" w:color="000000"/>
              <w:right w:val="single" w:sz="4" w:space="0" w:color="000000"/>
            </w:tcBorders>
          </w:tcPr>
          <w:p w:rsidR="00043D8B" w:rsidRDefault="00043D8B" w:rsidP="00D15EE0">
            <w:pPr>
              <w:ind w:left="1"/>
              <w:jc w:val="both"/>
            </w:pPr>
            <w:r>
              <w:rPr>
                <w:rFonts w:ascii="Times New Roman" w:hAnsi="Times New Roman"/>
                <w:sz w:val="20"/>
              </w:rPr>
              <w:t xml:space="preserve">COM(2015) 452 final 2015/0211 (COD) </w:t>
            </w:r>
          </w:p>
        </w:tc>
        <w:tc>
          <w:tcPr>
            <w:tcW w:w="2286" w:type="dxa"/>
            <w:tcBorders>
              <w:top w:val="single" w:sz="4" w:space="0" w:color="000000"/>
              <w:left w:val="single" w:sz="4" w:space="0" w:color="000000"/>
              <w:bottom w:val="single" w:sz="4" w:space="0" w:color="000000"/>
              <w:right w:val="single" w:sz="4" w:space="0" w:color="000000"/>
            </w:tcBorders>
          </w:tcPr>
          <w:p w:rsidR="00043D8B" w:rsidRDefault="00043D8B" w:rsidP="00D15EE0">
            <w:pPr>
              <w:ind w:left="4" w:right="83"/>
              <w:jc w:val="both"/>
            </w:pPr>
            <w:r>
              <w:rPr>
                <w:rFonts w:ascii="Times New Roman" w:hAnsi="Times New Roman"/>
                <w:sz w:val="20"/>
              </w:rPr>
              <w:t xml:space="preserve">NARIADENIE EURÓPSKEHO PARLAMENTU A RADY, ktorým sa stanovuje spoločný zoznam EÚ týkajúci sa bezpečných krajín pôvodu na účely smernice Európskeho parlamentu a Rady 2013/32/EÚ o spoločných konaniach o poskytovaní a odnímaní medzinárodnej ochrany a ktorým sa mení smernica 2013/32/EÚ </w:t>
            </w:r>
          </w:p>
        </w:tc>
        <w:tc>
          <w:tcPr>
            <w:tcW w:w="4812" w:type="dxa"/>
            <w:tcBorders>
              <w:top w:val="single" w:sz="4" w:space="0" w:color="000000"/>
              <w:left w:val="single" w:sz="4" w:space="0" w:color="000000"/>
              <w:bottom w:val="single" w:sz="4" w:space="0" w:color="000000"/>
              <w:right w:val="single" w:sz="4" w:space="0" w:color="000000"/>
            </w:tcBorders>
          </w:tcPr>
          <w:p w:rsidR="00043D8B" w:rsidRDefault="00043D8B" w:rsidP="00D15EE0">
            <w:pPr>
              <w:ind w:left="4" w:right="85"/>
              <w:jc w:val="both"/>
            </w:pPr>
            <w:r>
              <w:rPr>
                <w:rFonts w:ascii="Times New Roman" w:hAnsi="Times New Roman"/>
                <w:sz w:val="20"/>
              </w:rPr>
              <w:t>Aktualizovaný prístup k tejto otázke sa stanovuje v návrhu nariadenia o konaní o azyle [COM(2016) 467 final], ktoré je v súčasnosti v medziinštitucionálnom procese ako súčasť balíka návrhov na reformu spoločného európskeho azylového systému.</w:t>
            </w:r>
            <w:r>
              <w:rPr>
                <w:rFonts w:ascii="Times New Roman" w:hAnsi="Times New Roman"/>
                <w:i/>
                <w:sz w:val="20"/>
              </w:rPr>
              <w:t xml:space="preserve"> </w:t>
            </w:r>
          </w:p>
        </w:tc>
        <w:tc>
          <w:tcPr>
            <w:tcW w:w="1517" w:type="dxa"/>
            <w:gridSpan w:val="2"/>
            <w:tcBorders>
              <w:top w:val="single" w:sz="4" w:space="0" w:color="000000"/>
              <w:left w:val="single" w:sz="4" w:space="0" w:color="000000"/>
              <w:bottom w:val="single" w:sz="4" w:space="0" w:color="000000"/>
              <w:right w:val="single" w:sz="4" w:space="0" w:color="000000"/>
            </w:tcBorders>
          </w:tcPr>
          <w:p w:rsidR="00043D8B" w:rsidRPr="006458BF" w:rsidRDefault="00043D8B" w:rsidP="00043D8B">
            <w:pPr>
              <w:ind w:left="4" w:right="85"/>
              <w:jc w:val="both"/>
              <w:rPr>
                <w:rFonts w:ascii="Times New Roman" w:hAnsi="Times New Roman"/>
                <w:b/>
                <w:sz w:val="20"/>
              </w:rPr>
            </w:pPr>
            <w:r w:rsidRPr="006458BF">
              <w:rPr>
                <w:rFonts w:ascii="Times New Roman" w:hAnsi="Times New Roman"/>
                <w:b/>
                <w:sz w:val="20"/>
              </w:rPr>
              <w:t>MV SR</w:t>
            </w:r>
          </w:p>
        </w:tc>
        <w:tc>
          <w:tcPr>
            <w:tcW w:w="3119" w:type="dxa"/>
            <w:gridSpan w:val="2"/>
            <w:tcBorders>
              <w:top w:val="single" w:sz="4" w:space="0" w:color="000000"/>
              <w:left w:val="single" w:sz="4" w:space="0" w:color="000000"/>
              <w:bottom w:val="single" w:sz="4" w:space="0" w:color="000000"/>
              <w:right w:val="single" w:sz="4" w:space="0" w:color="000000"/>
            </w:tcBorders>
          </w:tcPr>
          <w:p w:rsidR="00043D8B" w:rsidRPr="0047673C" w:rsidRDefault="00043D8B" w:rsidP="00043D8B">
            <w:pPr>
              <w:ind w:left="4" w:right="85"/>
              <w:jc w:val="both"/>
              <w:rPr>
                <w:rFonts w:ascii="Times New Roman" w:hAnsi="Times New Roman"/>
                <w:sz w:val="20"/>
              </w:rPr>
            </w:pPr>
            <w:r w:rsidRPr="0047673C">
              <w:rPr>
                <w:rFonts w:ascii="Times New Roman" w:hAnsi="Times New Roman"/>
                <w:sz w:val="20"/>
                <w:szCs w:val="20"/>
              </w:rPr>
              <w:t>SR nemá výhrady voči stiahnutiu návrhu.</w:t>
            </w:r>
          </w:p>
        </w:tc>
      </w:tr>
      <w:tr w:rsidR="00043D8B" w:rsidTr="00E63E2A">
        <w:trPr>
          <w:trHeight w:val="1560"/>
        </w:trPr>
        <w:tc>
          <w:tcPr>
            <w:tcW w:w="591" w:type="dxa"/>
            <w:tcBorders>
              <w:top w:val="single" w:sz="4" w:space="0" w:color="000000"/>
              <w:left w:val="single" w:sz="4" w:space="0" w:color="000000"/>
              <w:bottom w:val="single" w:sz="4" w:space="0" w:color="000000"/>
              <w:right w:val="single" w:sz="4" w:space="0" w:color="000000"/>
            </w:tcBorders>
          </w:tcPr>
          <w:p w:rsidR="00043D8B" w:rsidRDefault="00043D8B" w:rsidP="00043D8B">
            <w:pPr>
              <w:ind w:right="250"/>
              <w:jc w:val="right"/>
            </w:pPr>
            <w:r>
              <w:rPr>
                <w:rFonts w:ascii="Times New Roman" w:hAnsi="Times New Roman"/>
                <w:sz w:val="20"/>
              </w:rPr>
              <w:t>7.</w:t>
            </w:r>
            <w:r>
              <w:rPr>
                <w:rFonts w:ascii="Arial" w:hAnsi="Arial" w:cs="Arial"/>
                <w:sz w:val="20"/>
              </w:rPr>
              <w:t xml:space="preserve"> </w:t>
            </w:r>
            <w:r>
              <w:rPr>
                <w:rFonts w:ascii="Times New Roman" w:hAnsi="Times New Roman"/>
                <w:sz w:val="20"/>
              </w:rPr>
              <w:t xml:space="preserve"> </w:t>
            </w:r>
          </w:p>
        </w:tc>
        <w:tc>
          <w:tcPr>
            <w:tcW w:w="2442" w:type="dxa"/>
            <w:gridSpan w:val="3"/>
            <w:tcBorders>
              <w:top w:val="single" w:sz="4" w:space="0" w:color="000000"/>
              <w:left w:val="single" w:sz="4" w:space="0" w:color="000000"/>
              <w:bottom w:val="single" w:sz="4" w:space="0" w:color="000000"/>
              <w:right w:val="single" w:sz="4" w:space="0" w:color="000000"/>
            </w:tcBorders>
          </w:tcPr>
          <w:p w:rsidR="00043D8B" w:rsidRDefault="00043D8B" w:rsidP="00043D8B">
            <w:pPr>
              <w:ind w:left="1"/>
              <w:jc w:val="both"/>
            </w:pPr>
            <w:r>
              <w:rPr>
                <w:rFonts w:ascii="Times New Roman" w:hAnsi="Times New Roman"/>
                <w:sz w:val="20"/>
              </w:rPr>
              <w:t xml:space="preserve">COM(2014) 382 final 2014/0202 (COD) </w:t>
            </w:r>
          </w:p>
        </w:tc>
        <w:tc>
          <w:tcPr>
            <w:tcW w:w="2286" w:type="dxa"/>
            <w:tcBorders>
              <w:top w:val="single" w:sz="4" w:space="0" w:color="000000"/>
              <w:left w:val="single" w:sz="4" w:space="0" w:color="000000"/>
              <w:bottom w:val="single" w:sz="4" w:space="0" w:color="000000"/>
              <w:right w:val="single" w:sz="4" w:space="0" w:color="000000"/>
            </w:tcBorders>
          </w:tcPr>
          <w:p w:rsidR="00043D8B" w:rsidRDefault="00043D8B" w:rsidP="00043D8B">
            <w:pPr>
              <w:ind w:left="4" w:right="85"/>
            </w:pPr>
            <w:r>
              <w:rPr>
                <w:rFonts w:ascii="Times New Roman" w:hAnsi="Times New Roman"/>
                <w:sz w:val="20"/>
              </w:rPr>
              <w:t xml:space="preserve">Návrh NARIADENIA EURÓPSKEHO PARLAMENTU A RADY, ktorým sa mení nariadenie (EÚ) č. 604/2013, pokiaľ ide o určenie členského štátu zodpovedného za posúdenie žiadosti o medzinárodnú ochranu maloletých osôb bez sprievodu, ktoré nemajú žiadneho rodinného príslušníka, súrodenca alebo príbuzného oprávnene sa zdržiavajúceho v členskom štáte </w:t>
            </w:r>
          </w:p>
        </w:tc>
        <w:tc>
          <w:tcPr>
            <w:tcW w:w="4812" w:type="dxa"/>
            <w:tcBorders>
              <w:top w:val="single" w:sz="4" w:space="0" w:color="000000"/>
              <w:left w:val="single" w:sz="4" w:space="0" w:color="000000"/>
              <w:bottom w:val="single" w:sz="4" w:space="0" w:color="000000"/>
              <w:right w:val="single" w:sz="4" w:space="0" w:color="000000"/>
            </w:tcBorders>
          </w:tcPr>
          <w:p w:rsidR="00043D8B" w:rsidRDefault="00043D8B" w:rsidP="00043D8B">
            <w:pPr>
              <w:ind w:left="4" w:right="84"/>
              <w:jc w:val="both"/>
            </w:pPr>
            <w:r>
              <w:rPr>
                <w:rFonts w:ascii="Times New Roman" w:hAnsi="Times New Roman"/>
                <w:sz w:val="20"/>
              </w:rPr>
              <w:t>Aktualizovaný prístup k tejto otázke sa stanovuje v návrhu na reformu dublinského systému [COM(2016) 270 final], ktoré je v súčasnosti v medziinštitucionálnom procese ako súčasť balíka návrhov na reformu spoločného európskeho azylového systému.</w:t>
            </w:r>
            <w:r>
              <w:rPr>
                <w:rFonts w:ascii="Times New Roman" w:hAnsi="Times New Roman"/>
                <w:i/>
                <w:sz w:val="20"/>
              </w:rPr>
              <w:t xml:space="preserve"> </w:t>
            </w:r>
          </w:p>
        </w:tc>
        <w:tc>
          <w:tcPr>
            <w:tcW w:w="1517" w:type="dxa"/>
            <w:gridSpan w:val="2"/>
            <w:tcBorders>
              <w:top w:val="single" w:sz="4" w:space="0" w:color="000000"/>
              <w:left w:val="single" w:sz="4" w:space="0" w:color="000000"/>
              <w:bottom w:val="single" w:sz="4" w:space="0" w:color="000000"/>
              <w:right w:val="single" w:sz="4" w:space="0" w:color="000000"/>
            </w:tcBorders>
          </w:tcPr>
          <w:p w:rsidR="00043D8B" w:rsidRPr="006458BF" w:rsidRDefault="00043D8B" w:rsidP="00043D8B">
            <w:pPr>
              <w:ind w:left="4" w:right="84"/>
              <w:jc w:val="both"/>
              <w:rPr>
                <w:rFonts w:ascii="Times New Roman" w:hAnsi="Times New Roman"/>
                <w:b/>
                <w:sz w:val="20"/>
              </w:rPr>
            </w:pPr>
            <w:r w:rsidRPr="006458BF">
              <w:rPr>
                <w:rFonts w:ascii="Times New Roman" w:hAnsi="Times New Roman"/>
                <w:b/>
                <w:sz w:val="20"/>
              </w:rPr>
              <w:t>MV SR</w:t>
            </w:r>
          </w:p>
        </w:tc>
        <w:tc>
          <w:tcPr>
            <w:tcW w:w="3119" w:type="dxa"/>
            <w:gridSpan w:val="2"/>
            <w:tcBorders>
              <w:top w:val="single" w:sz="4" w:space="0" w:color="000000"/>
              <w:left w:val="single" w:sz="4" w:space="0" w:color="000000"/>
              <w:bottom w:val="single" w:sz="4" w:space="0" w:color="000000"/>
              <w:right w:val="single" w:sz="4" w:space="0" w:color="000000"/>
            </w:tcBorders>
          </w:tcPr>
          <w:p w:rsidR="00043D8B" w:rsidRPr="0047673C" w:rsidRDefault="00043D8B" w:rsidP="00043D8B">
            <w:pPr>
              <w:ind w:left="4" w:right="84"/>
              <w:jc w:val="both"/>
              <w:rPr>
                <w:rFonts w:ascii="Times New Roman" w:hAnsi="Times New Roman"/>
                <w:sz w:val="20"/>
              </w:rPr>
            </w:pPr>
            <w:r w:rsidRPr="0047673C">
              <w:rPr>
                <w:rFonts w:ascii="Times New Roman" w:hAnsi="Times New Roman"/>
                <w:sz w:val="20"/>
                <w:szCs w:val="20"/>
              </w:rPr>
              <w:t>SR nemá výhrady voči stiahnutiu návrhu.</w:t>
            </w:r>
          </w:p>
        </w:tc>
      </w:tr>
      <w:tr w:rsidR="00043D8B" w:rsidTr="00E63E2A">
        <w:trPr>
          <w:trHeight w:val="1837"/>
        </w:trPr>
        <w:tc>
          <w:tcPr>
            <w:tcW w:w="591" w:type="dxa"/>
            <w:tcBorders>
              <w:top w:val="single" w:sz="4" w:space="0" w:color="000000"/>
              <w:left w:val="single" w:sz="4" w:space="0" w:color="000000"/>
              <w:bottom w:val="single" w:sz="4" w:space="0" w:color="000000"/>
              <w:right w:val="single" w:sz="4" w:space="0" w:color="000000"/>
            </w:tcBorders>
          </w:tcPr>
          <w:p w:rsidR="00043D8B" w:rsidRDefault="00043D8B" w:rsidP="00043D8B">
            <w:pPr>
              <w:ind w:right="250"/>
              <w:jc w:val="right"/>
            </w:pPr>
            <w:r>
              <w:rPr>
                <w:rFonts w:ascii="Times New Roman" w:hAnsi="Times New Roman"/>
                <w:sz w:val="20"/>
              </w:rPr>
              <w:t>8.</w:t>
            </w:r>
            <w:r>
              <w:rPr>
                <w:rFonts w:ascii="Arial" w:hAnsi="Arial" w:cs="Arial"/>
                <w:sz w:val="20"/>
              </w:rPr>
              <w:t xml:space="preserve"> </w:t>
            </w:r>
            <w:r>
              <w:rPr>
                <w:rFonts w:ascii="Times New Roman" w:hAnsi="Times New Roman"/>
                <w:sz w:val="20"/>
              </w:rPr>
              <w:t xml:space="preserve"> </w:t>
            </w:r>
          </w:p>
        </w:tc>
        <w:tc>
          <w:tcPr>
            <w:tcW w:w="2442" w:type="dxa"/>
            <w:gridSpan w:val="3"/>
            <w:tcBorders>
              <w:top w:val="single" w:sz="4" w:space="0" w:color="000000"/>
              <w:left w:val="single" w:sz="4" w:space="0" w:color="000000"/>
              <w:bottom w:val="single" w:sz="4" w:space="0" w:color="000000"/>
              <w:right w:val="single" w:sz="4" w:space="0" w:color="000000"/>
            </w:tcBorders>
          </w:tcPr>
          <w:p w:rsidR="00043D8B" w:rsidRDefault="00043D8B" w:rsidP="00043D8B">
            <w:pPr>
              <w:ind w:left="1"/>
            </w:pPr>
            <w:r>
              <w:rPr>
                <w:rFonts w:ascii="Times New Roman" w:hAnsi="Times New Roman"/>
                <w:sz w:val="20"/>
              </w:rPr>
              <w:t xml:space="preserve">COM(2015) 450 final 2015/0208/COD </w:t>
            </w:r>
          </w:p>
        </w:tc>
        <w:tc>
          <w:tcPr>
            <w:tcW w:w="2286" w:type="dxa"/>
            <w:tcBorders>
              <w:top w:val="single" w:sz="4" w:space="0" w:color="000000"/>
              <w:left w:val="single" w:sz="4" w:space="0" w:color="000000"/>
              <w:bottom w:val="single" w:sz="4" w:space="0" w:color="000000"/>
              <w:right w:val="single" w:sz="4" w:space="0" w:color="000000"/>
            </w:tcBorders>
          </w:tcPr>
          <w:p w:rsidR="00043D8B" w:rsidRDefault="00043D8B" w:rsidP="00043D8B">
            <w:pPr>
              <w:ind w:left="4" w:right="86"/>
            </w:pPr>
            <w:r>
              <w:rPr>
                <w:rFonts w:ascii="Times New Roman" w:hAnsi="Times New Roman"/>
                <w:sz w:val="20"/>
              </w:rPr>
              <w:t>Návrh NARIADENIA EURÓPSKEHO PARLAMENTU A RADY, ktorým sa stanovuje krízový mechanizmus premiestnenia a mení nariadenie Európskeho parlamentu a Rady (EÚ) č. 604/2013 z 26. júna 2013, ktorým sa stanovujú kritériá a mechanizmy na určenie členského štátu zodpovedného za posúdenie žiadosti</w:t>
            </w:r>
            <w:r>
              <w:rPr>
                <w:rFonts w:ascii="Times New Roman" w:hAnsi="Times New Roman"/>
                <w:sz w:val="24"/>
              </w:rPr>
              <w:t xml:space="preserve"> o </w:t>
            </w:r>
            <w:r>
              <w:rPr>
                <w:rFonts w:ascii="Times New Roman" w:hAnsi="Times New Roman"/>
                <w:sz w:val="20"/>
              </w:rPr>
              <w:t xml:space="preserve">medzinárodnú ochranu podanej štátnym príslušníkom tretej krajiny alebo osobou bez štátnej príslušnosti v jednom z členských štátov </w:t>
            </w:r>
          </w:p>
        </w:tc>
        <w:tc>
          <w:tcPr>
            <w:tcW w:w="4812" w:type="dxa"/>
            <w:tcBorders>
              <w:top w:val="single" w:sz="4" w:space="0" w:color="000000"/>
              <w:left w:val="single" w:sz="4" w:space="0" w:color="000000"/>
              <w:bottom w:val="single" w:sz="4" w:space="0" w:color="000000"/>
              <w:right w:val="single" w:sz="4" w:space="0" w:color="000000"/>
            </w:tcBorders>
          </w:tcPr>
          <w:p w:rsidR="00043D8B" w:rsidRDefault="00043D8B" w:rsidP="00043D8B">
            <w:pPr>
              <w:ind w:left="4" w:right="84"/>
              <w:jc w:val="both"/>
            </w:pPr>
            <w:r>
              <w:rPr>
                <w:rFonts w:ascii="Times New Roman" w:hAnsi="Times New Roman"/>
                <w:sz w:val="20"/>
              </w:rPr>
              <w:t>Aktualizovaný prístup k tejto otázke sa stanovuje v návrhu na reformu dublinského systému [COM(2016) 270 final], ktoré je v súčasnosti v medziinštitucionálnom procese ako súčasť balíka návrhov na reformu spoločného európskeho azylového systému.</w:t>
            </w:r>
            <w:r>
              <w:rPr>
                <w:rFonts w:ascii="Times New Roman" w:hAnsi="Times New Roman"/>
                <w:i/>
                <w:sz w:val="20"/>
              </w:rPr>
              <w:t xml:space="preserve"> </w:t>
            </w:r>
          </w:p>
        </w:tc>
        <w:tc>
          <w:tcPr>
            <w:tcW w:w="1517" w:type="dxa"/>
            <w:gridSpan w:val="2"/>
            <w:tcBorders>
              <w:top w:val="single" w:sz="4" w:space="0" w:color="000000"/>
              <w:left w:val="single" w:sz="4" w:space="0" w:color="000000"/>
              <w:bottom w:val="single" w:sz="4" w:space="0" w:color="000000"/>
              <w:right w:val="single" w:sz="4" w:space="0" w:color="000000"/>
            </w:tcBorders>
          </w:tcPr>
          <w:p w:rsidR="00043D8B" w:rsidRPr="006458BF" w:rsidRDefault="00043D8B" w:rsidP="00043D8B">
            <w:pPr>
              <w:ind w:left="4" w:right="84"/>
              <w:jc w:val="both"/>
              <w:rPr>
                <w:rFonts w:ascii="Times New Roman" w:hAnsi="Times New Roman"/>
                <w:b/>
                <w:sz w:val="20"/>
              </w:rPr>
            </w:pPr>
            <w:r w:rsidRPr="006458BF">
              <w:rPr>
                <w:rFonts w:ascii="Times New Roman" w:hAnsi="Times New Roman"/>
                <w:b/>
                <w:sz w:val="20"/>
              </w:rPr>
              <w:t>MV SR</w:t>
            </w:r>
          </w:p>
        </w:tc>
        <w:tc>
          <w:tcPr>
            <w:tcW w:w="3119" w:type="dxa"/>
            <w:gridSpan w:val="2"/>
            <w:tcBorders>
              <w:top w:val="single" w:sz="4" w:space="0" w:color="000000"/>
              <w:left w:val="single" w:sz="4" w:space="0" w:color="000000"/>
              <w:bottom w:val="single" w:sz="4" w:space="0" w:color="000000"/>
              <w:right w:val="single" w:sz="4" w:space="0" w:color="000000"/>
            </w:tcBorders>
          </w:tcPr>
          <w:p w:rsidR="00043D8B" w:rsidRPr="0047673C" w:rsidRDefault="00043D8B" w:rsidP="00043D8B">
            <w:pPr>
              <w:ind w:left="4" w:right="84"/>
              <w:jc w:val="both"/>
              <w:rPr>
                <w:rFonts w:ascii="Times New Roman" w:hAnsi="Times New Roman"/>
                <w:sz w:val="20"/>
              </w:rPr>
            </w:pPr>
            <w:r w:rsidRPr="0047673C">
              <w:rPr>
                <w:rFonts w:ascii="Times New Roman" w:hAnsi="Times New Roman"/>
                <w:sz w:val="20"/>
                <w:szCs w:val="20"/>
              </w:rPr>
              <w:t>SR nemá výhrady voči stiahnutiu návrhu.</w:t>
            </w:r>
          </w:p>
        </w:tc>
      </w:tr>
      <w:tr w:rsidR="00043D8B" w:rsidTr="00E63E2A">
        <w:trPr>
          <w:trHeight w:val="1099"/>
        </w:trPr>
        <w:tc>
          <w:tcPr>
            <w:tcW w:w="591" w:type="dxa"/>
            <w:tcBorders>
              <w:top w:val="single" w:sz="4" w:space="0" w:color="000000"/>
              <w:left w:val="single" w:sz="4" w:space="0" w:color="000000"/>
              <w:bottom w:val="single" w:sz="4" w:space="0" w:color="000000"/>
              <w:right w:val="single" w:sz="4" w:space="0" w:color="000000"/>
            </w:tcBorders>
          </w:tcPr>
          <w:p w:rsidR="00043D8B" w:rsidRDefault="00043D8B" w:rsidP="00043D8B">
            <w:pPr>
              <w:ind w:right="250"/>
              <w:jc w:val="right"/>
            </w:pPr>
            <w:r>
              <w:rPr>
                <w:rFonts w:ascii="Times New Roman" w:hAnsi="Times New Roman"/>
                <w:sz w:val="20"/>
              </w:rPr>
              <w:t>9.</w:t>
            </w:r>
            <w:r>
              <w:rPr>
                <w:rFonts w:ascii="Arial" w:hAnsi="Arial" w:cs="Arial"/>
                <w:sz w:val="20"/>
              </w:rPr>
              <w:t xml:space="preserve"> </w:t>
            </w:r>
            <w:r>
              <w:rPr>
                <w:rFonts w:ascii="Times New Roman" w:hAnsi="Times New Roman"/>
                <w:sz w:val="20"/>
              </w:rPr>
              <w:t xml:space="preserve"> </w:t>
            </w:r>
          </w:p>
        </w:tc>
        <w:tc>
          <w:tcPr>
            <w:tcW w:w="2442" w:type="dxa"/>
            <w:gridSpan w:val="3"/>
            <w:tcBorders>
              <w:top w:val="single" w:sz="4" w:space="0" w:color="000000"/>
              <w:left w:val="single" w:sz="4" w:space="0" w:color="000000"/>
              <w:bottom w:val="single" w:sz="4" w:space="0" w:color="000000"/>
              <w:right w:val="single" w:sz="4" w:space="0" w:color="000000"/>
            </w:tcBorders>
          </w:tcPr>
          <w:p w:rsidR="00043D8B" w:rsidRDefault="00043D8B" w:rsidP="00043D8B">
            <w:pPr>
              <w:ind w:left="1"/>
            </w:pPr>
            <w:r>
              <w:rPr>
                <w:rFonts w:ascii="Times New Roman" w:hAnsi="Times New Roman"/>
                <w:sz w:val="20"/>
              </w:rPr>
              <w:t xml:space="preserve">COM(2018) 167 final </w:t>
            </w:r>
          </w:p>
        </w:tc>
        <w:tc>
          <w:tcPr>
            <w:tcW w:w="2286" w:type="dxa"/>
            <w:tcBorders>
              <w:top w:val="single" w:sz="4" w:space="0" w:color="000000"/>
              <w:left w:val="single" w:sz="4" w:space="0" w:color="000000"/>
              <w:bottom w:val="single" w:sz="4" w:space="0" w:color="000000"/>
              <w:right w:val="single" w:sz="4" w:space="0" w:color="000000"/>
            </w:tcBorders>
          </w:tcPr>
          <w:p w:rsidR="00043D8B" w:rsidRDefault="00043D8B" w:rsidP="00043D8B">
            <w:pPr>
              <w:ind w:left="4" w:right="89"/>
            </w:pPr>
            <w:r>
              <w:rPr>
                <w:rFonts w:ascii="Times New Roman" w:hAnsi="Times New Roman"/>
                <w:sz w:val="20"/>
              </w:rPr>
              <w:t xml:space="preserve">Návrh ROZHODNUTIA RADY, ktorým sa Komisia oprávňuje schváliť v mene Únie globálny pakt o bezpečnej, riadenej a legálnej migrácii v oblasti rozvojovej spolupráce </w:t>
            </w:r>
          </w:p>
        </w:tc>
        <w:tc>
          <w:tcPr>
            <w:tcW w:w="4812" w:type="dxa"/>
            <w:tcBorders>
              <w:top w:val="single" w:sz="4" w:space="0" w:color="000000"/>
              <w:left w:val="single" w:sz="4" w:space="0" w:color="000000"/>
              <w:bottom w:val="single" w:sz="4" w:space="0" w:color="000000"/>
              <w:right w:val="single" w:sz="4" w:space="0" w:color="000000"/>
            </w:tcBorders>
          </w:tcPr>
          <w:p w:rsidR="00043D8B" w:rsidRDefault="00043D8B" w:rsidP="00043D8B">
            <w:pPr>
              <w:ind w:left="4" w:right="89"/>
              <w:jc w:val="both"/>
            </w:pPr>
            <w:r>
              <w:rPr>
                <w:rFonts w:ascii="Times New Roman" w:hAnsi="Times New Roman"/>
                <w:sz w:val="20"/>
              </w:rPr>
              <w:t>Návrh už nie je potrebný, pretože globálny pakt sa bude prijímať dvojstupňovým procesom – prijatie výsledku rokovaní na medzivládnej konferencii a následné formálne schválenie rezolúciou Valného zhromaždenia OSN. Návrh súvisí s COM(2018) 168</w:t>
            </w:r>
            <w:r>
              <w:rPr>
                <w:rFonts w:ascii="Times New Roman" w:hAnsi="Times New Roman"/>
                <w:i/>
                <w:sz w:val="20"/>
              </w:rPr>
              <w:t>.</w:t>
            </w:r>
            <w:r>
              <w:rPr>
                <w:rFonts w:ascii="Times New Roman" w:hAnsi="Times New Roman"/>
                <w:sz w:val="20"/>
              </w:rPr>
              <w:t xml:space="preserve"> </w:t>
            </w:r>
          </w:p>
        </w:tc>
        <w:tc>
          <w:tcPr>
            <w:tcW w:w="1517" w:type="dxa"/>
            <w:gridSpan w:val="2"/>
            <w:tcBorders>
              <w:top w:val="single" w:sz="4" w:space="0" w:color="000000"/>
              <w:left w:val="single" w:sz="4" w:space="0" w:color="000000"/>
              <w:bottom w:val="single" w:sz="4" w:space="0" w:color="000000"/>
              <w:right w:val="single" w:sz="4" w:space="0" w:color="000000"/>
            </w:tcBorders>
          </w:tcPr>
          <w:p w:rsidR="00043D8B" w:rsidRPr="006458BF" w:rsidRDefault="00043D8B" w:rsidP="00043D8B">
            <w:pPr>
              <w:ind w:left="4" w:right="89"/>
              <w:jc w:val="both"/>
              <w:rPr>
                <w:rFonts w:ascii="Times New Roman" w:hAnsi="Times New Roman"/>
                <w:b/>
                <w:sz w:val="20"/>
              </w:rPr>
            </w:pPr>
            <w:r w:rsidRPr="006458BF">
              <w:rPr>
                <w:rFonts w:ascii="Times New Roman" w:hAnsi="Times New Roman"/>
                <w:b/>
                <w:sz w:val="20"/>
              </w:rPr>
              <w:t>MV SR</w:t>
            </w:r>
          </w:p>
        </w:tc>
        <w:tc>
          <w:tcPr>
            <w:tcW w:w="3119" w:type="dxa"/>
            <w:gridSpan w:val="2"/>
            <w:tcBorders>
              <w:top w:val="single" w:sz="4" w:space="0" w:color="000000"/>
              <w:left w:val="single" w:sz="4" w:space="0" w:color="000000"/>
              <w:bottom w:val="single" w:sz="4" w:space="0" w:color="000000"/>
              <w:right w:val="single" w:sz="4" w:space="0" w:color="000000"/>
            </w:tcBorders>
          </w:tcPr>
          <w:p w:rsidR="00043D8B" w:rsidRPr="0047673C" w:rsidRDefault="00043D8B" w:rsidP="00043D8B">
            <w:pPr>
              <w:ind w:left="4" w:right="89"/>
              <w:jc w:val="both"/>
              <w:rPr>
                <w:rFonts w:ascii="Times New Roman" w:hAnsi="Times New Roman"/>
                <w:sz w:val="20"/>
              </w:rPr>
            </w:pPr>
            <w:r w:rsidRPr="0047673C">
              <w:rPr>
                <w:rFonts w:ascii="Times New Roman" w:hAnsi="Times New Roman"/>
                <w:sz w:val="20"/>
                <w:szCs w:val="20"/>
              </w:rPr>
              <w:t>SR nemá výhrady voči stiahnutiu návrhu.</w:t>
            </w:r>
          </w:p>
        </w:tc>
      </w:tr>
      <w:tr w:rsidR="00043D8B" w:rsidTr="00E63E2A">
        <w:trPr>
          <w:trHeight w:val="872"/>
        </w:trPr>
        <w:tc>
          <w:tcPr>
            <w:tcW w:w="591" w:type="dxa"/>
            <w:tcBorders>
              <w:top w:val="single" w:sz="4" w:space="0" w:color="000000"/>
              <w:left w:val="single" w:sz="4" w:space="0" w:color="000000"/>
              <w:bottom w:val="single" w:sz="4" w:space="0" w:color="000000"/>
              <w:right w:val="single" w:sz="4" w:space="0" w:color="000000"/>
            </w:tcBorders>
          </w:tcPr>
          <w:p w:rsidR="00043D8B" w:rsidRDefault="00043D8B" w:rsidP="00043D8B">
            <w:pPr>
              <w:ind w:right="149"/>
              <w:jc w:val="right"/>
            </w:pPr>
            <w:r>
              <w:rPr>
                <w:rFonts w:ascii="Times New Roman" w:hAnsi="Times New Roman"/>
                <w:sz w:val="20"/>
              </w:rPr>
              <w:t>10.</w:t>
            </w:r>
            <w:r>
              <w:rPr>
                <w:rFonts w:ascii="Arial" w:hAnsi="Arial" w:cs="Arial"/>
                <w:sz w:val="20"/>
              </w:rPr>
              <w:t xml:space="preserve"> </w:t>
            </w:r>
            <w:r>
              <w:rPr>
                <w:rFonts w:ascii="Times New Roman" w:hAnsi="Times New Roman"/>
                <w:sz w:val="20"/>
              </w:rPr>
              <w:t xml:space="preserve"> </w:t>
            </w:r>
          </w:p>
        </w:tc>
        <w:tc>
          <w:tcPr>
            <w:tcW w:w="2442" w:type="dxa"/>
            <w:gridSpan w:val="3"/>
            <w:tcBorders>
              <w:top w:val="single" w:sz="4" w:space="0" w:color="000000"/>
              <w:left w:val="single" w:sz="4" w:space="0" w:color="000000"/>
              <w:bottom w:val="single" w:sz="4" w:space="0" w:color="000000"/>
              <w:right w:val="single" w:sz="4" w:space="0" w:color="000000"/>
            </w:tcBorders>
          </w:tcPr>
          <w:p w:rsidR="00043D8B" w:rsidRDefault="00043D8B" w:rsidP="00043D8B">
            <w:pPr>
              <w:ind w:left="1"/>
            </w:pPr>
            <w:r>
              <w:rPr>
                <w:rFonts w:ascii="Times New Roman" w:hAnsi="Times New Roman"/>
                <w:sz w:val="20"/>
              </w:rPr>
              <w:t xml:space="preserve">COM(2018) 168 final </w:t>
            </w:r>
          </w:p>
        </w:tc>
        <w:tc>
          <w:tcPr>
            <w:tcW w:w="2286" w:type="dxa"/>
            <w:tcBorders>
              <w:top w:val="single" w:sz="4" w:space="0" w:color="000000"/>
              <w:left w:val="single" w:sz="4" w:space="0" w:color="000000"/>
              <w:bottom w:val="single" w:sz="4" w:space="0" w:color="000000"/>
              <w:right w:val="single" w:sz="4" w:space="0" w:color="000000"/>
            </w:tcBorders>
          </w:tcPr>
          <w:p w:rsidR="00043D8B" w:rsidRDefault="00043D8B" w:rsidP="00043D8B">
            <w:pPr>
              <w:ind w:left="4" w:right="89"/>
            </w:pPr>
            <w:r>
              <w:rPr>
                <w:rFonts w:ascii="Times New Roman" w:hAnsi="Times New Roman"/>
                <w:sz w:val="20"/>
              </w:rPr>
              <w:t xml:space="preserve">Návrh ROZHODNUTIA RADY, ktorým sa Komisia oprávňuje schváliť v mene Únie globálny pakt o bezpečnej, riadenej a legálnej migrácii v oblasti prisťahovaleckej politiky </w:t>
            </w:r>
          </w:p>
        </w:tc>
        <w:tc>
          <w:tcPr>
            <w:tcW w:w="4812" w:type="dxa"/>
            <w:tcBorders>
              <w:top w:val="single" w:sz="4" w:space="0" w:color="000000"/>
              <w:left w:val="single" w:sz="4" w:space="0" w:color="000000"/>
              <w:bottom w:val="single" w:sz="4" w:space="0" w:color="000000"/>
              <w:right w:val="single" w:sz="4" w:space="0" w:color="000000"/>
            </w:tcBorders>
          </w:tcPr>
          <w:p w:rsidR="00043D8B" w:rsidRDefault="00043D8B" w:rsidP="00043D8B">
            <w:pPr>
              <w:ind w:left="4" w:right="90"/>
              <w:jc w:val="both"/>
            </w:pPr>
            <w:r>
              <w:rPr>
                <w:rFonts w:ascii="Times New Roman" w:hAnsi="Times New Roman"/>
                <w:sz w:val="20"/>
              </w:rPr>
              <w:t>Návrhy už nie sú potrebné, pretože pakt sa bude prijímať dvojstupňovým procesom – prijatie výsledku rokovaní na medzivládnej konferencii a následné formálne schválenie rezolúciou Valného zhromaždenia OSN.</w:t>
            </w:r>
            <w:r>
              <w:rPr>
                <w:rFonts w:ascii="Times New Roman" w:hAnsi="Times New Roman"/>
                <w:i/>
                <w:sz w:val="20"/>
              </w:rPr>
              <w:t xml:space="preserve"> </w:t>
            </w:r>
          </w:p>
        </w:tc>
        <w:tc>
          <w:tcPr>
            <w:tcW w:w="1517" w:type="dxa"/>
            <w:gridSpan w:val="2"/>
            <w:tcBorders>
              <w:top w:val="single" w:sz="4" w:space="0" w:color="000000"/>
              <w:left w:val="single" w:sz="4" w:space="0" w:color="000000"/>
              <w:bottom w:val="single" w:sz="4" w:space="0" w:color="000000"/>
              <w:right w:val="single" w:sz="4" w:space="0" w:color="000000"/>
            </w:tcBorders>
          </w:tcPr>
          <w:p w:rsidR="00043D8B" w:rsidRPr="006458BF" w:rsidRDefault="00043D8B" w:rsidP="00043D8B">
            <w:pPr>
              <w:ind w:left="4" w:right="90"/>
              <w:jc w:val="both"/>
              <w:rPr>
                <w:rFonts w:ascii="Times New Roman" w:hAnsi="Times New Roman"/>
                <w:b/>
                <w:sz w:val="20"/>
              </w:rPr>
            </w:pPr>
            <w:r w:rsidRPr="006458BF">
              <w:rPr>
                <w:rFonts w:ascii="Times New Roman" w:hAnsi="Times New Roman"/>
                <w:b/>
                <w:sz w:val="20"/>
              </w:rPr>
              <w:t>MV SR</w:t>
            </w:r>
          </w:p>
        </w:tc>
        <w:tc>
          <w:tcPr>
            <w:tcW w:w="3119" w:type="dxa"/>
            <w:gridSpan w:val="2"/>
            <w:tcBorders>
              <w:top w:val="single" w:sz="4" w:space="0" w:color="000000"/>
              <w:left w:val="single" w:sz="4" w:space="0" w:color="000000"/>
              <w:bottom w:val="single" w:sz="4" w:space="0" w:color="000000"/>
              <w:right w:val="single" w:sz="4" w:space="0" w:color="000000"/>
            </w:tcBorders>
          </w:tcPr>
          <w:p w:rsidR="00043D8B" w:rsidRPr="0047673C" w:rsidRDefault="00043D8B" w:rsidP="00043D8B">
            <w:pPr>
              <w:ind w:left="4" w:right="90"/>
              <w:jc w:val="both"/>
              <w:rPr>
                <w:rFonts w:ascii="Times New Roman" w:hAnsi="Times New Roman"/>
                <w:sz w:val="20"/>
              </w:rPr>
            </w:pPr>
            <w:r w:rsidRPr="0047673C">
              <w:rPr>
                <w:rFonts w:ascii="Times New Roman" w:hAnsi="Times New Roman"/>
                <w:sz w:val="20"/>
                <w:szCs w:val="20"/>
              </w:rPr>
              <w:t>SR nemá výhrady voči stiahnutiu návrhu.</w:t>
            </w:r>
          </w:p>
        </w:tc>
      </w:tr>
    </w:tbl>
    <w:p w:rsidR="00043D8B" w:rsidRDefault="00043D8B" w:rsidP="00043D8B">
      <w:pPr>
        <w:spacing w:after="0"/>
        <w:jc w:val="both"/>
      </w:pPr>
      <w:r>
        <w:rPr>
          <w:rFonts w:ascii="Times New Roman" w:hAnsi="Times New Roman" w:cs="Times New Roman"/>
          <w:sz w:val="24"/>
        </w:rPr>
        <w:t xml:space="preserve"> </w:t>
      </w:r>
    </w:p>
    <w:p w:rsidR="00043D8B" w:rsidRDefault="00043D8B" w:rsidP="00043D8B">
      <w:pPr>
        <w:pStyle w:val="Nadpis2"/>
        <w:ind w:left="4590"/>
      </w:pPr>
      <w:r>
        <w:t xml:space="preserve">Príloha V: Zoznam aktov, ktoré sa majú zrušiť </w:t>
      </w:r>
    </w:p>
    <w:tbl>
      <w:tblPr>
        <w:tblStyle w:val="ablnaChar"/>
        <w:tblW w:w="14767" w:type="dxa"/>
        <w:tblInd w:w="-83" w:type="dxa"/>
        <w:tblCellMar>
          <w:top w:w="91" w:type="dxa"/>
          <w:left w:w="83" w:type="dxa"/>
        </w:tblCellMar>
        <w:tblLook w:val="04A0" w:firstRow="1" w:lastRow="0" w:firstColumn="1" w:lastColumn="0" w:noHBand="0" w:noVBand="1"/>
      </w:tblPr>
      <w:tblGrid>
        <w:gridCol w:w="440"/>
        <w:gridCol w:w="24"/>
        <w:gridCol w:w="1505"/>
        <w:gridCol w:w="60"/>
        <w:gridCol w:w="3626"/>
        <w:gridCol w:w="4292"/>
        <w:gridCol w:w="78"/>
        <w:gridCol w:w="1552"/>
        <w:gridCol w:w="3190"/>
      </w:tblGrid>
      <w:tr w:rsidR="00043D8B" w:rsidTr="00E63E2A">
        <w:trPr>
          <w:trHeight w:val="373"/>
        </w:trPr>
        <w:tc>
          <w:tcPr>
            <w:tcW w:w="440" w:type="dxa"/>
            <w:tcBorders>
              <w:top w:val="single" w:sz="4" w:space="0" w:color="000000"/>
              <w:left w:val="single" w:sz="4" w:space="0" w:color="000000"/>
              <w:bottom w:val="single" w:sz="4" w:space="0" w:color="000000"/>
              <w:right w:val="single" w:sz="4" w:space="0" w:color="000000"/>
            </w:tcBorders>
            <w:shd w:val="clear" w:color="auto" w:fill="99CCFF"/>
          </w:tcPr>
          <w:p w:rsidR="00043D8B" w:rsidRDefault="00043D8B" w:rsidP="00043D8B">
            <w:pPr>
              <w:ind w:left="53"/>
            </w:pPr>
            <w:r>
              <w:rPr>
                <w:rFonts w:ascii="Times New Roman" w:hAnsi="Times New Roman"/>
                <w:b/>
                <w:sz w:val="20"/>
              </w:rPr>
              <w:t xml:space="preserve">Č. </w:t>
            </w:r>
          </w:p>
        </w:tc>
        <w:tc>
          <w:tcPr>
            <w:tcW w:w="1589" w:type="dxa"/>
            <w:gridSpan w:val="3"/>
            <w:tcBorders>
              <w:top w:val="single" w:sz="4" w:space="0" w:color="000000"/>
              <w:left w:val="single" w:sz="4" w:space="0" w:color="000000"/>
              <w:bottom w:val="single" w:sz="4" w:space="0" w:color="000000"/>
              <w:right w:val="single" w:sz="4" w:space="0" w:color="000000"/>
            </w:tcBorders>
            <w:shd w:val="clear" w:color="auto" w:fill="99CCFF"/>
          </w:tcPr>
          <w:p w:rsidR="00043D8B" w:rsidRDefault="00043D8B" w:rsidP="00043D8B">
            <w:pPr>
              <w:ind w:right="84"/>
              <w:jc w:val="center"/>
            </w:pPr>
            <w:r>
              <w:rPr>
                <w:rFonts w:ascii="Times New Roman" w:hAnsi="Times New Roman"/>
                <w:b/>
                <w:sz w:val="20"/>
              </w:rPr>
              <w:t xml:space="preserve">Oblasť politiky </w:t>
            </w:r>
          </w:p>
        </w:tc>
        <w:tc>
          <w:tcPr>
            <w:tcW w:w="3626" w:type="dxa"/>
            <w:tcBorders>
              <w:top w:val="single" w:sz="4" w:space="0" w:color="000000"/>
              <w:left w:val="single" w:sz="4" w:space="0" w:color="000000"/>
              <w:bottom w:val="single" w:sz="4" w:space="0" w:color="000000"/>
              <w:right w:val="single" w:sz="4" w:space="0" w:color="000000"/>
            </w:tcBorders>
            <w:shd w:val="clear" w:color="auto" w:fill="99CCFF"/>
          </w:tcPr>
          <w:p w:rsidR="00043D8B" w:rsidRDefault="00043D8B" w:rsidP="00043D8B">
            <w:pPr>
              <w:ind w:right="84"/>
              <w:jc w:val="center"/>
            </w:pPr>
            <w:r>
              <w:rPr>
                <w:rFonts w:ascii="Times New Roman" w:hAnsi="Times New Roman"/>
                <w:b/>
                <w:sz w:val="20"/>
              </w:rPr>
              <w:t xml:space="preserve">Názov </w:t>
            </w:r>
          </w:p>
        </w:tc>
        <w:tc>
          <w:tcPr>
            <w:tcW w:w="4370" w:type="dxa"/>
            <w:gridSpan w:val="2"/>
            <w:tcBorders>
              <w:top w:val="single" w:sz="4" w:space="0" w:color="000000"/>
              <w:left w:val="single" w:sz="4" w:space="0" w:color="000000"/>
              <w:bottom w:val="single" w:sz="4" w:space="0" w:color="000000"/>
              <w:right w:val="single" w:sz="4" w:space="0" w:color="000000"/>
            </w:tcBorders>
            <w:shd w:val="clear" w:color="auto" w:fill="99CCFF"/>
          </w:tcPr>
          <w:p w:rsidR="00043D8B" w:rsidRDefault="00043D8B" w:rsidP="00043D8B">
            <w:pPr>
              <w:ind w:right="84"/>
              <w:jc w:val="center"/>
            </w:pPr>
            <w:r>
              <w:rPr>
                <w:rFonts w:ascii="Times New Roman" w:hAnsi="Times New Roman"/>
                <w:b/>
                <w:sz w:val="20"/>
              </w:rPr>
              <w:t xml:space="preserve">Dôvod zrušenia </w:t>
            </w:r>
          </w:p>
        </w:tc>
        <w:tc>
          <w:tcPr>
            <w:tcW w:w="1552" w:type="dxa"/>
            <w:tcBorders>
              <w:top w:val="single" w:sz="4" w:space="0" w:color="000000"/>
              <w:left w:val="single" w:sz="4" w:space="0" w:color="000000"/>
              <w:bottom w:val="single" w:sz="4" w:space="0" w:color="000000"/>
              <w:right w:val="single" w:sz="4" w:space="0" w:color="000000"/>
            </w:tcBorders>
            <w:shd w:val="clear" w:color="auto" w:fill="99CCFF"/>
          </w:tcPr>
          <w:p w:rsidR="00043D8B" w:rsidRDefault="00043D8B" w:rsidP="00043D8B">
            <w:pPr>
              <w:ind w:right="84"/>
              <w:jc w:val="center"/>
              <w:rPr>
                <w:rFonts w:ascii="Times New Roman" w:hAnsi="Times New Roman"/>
                <w:b/>
                <w:sz w:val="20"/>
              </w:rPr>
            </w:pPr>
          </w:p>
        </w:tc>
        <w:tc>
          <w:tcPr>
            <w:tcW w:w="3190" w:type="dxa"/>
            <w:tcBorders>
              <w:top w:val="single" w:sz="4" w:space="0" w:color="000000"/>
              <w:left w:val="single" w:sz="4" w:space="0" w:color="000000"/>
              <w:bottom w:val="single" w:sz="4" w:space="0" w:color="000000"/>
              <w:right w:val="single" w:sz="4" w:space="0" w:color="000000"/>
            </w:tcBorders>
            <w:shd w:val="clear" w:color="auto" w:fill="99CCFF"/>
          </w:tcPr>
          <w:p w:rsidR="00043D8B" w:rsidRDefault="00043D8B" w:rsidP="00043D8B">
            <w:pPr>
              <w:ind w:right="84"/>
              <w:jc w:val="center"/>
              <w:rPr>
                <w:rFonts w:ascii="Times New Roman" w:hAnsi="Times New Roman"/>
                <w:b/>
                <w:sz w:val="20"/>
              </w:rPr>
            </w:pPr>
          </w:p>
        </w:tc>
      </w:tr>
      <w:tr w:rsidR="00043D8B" w:rsidTr="00E63E2A">
        <w:trPr>
          <w:trHeight w:val="1136"/>
        </w:trPr>
        <w:tc>
          <w:tcPr>
            <w:tcW w:w="440" w:type="dxa"/>
            <w:tcBorders>
              <w:top w:val="single" w:sz="4" w:space="0" w:color="000000"/>
              <w:left w:val="single" w:sz="4" w:space="0" w:color="000000"/>
              <w:bottom w:val="single" w:sz="4" w:space="0" w:color="000000"/>
              <w:right w:val="single" w:sz="4" w:space="0" w:color="000000"/>
            </w:tcBorders>
          </w:tcPr>
          <w:p w:rsidR="00043D8B" w:rsidRDefault="00043D8B" w:rsidP="00043D8B">
            <w:r>
              <w:rPr>
                <w:rFonts w:ascii="Times New Roman" w:hAnsi="Times New Roman"/>
                <w:sz w:val="20"/>
              </w:rPr>
              <w:t>1.</w:t>
            </w:r>
            <w:r>
              <w:rPr>
                <w:rFonts w:ascii="Arial" w:hAnsi="Arial" w:cs="Arial"/>
                <w:sz w:val="20"/>
              </w:rPr>
              <w:t xml:space="preserve"> </w:t>
            </w:r>
          </w:p>
        </w:tc>
        <w:tc>
          <w:tcPr>
            <w:tcW w:w="1589" w:type="dxa"/>
            <w:gridSpan w:val="3"/>
            <w:tcBorders>
              <w:top w:val="single" w:sz="4" w:space="0" w:color="000000"/>
              <w:left w:val="single" w:sz="4" w:space="0" w:color="000000"/>
              <w:bottom w:val="single" w:sz="4" w:space="0" w:color="000000"/>
              <w:right w:val="single" w:sz="4" w:space="0" w:color="000000"/>
            </w:tcBorders>
          </w:tcPr>
          <w:p w:rsidR="00043D8B" w:rsidRDefault="00043D8B" w:rsidP="00043D8B">
            <w:pPr>
              <w:ind w:left="4"/>
            </w:pPr>
            <w:r>
              <w:rPr>
                <w:rFonts w:ascii="Times New Roman" w:hAnsi="Times New Roman"/>
                <w:sz w:val="20"/>
              </w:rPr>
              <w:t xml:space="preserve">Únia kapitálových trhov  </w:t>
            </w:r>
          </w:p>
        </w:tc>
        <w:tc>
          <w:tcPr>
            <w:tcW w:w="3626" w:type="dxa"/>
            <w:tcBorders>
              <w:top w:val="single" w:sz="4" w:space="0" w:color="000000"/>
              <w:left w:val="single" w:sz="4" w:space="0" w:color="000000"/>
              <w:bottom w:val="single" w:sz="4" w:space="0" w:color="000000"/>
              <w:right w:val="single" w:sz="4" w:space="0" w:color="000000"/>
            </w:tcBorders>
          </w:tcPr>
          <w:p w:rsidR="00043D8B" w:rsidRDefault="00043D8B" w:rsidP="00043D8B">
            <w:pPr>
              <w:ind w:left="1" w:right="87"/>
              <w:jc w:val="both"/>
            </w:pPr>
            <w:r>
              <w:rPr>
                <w:rFonts w:ascii="Times New Roman" w:hAnsi="Times New Roman"/>
                <w:sz w:val="20"/>
              </w:rPr>
              <w:t xml:space="preserve">Smernica Európskeho parlamentu a Rady 2001/34/ES z 28. mája 2001 o prijímaní cenných papierov na kótovanie na burze cenných papierov a o informáciách, ktoré sa o týchto cenných papieroch musia zverejňovať </w:t>
            </w:r>
          </w:p>
        </w:tc>
        <w:tc>
          <w:tcPr>
            <w:tcW w:w="4370" w:type="dxa"/>
            <w:gridSpan w:val="2"/>
            <w:tcBorders>
              <w:top w:val="single" w:sz="4" w:space="0" w:color="000000"/>
              <w:left w:val="single" w:sz="4" w:space="0" w:color="000000"/>
              <w:bottom w:val="single" w:sz="4" w:space="0" w:color="000000"/>
              <w:right w:val="single" w:sz="4" w:space="0" w:color="000000"/>
            </w:tcBorders>
          </w:tcPr>
          <w:p w:rsidR="00043D8B" w:rsidRDefault="00043D8B" w:rsidP="00043D8B">
            <w:pPr>
              <w:ind w:left="1" w:right="86"/>
              <w:jc w:val="both"/>
            </w:pPr>
            <w:r>
              <w:rPr>
                <w:rFonts w:ascii="Times New Roman" w:hAnsi="Times New Roman"/>
                <w:sz w:val="20"/>
              </w:rPr>
              <w:t xml:space="preserve">Väčšina požiadaviek tejto smernice je v súčasnosti upravená smernicou 2013/50/EÚ (zmenená smernica o transparentnosti) a nariadením o prospekte. Zostávajúce platné ustanovenia smernice 2001/34/ES možno zrušiť. </w:t>
            </w:r>
          </w:p>
        </w:tc>
        <w:tc>
          <w:tcPr>
            <w:tcW w:w="1552" w:type="dxa"/>
            <w:tcBorders>
              <w:top w:val="single" w:sz="4" w:space="0" w:color="000000"/>
              <w:left w:val="single" w:sz="4" w:space="0" w:color="000000"/>
              <w:bottom w:val="single" w:sz="4" w:space="0" w:color="000000"/>
              <w:right w:val="single" w:sz="4" w:space="0" w:color="000000"/>
            </w:tcBorders>
          </w:tcPr>
          <w:p w:rsidR="00043D8B" w:rsidRPr="006458BF" w:rsidRDefault="00043D8B" w:rsidP="00043D8B">
            <w:pPr>
              <w:ind w:left="1" w:right="86"/>
              <w:jc w:val="both"/>
              <w:rPr>
                <w:rFonts w:ascii="Times New Roman" w:hAnsi="Times New Roman"/>
                <w:b/>
                <w:sz w:val="20"/>
              </w:rPr>
            </w:pPr>
            <w:r w:rsidRPr="006458BF">
              <w:rPr>
                <w:rFonts w:ascii="Times New Roman" w:hAnsi="Times New Roman"/>
                <w:b/>
                <w:sz w:val="20"/>
              </w:rPr>
              <w:t>MF SR</w:t>
            </w:r>
          </w:p>
        </w:tc>
        <w:tc>
          <w:tcPr>
            <w:tcW w:w="3190" w:type="dxa"/>
            <w:tcBorders>
              <w:top w:val="single" w:sz="4" w:space="0" w:color="000000"/>
              <w:left w:val="single" w:sz="4" w:space="0" w:color="000000"/>
              <w:bottom w:val="single" w:sz="4" w:space="0" w:color="000000"/>
              <w:right w:val="single" w:sz="4" w:space="0" w:color="000000"/>
            </w:tcBorders>
          </w:tcPr>
          <w:p w:rsidR="00043D8B" w:rsidRDefault="00043D8B" w:rsidP="00043D8B">
            <w:pPr>
              <w:ind w:left="1" w:right="86"/>
              <w:jc w:val="both"/>
              <w:rPr>
                <w:rFonts w:ascii="Times New Roman" w:hAnsi="Times New Roman"/>
                <w:sz w:val="20"/>
              </w:rPr>
            </w:pPr>
            <w:r w:rsidRPr="00880B33">
              <w:rPr>
                <w:rFonts w:ascii="Times New Roman" w:hAnsi="Times New Roman"/>
                <w:sz w:val="20"/>
              </w:rPr>
              <w:t>SR súhlasí so zrušením</w:t>
            </w:r>
          </w:p>
        </w:tc>
      </w:tr>
      <w:tr w:rsidR="00043D8B" w:rsidTr="00E63E2A">
        <w:trPr>
          <w:trHeight w:val="1099"/>
        </w:trPr>
        <w:tc>
          <w:tcPr>
            <w:tcW w:w="440" w:type="dxa"/>
            <w:tcBorders>
              <w:top w:val="single" w:sz="4" w:space="0" w:color="000000"/>
              <w:left w:val="single" w:sz="4" w:space="0" w:color="000000"/>
              <w:bottom w:val="single" w:sz="4" w:space="0" w:color="000000"/>
              <w:right w:val="single" w:sz="4" w:space="0" w:color="000000"/>
            </w:tcBorders>
          </w:tcPr>
          <w:p w:rsidR="00043D8B" w:rsidRDefault="00043D8B" w:rsidP="00043D8B">
            <w:r>
              <w:rPr>
                <w:rFonts w:ascii="Times New Roman" w:hAnsi="Times New Roman"/>
                <w:sz w:val="20"/>
              </w:rPr>
              <w:t>2.</w:t>
            </w:r>
            <w:r>
              <w:rPr>
                <w:rFonts w:ascii="Arial" w:hAnsi="Arial" w:cs="Arial"/>
                <w:sz w:val="20"/>
              </w:rPr>
              <w:t xml:space="preserve"> </w:t>
            </w:r>
          </w:p>
        </w:tc>
        <w:tc>
          <w:tcPr>
            <w:tcW w:w="1589" w:type="dxa"/>
            <w:gridSpan w:val="3"/>
            <w:tcBorders>
              <w:top w:val="single" w:sz="4" w:space="0" w:color="000000"/>
              <w:left w:val="single" w:sz="4" w:space="0" w:color="000000"/>
              <w:bottom w:val="single" w:sz="4" w:space="0" w:color="000000"/>
              <w:right w:val="single" w:sz="4" w:space="0" w:color="000000"/>
            </w:tcBorders>
          </w:tcPr>
          <w:p w:rsidR="00043D8B" w:rsidRDefault="00043D8B" w:rsidP="00043D8B">
            <w:pPr>
              <w:ind w:left="4"/>
            </w:pPr>
            <w:r>
              <w:rPr>
                <w:rFonts w:ascii="Times New Roman" w:hAnsi="Times New Roman"/>
                <w:sz w:val="20"/>
              </w:rPr>
              <w:t xml:space="preserve">Daňové a colné záležitosti  </w:t>
            </w:r>
          </w:p>
        </w:tc>
        <w:tc>
          <w:tcPr>
            <w:tcW w:w="3626" w:type="dxa"/>
            <w:tcBorders>
              <w:top w:val="single" w:sz="4" w:space="0" w:color="000000"/>
              <w:left w:val="single" w:sz="4" w:space="0" w:color="000000"/>
              <w:bottom w:val="single" w:sz="4" w:space="0" w:color="000000"/>
              <w:right w:val="single" w:sz="4" w:space="0" w:color="000000"/>
            </w:tcBorders>
          </w:tcPr>
          <w:p w:rsidR="00043D8B" w:rsidRDefault="00043D8B" w:rsidP="00043D8B">
            <w:pPr>
              <w:ind w:left="1" w:right="89"/>
              <w:jc w:val="both"/>
            </w:pPr>
            <w:r>
              <w:rPr>
                <w:rFonts w:ascii="Times New Roman" w:hAnsi="Times New Roman"/>
                <w:sz w:val="20"/>
              </w:rPr>
              <w:t xml:space="preserve">Nariadenie Komisie (ES) č. 964/2007 zo 14. augusta 2007, ktorým sa ustanovujú podrobné pravidlá otvorenia a správy colných kvót na ryžu s pôvodom v najmenej rozvinutých krajinách na hospodárske roky 2007/2008 a 2008/2009 </w:t>
            </w:r>
          </w:p>
        </w:tc>
        <w:tc>
          <w:tcPr>
            <w:tcW w:w="4370" w:type="dxa"/>
            <w:gridSpan w:val="2"/>
            <w:tcBorders>
              <w:top w:val="single" w:sz="4" w:space="0" w:color="000000"/>
              <w:left w:val="single" w:sz="4" w:space="0" w:color="000000"/>
              <w:bottom w:val="single" w:sz="4" w:space="0" w:color="000000"/>
              <w:right w:val="single" w:sz="4" w:space="0" w:color="000000"/>
            </w:tcBorders>
          </w:tcPr>
          <w:p w:rsidR="00043D8B" w:rsidRDefault="00043D8B" w:rsidP="00043D8B">
            <w:pPr>
              <w:ind w:left="1" w:right="84"/>
              <w:jc w:val="both"/>
            </w:pPr>
            <w:r>
              <w:rPr>
                <w:rFonts w:ascii="Times New Roman" w:hAnsi="Times New Roman"/>
                <w:sz w:val="20"/>
              </w:rPr>
              <w:t xml:space="preserve">Neaktuálny akt: Colné kvóty, na ktoré sa vzťahuje tento akt, boli súčasťou obdobia vykonávania iniciatívy „Všetko okrem zbraní“ z roku 2001. Už však neexistujú, pretože od roku 2009 sa colné kvóty nepoužívajú a obchod s ryžou z týchto krajín nepodlieha clu ani kvótam. </w:t>
            </w:r>
          </w:p>
        </w:tc>
        <w:tc>
          <w:tcPr>
            <w:tcW w:w="1552" w:type="dxa"/>
            <w:tcBorders>
              <w:top w:val="single" w:sz="4" w:space="0" w:color="000000"/>
              <w:left w:val="single" w:sz="4" w:space="0" w:color="000000"/>
              <w:bottom w:val="single" w:sz="4" w:space="0" w:color="000000"/>
              <w:right w:val="single" w:sz="4" w:space="0" w:color="000000"/>
            </w:tcBorders>
          </w:tcPr>
          <w:p w:rsidR="00043D8B" w:rsidRPr="006458BF" w:rsidRDefault="00043D8B" w:rsidP="00043D8B">
            <w:pPr>
              <w:ind w:left="1" w:right="84"/>
              <w:jc w:val="both"/>
              <w:rPr>
                <w:rFonts w:ascii="Times New Roman" w:hAnsi="Times New Roman"/>
                <w:b/>
                <w:sz w:val="20"/>
              </w:rPr>
            </w:pPr>
            <w:r w:rsidRPr="006458BF">
              <w:rPr>
                <w:rFonts w:ascii="Times New Roman" w:hAnsi="Times New Roman"/>
                <w:b/>
                <w:sz w:val="20"/>
              </w:rPr>
              <w:t>MF SR</w:t>
            </w:r>
          </w:p>
        </w:tc>
        <w:tc>
          <w:tcPr>
            <w:tcW w:w="3190" w:type="dxa"/>
            <w:tcBorders>
              <w:top w:val="single" w:sz="4" w:space="0" w:color="000000"/>
              <w:left w:val="single" w:sz="4" w:space="0" w:color="000000"/>
              <w:bottom w:val="single" w:sz="4" w:space="0" w:color="000000"/>
              <w:right w:val="single" w:sz="4" w:space="0" w:color="000000"/>
            </w:tcBorders>
          </w:tcPr>
          <w:p w:rsidR="00043D8B" w:rsidRDefault="00043D8B" w:rsidP="00043D8B">
            <w:pPr>
              <w:ind w:left="1" w:right="84"/>
              <w:jc w:val="both"/>
              <w:rPr>
                <w:rFonts w:ascii="Times New Roman" w:hAnsi="Times New Roman"/>
                <w:sz w:val="20"/>
              </w:rPr>
            </w:pPr>
            <w:r w:rsidRPr="00880B33">
              <w:rPr>
                <w:rFonts w:ascii="Times New Roman" w:hAnsi="Times New Roman"/>
                <w:sz w:val="20"/>
              </w:rPr>
              <w:t>SR súhlasí so zrušením</w:t>
            </w:r>
          </w:p>
        </w:tc>
      </w:tr>
      <w:tr w:rsidR="00043D8B" w:rsidTr="00E63E2A">
        <w:trPr>
          <w:trHeight w:val="1791"/>
        </w:trPr>
        <w:tc>
          <w:tcPr>
            <w:tcW w:w="440" w:type="dxa"/>
            <w:tcBorders>
              <w:top w:val="single" w:sz="4" w:space="0" w:color="000000"/>
              <w:left w:val="single" w:sz="4" w:space="0" w:color="000000"/>
              <w:bottom w:val="single" w:sz="4" w:space="0" w:color="000000"/>
              <w:right w:val="single" w:sz="4" w:space="0" w:color="000000"/>
            </w:tcBorders>
          </w:tcPr>
          <w:p w:rsidR="00043D8B" w:rsidRDefault="00043D8B" w:rsidP="00043D8B">
            <w:r>
              <w:rPr>
                <w:rFonts w:ascii="Times New Roman" w:hAnsi="Times New Roman"/>
                <w:sz w:val="20"/>
              </w:rPr>
              <w:t>3.</w:t>
            </w:r>
            <w:r>
              <w:rPr>
                <w:rFonts w:ascii="Arial" w:hAnsi="Arial" w:cs="Arial"/>
                <w:sz w:val="20"/>
              </w:rPr>
              <w:t xml:space="preserve"> </w:t>
            </w:r>
          </w:p>
        </w:tc>
        <w:tc>
          <w:tcPr>
            <w:tcW w:w="1589" w:type="dxa"/>
            <w:gridSpan w:val="3"/>
            <w:tcBorders>
              <w:top w:val="single" w:sz="4" w:space="0" w:color="000000"/>
              <w:left w:val="single" w:sz="4" w:space="0" w:color="000000"/>
              <w:bottom w:val="single" w:sz="4" w:space="0" w:color="000000"/>
              <w:right w:val="single" w:sz="4" w:space="0" w:color="000000"/>
            </w:tcBorders>
          </w:tcPr>
          <w:p w:rsidR="00043D8B" w:rsidRDefault="00043D8B" w:rsidP="00043D8B">
            <w:pPr>
              <w:ind w:left="4"/>
            </w:pPr>
            <w:r>
              <w:rPr>
                <w:rFonts w:ascii="Times New Roman" w:hAnsi="Times New Roman"/>
                <w:sz w:val="20"/>
              </w:rPr>
              <w:t xml:space="preserve">Daňové a colné záležitosti </w:t>
            </w:r>
          </w:p>
        </w:tc>
        <w:tc>
          <w:tcPr>
            <w:tcW w:w="3626" w:type="dxa"/>
            <w:tcBorders>
              <w:top w:val="single" w:sz="4" w:space="0" w:color="000000"/>
              <w:left w:val="single" w:sz="4" w:space="0" w:color="000000"/>
              <w:bottom w:val="single" w:sz="4" w:space="0" w:color="000000"/>
              <w:right w:val="single" w:sz="4" w:space="0" w:color="000000"/>
            </w:tcBorders>
          </w:tcPr>
          <w:p w:rsidR="00043D8B" w:rsidRDefault="00043D8B" w:rsidP="00043D8B">
            <w:pPr>
              <w:ind w:left="1" w:right="86"/>
              <w:jc w:val="both"/>
            </w:pPr>
            <w:r>
              <w:rPr>
                <w:rFonts w:ascii="Times New Roman" w:hAnsi="Times New Roman"/>
                <w:sz w:val="20"/>
              </w:rPr>
              <w:t xml:space="preserve">Nariadenie Komisie (EHS) č. 3512/80 z 23. decembra 1980 o poskytovaní výnimiek, pokiaľ ide o krajiny Stredoamerického spoločného trhu, z článkov 1, 6 a 12 nariadenia Komisie (EHS) č. 3510/80 z 23. decembra 1980 o definícii pojmu pôvodné výrobky na účely uplatňovania tarifných preferencií poskytnutých Európskym hospodárskym spoločenstvom, pokiaľ ide o určité výrobky z rozvojových krajín </w:t>
            </w:r>
          </w:p>
        </w:tc>
        <w:tc>
          <w:tcPr>
            <w:tcW w:w="4370" w:type="dxa"/>
            <w:gridSpan w:val="2"/>
            <w:tcBorders>
              <w:top w:val="single" w:sz="4" w:space="0" w:color="000000"/>
              <w:left w:val="single" w:sz="4" w:space="0" w:color="000000"/>
              <w:bottom w:val="single" w:sz="4" w:space="0" w:color="000000"/>
              <w:right w:val="single" w:sz="4" w:space="0" w:color="000000"/>
            </w:tcBorders>
          </w:tcPr>
          <w:p w:rsidR="00043D8B" w:rsidRDefault="00043D8B" w:rsidP="00043D8B">
            <w:pPr>
              <w:spacing w:after="24" w:line="237" w:lineRule="auto"/>
              <w:ind w:left="1"/>
              <w:jc w:val="both"/>
            </w:pPr>
            <w:r>
              <w:rPr>
                <w:rFonts w:ascii="Times New Roman" w:hAnsi="Times New Roman"/>
                <w:sz w:val="20"/>
              </w:rPr>
              <w:t xml:space="preserve">Neaktuálny akt: Tento akt sa týka pravidiel pôvodu režimov všeobecného systému preferencií (VSP) Únie, ktoré už nie sú aktuálne (nariadenie Rady č. 3322/80 zo </w:t>
            </w:r>
          </w:p>
          <w:p w:rsidR="00043D8B" w:rsidRDefault="00043D8B" w:rsidP="00043D8B">
            <w:pPr>
              <w:ind w:left="1"/>
              <w:jc w:val="both"/>
            </w:pPr>
            <w:r>
              <w:rPr>
                <w:rFonts w:ascii="Times New Roman" w:hAnsi="Times New Roman"/>
                <w:sz w:val="20"/>
              </w:rPr>
              <w:t xml:space="preserve">16. decembra 1980). Stanovujú sa v ňom výnimky z niektorých článkov iného aktu (nariadenie 3510/80), ktorý už bol zrušený. </w:t>
            </w:r>
          </w:p>
        </w:tc>
        <w:tc>
          <w:tcPr>
            <w:tcW w:w="1552" w:type="dxa"/>
            <w:tcBorders>
              <w:top w:val="single" w:sz="4" w:space="0" w:color="000000"/>
              <w:left w:val="single" w:sz="4" w:space="0" w:color="000000"/>
              <w:bottom w:val="single" w:sz="4" w:space="0" w:color="000000"/>
              <w:right w:val="single" w:sz="4" w:space="0" w:color="000000"/>
            </w:tcBorders>
          </w:tcPr>
          <w:p w:rsidR="00043D8B" w:rsidRPr="006458BF" w:rsidRDefault="00043D8B" w:rsidP="00043D8B">
            <w:pPr>
              <w:spacing w:after="24" w:line="237" w:lineRule="auto"/>
              <w:ind w:left="1"/>
              <w:jc w:val="both"/>
              <w:rPr>
                <w:rFonts w:ascii="Times New Roman" w:hAnsi="Times New Roman"/>
                <w:b/>
                <w:sz w:val="20"/>
              </w:rPr>
            </w:pPr>
            <w:r w:rsidRPr="006458BF">
              <w:rPr>
                <w:rFonts w:ascii="Times New Roman" w:hAnsi="Times New Roman"/>
                <w:b/>
                <w:sz w:val="20"/>
              </w:rPr>
              <w:t>MF SR</w:t>
            </w:r>
          </w:p>
        </w:tc>
        <w:tc>
          <w:tcPr>
            <w:tcW w:w="3190" w:type="dxa"/>
            <w:tcBorders>
              <w:top w:val="single" w:sz="4" w:space="0" w:color="000000"/>
              <w:left w:val="single" w:sz="4" w:space="0" w:color="000000"/>
              <w:bottom w:val="single" w:sz="4" w:space="0" w:color="000000"/>
              <w:right w:val="single" w:sz="4" w:space="0" w:color="000000"/>
            </w:tcBorders>
          </w:tcPr>
          <w:p w:rsidR="00043D8B" w:rsidRDefault="00043D8B" w:rsidP="00043D8B">
            <w:pPr>
              <w:spacing w:after="24" w:line="237" w:lineRule="auto"/>
              <w:ind w:left="1"/>
              <w:jc w:val="both"/>
              <w:rPr>
                <w:rFonts w:ascii="Times New Roman" w:hAnsi="Times New Roman"/>
                <w:sz w:val="20"/>
              </w:rPr>
            </w:pPr>
            <w:r w:rsidRPr="00880B33">
              <w:rPr>
                <w:rFonts w:ascii="Times New Roman" w:hAnsi="Times New Roman"/>
                <w:sz w:val="20"/>
              </w:rPr>
              <w:t>SR súhlasí so zrušením</w:t>
            </w:r>
          </w:p>
        </w:tc>
      </w:tr>
      <w:tr w:rsidR="00043D8B" w:rsidTr="00E63E2A">
        <w:trPr>
          <w:trHeight w:val="750"/>
        </w:trPr>
        <w:tc>
          <w:tcPr>
            <w:tcW w:w="440" w:type="dxa"/>
            <w:tcBorders>
              <w:top w:val="single" w:sz="4" w:space="0" w:color="000000"/>
              <w:left w:val="single" w:sz="4" w:space="0" w:color="000000"/>
              <w:bottom w:val="single" w:sz="4" w:space="0" w:color="000000"/>
              <w:right w:val="single" w:sz="4" w:space="0" w:color="000000"/>
            </w:tcBorders>
          </w:tcPr>
          <w:p w:rsidR="00043D8B" w:rsidRDefault="00043D8B" w:rsidP="00043D8B">
            <w:r>
              <w:rPr>
                <w:rFonts w:ascii="Times New Roman" w:hAnsi="Times New Roman"/>
                <w:sz w:val="20"/>
              </w:rPr>
              <w:t>4.</w:t>
            </w:r>
            <w:r>
              <w:rPr>
                <w:rFonts w:ascii="Arial" w:hAnsi="Arial" w:cs="Arial"/>
                <w:sz w:val="20"/>
              </w:rPr>
              <w:t xml:space="preserve"> </w:t>
            </w:r>
          </w:p>
        </w:tc>
        <w:tc>
          <w:tcPr>
            <w:tcW w:w="1589" w:type="dxa"/>
            <w:gridSpan w:val="3"/>
            <w:tcBorders>
              <w:top w:val="single" w:sz="4" w:space="0" w:color="000000"/>
              <w:left w:val="single" w:sz="4" w:space="0" w:color="000000"/>
              <w:bottom w:val="single" w:sz="4" w:space="0" w:color="000000"/>
              <w:right w:val="single" w:sz="4" w:space="0" w:color="000000"/>
            </w:tcBorders>
          </w:tcPr>
          <w:p w:rsidR="00043D8B" w:rsidRDefault="00043D8B" w:rsidP="00043D8B">
            <w:pPr>
              <w:ind w:left="4"/>
            </w:pPr>
            <w:r>
              <w:rPr>
                <w:rFonts w:ascii="Times New Roman" w:hAnsi="Times New Roman"/>
                <w:sz w:val="20"/>
              </w:rPr>
              <w:t xml:space="preserve">Daňové a colné záležitosti </w:t>
            </w:r>
          </w:p>
        </w:tc>
        <w:tc>
          <w:tcPr>
            <w:tcW w:w="3626" w:type="dxa"/>
            <w:tcBorders>
              <w:top w:val="single" w:sz="4" w:space="0" w:color="000000"/>
              <w:left w:val="single" w:sz="4" w:space="0" w:color="000000"/>
              <w:bottom w:val="single" w:sz="4" w:space="0" w:color="000000"/>
              <w:right w:val="single" w:sz="4" w:space="0" w:color="000000"/>
            </w:tcBorders>
          </w:tcPr>
          <w:p w:rsidR="00043D8B" w:rsidRDefault="00043D8B" w:rsidP="00043D8B">
            <w:pPr>
              <w:ind w:left="1" w:right="86"/>
              <w:jc w:val="both"/>
            </w:pPr>
            <w:r>
              <w:rPr>
                <w:rFonts w:ascii="Times New Roman" w:hAnsi="Times New Roman"/>
                <w:sz w:val="20"/>
              </w:rPr>
              <w:t xml:space="preserve">Nariadenie Komisie (EHS) č. 3513/80 z 23. decembra 1980 poskytujúce výnimku pokiaľ ide o krajiny, ktoré podpísali Dohodu z Cartagena (andská skupina), z článkov 1, 6 a 12 nariadenia Komisie (EHS) č. 3510/80 z 23. decembra 1980 o definícii pojmu pôvodné výrobky na účely uplatňovania tarifných preferencií poskytnutých Európskym hospodárskym spoločenstvom pokiaľ ide o určité výrobky z rozvojových krajín </w:t>
            </w:r>
          </w:p>
        </w:tc>
        <w:tc>
          <w:tcPr>
            <w:tcW w:w="4370" w:type="dxa"/>
            <w:gridSpan w:val="2"/>
            <w:tcBorders>
              <w:top w:val="single" w:sz="4" w:space="0" w:color="000000"/>
              <w:left w:val="single" w:sz="4" w:space="0" w:color="000000"/>
              <w:bottom w:val="single" w:sz="4" w:space="0" w:color="000000"/>
              <w:right w:val="single" w:sz="4" w:space="0" w:color="000000"/>
            </w:tcBorders>
          </w:tcPr>
          <w:p w:rsidR="00043D8B" w:rsidRDefault="00043D8B" w:rsidP="00043D8B">
            <w:pPr>
              <w:ind w:left="1" w:right="85"/>
              <w:jc w:val="both"/>
            </w:pPr>
            <w:r>
              <w:rPr>
                <w:rFonts w:ascii="Times New Roman" w:hAnsi="Times New Roman"/>
                <w:sz w:val="20"/>
              </w:rPr>
              <w:t xml:space="preserve">Neaktuálny akt: Tento akt sa týka pravidiel pôvodu režimov všeobecného systému preferencií (VSP) Únie, ktoré už nie sú aktuálne (nariadenie Rady č. 3322/80 zo 16. decembra 1980). Stanovujú sa v ňom výnimky z niektorých článkov iného aktu (nariadenie 3510/80), ktorý už bol zrušený. </w:t>
            </w:r>
          </w:p>
        </w:tc>
        <w:tc>
          <w:tcPr>
            <w:tcW w:w="1552" w:type="dxa"/>
            <w:tcBorders>
              <w:top w:val="single" w:sz="4" w:space="0" w:color="000000"/>
              <w:left w:val="single" w:sz="4" w:space="0" w:color="000000"/>
              <w:bottom w:val="single" w:sz="4" w:space="0" w:color="000000"/>
              <w:right w:val="single" w:sz="4" w:space="0" w:color="000000"/>
            </w:tcBorders>
          </w:tcPr>
          <w:p w:rsidR="00043D8B" w:rsidRPr="006458BF" w:rsidRDefault="00043D8B" w:rsidP="00043D8B">
            <w:pPr>
              <w:ind w:left="1" w:right="85"/>
              <w:jc w:val="both"/>
              <w:rPr>
                <w:rFonts w:ascii="Times New Roman" w:hAnsi="Times New Roman"/>
                <w:b/>
                <w:sz w:val="20"/>
              </w:rPr>
            </w:pPr>
            <w:r w:rsidRPr="006458BF">
              <w:rPr>
                <w:rFonts w:ascii="Times New Roman" w:hAnsi="Times New Roman"/>
                <w:b/>
                <w:sz w:val="20"/>
              </w:rPr>
              <w:t>MF SR</w:t>
            </w:r>
          </w:p>
        </w:tc>
        <w:tc>
          <w:tcPr>
            <w:tcW w:w="3190" w:type="dxa"/>
            <w:tcBorders>
              <w:top w:val="single" w:sz="4" w:space="0" w:color="000000"/>
              <w:left w:val="single" w:sz="4" w:space="0" w:color="000000"/>
              <w:bottom w:val="single" w:sz="4" w:space="0" w:color="000000"/>
              <w:right w:val="single" w:sz="4" w:space="0" w:color="000000"/>
            </w:tcBorders>
          </w:tcPr>
          <w:p w:rsidR="00043D8B" w:rsidRDefault="00043D8B" w:rsidP="00043D8B">
            <w:pPr>
              <w:ind w:left="1" w:right="85"/>
              <w:jc w:val="both"/>
              <w:rPr>
                <w:rFonts w:ascii="Times New Roman" w:hAnsi="Times New Roman"/>
                <w:sz w:val="20"/>
              </w:rPr>
            </w:pPr>
            <w:r w:rsidRPr="00880B33">
              <w:rPr>
                <w:rFonts w:ascii="Times New Roman" w:hAnsi="Times New Roman"/>
                <w:sz w:val="20"/>
              </w:rPr>
              <w:t>SR súhlasí so zrušením</w:t>
            </w:r>
          </w:p>
        </w:tc>
      </w:tr>
      <w:tr w:rsidR="00043D8B" w:rsidTr="00E63E2A">
        <w:trPr>
          <w:trHeight w:val="1099"/>
        </w:trPr>
        <w:tc>
          <w:tcPr>
            <w:tcW w:w="440" w:type="dxa"/>
            <w:tcBorders>
              <w:top w:val="single" w:sz="4" w:space="0" w:color="000000"/>
              <w:left w:val="single" w:sz="4" w:space="0" w:color="000000"/>
              <w:bottom w:val="single" w:sz="4" w:space="0" w:color="000000"/>
              <w:right w:val="single" w:sz="4" w:space="0" w:color="000000"/>
            </w:tcBorders>
          </w:tcPr>
          <w:p w:rsidR="00043D8B" w:rsidRDefault="00043D8B" w:rsidP="00043D8B">
            <w:r>
              <w:rPr>
                <w:rFonts w:ascii="Times New Roman" w:hAnsi="Times New Roman"/>
                <w:sz w:val="20"/>
              </w:rPr>
              <w:t>5.</w:t>
            </w:r>
            <w:r>
              <w:rPr>
                <w:rFonts w:ascii="Arial" w:hAnsi="Arial" w:cs="Arial"/>
                <w:sz w:val="20"/>
              </w:rPr>
              <w:t xml:space="preserve"> </w:t>
            </w:r>
          </w:p>
        </w:tc>
        <w:tc>
          <w:tcPr>
            <w:tcW w:w="1589" w:type="dxa"/>
            <w:gridSpan w:val="3"/>
            <w:tcBorders>
              <w:top w:val="single" w:sz="4" w:space="0" w:color="000000"/>
              <w:left w:val="single" w:sz="4" w:space="0" w:color="000000"/>
              <w:bottom w:val="single" w:sz="4" w:space="0" w:color="000000"/>
              <w:right w:val="single" w:sz="4" w:space="0" w:color="000000"/>
            </w:tcBorders>
          </w:tcPr>
          <w:p w:rsidR="00043D8B" w:rsidRDefault="00043D8B" w:rsidP="00043D8B">
            <w:pPr>
              <w:ind w:left="4"/>
            </w:pPr>
            <w:r>
              <w:rPr>
                <w:rFonts w:ascii="Times New Roman" w:hAnsi="Times New Roman"/>
                <w:sz w:val="20"/>
              </w:rPr>
              <w:t xml:space="preserve">Bezpečnosť potravín   </w:t>
            </w:r>
          </w:p>
        </w:tc>
        <w:tc>
          <w:tcPr>
            <w:tcW w:w="3626" w:type="dxa"/>
            <w:tcBorders>
              <w:top w:val="single" w:sz="4" w:space="0" w:color="000000"/>
              <w:left w:val="single" w:sz="4" w:space="0" w:color="000000"/>
              <w:bottom w:val="single" w:sz="4" w:space="0" w:color="000000"/>
              <w:right w:val="single" w:sz="4" w:space="0" w:color="000000"/>
            </w:tcBorders>
          </w:tcPr>
          <w:p w:rsidR="00043D8B" w:rsidRDefault="00043D8B" w:rsidP="00043D8B">
            <w:pPr>
              <w:ind w:left="1" w:right="84"/>
              <w:jc w:val="both"/>
            </w:pPr>
            <w:r>
              <w:rPr>
                <w:rFonts w:ascii="Times New Roman" w:hAnsi="Times New Roman"/>
                <w:sz w:val="20"/>
              </w:rPr>
              <w:t xml:space="preserve">Smernica Rady 78/142/EHS z 30. januára 1978 o aproximácii právnych predpisov členských štátov, týkajúcich sa materiálov a predmetov, ktoré obsahujú monomér vinylchloridu a prichádzajú do styku s potravinami </w:t>
            </w:r>
          </w:p>
        </w:tc>
        <w:tc>
          <w:tcPr>
            <w:tcW w:w="4370" w:type="dxa"/>
            <w:gridSpan w:val="2"/>
            <w:tcBorders>
              <w:top w:val="single" w:sz="4" w:space="0" w:color="000000"/>
              <w:left w:val="single" w:sz="4" w:space="0" w:color="000000"/>
              <w:bottom w:val="single" w:sz="4" w:space="0" w:color="000000"/>
              <w:right w:val="single" w:sz="4" w:space="0" w:color="000000"/>
            </w:tcBorders>
          </w:tcPr>
          <w:p w:rsidR="00043D8B" w:rsidRDefault="00043D8B" w:rsidP="00043D8B">
            <w:pPr>
              <w:ind w:left="1" w:right="88"/>
              <w:jc w:val="both"/>
            </w:pPr>
            <w:r>
              <w:rPr>
                <w:rFonts w:ascii="Times New Roman" w:hAnsi="Times New Roman"/>
                <w:sz w:val="20"/>
              </w:rPr>
              <w:t xml:space="preserve">Záležitosti upravené touto smernicou Rady patria do rozsahu pôsobnosti ustanovení nariadenia Komisie (EÚ) č. 10/2011 o plastových materiáloch a predmetoch určených na styk s potravinami. Smernica Rady už preto nie je aktuálna.  </w:t>
            </w:r>
          </w:p>
        </w:tc>
        <w:tc>
          <w:tcPr>
            <w:tcW w:w="1552" w:type="dxa"/>
            <w:tcBorders>
              <w:top w:val="single" w:sz="4" w:space="0" w:color="000000"/>
              <w:left w:val="single" w:sz="4" w:space="0" w:color="000000"/>
              <w:bottom w:val="single" w:sz="4" w:space="0" w:color="000000"/>
              <w:right w:val="single" w:sz="4" w:space="0" w:color="000000"/>
            </w:tcBorders>
          </w:tcPr>
          <w:p w:rsidR="00043D8B" w:rsidRPr="006458BF" w:rsidRDefault="00043D8B" w:rsidP="00043D8B">
            <w:pPr>
              <w:ind w:left="1" w:right="88"/>
              <w:jc w:val="both"/>
              <w:rPr>
                <w:rFonts w:ascii="Times New Roman" w:hAnsi="Times New Roman"/>
                <w:b/>
                <w:sz w:val="20"/>
              </w:rPr>
            </w:pPr>
            <w:r w:rsidRPr="006458BF">
              <w:rPr>
                <w:rFonts w:ascii="Times New Roman" w:hAnsi="Times New Roman"/>
                <w:b/>
                <w:sz w:val="20"/>
              </w:rPr>
              <w:t>MZ SR</w:t>
            </w:r>
          </w:p>
        </w:tc>
        <w:tc>
          <w:tcPr>
            <w:tcW w:w="3190" w:type="dxa"/>
            <w:tcBorders>
              <w:top w:val="single" w:sz="4" w:space="0" w:color="000000"/>
              <w:left w:val="single" w:sz="4" w:space="0" w:color="000000"/>
              <w:bottom w:val="single" w:sz="4" w:space="0" w:color="000000"/>
              <w:right w:val="single" w:sz="4" w:space="0" w:color="000000"/>
            </w:tcBorders>
          </w:tcPr>
          <w:p w:rsidR="00043D8B" w:rsidRDefault="00043D8B" w:rsidP="00043D8B">
            <w:pPr>
              <w:ind w:left="1" w:right="88"/>
              <w:jc w:val="both"/>
              <w:rPr>
                <w:rFonts w:ascii="Times New Roman" w:hAnsi="Times New Roman"/>
                <w:sz w:val="20"/>
              </w:rPr>
            </w:pPr>
            <w:r w:rsidRPr="00880B33">
              <w:rPr>
                <w:rFonts w:ascii="Times New Roman" w:hAnsi="Times New Roman"/>
                <w:sz w:val="20"/>
              </w:rPr>
              <w:t>SR súhlasí so zrušením</w:t>
            </w:r>
          </w:p>
        </w:tc>
      </w:tr>
      <w:tr w:rsidR="00043D8B" w:rsidTr="00E63E2A">
        <w:trPr>
          <w:trHeight w:val="1100"/>
        </w:trPr>
        <w:tc>
          <w:tcPr>
            <w:tcW w:w="440" w:type="dxa"/>
            <w:tcBorders>
              <w:top w:val="single" w:sz="4" w:space="0" w:color="000000"/>
              <w:left w:val="single" w:sz="4" w:space="0" w:color="000000"/>
              <w:bottom w:val="single" w:sz="4" w:space="0" w:color="000000"/>
              <w:right w:val="single" w:sz="4" w:space="0" w:color="000000"/>
            </w:tcBorders>
          </w:tcPr>
          <w:p w:rsidR="00043D8B" w:rsidRDefault="00043D8B" w:rsidP="00043D8B">
            <w:r>
              <w:rPr>
                <w:rFonts w:ascii="Times New Roman" w:hAnsi="Times New Roman"/>
                <w:sz w:val="20"/>
              </w:rPr>
              <w:t>6.</w:t>
            </w:r>
            <w:r>
              <w:rPr>
                <w:rFonts w:ascii="Arial" w:hAnsi="Arial" w:cs="Arial"/>
                <w:sz w:val="20"/>
              </w:rPr>
              <w:t xml:space="preserve"> </w:t>
            </w:r>
          </w:p>
        </w:tc>
        <w:tc>
          <w:tcPr>
            <w:tcW w:w="1589" w:type="dxa"/>
            <w:gridSpan w:val="3"/>
            <w:tcBorders>
              <w:top w:val="single" w:sz="4" w:space="0" w:color="000000"/>
              <w:left w:val="single" w:sz="4" w:space="0" w:color="000000"/>
              <w:bottom w:val="single" w:sz="4" w:space="0" w:color="000000"/>
              <w:right w:val="single" w:sz="4" w:space="0" w:color="000000"/>
            </w:tcBorders>
          </w:tcPr>
          <w:p w:rsidR="00043D8B" w:rsidRDefault="00043D8B" w:rsidP="00043D8B">
            <w:pPr>
              <w:ind w:left="4"/>
            </w:pPr>
            <w:r>
              <w:rPr>
                <w:rFonts w:ascii="Times New Roman" w:hAnsi="Times New Roman"/>
                <w:sz w:val="20"/>
              </w:rPr>
              <w:t xml:space="preserve">Bezpečnosť potravín  </w:t>
            </w:r>
          </w:p>
        </w:tc>
        <w:tc>
          <w:tcPr>
            <w:tcW w:w="3626" w:type="dxa"/>
            <w:tcBorders>
              <w:top w:val="single" w:sz="4" w:space="0" w:color="000000"/>
              <w:left w:val="single" w:sz="4" w:space="0" w:color="000000"/>
              <w:bottom w:val="single" w:sz="4" w:space="0" w:color="000000"/>
              <w:right w:val="single" w:sz="4" w:space="0" w:color="000000"/>
            </w:tcBorders>
          </w:tcPr>
          <w:p w:rsidR="00043D8B" w:rsidRDefault="00043D8B" w:rsidP="00043D8B">
            <w:pPr>
              <w:ind w:left="1" w:right="89"/>
              <w:jc w:val="both"/>
            </w:pPr>
            <w:r>
              <w:rPr>
                <w:rFonts w:ascii="Times New Roman" w:hAnsi="Times New Roman"/>
                <w:sz w:val="20"/>
              </w:rPr>
              <w:t xml:space="preserve">Smernica Rady 85/572/EHS z 19. decembra 1985 ustanovujúca zoznam simulantov, ktoré sa použijú pri testovaní migrácie komponentov plastických materiálov a predmetov, ktoré prichádzajú do styku s potravinami </w:t>
            </w:r>
          </w:p>
        </w:tc>
        <w:tc>
          <w:tcPr>
            <w:tcW w:w="4370" w:type="dxa"/>
            <w:gridSpan w:val="2"/>
            <w:tcBorders>
              <w:top w:val="single" w:sz="4" w:space="0" w:color="000000"/>
              <w:left w:val="single" w:sz="4" w:space="0" w:color="000000"/>
              <w:bottom w:val="single" w:sz="4" w:space="0" w:color="000000"/>
              <w:right w:val="single" w:sz="4" w:space="0" w:color="000000"/>
            </w:tcBorders>
          </w:tcPr>
          <w:p w:rsidR="00043D8B" w:rsidRDefault="00043D8B" w:rsidP="00043D8B">
            <w:pPr>
              <w:ind w:left="1" w:right="88"/>
              <w:jc w:val="both"/>
            </w:pPr>
            <w:r>
              <w:rPr>
                <w:rFonts w:ascii="Times New Roman" w:hAnsi="Times New Roman"/>
                <w:sz w:val="20"/>
              </w:rPr>
              <w:t xml:space="preserve">Záležitosti upravené touto smernicou Rady patria do rozsahu pôsobnosti ustanovení nariadenia Komisie (EÚ) č. 10/2011 o plastových materiáloch a predmetoch určených na styk s potravinami. Smernica Rady už preto nie je aktuálna.  </w:t>
            </w:r>
          </w:p>
        </w:tc>
        <w:tc>
          <w:tcPr>
            <w:tcW w:w="1552" w:type="dxa"/>
            <w:tcBorders>
              <w:top w:val="single" w:sz="4" w:space="0" w:color="000000"/>
              <w:left w:val="single" w:sz="4" w:space="0" w:color="000000"/>
              <w:bottom w:val="single" w:sz="4" w:space="0" w:color="000000"/>
              <w:right w:val="single" w:sz="4" w:space="0" w:color="000000"/>
            </w:tcBorders>
          </w:tcPr>
          <w:p w:rsidR="00043D8B" w:rsidRPr="006458BF" w:rsidRDefault="00043D8B" w:rsidP="00043D8B">
            <w:pPr>
              <w:ind w:left="1" w:right="88"/>
              <w:jc w:val="both"/>
              <w:rPr>
                <w:rFonts w:ascii="Times New Roman" w:hAnsi="Times New Roman"/>
                <w:b/>
                <w:sz w:val="20"/>
              </w:rPr>
            </w:pPr>
            <w:r w:rsidRPr="006458BF">
              <w:rPr>
                <w:rFonts w:ascii="Times New Roman" w:hAnsi="Times New Roman"/>
                <w:b/>
                <w:sz w:val="20"/>
              </w:rPr>
              <w:t>MZ SR</w:t>
            </w:r>
          </w:p>
        </w:tc>
        <w:tc>
          <w:tcPr>
            <w:tcW w:w="3190" w:type="dxa"/>
            <w:tcBorders>
              <w:top w:val="single" w:sz="4" w:space="0" w:color="000000"/>
              <w:left w:val="single" w:sz="4" w:space="0" w:color="000000"/>
              <w:bottom w:val="single" w:sz="4" w:space="0" w:color="000000"/>
              <w:right w:val="single" w:sz="4" w:space="0" w:color="000000"/>
            </w:tcBorders>
          </w:tcPr>
          <w:p w:rsidR="00043D8B" w:rsidRDefault="00043D8B" w:rsidP="00043D8B">
            <w:pPr>
              <w:ind w:left="1" w:right="88"/>
              <w:jc w:val="both"/>
              <w:rPr>
                <w:rFonts w:ascii="Times New Roman" w:hAnsi="Times New Roman"/>
                <w:sz w:val="20"/>
              </w:rPr>
            </w:pPr>
            <w:r w:rsidRPr="00880B33">
              <w:rPr>
                <w:rFonts w:ascii="Times New Roman" w:hAnsi="Times New Roman"/>
                <w:sz w:val="20"/>
              </w:rPr>
              <w:t>SR súhlasí so zrušením</w:t>
            </w:r>
          </w:p>
        </w:tc>
      </w:tr>
      <w:tr w:rsidR="00043D8B" w:rsidRPr="00846493" w:rsidTr="00E63E2A">
        <w:tblPrEx>
          <w:tblCellMar>
            <w:top w:w="65" w:type="dxa"/>
            <w:right w:w="35" w:type="dxa"/>
          </w:tblCellMar>
        </w:tblPrEx>
        <w:trPr>
          <w:trHeight w:val="343"/>
        </w:trPr>
        <w:tc>
          <w:tcPr>
            <w:tcW w:w="464" w:type="dxa"/>
            <w:gridSpan w:val="2"/>
            <w:tcBorders>
              <w:top w:val="single" w:sz="4" w:space="0" w:color="000000"/>
              <w:left w:val="single" w:sz="4" w:space="0" w:color="000000"/>
              <w:bottom w:val="single" w:sz="4" w:space="0" w:color="000000"/>
              <w:right w:val="single" w:sz="4" w:space="0" w:color="000000"/>
            </w:tcBorders>
            <w:shd w:val="clear" w:color="auto" w:fill="99CCFF"/>
          </w:tcPr>
          <w:p w:rsidR="00043D8B" w:rsidRPr="00846493" w:rsidRDefault="00043D8B" w:rsidP="00043D8B">
            <w:pPr>
              <w:ind w:left="53"/>
              <w:rPr>
                <w:rFonts w:ascii="Times New Roman" w:hAnsi="Times New Roman"/>
                <w:b/>
                <w:sz w:val="20"/>
              </w:rPr>
            </w:pPr>
            <w:r>
              <w:rPr>
                <w:rFonts w:ascii="Times New Roman" w:hAnsi="Times New Roman"/>
                <w:b/>
                <w:sz w:val="20"/>
              </w:rPr>
              <w:t xml:space="preserve">Č. </w:t>
            </w:r>
          </w:p>
        </w:tc>
        <w:tc>
          <w:tcPr>
            <w:tcW w:w="1505" w:type="dxa"/>
            <w:tcBorders>
              <w:top w:val="single" w:sz="4" w:space="0" w:color="000000"/>
              <w:left w:val="single" w:sz="4" w:space="0" w:color="000000"/>
              <w:bottom w:val="single" w:sz="4" w:space="0" w:color="000000"/>
              <w:right w:val="single" w:sz="4" w:space="0" w:color="000000"/>
            </w:tcBorders>
            <w:shd w:val="clear" w:color="auto" w:fill="99CCFF"/>
          </w:tcPr>
          <w:p w:rsidR="00043D8B" w:rsidRPr="00846493" w:rsidRDefault="00043D8B" w:rsidP="00043D8B">
            <w:pPr>
              <w:ind w:left="53"/>
              <w:rPr>
                <w:rFonts w:ascii="Times New Roman" w:hAnsi="Times New Roman"/>
                <w:b/>
                <w:sz w:val="20"/>
              </w:rPr>
            </w:pPr>
            <w:r>
              <w:rPr>
                <w:rFonts w:ascii="Times New Roman" w:hAnsi="Times New Roman"/>
                <w:b/>
                <w:sz w:val="20"/>
              </w:rPr>
              <w:t xml:space="preserve">Oblasť politiky </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99CCFF"/>
          </w:tcPr>
          <w:p w:rsidR="00043D8B" w:rsidRPr="00846493" w:rsidRDefault="00043D8B" w:rsidP="00043D8B">
            <w:pPr>
              <w:ind w:left="53"/>
              <w:rPr>
                <w:rFonts w:ascii="Times New Roman" w:hAnsi="Times New Roman"/>
                <w:b/>
                <w:sz w:val="20"/>
              </w:rPr>
            </w:pPr>
            <w:r>
              <w:rPr>
                <w:rFonts w:ascii="Times New Roman" w:hAnsi="Times New Roman"/>
                <w:b/>
                <w:sz w:val="20"/>
              </w:rPr>
              <w:t xml:space="preserve">Názov </w:t>
            </w:r>
          </w:p>
        </w:tc>
        <w:tc>
          <w:tcPr>
            <w:tcW w:w="4292" w:type="dxa"/>
            <w:tcBorders>
              <w:top w:val="single" w:sz="4" w:space="0" w:color="000000"/>
              <w:left w:val="single" w:sz="4" w:space="0" w:color="000000"/>
              <w:bottom w:val="single" w:sz="4" w:space="0" w:color="000000"/>
              <w:right w:val="single" w:sz="4" w:space="0" w:color="000000"/>
            </w:tcBorders>
            <w:shd w:val="clear" w:color="auto" w:fill="99CCFF"/>
          </w:tcPr>
          <w:p w:rsidR="00043D8B" w:rsidRPr="00846493" w:rsidRDefault="00043D8B" w:rsidP="00043D8B">
            <w:pPr>
              <w:ind w:left="53"/>
              <w:rPr>
                <w:rFonts w:ascii="Times New Roman" w:hAnsi="Times New Roman"/>
                <w:b/>
                <w:sz w:val="20"/>
              </w:rPr>
            </w:pPr>
            <w:r>
              <w:rPr>
                <w:rFonts w:ascii="Times New Roman" w:hAnsi="Times New Roman"/>
                <w:b/>
                <w:sz w:val="20"/>
              </w:rPr>
              <w:t xml:space="preserve">Dôvod zrušenia </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99CCFF"/>
          </w:tcPr>
          <w:p w:rsidR="00043D8B" w:rsidRDefault="00043D8B" w:rsidP="00043D8B">
            <w:pPr>
              <w:ind w:left="53"/>
              <w:rPr>
                <w:rFonts w:ascii="Times New Roman" w:hAnsi="Times New Roman"/>
                <w:b/>
                <w:sz w:val="20"/>
              </w:rPr>
            </w:pPr>
            <w:r>
              <w:rPr>
                <w:rFonts w:ascii="Times New Roman" w:hAnsi="Times New Roman"/>
                <w:b/>
                <w:sz w:val="20"/>
              </w:rPr>
              <w:t>Gestor</w:t>
            </w:r>
          </w:p>
        </w:tc>
        <w:tc>
          <w:tcPr>
            <w:tcW w:w="3190" w:type="dxa"/>
            <w:tcBorders>
              <w:top w:val="single" w:sz="4" w:space="0" w:color="000000"/>
              <w:left w:val="single" w:sz="4" w:space="0" w:color="000000"/>
              <w:bottom w:val="single" w:sz="4" w:space="0" w:color="000000"/>
              <w:right w:val="single" w:sz="4" w:space="0" w:color="000000"/>
            </w:tcBorders>
            <w:shd w:val="clear" w:color="auto" w:fill="99CCFF"/>
          </w:tcPr>
          <w:p w:rsidR="00043D8B" w:rsidRDefault="00043D8B" w:rsidP="00043D8B">
            <w:pPr>
              <w:ind w:left="53"/>
              <w:rPr>
                <w:rFonts w:ascii="Times New Roman" w:hAnsi="Times New Roman"/>
                <w:b/>
                <w:sz w:val="20"/>
              </w:rPr>
            </w:pPr>
            <w:r>
              <w:rPr>
                <w:rFonts w:ascii="Times New Roman" w:hAnsi="Times New Roman"/>
                <w:b/>
                <w:sz w:val="20"/>
              </w:rPr>
              <w:t>Pozícia SR</w:t>
            </w:r>
          </w:p>
        </w:tc>
      </w:tr>
      <w:tr w:rsidR="00043D8B" w:rsidRPr="00846493" w:rsidTr="00E63E2A">
        <w:tblPrEx>
          <w:tblCellMar>
            <w:top w:w="65" w:type="dxa"/>
            <w:right w:w="35" w:type="dxa"/>
          </w:tblCellMar>
        </w:tblPrEx>
        <w:trPr>
          <w:trHeight w:val="1136"/>
        </w:trPr>
        <w:tc>
          <w:tcPr>
            <w:tcW w:w="464" w:type="dxa"/>
            <w:gridSpan w:val="2"/>
            <w:tcBorders>
              <w:top w:val="single" w:sz="4" w:space="0" w:color="000000"/>
              <w:left w:val="single" w:sz="4" w:space="0" w:color="000000"/>
              <w:bottom w:val="single" w:sz="4" w:space="0" w:color="000000"/>
              <w:right w:val="single" w:sz="4" w:space="0" w:color="000000"/>
            </w:tcBorders>
          </w:tcPr>
          <w:p w:rsidR="00043D8B" w:rsidRPr="00846493" w:rsidRDefault="00043D8B" w:rsidP="00043D8B">
            <w:pPr>
              <w:ind w:left="53"/>
              <w:rPr>
                <w:rFonts w:ascii="Times New Roman" w:hAnsi="Times New Roman"/>
                <w:sz w:val="20"/>
              </w:rPr>
            </w:pPr>
            <w:r w:rsidRPr="00846493">
              <w:rPr>
                <w:rFonts w:ascii="Times New Roman" w:hAnsi="Times New Roman"/>
                <w:sz w:val="20"/>
              </w:rPr>
              <w:t xml:space="preserve">7. </w:t>
            </w:r>
          </w:p>
        </w:tc>
        <w:tc>
          <w:tcPr>
            <w:tcW w:w="1565" w:type="dxa"/>
            <w:gridSpan w:val="2"/>
            <w:tcBorders>
              <w:top w:val="single" w:sz="4" w:space="0" w:color="000000"/>
              <w:left w:val="single" w:sz="4" w:space="0" w:color="000000"/>
              <w:bottom w:val="single" w:sz="4" w:space="0" w:color="000000"/>
              <w:right w:val="single" w:sz="4" w:space="0" w:color="000000"/>
            </w:tcBorders>
          </w:tcPr>
          <w:p w:rsidR="00043D8B" w:rsidRPr="00846493" w:rsidRDefault="00043D8B" w:rsidP="00043D8B">
            <w:pPr>
              <w:ind w:left="53"/>
              <w:rPr>
                <w:rFonts w:ascii="Times New Roman" w:hAnsi="Times New Roman"/>
                <w:sz w:val="20"/>
              </w:rPr>
            </w:pPr>
            <w:r w:rsidRPr="00846493">
              <w:rPr>
                <w:rFonts w:ascii="Times New Roman" w:hAnsi="Times New Roman"/>
                <w:sz w:val="20"/>
              </w:rPr>
              <w:t xml:space="preserve">Bezpečnosť potravín  </w:t>
            </w:r>
          </w:p>
        </w:tc>
        <w:tc>
          <w:tcPr>
            <w:tcW w:w="3626" w:type="dxa"/>
            <w:tcBorders>
              <w:top w:val="single" w:sz="4" w:space="0" w:color="000000"/>
              <w:left w:val="single" w:sz="4" w:space="0" w:color="000000"/>
              <w:bottom w:val="single" w:sz="4" w:space="0" w:color="000000"/>
              <w:right w:val="single" w:sz="4" w:space="0" w:color="000000"/>
            </w:tcBorders>
          </w:tcPr>
          <w:p w:rsidR="00043D8B" w:rsidRPr="00846493" w:rsidRDefault="00043D8B" w:rsidP="00043D8B">
            <w:pPr>
              <w:ind w:left="53"/>
              <w:rPr>
                <w:rFonts w:ascii="Times New Roman" w:hAnsi="Times New Roman"/>
                <w:sz w:val="20"/>
              </w:rPr>
            </w:pPr>
            <w:r w:rsidRPr="00846493">
              <w:rPr>
                <w:rFonts w:ascii="Times New Roman" w:hAnsi="Times New Roman"/>
                <w:sz w:val="20"/>
              </w:rPr>
              <w:t xml:space="preserve">Smernica Rady č. 82/711/EHS z 18. októbra 1982 stanovujúca základné pravidlá nevyhnutné pre testovanie vylúhovania zložiek z plastických materiálov a predmetov, ktoré prichádzajú do styku s potravinami </w:t>
            </w:r>
          </w:p>
        </w:tc>
        <w:tc>
          <w:tcPr>
            <w:tcW w:w="4292" w:type="dxa"/>
            <w:tcBorders>
              <w:top w:val="single" w:sz="4" w:space="0" w:color="000000"/>
              <w:left w:val="single" w:sz="4" w:space="0" w:color="000000"/>
              <w:bottom w:val="single" w:sz="4" w:space="0" w:color="000000"/>
              <w:right w:val="single" w:sz="4" w:space="0" w:color="000000"/>
            </w:tcBorders>
          </w:tcPr>
          <w:p w:rsidR="00043D8B" w:rsidRPr="00846493" w:rsidRDefault="00043D8B" w:rsidP="00043D8B">
            <w:pPr>
              <w:ind w:left="53"/>
              <w:rPr>
                <w:rFonts w:ascii="Times New Roman" w:hAnsi="Times New Roman"/>
                <w:sz w:val="20"/>
              </w:rPr>
            </w:pPr>
            <w:r w:rsidRPr="00846493">
              <w:rPr>
                <w:rFonts w:ascii="Times New Roman" w:hAnsi="Times New Roman"/>
                <w:sz w:val="20"/>
              </w:rPr>
              <w:t xml:space="preserve">Záležitosti upravené touto smernicou Rady patria do rozsahu pôsobnosti ustanovení nariadenia Komisie (EÚ) č. 10/2011 o plastových materiáloch a predmetoch určených na styk s potravinami. Smernica Rady už preto nie je aktuálna.  </w:t>
            </w:r>
          </w:p>
        </w:tc>
        <w:tc>
          <w:tcPr>
            <w:tcW w:w="1630" w:type="dxa"/>
            <w:gridSpan w:val="2"/>
            <w:tcBorders>
              <w:top w:val="single" w:sz="4" w:space="0" w:color="000000"/>
              <w:left w:val="single" w:sz="4" w:space="0" w:color="000000"/>
              <w:bottom w:val="single" w:sz="4" w:space="0" w:color="000000"/>
              <w:right w:val="single" w:sz="4" w:space="0" w:color="000000"/>
            </w:tcBorders>
          </w:tcPr>
          <w:p w:rsidR="00043D8B" w:rsidRPr="006458BF" w:rsidRDefault="00043D8B" w:rsidP="00043D8B">
            <w:pPr>
              <w:ind w:left="53"/>
              <w:rPr>
                <w:rFonts w:ascii="Times New Roman" w:hAnsi="Times New Roman"/>
                <w:b/>
                <w:sz w:val="20"/>
              </w:rPr>
            </w:pPr>
            <w:r w:rsidRPr="006458BF">
              <w:rPr>
                <w:rFonts w:ascii="Times New Roman" w:hAnsi="Times New Roman"/>
                <w:b/>
                <w:sz w:val="20"/>
              </w:rPr>
              <w:t xml:space="preserve">MZ SR </w:t>
            </w:r>
          </w:p>
        </w:tc>
        <w:tc>
          <w:tcPr>
            <w:tcW w:w="3190" w:type="dxa"/>
            <w:tcBorders>
              <w:top w:val="single" w:sz="4" w:space="0" w:color="000000"/>
              <w:left w:val="single" w:sz="4" w:space="0" w:color="000000"/>
              <w:bottom w:val="single" w:sz="4" w:space="0" w:color="000000"/>
              <w:right w:val="single" w:sz="4" w:space="0" w:color="000000"/>
            </w:tcBorders>
          </w:tcPr>
          <w:p w:rsidR="00043D8B" w:rsidRPr="00846493" w:rsidRDefault="00043D8B" w:rsidP="00043D8B">
            <w:pPr>
              <w:ind w:left="53"/>
              <w:rPr>
                <w:rFonts w:ascii="Times New Roman" w:hAnsi="Times New Roman"/>
                <w:sz w:val="20"/>
              </w:rPr>
            </w:pPr>
            <w:r w:rsidRPr="00880B33">
              <w:rPr>
                <w:rFonts w:ascii="Times New Roman" w:hAnsi="Times New Roman"/>
                <w:sz w:val="20"/>
              </w:rPr>
              <w:t>SR súhlasí so zrušením</w:t>
            </w:r>
          </w:p>
        </w:tc>
      </w:tr>
    </w:tbl>
    <w:p w:rsidR="00043D8B" w:rsidRPr="00846493" w:rsidRDefault="00043D8B" w:rsidP="00043D8B">
      <w:pPr>
        <w:spacing w:after="0" w:line="240" w:lineRule="auto"/>
        <w:ind w:left="53"/>
        <w:rPr>
          <w:rFonts w:ascii="Times New Roman" w:hAnsi="Times New Roman" w:cs="Times New Roman"/>
          <w:b/>
          <w:sz w:val="20"/>
        </w:rPr>
      </w:pPr>
      <w:r w:rsidRPr="00846493">
        <w:rPr>
          <w:rFonts w:ascii="Times New Roman" w:hAnsi="Times New Roman" w:cs="Times New Roman"/>
          <w:b/>
          <w:sz w:val="20"/>
        </w:rPr>
        <w:t xml:space="preserve"> </w:t>
      </w:r>
    </w:p>
    <w:p w:rsidR="00043D8B" w:rsidRDefault="00043D8B" w:rsidP="00043D8B">
      <w:pPr>
        <w:spacing w:after="0"/>
        <w:jc w:val="both"/>
      </w:pPr>
      <w:r>
        <w:rPr>
          <w:rFonts w:ascii="Times New Roman" w:hAnsi="Times New Roman" w:cs="Times New Roman"/>
          <w:sz w:val="24"/>
        </w:rPr>
        <w:t xml:space="preserve"> </w:t>
      </w:r>
    </w:p>
    <w:p w:rsidR="00043D8B" w:rsidRDefault="00043D8B" w:rsidP="00043D8B">
      <w:pPr>
        <w:spacing w:after="0" w:line="240" w:lineRule="auto"/>
        <w:jc w:val="both"/>
        <w:rPr>
          <w:rFonts w:ascii="Times New Roman" w:hAnsi="Times New Roman" w:cs="Times New Roman"/>
          <w:color w:val="auto"/>
          <w:sz w:val="24"/>
          <w:szCs w:val="24"/>
        </w:rPr>
      </w:pPr>
    </w:p>
    <w:p w:rsidR="00295ABE" w:rsidRDefault="00295ABE" w:rsidP="00043D8B">
      <w:pPr>
        <w:spacing w:after="0" w:line="240" w:lineRule="auto"/>
        <w:jc w:val="both"/>
        <w:rPr>
          <w:rFonts w:ascii="Times New Roman" w:hAnsi="Times New Roman" w:cs="Times New Roman"/>
          <w:color w:val="auto"/>
          <w:sz w:val="24"/>
          <w:szCs w:val="24"/>
        </w:rPr>
      </w:pPr>
    </w:p>
    <w:p w:rsidR="00295ABE" w:rsidRDefault="00295ABE" w:rsidP="00043D8B">
      <w:pPr>
        <w:spacing w:after="0" w:line="240" w:lineRule="auto"/>
        <w:jc w:val="both"/>
        <w:rPr>
          <w:rFonts w:ascii="Times New Roman" w:hAnsi="Times New Roman" w:cs="Times New Roman"/>
          <w:color w:val="auto"/>
          <w:sz w:val="24"/>
          <w:szCs w:val="24"/>
        </w:rPr>
      </w:pPr>
    </w:p>
    <w:p w:rsidR="00295ABE" w:rsidRDefault="00295ABE" w:rsidP="00295ABE"/>
    <w:p w:rsidR="00295ABE" w:rsidRDefault="00295ABE" w:rsidP="00295ABE"/>
    <w:p w:rsidR="00295ABE" w:rsidRPr="000B4462" w:rsidRDefault="00295ABE" w:rsidP="00295ABE">
      <w:pPr>
        <w:spacing w:after="0" w:line="240" w:lineRule="auto"/>
        <w:jc w:val="both"/>
        <w:rPr>
          <w:rFonts w:ascii="Times New Roman" w:hAnsi="Times New Roman"/>
          <w:bCs/>
          <w:sz w:val="24"/>
          <w:szCs w:val="24"/>
        </w:rPr>
      </w:pPr>
    </w:p>
    <w:p w:rsidR="00295ABE" w:rsidRPr="00B53EF8" w:rsidRDefault="00295ABE" w:rsidP="00295ABE">
      <w:pPr>
        <w:spacing w:after="0" w:line="240" w:lineRule="auto"/>
        <w:jc w:val="both"/>
        <w:rPr>
          <w:sz w:val="24"/>
          <w:szCs w:val="24"/>
        </w:rPr>
      </w:pPr>
      <w:r w:rsidRPr="00B53EF8">
        <w:rPr>
          <w:sz w:val="24"/>
          <w:szCs w:val="24"/>
        </w:rPr>
        <w:t> </w:t>
      </w:r>
    </w:p>
    <w:p w:rsidR="00295ABE" w:rsidRPr="00B53EF8" w:rsidRDefault="00295ABE" w:rsidP="00295ABE">
      <w:pPr>
        <w:spacing w:after="0" w:line="240" w:lineRule="auto"/>
        <w:jc w:val="both"/>
        <w:rPr>
          <w:sz w:val="24"/>
          <w:szCs w:val="24"/>
        </w:rPr>
      </w:pPr>
      <w:r w:rsidRPr="00B53EF8">
        <w:rPr>
          <w:sz w:val="24"/>
          <w:szCs w:val="24"/>
        </w:rPr>
        <w:t> </w:t>
      </w:r>
    </w:p>
    <w:p w:rsidR="00295ABE" w:rsidRDefault="00295ABE" w:rsidP="00295ABE">
      <w:pPr>
        <w:spacing w:after="0" w:line="240" w:lineRule="auto"/>
        <w:jc w:val="center"/>
        <w:rPr>
          <w:rFonts w:ascii="Times New Roman" w:hAnsi="Times New Roman"/>
          <w:b/>
          <w:bCs/>
          <w:sz w:val="24"/>
          <w:szCs w:val="24"/>
        </w:rPr>
      </w:pPr>
    </w:p>
    <w:p w:rsidR="00295ABE" w:rsidRPr="002E5A9D" w:rsidRDefault="00295ABE" w:rsidP="00043D8B">
      <w:pPr>
        <w:spacing w:after="0" w:line="240" w:lineRule="auto"/>
        <w:jc w:val="both"/>
        <w:rPr>
          <w:rFonts w:ascii="Times New Roman" w:hAnsi="Times New Roman" w:cs="Times New Roman"/>
          <w:color w:val="auto"/>
          <w:sz w:val="24"/>
          <w:szCs w:val="24"/>
        </w:rPr>
      </w:pPr>
    </w:p>
    <w:sectPr w:rsidR="00295ABE" w:rsidRPr="002E5A9D" w:rsidSect="00277F73">
      <w:footerReference w:type="default" r:id="rId40"/>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0BE" w:rsidRDefault="00B610BE" w:rsidP="00291943">
      <w:pPr>
        <w:spacing w:after="0" w:line="240" w:lineRule="auto"/>
      </w:pPr>
      <w:r>
        <w:separator/>
      </w:r>
    </w:p>
  </w:endnote>
  <w:endnote w:type="continuationSeparator" w:id="0">
    <w:p w:rsidR="00B610BE" w:rsidRDefault="00B610BE" w:rsidP="00291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Cambria">
    <w:altName w:val="Palatino Linotype"/>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4C8" w:rsidRDefault="007864C8">
    <w:pPr>
      <w:spacing w:after="0"/>
      <w:ind w:left="565"/>
      <w:jc w:val="center"/>
    </w:pPr>
    <w:r>
      <w:rPr>
        <w:rFonts w:ascii="Times New Roman" w:hAnsi="Times New Roman" w:cs="Times New Roman"/>
        <w:sz w:val="18"/>
      </w:rPr>
      <w:fldChar w:fldCharType="begin"/>
    </w:r>
    <w:r>
      <w:rPr>
        <w:rFonts w:ascii="Times New Roman" w:hAnsi="Times New Roman" w:cs="Times New Roman"/>
        <w:sz w:val="18"/>
      </w:rPr>
      <w:instrText xml:space="preserve"> PAGE   \* MERGEFORMAT </w:instrText>
    </w:r>
    <w:r>
      <w:rPr>
        <w:rFonts w:ascii="Times New Roman" w:hAnsi="Times New Roman" w:cs="Times New Roman"/>
        <w:sz w:val="18"/>
      </w:rPr>
      <w:fldChar w:fldCharType="separate"/>
    </w:r>
    <w:r>
      <w:rPr>
        <w:rFonts w:ascii="Times New Roman" w:hAnsi="Times New Roman" w:cs="Times New Roman"/>
        <w:noProof/>
        <w:sz w:val="18"/>
      </w:rPr>
      <w:t>8</w:t>
    </w:r>
    <w:r>
      <w:rPr>
        <w:rFonts w:ascii="Times New Roman" w:hAnsi="Times New Roman" w:cs="Times New Roman"/>
        <w:sz w:val="18"/>
      </w:rPr>
      <w:fldChar w:fldCharType="end"/>
    </w:r>
    <w:r>
      <w:rPr>
        <w:rFonts w:ascii="Times New Roman" w:hAnsi="Times New Roman" w:cs="Times New Roman"/>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4C8" w:rsidRDefault="007864C8">
    <w:pPr>
      <w:spacing w:after="0"/>
      <w:ind w:left="565"/>
      <w:jc w:val="center"/>
    </w:pPr>
    <w:r>
      <w:rPr>
        <w:rFonts w:ascii="Times New Roman" w:hAnsi="Times New Roman" w:cs="Times New Roman"/>
        <w:sz w:val="18"/>
      </w:rPr>
      <w:fldChar w:fldCharType="begin"/>
    </w:r>
    <w:r>
      <w:rPr>
        <w:rFonts w:ascii="Times New Roman" w:hAnsi="Times New Roman" w:cs="Times New Roman"/>
        <w:sz w:val="18"/>
      </w:rPr>
      <w:instrText xml:space="preserve"> PAGE   \* MERGEFORMAT </w:instrText>
    </w:r>
    <w:r>
      <w:rPr>
        <w:rFonts w:ascii="Times New Roman" w:hAnsi="Times New Roman" w:cs="Times New Roman"/>
        <w:sz w:val="18"/>
      </w:rPr>
      <w:fldChar w:fldCharType="separate"/>
    </w:r>
    <w:r w:rsidR="00A739AB">
      <w:rPr>
        <w:rFonts w:ascii="Times New Roman" w:hAnsi="Times New Roman" w:cs="Times New Roman"/>
        <w:noProof/>
        <w:sz w:val="18"/>
      </w:rPr>
      <w:t>2</w:t>
    </w:r>
    <w:r>
      <w:rPr>
        <w:rFonts w:ascii="Times New Roman" w:hAnsi="Times New Roman" w:cs="Times New Roman"/>
        <w:sz w:val="18"/>
      </w:rPr>
      <w:fldChar w:fldCharType="end"/>
    </w:r>
    <w:r>
      <w:rPr>
        <w:rFonts w:ascii="Times New Roman" w:hAnsi="Times New Roman" w:cs="Times New Roman"/>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4C8" w:rsidRDefault="007864C8">
    <w:pPr>
      <w:spacing w:after="0"/>
      <w:ind w:left="565"/>
      <w:jc w:val="center"/>
    </w:pPr>
    <w:r>
      <w:rPr>
        <w:rFonts w:ascii="Times New Roman" w:hAnsi="Times New Roman" w:cs="Times New Roman"/>
        <w:sz w:val="18"/>
      </w:rPr>
      <w:fldChar w:fldCharType="begin"/>
    </w:r>
    <w:r>
      <w:rPr>
        <w:rFonts w:ascii="Times New Roman" w:hAnsi="Times New Roman" w:cs="Times New Roman"/>
        <w:sz w:val="18"/>
      </w:rPr>
      <w:instrText xml:space="preserve"> PAGE   \* MERGEFORMAT </w:instrText>
    </w:r>
    <w:r>
      <w:rPr>
        <w:rFonts w:ascii="Times New Roman" w:hAnsi="Times New Roman" w:cs="Times New Roman"/>
        <w:sz w:val="18"/>
      </w:rPr>
      <w:fldChar w:fldCharType="separate"/>
    </w:r>
    <w:r>
      <w:rPr>
        <w:rFonts w:ascii="Times New Roman" w:hAnsi="Times New Roman" w:cs="Times New Roman"/>
        <w:noProof/>
        <w:sz w:val="18"/>
      </w:rPr>
      <w:t>10</w:t>
    </w:r>
    <w:r>
      <w:rPr>
        <w:rFonts w:ascii="Times New Roman" w:hAnsi="Times New Roman" w:cs="Times New Roman"/>
        <w:sz w:val="18"/>
      </w:rPr>
      <w:fldChar w:fldCharType="end"/>
    </w:r>
    <w:r>
      <w:rPr>
        <w:rFonts w:ascii="Times New Roman" w:hAnsi="Times New Roman" w:cs="Times New Roman"/>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4C8" w:rsidRDefault="007864C8">
    <w:pPr>
      <w:spacing w:after="0"/>
      <w:ind w:left="1894"/>
      <w:jc w:val="center"/>
    </w:pPr>
    <w:r>
      <w:rPr>
        <w:rFonts w:ascii="Times New Roman" w:hAnsi="Times New Roman" w:cs="Times New Roman"/>
        <w:sz w:val="18"/>
      </w:rPr>
      <w:fldChar w:fldCharType="begin"/>
    </w:r>
    <w:r>
      <w:rPr>
        <w:rFonts w:ascii="Times New Roman" w:hAnsi="Times New Roman" w:cs="Times New Roman"/>
        <w:sz w:val="18"/>
      </w:rPr>
      <w:instrText xml:space="preserve"> PAGE   \* MERGEFORMAT </w:instrText>
    </w:r>
    <w:r>
      <w:rPr>
        <w:rFonts w:ascii="Times New Roman" w:hAnsi="Times New Roman" w:cs="Times New Roman"/>
        <w:sz w:val="18"/>
      </w:rPr>
      <w:fldChar w:fldCharType="separate"/>
    </w:r>
    <w:r>
      <w:rPr>
        <w:rFonts w:ascii="Times New Roman" w:hAnsi="Times New Roman" w:cs="Times New Roman"/>
        <w:noProof/>
        <w:sz w:val="18"/>
      </w:rPr>
      <w:t>14</w:t>
    </w:r>
    <w:r>
      <w:rPr>
        <w:rFonts w:ascii="Times New Roman" w:hAnsi="Times New Roman" w:cs="Times New Roman"/>
        <w:sz w:val="18"/>
      </w:rPr>
      <w:fldChar w:fldCharType="end"/>
    </w:r>
    <w:r>
      <w:rPr>
        <w:rFonts w:ascii="Times New Roman" w:hAnsi="Times New Roman" w:cs="Times New Roman"/>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4C8" w:rsidRDefault="007864C8">
    <w:pPr>
      <w:spacing w:after="0"/>
      <w:ind w:left="1894"/>
      <w:jc w:val="center"/>
    </w:pPr>
    <w:r>
      <w:rPr>
        <w:rFonts w:ascii="Times New Roman" w:hAnsi="Times New Roman" w:cs="Times New Roman"/>
        <w:sz w:val="18"/>
      </w:rPr>
      <w:fldChar w:fldCharType="begin"/>
    </w:r>
    <w:r>
      <w:rPr>
        <w:rFonts w:ascii="Times New Roman" w:hAnsi="Times New Roman" w:cs="Times New Roman"/>
        <w:sz w:val="18"/>
      </w:rPr>
      <w:instrText xml:space="preserve"> PAGE   \* MERGEFORMAT </w:instrText>
    </w:r>
    <w:r>
      <w:rPr>
        <w:rFonts w:ascii="Times New Roman" w:hAnsi="Times New Roman" w:cs="Times New Roman"/>
        <w:sz w:val="18"/>
      </w:rPr>
      <w:fldChar w:fldCharType="separate"/>
    </w:r>
    <w:r w:rsidR="00A739AB">
      <w:rPr>
        <w:rFonts w:ascii="Times New Roman" w:hAnsi="Times New Roman" w:cs="Times New Roman"/>
        <w:noProof/>
        <w:sz w:val="18"/>
      </w:rPr>
      <w:t>39</w:t>
    </w:r>
    <w:r>
      <w:rPr>
        <w:rFonts w:ascii="Times New Roman" w:hAnsi="Times New Roman" w:cs="Times New Roman"/>
        <w:sz w:val="18"/>
      </w:rPr>
      <w:fldChar w:fldCharType="end"/>
    </w:r>
    <w:r>
      <w:rPr>
        <w:rFonts w:ascii="Times New Roman" w:hAnsi="Times New Roman" w:cs="Times New Roman"/>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4C8" w:rsidRDefault="007864C8">
    <w:pPr>
      <w:spacing w:after="0"/>
      <w:ind w:left="1894"/>
      <w:jc w:val="center"/>
    </w:pPr>
    <w:r>
      <w:rPr>
        <w:rFonts w:ascii="Times New Roman" w:hAnsi="Times New Roman" w:cs="Times New Roman"/>
        <w:sz w:val="18"/>
      </w:rPr>
      <w:fldChar w:fldCharType="begin"/>
    </w:r>
    <w:r>
      <w:rPr>
        <w:rFonts w:ascii="Times New Roman" w:hAnsi="Times New Roman" w:cs="Times New Roman"/>
        <w:sz w:val="18"/>
      </w:rPr>
      <w:instrText xml:space="preserve"> PAGE   \* MERGEFORMAT </w:instrText>
    </w:r>
    <w:r>
      <w:rPr>
        <w:rFonts w:ascii="Times New Roman" w:hAnsi="Times New Roman" w:cs="Times New Roman"/>
        <w:sz w:val="18"/>
      </w:rPr>
      <w:fldChar w:fldCharType="separate"/>
    </w:r>
    <w:r w:rsidR="00A763C0">
      <w:rPr>
        <w:rFonts w:ascii="Times New Roman" w:hAnsi="Times New Roman" w:cs="Times New Roman"/>
        <w:noProof/>
        <w:sz w:val="18"/>
      </w:rPr>
      <w:t>63</w:t>
    </w:r>
    <w:r>
      <w:rPr>
        <w:rFonts w:ascii="Times New Roman" w:hAnsi="Times New Roman" w:cs="Times New Roman"/>
        <w:sz w:val="18"/>
      </w:rPr>
      <w:fldChar w:fldCharType="end"/>
    </w:r>
    <w:r>
      <w:rPr>
        <w:rFonts w:ascii="Times New Roman" w:hAnsi="Times New Roman" w:cs="Times New Roman"/>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4C8" w:rsidRPr="00FD6C35" w:rsidRDefault="007864C8">
    <w:pPr>
      <w:pStyle w:val="Pta"/>
      <w:jc w:val="center"/>
      <w:rPr>
        <w:rFonts w:ascii="Times New Roman" w:hAnsi="Times New Roman"/>
      </w:rPr>
    </w:pPr>
    <w:r w:rsidRPr="00FD6C35">
      <w:rPr>
        <w:rFonts w:ascii="Times New Roman" w:hAnsi="Times New Roman"/>
      </w:rPr>
      <w:fldChar w:fldCharType="begin"/>
    </w:r>
    <w:r w:rsidRPr="00FD6C35">
      <w:rPr>
        <w:rFonts w:ascii="Times New Roman" w:hAnsi="Times New Roman"/>
      </w:rPr>
      <w:instrText>PAGE   \* MERGEFORMAT</w:instrText>
    </w:r>
    <w:r w:rsidRPr="00FD6C35">
      <w:rPr>
        <w:rFonts w:ascii="Times New Roman" w:hAnsi="Times New Roman"/>
      </w:rPr>
      <w:fldChar w:fldCharType="separate"/>
    </w:r>
    <w:r w:rsidR="00A763C0">
      <w:rPr>
        <w:rFonts w:ascii="Times New Roman" w:hAnsi="Times New Roman"/>
        <w:noProof/>
      </w:rPr>
      <w:t>70</w:t>
    </w:r>
    <w:r w:rsidRPr="00FD6C35">
      <w:rPr>
        <w:rFonts w:ascii="Times New Roman" w:hAnsi="Times New Roman"/>
      </w:rPr>
      <w:fldChar w:fldCharType="end"/>
    </w:r>
  </w:p>
  <w:p w:rsidR="007864C8" w:rsidRDefault="007864C8"/>
  <w:p w:rsidR="007864C8" w:rsidRDefault="007864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0BE" w:rsidRDefault="00B610BE" w:rsidP="00291943">
      <w:pPr>
        <w:spacing w:after="0" w:line="240" w:lineRule="auto"/>
      </w:pPr>
      <w:r>
        <w:separator/>
      </w:r>
    </w:p>
  </w:footnote>
  <w:footnote w:type="continuationSeparator" w:id="0">
    <w:p w:rsidR="00B610BE" w:rsidRDefault="00B610BE" w:rsidP="00291943">
      <w:pPr>
        <w:spacing w:after="0" w:line="240" w:lineRule="auto"/>
      </w:pPr>
      <w:r>
        <w:continuationSeparator/>
      </w:r>
    </w:p>
  </w:footnote>
  <w:footnote w:id="1">
    <w:p w:rsidR="00000000" w:rsidRDefault="007864C8" w:rsidP="00DE5F5C">
      <w:pPr>
        <w:pStyle w:val="footnotedescription"/>
        <w:tabs>
          <w:tab w:val="right" w:pos="14797"/>
        </w:tabs>
        <w:spacing w:after="6"/>
        <w:jc w:val="left"/>
      </w:pPr>
      <w:r w:rsidRPr="00DE5F5C">
        <w:rPr>
          <w:rStyle w:val="footnotemark"/>
          <w:sz w:val="16"/>
          <w:szCs w:val="16"/>
        </w:rPr>
        <w:footnoteRef/>
      </w:r>
      <w:r w:rsidRPr="00DE5F5C">
        <w:rPr>
          <w:sz w:val="16"/>
          <w:szCs w:val="16"/>
        </w:rPr>
        <w:t xml:space="preserve"> V súlade s Medziinštitucionálnou dohodou o lepšej tvorbe práva Komisia v tejto prílohe poskytuje, v prípade ich dostupnosti, ďalšie informácie o iniciatívach zahrnutý</w:t>
      </w:r>
      <w:r>
        <w:rPr>
          <w:sz w:val="16"/>
          <w:szCs w:val="16"/>
        </w:rPr>
        <w:t xml:space="preserve">ch do jej pracovného programu. </w:t>
      </w:r>
      <w:r w:rsidRPr="00DE5F5C">
        <w:rPr>
          <w:sz w:val="16"/>
          <w:szCs w:val="16"/>
        </w:rPr>
        <w:t xml:space="preserve">Tieto informácie, ktoré sa pod opisom každej iniciatívy uvádzajú v zátvorkách, sú len orientačné, a môžu sa počas prípravného procesu zmeniť, najmä vzhľadom na výsledok posúdenia vplyvu. </w:t>
      </w:r>
      <w:r w:rsidRPr="00DE5F5C">
        <w:rPr>
          <w:sz w:val="16"/>
          <w:szCs w:val="16"/>
          <w:u w:val="single" w:color="000000"/>
        </w:rPr>
        <w:t>Položky zvýraznené sivou farbou predstavujú iniciatívy, ktoré majú poskytnúť perspektívu pre budúcnosť Únie</w:t>
      </w:r>
      <w:r w:rsidRPr="00DE5F5C">
        <w:rPr>
          <w:sz w:val="16"/>
          <w:szCs w:val="16"/>
        </w:rPr>
        <w:t xml:space="preserve">. </w:t>
      </w:r>
    </w:p>
  </w:footnote>
  <w:footnote w:id="2">
    <w:p w:rsidR="00000000" w:rsidRDefault="007864C8" w:rsidP="00043D8B">
      <w:pPr>
        <w:pStyle w:val="footnotedescription"/>
      </w:pPr>
      <w:r w:rsidRPr="00DE5F5C">
        <w:rPr>
          <w:rStyle w:val="footnotemark"/>
          <w:sz w:val="16"/>
          <w:szCs w:val="16"/>
        </w:rPr>
        <w:footnoteRef/>
      </w:r>
      <w:r w:rsidRPr="00DE5F5C">
        <w:rPr>
          <w:sz w:val="16"/>
          <w:szCs w:val="16"/>
        </w:rPr>
        <w:t xml:space="preserve"> V tejto prílohe sa uvádzajú najvýznamnejšie hodnotenia a kontroly vhodnosti, ktoré budeme vykonávať, vrátane hodnotiacej práce v nadväznosti na stanoviská platformy REFIT.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DD629CB8"/>
    <w:name w:val="Points"/>
    <w:lvl w:ilvl="0">
      <w:start w:val="1"/>
      <w:numFmt w:val="decimal"/>
      <w:pStyle w:val="Point123"/>
      <w:lvlText w:val="%1."/>
      <w:lvlJc w:val="left"/>
      <w:pPr>
        <w:tabs>
          <w:tab w:val="num" w:pos="567"/>
        </w:tabs>
        <w:ind w:left="567" w:hanging="567"/>
      </w:pPr>
      <w:rPr>
        <w:rFonts w:cs="Times New Roman" w:hint="default"/>
      </w:rPr>
    </w:lvl>
    <w:lvl w:ilvl="1">
      <w:start w:val="1"/>
      <w:numFmt w:val="lowerLetter"/>
      <w:pStyle w:val="Pointabc"/>
      <w:lvlText w:val="%2)"/>
      <w:lvlJc w:val="left"/>
      <w:pPr>
        <w:tabs>
          <w:tab w:val="num" w:pos="567"/>
        </w:tabs>
        <w:ind w:left="567" w:hanging="567"/>
      </w:pPr>
      <w:rPr>
        <w:rFonts w:cs="Times New Roman" w:hint="default"/>
      </w:rPr>
    </w:lvl>
    <w:lvl w:ilvl="2">
      <w:start w:val="1"/>
      <w:numFmt w:val="decimal"/>
      <w:pStyle w:val="Point1231"/>
      <w:lvlText w:val="%3."/>
      <w:lvlJc w:val="left"/>
      <w:pPr>
        <w:tabs>
          <w:tab w:val="num" w:pos="1134"/>
        </w:tabs>
        <w:ind w:left="1134" w:hanging="567"/>
      </w:pPr>
      <w:rPr>
        <w:rFonts w:cs="Times New Roman" w:hint="default"/>
      </w:rPr>
    </w:lvl>
    <w:lvl w:ilvl="3">
      <w:start w:val="1"/>
      <w:numFmt w:val="lowerLetter"/>
      <w:pStyle w:val="Pointabc1"/>
      <w:lvlText w:val="%4)"/>
      <w:lvlJc w:val="left"/>
      <w:pPr>
        <w:tabs>
          <w:tab w:val="num" w:pos="1134"/>
        </w:tabs>
        <w:ind w:left="1134" w:hanging="567"/>
      </w:pPr>
      <w:rPr>
        <w:rFonts w:cs="Times New Roman" w:hint="default"/>
      </w:rPr>
    </w:lvl>
    <w:lvl w:ilvl="4">
      <w:start w:val="1"/>
      <w:numFmt w:val="decimal"/>
      <w:pStyle w:val="Point1232"/>
      <w:lvlText w:val="%5."/>
      <w:lvlJc w:val="left"/>
      <w:pPr>
        <w:tabs>
          <w:tab w:val="num" w:pos="1701"/>
        </w:tabs>
        <w:ind w:left="1701" w:hanging="567"/>
      </w:pPr>
      <w:rPr>
        <w:rFonts w:cs="Times New Roman" w:hint="default"/>
      </w:rPr>
    </w:lvl>
    <w:lvl w:ilvl="5">
      <w:start w:val="1"/>
      <w:numFmt w:val="lowerLetter"/>
      <w:pStyle w:val="Pointabc2"/>
      <w:lvlText w:val="%6)"/>
      <w:lvlJc w:val="left"/>
      <w:pPr>
        <w:tabs>
          <w:tab w:val="num" w:pos="1701"/>
        </w:tabs>
        <w:ind w:left="1701" w:hanging="567"/>
      </w:pPr>
      <w:rPr>
        <w:rFonts w:cs="Times New Roman" w:hint="default"/>
      </w:rPr>
    </w:lvl>
    <w:lvl w:ilvl="6">
      <w:start w:val="1"/>
      <w:numFmt w:val="decimal"/>
      <w:pStyle w:val="Point1233"/>
      <w:lvlText w:val="%7."/>
      <w:lvlJc w:val="left"/>
      <w:pPr>
        <w:tabs>
          <w:tab w:val="num" w:pos="2268"/>
        </w:tabs>
        <w:ind w:left="2268" w:hanging="567"/>
      </w:pPr>
      <w:rPr>
        <w:rFonts w:cs="Times New Roman" w:hint="default"/>
      </w:rPr>
    </w:lvl>
    <w:lvl w:ilvl="7">
      <w:start w:val="1"/>
      <w:numFmt w:val="lowerLetter"/>
      <w:pStyle w:val="Pointabc3"/>
      <w:lvlText w:val="%8)"/>
      <w:lvlJc w:val="left"/>
      <w:pPr>
        <w:tabs>
          <w:tab w:val="num" w:pos="2268"/>
        </w:tabs>
        <w:ind w:left="2268" w:hanging="567"/>
      </w:pPr>
      <w:rPr>
        <w:rFonts w:cs="Times New Roman" w:hint="default"/>
      </w:rPr>
    </w:lvl>
    <w:lvl w:ilvl="8">
      <w:start w:val="1"/>
      <w:numFmt w:val="lowerLetter"/>
      <w:pStyle w:val="Pointabc4"/>
      <w:lvlText w:val="%9)"/>
      <w:lvlJc w:val="left"/>
      <w:pPr>
        <w:tabs>
          <w:tab w:val="num" w:pos="2835"/>
        </w:tabs>
        <w:ind w:left="2835" w:hanging="567"/>
      </w:pPr>
      <w:rPr>
        <w:rFonts w:cs="Times New Roman" w:hint="default"/>
      </w:rPr>
    </w:lvl>
  </w:abstractNum>
  <w:abstractNum w:abstractNumId="1" w15:restartNumberingAfterBreak="0">
    <w:nsid w:val="0CAE14DE"/>
    <w:multiLevelType w:val="hybridMultilevel"/>
    <w:tmpl w:val="34865618"/>
    <w:lvl w:ilvl="0" w:tplc="10944BBE">
      <w:start w:val="8"/>
      <w:numFmt w:val="bullet"/>
      <w:lvlText w:val="-"/>
      <w:lvlJc w:val="left"/>
      <w:pPr>
        <w:ind w:left="1068" w:hanging="360"/>
      </w:pPr>
      <w:rPr>
        <w:rFonts w:ascii="Arial" w:eastAsia="Times New Roman" w:hAnsi="Arial" w:hint="default"/>
      </w:rPr>
    </w:lvl>
    <w:lvl w:ilvl="1" w:tplc="041B0003">
      <w:start w:val="1"/>
      <w:numFmt w:val="bullet"/>
      <w:lvlText w:val="o"/>
      <w:lvlJc w:val="left"/>
      <w:pPr>
        <w:ind w:left="1788" w:hanging="360"/>
      </w:pPr>
      <w:rPr>
        <w:rFonts w:ascii="Courier New" w:hAnsi="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hint="default"/>
      </w:rPr>
    </w:lvl>
    <w:lvl w:ilvl="8" w:tplc="041B0005">
      <w:start w:val="1"/>
      <w:numFmt w:val="bullet"/>
      <w:lvlText w:val=""/>
      <w:lvlJc w:val="left"/>
      <w:pPr>
        <w:ind w:left="6828" w:hanging="360"/>
      </w:pPr>
      <w:rPr>
        <w:rFonts w:ascii="Wingdings" w:hAnsi="Wingdings" w:hint="default"/>
      </w:rPr>
    </w:lvl>
  </w:abstractNum>
  <w:abstractNum w:abstractNumId="2" w15:restartNumberingAfterBreak="0">
    <w:nsid w:val="12E20E34"/>
    <w:multiLevelType w:val="hybridMultilevel"/>
    <w:tmpl w:val="CF266E44"/>
    <w:lvl w:ilvl="0" w:tplc="041B000F">
      <w:start w:val="2"/>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BD16085"/>
    <w:multiLevelType w:val="hybridMultilevel"/>
    <w:tmpl w:val="367EEA3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20146956"/>
    <w:multiLevelType w:val="hybridMultilevel"/>
    <w:tmpl w:val="C3448AB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35B040C"/>
    <w:multiLevelType w:val="hybridMultilevel"/>
    <w:tmpl w:val="BD46DA1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28847E19"/>
    <w:multiLevelType w:val="hybridMultilevel"/>
    <w:tmpl w:val="9800C26A"/>
    <w:lvl w:ilvl="0" w:tplc="224AB502">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36A92947"/>
    <w:multiLevelType w:val="hybridMultilevel"/>
    <w:tmpl w:val="2B28F49A"/>
    <w:lvl w:ilvl="0" w:tplc="F698BA5C">
      <w:start w:val="1"/>
      <w:numFmt w:val="upperLetter"/>
      <w:pStyle w:val="Nadpis1"/>
      <w:lvlText w:val="%1."/>
      <w:lvlJc w:val="left"/>
      <w:pPr>
        <w:ind w:left="720" w:hanging="360"/>
      </w:pPr>
      <w:rPr>
        <w:rFonts w:cs="Times New Roman"/>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37696996"/>
    <w:multiLevelType w:val="singleLevel"/>
    <w:tmpl w:val="EEDADCAC"/>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rPr>
    </w:lvl>
  </w:abstractNum>
  <w:abstractNum w:abstractNumId="9" w15:restartNumberingAfterBreak="0">
    <w:nsid w:val="3FE754F8"/>
    <w:multiLevelType w:val="hybridMultilevel"/>
    <w:tmpl w:val="583429CA"/>
    <w:lvl w:ilvl="0" w:tplc="041B0001">
      <w:start w:val="1"/>
      <w:numFmt w:val="bullet"/>
      <w:lvlText w:val=""/>
      <w:lvlJc w:val="left"/>
      <w:pPr>
        <w:ind w:left="405" w:hanging="360"/>
      </w:pPr>
      <w:rPr>
        <w:rFonts w:ascii="Symbol" w:hAnsi="Symbol" w:hint="default"/>
      </w:rPr>
    </w:lvl>
    <w:lvl w:ilvl="1" w:tplc="041B0003">
      <w:start w:val="1"/>
      <w:numFmt w:val="bullet"/>
      <w:lvlText w:val="o"/>
      <w:lvlJc w:val="left"/>
      <w:pPr>
        <w:ind w:left="1125" w:hanging="360"/>
      </w:pPr>
      <w:rPr>
        <w:rFonts w:ascii="Courier New" w:hAnsi="Courier New" w:hint="default"/>
      </w:rPr>
    </w:lvl>
    <w:lvl w:ilvl="2" w:tplc="041B0005">
      <w:start w:val="1"/>
      <w:numFmt w:val="bullet"/>
      <w:lvlText w:val=""/>
      <w:lvlJc w:val="left"/>
      <w:pPr>
        <w:ind w:left="1845" w:hanging="360"/>
      </w:pPr>
      <w:rPr>
        <w:rFonts w:ascii="Wingdings" w:hAnsi="Wingdings" w:hint="default"/>
      </w:rPr>
    </w:lvl>
    <w:lvl w:ilvl="3" w:tplc="041B0001">
      <w:start w:val="1"/>
      <w:numFmt w:val="bullet"/>
      <w:lvlText w:val=""/>
      <w:lvlJc w:val="left"/>
      <w:pPr>
        <w:ind w:left="2565" w:hanging="360"/>
      </w:pPr>
      <w:rPr>
        <w:rFonts w:ascii="Symbol" w:hAnsi="Symbol" w:hint="default"/>
      </w:rPr>
    </w:lvl>
    <w:lvl w:ilvl="4" w:tplc="041B0003">
      <w:start w:val="1"/>
      <w:numFmt w:val="bullet"/>
      <w:lvlText w:val="o"/>
      <w:lvlJc w:val="left"/>
      <w:pPr>
        <w:ind w:left="3285" w:hanging="360"/>
      </w:pPr>
      <w:rPr>
        <w:rFonts w:ascii="Courier New" w:hAnsi="Courier New" w:hint="default"/>
      </w:rPr>
    </w:lvl>
    <w:lvl w:ilvl="5" w:tplc="041B0005">
      <w:start w:val="1"/>
      <w:numFmt w:val="bullet"/>
      <w:lvlText w:val=""/>
      <w:lvlJc w:val="left"/>
      <w:pPr>
        <w:ind w:left="4005" w:hanging="360"/>
      </w:pPr>
      <w:rPr>
        <w:rFonts w:ascii="Wingdings" w:hAnsi="Wingdings" w:hint="default"/>
      </w:rPr>
    </w:lvl>
    <w:lvl w:ilvl="6" w:tplc="041B0001">
      <w:start w:val="1"/>
      <w:numFmt w:val="bullet"/>
      <w:lvlText w:val=""/>
      <w:lvlJc w:val="left"/>
      <w:pPr>
        <w:ind w:left="4725" w:hanging="360"/>
      </w:pPr>
      <w:rPr>
        <w:rFonts w:ascii="Symbol" w:hAnsi="Symbol" w:hint="default"/>
      </w:rPr>
    </w:lvl>
    <w:lvl w:ilvl="7" w:tplc="041B0003">
      <w:start w:val="1"/>
      <w:numFmt w:val="bullet"/>
      <w:lvlText w:val="o"/>
      <w:lvlJc w:val="left"/>
      <w:pPr>
        <w:ind w:left="5445" w:hanging="360"/>
      </w:pPr>
      <w:rPr>
        <w:rFonts w:ascii="Courier New" w:hAnsi="Courier New" w:hint="default"/>
      </w:rPr>
    </w:lvl>
    <w:lvl w:ilvl="8" w:tplc="041B0005">
      <w:start w:val="1"/>
      <w:numFmt w:val="bullet"/>
      <w:lvlText w:val=""/>
      <w:lvlJc w:val="left"/>
      <w:pPr>
        <w:ind w:left="6165" w:hanging="360"/>
      </w:pPr>
      <w:rPr>
        <w:rFonts w:ascii="Wingdings" w:hAnsi="Wingdings" w:hint="default"/>
      </w:rPr>
    </w:lvl>
  </w:abstractNum>
  <w:abstractNum w:abstractNumId="10" w15:restartNumberingAfterBreak="0">
    <w:nsid w:val="45ED660E"/>
    <w:multiLevelType w:val="hybridMultilevel"/>
    <w:tmpl w:val="063451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4A8F149D"/>
    <w:multiLevelType w:val="hybridMultilevel"/>
    <w:tmpl w:val="780010E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C9D5EFC"/>
    <w:multiLevelType w:val="hybridMultilevel"/>
    <w:tmpl w:val="4ED227FC"/>
    <w:lvl w:ilvl="0" w:tplc="1E3EAF60">
      <w:numFmt w:val="bullet"/>
      <w:lvlText w:val="-"/>
      <w:lvlJc w:val="left"/>
      <w:pPr>
        <w:ind w:left="720" w:hanging="360"/>
      </w:pPr>
      <w:rPr>
        <w:rFonts w:ascii="Arial" w:eastAsia="Times New Roman" w:hAnsi="Arial" w:hint="default"/>
        <w:b w:val="0"/>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55F26AC6"/>
    <w:multiLevelType w:val="hybridMultilevel"/>
    <w:tmpl w:val="F1F6284C"/>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14" w15:restartNumberingAfterBreak="0">
    <w:nsid w:val="592A5716"/>
    <w:multiLevelType w:val="hybridMultilevel"/>
    <w:tmpl w:val="0C021A80"/>
    <w:lvl w:ilvl="0" w:tplc="FD5C60DA">
      <w:start w:val="1"/>
      <w:numFmt w:val="upperLetter"/>
      <w:lvlText w:val="%1."/>
      <w:lvlJc w:val="left"/>
      <w:pPr>
        <w:tabs>
          <w:tab w:val="num" w:pos="1065"/>
        </w:tabs>
        <w:ind w:left="1065" w:hanging="70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EB62B4B"/>
    <w:multiLevelType w:val="hybridMultilevel"/>
    <w:tmpl w:val="1BF629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5DC76E8"/>
    <w:multiLevelType w:val="hybridMultilevel"/>
    <w:tmpl w:val="EB4075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71F80690"/>
    <w:multiLevelType w:val="hybridMultilevel"/>
    <w:tmpl w:val="BC3AA5CC"/>
    <w:lvl w:ilvl="0" w:tplc="D3EE007A">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7380495D"/>
    <w:multiLevelType w:val="hybridMultilevel"/>
    <w:tmpl w:val="1F987000"/>
    <w:lvl w:ilvl="0" w:tplc="108C4764">
      <w:start w:val="8"/>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abstractNum w:abstractNumId="20" w15:restartNumberingAfterBreak="0">
    <w:nsid w:val="7E165618"/>
    <w:multiLevelType w:val="hybridMultilevel"/>
    <w:tmpl w:val="2946E9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1"/>
  </w:num>
  <w:num w:numId="4">
    <w:abstractNumId w:val="17"/>
  </w:num>
  <w:num w:numId="5">
    <w:abstractNumId w:val="14"/>
  </w:num>
  <w:num w:numId="6">
    <w:abstractNumId w:val="8"/>
    <w:lvlOverride w:ilvl="0">
      <w:startOverride w:val="1"/>
    </w:lvlOverride>
  </w:num>
  <w:num w:numId="7">
    <w:abstractNumId w:val="19"/>
  </w:num>
  <w:num w:numId="8">
    <w:abstractNumId w:val="6"/>
    <w:lvlOverride w:ilvl="0"/>
    <w:lvlOverride w:ilvl="1"/>
    <w:lvlOverride w:ilvl="2"/>
    <w:lvlOverride w:ilvl="3"/>
    <w:lvlOverride w:ilvl="4"/>
    <w:lvlOverride w:ilvl="5"/>
    <w:lvlOverride w:ilvl="6"/>
    <w:lvlOverride w:ilvl="7"/>
    <w:lvlOverride w:ilvl="8"/>
  </w:num>
  <w:num w:numId="9">
    <w:abstractNumId w:val="16"/>
    <w:lvlOverride w:ilvl="0"/>
    <w:lvlOverride w:ilvl="1"/>
    <w:lvlOverride w:ilvl="2"/>
    <w:lvlOverride w:ilvl="3"/>
    <w:lvlOverride w:ilvl="4"/>
    <w:lvlOverride w:ilvl="5"/>
    <w:lvlOverride w:ilvl="6"/>
    <w:lvlOverride w:ilvl="7"/>
    <w:lvlOverride w:ilvl="8"/>
  </w:num>
  <w:num w:numId="10">
    <w:abstractNumId w:val="9"/>
    <w:lvlOverride w:ilvl="0"/>
    <w:lvlOverride w:ilvl="1"/>
    <w:lvlOverride w:ilvl="2"/>
    <w:lvlOverride w:ilvl="3"/>
    <w:lvlOverride w:ilvl="4"/>
    <w:lvlOverride w:ilvl="5"/>
    <w:lvlOverride w:ilvl="6"/>
    <w:lvlOverride w:ilvl="7"/>
    <w:lvlOverride w:ilvl="8"/>
  </w:num>
  <w:num w:numId="11">
    <w:abstractNumId w:val="4"/>
    <w:lvlOverride w:ilvl="0"/>
    <w:lvlOverride w:ilvl="1"/>
    <w:lvlOverride w:ilvl="2"/>
    <w:lvlOverride w:ilvl="3"/>
    <w:lvlOverride w:ilvl="4"/>
    <w:lvlOverride w:ilvl="5"/>
    <w:lvlOverride w:ilvl="6"/>
    <w:lvlOverride w:ilvl="7"/>
    <w:lvlOverride w:ilvl="8"/>
  </w:num>
  <w:num w:numId="12">
    <w:abstractNumId w:val="20"/>
    <w:lvlOverride w:ilvl="0"/>
    <w:lvlOverride w:ilvl="1"/>
    <w:lvlOverride w:ilvl="2"/>
    <w:lvlOverride w:ilvl="3"/>
    <w:lvlOverride w:ilvl="4"/>
    <w:lvlOverride w:ilvl="5"/>
    <w:lvlOverride w:ilvl="6"/>
    <w:lvlOverride w:ilvl="7"/>
    <w:lvlOverride w:ilvl="8"/>
  </w:num>
  <w:num w:numId="13">
    <w:abstractNumId w:val="10"/>
    <w:lvlOverride w:ilvl="0"/>
    <w:lvlOverride w:ilvl="1"/>
    <w:lvlOverride w:ilvl="2"/>
    <w:lvlOverride w:ilvl="3"/>
    <w:lvlOverride w:ilvl="4"/>
    <w:lvlOverride w:ilvl="5"/>
    <w:lvlOverride w:ilvl="6"/>
    <w:lvlOverride w:ilvl="7"/>
    <w:lvlOverride w:ilvl="8"/>
  </w:num>
  <w:num w:numId="14">
    <w:abstractNumId w:val="5"/>
    <w:lvlOverride w:ilvl="0"/>
    <w:lvlOverride w:ilvl="1"/>
    <w:lvlOverride w:ilvl="2"/>
    <w:lvlOverride w:ilvl="3"/>
    <w:lvlOverride w:ilvl="4"/>
    <w:lvlOverride w:ilvl="5"/>
    <w:lvlOverride w:ilvl="6"/>
    <w:lvlOverride w:ilvl="7"/>
    <w:lvlOverride w:ilvl="8"/>
  </w:num>
  <w:num w:numId="15">
    <w:abstractNumId w:val="3"/>
    <w:lvlOverride w:ilvl="0"/>
    <w:lvlOverride w:ilvl="1"/>
    <w:lvlOverride w:ilvl="2"/>
    <w:lvlOverride w:ilvl="3"/>
    <w:lvlOverride w:ilvl="4"/>
    <w:lvlOverride w:ilvl="5"/>
    <w:lvlOverride w:ilvl="6"/>
    <w:lvlOverride w:ilvl="7"/>
    <w:lvlOverride w:ilvl="8"/>
  </w:num>
  <w:num w:numId="16">
    <w:abstractNumId w:val="2"/>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5"/>
  </w:num>
  <w:num w:numId="20">
    <w:abstractNumId w:val="12"/>
    <w:lvlOverride w:ilvl="0"/>
    <w:lvlOverride w:ilvl="1"/>
    <w:lvlOverride w:ilvl="2"/>
    <w:lvlOverride w:ilvl="3"/>
    <w:lvlOverride w:ilvl="4"/>
    <w:lvlOverride w:ilvl="5"/>
    <w:lvlOverride w:ilvl="6"/>
    <w:lvlOverride w:ilvl="7"/>
    <w:lvlOverride w:ilvl="8"/>
  </w:num>
  <w:num w:numId="21">
    <w:abstractNumId w:val="18"/>
    <w:lvlOverride w:ilvl="0"/>
    <w:lvlOverride w:ilvl="1"/>
    <w:lvlOverride w:ilvl="2"/>
    <w:lvlOverride w:ilvl="3"/>
    <w:lvlOverride w:ilvl="4"/>
    <w:lvlOverride w:ilvl="5"/>
    <w:lvlOverride w:ilvl="6"/>
    <w:lvlOverride w:ilvl="7"/>
    <w:lvlOverride w:ilvl="8"/>
  </w:num>
  <w:num w:numId="22">
    <w:abstractNumId w:val="1"/>
    <w:lvlOverride w:ilvl="0"/>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E4B"/>
    <w:rsid w:val="00005488"/>
    <w:rsid w:val="000066A8"/>
    <w:rsid w:val="00012069"/>
    <w:rsid w:val="00012CEF"/>
    <w:rsid w:val="00015073"/>
    <w:rsid w:val="00015383"/>
    <w:rsid w:val="000155F3"/>
    <w:rsid w:val="00021B6C"/>
    <w:rsid w:val="00023A0A"/>
    <w:rsid w:val="00023CC1"/>
    <w:rsid w:val="00024F2E"/>
    <w:rsid w:val="000258FE"/>
    <w:rsid w:val="00025C96"/>
    <w:rsid w:val="00031F63"/>
    <w:rsid w:val="0003378F"/>
    <w:rsid w:val="00034368"/>
    <w:rsid w:val="00042A93"/>
    <w:rsid w:val="00043D8B"/>
    <w:rsid w:val="0004406F"/>
    <w:rsid w:val="000440D7"/>
    <w:rsid w:val="000445D3"/>
    <w:rsid w:val="00047A75"/>
    <w:rsid w:val="000627B1"/>
    <w:rsid w:val="00063597"/>
    <w:rsid w:val="0006405F"/>
    <w:rsid w:val="00064B64"/>
    <w:rsid w:val="00072335"/>
    <w:rsid w:val="000752DB"/>
    <w:rsid w:val="00077921"/>
    <w:rsid w:val="000804E5"/>
    <w:rsid w:val="00085047"/>
    <w:rsid w:val="000870E2"/>
    <w:rsid w:val="000914A3"/>
    <w:rsid w:val="00094CC4"/>
    <w:rsid w:val="000961AA"/>
    <w:rsid w:val="00096C0C"/>
    <w:rsid w:val="00097227"/>
    <w:rsid w:val="00097721"/>
    <w:rsid w:val="000A0029"/>
    <w:rsid w:val="000A1139"/>
    <w:rsid w:val="000A31EC"/>
    <w:rsid w:val="000A704A"/>
    <w:rsid w:val="000A73E4"/>
    <w:rsid w:val="000B2C8C"/>
    <w:rsid w:val="000B4462"/>
    <w:rsid w:val="000B6758"/>
    <w:rsid w:val="000C371D"/>
    <w:rsid w:val="000C67D7"/>
    <w:rsid w:val="000C77DD"/>
    <w:rsid w:val="000D1F2D"/>
    <w:rsid w:val="000D273B"/>
    <w:rsid w:val="000E1125"/>
    <w:rsid w:val="000E11B1"/>
    <w:rsid w:val="000E3D54"/>
    <w:rsid w:val="000E4079"/>
    <w:rsid w:val="000E44FB"/>
    <w:rsid w:val="000E4C0D"/>
    <w:rsid w:val="000F1422"/>
    <w:rsid w:val="000F1E5F"/>
    <w:rsid w:val="000F1F54"/>
    <w:rsid w:val="000F2515"/>
    <w:rsid w:val="000F47B7"/>
    <w:rsid w:val="000F492B"/>
    <w:rsid w:val="000F4C23"/>
    <w:rsid w:val="000F5CEF"/>
    <w:rsid w:val="00100559"/>
    <w:rsid w:val="0010322F"/>
    <w:rsid w:val="00103DF8"/>
    <w:rsid w:val="00104943"/>
    <w:rsid w:val="00107632"/>
    <w:rsid w:val="001110DE"/>
    <w:rsid w:val="00111BF6"/>
    <w:rsid w:val="001129C1"/>
    <w:rsid w:val="00112A42"/>
    <w:rsid w:val="00112E83"/>
    <w:rsid w:val="001158A9"/>
    <w:rsid w:val="00121CA1"/>
    <w:rsid w:val="00122FEB"/>
    <w:rsid w:val="00123B2F"/>
    <w:rsid w:val="00125CF1"/>
    <w:rsid w:val="0013029E"/>
    <w:rsid w:val="001310B3"/>
    <w:rsid w:val="00132663"/>
    <w:rsid w:val="00133C1E"/>
    <w:rsid w:val="00143C76"/>
    <w:rsid w:val="00144234"/>
    <w:rsid w:val="0014440A"/>
    <w:rsid w:val="00146393"/>
    <w:rsid w:val="00150E00"/>
    <w:rsid w:val="00150E05"/>
    <w:rsid w:val="0015382C"/>
    <w:rsid w:val="00154E09"/>
    <w:rsid w:val="00160895"/>
    <w:rsid w:val="001656D9"/>
    <w:rsid w:val="001664F5"/>
    <w:rsid w:val="00176E85"/>
    <w:rsid w:val="00182276"/>
    <w:rsid w:val="001836EE"/>
    <w:rsid w:val="001862F3"/>
    <w:rsid w:val="00186878"/>
    <w:rsid w:val="00190B38"/>
    <w:rsid w:val="00193D78"/>
    <w:rsid w:val="001955E1"/>
    <w:rsid w:val="001975B1"/>
    <w:rsid w:val="00197699"/>
    <w:rsid w:val="0019793E"/>
    <w:rsid w:val="00197A5C"/>
    <w:rsid w:val="001A0ECC"/>
    <w:rsid w:val="001A22A1"/>
    <w:rsid w:val="001A3068"/>
    <w:rsid w:val="001A4DA0"/>
    <w:rsid w:val="001A5178"/>
    <w:rsid w:val="001A55A3"/>
    <w:rsid w:val="001A57F9"/>
    <w:rsid w:val="001A754C"/>
    <w:rsid w:val="001A7AD5"/>
    <w:rsid w:val="001A7C91"/>
    <w:rsid w:val="001B1F70"/>
    <w:rsid w:val="001B23F7"/>
    <w:rsid w:val="001B28D4"/>
    <w:rsid w:val="001B5DB4"/>
    <w:rsid w:val="001B7275"/>
    <w:rsid w:val="001C0FA9"/>
    <w:rsid w:val="001C1445"/>
    <w:rsid w:val="001C325C"/>
    <w:rsid w:val="001C3F50"/>
    <w:rsid w:val="001C7D71"/>
    <w:rsid w:val="001D0AF1"/>
    <w:rsid w:val="001D11A5"/>
    <w:rsid w:val="001D4C8C"/>
    <w:rsid w:val="001D68A1"/>
    <w:rsid w:val="001E272A"/>
    <w:rsid w:val="001E47D9"/>
    <w:rsid w:val="001E5328"/>
    <w:rsid w:val="001F1E7C"/>
    <w:rsid w:val="001F5655"/>
    <w:rsid w:val="00200DAB"/>
    <w:rsid w:val="0020301E"/>
    <w:rsid w:val="0020655B"/>
    <w:rsid w:val="002072F8"/>
    <w:rsid w:val="002108C7"/>
    <w:rsid w:val="002132C3"/>
    <w:rsid w:val="00214D18"/>
    <w:rsid w:val="00220483"/>
    <w:rsid w:val="00221D43"/>
    <w:rsid w:val="00222307"/>
    <w:rsid w:val="00231877"/>
    <w:rsid w:val="00235B13"/>
    <w:rsid w:val="00236FB2"/>
    <w:rsid w:val="00237F0D"/>
    <w:rsid w:val="00245737"/>
    <w:rsid w:val="0024610F"/>
    <w:rsid w:val="00250C73"/>
    <w:rsid w:val="002523B3"/>
    <w:rsid w:val="00252D2B"/>
    <w:rsid w:val="0026011C"/>
    <w:rsid w:val="002607E9"/>
    <w:rsid w:val="00265467"/>
    <w:rsid w:val="00267085"/>
    <w:rsid w:val="00270118"/>
    <w:rsid w:val="00277F73"/>
    <w:rsid w:val="00280F81"/>
    <w:rsid w:val="0028183B"/>
    <w:rsid w:val="00282EE4"/>
    <w:rsid w:val="002831E0"/>
    <w:rsid w:val="002844CF"/>
    <w:rsid w:val="00285C0F"/>
    <w:rsid w:val="00291943"/>
    <w:rsid w:val="00295ABE"/>
    <w:rsid w:val="002976DA"/>
    <w:rsid w:val="002A2EFE"/>
    <w:rsid w:val="002A3598"/>
    <w:rsid w:val="002B2744"/>
    <w:rsid w:val="002B2E5C"/>
    <w:rsid w:val="002B6056"/>
    <w:rsid w:val="002B6794"/>
    <w:rsid w:val="002B726C"/>
    <w:rsid w:val="002B74DA"/>
    <w:rsid w:val="002B7CB7"/>
    <w:rsid w:val="002B7DFC"/>
    <w:rsid w:val="002C05DB"/>
    <w:rsid w:val="002C29B9"/>
    <w:rsid w:val="002C2FC0"/>
    <w:rsid w:val="002C7DA4"/>
    <w:rsid w:val="002C7ED6"/>
    <w:rsid w:val="002D07AB"/>
    <w:rsid w:val="002D1783"/>
    <w:rsid w:val="002D1D64"/>
    <w:rsid w:val="002D2833"/>
    <w:rsid w:val="002E1333"/>
    <w:rsid w:val="002E5A9D"/>
    <w:rsid w:val="002F6B3E"/>
    <w:rsid w:val="003001C8"/>
    <w:rsid w:val="00300B00"/>
    <w:rsid w:val="0030155B"/>
    <w:rsid w:val="00302696"/>
    <w:rsid w:val="0030279E"/>
    <w:rsid w:val="00314F10"/>
    <w:rsid w:val="003213ED"/>
    <w:rsid w:val="00326297"/>
    <w:rsid w:val="00332156"/>
    <w:rsid w:val="00332F2D"/>
    <w:rsid w:val="00333D5E"/>
    <w:rsid w:val="003370F8"/>
    <w:rsid w:val="00342E82"/>
    <w:rsid w:val="003440A8"/>
    <w:rsid w:val="00344B62"/>
    <w:rsid w:val="0034527C"/>
    <w:rsid w:val="003457D1"/>
    <w:rsid w:val="00346067"/>
    <w:rsid w:val="00346D29"/>
    <w:rsid w:val="003508F0"/>
    <w:rsid w:val="00351765"/>
    <w:rsid w:val="00352651"/>
    <w:rsid w:val="00353893"/>
    <w:rsid w:val="0036590B"/>
    <w:rsid w:val="00365F31"/>
    <w:rsid w:val="00366B36"/>
    <w:rsid w:val="003702B5"/>
    <w:rsid w:val="00370DAB"/>
    <w:rsid w:val="00371F4E"/>
    <w:rsid w:val="00372239"/>
    <w:rsid w:val="0037281F"/>
    <w:rsid w:val="00381214"/>
    <w:rsid w:val="00382716"/>
    <w:rsid w:val="003847E2"/>
    <w:rsid w:val="003851F2"/>
    <w:rsid w:val="00385652"/>
    <w:rsid w:val="00395581"/>
    <w:rsid w:val="003968B1"/>
    <w:rsid w:val="00397384"/>
    <w:rsid w:val="003975A2"/>
    <w:rsid w:val="003A0395"/>
    <w:rsid w:val="003A17E2"/>
    <w:rsid w:val="003A673A"/>
    <w:rsid w:val="003B0906"/>
    <w:rsid w:val="003B210F"/>
    <w:rsid w:val="003B390D"/>
    <w:rsid w:val="003C0B2C"/>
    <w:rsid w:val="003C41B5"/>
    <w:rsid w:val="003C70E4"/>
    <w:rsid w:val="003D10F9"/>
    <w:rsid w:val="003D2930"/>
    <w:rsid w:val="003D5787"/>
    <w:rsid w:val="003D7870"/>
    <w:rsid w:val="003E09A7"/>
    <w:rsid w:val="003E22F3"/>
    <w:rsid w:val="003E55E8"/>
    <w:rsid w:val="003F1BA1"/>
    <w:rsid w:val="003F4BC5"/>
    <w:rsid w:val="003F6601"/>
    <w:rsid w:val="0040065B"/>
    <w:rsid w:val="00401B28"/>
    <w:rsid w:val="004072CB"/>
    <w:rsid w:val="0041643C"/>
    <w:rsid w:val="00420F28"/>
    <w:rsid w:val="00422E19"/>
    <w:rsid w:val="0042496C"/>
    <w:rsid w:val="00425937"/>
    <w:rsid w:val="00434749"/>
    <w:rsid w:val="00437A12"/>
    <w:rsid w:val="00441916"/>
    <w:rsid w:val="0044462D"/>
    <w:rsid w:val="00444DEF"/>
    <w:rsid w:val="004461B0"/>
    <w:rsid w:val="0045255E"/>
    <w:rsid w:val="00453256"/>
    <w:rsid w:val="0045355A"/>
    <w:rsid w:val="00453FBF"/>
    <w:rsid w:val="00455306"/>
    <w:rsid w:val="004570A1"/>
    <w:rsid w:val="004575D4"/>
    <w:rsid w:val="0045794B"/>
    <w:rsid w:val="004615FC"/>
    <w:rsid w:val="00462C75"/>
    <w:rsid w:val="00463266"/>
    <w:rsid w:val="00464140"/>
    <w:rsid w:val="00467C6C"/>
    <w:rsid w:val="004716C8"/>
    <w:rsid w:val="00472098"/>
    <w:rsid w:val="00473531"/>
    <w:rsid w:val="004763CB"/>
    <w:rsid w:val="0047673C"/>
    <w:rsid w:val="00481387"/>
    <w:rsid w:val="00481747"/>
    <w:rsid w:val="0048546B"/>
    <w:rsid w:val="00486212"/>
    <w:rsid w:val="00490340"/>
    <w:rsid w:val="00490D73"/>
    <w:rsid w:val="00492B1E"/>
    <w:rsid w:val="0049400B"/>
    <w:rsid w:val="0049675D"/>
    <w:rsid w:val="004A4478"/>
    <w:rsid w:val="004A6D89"/>
    <w:rsid w:val="004A6D8E"/>
    <w:rsid w:val="004A7C5A"/>
    <w:rsid w:val="004B28E1"/>
    <w:rsid w:val="004B2BA0"/>
    <w:rsid w:val="004B711E"/>
    <w:rsid w:val="004C213F"/>
    <w:rsid w:val="004C5395"/>
    <w:rsid w:val="004C7011"/>
    <w:rsid w:val="004D0AF5"/>
    <w:rsid w:val="004D1DC1"/>
    <w:rsid w:val="004D3007"/>
    <w:rsid w:val="004D3E3D"/>
    <w:rsid w:val="004D5B76"/>
    <w:rsid w:val="004D7BC9"/>
    <w:rsid w:val="004E2CBC"/>
    <w:rsid w:val="004E32F4"/>
    <w:rsid w:val="004E5C70"/>
    <w:rsid w:val="004E6615"/>
    <w:rsid w:val="004E7F33"/>
    <w:rsid w:val="004F0743"/>
    <w:rsid w:val="004F227F"/>
    <w:rsid w:val="004F274B"/>
    <w:rsid w:val="004F3B07"/>
    <w:rsid w:val="004F4CF9"/>
    <w:rsid w:val="004F4E5E"/>
    <w:rsid w:val="004F61F5"/>
    <w:rsid w:val="00504438"/>
    <w:rsid w:val="00504C20"/>
    <w:rsid w:val="005076DE"/>
    <w:rsid w:val="00510879"/>
    <w:rsid w:val="00511DD7"/>
    <w:rsid w:val="0051454C"/>
    <w:rsid w:val="005152B1"/>
    <w:rsid w:val="0051652B"/>
    <w:rsid w:val="00517568"/>
    <w:rsid w:val="00522112"/>
    <w:rsid w:val="0052342F"/>
    <w:rsid w:val="00525027"/>
    <w:rsid w:val="005253B4"/>
    <w:rsid w:val="00527475"/>
    <w:rsid w:val="005301E5"/>
    <w:rsid w:val="0053066B"/>
    <w:rsid w:val="00533922"/>
    <w:rsid w:val="00533E00"/>
    <w:rsid w:val="00534356"/>
    <w:rsid w:val="0053574A"/>
    <w:rsid w:val="00535B42"/>
    <w:rsid w:val="00536116"/>
    <w:rsid w:val="005373B6"/>
    <w:rsid w:val="00540422"/>
    <w:rsid w:val="00542FF9"/>
    <w:rsid w:val="00543985"/>
    <w:rsid w:val="00543B8B"/>
    <w:rsid w:val="00544C72"/>
    <w:rsid w:val="00554073"/>
    <w:rsid w:val="00556A5C"/>
    <w:rsid w:val="00560B94"/>
    <w:rsid w:val="00565AD3"/>
    <w:rsid w:val="0056603C"/>
    <w:rsid w:val="005739F3"/>
    <w:rsid w:val="00576233"/>
    <w:rsid w:val="00580A81"/>
    <w:rsid w:val="00581CBE"/>
    <w:rsid w:val="00581FA4"/>
    <w:rsid w:val="00582F72"/>
    <w:rsid w:val="005859CE"/>
    <w:rsid w:val="00587537"/>
    <w:rsid w:val="00593A7E"/>
    <w:rsid w:val="00594A04"/>
    <w:rsid w:val="00597A08"/>
    <w:rsid w:val="005A016D"/>
    <w:rsid w:val="005A193F"/>
    <w:rsid w:val="005A2C8F"/>
    <w:rsid w:val="005A4820"/>
    <w:rsid w:val="005A6BEC"/>
    <w:rsid w:val="005B0379"/>
    <w:rsid w:val="005B0F9A"/>
    <w:rsid w:val="005B120A"/>
    <w:rsid w:val="005B30EB"/>
    <w:rsid w:val="005B5AFD"/>
    <w:rsid w:val="005C1125"/>
    <w:rsid w:val="005C1FA4"/>
    <w:rsid w:val="005C2298"/>
    <w:rsid w:val="005C6687"/>
    <w:rsid w:val="005C757B"/>
    <w:rsid w:val="005D301B"/>
    <w:rsid w:val="005D3D71"/>
    <w:rsid w:val="005D4533"/>
    <w:rsid w:val="005D5102"/>
    <w:rsid w:val="005D5B6E"/>
    <w:rsid w:val="005D61E4"/>
    <w:rsid w:val="005D6916"/>
    <w:rsid w:val="005E7E6A"/>
    <w:rsid w:val="005F002B"/>
    <w:rsid w:val="005F48B5"/>
    <w:rsid w:val="005F65A2"/>
    <w:rsid w:val="006003CF"/>
    <w:rsid w:val="00600988"/>
    <w:rsid w:val="00601C88"/>
    <w:rsid w:val="00603ABB"/>
    <w:rsid w:val="006070A6"/>
    <w:rsid w:val="00611223"/>
    <w:rsid w:val="00611B50"/>
    <w:rsid w:val="00624B63"/>
    <w:rsid w:val="00632382"/>
    <w:rsid w:val="006331DB"/>
    <w:rsid w:val="006341C2"/>
    <w:rsid w:val="0063470D"/>
    <w:rsid w:val="0064060B"/>
    <w:rsid w:val="00640E38"/>
    <w:rsid w:val="00641738"/>
    <w:rsid w:val="0064307C"/>
    <w:rsid w:val="006451D3"/>
    <w:rsid w:val="006458BF"/>
    <w:rsid w:val="00652848"/>
    <w:rsid w:val="00652C4A"/>
    <w:rsid w:val="00653192"/>
    <w:rsid w:val="0065451D"/>
    <w:rsid w:val="00656FA3"/>
    <w:rsid w:val="00660512"/>
    <w:rsid w:val="0066094D"/>
    <w:rsid w:val="00662210"/>
    <w:rsid w:val="006624D0"/>
    <w:rsid w:val="00664BBE"/>
    <w:rsid w:val="0066698D"/>
    <w:rsid w:val="00670DDE"/>
    <w:rsid w:val="00672662"/>
    <w:rsid w:val="0067346D"/>
    <w:rsid w:val="00674A6E"/>
    <w:rsid w:val="006762EC"/>
    <w:rsid w:val="00676AA1"/>
    <w:rsid w:val="0067752B"/>
    <w:rsid w:val="0068201A"/>
    <w:rsid w:val="0068261B"/>
    <w:rsid w:val="00683D2B"/>
    <w:rsid w:val="00685E79"/>
    <w:rsid w:val="00687CE7"/>
    <w:rsid w:val="00692605"/>
    <w:rsid w:val="0069341B"/>
    <w:rsid w:val="0069426E"/>
    <w:rsid w:val="006A0AC7"/>
    <w:rsid w:val="006A224D"/>
    <w:rsid w:val="006A4E62"/>
    <w:rsid w:val="006A57E0"/>
    <w:rsid w:val="006B0BBC"/>
    <w:rsid w:val="006B11C3"/>
    <w:rsid w:val="006B369B"/>
    <w:rsid w:val="006B53DB"/>
    <w:rsid w:val="006B6015"/>
    <w:rsid w:val="006B7871"/>
    <w:rsid w:val="006C1D32"/>
    <w:rsid w:val="006C2482"/>
    <w:rsid w:val="006C3AB6"/>
    <w:rsid w:val="006D07CD"/>
    <w:rsid w:val="006D0B3A"/>
    <w:rsid w:val="006D299C"/>
    <w:rsid w:val="006D36D7"/>
    <w:rsid w:val="006D5779"/>
    <w:rsid w:val="006D72B4"/>
    <w:rsid w:val="006D7BA5"/>
    <w:rsid w:val="006E0C99"/>
    <w:rsid w:val="006E2905"/>
    <w:rsid w:val="006E44B0"/>
    <w:rsid w:val="006E5E40"/>
    <w:rsid w:val="006E6893"/>
    <w:rsid w:val="00701749"/>
    <w:rsid w:val="00701E39"/>
    <w:rsid w:val="0070215D"/>
    <w:rsid w:val="00711910"/>
    <w:rsid w:val="00713576"/>
    <w:rsid w:val="00714BD3"/>
    <w:rsid w:val="00715691"/>
    <w:rsid w:val="007162D8"/>
    <w:rsid w:val="00717371"/>
    <w:rsid w:val="0071778D"/>
    <w:rsid w:val="00721786"/>
    <w:rsid w:val="00722714"/>
    <w:rsid w:val="0072425C"/>
    <w:rsid w:val="0073084B"/>
    <w:rsid w:val="00730F55"/>
    <w:rsid w:val="0073316B"/>
    <w:rsid w:val="00735DD1"/>
    <w:rsid w:val="00736EC4"/>
    <w:rsid w:val="0073703A"/>
    <w:rsid w:val="00741392"/>
    <w:rsid w:val="00741817"/>
    <w:rsid w:val="00741A52"/>
    <w:rsid w:val="00741AEB"/>
    <w:rsid w:val="00741ECA"/>
    <w:rsid w:val="00742D0C"/>
    <w:rsid w:val="007435FD"/>
    <w:rsid w:val="00744D16"/>
    <w:rsid w:val="00744D77"/>
    <w:rsid w:val="0074699F"/>
    <w:rsid w:val="00746D52"/>
    <w:rsid w:val="00750E07"/>
    <w:rsid w:val="007528EE"/>
    <w:rsid w:val="00753EAE"/>
    <w:rsid w:val="00754081"/>
    <w:rsid w:val="0075526C"/>
    <w:rsid w:val="00756657"/>
    <w:rsid w:val="00756C09"/>
    <w:rsid w:val="007639A4"/>
    <w:rsid w:val="00764815"/>
    <w:rsid w:val="00764878"/>
    <w:rsid w:val="00767EDB"/>
    <w:rsid w:val="00771E3B"/>
    <w:rsid w:val="0077340D"/>
    <w:rsid w:val="00774C77"/>
    <w:rsid w:val="007766BA"/>
    <w:rsid w:val="007770E4"/>
    <w:rsid w:val="00780E74"/>
    <w:rsid w:val="00781C33"/>
    <w:rsid w:val="0078265A"/>
    <w:rsid w:val="00782722"/>
    <w:rsid w:val="007864C8"/>
    <w:rsid w:val="00796471"/>
    <w:rsid w:val="00796A6E"/>
    <w:rsid w:val="007A4CD4"/>
    <w:rsid w:val="007A5CBE"/>
    <w:rsid w:val="007B3889"/>
    <w:rsid w:val="007B607C"/>
    <w:rsid w:val="007B6F22"/>
    <w:rsid w:val="007C01D9"/>
    <w:rsid w:val="007C079B"/>
    <w:rsid w:val="007C372F"/>
    <w:rsid w:val="007C50C7"/>
    <w:rsid w:val="007D102D"/>
    <w:rsid w:val="007D11B1"/>
    <w:rsid w:val="007D70D8"/>
    <w:rsid w:val="007E286E"/>
    <w:rsid w:val="007E38F3"/>
    <w:rsid w:val="007E51FE"/>
    <w:rsid w:val="007E74BF"/>
    <w:rsid w:val="007F27B1"/>
    <w:rsid w:val="007F32D9"/>
    <w:rsid w:val="007F4ECD"/>
    <w:rsid w:val="007F52B4"/>
    <w:rsid w:val="007F6C23"/>
    <w:rsid w:val="00801F82"/>
    <w:rsid w:val="00803E98"/>
    <w:rsid w:val="00804A38"/>
    <w:rsid w:val="008067FE"/>
    <w:rsid w:val="008105FC"/>
    <w:rsid w:val="008114F7"/>
    <w:rsid w:val="00812E5D"/>
    <w:rsid w:val="008130BF"/>
    <w:rsid w:val="00813AD8"/>
    <w:rsid w:val="00815A89"/>
    <w:rsid w:val="0082637C"/>
    <w:rsid w:val="00831FF3"/>
    <w:rsid w:val="008327F4"/>
    <w:rsid w:val="00833647"/>
    <w:rsid w:val="00834B02"/>
    <w:rsid w:val="008377B3"/>
    <w:rsid w:val="0084046B"/>
    <w:rsid w:val="0084149F"/>
    <w:rsid w:val="00842C17"/>
    <w:rsid w:val="00844AE2"/>
    <w:rsid w:val="00846493"/>
    <w:rsid w:val="008512B8"/>
    <w:rsid w:val="00854283"/>
    <w:rsid w:val="00857B73"/>
    <w:rsid w:val="00857E66"/>
    <w:rsid w:val="0086390F"/>
    <w:rsid w:val="00864C86"/>
    <w:rsid w:val="00865AEF"/>
    <w:rsid w:val="008669BD"/>
    <w:rsid w:val="008734DA"/>
    <w:rsid w:val="00874CB9"/>
    <w:rsid w:val="008765E2"/>
    <w:rsid w:val="00880912"/>
    <w:rsid w:val="00880B33"/>
    <w:rsid w:val="00881A17"/>
    <w:rsid w:val="0088373D"/>
    <w:rsid w:val="0089345A"/>
    <w:rsid w:val="00893E18"/>
    <w:rsid w:val="00893FCC"/>
    <w:rsid w:val="00894963"/>
    <w:rsid w:val="00894B89"/>
    <w:rsid w:val="008A209E"/>
    <w:rsid w:val="008A280A"/>
    <w:rsid w:val="008A4928"/>
    <w:rsid w:val="008A5D49"/>
    <w:rsid w:val="008B1823"/>
    <w:rsid w:val="008C0F0D"/>
    <w:rsid w:val="008C4CF9"/>
    <w:rsid w:val="008C5015"/>
    <w:rsid w:val="008C5A1F"/>
    <w:rsid w:val="008C5D1C"/>
    <w:rsid w:val="008C6672"/>
    <w:rsid w:val="008C6FC3"/>
    <w:rsid w:val="008D0FEF"/>
    <w:rsid w:val="008D21C8"/>
    <w:rsid w:val="008D31FF"/>
    <w:rsid w:val="008D4405"/>
    <w:rsid w:val="008D4456"/>
    <w:rsid w:val="008D5F6D"/>
    <w:rsid w:val="008E14CF"/>
    <w:rsid w:val="008E4B82"/>
    <w:rsid w:val="008E5145"/>
    <w:rsid w:val="008E70B7"/>
    <w:rsid w:val="008E76E9"/>
    <w:rsid w:val="008F0AD2"/>
    <w:rsid w:val="008F2F29"/>
    <w:rsid w:val="008F3679"/>
    <w:rsid w:val="008F6B25"/>
    <w:rsid w:val="00904237"/>
    <w:rsid w:val="00906B3A"/>
    <w:rsid w:val="00910C2A"/>
    <w:rsid w:val="0091464D"/>
    <w:rsid w:val="00921393"/>
    <w:rsid w:val="00923B90"/>
    <w:rsid w:val="00923F0F"/>
    <w:rsid w:val="00925BAE"/>
    <w:rsid w:val="00926359"/>
    <w:rsid w:val="00926A4D"/>
    <w:rsid w:val="00930131"/>
    <w:rsid w:val="00944596"/>
    <w:rsid w:val="009457C3"/>
    <w:rsid w:val="00945B4B"/>
    <w:rsid w:val="00952328"/>
    <w:rsid w:val="0095272A"/>
    <w:rsid w:val="00953E01"/>
    <w:rsid w:val="009540BC"/>
    <w:rsid w:val="0095545E"/>
    <w:rsid w:val="009556FF"/>
    <w:rsid w:val="00960738"/>
    <w:rsid w:val="00961CAA"/>
    <w:rsid w:val="00961DD1"/>
    <w:rsid w:val="0096309B"/>
    <w:rsid w:val="009634BA"/>
    <w:rsid w:val="00963F11"/>
    <w:rsid w:val="0096536A"/>
    <w:rsid w:val="00966489"/>
    <w:rsid w:val="009669D9"/>
    <w:rsid w:val="00967D70"/>
    <w:rsid w:val="009711C2"/>
    <w:rsid w:val="00972D98"/>
    <w:rsid w:val="00975688"/>
    <w:rsid w:val="00983850"/>
    <w:rsid w:val="00983DAD"/>
    <w:rsid w:val="0098533A"/>
    <w:rsid w:val="00995E7F"/>
    <w:rsid w:val="00996269"/>
    <w:rsid w:val="009971BA"/>
    <w:rsid w:val="009A29A2"/>
    <w:rsid w:val="009A52B9"/>
    <w:rsid w:val="009B2539"/>
    <w:rsid w:val="009B5D27"/>
    <w:rsid w:val="009B6AE6"/>
    <w:rsid w:val="009C0BC3"/>
    <w:rsid w:val="009C621A"/>
    <w:rsid w:val="009C7DAE"/>
    <w:rsid w:val="009D4E7B"/>
    <w:rsid w:val="009D4FB7"/>
    <w:rsid w:val="009E2E6E"/>
    <w:rsid w:val="009E56B2"/>
    <w:rsid w:val="009E5F60"/>
    <w:rsid w:val="009E7601"/>
    <w:rsid w:val="009F01FD"/>
    <w:rsid w:val="009F1A96"/>
    <w:rsid w:val="009F4FDA"/>
    <w:rsid w:val="009F5750"/>
    <w:rsid w:val="009F6CE5"/>
    <w:rsid w:val="009F6DA7"/>
    <w:rsid w:val="009F77CA"/>
    <w:rsid w:val="00A003C4"/>
    <w:rsid w:val="00A00C4B"/>
    <w:rsid w:val="00A02172"/>
    <w:rsid w:val="00A0507F"/>
    <w:rsid w:val="00A0594C"/>
    <w:rsid w:val="00A05A1C"/>
    <w:rsid w:val="00A06474"/>
    <w:rsid w:val="00A119E5"/>
    <w:rsid w:val="00A12AA4"/>
    <w:rsid w:val="00A13A6C"/>
    <w:rsid w:val="00A13B16"/>
    <w:rsid w:val="00A13DEF"/>
    <w:rsid w:val="00A22C59"/>
    <w:rsid w:val="00A22EE7"/>
    <w:rsid w:val="00A23502"/>
    <w:rsid w:val="00A23899"/>
    <w:rsid w:val="00A24046"/>
    <w:rsid w:val="00A25E90"/>
    <w:rsid w:val="00A26652"/>
    <w:rsid w:val="00A26908"/>
    <w:rsid w:val="00A26929"/>
    <w:rsid w:val="00A26E97"/>
    <w:rsid w:val="00A3228C"/>
    <w:rsid w:val="00A407CD"/>
    <w:rsid w:val="00A4127E"/>
    <w:rsid w:val="00A45428"/>
    <w:rsid w:val="00A50B33"/>
    <w:rsid w:val="00A51434"/>
    <w:rsid w:val="00A53D18"/>
    <w:rsid w:val="00A553CC"/>
    <w:rsid w:val="00A55468"/>
    <w:rsid w:val="00A56926"/>
    <w:rsid w:val="00A56B02"/>
    <w:rsid w:val="00A71480"/>
    <w:rsid w:val="00A739AB"/>
    <w:rsid w:val="00A73DCA"/>
    <w:rsid w:val="00A76153"/>
    <w:rsid w:val="00A763C0"/>
    <w:rsid w:val="00A8026B"/>
    <w:rsid w:val="00A83701"/>
    <w:rsid w:val="00A85210"/>
    <w:rsid w:val="00A860F7"/>
    <w:rsid w:val="00A87D4C"/>
    <w:rsid w:val="00A9131B"/>
    <w:rsid w:val="00A914EF"/>
    <w:rsid w:val="00A9153D"/>
    <w:rsid w:val="00A9382E"/>
    <w:rsid w:val="00A93C5A"/>
    <w:rsid w:val="00A94018"/>
    <w:rsid w:val="00A953EB"/>
    <w:rsid w:val="00A9583F"/>
    <w:rsid w:val="00A95E08"/>
    <w:rsid w:val="00A95E4B"/>
    <w:rsid w:val="00A96215"/>
    <w:rsid w:val="00A9706B"/>
    <w:rsid w:val="00AA2C1C"/>
    <w:rsid w:val="00AA4B57"/>
    <w:rsid w:val="00AA4C62"/>
    <w:rsid w:val="00AB234B"/>
    <w:rsid w:val="00AB5351"/>
    <w:rsid w:val="00AC02C6"/>
    <w:rsid w:val="00AC2E11"/>
    <w:rsid w:val="00AC396B"/>
    <w:rsid w:val="00AC68D7"/>
    <w:rsid w:val="00AC6FB1"/>
    <w:rsid w:val="00AC7900"/>
    <w:rsid w:val="00AD120F"/>
    <w:rsid w:val="00AD1CFB"/>
    <w:rsid w:val="00AD22A9"/>
    <w:rsid w:val="00AE41C4"/>
    <w:rsid w:val="00AE440D"/>
    <w:rsid w:val="00AE57C4"/>
    <w:rsid w:val="00AE590E"/>
    <w:rsid w:val="00AF05DD"/>
    <w:rsid w:val="00AF2520"/>
    <w:rsid w:val="00AF40D2"/>
    <w:rsid w:val="00AF4AF4"/>
    <w:rsid w:val="00AF4D78"/>
    <w:rsid w:val="00B02004"/>
    <w:rsid w:val="00B03E57"/>
    <w:rsid w:val="00B050A3"/>
    <w:rsid w:val="00B06592"/>
    <w:rsid w:val="00B10728"/>
    <w:rsid w:val="00B10788"/>
    <w:rsid w:val="00B10FF9"/>
    <w:rsid w:val="00B12E6F"/>
    <w:rsid w:val="00B137F8"/>
    <w:rsid w:val="00B15C5E"/>
    <w:rsid w:val="00B1660F"/>
    <w:rsid w:val="00B170CF"/>
    <w:rsid w:val="00B218CF"/>
    <w:rsid w:val="00B24C43"/>
    <w:rsid w:val="00B24EAC"/>
    <w:rsid w:val="00B25FE1"/>
    <w:rsid w:val="00B26175"/>
    <w:rsid w:val="00B274D9"/>
    <w:rsid w:val="00B27DD0"/>
    <w:rsid w:val="00B37808"/>
    <w:rsid w:val="00B4095C"/>
    <w:rsid w:val="00B425DD"/>
    <w:rsid w:val="00B427CF"/>
    <w:rsid w:val="00B42D19"/>
    <w:rsid w:val="00B433BB"/>
    <w:rsid w:val="00B45AAC"/>
    <w:rsid w:val="00B4604A"/>
    <w:rsid w:val="00B53CAF"/>
    <w:rsid w:val="00B53EF8"/>
    <w:rsid w:val="00B55D69"/>
    <w:rsid w:val="00B610BE"/>
    <w:rsid w:val="00B61654"/>
    <w:rsid w:val="00B61CF2"/>
    <w:rsid w:val="00B627B2"/>
    <w:rsid w:val="00B62F20"/>
    <w:rsid w:val="00B63362"/>
    <w:rsid w:val="00B642FD"/>
    <w:rsid w:val="00B6611F"/>
    <w:rsid w:val="00B66E7F"/>
    <w:rsid w:val="00B7032C"/>
    <w:rsid w:val="00B70428"/>
    <w:rsid w:val="00B71438"/>
    <w:rsid w:val="00B71A5A"/>
    <w:rsid w:val="00B7526A"/>
    <w:rsid w:val="00B75AD0"/>
    <w:rsid w:val="00B771B0"/>
    <w:rsid w:val="00B80CB2"/>
    <w:rsid w:val="00B82051"/>
    <w:rsid w:val="00B90495"/>
    <w:rsid w:val="00B95F27"/>
    <w:rsid w:val="00B96D74"/>
    <w:rsid w:val="00B972E5"/>
    <w:rsid w:val="00BA11DA"/>
    <w:rsid w:val="00BA37D3"/>
    <w:rsid w:val="00BA4DBB"/>
    <w:rsid w:val="00BB56D5"/>
    <w:rsid w:val="00BB6BB3"/>
    <w:rsid w:val="00BB73B6"/>
    <w:rsid w:val="00BC0954"/>
    <w:rsid w:val="00BC33CE"/>
    <w:rsid w:val="00BC4576"/>
    <w:rsid w:val="00BC4F85"/>
    <w:rsid w:val="00BC5C80"/>
    <w:rsid w:val="00BC61EA"/>
    <w:rsid w:val="00BC7279"/>
    <w:rsid w:val="00BC7589"/>
    <w:rsid w:val="00BC7F5C"/>
    <w:rsid w:val="00BD0652"/>
    <w:rsid w:val="00BD315E"/>
    <w:rsid w:val="00BD3A18"/>
    <w:rsid w:val="00BD3F58"/>
    <w:rsid w:val="00BD5D54"/>
    <w:rsid w:val="00BD5F33"/>
    <w:rsid w:val="00BD72C0"/>
    <w:rsid w:val="00BD7601"/>
    <w:rsid w:val="00BF0F6C"/>
    <w:rsid w:val="00BF10AF"/>
    <w:rsid w:val="00BF19CE"/>
    <w:rsid w:val="00BF31FE"/>
    <w:rsid w:val="00BF3700"/>
    <w:rsid w:val="00BF47B4"/>
    <w:rsid w:val="00BF4946"/>
    <w:rsid w:val="00BF6DD4"/>
    <w:rsid w:val="00C018FB"/>
    <w:rsid w:val="00C01FFE"/>
    <w:rsid w:val="00C02BE5"/>
    <w:rsid w:val="00C048AC"/>
    <w:rsid w:val="00C05B4B"/>
    <w:rsid w:val="00C05E9D"/>
    <w:rsid w:val="00C1070E"/>
    <w:rsid w:val="00C14C55"/>
    <w:rsid w:val="00C14C7F"/>
    <w:rsid w:val="00C151CD"/>
    <w:rsid w:val="00C167E2"/>
    <w:rsid w:val="00C16890"/>
    <w:rsid w:val="00C20BF5"/>
    <w:rsid w:val="00C23419"/>
    <w:rsid w:val="00C26646"/>
    <w:rsid w:val="00C3111D"/>
    <w:rsid w:val="00C3129B"/>
    <w:rsid w:val="00C320B3"/>
    <w:rsid w:val="00C33BDD"/>
    <w:rsid w:val="00C44397"/>
    <w:rsid w:val="00C47712"/>
    <w:rsid w:val="00C519BC"/>
    <w:rsid w:val="00C615BE"/>
    <w:rsid w:val="00C61783"/>
    <w:rsid w:val="00C62B52"/>
    <w:rsid w:val="00C62FD7"/>
    <w:rsid w:val="00C640D0"/>
    <w:rsid w:val="00C653B5"/>
    <w:rsid w:val="00C66C33"/>
    <w:rsid w:val="00C66E51"/>
    <w:rsid w:val="00C74F1E"/>
    <w:rsid w:val="00C77176"/>
    <w:rsid w:val="00C77D8A"/>
    <w:rsid w:val="00C80955"/>
    <w:rsid w:val="00C82F9F"/>
    <w:rsid w:val="00C8398D"/>
    <w:rsid w:val="00C83DF6"/>
    <w:rsid w:val="00C87830"/>
    <w:rsid w:val="00C87C7C"/>
    <w:rsid w:val="00C919B8"/>
    <w:rsid w:val="00C922E9"/>
    <w:rsid w:val="00C97B29"/>
    <w:rsid w:val="00C97C87"/>
    <w:rsid w:val="00CA0505"/>
    <w:rsid w:val="00CA2AB9"/>
    <w:rsid w:val="00CA3F59"/>
    <w:rsid w:val="00CA4908"/>
    <w:rsid w:val="00CA4B20"/>
    <w:rsid w:val="00CA5117"/>
    <w:rsid w:val="00CA75A2"/>
    <w:rsid w:val="00CA75E8"/>
    <w:rsid w:val="00CB212B"/>
    <w:rsid w:val="00CB22BD"/>
    <w:rsid w:val="00CB293E"/>
    <w:rsid w:val="00CB595B"/>
    <w:rsid w:val="00CB6B1E"/>
    <w:rsid w:val="00CB7011"/>
    <w:rsid w:val="00CC0B8F"/>
    <w:rsid w:val="00CC1B94"/>
    <w:rsid w:val="00CC35E8"/>
    <w:rsid w:val="00CC4B66"/>
    <w:rsid w:val="00CC592E"/>
    <w:rsid w:val="00CC614F"/>
    <w:rsid w:val="00CD2CAA"/>
    <w:rsid w:val="00CD34C7"/>
    <w:rsid w:val="00CE0084"/>
    <w:rsid w:val="00CE1927"/>
    <w:rsid w:val="00CE3E3D"/>
    <w:rsid w:val="00CE59E3"/>
    <w:rsid w:val="00CE67CE"/>
    <w:rsid w:val="00CE6940"/>
    <w:rsid w:val="00CF2357"/>
    <w:rsid w:val="00D016AB"/>
    <w:rsid w:val="00D01AC4"/>
    <w:rsid w:val="00D020BC"/>
    <w:rsid w:val="00D10D1E"/>
    <w:rsid w:val="00D13E8D"/>
    <w:rsid w:val="00D14AD0"/>
    <w:rsid w:val="00D1572F"/>
    <w:rsid w:val="00D15EE0"/>
    <w:rsid w:val="00D17291"/>
    <w:rsid w:val="00D21A3A"/>
    <w:rsid w:val="00D21E47"/>
    <w:rsid w:val="00D2329C"/>
    <w:rsid w:val="00D25F3E"/>
    <w:rsid w:val="00D278EA"/>
    <w:rsid w:val="00D31221"/>
    <w:rsid w:val="00D340AF"/>
    <w:rsid w:val="00D35D7B"/>
    <w:rsid w:val="00D377D3"/>
    <w:rsid w:val="00D545C3"/>
    <w:rsid w:val="00D54BEB"/>
    <w:rsid w:val="00D56442"/>
    <w:rsid w:val="00D606AD"/>
    <w:rsid w:val="00D61184"/>
    <w:rsid w:val="00D614CE"/>
    <w:rsid w:val="00D62667"/>
    <w:rsid w:val="00D62ACB"/>
    <w:rsid w:val="00D62B64"/>
    <w:rsid w:val="00D62C8B"/>
    <w:rsid w:val="00D6335D"/>
    <w:rsid w:val="00D64972"/>
    <w:rsid w:val="00D662CF"/>
    <w:rsid w:val="00D673F1"/>
    <w:rsid w:val="00D74231"/>
    <w:rsid w:val="00D746F2"/>
    <w:rsid w:val="00D74755"/>
    <w:rsid w:val="00D75B8B"/>
    <w:rsid w:val="00D81D1E"/>
    <w:rsid w:val="00D83704"/>
    <w:rsid w:val="00D85BBF"/>
    <w:rsid w:val="00D85DAC"/>
    <w:rsid w:val="00D865A1"/>
    <w:rsid w:val="00D87ED0"/>
    <w:rsid w:val="00D95580"/>
    <w:rsid w:val="00DA006D"/>
    <w:rsid w:val="00DA0771"/>
    <w:rsid w:val="00DA1E48"/>
    <w:rsid w:val="00DA2A76"/>
    <w:rsid w:val="00DA3E99"/>
    <w:rsid w:val="00DA3F50"/>
    <w:rsid w:val="00DA4167"/>
    <w:rsid w:val="00DA4C04"/>
    <w:rsid w:val="00DA50CB"/>
    <w:rsid w:val="00DA79DA"/>
    <w:rsid w:val="00DB00E1"/>
    <w:rsid w:val="00DB03CC"/>
    <w:rsid w:val="00DB1FAA"/>
    <w:rsid w:val="00DB21D4"/>
    <w:rsid w:val="00DB5D0B"/>
    <w:rsid w:val="00DC00D7"/>
    <w:rsid w:val="00DC1698"/>
    <w:rsid w:val="00DC3102"/>
    <w:rsid w:val="00DC5BDC"/>
    <w:rsid w:val="00DC6D63"/>
    <w:rsid w:val="00DD05DE"/>
    <w:rsid w:val="00DD311F"/>
    <w:rsid w:val="00DD77AA"/>
    <w:rsid w:val="00DD7D49"/>
    <w:rsid w:val="00DE0098"/>
    <w:rsid w:val="00DE2C4F"/>
    <w:rsid w:val="00DE34F9"/>
    <w:rsid w:val="00DE5F5C"/>
    <w:rsid w:val="00DE692B"/>
    <w:rsid w:val="00DE6A1C"/>
    <w:rsid w:val="00DF03C5"/>
    <w:rsid w:val="00DF24B2"/>
    <w:rsid w:val="00E00CCB"/>
    <w:rsid w:val="00E02A60"/>
    <w:rsid w:val="00E039CE"/>
    <w:rsid w:val="00E1102D"/>
    <w:rsid w:val="00E173B7"/>
    <w:rsid w:val="00E24A20"/>
    <w:rsid w:val="00E25B47"/>
    <w:rsid w:val="00E26DCE"/>
    <w:rsid w:val="00E300D4"/>
    <w:rsid w:val="00E30360"/>
    <w:rsid w:val="00E3085F"/>
    <w:rsid w:val="00E35F68"/>
    <w:rsid w:val="00E377A3"/>
    <w:rsid w:val="00E40404"/>
    <w:rsid w:val="00E40858"/>
    <w:rsid w:val="00E428AB"/>
    <w:rsid w:val="00E45319"/>
    <w:rsid w:val="00E467BE"/>
    <w:rsid w:val="00E47D23"/>
    <w:rsid w:val="00E47DAC"/>
    <w:rsid w:val="00E50820"/>
    <w:rsid w:val="00E513FD"/>
    <w:rsid w:val="00E51A07"/>
    <w:rsid w:val="00E55BEE"/>
    <w:rsid w:val="00E6169A"/>
    <w:rsid w:val="00E63E2A"/>
    <w:rsid w:val="00E652A7"/>
    <w:rsid w:val="00E6635C"/>
    <w:rsid w:val="00E74801"/>
    <w:rsid w:val="00E74F19"/>
    <w:rsid w:val="00E767C4"/>
    <w:rsid w:val="00E76F68"/>
    <w:rsid w:val="00E83B4A"/>
    <w:rsid w:val="00E83FFE"/>
    <w:rsid w:val="00E85E80"/>
    <w:rsid w:val="00E86253"/>
    <w:rsid w:val="00E86FD4"/>
    <w:rsid w:val="00E922D3"/>
    <w:rsid w:val="00E9256E"/>
    <w:rsid w:val="00E944F9"/>
    <w:rsid w:val="00E95743"/>
    <w:rsid w:val="00E95B4D"/>
    <w:rsid w:val="00E95F13"/>
    <w:rsid w:val="00E962C2"/>
    <w:rsid w:val="00EA3610"/>
    <w:rsid w:val="00EA4530"/>
    <w:rsid w:val="00EA6583"/>
    <w:rsid w:val="00EA6778"/>
    <w:rsid w:val="00EA7ECA"/>
    <w:rsid w:val="00EB09CF"/>
    <w:rsid w:val="00EB3753"/>
    <w:rsid w:val="00EB4BBD"/>
    <w:rsid w:val="00EC1542"/>
    <w:rsid w:val="00EC16A8"/>
    <w:rsid w:val="00EC5A9B"/>
    <w:rsid w:val="00EC5ED7"/>
    <w:rsid w:val="00ED1C4B"/>
    <w:rsid w:val="00ED2A60"/>
    <w:rsid w:val="00EE4653"/>
    <w:rsid w:val="00EE4AAB"/>
    <w:rsid w:val="00EE4E2B"/>
    <w:rsid w:val="00EE5CBB"/>
    <w:rsid w:val="00EE692B"/>
    <w:rsid w:val="00EF27CF"/>
    <w:rsid w:val="00EF4B11"/>
    <w:rsid w:val="00EF778C"/>
    <w:rsid w:val="00F0158B"/>
    <w:rsid w:val="00F036F7"/>
    <w:rsid w:val="00F049FC"/>
    <w:rsid w:val="00F04D40"/>
    <w:rsid w:val="00F0529C"/>
    <w:rsid w:val="00F06291"/>
    <w:rsid w:val="00F06CC2"/>
    <w:rsid w:val="00F10FBD"/>
    <w:rsid w:val="00F126E2"/>
    <w:rsid w:val="00F13041"/>
    <w:rsid w:val="00F131FB"/>
    <w:rsid w:val="00F1358C"/>
    <w:rsid w:val="00F16FA4"/>
    <w:rsid w:val="00F17143"/>
    <w:rsid w:val="00F17AEF"/>
    <w:rsid w:val="00F21470"/>
    <w:rsid w:val="00F225AA"/>
    <w:rsid w:val="00F23BDE"/>
    <w:rsid w:val="00F23DB4"/>
    <w:rsid w:val="00F24D1B"/>
    <w:rsid w:val="00F26879"/>
    <w:rsid w:val="00F35595"/>
    <w:rsid w:val="00F35FDF"/>
    <w:rsid w:val="00F360C3"/>
    <w:rsid w:val="00F3640E"/>
    <w:rsid w:val="00F43DED"/>
    <w:rsid w:val="00F44758"/>
    <w:rsid w:val="00F450F8"/>
    <w:rsid w:val="00F45796"/>
    <w:rsid w:val="00F45CAD"/>
    <w:rsid w:val="00F45EB6"/>
    <w:rsid w:val="00F46572"/>
    <w:rsid w:val="00F51D6B"/>
    <w:rsid w:val="00F52E69"/>
    <w:rsid w:val="00F53B74"/>
    <w:rsid w:val="00F54E0C"/>
    <w:rsid w:val="00F56216"/>
    <w:rsid w:val="00F562C2"/>
    <w:rsid w:val="00F568A9"/>
    <w:rsid w:val="00F62041"/>
    <w:rsid w:val="00F64F76"/>
    <w:rsid w:val="00F7122C"/>
    <w:rsid w:val="00F804CD"/>
    <w:rsid w:val="00F816F8"/>
    <w:rsid w:val="00F84B0A"/>
    <w:rsid w:val="00F915E0"/>
    <w:rsid w:val="00F92CD1"/>
    <w:rsid w:val="00F9617F"/>
    <w:rsid w:val="00F9629E"/>
    <w:rsid w:val="00F9780E"/>
    <w:rsid w:val="00F97ED6"/>
    <w:rsid w:val="00FA0112"/>
    <w:rsid w:val="00FA09CD"/>
    <w:rsid w:val="00FA31EF"/>
    <w:rsid w:val="00FA3FC5"/>
    <w:rsid w:val="00FA4520"/>
    <w:rsid w:val="00FA4E52"/>
    <w:rsid w:val="00FA64AC"/>
    <w:rsid w:val="00FB2638"/>
    <w:rsid w:val="00FB37E4"/>
    <w:rsid w:val="00FB38E4"/>
    <w:rsid w:val="00FB39CC"/>
    <w:rsid w:val="00FB6437"/>
    <w:rsid w:val="00FC07D3"/>
    <w:rsid w:val="00FC108F"/>
    <w:rsid w:val="00FC4E55"/>
    <w:rsid w:val="00FC5690"/>
    <w:rsid w:val="00FD6C35"/>
    <w:rsid w:val="00FE06DD"/>
    <w:rsid w:val="00FE1BE2"/>
    <w:rsid w:val="00FE2023"/>
    <w:rsid w:val="00FE216A"/>
    <w:rsid w:val="00FE2961"/>
    <w:rsid w:val="00FE657E"/>
    <w:rsid w:val="00FE66D3"/>
    <w:rsid w:val="00FE722D"/>
    <w:rsid w:val="00FF18DF"/>
    <w:rsid w:val="00FF36A1"/>
    <w:rsid w:val="00FF52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7D4EA5B-52FB-48AE-89AB-AEB9ACAC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F274B"/>
    <w:pPr>
      <w:spacing w:after="160" w:line="252" w:lineRule="auto"/>
    </w:pPr>
    <w:rPr>
      <w:color w:val="000000"/>
      <w:sz w:val="22"/>
      <w:szCs w:val="22"/>
    </w:rPr>
  </w:style>
  <w:style w:type="paragraph" w:styleId="Nadpis1">
    <w:name w:val="heading 1"/>
    <w:basedOn w:val="Normlny"/>
    <w:next w:val="Normlny"/>
    <w:link w:val="Nadpis1Char"/>
    <w:uiPriority w:val="9"/>
    <w:qFormat/>
    <w:rsid w:val="00F225AA"/>
    <w:pPr>
      <w:numPr>
        <w:numId w:val="1"/>
      </w:numPr>
      <w:spacing w:after="0" w:line="240" w:lineRule="auto"/>
      <w:jc w:val="center"/>
      <w:outlineLvl w:val="0"/>
    </w:pPr>
    <w:rPr>
      <w:rFonts w:ascii="Times New Roman" w:hAnsi="Times New Roman"/>
      <w:b/>
      <w:sz w:val="24"/>
      <w:u w:val="single"/>
    </w:rPr>
  </w:style>
  <w:style w:type="paragraph" w:styleId="Nadpis2">
    <w:name w:val="heading 2"/>
    <w:basedOn w:val="Normlny"/>
    <w:next w:val="Normlny"/>
    <w:link w:val="Nadpis2Char"/>
    <w:uiPriority w:val="9"/>
    <w:unhideWhenUsed/>
    <w:qFormat/>
    <w:rsid w:val="00F225AA"/>
    <w:pPr>
      <w:keepNext/>
      <w:spacing w:before="240" w:after="60"/>
      <w:outlineLvl w:val="1"/>
    </w:pPr>
    <w:rPr>
      <w:rFonts w:ascii="Times New Roman" w:hAnsi="Times New Roman"/>
      <w:b/>
      <w:bCs/>
      <w:iCs/>
      <w:sz w:val="24"/>
      <w:szCs w:val="28"/>
    </w:rPr>
  </w:style>
  <w:style w:type="paragraph" w:styleId="Nadpis3">
    <w:name w:val="heading 3"/>
    <w:basedOn w:val="Normlny"/>
    <w:next w:val="Normlny"/>
    <w:link w:val="Nadpis3Char"/>
    <w:uiPriority w:val="9"/>
    <w:unhideWhenUsed/>
    <w:qFormat/>
    <w:rsid w:val="0073084B"/>
    <w:pPr>
      <w:keepNext/>
      <w:spacing w:before="240" w:after="60" w:line="240" w:lineRule="auto"/>
      <w:outlineLvl w:val="2"/>
    </w:pPr>
    <w:rPr>
      <w:rFonts w:ascii="Cambria" w:hAnsi="Cambria"/>
      <w:b/>
      <w:bCs/>
      <w:sz w:val="26"/>
      <w:szCs w:val="2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F225AA"/>
    <w:rPr>
      <w:rFonts w:ascii="Times New Roman" w:hAnsi="Times New Roman" w:cs="Times New Roman"/>
      <w:b/>
      <w:color w:val="000000"/>
      <w:sz w:val="22"/>
      <w:szCs w:val="22"/>
      <w:u w:val="single"/>
    </w:rPr>
  </w:style>
  <w:style w:type="character" w:customStyle="1" w:styleId="Nadpis2Char">
    <w:name w:val="Nadpis 2 Char"/>
    <w:basedOn w:val="Predvolenpsmoodseku"/>
    <w:link w:val="Nadpis2"/>
    <w:uiPriority w:val="9"/>
    <w:locked/>
    <w:rsid w:val="00F225AA"/>
    <w:rPr>
      <w:rFonts w:ascii="Times New Roman" w:hAnsi="Times New Roman" w:cs="Times New Roman"/>
      <w:b/>
      <w:bCs/>
      <w:iCs/>
      <w:sz w:val="28"/>
      <w:szCs w:val="28"/>
      <w:lang w:val="x-none" w:eastAsia="en-US"/>
    </w:rPr>
  </w:style>
  <w:style w:type="character" w:customStyle="1" w:styleId="Nadpis3Char">
    <w:name w:val="Nadpis 3 Char"/>
    <w:basedOn w:val="Predvolenpsmoodseku"/>
    <w:link w:val="Nadpis3"/>
    <w:uiPriority w:val="9"/>
    <w:locked/>
    <w:rsid w:val="0073084B"/>
    <w:rPr>
      <w:rFonts w:ascii="Cambria" w:hAnsi="Cambria" w:cs="Times New Roman"/>
      <w:b/>
      <w:sz w:val="26"/>
    </w:rPr>
  </w:style>
  <w:style w:type="paragraph" w:styleId="Normlnywebov">
    <w:name w:val="Normal (Web)"/>
    <w:aliases w:val="webb,Normálny (WWW)"/>
    <w:basedOn w:val="Normlny"/>
    <w:uiPriority w:val="99"/>
    <w:unhideWhenUsed/>
    <w:qFormat/>
    <w:rsid w:val="0073084B"/>
    <w:pPr>
      <w:spacing w:before="100" w:beforeAutospacing="1" w:after="100" w:afterAutospacing="1" w:line="240" w:lineRule="auto"/>
    </w:pPr>
    <w:rPr>
      <w:rFonts w:ascii="Times New Roman" w:hAnsi="Times New Roman"/>
      <w:sz w:val="24"/>
      <w:szCs w:val="24"/>
    </w:rPr>
  </w:style>
  <w:style w:type="paragraph" w:styleId="Nzov">
    <w:name w:val="Title"/>
    <w:basedOn w:val="Normlny"/>
    <w:link w:val="NzovChar"/>
    <w:uiPriority w:val="10"/>
    <w:qFormat/>
    <w:rsid w:val="0073084B"/>
    <w:pPr>
      <w:spacing w:after="0" w:line="240" w:lineRule="auto"/>
      <w:jc w:val="center"/>
    </w:pPr>
    <w:rPr>
      <w:rFonts w:ascii="Times New Roman" w:hAnsi="Times New Roman"/>
      <w:sz w:val="20"/>
      <w:szCs w:val="20"/>
      <w:lang w:eastAsia="cs-CZ"/>
    </w:rPr>
  </w:style>
  <w:style w:type="character" w:customStyle="1" w:styleId="NzovChar">
    <w:name w:val="Názov Char"/>
    <w:basedOn w:val="Predvolenpsmoodseku"/>
    <w:link w:val="Nzov"/>
    <w:uiPriority w:val="10"/>
    <w:locked/>
    <w:rsid w:val="0073084B"/>
    <w:rPr>
      <w:rFonts w:ascii="Times New Roman" w:hAnsi="Times New Roman" w:cs="Times New Roman"/>
      <w:lang w:val="x-none" w:eastAsia="cs-CZ"/>
    </w:rPr>
  </w:style>
  <w:style w:type="character" w:styleId="Zstupntext">
    <w:name w:val="Placeholder Text"/>
    <w:basedOn w:val="Predvolenpsmoodseku"/>
    <w:uiPriority w:val="99"/>
    <w:rsid w:val="007A5CBE"/>
    <w:rPr>
      <w:rFonts w:ascii="Times New Roman" w:hAnsi="Times New Roman" w:cs="Times New Roman"/>
      <w:color w:val="808080"/>
    </w:rPr>
  </w:style>
  <w:style w:type="paragraph" w:customStyle="1" w:styleId="Zakladnystyl">
    <w:name w:val="Zakladny styl"/>
    <w:rsid w:val="0073084B"/>
    <w:rPr>
      <w:rFonts w:ascii="Times New Roman" w:hAnsi="Times New Roman" w:cs="Times New Roman"/>
      <w:sz w:val="24"/>
      <w:szCs w:val="24"/>
    </w:rPr>
  </w:style>
  <w:style w:type="paragraph" w:styleId="Bezriadkovania">
    <w:name w:val="No Spacing"/>
    <w:link w:val="BezriadkovaniaChar"/>
    <w:uiPriority w:val="1"/>
    <w:qFormat/>
    <w:rsid w:val="00EE4E2B"/>
    <w:rPr>
      <w:rFonts w:cs="Times New Roman"/>
      <w:sz w:val="22"/>
      <w:szCs w:val="22"/>
      <w:lang w:eastAsia="en-US"/>
    </w:rPr>
  </w:style>
  <w:style w:type="character" w:customStyle="1" w:styleId="BezriadkovaniaChar">
    <w:name w:val="Bez riadkovania Char"/>
    <w:link w:val="Bezriadkovania"/>
    <w:uiPriority w:val="1"/>
    <w:locked/>
    <w:rsid w:val="00EE4E2B"/>
    <w:rPr>
      <w:sz w:val="22"/>
      <w:lang w:val="x-none" w:eastAsia="en-US"/>
    </w:rPr>
  </w:style>
  <w:style w:type="paragraph" w:styleId="Hlavika">
    <w:name w:val="header"/>
    <w:basedOn w:val="Normlny"/>
    <w:link w:val="HlavikaChar"/>
    <w:uiPriority w:val="99"/>
    <w:unhideWhenUsed/>
    <w:rsid w:val="00291943"/>
    <w:pPr>
      <w:tabs>
        <w:tab w:val="center" w:pos="4536"/>
        <w:tab w:val="right" w:pos="9072"/>
      </w:tabs>
    </w:pPr>
  </w:style>
  <w:style w:type="character" w:customStyle="1" w:styleId="HlavikaChar">
    <w:name w:val="Hlavička Char"/>
    <w:basedOn w:val="Predvolenpsmoodseku"/>
    <w:link w:val="Hlavika"/>
    <w:uiPriority w:val="99"/>
    <w:locked/>
    <w:rsid w:val="00291943"/>
    <w:rPr>
      <w:rFonts w:cs="Times New Roman"/>
      <w:sz w:val="22"/>
      <w:lang w:val="x-none" w:eastAsia="en-US"/>
    </w:rPr>
  </w:style>
  <w:style w:type="paragraph" w:styleId="Pta">
    <w:name w:val="footer"/>
    <w:basedOn w:val="Normlny"/>
    <w:link w:val="PtaChar"/>
    <w:uiPriority w:val="99"/>
    <w:unhideWhenUsed/>
    <w:rsid w:val="00291943"/>
    <w:pPr>
      <w:tabs>
        <w:tab w:val="center" w:pos="4536"/>
        <w:tab w:val="right" w:pos="9072"/>
      </w:tabs>
    </w:pPr>
  </w:style>
  <w:style w:type="character" w:customStyle="1" w:styleId="PtaChar">
    <w:name w:val="Päta Char"/>
    <w:basedOn w:val="Predvolenpsmoodseku"/>
    <w:link w:val="Pta"/>
    <w:uiPriority w:val="99"/>
    <w:locked/>
    <w:rsid w:val="00291943"/>
    <w:rPr>
      <w:rFonts w:cs="Times New Roman"/>
      <w:sz w:val="22"/>
      <w:lang w:val="x-none" w:eastAsia="en-US"/>
    </w:rPr>
  </w:style>
  <w:style w:type="paragraph" w:customStyle="1" w:styleId="Default">
    <w:name w:val="Default"/>
    <w:qFormat/>
    <w:rsid w:val="007A5CBE"/>
    <w:pPr>
      <w:autoSpaceDE w:val="0"/>
      <w:autoSpaceDN w:val="0"/>
      <w:adjustRightInd w:val="0"/>
    </w:pPr>
    <w:rPr>
      <w:rFonts w:ascii="Times New Roman" w:hAnsi="Times New Roman" w:cs="Times New Roman"/>
      <w:color w:val="000000"/>
      <w:sz w:val="24"/>
      <w:szCs w:val="24"/>
    </w:rPr>
  </w:style>
  <w:style w:type="character" w:styleId="Zvraznenie">
    <w:name w:val="Emphasis"/>
    <w:basedOn w:val="Predvolenpsmoodseku"/>
    <w:uiPriority w:val="20"/>
    <w:qFormat/>
    <w:rsid w:val="007A5CBE"/>
    <w:rPr>
      <w:rFonts w:cs="Times New Roman"/>
      <w:i/>
    </w:rPr>
  </w:style>
  <w:style w:type="character" w:styleId="Hypertextovprepojenie">
    <w:name w:val="Hyperlink"/>
    <w:basedOn w:val="Predvolenpsmoodseku"/>
    <w:uiPriority w:val="99"/>
    <w:unhideWhenUsed/>
    <w:rsid w:val="007A5CBE"/>
    <w:rPr>
      <w:rFonts w:cs="Times New Roman"/>
      <w:color w:val="0000FF"/>
      <w:u w:val="single"/>
    </w:rPr>
  </w:style>
  <w:style w:type="paragraph" w:styleId="Odsekzoznamu">
    <w:name w:val="List Paragraph"/>
    <w:aliases w:val="Dot pt,No Spacing1,List Paragraph Char Char Char,Indicator Text,Numbered Para 1,List Paragraph à moi,Odsek zoznamu4,LISTA,List Paragraph1,Listaszerû bekezdés2,Listaszerû bekezdés3,Listaszerû bekezdés1,Bullet 1,Bullet Points,MAIN CONTENT"/>
    <w:basedOn w:val="Normlny"/>
    <w:link w:val="OdsekzoznamuChar"/>
    <w:uiPriority w:val="34"/>
    <w:qFormat/>
    <w:rsid w:val="007A5CBE"/>
    <w:pPr>
      <w:spacing w:line="259" w:lineRule="auto"/>
      <w:ind w:left="720"/>
      <w:contextualSpacing/>
    </w:pPr>
  </w:style>
  <w:style w:type="character" w:customStyle="1" w:styleId="OdsekzoznamuChar">
    <w:name w:val="Odsek zoznamu Char"/>
    <w:aliases w:val="Dot pt Char,No Spacing1 Char,List Paragraph Char Char Char Char,Indicator Text Char,Numbered Para 1 Char,List Paragraph à moi Char,Odsek zoznamu4 Char,LISTA Char,List Paragraph1 Char,Listaszerû bekezdés2 Char,Listaszerû bekezdés3 Char"/>
    <w:link w:val="Odsekzoznamu"/>
    <w:uiPriority w:val="34"/>
    <w:qFormat/>
    <w:locked/>
    <w:rsid w:val="007A5CBE"/>
    <w:rPr>
      <w:sz w:val="22"/>
      <w:lang w:val="x-none" w:eastAsia="en-US"/>
    </w:rPr>
  </w:style>
  <w:style w:type="character" w:customStyle="1" w:styleId="spanr">
    <w:name w:val="span_r"/>
    <w:rsid w:val="007A5CBE"/>
  </w:style>
  <w:style w:type="paragraph" w:styleId="Textpoznmkypodiarou">
    <w:name w:val="footnote text"/>
    <w:basedOn w:val="Normlny"/>
    <w:link w:val="TextpoznmkypodiarouChar"/>
    <w:uiPriority w:val="99"/>
    <w:unhideWhenUsed/>
    <w:rsid w:val="007A5CBE"/>
    <w:pPr>
      <w:spacing w:after="0" w:line="240" w:lineRule="auto"/>
    </w:pPr>
    <w:rPr>
      <w:rFonts w:ascii="Arial Narrow" w:hAnsi="Arial Narrow"/>
      <w:sz w:val="20"/>
      <w:szCs w:val="20"/>
    </w:rPr>
  </w:style>
  <w:style w:type="character" w:customStyle="1" w:styleId="TextpoznmkypodiarouChar">
    <w:name w:val="Text poznámky pod čiarou Char"/>
    <w:basedOn w:val="Predvolenpsmoodseku"/>
    <w:link w:val="Textpoznmkypodiarou"/>
    <w:uiPriority w:val="99"/>
    <w:locked/>
    <w:rsid w:val="007A5CBE"/>
    <w:rPr>
      <w:rFonts w:ascii="Arial Narrow" w:hAnsi="Arial Narrow" w:cs="Times New Roman"/>
      <w:lang w:val="x-none" w:eastAsia="en-US"/>
    </w:rPr>
  </w:style>
  <w:style w:type="character" w:styleId="Odkaznapoznmkupodiarou">
    <w:name w:val="footnote reference"/>
    <w:aliases w:val="Footnote Reference Number,Footnote Reference Superscript,BVI fnr,Footnote symbol,SUPERS,(Footnote Reference),Voetnootverwijzing,Times 10 Point,Exposant 3 Point,Footnote reference number,note TESI,Odwołanie przypisu"/>
    <w:basedOn w:val="Predvolenpsmoodseku"/>
    <w:uiPriority w:val="99"/>
    <w:unhideWhenUsed/>
    <w:rsid w:val="007A5CBE"/>
    <w:rPr>
      <w:rFonts w:cs="Times New Roman"/>
      <w:vertAlign w:val="superscript"/>
    </w:rPr>
  </w:style>
  <w:style w:type="character" w:styleId="Siln">
    <w:name w:val="Strong"/>
    <w:basedOn w:val="Predvolenpsmoodseku"/>
    <w:uiPriority w:val="22"/>
    <w:qFormat/>
    <w:rsid w:val="007A5CBE"/>
    <w:rPr>
      <w:rFonts w:cs="Times New Roman"/>
      <w:b/>
    </w:rPr>
  </w:style>
  <w:style w:type="paragraph" w:customStyle="1" w:styleId="playerscontent">
    <w:name w:val="players_content"/>
    <w:basedOn w:val="Normlny"/>
    <w:rsid w:val="007A5CBE"/>
    <w:pPr>
      <w:spacing w:before="100" w:beforeAutospacing="1" w:after="100" w:afterAutospacing="1" w:line="240" w:lineRule="auto"/>
    </w:pPr>
    <w:rPr>
      <w:rFonts w:ascii="Times New Roman" w:hAnsi="Times New Roman"/>
      <w:sz w:val="24"/>
      <w:szCs w:val="24"/>
    </w:rPr>
  </w:style>
  <w:style w:type="paragraph" w:styleId="Textbubliny">
    <w:name w:val="Balloon Text"/>
    <w:basedOn w:val="Normlny"/>
    <w:link w:val="TextbublinyChar"/>
    <w:uiPriority w:val="99"/>
    <w:semiHidden/>
    <w:unhideWhenUsed/>
    <w:rsid w:val="007A5CBE"/>
    <w:pPr>
      <w:spacing w:after="0" w:line="240" w:lineRule="auto"/>
    </w:pPr>
    <w:rPr>
      <w:rFonts w:ascii="Tahoma" w:hAnsi="Tahoma"/>
      <w:sz w:val="16"/>
      <w:szCs w:val="16"/>
    </w:rPr>
  </w:style>
  <w:style w:type="character" w:customStyle="1" w:styleId="TextbublinyChar">
    <w:name w:val="Text bubliny Char"/>
    <w:basedOn w:val="Predvolenpsmoodseku"/>
    <w:link w:val="Textbubliny"/>
    <w:uiPriority w:val="99"/>
    <w:semiHidden/>
    <w:locked/>
    <w:rsid w:val="007A5CBE"/>
    <w:rPr>
      <w:rFonts w:ascii="Tahoma" w:hAnsi="Tahoma" w:cs="Times New Roman"/>
      <w:sz w:val="16"/>
      <w:lang w:val="x-none" w:eastAsia="en-US"/>
    </w:rPr>
  </w:style>
  <w:style w:type="paragraph" w:customStyle="1" w:styleId="normal12hanging">
    <w:name w:val="normal12hanging"/>
    <w:basedOn w:val="Normlny"/>
    <w:uiPriority w:val="99"/>
    <w:rsid w:val="007A5CBE"/>
    <w:pPr>
      <w:spacing w:after="240" w:line="240" w:lineRule="auto"/>
      <w:ind w:left="357" w:hanging="357"/>
    </w:pPr>
    <w:rPr>
      <w:rFonts w:ascii="Times New Roman" w:hAnsi="Times New Roman"/>
      <w:sz w:val="24"/>
      <w:szCs w:val="24"/>
    </w:rPr>
  </w:style>
  <w:style w:type="paragraph" w:customStyle="1" w:styleId="tl1">
    <w:name w:val="Štýl1"/>
    <w:basedOn w:val="Normlny"/>
    <w:rsid w:val="007A5CBE"/>
    <w:pPr>
      <w:spacing w:after="0" w:line="240" w:lineRule="atLeast"/>
    </w:pPr>
    <w:rPr>
      <w:rFonts w:ascii="Times New Roman" w:hAnsi="Times New Roman"/>
      <w:b/>
      <w:bCs/>
      <w:sz w:val="24"/>
      <w:szCs w:val="20"/>
      <w:lang w:eastAsia="cs-CZ"/>
    </w:rPr>
  </w:style>
  <w:style w:type="paragraph" w:styleId="Zkladntext">
    <w:name w:val="Body Text"/>
    <w:basedOn w:val="Normlny"/>
    <w:link w:val="ZkladntextChar"/>
    <w:uiPriority w:val="99"/>
    <w:rsid w:val="007A5CBE"/>
    <w:pPr>
      <w:spacing w:after="120" w:line="240" w:lineRule="auto"/>
    </w:pPr>
    <w:rPr>
      <w:rFonts w:ascii="Arial" w:hAnsi="Arial"/>
      <w:sz w:val="24"/>
      <w:szCs w:val="20"/>
      <w:lang w:eastAsia="cs-CZ"/>
    </w:rPr>
  </w:style>
  <w:style w:type="character" w:customStyle="1" w:styleId="ZkladntextChar">
    <w:name w:val="Základný text Char"/>
    <w:basedOn w:val="Predvolenpsmoodseku"/>
    <w:link w:val="Zkladntext"/>
    <w:uiPriority w:val="99"/>
    <w:locked/>
    <w:rsid w:val="007A5CBE"/>
    <w:rPr>
      <w:rFonts w:ascii="Arial" w:hAnsi="Arial" w:cs="Times New Roman"/>
      <w:sz w:val="24"/>
      <w:lang w:val="x-none" w:eastAsia="cs-CZ"/>
    </w:rPr>
  </w:style>
  <w:style w:type="paragraph" w:customStyle="1" w:styleId="CM1">
    <w:name w:val="CM1"/>
    <w:basedOn w:val="Normlny"/>
    <w:next w:val="Normlny"/>
    <w:uiPriority w:val="99"/>
    <w:rsid w:val="007A5CBE"/>
    <w:pPr>
      <w:autoSpaceDE w:val="0"/>
      <w:autoSpaceDN w:val="0"/>
      <w:adjustRightInd w:val="0"/>
      <w:spacing w:after="0" w:line="240" w:lineRule="auto"/>
    </w:pPr>
    <w:rPr>
      <w:rFonts w:ascii="EUAlbertina" w:hAnsi="EUAlbertina"/>
      <w:sz w:val="24"/>
      <w:szCs w:val="24"/>
    </w:rPr>
  </w:style>
  <w:style w:type="character" w:customStyle="1" w:styleId="hps">
    <w:name w:val="hps"/>
    <w:rsid w:val="007A5CBE"/>
  </w:style>
  <w:style w:type="character" w:customStyle="1" w:styleId="shorttext">
    <w:name w:val="short_text"/>
    <w:rsid w:val="007A5CBE"/>
  </w:style>
  <w:style w:type="character" w:customStyle="1" w:styleId="notranslate">
    <w:name w:val="notranslate"/>
    <w:rsid w:val="007A5CBE"/>
  </w:style>
  <w:style w:type="paragraph" w:customStyle="1" w:styleId="Pointabc">
    <w:name w:val="Point abc"/>
    <w:basedOn w:val="Normlny"/>
    <w:rsid w:val="007A5CBE"/>
    <w:pPr>
      <w:numPr>
        <w:ilvl w:val="1"/>
        <w:numId w:val="2"/>
      </w:numPr>
      <w:spacing w:before="200" w:after="0" w:line="240" w:lineRule="auto"/>
    </w:pPr>
    <w:rPr>
      <w:rFonts w:ascii="Times New Roman" w:hAnsi="Times New Roman"/>
      <w:sz w:val="24"/>
      <w:szCs w:val="24"/>
      <w:lang w:val="en-GB"/>
    </w:rPr>
  </w:style>
  <w:style w:type="paragraph" w:customStyle="1" w:styleId="Pointabc1">
    <w:name w:val="Point abc (1)"/>
    <w:basedOn w:val="Normlny"/>
    <w:rsid w:val="007A5CBE"/>
    <w:pPr>
      <w:numPr>
        <w:ilvl w:val="3"/>
        <w:numId w:val="2"/>
      </w:numPr>
      <w:spacing w:after="0" w:line="240" w:lineRule="auto"/>
      <w:outlineLvl w:val="0"/>
    </w:pPr>
    <w:rPr>
      <w:rFonts w:ascii="Times New Roman" w:hAnsi="Times New Roman"/>
      <w:sz w:val="24"/>
      <w:szCs w:val="24"/>
      <w:lang w:val="en-GB"/>
    </w:rPr>
  </w:style>
  <w:style w:type="paragraph" w:customStyle="1" w:styleId="Pointabc2">
    <w:name w:val="Point abc (2)"/>
    <w:basedOn w:val="Normlny"/>
    <w:rsid w:val="007A5CBE"/>
    <w:pPr>
      <w:numPr>
        <w:ilvl w:val="5"/>
        <w:numId w:val="2"/>
      </w:numPr>
      <w:spacing w:after="0" w:line="240" w:lineRule="auto"/>
      <w:outlineLvl w:val="1"/>
    </w:pPr>
    <w:rPr>
      <w:rFonts w:ascii="Times New Roman" w:hAnsi="Times New Roman"/>
      <w:sz w:val="24"/>
      <w:szCs w:val="24"/>
      <w:lang w:val="en-GB"/>
    </w:rPr>
  </w:style>
  <w:style w:type="paragraph" w:customStyle="1" w:styleId="Pointabc3">
    <w:name w:val="Point abc (3)"/>
    <w:basedOn w:val="Normlny"/>
    <w:rsid w:val="007A5CBE"/>
    <w:pPr>
      <w:numPr>
        <w:ilvl w:val="7"/>
        <w:numId w:val="2"/>
      </w:numPr>
      <w:spacing w:after="0" w:line="240" w:lineRule="auto"/>
      <w:outlineLvl w:val="2"/>
    </w:pPr>
    <w:rPr>
      <w:rFonts w:ascii="Times New Roman" w:hAnsi="Times New Roman"/>
      <w:sz w:val="24"/>
      <w:szCs w:val="24"/>
      <w:lang w:val="en-GB"/>
    </w:rPr>
  </w:style>
  <w:style w:type="paragraph" w:customStyle="1" w:styleId="Pointabc4">
    <w:name w:val="Point abc (4)"/>
    <w:basedOn w:val="Normlny"/>
    <w:rsid w:val="007A5CBE"/>
    <w:pPr>
      <w:numPr>
        <w:ilvl w:val="8"/>
        <w:numId w:val="2"/>
      </w:numPr>
      <w:spacing w:after="0" w:line="240" w:lineRule="auto"/>
      <w:outlineLvl w:val="3"/>
    </w:pPr>
    <w:rPr>
      <w:rFonts w:ascii="Times New Roman" w:hAnsi="Times New Roman"/>
      <w:sz w:val="24"/>
      <w:szCs w:val="24"/>
      <w:lang w:val="en-GB"/>
    </w:rPr>
  </w:style>
  <w:style w:type="paragraph" w:customStyle="1" w:styleId="Point123">
    <w:name w:val="Point 123"/>
    <w:basedOn w:val="Normlny"/>
    <w:rsid w:val="007A5CBE"/>
    <w:pPr>
      <w:numPr>
        <w:numId w:val="2"/>
      </w:numPr>
      <w:spacing w:before="200" w:after="0" w:line="240" w:lineRule="auto"/>
    </w:pPr>
    <w:rPr>
      <w:rFonts w:ascii="Times New Roman" w:hAnsi="Times New Roman"/>
      <w:sz w:val="24"/>
      <w:szCs w:val="24"/>
      <w:lang w:val="en-GB" w:eastAsia="fr-BE"/>
    </w:rPr>
  </w:style>
  <w:style w:type="paragraph" w:customStyle="1" w:styleId="Point1231">
    <w:name w:val="Point 123 (1)"/>
    <w:basedOn w:val="Normlny"/>
    <w:rsid w:val="007A5CBE"/>
    <w:pPr>
      <w:numPr>
        <w:ilvl w:val="2"/>
        <w:numId w:val="2"/>
      </w:numPr>
      <w:spacing w:after="0" w:line="240" w:lineRule="auto"/>
      <w:outlineLvl w:val="0"/>
    </w:pPr>
    <w:rPr>
      <w:rFonts w:ascii="Times New Roman" w:hAnsi="Times New Roman"/>
      <w:sz w:val="24"/>
      <w:szCs w:val="24"/>
      <w:lang w:val="en-GB"/>
    </w:rPr>
  </w:style>
  <w:style w:type="paragraph" w:customStyle="1" w:styleId="Point1232">
    <w:name w:val="Point 123 (2)"/>
    <w:basedOn w:val="Normlny"/>
    <w:rsid w:val="007A5CBE"/>
    <w:pPr>
      <w:numPr>
        <w:ilvl w:val="4"/>
        <w:numId w:val="2"/>
      </w:numPr>
      <w:spacing w:after="0" w:line="240" w:lineRule="auto"/>
      <w:outlineLvl w:val="1"/>
    </w:pPr>
    <w:rPr>
      <w:rFonts w:ascii="Times New Roman" w:hAnsi="Times New Roman"/>
      <w:sz w:val="24"/>
      <w:szCs w:val="24"/>
      <w:lang w:val="en-GB"/>
    </w:rPr>
  </w:style>
  <w:style w:type="paragraph" w:customStyle="1" w:styleId="Point1233">
    <w:name w:val="Point 123 (3)"/>
    <w:basedOn w:val="Normlny"/>
    <w:rsid w:val="007A5CBE"/>
    <w:pPr>
      <w:numPr>
        <w:ilvl w:val="6"/>
        <w:numId w:val="2"/>
      </w:numPr>
      <w:spacing w:after="0" w:line="240" w:lineRule="auto"/>
      <w:outlineLvl w:val="2"/>
    </w:pPr>
    <w:rPr>
      <w:rFonts w:ascii="Times New Roman" w:hAnsi="Times New Roman"/>
      <w:sz w:val="24"/>
      <w:szCs w:val="24"/>
      <w:lang w:val="en-GB"/>
    </w:rPr>
  </w:style>
  <w:style w:type="paragraph" w:customStyle="1" w:styleId="PointManual">
    <w:name w:val="Point Manual"/>
    <w:basedOn w:val="Normlny"/>
    <w:rsid w:val="007A5CBE"/>
    <w:pPr>
      <w:spacing w:before="200" w:after="0" w:line="240" w:lineRule="auto"/>
      <w:ind w:left="567" w:hanging="567"/>
    </w:pPr>
    <w:rPr>
      <w:rFonts w:ascii="Times New Roman" w:hAnsi="Times New Roman"/>
      <w:sz w:val="24"/>
      <w:szCs w:val="24"/>
      <w:lang w:eastAsia="fr-BE"/>
    </w:rPr>
  </w:style>
  <w:style w:type="table" w:styleId="Mriekatabuky">
    <w:name w:val="Table Grid"/>
    <w:basedOn w:val="Normlnatabuka"/>
    <w:uiPriority w:val="39"/>
    <w:rsid w:val="007A5CB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2">
    <w:name w:val="Body Text Indent 2"/>
    <w:basedOn w:val="Normlny"/>
    <w:link w:val="Zarkazkladnhotextu2Char"/>
    <w:uiPriority w:val="99"/>
    <w:semiHidden/>
    <w:unhideWhenUsed/>
    <w:rsid w:val="007A5CBE"/>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7A5CBE"/>
    <w:rPr>
      <w:rFonts w:cs="Times New Roman"/>
      <w:sz w:val="22"/>
      <w:lang w:val="x-none" w:eastAsia="en-US"/>
    </w:rPr>
  </w:style>
  <w:style w:type="paragraph" w:customStyle="1" w:styleId="zakladnystyl0">
    <w:name w:val="zakladnystyl"/>
    <w:basedOn w:val="Normlny"/>
    <w:rsid w:val="007A5CBE"/>
    <w:pPr>
      <w:spacing w:before="100" w:beforeAutospacing="1" w:after="100" w:afterAutospacing="1" w:line="240" w:lineRule="auto"/>
    </w:pPr>
    <w:rPr>
      <w:rFonts w:ascii="Arial Unicode MS" w:hAnsi="Times New Roman"/>
      <w:sz w:val="24"/>
      <w:szCs w:val="24"/>
    </w:rPr>
  </w:style>
  <w:style w:type="character" w:customStyle="1" w:styleId="update1">
    <w:name w:val="update1"/>
    <w:rsid w:val="007A5CBE"/>
    <w:rPr>
      <w:color w:val="006666"/>
    </w:rPr>
  </w:style>
  <w:style w:type="paragraph" w:styleId="Zarkazkladnhotextu">
    <w:name w:val="Body Text Indent"/>
    <w:basedOn w:val="Normlny"/>
    <w:link w:val="ZarkazkladnhotextuChar"/>
    <w:uiPriority w:val="99"/>
    <w:unhideWhenUsed/>
    <w:rsid w:val="007A5CBE"/>
    <w:pPr>
      <w:spacing w:after="120"/>
      <w:ind w:left="283"/>
    </w:pPr>
  </w:style>
  <w:style w:type="character" w:customStyle="1" w:styleId="ZarkazkladnhotextuChar">
    <w:name w:val="Zarážka základného textu Char"/>
    <w:basedOn w:val="Predvolenpsmoodseku"/>
    <w:link w:val="Zarkazkladnhotextu"/>
    <w:uiPriority w:val="99"/>
    <w:locked/>
    <w:rsid w:val="007A5CBE"/>
    <w:rPr>
      <w:rFonts w:cs="Times New Roman"/>
      <w:sz w:val="22"/>
      <w:lang w:val="x-none" w:eastAsia="en-US"/>
    </w:rPr>
  </w:style>
  <w:style w:type="paragraph" w:customStyle="1" w:styleId="Vlada">
    <w:name w:val="Vlada"/>
    <w:basedOn w:val="Normlny"/>
    <w:rsid w:val="007A5CBE"/>
    <w:pPr>
      <w:autoSpaceDE w:val="0"/>
      <w:autoSpaceDN w:val="0"/>
      <w:adjustRightInd w:val="0"/>
      <w:spacing w:before="480" w:after="120" w:line="240" w:lineRule="auto"/>
    </w:pPr>
    <w:rPr>
      <w:rFonts w:ascii="Times New Roman" w:hAnsi="Times New Roman"/>
      <w:b/>
      <w:bCs/>
      <w:sz w:val="32"/>
      <w:szCs w:val="32"/>
      <w:lang w:eastAsia="cs-CZ"/>
    </w:rPr>
  </w:style>
  <w:style w:type="character" w:styleId="Odkaznakomentr">
    <w:name w:val="annotation reference"/>
    <w:basedOn w:val="Predvolenpsmoodseku"/>
    <w:uiPriority w:val="99"/>
    <w:semiHidden/>
    <w:unhideWhenUsed/>
    <w:rsid w:val="007A5CBE"/>
    <w:rPr>
      <w:rFonts w:cs="Times New Roman"/>
      <w:sz w:val="16"/>
    </w:rPr>
  </w:style>
  <w:style w:type="paragraph" w:styleId="Textkomentra">
    <w:name w:val="annotation text"/>
    <w:basedOn w:val="Normlny"/>
    <w:link w:val="TextkomentraChar"/>
    <w:uiPriority w:val="99"/>
    <w:unhideWhenUsed/>
    <w:rsid w:val="007A5CBE"/>
    <w:rPr>
      <w:sz w:val="20"/>
      <w:szCs w:val="20"/>
    </w:rPr>
  </w:style>
  <w:style w:type="character" w:customStyle="1" w:styleId="TextkomentraChar">
    <w:name w:val="Text komentára Char"/>
    <w:basedOn w:val="Predvolenpsmoodseku"/>
    <w:link w:val="Textkomentra"/>
    <w:uiPriority w:val="99"/>
    <w:locked/>
    <w:rsid w:val="007A5CBE"/>
    <w:rPr>
      <w:rFonts w:cs="Times New Roman"/>
      <w:lang w:val="x-none" w:eastAsia="en-US"/>
    </w:rPr>
  </w:style>
  <w:style w:type="paragraph" w:styleId="Predmetkomentra">
    <w:name w:val="annotation subject"/>
    <w:basedOn w:val="Textkomentra"/>
    <w:next w:val="Textkomentra"/>
    <w:link w:val="PredmetkomentraChar"/>
    <w:uiPriority w:val="99"/>
    <w:semiHidden/>
    <w:unhideWhenUsed/>
    <w:rsid w:val="007A5CBE"/>
    <w:rPr>
      <w:b/>
      <w:bCs/>
    </w:rPr>
  </w:style>
  <w:style w:type="character" w:customStyle="1" w:styleId="PredmetkomentraChar">
    <w:name w:val="Predmet komentára Char"/>
    <w:basedOn w:val="TextkomentraChar"/>
    <w:link w:val="Predmetkomentra"/>
    <w:uiPriority w:val="99"/>
    <w:semiHidden/>
    <w:locked/>
    <w:rsid w:val="007A5CBE"/>
    <w:rPr>
      <w:rFonts w:cs="Times New Roman"/>
      <w:b/>
      <w:lang w:val="x-none" w:eastAsia="en-US"/>
    </w:rPr>
  </w:style>
  <w:style w:type="character" w:customStyle="1" w:styleId="apple-converted-space">
    <w:name w:val="apple-converted-space"/>
    <w:rsid w:val="000F2515"/>
  </w:style>
  <w:style w:type="paragraph" w:customStyle="1" w:styleId="Textvysvetlivky1">
    <w:name w:val="Text vysvetlivky1"/>
    <w:basedOn w:val="Normlny"/>
    <w:next w:val="Textvysvetlivky"/>
    <w:link w:val="TextvysvetlivkyChar"/>
    <w:uiPriority w:val="99"/>
    <w:unhideWhenUsed/>
    <w:rsid w:val="000F2515"/>
    <w:pPr>
      <w:spacing w:after="0" w:line="240" w:lineRule="auto"/>
    </w:pPr>
    <w:rPr>
      <w:sz w:val="20"/>
      <w:szCs w:val="20"/>
    </w:rPr>
  </w:style>
  <w:style w:type="paragraph" w:styleId="Textvysvetlivky">
    <w:name w:val="endnote text"/>
    <w:basedOn w:val="Normlny"/>
    <w:link w:val="TextvysvetlivkyChar1"/>
    <w:uiPriority w:val="99"/>
    <w:semiHidden/>
    <w:unhideWhenUsed/>
    <w:rsid w:val="000F2515"/>
    <w:rPr>
      <w:sz w:val="20"/>
      <w:szCs w:val="20"/>
    </w:rPr>
  </w:style>
  <w:style w:type="character" w:customStyle="1" w:styleId="TextvysvetlivkyChar">
    <w:name w:val="Text vysvetlivky Char"/>
    <w:basedOn w:val="Predvolenpsmoodseku"/>
    <w:link w:val="Textvysvetlivky1"/>
    <w:uiPriority w:val="99"/>
    <w:locked/>
    <w:rsid w:val="000F2515"/>
    <w:rPr>
      <w:rFonts w:cs="Times New Roman"/>
      <w:lang w:val="x-none" w:eastAsia="en-US"/>
    </w:rPr>
  </w:style>
  <w:style w:type="character" w:customStyle="1" w:styleId="TextvysvetlivkyChar1">
    <w:name w:val="Text vysvetlivky Char1"/>
    <w:basedOn w:val="Predvolenpsmoodseku"/>
    <w:link w:val="Textvysvetlivky"/>
    <w:uiPriority w:val="99"/>
    <w:semiHidden/>
    <w:locked/>
    <w:rsid w:val="000F2515"/>
    <w:rPr>
      <w:rFonts w:cs="Times New Roman"/>
      <w:lang w:val="x-none" w:eastAsia="en-US"/>
    </w:rPr>
  </w:style>
  <w:style w:type="paragraph" w:styleId="Obsah1">
    <w:name w:val="toc 1"/>
    <w:basedOn w:val="Normlny"/>
    <w:next w:val="Normlny"/>
    <w:autoRedefine/>
    <w:uiPriority w:val="39"/>
    <w:unhideWhenUsed/>
    <w:rsid w:val="0078265A"/>
    <w:pPr>
      <w:tabs>
        <w:tab w:val="left" w:pos="709"/>
        <w:tab w:val="right" w:leader="dot" w:pos="8931"/>
      </w:tabs>
      <w:spacing w:line="240" w:lineRule="auto"/>
      <w:jc w:val="both"/>
    </w:pPr>
  </w:style>
  <w:style w:type="paragraph" w:styleId="Obyajntext">
    <w:name w:val="Plain Text"/>
    <w:basedOn w:val="Normlny"/>
    <w:link w:val="ObyajntextChar"/>
    <w:uiPriority w:val="99"/>
    <w:unhideWhenUsed/>
    <w:rsid w:val="000F2515"/>
    <w:pPr>
      <w:spacing w:after="0" w:line="240" w:lineRule="auto"/>
    </w:pPr>
    <w:rPr>
      <w:szCs w:val="21"/>
    </w:rPr>
  </w:style>
  <w:style w:type="character" w:customStyle="1" w:styleId="ObyajntextChar">
    <w:name w:val="Obyčajný text Char"/>
    <w:basedOn w:val="Predvolenpsmoodseku"/>
    <w:link w:val="Obyajntext"/>
    <w:uiPriority w:val="99"/>
    <w:locked/>
    <w:rsid w:val="000F2515"/>
    <w:rPr>
      <w:rFonts w:cs="Times New Roman"/>
      <w:sz w:val="21"/>
      <w:lang w:val="x-none" w:eastAsia="en-US"/>
    </w:rPr>
  </w:style>
  <w:style w:type="paragraph" w:styleId="Hlavikaobsahu">
    <w:name w:val="TOC Heading"/>
    <w:basedOn w:val="Nadpis1"/>
    <w:next w:val="Normlny"/>
    <w:uiPriority w:val="39"/>
    <w:semiHidden/>
    <w:unhideWhenUsed/>
    <w:qFormat/>
    <w:rsid w:val="000F2515"/>
    <w:pPr>
      <w:keepNext/>
      <w:keepLines/>
      <w:numPr>
        <w:numId w:val="0"/>
      </w:numPr>
      <w:spacing w:before="480"/>
      <w:outlineLvl w:val="9"/>
    </w:pPr>
    <w:rPr>
      <w:rFonts w:ascii="Cambria" w:hAnsi="Cambria"/>
      <w:bCs/>
      <w:color w:val="365F91"/>
      <w:sz w:val="28"/>
      <w:szCs w:val="28"/>
      <w:u w:val="none"/>
    </w:rPr>
  </w:style>
  <w:style w:type="paragraph" w:styleId="Obsah2">
    <w:name w:val="toc 2"/>
    <w:basedOn w:val="Normlny"/>
    <w:next w:val="Normlny"/>
    <w:autoRedefine/>
    <w:uiPriority w:val="39"/>
    <w:unhideWhenUsed/>
    <w:rsid w:val="00C919B8"/>
    <w:pPr>
      <w:tabs>
        <w:tab w:val="left" w:pos="660"/>
        <w:tab w:val="right" w:leader="dot" w:pos="9062"/>
      </w:tabs>
    </w:pPr>
  </w:style>
  <w:style w:type="paragraph" w:customStyle="1" w:styleId="Statut">
    <w:name w:val="Statut"/>
    <w:basedOn w:val="Normlny"/>
    <w:next w:val="Normlny"/>
    <w:rsid w:val="000F2515"/>
    <w:pPr>
      <w:spacing w:before="360" w:after="0" w:line="240" w:lineRule="auto"/>
      <w:jc w:val="center"/>
    </w:pPr>
    <w:rPr>
      <w:rFonts w:ascii="Times New Roman" w:hAnsi="Times New Roman"/>
      <w:sz w:val="24"/>
    </w:rPr>
  </w:style>
  <w:style w:type="paragraph" w:customStyle="1" w:styleId="Titreobjet">
    <w:name w:val="Titre objet"/>
    <w:basedOn w:val="Normlny"/>
    <w:next w:val="Normlny"/>
    <w:rsid w:val="000F2515"/>
    <w:pPr>
      <w:spacing w:before="360" w:after="360" w:line="240" w:lineRule="auto"/>
      <w:jc w:val="center"/>
    </w:pPr>
    <w:rPr>
      <w:rFonts w:ascii="Times New Roman" w:hAnsi="Times New Roman"/>
      <w:b/>
      <w:sz w:val="24"/>
    </w:rPr>
  </w:style>
  <w:style w:type="paragraph" w:styleId="Obsah3">
    <w:name w:val="toc 3"/>
    <w:basedOn w:val="Normlny"/>
    <w:next w:val="Normlny"/>
    <w:autoRedefine/>
    <w:uiPriority w:val="39"/>
    <w:unhideWhenUsed/>
    <w:rsid w:val="000E3D54"/>
    <w:pPr>
      <w:ind w:left="440"/>
    </w:pPr>
  </w:style>
  <w:style w:type="character" w:customStyle="1" w:styleId="st">
    <w:name w:val="st"/>
    <w:rsid w:val="006B11C3"/>
  </w:style>
  <w:style w:type="paragraph" w:customStyle="1" w:styleId="MZVnormal">
    <w:name w:val="MZV normal"/>
    <w:basedOn w:val="Normlny"/>
    <w:rsid w:val="003213ED"/>
    <w:pPr>
      <w:spacing w:after="0" w:line="240" w:lineRule="auto"/>
    </w:pPr>
    <w:rPr>
      <w:rFonts w:ascii="Arial" w:hAnsi="Arial"/>
      <w:szCs w:val="24"/>
    </w:rPr>
  </w:style>
  <w:style w:type="paragraph" w:customStyle="1" w:styleId="tl">
    <w:name w:val="Štýl"/>
    <w:uiPriority w:val="99"/>
    <w:rsid w:val="007B6F22"/>
    <w:pPr>
      <w:spacing w:after="200" w:line="276" w:lineRule="auto"/>
    </w:pPr>
    <w:rPr>
      <w:rFonts w:cs="Times New Roman"/>
      <w:sz w:val="22"/>
      <w:szCs w:val="22"/>
      <w:lang w:eastAsia="en-US"/>
    </w:rPr>
  </w:style>
  <w:style w:type="table" w:customStyle="1" w:styleId="Mriekatabuky1">
    <w:name w:val="Mriežka tabuľky1"/>
    <w:basedOn w:val="Normlnatabuka"/>
    <w:next w:val="Mriekatabuky"/>
    <w:uiPriority w:val="39"/>
    <w:rsid w:val="007B6F2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7B6F2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7B6F2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ualConsidrant">
    <w:name w:val="Manual Considérant"/>
    <w:basedOn w:val="Normlny"/>
    <w:rsid w:val="007B6F22"/>
    <w:pPr>
      <w:spacing w:before="120" w:after="120" w:line="240" w:lineRule="auto"/>
      <w:ind w:left="709" w:hanging="709"/>
      <w:jc w:val="both"/>
    </w:pPr>
    <w:rPr>
      <w:rFonts w:ascii="Times New Roman" w:hAnsi="Times New Roman"/>
      <w:sz w:val="24"/>
    </w:rPr>
  </w:style>
  <w:style w:type="table" w:customStyle="1" w:styleId="Mriekatabuky4">
    <w:name w:val="Mriežka tabuľky4"/>
    <w:basedOn w:val="Normlnatabuka"/>
    <w:next w:val="Mriekatabuky"/>
    <w:uiPriority w:val="59"/>
    <w:rsid w:val="007B6F2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rsid w:val="00ED1C4B"/>
    <w:rPr>
      <w:rFonts w:ascii="Tahoma" w:hAnsi="Tahoma" w:cs="Tahoma"/>
      <w:sz w:val="16"/>
      <w:szCs w:val="16"/>
    </w:rPr>
  </w:style>
  <w:style w:type="character" w:customStyle="1" w:styleId="truktradokumentuChar">
    <w:name w:val="Štruktúra dokumentu Char"/>
    <w:basedOn w:val="Predvolenpsmoodseku"/>
    <w:link w:val="truktradokumentu"/>
    <w:uiPriority w:val="99"/>
    <w:locked/>
    <w:rsid w:val="00ED1C4B"/>
    <w:rPr>
      <w:rFonts w:ascii="Tahoma" w:hAnsi="Tahoma" w:cs="Tahoma"/>
      <w:sz w:val="16"/>
      <w:szCs w:val="16"/>
      <w:lang w:val="x-none" w:eastAsia="en-US"/>
    </w:rPr>
  </w:style>
  <w:style w:type="paragraph" w:styleId="Obsah4">
    <w:name w:val="toc 4"/>
    <w:basedOn w:val="Normlny"/>
    <w:next w:val="Normlny"/>
    <w:autoRedefine/>
    <w:uiPriority w:val="39"/>
    <w:unhideWhenUsed/>
    <w:rsid w:val="00F1358C"/>
    <w:pPr>
      <w:spacing w:after="100" w:line="259" w:lineRule="auto"/>
      <w:ind w:left="660"/>
    </w:pPr>
  </w:style>
  <w:style w:type="paragraph" w:styleId="Obsah5">
    <w:name w:val="toc 5"/>
    <w:basedOn w:val="Normlny"/>
    <w:next w:val="Normlny"/>
    <w:autoRedefine/>
    <w:uiPriority w:val="39"/>
    <w:unhideWhenUsed/>
    <w:rsid w:val="00F1358C"/>
    <w:pPr>
      <w:spacing w:after="100" w:line="259" w:lineRule="auto"/>
      <w:ind w:left="880"/>
    </w:pPr>
  </w:style>
  <w:style w:type="paragraph" w:styleId="Obsah6">
    <w:name w:val="toc 6"/>
    <w:basedOn w:val="Normlny"/>
    <w:next w:val="Normlny"/>
    <w:autoRedefine/>
    <w:uiPriority w:val="39"/>
    <w:unhideWhenUsed/>
    <w:rsid w:val="00F1358C"/>
    <w:pPr>
      <w:spacing w:after="100" w:line="259" w:lineRule="auto"/>
      <w:ind w:left="1100"/>
    </w:pPr>
  </w:style>
  <w:style w:type="paragraph" w:styleId="Obsah7">
    <w:name w:val="toc 7"/>
    <w:basedOn w:val="Normlny"/>
    <w:next w:val="Normlny"/>
    <w:autoRedefine/>
    <w:uiPriority w:val="39"/>
    <w:unhideWhenUsed/>
    <w:rsid w:val="00F1358C"/>
    <w:pPr>
      <w:spacing w:after="100" w:line="259" w:lineRule="auto"/>
      <w:ind w:left="1320"/>
    </w:pPr>
  </w:style>
  <w:style w:type="paragraph" w:styleId="Obsah8">
    <w:name w:val="toc 8"/>
    <w:basedOn w:val="Normlny"/>
    <w:next w:val="Normlny"/>
    <w:autoRedefine/>
    <w:uiPriority w:val="39"/>
    <w:unhideWhenUsed/>
    <w:rsid w:val="00F1358C"/>
    <w:pPr>
      <w:spacing w:after="100" w:line="259" w:lineRule="auto"/>
      <w:ind w:left="1540"/>
    </w:pPr>
  </w:style>
  <w:style w:type="paragraph" w:styleId="Obsah9">
    <w:name w:val="toc 9"/>
    <w:basedOn w:val="Normlny"/>
    <w:next w:val="Normlny"/>
    <w:autoRedefine/>
    <w:uiPriority w:val="39"/>
    <w:unhideWhenUsed/>
    <w:rsid w:val="00F1358C"/>
    <w:pPr>
      <w:spacing w:after="100" w:line="259" w:lineRule="auto"/>
      <w:ind w:left="1760"/>
    </w:pPr>
  </w:style>
  <w:style w:type="paragraph" w:customStyle="1" w:styleId="astandardsous-titre201">
    <w:name w:val="a_standard_sous-titre_20_1"/>
    <w:basedOn w:val="Normlny"/>
    <w:uiPriority w:val="99"/>
    <w:qFormat/>
    <w:rsid w:val="00A25E90"/>
    <w:pPr>
      <w:spacing w:before="120" w:after="120" w:line="240" w:lineRule="auto"/>
      <w:ind w:left="284" w:right="57"/>
      <w:jc w:val="both"/>
    </w:pPr>
    <w:rPr>
      <w:rFonts w:ascii="Times New Roman" w:hAnsi="Times New Roman"/>
      <w:b/>
      <w:bCs/>
      <w:sz w:val="24"/>
      <w:szCs w:val="24"/>
    </w:rPr>
  </w:style>
  <w:style w:type="paragraph" w:customStyle="1" w:styleId="Dash">
    <w:name w:val="Dash"/>
    <w:basedOn w:val="Normlny"/>
    <w:rsid w:val="009F4FDA"/>
    <w:pPr>
      <w:spacing w:before="120" w:after="120" w:line="360" w:lineRule="auto"/>
    </w:pPr>
    <w:rPr>
      <w:rFonts w:ascii="Times New Roman" w:hAnsi="Times New Roman"/>
      <w:sz w:val="24"/>
      <w:lang w:val="en-GB"/>
    </w:rPr>
  </w:style>
  <w:style w:type="paragraph" w:customStyle="1" w:styleId="CONTENT2">
    <w:name w:val="CONTENT2"/>
    <w:basedOn w:val="Normlny"/>
    <w:qFormat/>
    <w:rsid w:val="002B7CB7"/>
    <w:pPr>
      <w:spacing w:after="0" w:line="240" w:lineRule="auto"/>
      <w:jc w:val="both"/>
    </w:pPr>
    <w:rPr>
      <w:rFonts w:ascii="Times New Roman" w:hAnsi="Times New Roman"/>
      <w:b/>
      <w:sz w:val="24"/>
      <w:szCs w:val="28"/>
    </w:rPr>
  </w:style>
  <w:style w:type="paragraph" w:customStyle="1" w:styleId="footnotedescription">
    <w:name w:val="footnote description"/>
    <w:next w:val="Normlny"/>
    <w:link w:val="footnotedescriptionChar"/>
    <w:hidden/>
    <w:rsid w:val="00043D8B"/>
    <w:pPr>
      <w:spacing w:line="259" w:lineRule="auto"/>
      <w:jc w:val="both"/>
    </w:pPr>
    <w:rPr>
      <w:rFonts w:ascii="Times New Roman" w:hAnsi="Times New Roman" w:cs="Times New Roman"/>
      <w:color w:val="000000"/>
      <w:sz w:val="18"/>
      <w:szCs w:val="22"/>
    </w:rPr>
  </w:style>
  <w:style w:type="character" w:customStyle="1" w:styleId="footnotedescriptionChar">
    <w:name w:val="footnote description Char"/>
    <w:link w:val="footnotedescription"/>
    <w:locked/>
    <w:rsid w:val="00043D8B"/>
    <w:rPr>
      <w:rFonts w:ascii="Times New Roman" w:hAnsi="Times New Roman"/>
      <w:color w:val="000000"/>
      <w:sz w:val="22"/>
    </w:rPr>
  </w:style>
  <w:style w:type="table" w:customStyle="1" w:styleId="TableGrid">
    <w:name w:val="TableGrid"/>
    <w:rsid w:val="00043D8B"/>
    <w:rPr>
      <w:rFonts w:cs="Times New Roman"/>
      <w:sz w:val="22"/>
      <w:szCs w:val="22"/>
    </w:rPr>
    <w:tblPr>
      <w:tblCellMar>
        <w:top w:w="0" w:type="dxa"/>
        <w:left w:w="0" w:type="dxa"/>
        <w:bottom w:w="0" w:type="dxa"/>
        <w:right w:w="0" w:type="dxa"/>
      </w:tblCellMar>
    </w:tblPr>
  </w:style>
  <w:style w:type="character" w:customStyle="1" w:styleId="ablnaChar">
    <w:name w:val="Šablóna Char"/>
    <w:link w:val="ablna"/>
    <w:locked/>
    <w:rsid w:val="00043D8B"/>
    <w:rPr>
      <w:lang w:val="x-none" w:eastAsia="ar-SA" w:bidi="ar-SA"/>
    </w:rPr>
  </w:style>
  <w:style w:type="paragraph" w:customStyle="1" w:styleId="ablna">
    <w:name w:val="Šablóna"/>
    <w:basedOn w:val="Normlny"/>
    <w:link w:val="ablnaChar"/>
    <w:rsid w:val="00043D8B"/>
    <w:pPr>
      <w:spacing w:after="0" w:line="240" w:lineRule="auto"/>
      <w:ind w:right="-1"/>
      <w:jc w:val="both"/>
    </w:pPr>
    <w:rPr>
      <w:color w:val="auto"/>
      <w:sz w:val="20"/>
      <w:szCs w:val="20"/>
      <w:lang w:eastAsia="ar-SA"/>
    </w:rPr>
  </w:style>
  <w:style w:type="character" w:customStyle="1" w:styleId="footnotemark">
    <w:name w:val="footnote mark"/>
    <w:hidden/>
    <w:rsid w:val="00043D8B"/>
    <w:rPr>
      <w:rFonts w:ascii="Times New Roman" w:hAnsi="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089188">
      <w:marLeft w:val="0"/>
      <w:marRight w:val="0"/>
      <w:marTop w:val="0"/>
      <w:marBottom w:val="0"/>
      <w:divBdr>
        <w:top w:val="none" w:sz="0" w:space="0" w:color="auto"/>
        <w:left w:val="none" w:sz="0" w:space="0" w:color="auto"/>
        <w:bottom w:val="none" w:sz="0" w:space="0" w:color="auto"/>
        <w:right w:val="none" w:sz="0" w:space="0" w:color="auto"/>
      </w:divBdr>
    </w:div>
    <w:div w:id="1610089189">
      <w:marLeft w:val="0"/>
      <w:marRight w:val="0"/>
      <w:marTop w:val="0"/>
      <w:marBottom w:val="0"/>
      <w:divBdr>
        <w:top w:val="none" w:sz="0" w:space="0" w:color="auto"/>
        <w:left w:val="none" w:sz="0" w:space="0" w:color="auto"/>
        <w:bottom w:val="none" w:sz="0" w:space="0" w:color="auto"/>
        <w:right w:val="none" w:sz="0" w:space="0" w:color="auto"/>
      </w:divBdr>
    </w:div>
    <w:div w:id="1610089190">
      <w:marLeft w:val="0"/>
      <w:marRight w:val="0"/>
      <w:marTop w:val="0"/>
      <w:marBottom w:val="0"/>
      <w:divBdr>
        <w:top w:val="none" w:sz="0" w:space="0" w:color="auto"/>
        <w:left w:val="none" w:sz="0" w:space="0" w:color="auto"/>
        <w:bottom w:val="none" w:sz="0" w:space="0" w:color="auto"/>
        <w:right w:val="none" w:sz="0" w:space="0" w:color="auto"/>
      </w:divBdr>
    </w:div>
    <w:div w:id="1610089191">
      <w:marLeft w:val="0"/>
      <w:marRight w:val="0"/>
      <w:marTop w:val="0"/>
      <w:marBottom w:val="0"/>
      <w:divBdr>
        <w:top w:val="none" w:sz="0" w:space="0" w:color="auto"/>
        <w:left w:val="none" w:sz="0" w:space="0" w:color="auto"/>
        <w:bottom w:val="none" w:sz="0" w:space="0" w:color="auto"/>
        <w:right w:val="none" w:sz="0" w:space="0" w:color="auto"/>
      </w:divBdr>
    </w:div>
    <w:div w:id="1610089192">
      <w:marLeft w:val="0"/>
      <w:marRight w:val="0"/>
      <w:marTop w:val="0"/>
      <w:marBottom w:val="0"/>
      <w:divBdr>
        <w:top w:val="none" w:sz="0" w:space="0" w:color="auto"/>
        <w:left w:val="none" w:sz="0" w:space="0" w:color="auto"/>
        <w:bottom w:val="none" w:sz="0" w:space="0" w:color="auto"/>
        <w:right w:val="none" w:sz="0" w:space="0" w:color="auto"/>
      </w:divBdr>
    </w:div>
    <w:div w:id="1610089193">
      <w:marLeft w:val="0"/>
      <w:marRight w:val="0"/>
      <w:marTop w:val="0"/>
      <w:marBottom w:val="0"/>
      <w:divBdr>
        <w:top w:val="none" w:sz="0" w:space="0" w:color="auto"/>
        <w:left w:val="none" w:sz="0" w:space="0" w:color="auto"/>
        <w:bottom w:val="none" w:sz="0" w:space="0" w:color="auto"/>
        <w:right w:val="none" w:sz="0" w:space="0" w:color="auto"/>
      </w:divBdr>
    </w:div>
    <w:div w:id="1610089194">
      <w:marLeft w:val="0"/>
      <w:marRight w:val="0"/>
      <w:marTop w:val="0"/>
      <w:marBottom w:val="0"/>
      <w:divBdr>
        <w:top w:val="none" w:sz="0" w:space="0" w:color="auto"/>
        <w:left w:val="none" w:sz="0" w:space="0" w:color="auto"/>
        <w:bottom w:val="none" w:sz="0" w:space="0" w:color="auto"/>
        <w:right w:val="none" w:sz="0" w:space="0" w:color="auto"/>
      </w:divBdr>
    </w:div>
    <w:div w:id="1610089195">
      <w:marLeft w:val="0"/>
      <w:marRight w:val="0"/>
      <w:marTop w:val="0"/>
      <w:marBottom w:val="0"/>
      <w:divBdr>
        <w:top w:val="none" w:sz="0" w:space="0" w:color="auto"/>
        <w:left w:val="none" w:sz="0" w:space="0" w:color="auto"/>
        <w:bottom w:val="none" w:sz="0" w:space="0" w:color="auto"/>
        <w:right w:val="none" w:sz="0" w:space="0" w:color="auto"/>
      </w:divBdr>
    </w:div>
    <w:div w:id="1610089196">
      <w:marLeft w:val="0"/>
      <w:marRight w:val="0"/>
      <w:marTop w:val="0"/>
      <w:marBottom w:val="0"/>
      <w:divBdr>
        <w:top w:val="none" w:sz="0" w:space="0" w:color="auto"/>
        <w:left w:val="none" w:sz="0" w:space="0" w:color="auto"/>
        <w:bottom w:val="none" w:sz="0" w:space="0" w:color="auto"/>
        <w:right w:val="none" w:sz="0" w:space="0" w:color="auto"/>
      </w:divBdr>
    </w:div>
    <w:div w:id="1610089197">
      <w:marLeft w:val="0"/>
      <w:marRight w:val="0"/>
      <w:marTop w:val="0"/>
      <w:marBottom w:val="0"/>
      <w:divBdr>
        <w:top w:val="none" w:sz="0" w:space="0" w:color="auto"/>
        <w:left w:val="none" w:sz="0" w:space="0" w:color="auto"/>
        <w:bottom w:val="none" w:sz="0" w:space="0" w:color="auto"/>
        <w:right w:val="none" w:sz="0" w:space="0" w:color="auto"/>
      </w:divBdr>
    </w:div>
    <w:div w:id="1610089198">
      <w:marLeft w:val="0"/>
      <w:marRight w:val="0"/>
      <w:marTop w:val="0"/>
      <w:marBottom w:val="0"/>
      <w:divBdr>
        <w:top w:val="none" w:sz="0" w:space="0" w:color="auto"/>
        <w:left w:val="none" w:sz="0" w:space="0" w:color="auto"/>
        <w:bottom w:val="none" w:sz="0" w:space="0" w:color="auto"/>
        <w:right w:val="none" w:sz="0" w:space="0" w:color="auto"/>
      </w:divBdr>
    </w:div>
    <w:div w:id="1610089199">
      <w:marLeft w:val="0"/>
      <w:marRight w:val="0"/>
      <w:marTop w:val="0"/>
      <w:marBottom w:val="0"/>
      <w:divBdr>
        <w:top w:val="none" w:sz="0" w:space="0" w:color="auto"/>
        <w:left w:val="none" w:sz="0" w:space="0" w:color="auto"/>
        <w:bottom w:val="none" w:sz="0" w:space="0" w:color="auto"/>
        <w:right w:val="none" w:sz="0" w:space="0" w:color="auto"/>
      </w:divBdr>
    </w:div>
    <w:div w:id="1610089200">
      <w:marLeft w:val="0"/>
      <w:marRight w:val="0"/>
      <w:marTop w:val="0"/>
      <w:marBottom w:val="0"/>
      <w:divBdr>
        <w:top w:val="none" w:sz="0" w:space="0" w:color="auto"/>
        <w:left w:val="none" w:sz="0" w:space="0" w:color="auto"/>
        <w:bottom w:val="none" w:sz="0" w:space="0" w:color="auto"/>
        <w:right w:val="none" w:sz="0" w:space="0" w:color="auto"/>
      </w:divBdr>
    </w:div>
    <w:div w:id="1610089201">
      <w:marLeft w:val="0"/>
      <w:marRight w:val="0"/>
      <w:marTop w:val="0"/>
      <w:marBottom w:val="0"/>
      <w:divBdr>
        <w:top w:val="none" w:sz="0" w:space="0" w:color="auto"/>
        <w:left w:val="none" w:sz="0" w:space="0" w:color="auto"/>
        <w:bottom w:val="none" w:sz="0" w:space="0" w:color="auto"/>
        <w:right w:val="none" w:sz="0" w:space="0" w:color="auto"/>
      </w:divBdr>
    </w:div>
    <w:div w:id="1610089202">
      <w:marLeft w:val="0"/>
      <w:marRight w:val="0"/>
      <w:marTop w:val="0"/>
      <w:marBottom w:val="0"/>
      <w:divBdr>
        <w:top w:val="none" w:sz="0" w:space="0" w:color="auto"/>
        <w:left w:val="none" w:sz="0" w:space="0" w:color="auto"/>
        <w:bottom w:val="none" w:sz="0" w:space="0" w:color="auto"/>
        <w:right w:val="none" w:sz="0" w:space="0" w:color="auto"/>
      </w:divBdr>
    </w:div>
    <w:div w:id="1610089203">
      <w:marLeft w:val="0"/>
      <w:marRight w:val="0"/>
      <w:marTop w:val="0"/>
      <w:marBottom w:val="0"/>
      <w:divBdr>
        <w:top w:val="none" w:sz="0" w:space="0" w:color="auto"/>
        <w:left w:val="none" w:sz="0" w:space="0" w:color="auto"/>
        <w:bottom w:val="none" w:sz="0" w:space="0" w:color="auto"/>
        <w:right w:val="none" w:sz="0" w:space="0" w:color="auto"/>
      </w:divBdr>
    </w:div>
    <w:div w:id="1610089204">
      <w:marLeft w:val="0"/>
      <w:marRight w:val="0"/>
      <w:marTop w:val="0"/>
      <w:marBottom w:val="0"/>
      <w:divBdr>
        <w:top w:val="none" w:sz="0" w:space="0" w:color="auto"/>
        <w:left w:val="none" w:sz="0" w:space="0" w:color="auto"/>
        <w:bottom w:val="none" w:sz="0" w:space="0" w:color="auto"/>
        <w:right w:val="none" w:sz="0" w:space="0" w:color="auto"/>
      </w:divBdr>
    </w:div>
    <w:div w:id="1610089205">
      <w:marLeft w:val="0"/>
      <w:marRight w:val="0"/>
      <w:marTop w:val="0"/>
      <w:marBottom w:val="0"/>
      <w:divBdr>
        <w:top w:val="none" w:sz="0" w:space="0" w:color="auto"/>
        <w:left w:val="none" w:sz="0" w:space="0" w:color="auto"/>
        <w:bottom w:val="none" w:sz="0" w:space="0" w:color="auto"/>
        <w:right w:val="none" w:sz="0" w:space="0" w:color="auto"/>
      </w:divBdr>
    </w:div>
    <w:div w:id="1610089206">
      <w:marLeft w:val="0"/>
      <w:marRight w:val="0"/>
      <w:marTop w:val="0"/>
      <w:marBottom w:val="0"/>
      <w:divBdr>
        <w:top w:val="none" w:sz="0" w:space="0" w:color="auto"/>
        <w:left w:val="none" w:sz="0" w:space="0" w:color="auto"/>
        <w:bottom w:val="none" w:sz="0" w:space="0" w:color="auto"/>
        <w:right w:val="none" w:sz="0" w:space="0" w:color="auto"/>
      </w:divBdr>
    </w:div>
    <w:div w:id="1610089207">
      <w:marLeft w:val="0"/>
      <w:marRight w:val="0"/>
      <w:marTop w:val="0"/>
      <w:marBottom w:val="0"/>
      <w:divBdr>
        <w:top w:val="none" w:sz="0" w:space="0" w:color="auto"/>
        <w:left w:val="none" w:sz="0" w:space="0" w:color="auto"/>
        <w:bottom w:val="none" w:sz="0" w:space="0" w:color="auto"/>
        <w:right w:val="none" w:sz="0" w:space="0" w:color="auto"/>
      </w:divBdr>
    </w:div>
    <w:div w:id="1610089208">
      <w:marLeft w:val="0"/>
      <w:marRight w:val="0"/>
      <w:marTop w:val="0"/>
      <w:marBottom w:val="0"/>
      <w:divBdr>
        <w:top w:val="none" w:sz="0" w:space="0" w:color="auto"/>
        <w:left w:val="none" w:sz="0" w:space="0" w:color="auto"/>
        <w:bottom w:val="none" w:sz="0" w:space="0" w:color="auto"/>
        <w:right w:val="none" w:sz="0" w:space="0" w:color="auto"/>
      </w:divBdr>
    </w:div>
    <w:div w:id="1610089209">
      <w:marLeft w:val="0"/>
      <w:marRight w:val="0"/>
      <w:marTop w:val="0"/>
      <w:marBottom w:val="0"/>
      <w:divBdr>
        <w:top w:val="none" w:sz="0" w:space="0" w:color="auto"/>
        <w:left w:val="none" w:sz="0" w:space="0" w:color="auto"/>
        <w:bottom w:val="none" w:sz="0" w:space="0" w:color="auto"/>
        <w:right w:val="none" w:sz="0" w:space="0" w:color="auto"/>
      </w:divBdr>
    </w:div>
    <w:div w:id="1610089210">
      <w:marLeft w:val="0"/>
      <w:marRight w:val="0"/>
      <w:marTop w:val="0"/>
      <w:marBottom w:val="0"/>
      <w:divBdr>
        <w:top w:val="none" w:sz="0" w:space="0" w:color="auto"/>
        <w:left w:val="none" w:sz="0" w:space="0" w:color="auto"/>
        <w:bottom w:val="none" w:sz="0" w:space="0" w:color="auto"/>
        <w:right w:val="none" w:sz="0" w:space="0" w:color="auto"/>
      </w:divBdr>
    </w:div>
    <w:div w:id="1610089211">
      <w:marLeft w:val="0"/>
      <w:marRight w:val="0"/>
      <w:marTop w:val="0"/>
      <w:marBottom w:val="0"/>
      <w:divBdr>
        <w:top w:val="none" w:sz="0" w:space="0" w:color="auto"/>
        <w:left w:val="none" w:sz="0" w:space="0" w:color="auto"/>
        <w:bottom w:val="none" w:sz="0" w:space="0" w:color="auto"/>
        <w:right w:val="none" w:sz="0" w:space="0" w:color="auto"/>
      </w:divBdr>
    </w:div>
    <w:div w:id="1610089212">
      <w:marLeft w:val="0"/>
      <w:marRight w:val="0"/>
      <w:marTop w:val="0"/>
      <w:marBottom w:val="0"/>
      <w:divBdr>
        <w:top w:val="none" w:sz="0" w:space="0" w:color="auto"/>
        <w:left w:val="none" w:sz="0" w:space="0" w:color="auto"/>
        <w:bottom w:val="none" w:sz="0" w:space="0" w:color="auto"/>
        <w:right w:val="none" w:sz="0" w:space="0" w:color="auto"/>
      </w:divBdr>
    </w:div>
    <w:div w:id="1610089213">
      <w:marLeft w:val="0"/>
      <w:marRight w:val="0"/>
      <w:marTop w:val="0"/>
      <w:marBottom w:val="0"/>
      <w:divBdr>
        <w:top w:val="none" w:sz="0" w:space="0" w:color="auto"/>
        <w:left w:val="none" w:sz="0" w:space="0" w:color="auto"/>
        <w:bottom w:val="none" w:sz="0" w:space="0" w:color="auto"/>
        <w:right w:val="none" w:sz="0" w:space="0" w:color="auto"/>
      </w:divBdr>
    </w:div>
    <w:div w:id="1610089214">
      <w:marLeft w:val="0"/>
      <w:marRight w:val="0"/>
      <w:marTop w:val="0"/>
      <w:marBottom w:val="0"/>
      <w:divBdr>
        <w:top w:val="none" w:sz="0" w:space="0" w:color="auto"/>
        <w:left w:val="none" w:sz="0" w:space="0" w:color="auto"/>
        <w:bottom w:val="none" w:sz="0" w:space="0" w:color="auto"/>
        <w:right w:val="none" w:sz="0" w:space="0" w:color="auto"/>
      </w:divBdr>
    </w:div>
    <w:div w:id="1610089215">
      <w:marLeft w:val="0"/>
      <w:marRight w:val="0"/>
      <w:marTop w:val="0"/>
      <w:marBottom w:val="0"/>
      <w:divBdr>
        <w:top w:val="none" w:sz="0" w:space="0" w:color="auto"/>
        <w:left w:val="none" w:sz="0" w:space="0" w:color="auto"/>
        <w:bottom w:val="none" w:sz="0" w:space="0" w:color="auto"/>
        <w:right w:val="none" w:sz="0" w:space="0" w:color="auto"/>
      </w:divBdr>
    </w:div>
    <w:div w:id="1610089216">
      <w:marLeft w:val="0"/>
      <w:marRight w:val="0"/>
      <w:marTop w:val="0"/>
      <w:marBottom w:val="0"/>
      <w:divBdr>
        <w:top w:val="none" w:sz="0" w:space="0" w:color="auto"/>
        <w:left w:val="none" w:sz="0" w:space="0" w:color="auto"/>
        <w:bottom w:val="none" w:sz="0" w:space="0" w:color="auto"/>
        <w:right w:val="none" w:sz="0" w:space="0" w:color="auto"/>
      </w:divBdr>
    </w:div>
    <w:div w:id="1610089217">
      <w:marLeft w:val="0"/>
      <w:marRight w:val="0"/>
      <w:marTop w:val="0"/>
      <w:marBottom w:val="0"/>
      <w:divBdr>
        <w:top w:val="none" w:sz="0" w:space="0" w:color="auto"/>
        <w:left w:val="none" w:sz="0" w:space="0" w:color="auto"/>
        <w:bottom w:val="none" w:sz="0" w:space="0" w:color="auto"/>
        <w:right w:val="none" w:sz="0" w:space="0" w:color="auto"/>
      </w:divBdr>
    </w:div>
    <w:div w:id="1610089218">
      <w:marLeft w:val="0"/>
      <w:marRight w:val="0"/>
      <w:marTop w:val="0"/>
      <w:marBottom w:val="0"/>
      <w:divBdr>
        <w:top w:val="none" w:sz="0" w:space="0" w:color="auto"/>
        <w:left w:val="none" w:sz="0" w:space="0" w:color="auto"/>
        <w:bottom w:val="none" w:sz="0" w:space="0" w:color="auto"/>
        <w:right w:val="none" w:sz="0" w:space="0" w:color="auto"/>
      </w:divBdr>
    </w:div>
    <w:div w:id="1610089219">
      <w:marLeft w:val="0"/>
      <w:marRight w:val="0"/>
      <w:marTop w:val="0"/>
      <w:marBottom w:val="0"/>
      <w:divBdr>
        <w:top w:val="none" w:sz="0" w:space="0" w:color="auto"/>
        <w:left w:val="none" w:sz="0" w:space="0" w:color="auto"/>
        <w:bottom w:val="none" w:sz="0" w:space="0" w:color="auto"/>
        <w:right w:val="none" w:sz="0" w:space="0" w:color="auto"/>
      </w:divBdr>
    </w:div>
    <w:div w:id="1610089220">
      <w:marLeft w:val="0"/>
      <w:marRight w:val="0"/>
      <w:marTop w:val="0"/>
      <w:marBottom w:val="0"/>
      <w:divBdr>
        <w:top w:val="none" w:sz="0" w:space="0" w:color="auto"/>
        <w:left w:val="none" w:sz="0" w:space="0" w:color="auto"/>
        <w:bottom w:val="none" w:sz="0" w:space="0" w:color="auto"/>
        <w:right w:val="none" w:sz="0" w:space="0" w:color="auto"/>
      </w:divBdr>
    </w:div>
    <w:div w:id="1610089221">
      <w:marLeft w:val="0"/>
      <w:marRight w:val="0"/>
      <w:marTop w:val="0"/>
      <w:marBottom w:val="0"/>
      <w:divBdr>
        <w:top w:val="none" w:sz="0" w:space="0" w:color="auto"/>
        <w:left w:val="none" w:sz="0" w:space="0" w:color="auto"/>
        <w:bottom w:val="none" w:sz="0" w:space="0" w:color="auto"/>
        <w:right w:val="none" w:sz="0" w:space="0" w:color="auto"/>
      </w:divBdr>
    </w:div>
    <w:div w:id="1610089222">
      <w:marLeft w:val="0"/>
      <w:marRight w:val="0"/>
      <w:marTop w:val="0"/>
      <w:marBottom w:val="0"/>
      <w:divBdr>
        <w:top w:val="none" w:sz="0" w:space="0" w:color="auto"/>
        <w:left w:val="none" w:sz="0" w:space="0" w:color="auto"/>
        <w:bottom w:val="none" w:sz="0" w:space="0" w:color="auto"/>
        <w:right w:val="none" w:sz="0" w:space="0" w:color="auto"/>
      </w:divBdr>
    </w:div>
    <w:div w:id="1610089223">
      <w:marLeft w:val="0"/>
      <w:marRight w:val="0"/>
      <w:marTop w:val="0"/>
      <w:marBottom w:val="0"/>
      <w:divBdr>
        <w:top w:val="none" w:sz="0" w:space="0" w:color="auto"/>
        <w:left w:val="none" w:sz="0" w:space="0" w:color="auto"/>
        <w:bottom w:val="none" w:sz="0" w:space="0" w:color="auto"/>
        <w:right w:val="none" w:sz="0" w:space="0" w:color="auto"/>
      </w:divBdr>
    </w:div>
    <w:div w:id="1610089224">
      <w:marLeft w:val="0"/>
      <w:marRight w:val="0"/>
      <w:marTop w:val="0"/>
      <w:marBottom w:val="0"/>
      <w:divBdr>
        <w:top w:val="none" w:sz="0" w:space="0" w:color="auto"/>
        <w:left w:val="none" w:sz="0" w:space="0" w:color="auto"/>
        <w:bottom w:val="none" w:sz="0" w:space="0" w:color="auto"/>
        <w:right w:val="none" w:sz="0" w:space="0" w:color="auto"/>
      </w:divBdr>
    </w:div>
    <w:div w:id="1610089225">
      <w:marLeft w:val="0"/>
      <w:marRight w:val="0"/>
      <w:marTop w:val="0"/>
      <w:marBottom w:val="0"/>
      <w:divBdr>
        <w:top w:val="none" w:sz="0" w:space="0" w:color="auto"/>
        <w:left w:val="none" w:sz="0" w:space="0" w:color="auto"/>
        <w:bottom w:val="none" w:sz="0" w:space="0" w:color="auto"/>
        <w:right w:val="none" w:sz="0" w:space="0" w:color="auto"/>
      </w:divBdr>
    </w:div>
    <w:div w:id="1610089226">
      <w:marLeft w:val="0"/>
      <w:marRight w:val="0"/>
      <w:marTop w:val="0"/>
      <w:marBottom w:val="0"/>
      <w:divBdr>
        <w:top w:val="none" w:sz="0" w:space="0" w:color="auto"/>
        <w:left w:val="none" w:sz="0" w:space="0" w:color="auto"/>
        <w:bottom w:val="none" w:sz="0" w:space="0" w:color="auto"/>
        <w:right w:val="none" w:sz="0" w:space="0" w:color="auto"/>
      </w:divBdr>
    </w:div>
    <w:div w:id="1610089227">
      <w:marLeft w:val="0"/>
      <w:marRight w:val="0"/>
      <w:marTop w:val="0"/>
      <w:marBottom w:val="0"/>
      <w:divBdr>
        <w:top w:val="none" w:sz="0" w:space="0" w:color="auto"/>
        <w:left w:val="none" w:sz="0" w:space="0" w:color="auto"/>
        <w:bottom w:val="none" w:sz="0" w:space="0" w:color="auto"/>
        <w:right w:val="none" w:sz="0" w:space="0" w:color="auto"/>
      </w:divBdr>
    </w:div>
    <w:div w:id="1610089228">
      <w:marLeft w:val="0"/>
      <w:marRight w:val="0"/>
      <w:marTop w:val="0"/>
      <w:marBottom w:val="0"/>
      <w:divBdr>
        <w:top w:val="none" w:sz="0" w:space="0" w:color="auto"/>
        <w:left w:val="none" w:sz="0" w:space="0" w:color="auto"/>
        <w:bottom w:val="none" w:sz="0" w:space="0" w:color="auto"/>
        <w:right w:val="none" w:sz="0" w:space="0" w:color="auto"/>
      </w:divBdr>
    </w:div>
    <w:div w:id="1610089229">
      <w:marLeft w:val="0"/>
      <w:marRight w:val="0"/>
      <w:marTop w:val="0"/>
      <w:marBottom w:val="0"/>
      <w:divBdr>
        <w:top w:val="none" w:sz="0" w:space="0" w:color="auto"/>
        <w:left w:val="none" w:sz="0" w:space="0" w:color="auto"/>
        <w:bottom w:val="none" w:sz="0" w:space="0" w:color="auto"/>
        <w:right w:val="none" w:sz="0" w:space="0" w:color="auto"/>
      </w:divBdr>
    </w:div>
    <w:div w:id="1610089230">
      <w:marLeft w:val="0"/>
      <w:marRight w:val="0"/>
      <w:marTop w:val="0"/>
      <w:marBottom w:val="0"/>
      <w:divBdr>
        <w:top w:val="none" w:sz="0" w:space="0" w:color="auto"/>
        <w:left w:val="none" w:sz="0" w:space="0" w:color="auto"/>
        <w:bottom w:val="none" w:sz="0" w:space="0" w:color="auto"/>
        <w:right w:val="none" w:sz="0" w:space="0" w:color="auto"/>
      </w:divBdr>
    </w:div>
    <w:div w:id="1610089231">
      <w:marLeft w:val="0"/>
      <w:marRight w:val="0"/>
      <w:marTop w:val="0"/>
      <w:marBottom w:val="0"/>
      <w:divBdr>
        <w:top w:val="none" w:sz="0" w:space="0" w:color="auto"/>
        <w:left w:val="none" w:sz="0" w:space="0" w:color="auto"/>
        <w:bottom w:val="none" w:sz="0" w:space="0" w:color="auto"/>
        <w:right w:val="none" w:sz="0" w:space="0" w:color="auto"/>
      </w:divBdr>
    </w:div>
    <w:div w:id="1610089232">
      <w:marLeft w:val="0"/>
      <w:marRight w:val="0"/>
      <w:marTop w:val="0"/>
      <w:marBottom w:val="0"/>
      <w:divBdr>
        <w:top w:val="none" w:sz="0" w:space="0" w:color="auto"/>
        <w:left w:val="none" w:sz="0" w:space="0" w:color="auto"/>
        <w:bottom w:val="none" w:sz="0" w:space="0" w:color="auto"/>
        <w:right w:val="none" w:sz="0" w:space="0" w:color="auto"/>
      </w:divBdr>
    </w:div>
    <w:div w:id="1610089233">
      <w:marLeft w:val="0"/>
      <w:marRight w:val="0"/>
      <w:marTop w:val="0"/>
      <w:marBottom w:val="0"/>
      <w:divBdr>
        <w:top w:val="none" w:sz="0" w:space="0" w:color="auto"/>
        <w:left w:val="none" w:sz="0" w:space="0" w:color="auto"/>
        <w:bottom w:val="none" w:sz="0" w:space="0" w:color="auto"/>
        <w:right w:val="none" w:sz="0" w:space="0" w:color="auto"/>
      </w:divBdr>
    </w:div>
    <w:div w:id="1610089234">
      <w:marLeft w:val="0"/>
      <w:marRight w:val="0"/>
      <w:marTop w:val="0"/>
      <w:marBottom w:val="0"/>
      <w:divBdr>
        <w:top w:val="none" w:sz="0" w:space="0" w:color="auto"/>
        <w:left w:val="none" w:sz="0" w:space="0" w:color="auto"/>
        <w:bottom w:val="none" w:sz="0" w:space="0" w:color="auto"/>
        <w:right w:val="none" w:sz="0" w:space="0" w:color="auto"/>
      </w:divBdr>
    </w:div>
    <w:div w:id="1610089235">
      <w:marLeft w:val="0"/>
      <w:marRight w:val="0"/>
      <w:marTop w:val="0"/>
      <w:marBottom w:val="0"/>
      <w:divBdr>
        <w:top w:val="none" w:sz="0" w:space="0" w:color="auto"/>
        <w:left w:val="none" w:sz="0" w:space="0" w:color="auto"/>
        <w:bottom w:val="none" w:sz="0" w:space="0" w:color="auto"/>
        <w:right w:val="none" w:sz="0" w:space="0" w:color="auto"/>
      </w:divBdr>
    </w:div>
    <w:div w:id="1610089236">
      <w:marLeft w:val="0"/>
      <w:marRight w:val="0"/>
      <w:marTop w:val="0"/>
      <w:marBottom w:val="0"/>
      <w:divBdr>
        <w:top w:val="none" w:sz="0" w:space="0" w:color="auto"/>
        <w:left w:val="none" w:sz="0" w:space="0" w:color="auto"/>
        <w:bottom w:val="none" w:sz="0" w:space="0" w:color="auto"/>
        <w:right w:val="none" w:sz="0" w:space="0" w:color="auto"/>
      </w:divBdr>
    </w:div>
    <w:div w:id="1610089237">
      <w:marLeft w:val="0"/>
      <w:marRight w:val="0"/>
      <w:marTop w:val="0"/>
      <w:marBottom w:val="0"/>
      <w:divBdr>
        <w:top w:val="none" w:sz="0" w:space="0" w:color="auto"/>
        <w:left w:val="none" w:sz="0" w:space="0" w:color="auto"/>
        <w:bottom w:val="none" w:sz="0" w:space="0" w:color="auto"/>
        <w:right w:val="none" w:sz="0" w:space="0" w:color="auto"/>
      </w:divBdr>
    </w:div>
    <w:div w:id="1610089238">
      <w:marLeft w:val="0"/>
      <w:marRight w:val="0"/>
      <w:marTop w:val="0"/>
      <w:marBottom w:val="0"/>
      <w:divBdr>
        <w:top w:val="none" w:sz="0" w:space="0" w:color="auto"/>
        <w:left w:val="none" w:sz="0" w:space="0" w:color="auto"/>
        <w:bottom w:val="none" w:sz="0" w:space="0" w:color="auto"/>
        <w:right w:val="none" w:sz="0" w:space="0" w:color="auto"/>
      </w:divBdr>
    </w:div>
    <w:div w:id="1610089239">
      <w:marLeft w:val="0"/>
      <w:marRight w:val="0"/>
      <w:marTop w:val="0"/>
      <w:marBottom w:val="0"/>
      <w:divBdr>
        <w:top w:val="none" w:sz="0" w:space="0" w:color="auto"/>
        <w:left w:val="none" w:sz="0" w:space="0" w:color="auto"/>
        <w:bottom w:val="none" w:sz="0" w:space="0" w:color="auto"/>
        <w:right w:val="none" w:sz="0" w:space="0" w:color="auto"/>
      </w:divBdr>
    </w:div>
    <w:div w:id="1610089240">
      <w:marLeft w:val="0"/>
      <w:marRight w:val="0"/>
      <w:marTop w:val="0"/>
      <w:marBottom w:val="0"/>
      <w:divBdr>
        <w:top w:val="none" w:sz="0" w:space="0" w:color="auto"/>
        <w:left w:val="none" w:sz="0" w:space="0" w:color="auto"/>
        <w:bottom w:val="none" w:sz="0" w:space="0" w:color="auto"/>
        <w:right w:val="none" w:sz="0" w:space="0" w:color="auto"/>
      </w:divBdr>
    </w:div>
    <w:div w:id="1610089241">
      <w:marLeft w:val="0"/>
      <w:marRight w:val="0"/>
      <w:marTop w:val="0"/>
      <w:marBottom w:val="0"/>
      <w:divBdr>
        <w:top w:val="none" w:sz="0" w:space="0" w:color="auto"/>
        <w:left w:val="none" w:sz="0" w:space="0" w:color="auto"/>
        <w:bottom w:val="none" w:sz="0" w:space="0" w:color="auto"/>
        <w:right w:val="none" w:sz="0" w:space="0" w:color="auto"/>
      </w:divBdr>
    </w:div>
    <w:div w:id="1610089242">
      <w:marLeft w:val="0"/>
      <w:marRight w:val="0"/>
      <w:marTop w:val="0"/>
      <w:marBottom w:val="0"/>
      <w:divBdr>
        <w:top w:val="none" w:sz="0" w:space="0" w:color="auto"/>
        <w:left w:val="none" w:sz="0" w:space="0" w:color="auto"/>
        <w:bottom w:val="none" w:sz="0" w:space="0" w:color="auto"/>
        <w:right w:val="none" w:sz="0" w:space="0" w:color="auto"/>
      </w:divBdr>
    </w:div>
    <w:div w:id="1610089243">
      <w:marLeft w:val="0"/>
      <w:marRight w:val="0"/>
      <w:marTop w:val="0"/>
      <w:marBottom w:val="0"/>
      <w:divBdr>
        <w:top w:val="none" w:sz="0" w:space="0" w:color="auto"/>
        <w:left w:val="none" w:sz="0" w:space="0" w:color="auto"/>
        <w:bottom w:val="none" w:sz="0" w:space="0" w:color="auto"/>
        <w:right w:val="none" w:sz="0" w:space="0" w:color="auto"/>
      </w:divBdr>
    </w:div>
    <w:div w:id="1610089244">
      <w:marLeft w:val="0"/>
      <w:marRight w:val="0"/>
      <w:marTop w:val="0"/>
      <w:marBottom w:val="0"/>
      <w:divBdr>
        <w:top w:val="none" w:sz="0" w:space="0" w:color="auto"/>
        <w:left w:val="none" w:sz="0" w:space="0" w:color="auto"/>
        <w:bottom w:val="none" w:sz="0" w:space="0" w:color="auto"/>
        <w:right w:val="none" w:sz="0" w:space="0" w:color="auto"/>
      </w:divBdr>
    </w:div>
    <w:div w:id="1610089245">
      <w:marLeft w:val="0"/>
      <w:marRight w:val="0"/>
      <w:marTop w:val="0"/>
      <w:marBottom w:val="0"/>
      <w:divBdr>
        <w:top w:val="none" w:sz="0" w:space="0" w:color="auto"/>
        <w:left w:val="none" w:sz="0" w:space="0" w:color="auto"/>
        <w:bottom w:val="none" w:sz="0" w:space="0" w:color="auto"/>
        <w:right w:val="none" w:sz="0" w:space="0" w:color="auto"/>
      </w:divBdr>
    </w:div>
    <w:div w:id="1610089246">
      <w:marLeft w:val="0"/>
      <w:marRight w:val="0"/>
      <w:marTop w:val="0"/>
      <w:marBottom w:val="0"/>
      <w:divBdr>
        <w:top w:val="none" w:sz="0" w:space="0" w:color="auto"/>
        <w:left w:val="none" w:sz="0" w:space="0" w:color="auto"/>
        <w:bottom w:val="none" w:sz="0" w:space="0" w:color="auto"/>
        <w:right w:val="none" w:sz="0" w:space="0" w:color="auto"/>
      </w:divBdr>
    </w:div>
    <w:div w:id="1610089247">
      <w:marLeft w:val="0"/>
      <w:marRight w:val="0"/>
      <w:marTop w:val="0"/>
      <w:marBottom w:val="0"/>
      <w:divBdr>
        <w:top w:val="none" w:sz="0" w:space="0" w:color="auto"/>
        <w:left w:val="none" w:sz="0" w:space="0" w:color="auto"/>
        <w:bottom w:val="none" w:sz="0" w:space="0" w:color="auto"/>
        <w:right w:val="none" w:sz="0" w:space="0" w:color="auto"/>
      </w:divBdr>
    </w:div>
    <w:div w:id="1610089248">
      <w:marLeft w:val="0"/>
      <w:marRight w:val="0"/>
      <w:marTop w:val="0"/>
      <w:marBottom w:val="0"/>
      <w:divBdr>
        <w:top w:val="none" w:sz="0" w:space="0" w:color="auto"/>
        <w:left w:val="none" w:sz="0" w:space="0" w:color="auto"/>
        <w:bottom w:val="none" w:sz="0" w:space="0" w:color="auto"/>
        <w:right w:val="none" w:sz="0" w:space="0" w:color="auto"/>
      </w:divBdr>
    </w:div>
    <w:div w:id="1610089249">
      <w:marLeft w:val="0"/>
      <w:marRight w:val="0"/>
      <w:marTop w:val="0"/>
      <w:marBottom w:val="0"/>
      <w:divBdr>
        <w:top w:val="none" w:sz="0" w:space="0" w:color="auto"/>
        <w:left w:val="none" w:sz="0" w:space="0" w:color="auto"/>
        <w:bottom w:val="none" w:sz="0" w:space="0" w:color="auto"/>
        <w:right w:val="none" w:sz="0" w:space="0" w:color="auto"/>
      </w:divBdr>
    </w:div>
    <w:div w:id="1610089250">
      <w:marLeft w:val="0"/>
      <w:marRight w:val="0"/>
      <w:marTop w:val="0"/>
      <w:marBottom w:val="0"/>
      <w:divBdr>
        <w:top w:val="none" w:sz="0" w:space="0" w:color="auto"/>
        <w:left w:val="none" w:sz="0" w:space="0" w:color="auto"/>
        <w:bottom w:val="none" w:sz="0" w:space="0" w:color="auto"/>
        <w:right w:val="none" w:sz="0" w:space="0" w:color="auto"/>
      </w:divBdr>
    </w:div>
    <w:div w:id="1610089251">
      <w:marLeft w:val="0"/>
      <w:marRight w:val="0"/>
      <w:marTop w:val="0"/>
      <w:marBottom w:val="0"/>
      <w:divBdr>
        <w:top w:val="none" w:sz="0" w:space="0" w:color="auto"/>
        <w:left w:val="none" w:sz="0" w:space="0" w:color="auto"/>
        <w:bottom w:val="none" w:sz="0" w:space="0" w:color="auto"/>
        <w:right w:val="none" w:sz="0" w:space="0" w:color="auto"/>
      </w:divBdr>
    </w:div>
    <w:div w:id="1610089252">
      <w:marLeft w:val="0"/>
      <w:marRight w:val="0"/>
      <w:marTop w:val="0"/>
      <w:marBottom w:val="0"/>
      <w:divBdr>
        <w:top w:val="none" w:sz="0" w:space="0" w:color="auto"/>
        <w:left w:val="none" w:sz="0" w:space="0" w:color="auto"/>
        <w:bottom w:val="none" w:sz="0" w:space="0" w:color="auto"/>
        <w:right w:val="none" w:sz="0" w:space="0" w:color="auto"/>
      </w:divBdr>
    </w:div>
    <w:div w:id="1610089253">
      <w:marLeft w:val="0"/>
      <w:marRight w:val="0"/>
      <w:marTop w:val="0"/>
      <w:marBottom w:val="0"/>
      <w:divBdr>
        <w:top w:val="none" w:sz="0" w:space="0" w:color="auto"/>
        <w:left w:val="none" w:sz="0" w:space="0" w:color="auto"/>
        <w:bottom w:val="none" w:sz="0" w:space="0" w:color="auto"/>
        <w:right w:val="none" w:sz="0" w:space="0" w:color="auto"/>
      </w:divBdr>
    </w:div>
    <w:div w:id="1610089254">
      <w:marLeft w:val="0"/>
      <w:marRight w:val="0"/>
      <w:marTop w:val="0"/>
      <w:marBottom w:val="0"/>
      <w:divBdr>
        <w:top w:val="none" w:sz="0" w:space="0" w:color="auto"/>
        <w:left w:val="none" w:sz="0" w:space="0" w:color="auto"/>
        <w:bottom w:val="none" w:sz="0" w:space="0" w:color="auto"/>
        <w:right w:val="none" w:sz="0" w:space="0" w:color="auto"/>
      </w:divBdr>
    </w:div>
    <w:div w:id="1610089255">
      <w:marLeft w:val="0"/>
      <w:marRight w:val="0"/>
      <w:marTop w:val="0"/>
      <w:marBottom w:val="0"/>
      <w:divBdr>
        <w:top w:val="none" w:sz="0" w:space="0" w:color="auto"/>
        <w:left w:val="none" w:sz="0" w:space="0" w:color="auto"/>
        <w:bottom w:val="none" w:sz="0" w:space="0" w:color="auto"/>
        <w:right w:val="none" w:sz="0" w:space="0" w:color="auto"/>
      </w:divBdr>
    </w:div>
    <w:div w:id="1610089256">
      <w:marLeft w:val="0"/>
      <w:marRight w:val="0"/>
      <w:marTop w:val="0"/>
      <w:marBottom w:val="0"/>
      <w:divBdr>
        <w:top w:val="none" w:sz="0" w:space="0" w:color="auto"/>
        <w:left w:val="none" w:sz="0" w:space="0" w:color="auto"/>
        <w:bottom w:val="none" w:sz="0" w:space="0" w:color="auto"/>
        <w:right w:val="none" w:sz="0" w:space="0" w:color="auto"/>
      </w:divBdr>
    </w:div>
    <w:div w:id="1610089257">
      <w:marLeft w:val="0"/>
      <w:marRight w:val="0"/>
      <w:marTop w:val="0"/>
      <w:marBottom w:val="0"/>
      <w:divBdr>
        <w:top w:val="none" w:sz="0" w:space="0" w:color="auto"/>
        <w:left w:val="none" w:sz="0" w:space="0" w:color="auto"/>
        <w:bottom w:val="none" w:sz="0" w:space="0" w:color="auto"/>
        <w:right w:val="none" w:sz="0" w:space="0" w:color="auto"/>
      </w:divBdr>
    </w:div>
    <w:div w:id="1610089258">
      <w:marLeft w:val="0"/>
      <w:marRight w:val="0"/>
      <w:marTop w:val="0"/>
      <w:marBottom w:val="0"/>
      <w:divBdr>
        <w:top w:val="none" w:sz="0" w:space="0" w:color="auto"/>
        <w:left w:val="none" w:sz="0" w:space="0" w:color="auto"/>
        <w:bottom w:val="none" w:sz="0" w:space="0" w:color="auto"/>
        <w:right w:val="none" w:sz="0" w:space="0" w:color="auto"/>
      </w:divBdr>
    </w:div>
    <w:div w:id="1610089259">
      <w:marLeft w:val="0"/>
      <w:marRight w:val="0"/>
      <w:marTop w:val="0"/>
      <w:marBottom w:val="0"/>
      <w:divBdr>
        <w:top w:val="none" w:sz="0" w:space="0" w:color="auto"/>
        <w:left w:val="none" w:sz="0" w:space="0" w:color="auto"/>
        <w:bottom w:val="none" w:sz="0" w:space="0" w:color="auto"/>
        <w:right w:val="none" w:sz="0" w:space="0" w:color="auto"/>
      </w:divBdr>
    </w:div>
    <w:div w:id="1610089260">
      <w:marLeft w:val="0"/>
      <w:marRight w:val="0"/>
      <w:marTop w:val="0"/>
      <w:marBottom w:val="0"/>
      <w:divBdr>
        <w:top w:val="none" w:sz="0" w:space="0" w:color="auto"/>
        <w:left w:val="none" w:sz="0" w:space="0" w:color="auto"/>
        <w:bottom w:val="none" w:sz="0" w:space="0" w:color="auto"/>
        <w:right w:val="none" w:sz="0" w:space="0" w:color="auto"/>
      </w:divBdr>
    </w:div>
    <w:div w:id="1610089261">
      <w:marLeft w:val="0"/>
      <w:marRight w:val="0"/>
      <w:marTop w:val="0"/>
      <w:marBottom w:val="0"/>
      <w:divBdr>
        <w:top w:val="none" w:sz="0" w:space="0" w:color="auto"/>
        <w:left w:val="none" w:sz="0" w:space="0" w:color="auto"/>
        <w:bottom w:val="none" w:sz="0" w:space="0" w:color="auto"/>
        <w:right w:val="none" w:sz="0" w:space="0" w:color="auto"/>
      </w:divBdr>
    </w:div>
    <w:div w:id="1610089262">
      <w:marLeft w:val="0"/>
      <w:marRight w:val="0"/>
      <w:marTop w:val="0"/>
      <w:marBottom w:val="0"/>
      <w:divBdr>
        <w:top w:val="none" w:sz="0" w:space="0" w:color="auto"/>
        <w:left w:val="none" w:sz="0" w:space="0" w:color="auto"/>
        <w:bottom w:val="none" w:sz="0" w:space="0" w:color="auto"/>
        <w:right w:val="none" w:sz="0" w:space="0" w:color="auto"/>
      </w:divBdr>
    </w:div>
    <w:div w:id="1610089263">
      <w:marLeft w:val="0"/>
      <w:marRight w:val="0"/>
      <w:marTop w:val="0"/>
      <w:marBottom w:val="0"/>
      <w:divBdr>
        <w:top w:val="none" w:sz="0" w:space="0" w:color="auto"/>
        <w:left w:val="none" w:sz="0" w:space="0" w:color="auto"/>
        <w:bottom w:val="none" w:sz="0" w:space="0" w:color="auto"/>
        <w:right w:val="none" w:sz="0" w:space="0" w:color="auto"/>
      </w:divBdr>
    </w:div>
    <w:div w:id="1610089264">
      <w:marLeft w:val="0"/>
      <w:marRight w:val="0"/>
      <w:marTop w:val="0"/>
      <w:marBottom w:val="0"/>
      <w:divBdr>
        <w:top w:val="none" w:sz="0" w:space="0" w:color="auto"/>
        <w:left w:val="none" w:sz="0" w:space="0" w:color="auto"/>
        <w:bottom w:val="none" w:sz="0" w:space="0" w:color="auto"/>
        <w:right w:val="none" w:sz="0" w:space="0" w:color="auto"/>
      </w:divBdr>
    </w:div>
    <w:div w:id="1610089265">
      <w:marLeft w:val="0"/>
      <w:marRight w:val="0"/>
      <w:marTop w:val="0"/>
      <w:marBottom w:val="0"/>
      <w:divBdr>
        <w:top w:val="none" w:sz="0" w:space="0" w:color="auto"/>
        <w:left w:val="none" w:sz="0" w:space="0" w:color="auto"/>
        <w:bottom w:val="none" w:sz="0" w:space="0" w:color="auto"/>
        <w:right w:val="none" w:sz="0" w:space="0" w:color="auto"/>
      </w:divBdr>
    </w:div>
    <w:div w:id="1610089266">
      <w:marLeft w:val="0"/>
      <w:marRight w:val="0"/>
      <w:marTop w:val="0"/>
      <w:marBottom w:val="0"/>
      <w:divBdr>
        <w:top w:val="none" w:sz="0" w:space="0" w:color="auto"/>
        <w:left w:val="none" w:sz="0" w:space="0" w:color="auto"/>
        <w:bottom w:val="none" w:sz="0" w:space="0" w:color="auto"/>
        <w:right w:val="none" w:sz="0" w:space="0" w:color="auto"/>
      </w:divBdr>
    </w:div>
    <w:div w:id="1610089267">
      <w:marLeft w:val="0"/>
      <w:marRight w:val="0"/>
      <w:marTop w:val="0"/>
      <w:marBottom w:val="0"/>
      <w:divBdr>
        <w:top w:val="none" w:sz="0" w:space="0" w:color="auto"/>
        <w:left w:val="none" w:sz="0" w:space="0" w:color="auto"/>
        <w:bottom w:val="none" w:sz="0" w:space="0" w:color="auto"/>
        <w:right w:val="none" w:sz="0" w:space="0" w:color="auto"/>
      </w:divBdr>
    </w:div>
    <w:div w:id="1610089268">
      <w:marLeft w:val="0"/>
      <w:marRight w:val="0"/>
      <w:marTop w:val="0"/>
      <w:marBottom w:val="0"/>
      <w:divBdr>
        <w:top w:val="none" w:sz="0" w:space="0" w:color="auto"/>
        <w:left w:val="none" w:sz="0" w:space="0" w:color="auto"/>
        <w:bottom w:val="none" w:sz="0" w:space="0" w:color="auto"/>
        <w:right w:val="none" w:sz="0" w:space="0" w:color="auto"/>
      </w:divBdr>
    </w:div>
    <w:div w:id="1610089269">
      <w:marLeft w:val="0"/>
      <w:marRight w:val="0"/>
      <w:marTop w:val="0"/>
      <w:marBottom w:val="0"/>
      <w:divBdr>
        <w:top w:val="none" w:sz="0" w:space="0" w:color="auto"/>
        <w:left w:val="none" w:sz="0" w:space="0" w:color="auto"/>
        <w:bottom w:val="none" w:sz="0" w:space="0" w:color="auto"/>
        <w:right w:val="none" w:sz="0" w:space="0" w:color="auto"/>
      </w:divBdr>
    </w:div>
    <w:div w:id="1610089270">
      <w:marLeft w:val="0"/>
      <w:marRight w:val="0"/>
      <w:marTop w:val="0"/>
      <w:marBottom w:val="0"/>
      <w:divBdr>
        <w:top w:val="none" w:sz="0" w:space="0" w:color="auto"/>
        <w:left w:val="none" w:sz="0" w:space="0" w:color="auto"/>
        <w:bottom w:val="none" w:sz="0" w:space="0" w:color="auto"/>
        <w:right w:val="none" w:sz="0" w:space="0" w:color="auto"/>
      </w:divBdr>
    </w:div>
    <w:div w:id="1610089271">
      <w:marLeft w:val="0"/>
      <w:marRight w:val="0"/>
      <w:marTop w:val="0"/>
      <w:marBottom w:val="0"/>
      <w:divBdr>
        <w:top w:val="none" w:sz="0" w:space="0" w:color="auto"/>
        <w:left w:val="none" w:sz="0" w:space="0" w:color="auto"/>
        <w:bottom w:val="none" w:sz="0" w:space="0" w:color="auto"/>
        <w:right w:val="none" w:sz="0" w:space="0" w:color="auto"/>
      </w:divBdr>
    </w:div>
    <w:div w:id="1610089272">
      <w:marLeft w:val="0"/>
      <w:marRight w:val="0"/>
      <w:marTop w:val="0"/>
      <w:marBottom w:val="0"/>
      <w:divBdr>
        <w:top w:val="none" w:sz="0" w:space="0" w:color="auto"/>
        <w:left w:val="none" w:sz="0" w:space="0" w:color="auto"/>
        <w:bottom w:val="none" w:sz="0" w:space="0" w:color="auto"/>
        <w:right w:val="none" w:sz="0" w:space="0" w:color="auto"/>
      </w:divBdr>
    </w:div>
    <w:div w:id="1610089273">
      <w:marLeft w:val="0"/>
      <w:marRight w:val="0"/>
      <w:marTop w:val="0"/>
      <w:marBottom w:val="0"/>
      <w:divBdr>
        <w:top w:val="none" w:sz="0" w:space="0" w:color="auto"/>
        <w:left w:val="none" w:sz="0" w:space="0" w:color="auto"/>
        <w:bottom w:val="none" w:sz="0" w:space="0" w:color="auto"/>
        <w:right w:val="none" w:sz="0" w:space="0" w:color="auto"/>
      </w:divBdr>
    </w:div>
    <w:div w:id="1610089274">
      <w:marLeft w:val="0"/>
      <w:marRight w:val="0"/>
      <w:marTop w:val="0"/>
      <w:marBottom w:val="0"/>
      <w:divBdr>
        <w:top w:val="none" w:sz="0" w:space="0" w:color="auto"/>
        <w:left w:val="none" w:sz="0" w:space="0" w:color="auto"/>
        <w:bottom w:val="none" w:sz="0" w:space="0" w:color="auto"/>
        <w:right w:val="none" w:sz="0" w:space="0" w:color="auto"/>
      </w:divBdr>
    </w:div>
    <w:div w:id="1610089275">
      <w:marLeft w:val="0"/>
      <w:marRight w:val="0"/>
      <w:marTop w:val="0"/>
      <w:marBottom w:val="0"/>
      <w:divBdr>
        <w:top w:val="none" w:sz="0" w:space="0" w:color="auto"/>
        <w:left w:val="none" w:sz="0" w:space="0" w:color="auto"/>
        <w:bottom w:val="none" w:sz="0" w:space="0" w:color="auto"/>
        <w:right w:val="none" w:sz="0" w:space="0" w:color="auto"/>
      </w:divBdr>
    </w:div>
    <w:div w:id="1610089276">
      <w:marLeft w:val="0"/>
      <w:marRight w:val="0"/>
      <w:marTop w:val="0"/>
      <w:marBottom w:val="0"/>
      <w:divBdr>
        <w:top w:val="none" w:sz="0" w:space="0" w:color="auto"/>
        <w:left w:val="none" w:sz="0" w:space="0" w:color="auto"/>
        <w:bottom w:val="none" w:sz="0" w:space="0" w:color="auto"/>
        <w:right w:val="none" w:sz="0" w:space="0" w:color="auto"/>
      </w:divBdr>
    </w:div>
    <w:div w:id="1610089277">
      <w:marLeft w:val="0"/>
      <w:marRight w:val="0"/>
      <w:marTop w:val="0"/>
      <w:marBottom w:val="0"/>
      <w:divBdr>
        <w:top w:val="none" w:sz="0" w:space="0" w:color="auto"/>
        <w:left w:val="none" w:sz="0" w:space="0" w:color="auto"/>
        <w:bottom w:val="none" w:sz="0" w:space="0" w:color="auto"/>
        <w:right w:val="none" w:sz="0" w:space="0" w:color="auto"/>
      </w:divBdr>
    </w:div>
    <w:div w:id="1610089278">
      <w:marLeft w:val="0"/>
      <w:marRight w:val="0"/>
      <w:marTop w:val="0"/>
      <w:marBottom w:val="0"/>
      <w:divBdr>
        <w:top w:val="none" w:sz="0" w:space="0" w:color="auto"/>
        <w:left w:val="none" w:sz="0" w:space="0" w:color="auto"/>
        <w:bottom w:val="none" w:sz="0" w:space="0" w:color="auto"/>
        <w:right w:val="none" w:sz="0" w:space="0" w:color="auto"/>
      </w:divBdr>
    </w:div>
    <w:div w:id="1610089279">
      <w:marLeft w:val="0"/>
      <w:marRight w:val="0"/>
      <w:marTop w:val="0"/>
      <w:marBottom w:val="0"/>
      <w:divBdr>
        <w:top w:val="none" w:sz="0" w:space="0" w:color="auto"/>
        <w:left w:val="none" w:sz="0" w:space="0" w:color="auto"/>
        <w:bottom w:val="none" w:sz="0" w:space="0" w:color="auto"/>
        <w:right w:val="none" w:sz="0" w:space="0" w:color="auto"/>
      </w:divBdr>
    </w:div>
    <w:div w:id="1610089280">
      <w:marLeft w:val="0"/>
      <w:marRight w:val="0"/>
      <w:marTop w:val="0"/>
      <w:marBottom w:val="0"/>
      <w:divBdr>
        <w:top w:val="none" w:sz="0" w:space="0" w:color="auto"/>
        <w:left w:val="none" w:sz="0" w:space="0" w:color="auto"/>
        <w:bottom w:val="none" w:sz="0" w:space="0" w:color="auto"/>
        <w:right w:val="none" w:sz="0" w:space="0" w:color="auto"/>
      </w:divBdr>
    </w:div>
    <w:div w:id="1610089281">
      <w:marLeft w:val="0"/>
      <w:marRight w:val="0"/>
      <w:marTop w:val="0"/>
      <w:marBottom w:val="0"/>
      <w:divBdr>
        <w:top w:val="none" w:sz="0" w:space="0" w:color="auto"/>
        <w:left w:val="none" w:sz="0" w:space="0" w:color="auto"/>
        <w:bottom w:val="none" w:sz="0" w:space="0" w:color="auto"/>
        <w:right w:val="none" w:sz="0" w:space="0" w:color="auto"/>
      </w:divBdr>
    </w:div>
    <w:div w:id="1610089282">
      <w:marLeft w:val="0"/>
      <w:marRight w:val="0"/>
      <w:marTop w:val="0"/>
      <w:marBottom w:val="0"/>
      <w:divBdr>
        <w:top w:val="none" w:sz="0" w:space="0" w:color="auto"/>
        <w:left w:val="none" w:sz="0" w:space="0" w:color="auto"/>
        <w:bottom w:val="none" w:sz="0" w:space="0" w:color="auto"/>
        <w:right w:val="none" w:sz="0" w:space="0" w:color="auto"/>
      </w:divBdr>
    </w:div>
    <w:div w:id="1610089283">
      <w:marLeft w:val="0"/>
      <w:marRight w:val="0"/>
      <w:marTop w:val="0"/>
      <w:marBottom w:val="0"/>
      <w:divBdr>
        <w:top w:val="none" w:sz="0" w:space="0" w:color="auto"/>
        <w:left w:val="none" w:sz="0" w:space="0" w:color="auto"/>
        <w:bottom w:val="none" w:sz="0" w:space="0" w:color="auto"/>
        <w:right w:val="none" w:sz="0" w:space="0" w:color="auto"/>
      </w:divBdr>
    </w:div>
    <w:div w:id="1610089284">
      <w:marLeft w:val="0"/>
      <w:marRight w:val="0"/>
      <w:marTop w:val="0"/>
      <w:marBottom w:val="0"/>
      <w:divBdr>
        <w:top w:val="none" w:sz="0" w:space="0" w:color="auto"/>
        <w:left w:val="none" w:sz="0" w:space="0" w:color="auto"/>
        <w:bottom w:val="none" w:sz="0" w:space="0" w:color="auto"/>
        <w:right w:val="none" w:sz="0" w:space="0" w:color="auto"/>
      </w:divBdr>
    </w:div>
    <w:div w:id="1610089285">
      <w:marLeft w:val="0"/>
      <w:marRight w:val="0"/>
      <w:marTop w:val="0"/>
      <w:marBottom w:val="0"/>
      <w:divBdr>
        <w:top w:val="none" w:sz="0" w:space="0" w:color="auto"/>
        <w:left w:val="none" w:sz="0" w:space="0" w:color="auto"/>
        <w:bottom w:val="none" w:sz="0" w:space="0" w:color="auto"/>
        <w:right w:val="none" w:sz="0" w:space="0" w:color="auto"/>
      </w:divBdr>
    </w:div>
    <w:div w:id="1610089286">
      <w:marLeft w:val="0"/>
      <w:marRight w:val="0"/>
      <w:marTop w:val="0"/>
      <w:marBottom w:val="0"/>
      <w:divBdr>
        <w:top w:val="none" w:sz="0" w:space="0" w:color="auto"/>
        <w:left w:val="none" w:sz="0" w:space="0" w:color="auto"/>
        <w:bottom w:val="none" w:sz="0" w:space="0" w:color="auto"/>
        <w:right w:val="none" w:sz="0" w:space="0" w:color="auto"/>
      </w:divBdr>
    </w:div>
    <w:div w:id="1610089287">
      <w:marLeft w:val="0"/>
      <w:marRight w:val="0"/>
      <w:marTop w:val="0"/>
      <w:marBottom w:val="0"/>
      <w:divBdr>
        <w:top w:val="none" w:sz="0" w:space="0" w:color="auto"/>
        <w:left w:val="none" w:sz="0" w:space="0" w:color="auto"/>
        <w:bottom w:val="none" w:sz="0" w:space="0" w:color="auto"/>
        <w:right w:val="none" w:sz="0" w:space="0" w:color="auto"/>
      </w:divBdr>
    </w:div>
    <w:div w:id="1610089288">
      <w:marLeft w:val="0"/>
      <w:marRight w:val="0"/>
      <w:marTop w:val="0"/>
      <w:marBottom w:val="0"/>
      <w:divBdr>
        <w:top w:val="none" w:sz="0" w:space="0" w:color="auto"/>
        <w:left w:val="none" w:sz="0" w:space="0" w:color="auto"/>
        <w:bottom w:val="none" w:sz="0" w:space="0" w:color="auto"/>
        <w:right w:val="none" w:sz="0" w:space="0" w:color="auto"/>
      </w:divBdr>
    </w:div>
    <w:div w:id="16100892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info/files/refit-platform-recommendations-internal-market-xii8b-construction-product-regulation_en" TargetMode="External"/><Relationship Id="rId18" Type="http://schemas.openxmlformats.org/officeDocument/2006/relationships/hyperlink" Target="https://ec.europa.eu/info/files/refit-platform-recommendations-health-and-food-safety-xi10a-multiple-use-multiple-source-substances-chlorate_en" TargetMode="External"/><Relationship Id="rId26" Type="http://schemas.openxmlformats.org/officeDocument/2006/relationships/hyperlink" Target="https://ec.europa.eu/info/files/refit-platform-recommendations-health-and-food-safety-xi10a-multiple-use-multiple-source-substances-chlorate_en" TargetMode="External"/><Relationship Id="rId39" Type="http://schemas.openxmlformats.org/officeDocument/2006/relationships/footer" Target="footer6.xml"/><Relationship Id="rId21" Type="http://schemas.openxmlformats.org/officeDocument/2006/relationships/hyperlink" Target="https://ec.europa.eu/info/files/refit-platform-recommendations-health-and-food-safety-xi10a-multiple-use-multiple-source-substances-chlorate_en" TargetMode="External"/><Relationship Id="rId34" Type="http://schemas.openxmlformats.org/officeDocument/2006/relationships/hyperlink" Target="https://ec.europa.eu/info/files/refit-platform-recommendations-consumer-policy-vi4a-f-consumer-credit-directive_en"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c.europa.eu/info/files/refit-platform-recommendations-internal-market-xii8a-construction-product-regulation_en" TargetMode="External"/><Relationship Id="rId20" Type="http://schemas.openxmlformats.org/officeDocument/2006/relationships/hyperlink" Target="https://ec.europa.eu/info/files/refit-platform-recommendations-health-and-food-safety-xi10a-multiple-use-multiple-source-substances-chlorate_en" TargetMode="External"/><Relationship Id="rId29" Type="http://schemas.openxmlformats.org/officeDocument/2006/relationships/footer" Target="footer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files/refit-platform-recommendations-environment-ix3a-c-regulation-shipment-waste_en" TargetMode="External"/><Relationship Id="rId24" Type="http://schemas.openxmlformats.org/officeDocument/2006/relationships/hyperlink" Target="https://ec.europa.eu/info/files/refit-platform-recommendations-health-and-food-safety-xi10a-multiple-use-multiple-source-substances-chlorate_en" TargetMode="External"/><Relationship Id="rId32" Type="http://schemas.openxmlformats.org/officeDocument/2006/relationships/hyperlink" Target="https://ec.europa.eu/info/files/refit-platform-recommendations-financial-services-financial-reporting_en" TargetMode="External"/><Relationship Id="rId37" Type="http://schemas.openxmlformats.org/officeDocument/2006/relationships/footer" Target="footer4.xml"/><Relationship Id="rId40"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ec.europa.eu/info/files/refit-platform-recommendations-internal-market-ref-xii8c-construction-products-regulation-cpr_en" TargetMode="External"/><Relationship Id="rId23" Type="http://schemas.openxmlformats.org/officeDocument/2006/relationships/hyperlink" Target="https://ec.europa.eu/info/files/refit-platform-recommendations-health-and-food-safety-xi10a-multiple-use-multiple-source-substances-chlorate_en" TargetMode="External"/><Relationship Id="rId28" Type="http://schemas.openxmlformats.org/officeDocument/2006/relationships/footer" Target="footer1.xml"/><Relationship Id="rId36" Type="http://schemas.openxmlformats.org/officeDocument/2006/relationships/hyperlink" Target="https://ec.europa.eu/info/files/refit-platform-recommendations-consumer-policy-vi4a-f-consumer-credit-directive_en" TargetMode="External"/><Relationship Id="rId10" Type="http://schemas.openxmlformats.org/officeDocument/2006/relationships/hyperlink" Target="https://ec.europa.eu/info/files/refit-platform-recommendations-environment-ix3a-c-regulation-shipment-waste_en" TargetMode="External"/><Relationship Id="rId19" Type="http://schemas.openxmlformats.org/officeDocument/2006/relationships/hyperlink" Target="https://ec.europa.eu/info/files/refit-platform-recommendations-health-and-food-safety-xi10a-multiple-use-multiple-source-substances-chlorate_en" TargetMode="External"/><Relationship Id="rId31" Type="http://schemas.openxmlformats.org/officeDocument/2006/relationships/hyperlink" Target="https://ec.europa.eu/info/files/refit-platform-recommendations-financial-services-financial-reporting_en" TargetMode="External"/><Relationship Id="rId4" Type="http://schemas.openxmlformats.org/officeDocument/2006/relationships/settings" Target="settings.xml"/><Relationship Id="rId9" Type="http://schemas.openxmlformats.org/officeDocument/2006/relationships/hyperlink" Target="https://ec.europa.eu/info/files/refit-platform-recommendations-environment-ix3a-c-regulation-shipment-waste_en" TargetMode="External"/><Relationship Id="rId14" Type="http://schemas.openxmlformats.org/officeDocument/2006/relationships/hyperlink" Target="https://ec.europa.eu/info/files/refit-platform-recommendations-internal-market-ref-xii8c-construction-products-regulation-cpr_en" TargetMode="External"/><Relationship Id="rId22" Type="http://schemas.openxmlformats.org/officeDocument/2006/relationships/hyperlink" Target="https://ec.europa.eu/info/files/refit-platform-recommendations-health-and-food-safety-xi10a-multiple-use-multiple-source-substances-chlorate_en" TargetMode="External"/><Relationship Id="rId27" Type="http://schemas.openxmlformats.org/officeDocument/2006/relationships/hyperlink" Target="https://ec.europa.eu/info/files/refit-platform-recommendations-health-and-food-safety-xi10a-multiple-use-multiple-source-substances-chlorate_en" TargetMode="External"/><Relationship Id="rId30" Type="http://schemas.openxmlformats.org/officeDocument/2006/relationships/footer" Target="footer3.xml"/><Relationship Id="rId35" Type="http://schemas.openxmlformats.org/officeDocument/2006/relationships/hyperlink" Target="https://ec.europa.eu/info/files/refit-platform-recommendations-consumer-policy-vi4a-f-consumer-credit-directive_en" TargetMode="External"/><Relationship Id="rId8" Type="http://schemas.openxmlformats.org/officeDocument/2006/relationships/hyperlink" Target="https://ec.europa.eu/info/files/refit-platform-recommendations-environment-ix3a-c-regulation-shipment-waste_en" TargetMode="External"/><Relationship Id="rId3" Type="http://schemas.openxmlformats.org/officeDocument/2006/relationships/styles" Target="styles.xml"/><Relationship Id="rId12" Type="http://schemas.openxmlformats.org/officeDocument/2006/relationships/hyperlink" Target="https://ec.europa.eu/info/files/refit-platform-recommendations-internal-market-xii8b-construction-product-regulation_en" TargetMode="External"/><Relationship Id="rId17" Type="http://schemas.openxmlformats.org/officeDocument/2006/relationships/hyperlink" Target="https://ec.europa.eu/info/files/refit-platform-recommendations-internal-market-xii8a-construction-product-regulation_en" TargetMode="External"/><Relationship Id="rId25" Type="http://schemas.openxmlformats.org/officeDocument/2006/relationships/hyperlink" Target="https://ec.europa.eu/info/files/refit-platform-recommendations-health-and-food-safety-xi10a-multiple-use-multiple-source-substances-chlorate_en" TargetMode="External"/><Relationship Id="rId33" Type="http://schemas.openxmlformats.org/officeDocument/2006/relationships/hyperlink" Target="https://ec.europa.eu/info/files/refit-platform-recommendations-consumer-policy-vi4a-f-consumer-credit-directive_en" TargetMode="External"/><Relationship Id="rId38" Type="http://schemas.openxmlformats.org/officeDocument/2006/relationships/footer" Target="footer5.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049D4-E41B-4993-9448-1CC2895F7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27005</Words>
  <Characters>153930</Characters>
  <Application>Microsoft Office Word</Application>
  <DocSecurity>4</DocSecurity>
  <Lines>1282</Lines>
  <Paragraphs>361</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180574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Orszag Daniel /OVZI/MZV</cp:lastModifiedBy>
  <cp:revision>2</cp:revision>
  <cp:lastPrinted>2019-02-13T13:35:00Z</cp:lastPrinted>
  <dcterms:created xsi:type="dcterms:W3CDTF">2019-03-11T09:02:00Z</dcterms:created>
  <dcterms:modified xsi:type="dcterms:W3CDTF">2019-03-11T09:02:00Z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2017</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PhDr. Hana Vermešová</vt:lpwstr>
  </property>
  <property fmtid="{D5CDD505-2E9C-101B-9397-08002B2CF9AE}" pid="12" name="FSC#SKEDITIONSLOVLEX@103.510:zodppredkladatel">
    <vt:lpwstr>Miroslav Lajčák</vt:lpwstr>
  </property>
  <property fmtid="{D5CDD505-2E9C-101B-9397-08002B2CF9AE}" pid="13" name="FSC#SKEDITIONSLOVLEX@103.510:dalsipredkladatel">
    <vt:lpwstr/>
  </property>
  <property fmtid="{D5CDD505-2E9C-101B-9397-08002B2CF9AE}" pid="14" name="FSC#SKEDITIONSLOVLEX@103.510:nazovpredpis">
    <vt:lpwstr> Výročná správa o členstve Slovenskej republiky v Európskej únii – hodnotenie a aktuálne priority vyplývajúce z Pracovného programu Európskej komisie</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zahraničných vecí a európskych záležitostí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SR č. 118/2013 zo 7. marca 2013 _x000d__x000d_</vt:lpwstr>
  </property>
  <property fmtid="{D5CDD505-2E9C-101B-9397-08002B2CF9AE}" pid="23" name="FSC#SKEDITIONSLOVLEX@103.510:plnynazovpredpis">
    <vt:lpwstr> Výročná správa o členstve Slovenskej republiky v Európskej únii – hodnotenie a aktuálne priority vyplývajúce z Pracovného programu Európskej komisie</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005068/2017-OVZI-0018211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LP/2017/89</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10. 2. 2017</vt:lpwstr>
  </property>
  <property fmtid="{D5CDD505-2E9C-101B-9397-08002B2CF9AE}" pid="59" name="FSC#SKEDITIONSLOVLEX@103.510:AttrDateDocPropUkonceniePKK">
    <vt:lpwstr>17. 2. 2017</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vt:lpwstr>
  </property>
  <property fmtid="{D5CDD505-2E9C-101B-9397-08002B2CF9AE}" pid="66" name="FSC#SKEDITIONSLOVLEX@103.510:AttrStrListDocPropAltRiesenia">
    <vt:lpwstr>Nenavrhujú sa.</vt:lpwstr>
  </property>
  <property fmtid="{D5CDD505-2E9C-101B-9397-08002B2CF9AE}" pid="67" name="FSC#SKEDITIONSLOVLEX@103.510:AttrStrListDocPropStanoviskoGest">
    <vt:lpwstr>-</vt:lpwstr>
  </property>
  <property fmtid="{D5CDD505-2E9C-101B-9397-08002B2CF9AE}" pid="68" name="FSC#SKEDITIONSLOVLEX@103.510:AttrStrListDocPropTextKomunike">
    <vt:lpwstr>Vláda Slovenskej republiky na svojom rokovaní dňa ....................... prerokovala a schválila materiál Výročná správa o členstve Slovenskej republiky v Európskej únii – hodnotenie a aktuálne priority vyplývajúce z Pracovného programu Európskej komisie</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SR _x000d__x000d_minister zahraničných vecí a európskych záležitostí SR </vt:lpwstr>
  </property>
  <property fmtid="{D5CDD505-2E9C-101B-9397-08002B2CF9AE}" pid="137" name="FSC#SKEDITIONSLOVLEX@103.510:AttrStrListDocPropUznesenieNaVedomie">
    <vt:lpwstr>predsedovi Národnej rady SR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zahraničných vecí a európskych záležitostí Slovenskej republiky</vt:lpwstr>
  </property>
  <property fmtid="{D5CDD505-2E9C-101B-9397-08002B2CF9AE}" pid="142" name="FSC#SKEDITIONSLOVLEX@103.510:funkciaZodpPredAkuzativ">
    <vt:lpwstr>ministrovi zahraničných vecí a európskych záležitostí Slovenskej republiky</vt:lpwstr>
  </property>
  <property fmtid="{D5CDD505-2E9C-101B-9397-08002B2CF9AE}" pid="143" name="FSC#SKEDITIONSLOVLEX@103.510:funkciaZodpPredDativ">
    <vt:lpwstr>ministra zahraničných vecí a európskych záležitostí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Miroslav Lajčák_x000d__x000d_minister zahraničných vecí a európskych záležitostí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justify;"&gt;Na základe uznesenia vlády SR č. 118 zo 7. marca 2013 predkladá minister zahraničných vecí a európskych záležitostí SR na rokovanie vlády SR &lt;em&gt;Výročnú správu o členstve Slovenskej republiky v Európskej únii – hodnotenie a</vt:lpwstr>
  </property>
  <property fmtid="{D5CDD505-2E9C-101B-9397-08002B2CF9AE}" pid="150" name="FSC#COOSYSTEM@1.1:Container">
    <vt:lpwstr>COO.2145.1000.3.1840153</vt:lpwstr>
  </property>
  <property fmtid="{D5CDD505-2E9C-101B-9397-08002B2CF9AE}" pid="151" name="FSC#FSCFOLIO@1.1001:docpropproject">
    <vt:lpwstr/>
  </property>
</Properties>
</file>