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1C8D" w14:textId="60DD4DCC" w:rsidR="00134E01" w:rsidRPr="00225B79" w:rsidRDefault="00A8458D" w:rsidP="00134E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25B79">
        <w:rPr>
          <w:b/>
          <w:sz w:val="28"/>
          <w:szCs w:val="28"/>
        </w:rPr>
        <w:t>VLÁDA SLOVENSKEJ REPUBLIKY</w:t>
      </w:r>
    </w:p>
    <w:p w14:paraId="24FE7FA0" w14:textId="278D0CC3" w:rsidR="00134E01" w:rsidRPr="006C1DF9" w:rsidRDefault="000447CD" w:rsidP="00AF1D48">
      <w:pPr>
        <w:rPr>
          <w:sz w:val="25"/>
          <w:szCs w:val="25"/>
        </w:rPr>
      </w:pPr>
      <w:r w:rsidRPr="006C1DF9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AD7BA" wp14:editId="035B24CF">
                <wp:simplePos x="0" y="0"/>
                <wp:positionH relativeFrom="column">
                  <wp:posOffset>2948305</wp:posOffset>
                </wp:positionH>
                <wp:positionV relativeFrom="paragraph">
                  <wp:posOffset>19685</wp:posOffset>
                </wp:positionV>
                <wp:extent cx="2562225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AE61" w14:textId="22EB4579" w:rsidR="00715E4D" w:rsidRPr="007C06CB" w:rsidRDefault="00715E4D" w:rsidP="007C06CB">
                            <w:pPr>
                              <w:ind w:left="708"/>
                              <w:rPr>
                                <w:sz w:val="25"/>
                                <w:szCs w:val="25"/>
                              </w:rPr>
                            </w:pPr>
                            <w:r w:rsidRPr="00D94C5B">
                              <w:rPr>
                                <w:sz w:val="25"/>
                                <w:szCs w:val="25"/>
                              </w:rPr>
                              <w:t xml:space="preserve">Číslo: </w:t>
                            </w:r>
                            <w:r w:rsidR="0036022E" w:rsidRPr="0036022E">
                              <w:rPr>
                                <w:sz w:val="25"/>
                                <w:szCs w:val="25"/>
                              </w:rPr>
                              <w:t>UV-3667/2019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AD7BA" id="Rectangle 2" o:spid="_x0000_s1026" style="position:absolute;margin-left:232.15pt;margin-top:1.55pt;width:201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F4cgIAADgFAAAOAAAAZHJzL2Uyb0RvYy54bWysVN9P2zAQfp+0/8Hy+0ibAWNRU1SBmCYh&#10;qICJZ9ex22iOzzu7Tbq/fmcnDYxVe5j2kvjuvvvp7zy77BrDdgp9Dbbk05MJZ8pKqGq7Lvm3p5sP&#10;F5z5IGwlDFhV8r3y/HL+/t2sdYXKYQOmUsgoiPVF60q+CcEVWeblRjXCn4BTlowasBGBRFxnFYqW&#10;ojcmyyeT86wFrByCVN6T9ro38nmKr7WS4V5rrwIzJafaQvpi+q7iN5vPRLFG4Ta1HMoQ/1BFI2pL&#10;ScdQ1yIItsX6j1BNLRE86HAioclA61qq1AN1M5286eZxI5xKvdBwvBvH5P9fWHm3WyKrq5LnnFnR&#10;0BU90NCEXRvF8jie1vmCUI9uiYPk6Rh77TQ28U9dsC6NdD+OVHWBSVLmZ+d5np9xJsl28fGC7iwG&#10;zV68HfrwRUHD4qHkSNnTJMXu1oceeoDEZBZuamNILwpjf1NQzKjJYsF9iekU9kb16AelqdNYVEqQ&#10;OKauDLKdIHZU36dDZcYSMrpoyjQ6TY85mXBwGrDRTSXejY6TY44v2UZ0ygg2jI5NbQH/7qx7/KHr&#10;vtfYduhW3XBdK6j2dMcIPfm9kzc1jfpW+LAUSGynvaANDvf00QbaksNw4mwD+POYPuKJhGTlrKXt&#10;Kbn/sRWoODNfLdHz8/T0NK5bEk7PPuUk4GvL6rXFbpsroCuY0lvhZDpGfDCHo0ZonmnRFzErmYSV&#10;lLvkMuBBuAr9VtNTIdVikWC0Yk6EW/voZAweBxyp9NQ9C3QD3wIx9Q4OmyaKN7TrsdHTwmIbQNeJ&#10;k3HE/VyH0dN6JlYPT0nc/9dyQr08ePNfAAAA//8DAFBLAwQUAAYACAAAACEABZ+JV90AAAAJAQAA&#10;DwAAAGRycy9kb3ducmV2LnhtbEyPQU+EMBCF7yb+h2ZMvLkFQdwgZUOMmuzRxcR4K3QElE4J7bLs&#10;v3c86XHyvrz5XrFb7SgWnP3gSEG8iUAgtc4M1Cl4q59vtiB80GT06AgVnNHDrry8KHRu3IlecTmE&#10;TnAJ+Vwr6EOYcil926PVfuMmJM4+3Wx14HPupJn1icvtKG+jKJNWD8Qfej3hY4/t9+FoFfhm2dfn&#10;qXr/+vBtUz2RrdP9i1LXV2v1ACLgGv5g+NVndSjZqXFHMl6MCtIsTRhVkMQgON9m9zylYTC5i0GW&#10;hfy/oPwBAAD//wMAUEsBAi0AFAAGAAgAAAAhALaDOJL+AAAA4QEAABMAAAAAAAAAAAAAAAAAAAAA&#10;AFtDb250ZW50X1R5cGVzXS54bWxQSwECLQAUAAYACAAAACEAOP0h/9YAAACUAQAACwAAAAAAAAAA&#10;AAAAAAAvAQAAX3JlbHMvLnJlbHNQSwECLQAUAAYACAAAACEAucuheHICAAA4BQAADgAAAAAAAAAA&#10;AAAAAAAuAgAAZHJzL2Uyb0RvYy54bWxQSwECLQAUAAYACAAAACEABZ+JV90AAAAJAQAADwAAAAAA&#10;AAAAAAAAAADMBAAAZHJzL2Rvd25yZXYueG1sUEsFBgAAAAAEAAQA8wAAANYFAAAAAA==&#10;" filled="f" stroked="f" strokeweight="2pt">
                <v:textbox>
                  <w:txbxContent>
                    <w:p w14:paraId="4435AE61" w14:textId="22EB4579" w:rsidR="00715E4D" w:rsidRPr="007C06CB" w:rsidRDefault="00715E4D" w:rsidP="007C06CB">
                      <w:pPr>
                        <w:ind w:left="708"/>
                        <w:rPr>
                          <w:sz w:val="25"/>
                          <w:szCs w:val="25"/>
                        </w:rPr>
                      </w:pPr>
                      <w:r w:rsidRPr="00D94C5B">
                        <w:rPr>
                          <w:sz w:val="25"/>
                          <w:szCs w:val="25"/>
                        </w:rPr>
                        <w:t xml:space="preserve">Číslo: </w:t>
                      </w:r>
                      <w:r w:rsidR="0036022E" w:rsidRPr="0036022E">
                        <w:rPr>
                          <w:sz w:val="25"/>
                          <w:szCs w:val="25"/>
                        </w:rPr>
                        <w:t>UV-3667/2019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6C1DF9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3816" wp14:editId="2CC022FD">
                <wp:simplePos x="0" y="0"/>
                <wp:positionH relativeFrom="column">
                  <wp:posOffset>-118745</wp:posOffset>
                </wp:positionH>
                <wp:positionV relativeFrom="paragraph">
                  <wp:posOffset>17780</wp:posOffset>
                </wp:positionV>
                <wp:extent cx="2562225" cy="838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252B5" w14:textId="77777777" w:rsidR="00715E4D" w:rsidRPr="00D94C5B" w:rsidRDefault="00715E4D" w:rsidP="000447CD">
                            <w:pPr>
                              <w:pStyle w:val="Zkladntext2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4C5B">
                              <w:rPr>
                                <w:sz w:val="25"/>
                                <w:szCs w:val="25"/>
                              </w:rPr>
                              <w:t xml:space="preserve">Materiál na rokovanie </w:t>
                            </w:r>
                          </w:p>
                          <w:p w14:paraId="29F85CC0" w14:textId="0708BB89" w:rsidR="00715E4D" w:rsidRPr="00D94C5B" w:rsidRDefault="00715E4D" w:rsidP="000447CD">
                            <w:pPr>
                              <w:pStyle w:val="Zkladntext2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4C5B">
                              <w:rPr>
                                <w:sz w:val="25"/>
                                <w:szCs w:val="25"/>
                              </w:rPr>
                              <w:t>Národnej rady Slovenskej republiky</w:t>
                            </w:r>
                          </w:p>
                          <w:p w14:paraId="6F20B68F" w14:textId="77777777" w:rsidR="00715E4D" w:rsidRDefault="00715E4D" w:rsidP="00044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C3816" id="Rectangle 1" o:spid="_x0000_s1027" style="position:absolute;margin-left:-9.35pt;margin-top:1.4pt;width:20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3AcwIAAD8FAAAOAAAAZHJzL2Uyb0RvYy54bWysVN9P2zAQfp+0/8Hy+0ibAWNRU1SBmCYh&#10;qICJZ9ex22iOzzu7Tbq/fmcnDYxVe5j2kvh83/3+zrPLrjFsp9DXYEs+PZlwpqyEqrbrkn97uvlw&#10;wZkPwlbCgFUl3yvPL+fv381aV6gcNmAqhYycWF+0ruSbEFyRZV5uVCP8CThlSakBGxFIxHVWoWjJ&#10;e2OyfDI5z1rAyiFI5T3dXvdKPk/+tVYy3GvtVWCm5JRbSF9M31X8ZvOZKNYo3KaWQxriH7JoRG0p&#10;6OjqWgTBtlj/4aqpJYIHHU4kNBloXUuVaqBqppM31TxuhFOpFmqOd2Ob/P9zK+92S2R1RbPjzIqG&#10;RvRATRN2bRSbxva0zheEenRLHCRPx1hrp7GJf6qCdaml+7GlqgtM0mV+dp7n+RlnknQXHy9oZtFp&#10;9mLt0IcvChoWDyVHip46KXa3PvTQAyQGs3BTG0P3ojD2twvyGW+ymHCfYjqFvVE9+kFpqjQmlQIk&#10;jqkrg2wniB3V91Ru8kLIaKIp0mg0PWZkwsFowEYzlXg3Gk6OGb5EG9EpItgwGja1Bfy7se7xh6r7&#10;WmPZoVt1w1iHqa2g2tOoEfod8E7e1NTxW+HDUiCRntaDFjnc00cbaEsOw4mzDeDPY/cRT1wkLWct&#10;LVHJ/Y+tQMWZ+WqJpZ+np6dx65JwevYpJwFfa1avNXbbXAFNgphI2aVjxAdzOGqE5pn2fRGjkkpY&#10;SbFLLgMehKvQLze9GFItFglGm+ZEuLWPTkbnsc+RUU/ds0A30C4QYe/gsHCieMO+HhstLSy2AXSd&#10;qBk73fd1mABtaSL38KLEZ+C1nFAv7978FwAAAP//AwBQSwMEFAAGAAgAAAAhAAUUrgvdAAAACQEA&#10;AA8AAABkcnMvZG93bnJldi54bWxMj81qwzAQhO+FvIPYQm+JnB9a41oOJrSFHBsXSm+ytbGdWitj&#10;KY7z9t2c0tssM8x+k24n24kRB986UrBcRCCQKmdaqhV8Fe/zGIQPmozuHKGCK3rYZrOHVCfGXegT&#10;x0OoBZeQT7SCJoQ+kdJXDVrtF65HYu/oBqsDn0MtzaAvXG47uYqiZ2l1S/yh0T3uGqx+D2erwJfj&#10;vrj2+ffpx1dl/ka22Ow/lHp6nPJXEAGncA/DDZ/RIWOm0p3JeNEpmC/jF44qWPEC9tfxhkXJwTUL&#10;maXy/4LsDwAA//8DAFBLAQItABQABgAIAAAAIQC2gziS/gAAAOEBAAATAAAAAAAAAAAAAAAAAAAA&#10;AABbQ29udGVudF9UeXBlc10ueG1sUEsBAi0AFAAGAAgAAAAhADj9If/WAAAAlAEAAAsAAAAAAAAA&#10;AAAAAAAALwEAAF9yZWxzLy5yZWxzUEsBAi0AFAAGAAgAAAAhAALdLcBzAgAAPwUAAA4AAAAAAAAA&#10;AAAAAAAALgIAAGRycy9lMm9Eb2MueG1sUEsBAi0AFAAGAAgAAAAhAAUUrgvdAAAACQEAAA8AAAAA&#10;AAAAAAAAAAAAzQQAAGRycy9kb3ducmV2LnhtbFBLBQYAAAAABAAEAPMAAADXBQAAAAA=&#10;" filled="f" stroked="f" strokeweight="2pt">
                <v:textbox>
                  <w:txbxContent>
                    <w:p w14:paraId="319252B5" w14:textId="77777777" w:rsidR="00715E4D" w:rsidRPr="00D94C5B" w:rsidRDefault="00715E4D" w:rsidP="000447CD">
                      <w:pPr>
                        <w:pStyle w:val="Zkladntext2"/>
                        <w:jc w:val="both"/>
                        <w:rPr>
                          <w:sz w:val="25"/>
                          <w:szCs w:val="25"/>
                        </w:rPr>
                      </w:pPr>
                      <w:r w:rsidRPr="00D94C5B">
                        <w:rPr>
                          <w:sz w:val="25"/>
                          <w:szCs w:val="25"/>
                        </w:rPr>
                        <w:t xml:space="preserve">Materiál na rokovanie </w:t>
                      </w:r>
                    </w:p>
                    <w:p w14:paraId="29F85CC0" w14:textId="0708BB89" w:rsidR="00715E4D" w:rsidRPr="00D94C5B" w:rsidRDefault="00715E4D" w:rsidP="000447CD">
                      <w:pPr>
                        <w:pStyle w:val="Zkladntext2"/>
                        <w:jc w:val="both"/>
                        <w:rPr>
                          <w:sz w:val="25"/>
                          <w:szCs w:val="25"/>
                        </w:rPr>
                      </w:pPr>
                      <w:r w:rsidRPr="00D94C5B">
                        <w:rPr>
                          <w:sz w:val="25"/>
                          <w:szCs w:val="25"/>
                        </w:rPr>
                        <w:t>Národnej rady Slovenskej republiky</w:t>
                      </w:r>
                    </w:p>
                    <w:p w14:paraId="6F20B68F" w14:textId="77777777" w:rsidR="00715E4D" w:rsidRDefault="00715E4D" w:rsidP="00044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77EE65" w14:textId="77777777" w:rsidR="001E0CFD" w:rsidRPr="006C1DF9" w:rsidRDefault="001E0CFD" w:rsidP="001C66E6">
      <w:pPr>
        <w:pStyle w:val="Zkladntext2"/>
        <w:jc w:val="both"/>
        <w:rPr>
          <w:sz w:val="25"/>
          <w:szCs w:val="25"/>
        </w:rPr>
      </w:pPr>
    </w:p>
    <w:p w14:paraId="6D015D9F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6871A128" w14:textId="531A005F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469E2F8E" w14:textId="10A2F494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3D9339AC" w14:textId="7BDA6F59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519B04F2" w14:textId="77777777" w:rsidR="00FC5EFC" w:rsidRPr="006C1DF9" w:rsidRDefault="00FC5EFC">
      <w:pPr>
        <w:pStyle w:val="Zkladntext2"/>
        <w:ind w:left="60"/>
        <w:jc w:val="both"/>
        <w:rPr>
          <w:sz w:val="25"/>
          <w:szCs w:val="25"/>
        </w:rPr>
      </w:pPr>
    </w:p>
    <w:p w14:paraId="43198DC8" w14:textId="77777777" w:rsidR="00FC5EFC" w:rsidRPr="006C1DF9" w:rsidRDefault="00FC5EFC">
      <w:pPr>
        <w:pStyle w:val="Zkladntext2"/>
        <w:ind w:left="60"/>
        <w:jc w:val="both"/>
        <w:rPr>
          <w:sz w:val="25"/>
          <w:szCs w:val="25"/>
        </w:rPr>
      </w:pPr>
    </w:p>
    <w:p w14:paraId="590C9988" w14:textId="77777777" w:rsidR="000447CD" w:rsidRPr="006C1DF9" w:rsidRDefault="000447CD">
      <w:pPr>
        <w:pStyle w:val="Zkladntext2"/>
        <w:ind w:left="60"/>
        <w:jc w:val="both"/>
        <w:rPr>
          <w:sz w:val="25"/>
          <w:szCs w:val="25"/>
        </w:rPr>
      </w:pPr>
    </w:p>
    <w:p w14:paraId="536AE167" w14:textId="0C84E616" w:rsidR="000447CD" w:rsidRPr="006C1DF9" w:rsidRDefault="00F42CC3" w:rsidP="00F42CC3">
      <w:pPr>
        <w:pStyle w:val="Zkladntext2"/>
        <w:ind w:left="60"/>
        <w:rPr>
          <w:sz w:val="25"/>
          <w:szCs w:val="25"/>
        </w:rPr>
      </w:pPr>
      <w:r w:rsidRPr="006C1DF9">
        <w:rPr>
          <w:sz w:val="25"/>
          <w:szCs w:val="25"/>
        </w:rPr>
        <w:fldChar w:fldCharType="begin"/>
      </w:r>
      <w:r w:rsidRPr="006C1DF9">
        <w:rPr>
          <w:sz w:val="25"/>
          <w:szCs w:val="25"/>
        </w:rPr>
        <w:instrText xml:space="preserve"> DOCPROPERTY  FSC#SKEDITIONSLOVLEX@103.510:cisloparlamenttlac  \* MERGEFORMAT </w:instrText>
      </w:r>
      <w:r w:rsidRPr="006C1DF9">
        <w:rPr>
          <w:sz w:val="25"/>
          <w:szCs w:val="25"/>
        </w:rPr>
        <w:fldChar w:fldCharType="end"/>
      </w:r>
    </w:p>
    <w:p w14:paraId="465614F1" w14:textId="72DC6D0C" w:rsidR="000447CD" w:rsidRPr="00225B79" w:rsidRDefault="00E41D07" w:rsidP="00225B79">
      <w:pPr>
        <w:pStyle w:val="Zkladntext2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1326</w:t>
      </w:r>
    </w:p>
    <w:p w14:paraId="6F6E4A4C" w14:textId="77777777" w:rsidR="000447CD" w:rsidRPr="00225B79" w:rsidRDefault="000447CD" w:rsidP="00225B79">
      <w:pPr>
        <w:pStyle w:val="Zkladntext2"/>
        <w:ind w:left="60"/>
        <w:rPr>
          <w:sz w:val="28"/>
          <w:szCs w:val="28"/>
        </w:rPr>
      </w:pPr>
    </w:p>
    <w:p w14:paraId="4CB5C2B8" w14:textId="3C109429" w:rsidR="00B17B60" w:rsidRPr="00225B79" w:rsidRDefault="00134E01" w:rsidP="00225B79">
      <w:pPr>
        <w:pStyle w:val="Zkladntext2"/>
        <w:rPr>
          <w:b/>
          <w:sz w:val="28"/>
          <w:szCs w:val="28"/>
        </w:rPr>
      </w:pPr>
      <w:r w:rsidRPr="00225B79">
        <w:rPr>
          <w:b/>
          <w:sz w:val="28"/>
          <w:szCs w:val="28"/>
        </w:rPr>
        <w:t>NÁVRH</w:t>
      </w:r>
    </w:p>
    <w:p w14:paraId="02D831D5" w14:textId="77777777" w:rsidR="001D4826" w:rsidRPr="00225B79" w:rsidRDefault="001D4826" w:rsidP="00225B79">
      <w:pPr>
        <w:pStyle w:val="Zkladntext2"/>
        <w:rPr>
          <w:b/>
          <w:sz w:val="28"/>
          <w:szCs w:val="28"/>
        </w:rPr>
      </w:pPr>
    </w:p>
    <w:p w14:paraId="1A5675CD" w14:textId="77777777" w:rsidR="00134E01" w:rsidRPr="00225B79" w:rsidRDefault="00134E01" w:rsidP="00225B79">
      <w:pPr>
        <w:pStyle w:val="Zkladntext2"/>
        <w:rPr>
          <w:b/>
          <w:sz w:val="28"/>
          <w:szCs w:val="28"/>
        </w:rPr>
      </w:pPr>
    </w:p>
    <w:p w14:paraId="72162595" w14:textId="4800C9FA" w:rsidR="002C61CF" w:rsidRDefault="002C61CF" w:rsidP="002C61CF">
      <w:pPr>
        <w:pStyle w:val="Zkladntext2"/>
        <w:pBdr>
          <w:bottom w:val="single" w:sz="6" w:space="1" w:color="auto"/>
        </w:pBdr>
        <w:ind w:left="60"/>
        <w:rPr>
          <w:b/>
          <w:sz w:val="28"/>
          <w:szCs w:val="28"/>
        </w:rPr>
      </w:pPr>
      <w:r w:rsidRPr="002C61CF">
        <w:rPr>
          <w:b/>
          <w:sz w:val="28"/>
          <w:szCs w:val="28"/>
        </w:rPr>
        <w:t xml:space="preserve">na vyslovenie súhlasu Národnej rady Slovenskej republiky s Dohodou </w:t>
      </w:r>
      <w:r w:rsidR="00107C12">
        <w:rPr>
          <w:b/>
          <w:sz w:val="28"/>
          <w:szCs w:val="28"/>
        </w:rPr>
        <w:br/>
      </w:r>
      <w:r w:rsidR="005F4915" w:rsidRPr="005F4915">
        <w:rPr>
          <w:b/>
          <w:sz w:val="28"/>
          <w:szCs w:val="28"/>
        </w:rPr>
        <w:t>o komplexnom a posilnenom partnerstve medzi Európskou úniou a Európskym spoločenstvom pre atómovú energiu a ich členskými štátmi na jednej strane a Arménskou republikou na strane druhej</w:t>
      </w:r>
    </w:p>
    <w:p w14:paraId="61514998" w14:textId="77777777" w:rsidR="005F4915" w:rsidRPr="002C61CF" w:rsidRDefault="005F4915" w:rsidP="002C61CF">
      <w:pPr>
        <w:pStyle w:val="Zkladntext2"/>
        <w:pBdr>
          <w:bottom w:val="single" w:sz="6" w:space="1" w:color="auto"/>
        </w:pBdr>
        <w:ind w:left="60"/>
        <w:rPr>
          <w:b/>
          <w:sz w:val="28"/>
          <w:szCs w:val="28"/>
        </w:rPr>
      </w:pPr>
    </w:p>
    <w:p w14:paraId="1B977A04" w14:textId="77777777" w:rsidR="001D4826" w:rsidRPr="006C1DF9" w:rsidRDefault="001D4826">
      <w:pPr>
        <w:pStyle w:val="Zkladntext2"/>
        <w:ind w:left="60"/>
        <w:rPr>
          <w:b/>
          <w:bCs/>
          <w:sz w:val="25"/>
          <w:szCs w:val="25"/>
        </w:rPr>
      </w:pPr>
    </w:p>
    <w:p w14:paraId="05FA65F8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4BA88F2D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tbl>
      <w:tblPr>
        <w:tblStyle w:val="Mriekatabuky"/>
        <w:tblW w:w="883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969"/>
      </w:tblGrid>
      <w:tr w:rsidR="00A56B40" w:rsidRPr="006C1DF9" w14:paraId="4F71F17C" w14:textId="77777777" w:rsidTr="00DA4AD4">
        <w:tc>
          <w:tcPr>
            <w:tcW w:w="4868" w:type="dxa"/>
          </w:tcPr>
          <w:p w14:paraId="16353520" w14:textId="2B0B9086" w:rsidR="00A56B40" w:rsidRPr="006C1DF9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3969" w:type="dxa"/>
          </w:tcPr>
          <w:p w14:paraId="1243D5E8" w14:textId="76B1F30E" w:rsidR="00A56B40" w:rsidRPr="006C1DF9" w:rsidRDefault="00715E4D" w:rsidP="00715E4D">
            <w:pPr>
              <w:pStyle w:val="Zkladntext2"/>
              <w:ind w:left="-108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u w:val="single"/>
              </w:rPr>
              <w:t>Obsah materiálu</w:t>
            </w:r>
            <w:r w:rsidR="001D4826" w:rsidRPr="006C1DF9">
              <w:rPr>
                <w:b/>
                <w:sz w:val="25"/>
                <w:szCs w:val="25"/>
                <w:u w:val="single"/>
              </w:rPr>
              <w:t>:</w:t>
            </w:r>
          </w:p>
        </w:tc>
      </w:tr>
      <w:tr w:rsidR="00A56B40" w:rsidRPr="006C1DF9" w14:paraId="55036A4D" w14:textId="77777777" w:rsidTr="00DA4AD4">
        <w:trPr>
          <w:trHeight w:val="4451"/>
        </w:trPr>
        <w:tc>
          <w:tcPr>
            <w:tcW w:w="4868" w:type="dxa"/>
          </w:tcPr>
          <w:p w14:paraId="23C64551" w14:textId="77777777" w:rsidR="00A56B40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085DF731" w14:textId="77777777" w:rsidR="00715E4D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17E0C036" w14:textId="77777777" w:rsidR="00715E4D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6149F178" w14:textId="538832A4" w:rsidR="00715E4D" w:rsidRPr="006C1DF9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3969" w:type="dxa"/>
          </w:tcPr>
          <w:p w14:paraId="243A8DF1" w14:textId="77777777" w:rsidR="00715E4D" w:rsidRDefault="00715E4D" w:rsidP="00DA4AD4">
            <w:pPr>
              <w:pStyle w:val="Zkladntext2"/>
              <w:ind w:left="-108" w:right="-300"/>
              <w:jc w:val="both"/>
              <w:rPr>
                <w:sz w:val="25"/>
                <w:szCs w:val="25"/>
              </w:rPr>
            </w:pPr>
          </w:p>
          <w:p w14:paraId="75642479" w14:textId="77777777" w:rsidR="00715E4D" w:rsidRDefault="00715E4D" w:rsidP="00DA4AD4">
            <w:pPr>
              <w:pStyle w:val="Zkladntext2"/>
              <w:ind w:left="-108" w:right="-300"/>
              <w:jc w:val="both"/>
              <w:rPr>
                <w:sz w:val="25"/>
                <w:szCs w:val="25"/>
              </w:rPr>
            </w:pPr>
          </w:p>
          <w:p w14:paraId="1DD83291" w14:textId="6CF95D2F" w:rsidR="00715E4D" w:rsidRDefault="00715E4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Návrh uznesenia NR SR</w:t>
            </w:r>
          </w:p>
          <w:p w14:paraId="7E87D8D2" w14:textId="790FA149" w:rsidR="00715E4D" w:rsidRDefault="00715E4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Predkladacia správa </w:t>
            </w:r>
          </w:p>
          <w:p w14:paraId="0BE76276" w14:textId="77777777" w:rsidR="005B7FED" w:rsidRDefault="005B7FED" w:rsidP="005B7FE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vplyvov</w:t>
            </w:r>
          </w:p>
          <w:p w14:paraId="4184AFD7" w14:textId="77777777" w:rsidR="005B7FED" w:rsidRDefault="005B7FED" w:rsidP="005B7FE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prednosti</w:t>
            </w:r>
          </w:p>
          <w:p w14:paraId="320DB209" w14:textId="6DF943EA" w:rsidR="00715E4D" w:rsidRDefault="005B7FE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Vlastný materiál SK a EN</w:t>
            </w:r>
          </w:p>
          <w:p w14:paraId="6CC1771C" w14:textId="57F18103" w:rsidR="001D4826" w:rsidRPr="00715E4D" w:rsidRDefault="004A344B" w:rsidP="00D56FF9">
            <w:pPr>
              <w:pStyle w:val="Zkladntext2"/>
              <w:ind w:left="-108" w:right="-108"/>
              <w:jc w:val="both"/>
              <w:rPr>
                <w:b/>
                <w:sz w:val="25"/>
                <w:szCs w:val="25"/>
              </w:rPr>
            </w:pP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FSC#SKEDITIONSLOVLEX@103.510:nazovpredpis1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FSC#SKEDITIONSLOVLEX@103.510:nazovpredpis2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FSC#SKEDITIONSLOVLEX@103.510:nazovpredpis3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</w:p>
        </w:tc>
      </w:tr>
    </w:tbl>
    <w:p w14:paraId="587D3055" w14:textId="70F28CDA" w:rsidR="001E0CFD" w:rsidRPr="006C1DF9" w:rsidRDefault="001E0CFD" w:rsidP="00B80B1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6C1DF9">
        <w:rPr>
          <w:b/>
          <w:bCs/>
          <w:sz w:val="25"/>
          <w:szCs w:val="25"/>
          <w:u w:val="single"/>
        </w:rPr>
        <w:t>Predkladá:</w:t>
      </w:r>
    </w:p>
    <w:p w14:paraId="015F7C3E" w14:textId="7F8BED19" w:rsidR="00715E4D" w:rsidRDefault="00857025" w:rsidP="00857025">
      <w:pPr>
        <w:rPr>
          <w:sz w:val="25"/>
          <w:szCs w:val="25"/>
        </w:rPr>
      </w:pPr>
      <w:r w:rsidRPr="006C1DF9">
        <w:rPr>
          <w:sz w:val="25"/>
          <w:szCs w:val="25"/>
        </w:rPr>
        <w:fldChar w:fldCharType="begin"/>
      </w:r>
      <w:r w:rsidRPr="006C1DF9">
        <w:rPr>
          <w:sz w:val="25"/>
          <w:szCs w:val="25"/>
        </w:rPr>
        <w:instrText xml:space="preserve"> DOCPROPERTY  FSC#SKEDITIONSLOVLE</w:instrText>
      </w:r>
      <w:r w:rsidR="009F0446" w:rsidRPr="006C1DF9">
        <w:rPr>
          <w:sz w:val="25"/>
          <w:szCs w:val="25"/>
        </w:rPr>
        <w:instrText>X@103.510:predkladateliaObalSD</w:instrText>
      </w:r>
      <w:r w:rsidRPr="006C1DF9">
        <w:rPr>
          <w:sz w:val="25"/>
          <w:szCs w:val="25"/>
        </w:rPr>
        <w:instrText xml:space="preserve">\* MERGEFORMAT </w:instrText>
      </w:r>
      <w:r w:rsidRPr="006C1DF9">
        <w:rPr>
          <w:sz w:val="25"/>
          <w:szCs w:val="25"/>
        </w:rPr>
        <w:fldChar w:fldCharType="separate"/>
      </w:r>
      <w:r w:rsidR="00926F68">
        <w:rPr>
          <w:sz w:val="25"/>
          <w:szCs w:val="25"/>
        </w:rPr>
        <w:t xml:space="preserve">Peter </w:t>
      </w:r>
      <w:proofErr w:type="spellStart"/>
      <w:r w:rsidR="00926F68">
        <w:rPr>
          <w:sz w:val="25"/>
          <w:szCs w:val="25"/>
        </w:rPr>
        <w:t>Pellegrini</w:t>
      </w:r>
      <w:proofErr w:type="spellEnd"/>
    </w:p>
    <w:p w14:paraId="1089F516" w14:textId="77777777" w:rsidR="00715E4D" w:rsidRDefault="00715E4D" w:rsidP="00857025">
      <w:pPr>
        <w:rPr>
          <w:sz w:val="25"/>
          <w:szCs w:val="25"/>
        </w:rPr>
      </w:pPr>
      <w:r>
        <w:rPr>
          <w:sz w:val="25"/>
          <w:szCs w:val="25"/>
        </w:rPr>
        <w:t xml:space="preserve">predseda vlády </w:t>
      </w:r>
    </w:p>
    <w:p w14:paraId="657052C0" w14:textId="70E5C25C" w:rsidR="00374615" w:rsidRPr="006C1DF9" w:rsidRDefault="00715E4D" w:rsidP="00857025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857025" w:rsidRPr="006C1DF9">
        <w:rPr>
          <w:sz w:val="25"/>
          <w:szCs w:val="25"/>
        </w:rPr>
        <w:fldChar w:fldCharType="end"/>
      </w:r>
      <w:bookmarkStart w:id="0" w:name="_GoBack"/>
      <w:bookmarkEnd w:id="0"/>
    </w:p>
    <w:sectPr w:rsidR="00374615" w:rsidRPr="006C1DF9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BA5F" w14:textId="77777777" w:rsidR="00715E4D" w:rsidRDefault="00715E4D" w:rsidP="00AF1D48">
      <w:r>
        <w:separator/>
      </w:r>
    </w:p>
  </w:endnote>
  <w:endnote w:type="continuationSeparator" w:id="0">
    <w:p w14:paraId="2B02FC3F" w14:textId="77777777" w:rsidR="00715E4D" w:rsidRDefault="00715E4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D0E5D35" w:rsidR="00715E4D" w:rsidRDefault="00715E4D" w:rsidP="00AF1D48">
    <w:pPr>
      <w:pStyle w:val="Zkladntext2"/>
      <w:ind w:left="60"/>
      <w:jc w:val="both"/>
    </w:pPr>
    <w:r>
      <w:ptab w:relativeTo="margin" w:alignment="center" w:leader="none"/>
    </w:r>
    <w:r>
      <w:t>B</w:t>
    </w:r>
    <w:r w:rsidRPr="00E41D07">
      <w:t>ratislava</w:t>
    </w:r>
    <w:r w:rsidR="00A075C1">
      <w:t xml:space="preserve"> 4. marca 2019</w:t>
    </w:r>
  </w:p>
  <w:p w14:paraId="3706BA5D" w14:textId="77777777" w:rsidR="00715E4D" w:rsidRDefault="00715E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09CA" w14:textId="77777777" w:rsidR="00715E4D" w:rsidRDefault="00715E4D" w:rsidP="00AF1D48">
      <w:r>
        <w:separator/>
      </w:r>
    </w:p>
  </w:footnote>
  <w:footnote w:type="continuationSeparator" w:id="0">
    <w:p w14:paraId="0721DAEA" w14:textId="77777777" w:rsidR="00715E4D" w:rsidRDefault="00715E4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3406"/>
    <w:multiLevelType w:val="hybridMultilevel"/>
    <w:tmpl w:val="CC6C07B4"/>
    <w:lvl w:ilvl="0" w:tplc="945C2B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3D47"/>
    <w:rsid w:val="00021BB3"/>
    <w:rsid w:val="000447CD"/>
    <w:rsid w:val="0008024F"/>
    <w:rsid w:val="000E6767"/>
    <w:rsid w:val="000F1F5A"/>
    <w:rsid w:val="00107C12"/>
    <w:rsid w:val="001309B8"/>
    <w:rsid w:val="00134E01"/>
    <w:rsid w:val="001725A4"/>
    <w:rsid w:val="001C66E6"/>
    <w:rsid w:val="001D4826"/>
    <w:rsid w:val="001E0CFD"/>
    <w:rsid w:val="00211D55"/>
    <w:rsid w:val="00212C7D"/>
    <w:rsid w:val="00225B79"/>
    <w:rsid w:val="0028074A"/>
    <w:rsid w:val="002B0B5D"/>
    <w:rsid w:val="002C61CF"/>
    <w:rsid w:val="00344E1B"/>
    <w:rsid w:val="0036022E"/>
    <w:rsid w:val="00374615"/>
    <w:rsid w:val="00374DC6"/>
    <w:rsid w:val="003D115D"/>
    <w:rsid w:val="003D5D2C"/>
    <w:rsid w:val="00424324"/>
    <w:rsid w:val="00432107"/>
    <w:rsid w:val="0045356E"/>
    <w:rsid w:val="00466CAB"/>
    <w:rsid w:val="00472A09"/>
    <w:rsid w:val="004A344B"/>
    <w:rsid w:val="004C54F5"/>
    <w:rsid w:val="004D260A"/>
    <w:rsid w:val="004F4A43"/>
    <w:rsid w:val="00534A91"/>
    <w:rsid w:val="00560EE7"/>
    <w:rsid w:val="005A2E35"/>
    <w:rsid w:val="005B3D4B"/>
    <w:rsid w:val="005B7FED"/>
    <w:rsid w:val="005C2A35"/>
    <w:rsid w:val="005C3D03"/>
    <w:rsid w:val="005F4915"/>
    <w:rsid w:val="006262C7"/>
    <w:rsid w:val="0066768C"/>
    <w:rsid w:val="006C01EE"/>
    <w:rsid w:val="006C1DF9"/>
    <w:rsid w:val="006C4BE9"/>
    <w:rsid w:val="00715BE7"/>
    <w:rsid w:val="00715E4D"/>
    <w:rsid w:val="00720950"/>
    <w:rsid w:val="00735A6B"/>
    <w:rsid w:val="007464E6"/>
    <w:rsid w:val="00756C11"/>
    <w:rsid w:val="00756C98"/>
    <w:rsid w:val="0078171E"/>
    <w:rsid w:val="007C06CB"/>
    <w:rsid w:val="007D08BA"/>
    <w:rsid w:val="00857025"/>
    <w:rsid w:val="008B7551"/>
    <w:rsid w:val="008E2F5D"/>
    <w:rsid w:val="00907265"/>
    <w:rsid w:val="00926F68"/>
    <w:rsid w:val="0094625B"/>
    <w:rsid w:val="009851C2"/>
    <w:rsid w:val="009C6528"/>
    <w:rsid w:val="009F0446"/>
    <w:rsid w:val="009F257F"/>
    <w:rsid w:val="00A075C1"/>
    <w:rsid w:val="00A50604"/>
    <w:rsid w:val="00A56B40"/>
    <w:rsid w:val="00A67BA6"/>
    <w:rsid w:val="00A8458D"/>
    <w:rsid w:val="00AD00D4"/>
    <w:rsid w:val="00AF1D48"/>
    <w:rsid w:val="00B17B60"/>
    <w:rsid w:val="00B80B14"/>
    <w:rsid w:val="00BB1394"/>
    <w:rsid w:val="00BD1807"/>
    <w:rsid w:val="00C542BA"/>
    <w:rsid w:val="00CB21F3"/>
    <w:rsid w:val="00CD2D08"/>
    <w:rsid w:val="00D50B1D"/>
    <w:rsid w:val="00D56FF9"/>
    <w:rsid w:val="00D94C5B"/>
    <w:rsid w:val="00DA4AD4"/>
    <w:rsid w:val="00DA4E0A"/>
    <w:rsid w:val="00E11820"/>
    <w:rsid w:val="00E237BA"/>
    <w:rsid w:val="00E41D07"/>
    <w:rsid w:val="00EA7A62"/>
    <w:rsid w:val="00EB7380"/>
    <w:rsid w:val="00EC6B42"/>
    <w:rsid w:val="00F0270E"/>
    <w:rsid w:val="00F42CC3"/>
    <w:rsid w:val="00F85D7A"/>
    <w:rsid w:val="00FA68EA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BD67B4BB-A856-45F5-B7C6-AD1D3A7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8E2F5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Národnej rady SR"/>
    <f:field ref="objsubject" par="" edit="true" text="Obal materiálu na rokovanie Národnej rady SR"/>
    <f:field ref="objcreatedby" par="" text="Administrator, System"/>
    <f:field ref="objcreatedat" par="" text="24.5.2017 11:03:54"/>
    <f:field ref="objchangedby" par="" text="Administrator, System"/>
    <f:field ref="objmodifiedat" par="" text="24.5.2017 11:03:58"/>
    <f:field ref="doc_FSCFOLIO_1_1001_FieldDocumentNumber" par="" text=""/>
    <f:field ref="doc_FSCFOLIO_1_1001_FieldSubject" par="" edit="true" text="Obal materiálu na rokovanie Národnej ra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Turosik Patrik /OPEU/MZV</cp:lastModifiedBy>
  <cp:revision>14</cp:revision>
  <cp:lastPrinted>2018-11-08T13:17:00Z</cp:lastPrinted>
  <dcterms:created xsi:type="dcterms:W3CDTF">2018-11-08T11:07:00Z</dcterms:created>
  <dcterms:modified xsi:type="dcterms:W3CDTF">2019-03-11T08:03:00Z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COO.2145.1000.3.1980713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politickom dialógu a spolupráci medzi Európskou úniou a jej členskými štátmi na jednej strane a Kubánskou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politickom dialógu a spolupráci medzi Európskou úniou a jej členskými štátmi na jednej strane a Kubánskou republikou na strane druhej</vt:lpwstr>
  </property>
  <property fmtid="{D5CDD505-2E9C-101B-9397-08002B2CF9AE}" pid="19" name="FSC#SKEDITIONSLOVLEX@103.510:rezortcislopredpis">
    <vt:lpwstr>018543/2017-OPEU-0029572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Prípadné výdavky súvisiace s plnením dohody, budú zabezpečené v rámci schválených limitov výdavkov dotknutých kapitol na príslušný rozpočtový rok, bez zvýšených požiadaviek na rozpočet verejnej správy.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6.1. Jednotnej metodiky na posudzovanie vybraných vplyvov sa materiál nepredkladá na PPK.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uzavretie Dohody o politickom dialógu a spolupráci medzi Európskou úniou a jej členskými štátmi na jednej strane a Kubánskou republikou na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justify;"&gt;&lt;em&gt;Návrh na uzavretie Dohody o politickom dialógu a spolupráci medzi Európskou úniou a jej členskými štátmi na jednej strane a Kubánskou republikou na strane druhej&lt;/em&gt; &lt;em&gt;(ďalej len „dohoda“) &lt;/em&gt;sa predkladá na rokova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