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D7E" w:rsidRPr="003862A1" w:rsidRDefault="00974B1B" w:rsidP="00D20043">
      <w:pPr>
        <w:pStyle w:val="Normlnywebov"/>
        <w:spacing w:before="120" w:beforeAutospacing="0" w:after="0" w:afterAutospacing="0" w:line="276" w:lineRule="auto"/>
        <w:jc w:val="center"/>
        <w:rPr>
          <w:b/>
          <w:bCs/>
          <w:caps/>
          <w:spacing w:val="30"/>
        </w:rPr>
      </w:pPr>
      <w:bookmarkStart w:id="0" w:name="_GoBack"/>
      <w:bookmarkEnd w:id="0"/>
      <w:r w:rsidRPr="003862A1">
        <w:rPr>
          <w:b/>
          <w:bCs/>
          <w:caps/>
          <w:spacing w:val="30"/>
        </w:rPr>
        <w:t>Dôvodová správa</w:t>
      </w:r>
    </w:p>
    <w:p w:rsidR="00B37BEE" w:rsidRPr="003862A1" w:rsidRDefault="00B37BEE" w:rsidP="00D20043">
      <w:pPr>
        <w:pStyle w:val="Normlnywebov"/>
        <w:spacing w:before="120" w:beforeAutospacing="0" w:after="0" w:afterAutospacing="0" w:line="276" w:lineRule="auto"/>
        <w:jc w:val="center"/>
      </w:pPr>
    </w:p>
    <w:p w:rsidR="000A2D7E" w:rsidRPr="003862A1" w:rsidRDefault="000A2D7E" w:rsidP="006F72C5">
      <w:pPr>
        <w:widowControl/>
        <w:numPr>
          <w:ilvl w:val="0"/>
          <w:numId w:val="1"/>
        </w:numPr>
        <w:tabs>
          <w:tab w:val="clear" w:pos="720"/>
          <w:tab w:val="num" w:pos="0"/>
        </w:tabs>
        <w:suppressAutoHyphens w:val="0"/>
        <w:spacing w:before="120" w:line="276" w:lineRule="auto"/>
        <w:ind w:left="0" w:firstLine="0"/>
        <w:jc w:val="both"/>
        <w:rPr>
          <w:rFonts w:cs="Times New Roman"/>
          <w:b/>
          <w:bCs/>
        </w:rPr>
      </w:pPr>
      <w:r w:rsidRPr="003862A1">
        <w:rPr>
          <w:rFonts w:cs="Times New Roman"/>
          <w:b/>
          <w:bCs/>
        </w:rPr>
        <w:t>Všeobecná časť</w:t>
      </w:r>
    </w:p>
    <w:p w:rsidR="00974B1B" w:rsidRPr="003862A1" w:rsidRDefault="00974B1B" w:rsidP="00974B1B">
      <w:pPr>
        <w:spacing w:before="120" w:line="276" w:lineRule="auto"/>
        <w:ind w:firstLine="708"/>
        <w:jc w:val="both"/>
        <w:rPr>
          <w:rFonts w:cs="Times New Roman"/>
        </w:rPr>
      </w:pPr>
      <w:r w:rsidRPr="003862A1">
        <w:rPr>
          <w:rFonts w:cs="Times New Roman"/>
        </w:rPr>
        <w:t>Návrh zákona</w:t>
      </w:r>
      <w:r w:rsidR="000A2D7E" w:rsidRPr="003862A1">
        <w:rPr>
          <w:rFonts w:cs="Times New Roman"/>
          <w:kern w:val="0"/>
          <w:lang w:eastAsia="sk-SK" w:bidi="ar-SA"/>
        </w:rPr>
        <w:t xml:space="preserve">, ktorým sa mení a dopĺňa zákon </w:t>
      </w:r>
      <w:r w:rsidR="009F568F" w:rsidRPr="003862A1">
        <w:rPr>
          <w:rFonts w:cs="Times New Roman"/>
          <w:kern w:val="0"/>
          <w:lang w:eastAsia="sk-SK" w:bidi="ar-SA"/>
        </w:rPr>
        <w:t>č. 541/2004 Z. z. o mierovom využívaní jadrovej energie (atómový zákon) a o zmene a doplnení niektorých zákonov v znení neskorších predpisov</w:t>
      </w:r>
      <w:r w:rsidR="003862A1" w:rsidRPr="003862A1">
        <w:rPr>
          <w:rFonts w:cs="Times New Roman"/>
          <w:kern w:val="0"/>
          <w:lang w:eastAsia="sk-SK" w:bidi="ar-SA"/>
        </w:rPr>
        <w:t xml:space="preserve"> </w:t>
      </w:r>
      <w:r w:rsidR="003862A1" w:rsidRPr="003862A1">
        <w:rPr>
          <w:bCs/>
          <w:szCs w:val="22"/>
        </w:rPr>
        <w:t>a o zmene a doplnení zákona č. 50/1976 Zb. o územnom plánovaní a stavebnom poriadku (stavebný zákon) v znení neskorších predpisov</w:t>
      </w:r>
      <w:r w:rsidRPr="003862A1">
        <w:rPr>
          <w:rFonts w:cs="Times New Roman"/>
          <w:kern w:val="0"/>
          <w:lang w:eastAsia="sk-SK" w:bidi="ar-SA"/>
        </w:rPr>
        <w:t xml:space="preserve"> </w:t>
      </w:r>
      <w:r w:rsidR="006E006C">
        <w:rPr>
          <w:rFonts w:cs="Times New Roman"/>
        </w:rPr>
        <w:t>predkladajú</w:t>
      </w:r>
      <w:r w:rsidRPr="003862A1">
        <w:rPr>
          <w:rFonts w:cs="Times New Roman"/>
        </w:rPr>
        <w:t xml:space="preserve"> </w:t>
      </w:r>
      <w:r w:rsidR="006E006C">
        <w:rPr>
          <w:rFonts w:cs="Times New Roman"/>
        </w:rPr>
        <w:t>poslan</w:t>
      </w:r>
      <w:r w:rsidR="009F568F" w:rsidRPr="003862A1">
        <w:rPr>
          <w:rFonts w:cs="Times New Roman"/>
        </w:rPr>
        <w:t>c</w:t>
      </w:r>
      <w:r w:rsidR="006E006C">
        <w:rPr>
          <w:rFonts w:cs="Times New Roman"/>
        </w:rPr>
        <w:t>i</w:t>
      </w:r>
      <w:r w:rsidRPr="003862A1">
        <w:rPr>
          <w:rFonts w:cs="Times New Roman"/>
        </w:rPr>
        <w:t xml:space="preserve"> Národnej rady Slovenskej </w:t>
      </w:r>
      <w:r w:rsidR="00D20043" w:rsidRPr="003862A1">
        <w:rPr>
          <w:rFonts w:cs="Times New Roman"/>
        </w:rPr>
        <w:t>republiky</w:t>
      </w:r>
      <w:r w:rsidR="000F7E76" w:rsidRPr="003862A1">
        <w:rPr>
          <w:rFonts w:cs="Times New Roman"/>
        </w:rPr>
        <w:t xml:space="preserve"> </w:t>
      </w:r>
      <w:r w:rsidR="003862A1">
        <w:rPr>
          <w:rFonts w:cs="Times New Roman"/>
        </w:rPr>
        <w:t>Róbert Puci</w:t>
      </w:r>
      <w:r w:rsidR="006E006C">
        <w:rPr>
          <w:rFonts w:cs="Times New Roman"/>
        </w:rPr>
        <w:t xml:space="preserve"> a</w:t>
      </w:r>
      <w:r w:rsidR="00033982">
        <w:rPr>
          <w:rFonts w:cs="Times New Roman"/>
        </w:rPr>
        <w:t> Maroš Kondrót</w:t>
      </w:r>
      <w:r w:rsidR="003862A1">
        <w:rPr>
          <w:rFonts w:cs="Times New Roman"/>
        </w:rPr>
        <w:t>.</w:t>
      </w:r>
    </w:p>
    <w:p w:rsidR="0092350A" w:rsidRPr="003862A1" w:rsidRDefault="00B87011" w:rsidP="00974B1B">
      <w:pPr>
        <w:spacing w:before="120" w:line="276" w:lineRule="auto"/>
        <w:ind w:firstLine="708"/>
        <w:jc w:val="both"/>
        <w:rPr>
          <w:rFonts w:cs="Times New Roman"/>
        </w:rPr>
      </w:pPr>
      <w:r w:rsidRPr="003862A1">
        <w:rPr>
          <w:rFonts w:cs="Times New Roman"/>
        </w:rPr>
        <w:t>Predkladaný návrh zákona reaguje na potreby, ktoré vyplynuli z doterajšej praxe Úradu jadrového dozoru Slovenskej republiky v rámci výkonu jeho dozornej činnosti, predovšetkým v</w:t>
      </w:r>
      <w:r w:rsidR="00B91BF6" w:rsidRPr="003862A1">
        <w:rPr>
          <w:rFonts w:cs="Times New Roman"/>
        </w:rPr>
        <w:t> súvislosti so</w:t>
      </w:r>
      <w:r w:rsidRPr="003862A1">
        <w:rPr>
          <w:rFonts w:cs="Times New Roman"/>
        </w:rPr>
        <w:t xml:space="preserve"> správny</w:t>
      </w:r>
      <w:r w:rsidR="00B91BF6" w:rsidRPr="003862A1">
        <w:rPr>
          <w:rFonts w:cs="Times New Roman"/>
        </w:rPr>
        <w:t>mi konaniami</w:t>
      </w:r>
      <w:r w:rsidRPr="003862A1">
        <w:rPr>
          <w:rFonts w:cs="Times New Roman"/>
        </w:rPr>
        <w:t xml:space="preserve"> </w:t>
      </w:r>
      <w:r w:rsidR="00072634" w:rsidRPr="003862A1">
        <w:rPr>
          <w:rFonts w:cs="Times New Roman"/>
        </w:rPr>
        <w:t>týkajúci</w:t>
      </w:r>
      <w:r w:rsidR="00B91BF6" w:rsidRPr="003862A1">
        <w:rPr>
          <w:rFonts w:cs="Times New Roman"/>
        </w:rPr>
        <w:t>mi</w:t>
      </w:r>
      <w:r w:rsidR="00072634" w:rsidRPr="003862A1">
        <w:rPr>
          <w:rFonts w:cs="Times New Roman"/>
        </w:rPr>
        <w:t xml:space="preserve"> sa</w:t>
      </w:r>
      <w:r w:rsidRPr="003862A1">
        <w:rPr>
          <w:rFonts w:cs="Times New Roman"/>
        </w:rPr>
        <w:t> jadr</w:t>
      </w:r>
      <w:r w:rsidR="00072634" w:rsidRPr="003862A1">
        <w:rPr>
          <w:rFonts w:cs="Times New Roman"/>
        </w:rPr>
        <w:t>ových</w:t>
      </w:r>
      <w:r w:rsidRPr="003862A1">
        <w:rPr>
          <w:rFonts w:cs="Times New Roman"/>
        </w:rPr>
        <w:t xml:space="preserve"> </w:t>
      </w:r>
      <w:r w:rsidR="00072634" w:rsidRPr="003862A1">
        <w:rPr>
          <w:rFonts w:cs="Times New Roman"/>
        </w:rPr>
        <w:t>zariadení</w:t>
      </w:r>
      <w:r w:rsidRPr="003862A1">
        <w:rPr>
          <w:rFonts w:cs="Times New Roman"/>
        </w:rPr>
        <w:t>, ktoré sú na Úrade</w:t>
      </w:r>
      <w:r w:rsidR="000652E7" w:rsidRPr="003862A1">
        <w:rPr>
          <w:rFonts w:cs="Times New Roman"/>
        </w:rPr>
        <w:t xml:space="preserve"> jadrového dozoru SR</w:t>
      </w:r>
      <w:r w:rsidRPr="003862A1">
        <w:rPr>
          <w:rFonts w:cs="Times New Roman"/>
        </w:rPr>
        <w:t xml:space="preserve"> vedené.</w:t>
      </w:r>
      <w:r w:rsidR="00F124A9" w:rsidRPr="003862A1">
        <w:rPr>
          <w:rFonts w:cs="Times New Roman"/>
        </w:rPr>
        <w:t xml:space="preserve"> </w:t>
      </w:r>
      <w:r w:rsidR="00DE2DC7" w:rsidRPr="003862A1">
        <w:rPr>
          <w:rFonts w:cs="Times New Roman"/>
        </w:rPr>
        <w:t>Hlavným cieľom je predovšetkým</w:t>
      </w:r>
      <w:r w:rsidR="009D71DC" w:rsidRPr="003862A1">
        <w:rPr>
          <w:rFonts w:cs="Times New Roman"/>
        </w:rPr>
        <w:t xml:space="preserve"> zlepšenie hospodárnosti a</w:t>
      </w:r>
      <w:r w:rsidR="00DE2DC7" w:rsidRPr="003862A1">
        <w:rPr>
          <w:rFonts w:cs="Times New Roman"/>
        </w:rPr>
        <w:t xml:space="preserve"> zefektívnenie vedených správnych konaní. Činnosti, ktoré sú predmetom dozoru Úradu </w:t>
      </w:r>
      <w:r w:rsidR="000652E7" w:rsidRPr="003862A1">
        <w:rPr>
          <w:rFonts w:cs="Times New Roman"/>
        </w:rPr>
        <w:t xml:space="preserve">jadrového dozoru SR </w:t>
      </w:r>
      <w:r w:rsidR="00DE2DC7" w:rsidRPr="003862A1">
        <w:rPr>
          <w:rFonts w:cs="Times New Roman"/>
        </w:rPr>
        <w:t>sa dotýkajú ochrany životného prostredia</w:t>
      </w:r>
      <w:r w:rsidR="000652E7" w:rsidRPr="003862A1">
        <w:rPr>
          <w:rFonts w:cs="Times New Roman"/>
        </w:rPr>
        <w:t xml:space="preserve"> a teda</w:t>
      </w:r>
      <w:r w:rsidR="002B1A89" w:rsidRPr="003862A1">
        <w:rPr>
          <w:rFonts w:cs="Times New Roman"/>
        </w:rPr>
        <w:t xml:space="preserve"> </w:t>
      </w:r>
      <w:r w:rsidR="00DE2DC7" w:rsidRPr="003862A1">
        <w:rPr>
          <w:rFonts w:cs="Times New Roman"/>
        </w:rPr>
        <w:t>vyvolávajú zvýšený záujem verejnosti</w:t>
      </w:r>
      <w:r w:rsidR="000652E7" w:rsidRPr="003862A1">
        <w:rPr>
          <w:rFonts w:cs="Times New Roman"/>
        </w:rPr>
        <w:t xml:space="preserve">, čo sa môže prejaviť i na zvýšenom počte účastníkov konania z radov </w:t>
      </w:r>
      <w:r w:rsidR="00496ED6" w:rsidRPr="003862A1">
        <w:rPr>
          <w:rFonts w:cs="Times New Roman"/>
        </w:rPr>
        <w:t xml:space="preserve">verejnosti, na čo navrhovaná právna úprava reaguje. </w:t>
      </w:r>
    </w:p>
    <w:p w:rsidR="000652E7" w:rsidRPr="003862A1" w:rsidRDefault="00B91BF6" w:rsidP="0092350A">
      <w:pPr>
        <w:spacing w:before="120" w:line="276" w:lineRule="auto"/>
        <w:ind w:firstLine="708"/>
        <w:jc w:val="both"/>
        <w:rPr>
          <w:rFonts w:cs="Times New Roman"/>
        </w:rPr>
      </w:pPr>
      <w:r w:rsidRPr="003862A1">
        <w:rPr>
          <w:rFonts w:cs="Times New Roman"/>
        </w:rPr>
        <w:t>Jednou zo základných požiadaviek, ktoré sú na správne orgány pri výkone verejnej m</w:t>
      </w:r>
      <w:r w:rsidR="003862A1">
        <w:rPr>
          <w:rFonts w:cs="Times New Roman"/>
        </w:rPr>
        <w:t>oci kladené je transparentnosť.</w:t>
      </w:r>
      <w:r w:rsidRPr="003862A1">
        <w:rPr>
          <w:rFonts w:cs="Times New Roman"/>
        </w:rPr>
        <w:t xml:space="preserve"> </w:t>
      </w:r>
      <w:r w:rsidR="0092350A" w:rsidRPr="003862A1">
        <w:rPr>
          <w:rFonts w:cs="Times New Roman"/>
        </w:rPr>
        <w:t xml:space="preserve">Súčasťou požiadavky na transparentnosť pri rozhodovaní dozorného orgánu v oblasti jadrovej bezpečnosti jadrových zariadení je aj zvýšená informačná povinnosť účastníkov rozhodovacích procesov v tejto oblasti. </w:t>
      </w:r>
      <w:r w:rsidR="003014F8" w:rsidRPr="003862A1">
        <w:rPr>
          <w:rFonts w:cs="Times New Roman"/>
        </w:rPr>
        <w:t>Navrhovaná úprava prispieva k informovaniu</w:t>
      </w:r>
      <w:r w:rsidR="00496ED6" w:rsidRPr="003862A1">
        <w:rPr>
          <w:rFonts w:cs="Times New Roman"/>
        </w:rPr>
        <w:t xml:space="preserve"> verejnosti o jednotlivých úkonoch</w:t>
      </w:r>
      <w:r w:rsidR="003014F8" w:rsidRPr="003862A1">
        <w:rPr>
          <w:rFonts w:cs="Times New Roman"/>
        </w:rPr>
        <w:t xml:space="preserve"> Úradu jadrového dozoru SR adresovaných účastníkom konania v rámci správnych konaní a je tak plne v súlade s princípom transparentnosti.</w:t>
      </w:r>
      <w:r w:rsidR="00496ED6" w:rsidRPr="003862A1">
        <w:rPr>
          <w:rFonts w:cs="Times New Roman"/>
        </w:rPr>
        <w:t xml:space="preserve"> </w:t>
      </w:r>
    </w:p>
    <w:p w:rsidR="0092350A" w:rsidRPr="003862A1" w:rsidRDefault="00496ED6" w:rsidP="0092350A">
      <w:pPr>
        <w:spacing w:before="120" w:line="276" w:lineRule="auto"/>
        <w:ind w:firstLine="708"/>
        <w:jc w:val="both"/>
        <w:rPr>
          <w:rFonts w:cs="Times New Roman"/>
        </w:rPr>
      </w:pPr>
      <w:r w:rsidRPr="003862A1">
        <w:rPr>
          <w:rFonts w:cs="Times New Roman"/>
        </w:rPr>
        <w:t xml:space="preserve">Zároveň sa upravuje proces nakladania Úradu jadrového dozoru SR s informáciami, ktoré majú zákonom priznanú osobitnú ochranu, t.j. citlivá informácia, utajovaná skutočnosť, bankové tajomstvo, daňové tajomstvo, obchodné tajomstvo, telekomunikačné tajomstvo, poštové tajomstvo alebo zákonom uložená alebo uznaná povinnosť mlčanlivosti. Navrhovaná úprava rešpektuje </w:t>
      </w:r>
      <w:r w:rsidR="0092350A" w:rsidRPr="003862A1">
        <w:rPr>
          <w:rFonts w:cs="Times New Roman"/>
        </w:rPr>
        <w:t>medzinárodn</w:t>
      </w:r>
      <w:r w:rsidRPr="003862A1">
        <w:rPr>
          <w:rFonts w:cs="Times New Roman"/>
        </w:rPr>
        <w:t>é</w:t>
      </w:r>
      <w:r w:rsidR="0092350A" w:rsidRPr="003862A1">
        <w:rPr>
          <w:rFonts w:cs="Times New Roman"/>
        </w:rPr>
        <w:t xml:space="preserve"> záväzk</w:t>
      </w:r>
      <w:r w:rsidRPr="003862A1">
        <w:rPr>
          <w:rFonts w:cs="Times New Roman"/>
        </w:rPr>
        <w:t>y Slovenskej republiky týkajúce sa prístupu k informáciám týkajúcim sa životného prostredia.</w:t>
      </w:r>
    </w:p>
    <w:p w:rsidR="003014F8" w:rsidRPr="003862A1" w:rsidRDefault="003014F8" w:rsidP="0092350A">
      <w:pPr>
        <w:spacing w:before="120" w:line="276" w:lineRule="auto"/>
        <w:ind w:firstLine="708"/>
        <w:jc w:val="both"/>
        <w:rPr>
          <w:rFonts w:cs="Times New Roman"/>
        </w:rPr>
      </w:pPr>
      <w:r w:rsidRPr="003862A1">
        <w:rPr>
          <w:rFonts w:cs="Times New Roman"/>
        </w:rPr>
        <w:t>Úrad jadrového dozoru SR je podľa zákona č. 50/1976 Zb. o územnom plánovaní a</w:t>
      </w:r>
      <w:r w:rsidR="00FA1E7B" w:rsidRPr="003862A1">
        <w:rPr>
          <w:rFonts w:cs="Times New Roman"/>
        </w:rPr>
        <w:t> </w:t>
      </w:r>
      <w:r w:rsidRPr="003862A1">
        <w:rPr>
          <w:rFonts w:cs="Times New Roman"/>
        </w:rPr>
        <w:t>stavebnom</w:t>
      </w:r>
      <w:r w:rsidR="00FA1E7B" w:rsidRPr="003862A1">
        <w:rPr>
          <w:rFonts w:cs="Times New Roman"/>
        </w:rPr>
        <w:t xml:space="preserve"> </w:t>
      </w:r>
      <w:r w:rsidRPr="003862A1">
        <w:rPr>
          <w:rFonts w:cs="Times New Roman"/>
        </w:rPr>
        <w:t>poriadku (stavebný zákon)</w:t>
      </w:r>
      <w:r w:rsidR="00151435" w:rsidRPr="003862A1">
        <w:rPr>
          <w:rFonts w:cs="Times New Roman"/>
        </w:rPr>
        <w:t xml:space="preserve"> v znení neskorších predpisov</w:t>
      </w:r>
      <w:r w:rsidRPr="003862A1">
        <w:rPr>
          <w:rFonts w:cs="Times New Roman"/>
        </w:rPr>
        <w:t xml:space="preserve"> aj </w:t>
      </w:r>
      <w:r w:rsidR="00FA1E7B" w:rsidRPr="003862A1">
        <w:rPr>
          <w:rFonts w:cs="Times New Roman"/>
        </w:rPr>
        <w:t>iný</w:t>
      </w:r>
      <w:r w:rsidRPr="003862A1">
        <w:rPr>
          <w:rFonts w:cs="Times New Roman"/>
        </w:rPr>
        <w:t>m stavebným úradom pri stavbách jadrových zariadení a stavbách súvisiacich s</w:t>
      </w:r>
      <w:r w:rsidR="00FA1E7B" w:rsidRPr="003862A1">
        <w:rPr>
          <w:rFonts w:cs="Times New Roman"/>
        </w:rPr>
        <w:t> </w:t>
      </w:r>
      <w:r w:rsidRPr="003862A1">
        <w:rPr>
          <w:rFonts w:cs="Times New Roman"/>
        </w:rPr>
        <w:t>jadrovým</w:t>
      </w:r>
      <w:r w:rsidR="00FA1E7B" w:rsidRPr="003862A1">
        <w:rPr>
          <w:rFonts w:cs="Times New Roman"/>
        </w:rPr>
        <w:t xml:space="preserve"> </w:t>
      </w:r>
      <w:r w:rsidRPr="003862A1">
        <w:rPr>
          <w:rFonts w:cs="Times New Roman"/>
        </w:rPr>
        <w:t xml:space="preserve">zariadením nachádzajúcich sa v areáli ohraničenom hranicami jadrového zariadenia. Vo viacerých prípadoch pritom dochádza k paralelným konaniam vedených pred Úradom jadrového dozoru SR ako dozorným orgánom v oblasti jadrovej bezpečnosti a súčasne ako pred špeciálnym stavebným úradom. Navrhovaná úprava preto </w:t>
      </w:r>
      <w:r w:rsidR="009D71DC" w:rsidRPr="003862A1">
        <w:rPr>
          <w:rFonts w:cs="Times New Roman"/>
        </w:rPr>
        <w:t>precizuje</w:t>
      </w:r>
      <w:r w:rsidR="003862A1">
        <w:rPr>
          <w:rFonts w:cs="Times New Roman"/>
        </w:rPr>
        <w:t xml:space="preserve"> úpravu konaní vedených podľa a</w:t>
      </w:r>
      <w:r w:rsidRPr="003862A1">
        <w:rPr>
          <w:rFonts w:cs="Times New Roman"/>
        </w:rPr>
        <w:t>tómového zákona a</w:t>
      </w:r>
      <w:r w:rsidR="008D21D3" w:rsidRPr="003862A1">
        <w:rPr>
          <w:rFonts w:cs="Times New Roman"/>
        </w:rPr>
        <w:t> </w:t>
      </w:r>
      <w:r w:rsidR="003862A1">
        <w:rPr>
          <w:rFonts w:cs="Times New Roman"/>
        </w:rPr>
        <w:t>s</w:t>
      </w:r>
      <w:r w:rsidRPr="003862A1">
        <w:rPr>
          <w:rFonts w:cs="Times New Roman"/>
        </w:rPr>
        <w:t>tave</w:t>
      </w:r>
      <w:r w:rsidR="008D21D3" w:rsidRPr="003862A1">
        <w:rPr>
          <w:rFonts w:cs="Times New Roman"/>
        </w:rPr>
        <w:t>bného zákona</w:t>
      </w:r>
      <w:r w:rsidR="009D71DC" w:rsidRPr="003862A1">
        <w:rPr>
          <w:rFonts w:cs="Times New Roman"/>
        </w:rPr>
        <w:t>, berúc do úvahy ich vzájomný vzťah</w:t>
      </w:r>
      <w:r w:rsidR="008D21D3" w:rsidRPr="003862A1">
        <w:rPr>
          <w:rFonts w:cs="Times New Roman"/>
        </w:rPr>
        <w:t>.</w:t>
      </w:r>
    </w:p>
    <w:p w:rsidR="008D21D3" w:rsidRPr="003862A1" w:rsidRDefault="008D21D3" w:rsidP="008D21D3">
      <w:pPr>
        <w:spacing w:before="120" w:line="276" w:lineRule="auto"/>
        <w:ind w:firstLine="708"/>
        <w:jc w:val="both"/>
        <w:rPr>
          <w:rFonts w:cs="Times New Roman"/>
          <w:bCs/>
        </w:rPr>
      </w:pPr>
      <w:r w:rsidRPr="003862A1">
        <w:rPr>
          <w:rFonts w:cs="Times New Roman"/>
        </w:rPr>
        <w:t>Predkladaný návrh rešpektuje medzinárodné a európske záväzky Slovenskej republiky týkajúce sa ochrany životného prostredia, a to Dohovor</w:t>
      </w:r>
      <w:r w:rsidR="0092350A" w:rsidRPr="003862A1">
        <w:rPr>
          <w:rFonts w:cs="Times New Roman"/>
        </w:rPr>
        <w:t xml:space="preserve"> o prístupe k informáciám, účasti verejnosti na rozhodovacom procese a prístupe k spravodlivosti v záležitostiach životného </w:t>
      </w:r>
      <w:r w:rsidR="0092350A" w:rsidRPr="003862A1">
        <w:rPr>
          <w:rFonts w:cs="Times New Roman"/>
        </w:rPr>
        <w:lastRenderedPageBreak/>
        <w:t>prostredia (Aarhuský dohovor)</w:t>
      </w:r>
      <w:r w:rsidRPr="003862A1">
        <w:rPr>
          <w:rFonts w:cs="Times New Roman"/>
        </w:rPr>
        <w:t xml:space="preserve"> (ďalej len „Aarhuský dohovor“)</w:t>
      </w:r>
      <w:r w:rsidR="0092350A" w:rsidRPr="003862A1">
        <w:rPr>
          <w:rFonts w:cs="Times New Roman"/>
        </w:rPr>
        <w:t xml:space="preserve"> a </w:t>
      </w:r>
      <w:r w:rsidRPr="003862A1">
        <w:rPr>
          <w:rFonts w:cs="Times New Roman"/>
        </w:rPr>
        <w:t>Smernicu</w:t>
      </w:r>
      <w:r w:rsidR="0092350A" w:rsidRPr="003862A1">
        <w:rPr>
          <w:rFonts w:cs="Times New Roman"/>
        </w:rPr>
        <w:t xml:space="preserve"> Európskeho parlamentu a Rady 2003/4/ES z 28. januára 2003 o prístupe verejnosti k informáciám o životnom prostredí, ktorou sa zrušuje smernica Rady 90/313/EHS. </w:t>
      </w:r>
      <w:r w:rsidRPr="003862A1">
        <w:rPr>
          <w:rFonts w:cs="Times New Roman"/>
        </w:rPr>
        <w:t>Rovnako návrh zákona zohľadňuje i Odp</w:t>
      </w:r>
      <w:r w:rsidR="00F124A9" w:rsidRPr="003862A1">
        <w:rPr>
          <w:rFonts w:cs="Times New Roman"/>
        </w:rPr>
        <w:t>o</w:t>
      </w:r>
      <w:r w:rsidRPr="003862A1">
        <w:rPr>
          <w:rFonts w:cs="Times New Roman"/>
        </w:rPr>
        <w:t>rúčania Výb</w:t>
      </w:r>
      <w:r w:rsidR="00F124A9" w:rsidRPr="003862A1">
        <w:rPr>
          <w:rFonts w:cs="Times New Roman"/>
        </w:rPr>
        <w:t>o</w:t>
      </w:r>
      <w:r w:rsidRPr="003862A1">
        <w:rPr>
          <w:rFonts w:cs="Times New Roman"/>
        </w:rPr>
        <w:t xml:space="preserve">ru </w:t>
      </w:r>
      <w:r w:rsidR="00F124A9" w:rsidRPr="003862A1">
        <w:rPr>
          <w:rFonts w:cs="Times New Roman"/>
        </w:rPr>
        <w:t>m</w:t>
      </w:r>
      <w:r w:rsidRPr="003862A1">
        <w:rPr>
          <w:rFonts w:cs="Times New Roman"/>
        </w:rPr>
        <w:t>inistrov Rady Európ</w:t>
      </w:r>
      <w:r w:rsidR="00F124A9" w:rsidRPr="003862A1">
        <w:rPr>
          <w:rFonts w:cs="Times New Roman"/>
        </w:rPr>
        <w:t>y</w:t>
      </w:r>
      <w:r w:rsidRPr="003862A1">
        <w:rPr>
          <w:rFonts w:cs="Times New Roman"/>
        </w:rPr>
        <w:t xml:space="preserve">, a to predovšetkým </w:t>
      </w:r>
      <w:r w:rsidRPr="003862A1">
        <w:rPr>
          <w:rFonts w:cs="Times New Roman"/>
          <w:bCs/>
        </w:rPr>
        <w:t xml:space="preserve">Odporúčanie Výboru ministrov Rady Európy č. R (87) 16 o správnych konaniach týkajúcich sa veľkého počtu osôb a Odporúčanie Výboru ministrov Rady Európy č. CM/Rec(2007)7 o dobrej verejnej správe. </w:t>
      </w:r>
    </w:p>
    <w:p w:rsidR="00174A3A" w:rsidRPr="003862A1" w:rsidRDefault="007A626C" w:rsidP="007A626C">
      <w:pPr>
        <w:spacing w:before="120" w:line="276" w:lineRule="auto"/>
        <w:ind w:firstLine="708"/>
        <w:jc w:val="both"/>
        <w:rPr>
          <w:rFonts w:cs="Times New Roman"/>
        </w:rPr>
      </w:pPr>
      <w:r w:rsidRPr="003862A1">
        <w:rPr>
          <w:rFonts w:cs="Times New Roman"/>
          <w:kern w:val="0"/>
          <w:lang w:eastAsia="sk-SK" w:bidi="ar-SA"/>
        </w:rPr>
        <w:t>Predkladaný návrh zákona</w:t>
      </w:r>
      <w:r w:rsidR="000A2D7E" w:rsidRPr="003862A1">
        <w:rPr>
          <w:rFonts w:cs="Times New Roman"/>
          <w:kern w:val="0"/>
          <w:lang w:eastAsia="sk-SK" w:bidi="ar-SA"/>
        </w:rPr>
        <w:t xml:space="preserve"> </w:t>
      </w:r>
      <w:r w:rsidR="00174A3A" w:rsidRPr="003862A1">
        <w:rPr>
          <w:rFonts w:cs="Times New Roman"/>
        </w:rPr>
        <w:t>ne</w:t>
      </w:r>
      <w:r w:rsidR="00B87011" w:rsidRPr="003862A1">
        <w:rPr>
          <w:rFonts w:cs="Times New Roman"/>
        </w:rPr>
        <w:t>má</w:t>
      </w:r>
      <w:r w:rsidR="00174A3A" w:rsidRPr="003862A1">
        <w:rPr>
          <w:rFonts w:cs="Times New Roman"/>
        </w:rPr>
        <w:t xml:space="preserve"> žiadne</w:t>
      </w:r>
      <w:r w:rsidR="00B87011" w:rsidRPr="003862A1">
        <w:rPr>
          <w:rFonts w:cs="Times New Roman"/>
        </w:rPr>
        <w:t xml:space="preserve"> negatívne</w:t>
      </w:r>
      <w:r w:rsidR="00174A3A" w:rsidRPr="003862A1">
        <w:rPr>
          <w:rFonts w:cs="Times New Roman"/>
        </w:rPr>
        <w:t xml:space="preserve"> </w:t>
      </w:r>
      <w:r w:rsidR="001B4D07" w:rsidRPr="003862A1">
        <w:rPr>
          <w:rFonts w:cs="Times New Roman"/>
        </w:rPr>
        <w:t xml:space="preserve">sociálne vplyvy, </w:t>
      </w:r>
      <w:r w:rsidR="00174A3A" w:rsidRPr="003862A1">
        <w:rPr>
          <w:rFonts w:cs="Times New Roman"/>
        </w:rPr>
        <w:t>vplyvy na podnikateľské prostredie, na životné prostredie, ani na informatizáciu spoločnosti a taktiež nezakladá vplyv na rozpočet verejnej správy.</w:t>
      </w:r>
    </w:p>
    <w:p w:rsidR="000A2D7E" w:rsidRPr="003862A1" w:rsidRDefault="00897A4C" w:rsidP="00897A4C">
      <w:pPr>
        <w:widowControl/>
        <w:shd w:val="clear" w:color="auto" w:fill="FFFFFF"/>
        <w:suppressAutoHyphens w:val="0"/>
        <w:spacing w:before="120" w:line="276" w:lineRule="auto"/>
        <w:ind w:firstLine="708"/>
        <w:jc w:val="both"/>
        <w:textAlignment w:val="baseline"/>
        <w:rPr>
          <w:rFonts w:cs="Times New Roman"/>
        </w:rPr>
      </w:pPr>
      <w:r w:rsidRPr="003862A1">
        <w:rPr>
          <w:rFonts w:cs="Times New Roman"/>
        </w:rPr>
        <w:t>Návrh zákona je v súlade s Ústavou Slovenskej republiky, ústavnými zákonmi, zákonmi a ostatnými všeobecne záväznými právnymi predpismi Slovenskej republiky, s</w:t>
      </w:r>
      <w:r w:rsidR="007F3EB6" w:rsidRPr="003862A1">
        <w:rPr>
          <w:rFonts w:cs="Times New Roman"/>
        </w:rPr>
        <w:t> </w:t>
      </w:r>
      <w:r w:rsidRPr="003862A1">
        <w:rPr>
          <w:rFonts w:cs="Times New Roman"/>
        </w:rPr>
        <w:t>nálezmi</w:t>
      </w:r>
      <w:r w:rsidR="007F3EB6" w:rsidRPr="003862A1">
        <w:rPr>
          <w:rFonts w:cs="Times New Roman"/>
        </w:rPr>
        <w:t xml:space="preserve"> </w:t>
      </w:r>
      <w:r w:rsidRPr="003862A1">
        <w:rPr>
          <w:rFonts w:cs="Times New Roman"/>
        </w:rPr>
        <w:t>Ústavného súdu Slovenskej republiky, s</w:t>
      </w:r>
      <w:r w:rsidR="007F3EB6" w:rsidRPr="003862A1">
        <w:rPr>
          <w:rFonts w:cs="Times New Roman"/>
        </w:rPr>
        <w:t> </w:t>
      </w:r>
      <w:r w:rsidRPr="003862A1">
        <w:rPr>
          <w:rFonts w:cs="Times New Roman"/>
        </w:rPr>
        <w:t>právom</w:t>
      </w:r>
      <w:r w:rsidR="007F3EB6" w:rsidRPr="003862A1">
        <w:rPr>
          <w:rFonts w:cs="Times New Roman"/>
        </w:rPr>
        <w:t xml:space="preserve"> </w:t>
      </w:r>
      <w:r w:rsidRPr="003862A1">
        <w:rPr>
          <w:rFonts w:cs="Times New Roman"/>
        </w:rPr>
        <w:t>Európskej únie a</w:t>
      </w:r>
      <w:r w:rsidR="007F3EB6" w:rsidRPr="003862A1">
        <w:rPr>
          <w:rFonts w:cs="Times New Roman"/>
        </w:rPr>
        <w:t> </w:t>
      </w:r>
      <w:r w:rsidRPr="003862A1">
        <w:rPr>
          <w:rFonts w:cs="Times New Roman"/>
        </w:rPr>
        <w:t>s</w:t>
      </w:r>
      <w:r w:rsidR="007F3EB6" w:rsidRPr="003862A1">
        <w:rPr>
          <w:rFonts w:cs="Times New Roman"/>
        </w:rPr>
        <w:t> </w:t>
      </w:r>
      <w:r w:rsidRPr="003862A1">
        <w:rPr>
          <w:rFonts w:cs="Times New Roman"/>
        </w:rPr>
        <w:t>medzinárodnými</w:t>
      </w:r>
      <w:r w:rsidR="007F3EB6" w:rsidRPr="003862A1">
        <w:rPr>
          <w:rFonts w:cs="Times New Roman"/>
        </w:rPr>
        <w:t xml:space="preserve"> </w:t>
      </w:r>
      <w:r w:rsidRPr="003862A1">
        <w:rPr>
          <w:rFonts w:cs="Times New Roman"/>
        </w:rPr>
        <w:t>zmluvami, ktorými je Slovenská republika viazaná.</w:t>
      </w:r>
    </w:p>
    <w:p w:rsidR="00897A4C" w:rsidRPr="003862A1" w:rsidRDefault="00897A4C" w:rsidP="00897A4C">
      <w:pPr>
        <w:widowControl/>
        <w:shd w:val="clear" w:color="auto" w:fill="FFFFFF"/>
        <w:suppressAutoHyphens w:val="0"/>
        <w:spacing w:before="120" w:line="276" w:lineRule="auto"/>
        <w:ind w:firstLine="708"/>
        <w:jc w:val="both"/>
        <w:textAlignment w:val="baseline"/>
        <w:rPr>
          <w:rFonts w:cs="Times New Roman"/>
          <w:kern w:val="0"/>
          <w:lang w:eastAsia="sk-SK" w:bidi="ar-SA"/>
        </w:rPr>
      </w:pPr>
      <w:r w:rsidRPr="003862A1">
        <w:rPr>
          <w:rFonts w:cs="Times New Roman"/>
        </w:rPr>
        <w:t xml:space="preserve">Účinnosť zákona sa navrhuje na </w:t>
      </w:r>
      <w:r w:rsidR="000F2F36" w:rsidRPr="003862A1">
        <w:rPr>
          <w:rFonts w:cs="Times New Roman"/>
        </w:rPr>
        <w:t>1</w:t>
      </w:r>
      <w:r w:rsidRPr="003862A1">
        <w:rPr>
          <w:rFonts w:cs="Times New Roman"/>
        </w:rPr>
        <w:t xml:space="preserve">. </w:t>
      </w:r>
      <w:r w:rsidR="000F2F36" w:rsidRPr="003862A1">
        <w:rPr>
          <w:rFonts w:cs="Times New Roman"/>
        </w:rPr>
        <w:t>augusta</w:t>
      </w:r>
      <w:r w:rsidR="00B87011" w:rsidRPr="003862A1">
        <w:rPr>
          <w:rFonts w:cs="Times New Roman"/>
        </w:rPr>
        <w:t xml:space="preserve"> 2019</w:t>
      </w:r>
      <w:r w:rsidRPr="003862A1">
        <w:rPr>
          <w:rFonts w:cs="Times New Roman"/>
        </w:rPr>
        <w:t>.</w:t>
      </w:r>
    </w:p>
    <w:p w:rsidR="000A2D7E" w:rsidRPr="003862A1" w:rsidRDefault="000A2D7E" w:rsidP="006F72C5">
      <w:pPr>
        <w:widowControl/>
        <w:suppressAutoHyphens w:val="0"/>
        <w:spacing w:before="120" w:line="276" w:lineRule="auto"/>
        <w:rPr>
          <w:rFonts w:cs="Times New Roman"/>
          <w:kern w:val="0"/>
          <w:sz w:val="22"/>
          <w:szCs w:val="22"/>
          <w:lang w:eastAsia="sk-SK" w:bidi="ar-SA"/>
        </w:rPr>
      </w:pPr>
      <w:r w:rsidRPr="003862A1">
        <w:rPr>
          <w:rFonts w:cs="Times New Roman"/>
          <w:kern w:val="0"/>
          <w:sz w:val="22"/>
          <w:szCs w:val="22"/>
          <w:lang w:eastAsia="sk-SK" w:bidi="ar-SA"/>
        </w:rPr>
        <w:br w:type="page"/>
      </w:r>
    </w:p>
    <w:p w:rsidR="000A2D7E" w:rsidRPr="003862A1" w:rsidRDefault="000A2D7E" w:rsidP="006F72C5">
      <w:pPr>
        <w:spacing w:before="120" w:line="276" w:lineRule="auto"/>
        <w:rPr>
          <w:rFonts w:cs="Times New Roman"/>
          <w:b/>
        </w:rPr>
      </w:pPr>
      <w:r w:rsidRPr="003862A1">
        <w:rPr>
          <w:rFonts w:cs="Times New Roman"/>
          <w:b/>
        </w:rPr>
        <w:lastRenderedPageBreak/>
        <w:t xml:space="preserve">B. </w:t>
      </w:r>
      <w:r w:rsidRPr="003862A1">
        <w:rPr>
          <w:rFonts w:cs="Times New Roman"/>
          <w:b/>
        </w:rPr>
        <w:tab/>
        <w:t>Osobitná časť</w:t>
      </w:r>
    </w:p>
    <w:p w:rsidR="000A2D7E" w:rsidRPr="003862A1" w:rsidRDefault="000A2D7E" w:rsidP="006F72C5">
      <w:pPr>
        <w:spacing w:before="120" w:line="276" w:lineRule="auto"/>
        <w:rPr>
          <w:rFonts w:cs="Times New Roman"/>
          <w:b/>
          <w:u w:val="single"/>
        </w:rPr>
      </w:pPr>
    </w:p>
    <w:p w:rsidR="00515AE7" w:rsidRPr="003862A1" w:rsidRDefault="00515AE7" w:rsidP="00515AE7">
      <w:pPr>
        <w:pStyle w:val="Normlnywebov"/>
        <w:spacing w:before="120" w:beforeAutospacing="0" w:after="0" w:afterAutospacing="0" w:line="276" w:lineRule="auto"/>
        <w:jc w:val="both"/>
        <w:rPr>
          <w:b/>
          <w:bCs/>
        </w:rPr>
      </w:pPr>
      <w:r w:rsidRPr="003862A1">
        <w:rPr>
          <w:b/>
          <w:bCs/>
        </w:rPr>
        <w:t>K Čl. I</w:t>
      </w:r>
    </w:p>
    <w:p w:rsidR="003862A1" w:rsidRDefault="003862A1" w:rsidP="00ED2485">
      <w:pPr>
        <w:pStyle w:val="Normlnywebov"/>
        <w:spacing w:before="120" w:beforeAutospacing="0" w:after="0" w:afterAutospacing="0" w:line="276" w:lineRule="auto"/>
        <w:jc w:val="both"/>
        <w:rPr>
          <w:bCs/>
          <w:u w:val="single"/>
        </w:rPr>
      </w:pPr>
    </w:p>
    <w:p w:rsidR="00ED2485" w:rsidRPr="003862A1" w:rsidRDefault="00ED2485" w:rsidP="00ED2485">
      <w:pPr>
        <w:pStyle w:val="Normlnywebov"/>
        <w:spacing w:before="120" w:beforeAutospacing="0" w:after="0" w:afterAutospacing="0" w:line="276" w:lineRule="auto"/>
        <w:jc w:val="both"/>
        <w:rPr>
          <w:bCs/>
          <w:u w:val="single"/>
        </w:rPr>
      </w:pPr>
      <w:r w:rsidRPr="003862A1">
        <w:rPr>
          <w:bCs/>
          <w:u w:val="single"/>
        </w:rPr>
        <w:t xml:space="preserve">K bodu </w:t>
      </w:r>
      <w:r w:rsidR="000F2F36" w:rsidRPr="003862A1">
        <w:rPr>
          <w:bCs/>
          <w:u w:val="single"/>
        </w:rPr>
        <w:t>1</w:t>
      </w:r>
    </w:p>
    <w:p w:rsidR="00515AE7" w:rsidRPr="003862A1" w:rsidRDefault="007869C3" w:rsidP="00515AE7">
      <w:pPr>
        <w:pStyle w:val="Normlnywebov"/>
        <w:spacing w:before="120" w:beforeAutospacing="0" w:after="0" w:afterAutospacing="0" w:line="276" w:lineRule="auto"/>
        <w:ind w:firstLine="708"/>
        <w:jc w:val="both"/>
        <w:rPr>
          <w:bCs/>
        </w:rPr>
      </w:pPr>
      <w:r w:rsidRPr="003862A1">
        <w:rPr>
          <w:bCs/>
        </w:rPr>
        <w:t xml:space="preserve">Ide o legislatívno-technickú úpravu. </w:t>
      </w:r>
      <w:r w:rsidR="00ED37F7" w:rsidRPr="003862A1">
        <w:rPr>
          <w:bCs/>
        </w:rPr>
        <w:t xml:space="preserve">Navrhovaná úprava precizuje zákonnú úpravu, ktorá už </w:t>
      </w:r>
      <w:r w:rsidR="002C291C" w:rsidRPr="003862A1">
        <w:rPr>
          <w:bCs/>
        </w:rPr>
        <w:t xml:space="preserve">podľa súčasného právneho stavu </w:t>
      </w:r>
      <w:r w:rsidR="00ED37F7" w:rsidRPr="003862A1">
        <w:rPr>
          <w:bCs/>
        </w:rPr>
        <w:t>v § 19 predpokladá vydanie súhlasu na etapu uvádzania jadrového zariadenia do prevádzky a skúšobnú prevádzku</w:t>
      </w:r>
      <w:r w:rsidR="00003A51" w:rsidRPr="003862A1">
        <w:rPr>
          <w:bCs/>
        </w:rPr>
        <w:t xml:space="preserve"> a dopĺňa tieto súhlasy </w:t>
      </w:r>
      <w:r w:rsidR="002C291C" w:rsidRPr="003862A1">
        <w:rPr>
          <w:bCs/>
        </w:rPr>
        <w:t xml:space="preserve">v záujme konzistentnosti právnej normy aj </w:t>
      </w:r>
      <w:r w:rsidR="00003A51" w:rsidRPr="003862A1">
        <w:rPr>
          <w:bCs/>
        </w:rPr>
        <w:t>do</w:t>
      </w:r>
      <w:r w:rsidR="00ED37F7" w:rsidRPr="003862A1">
        <w:rPr>
          <w:bCs/>
        </w:rPr>
        <w:t xml:space="preserve"> §</w:t>
      </w:r>
      <w:r w:rsidRPr="003862A1">
        <w:rPr>
          <w:bCs/>
        </w:rPr>
        <w:t xml:space="preserve"> </w:t>
      </w:r>
      <w:r w:rsidR="00ED37F7" w:rsidRPr="003862A1">
        <w:rPr>
          <w:bCs/>
        </w:rPr>
        <w:t>5</w:t>
      </w:r>
      <w:r w:rsidR="00003A51" w:rsidRPr="003862A1">
        <w:rPr>
          <w:bCs/>
        </w:rPr>
        <w:t>, ktorý obsahuje zoznam súhlas</w:t>
      </w:r>
      <w:r w:rsidRPr="003862A1">
        <w:rPr>
          <w:bCs/>
        </w:rPr>
        <w:t>ov</w:t>
      </w:r>
      <w:r w:rsidR="00003A51" w:rsidRPr="003862A1">
        <w:rPr>
          <w:bCs/>
        </w:rPr>
        <w:t xml:space="preserve"> a povolení vydávaných Úradom jadrového dozoru </w:t>
      </w:r>
      <w:r w:rsidRPr="003862A1">
        <w:rPr>
          <w:bCs/>
        </w:rPr>
        <w:t>SR</w:t>
      </w:r>
      <w:r w:rsidR="00003A51" w:rsidRPr="003862A1">
        <w:rPr>
          <w:bCs/>
        </w:rPr>
        <w:t>, potrebných za účelom využívani</w:t>
      </w:r>
      <w:r w:rsidRPr="003862A1">
        <w:rPr>
          <w:bCs/>
        </w:rPr>
        <w:t>a</w:t>
      </w:r>
      <w:r w:rsidR="00003A51" w:rsidRPr="003862A1">
        <w:rPr>
          <w:bCs/>
        </w:rPr>
        <w:t xml:space="preserve"> jadrovej energie.</w:t>
      </w:r>
    </w:p>
    <w:p w:rsidR="003862A1" w:rsidRDefault="003862A1" w:rsidP="00515AE7">
      <w:pPr>
        <w:pStyle w:val="Normlnywebov"/>
        <w:spacing w:before="120" w:beforeAutospacing="0" w:after="0" w:afterAutospacing="0" w:line="276" w:lineRule="auto"/>
        <w:jc w:val="both"/>
        <w:rPr>
          <w:bCs/>
          <w:u w:val="single"/>
        </w:rPr>
      </w:pPr>
    </w:p>
    <w:p w:rsidR="00515AE7" w:rsidRPr="003862A1" w:rsidRDefault="00515AE7" w:rsidP="00515AE7">
      <w:pPr>
        <w:pStyle w:val="Normlnywebov"/>
        <w:spacing w:before="120" w:beforeAutospacing="0" w:after="0" w:afterAutospacing="0" w:line="276" w:lineRule="auto"/>
        <w:jc w:val="both"/>
        <w:rPr>
          <w:bCs/>
          <w:u w:val="single"/>
        </w:rPr>
      </w:pPr>
      <w:r w:rsidRPr="003862A1">
        <w:rPr>
          <w:bCs/>
          <w:u w:val="single"/>
        </w:rPr>
        <w:t xml:space="preserve">K bodu </w:t>
      </w:r>
      <w:r w:rsidR="000F2F36" w:rsidRPr="003862A1">
        <w:rPr>
          <w:bCs/>
          <w:u w:val="single"/>
        </w:rPr>
        <w:t>2</w:t>
      </w:r>
    </w:p>
    <w:p w:rsidR="00DA53B1" w:rsidRPr="003862A1" w:rsidRDefault="00003A51" w:rsidP="007F3EB6">
      <w:pPr>
        <w:pStyle w:val="Normlnywebov"/>
        <w:spacing w:before="120" w:beforeAutospacing="0" w:after="0" w:afterAutospacing="0" w:line="276" w:lineRule="auto"/>
        <w:ind w:firstLine="709"/>
        <w:jc w:val="both"/>
        <w:rPr>
          <w:bCs/>
        </w:rPr>
      </w:pPr>
      <w:r w:rsidRPr="003862A1">
        <w:rPr>
          <w:bCs/>
        </w:rPr>
        <w:t xml:space="preserve">Zmenou príslušného ustanovenia </w:t>
      </w:r>
      <w:r w:rsidR="000F2F36" w:rsidRPr="003862A1">
        <w:rPr>
          <w:bCs/>
        </w:rPr>
        <w:t xml:space="preserve">dochádza k precizovaniu úpravy </w:t>
      </w:r>
      <w:r w:rsidRPr="003862A1">
        <w:rPr>
          <w:bCs/>
        </w:rPr>
        <w:t>ne</w:t>
      </w:r>
      <w:r w:rsidR="000F2F36" w:rsidRPr="003862A1">
        <w:rPr>
          <w:bCs/>
        </w:rPr>
        <w:t>s</w:t>
      </w:r>
      <w:r w:rsidRPr="003862A1">
        <w:rPr>
          <w:bCs/>
        </w:rPr>
        <w:t>prístupnenia citlivej info</w:t>
      </w:r>
      <w:r w:rsidR="003862A1">
        <w:rPr>
          <w:bCs/>
        </w:rPr>
        <w:t>rmácie účastníkom konaní podľa a</w:t>
      </w:r>
      <w:r w:rsidRPr="003862A1">
        <w:rPr>
          <w:bCs/>
        </w:rPr>
        <w:t xml:space="preserve">tómového zákona. </w:t>
      </w:r>
      <w:r w:rsidR="0013664B" w:rsidRPr="003862A1">
        <w:rPr>
          <w:bCs/>
        </w:rPr>
        <w:t xml:space="preserve">Podľa </w:t>
      </w:r>
      <w:r w:rsidR="00C50A03" w:rsidRPr="003862A1">
        <w:rPr>
          <w:bCs/>
        </w:rPr>
        <w:t>aktuálneho znenia §</w:t>
      </w:r>
      <w:r w:rsidR="007F3EB6" w:rsidRPr="003862A1">
        <w:rPr>
          <w:bCs/>
        </w:rPr>
        <w:t> </w:t>
      </w:r>
      <w:r w:rsidR="00C50A03" w:rsidRPr="003862A1">
        <w:rPr>
          <w:bCs/>
        </w:rPr>
        <w:t>8 ods. 3</w:t>
      </w:r>
      <w:r w:rsidR="0013664B" w:rsidRPr="003862A1">
        <w:rPr>
          <w:bCs/>
        </w:rPr>
        <w:t xml:space="preserve"> sa citlivá informácia nesprístupní </w:t>
      </w:r>
      <w:r w:rsidR="00725DEA" w:rsidRPr="003862A1">
        <w:rPr>
          <w:bCs/>
        </w:rPr>
        <w:t>účastníkom konania</w:t>
      </w:r>
      <w:r w:rsidR="0013664B" w:rsidRPr="003862A1">
        <w:rPr>
          <w:bCs/>
        </w:rPr>
        <w:t>, ktorým toto postavenie vyplýva z osobitného predpisu. Príslušná poznámka pod čiarou pritom odkazuje na zákon § 24 a 25 zákona č. 24/2006 Z.z.</w:t>
      </w:r>
      <w:r w:rsidR="006770CC" w:rsidRPr="003862A1">
        <w:rPr>
          <w:bCs/>
        </w:rPr>
        <w:t xml:space="preserve"> v znení neskorších predpisov, t.j. </w:t>
      </w:r>
      <w:r w:rsidR="00C50A03" w:rsidRPr="003862A1">
        <w:rPr>
          <w:bCs/>
        </w:rPr>
        <w:t>upravuje</w:t>
      </w:r>
      <w:r w:rsidR="006770CC" w:rsidRPr="003862A1">
        <w:rPr>
          <w:bCs/>
        </w:rPr>
        <w:t xml:space="preserve"> situáciu, ak došlo k vzniku účast</w:t>
      </w:r>
      <w:r w:rsidR="003862A1">
        <w:rPr>
          <w:bCs/>
        </w:rPr>
        <w:t>níctva v konaní vedeného podľa a</w:t>
      </w:r>
      <w:r w:rsidR="006770CC" w:rsidRPr="003862A1">
        <w:rPr>
          <w:bCs/>
        </w:rPr>
        <w:t xml:space="preserve">tómového zákona z titulu účasti daných osôb v konaní podľa uvedenej právnej úpravy týkajúcej sa posudzovania vplyvov na životné prostredie. S prihliadnutím na cieľ a účel nesprístupňovania citlivých informácií navrhovaná úprava zosúlaďuje tento režim </w:t>
      </w:r>
      <w:r w:rsidR="00C50A03" w:rsidRPr="003862A1">
        <w:rPr>
          <w:bCs/>
        </w:rPr>
        <w:t>pre všetkých</w:t>
      </w:r>
      <w:r w:rsidR="003862A1">
        <w:rPr>
          <w:bCs/>
        </w:rPr>
        <w:t xml:space="preserve"> účastníkov v konaniach podľa a</w:t>
      </w:r>
      <w:r w:rsidR="006770CC" w:rsidRPr="003862A1">
        <w:rPr>
          <w:bCs/>
        </w:rPr>
        <w:t xml:space="preserve">tómového zákona (s výnimkou žiadateľa samotného). </w:t>
      </w:r>
      <w:r w:rsidRPr="003862A1">
        <w:rPr>
          <w:bCs/>
        </w:rPr>
        <w:t>Predkladaná novela navrhuje vyňať z okruhu osôb, ktorým sa citlivá informácia zneprístupní žiadateľa o povoleni</w:t>
      </w:r>
      <w:r w:rsidR="007869C3" w:rsidRPr="003862A1">
        <w:rPr>
          <w:bCs/>
        </w:rPr>
        <w:t>e</w:t>
      </w:r>
      <w:r w:rsidRPr="003862A1">
        <w:rPr>
          <w:bCs/>
        </w:rPr>
        <w:t xml:space="preserve"> alebo súhlas, keďže </w:t>
      </w:r>
      <w:r w:rsidR="00DA53B1" w:rsidRPr="003862A1">
        <w:rPr>
          <w:bCs/>
        </w:rPr>
        <w:t>v</w:t>
      </w:r>
      <w:r w:rsidR="007869C3" w:rsidRPr="003862A1">
        <w:rPr>
          <w:bCs/>
        </w:rPr>
        <w:t xml:space="preserve"> danom prípade ide o iniciátora správneho konania, ktorý disponuje správnym konaním a rozhoduje sa o jeho právach, právom chránených záujmoch resp. povinnostiach. </w:t>
      </w:r>
    </w:p>
    <w:p w:rsidR="003862A1" w:rsidRDefault="003862A1" w:rsidP="00515AE7">
      <w:pPr>
        <w:pStyle w:val="Normlnywebov"/>
        <w:spacing w:before="120" w:beforeAutospacing="0" w:after="0" w:afterAutospacing="0" w:line="276" w:lineRule="auto"/>
        <w:jc w:val="both"/>
        <w:rPr>
          <w:bCs/>
          <w:u w:val="single"/>
        </w:rPr>
      </w:pPr>
    </w:p>
    <w:p w:rsidR="00DA53B1" w:rsidRPr="003862A1" w:rsidRDefault="00DA53B1" w:rsidP="00515AE7">
      <w:pPr>
        <w:pStyle w:val="Normlnywebov"/>
        <w:spacing w:before="120" w:beforeAutospacing="0" w:after="0" w:afterAutospacing="0" w:line="276" w:lineRule="auto"/>
        <w:jc w:val="both"/>
        <w:rPr>
          <w:bCs/>
          <w:u w:val="single"/>
        </w:rPr>
      </w:pPr>
      <w:r w:rsidRPr="003862A1">
        <w:rPr>
          <w:bCs/>
          <w:u w:val="single"/>
        </w:rPr>
        <w:t xml:space="preserve">K bodu </w:t>
      </w:r>
      <w:r w:rsidR="000F2F36" w:rsidRPr="003862A1">
        <w:rPr>
          <w:bCs/>
          <w:u w:val="single"/>
        </w:rPr>
        <w:t>3</w:t>
      </w:r>
    </w:p>
    <w:p w:rsidR="00270640" w:rsidRPr="003862A1" w:rsidRDefault="00C0458C" w:rsidP="00C76BA5">
      <w:pPr>
        <w:spacing w:before="120" w:line="276" w:lineRule="auto"/>
        <w:ind w:firstLine="708"/>
        <w:jc w:val="both"/>
        <w:rPr>
          <w:rFonts w:cs="Times New Roman"/>
          <w:bCs/>
        </w:rPr>
      </w:pPr>
      <w:r w:rsidRPr="003862A1">
        <w:rPr>
          <w:rFonts w:cs="Times New Roman"/>
          <w:bCs/>
        </w:rPr>
        <w:t>Navrhovaná úprava dopĺňa</w:t>
      </w:r>
      <w:r w:rsidR="00446E5B" w:rsidRPr="003862A1">
        <w:rPr>
          <w:rFonts w:cs="Times New Roman"/>
          <w:bCs/>
        </w:rPr>
        <w:t xml:space="preserve"> a precizuje</w:t>
      </w:r>
      <w:r w:rsidRPr="003862A1">
        <w:rPr>
          <w:rFonts w:cs="Times New Roman"/>
          <w:bCs/>
        </w:rPr>
        <w:t xml:space="preserve"> spôsob komunikácie Úradu jadrového dozoru </w:t>
      </w:r>
      <w:r w:rsidR="00151435" w:rsidRPr="003862A1">
        <w:rPr>
          <w:rFonts w:cs="Times New Roman"/>
          <w:bCs/>
        </w:rPr>
        <w:t>SR</w:t>
      </w:r>
      <w:r w:rsidRPr="003862A1">
        <w:rPr>
          <w:rFonts w:cs="Times New Roman"/>
          <w:bCs/>
        </w:rPr>
        <w:t xml:space="preserve"> voči tzv. dotknutej verejnosti, </w:t>
      </w:r>
      <w:r w:rsidR="007869C3" w:rsidRPr="003862A1">
        <w:rPr>
          <w:rFonts w:cs="Times New Roman"/>
          <w:bCs/>
        </w:rPr>
        <w:t xml:space="preserve">ktorej účasť </w:t>
      </w:r>
      <w:r w:rsidR="00B070A3" w:rsidRPr="003862A1">
        <w:rPr>
          <w:rFonts w:cs="Times New Roman"/>
          <w:bCs/>
        </w:rPr>
        <w:t xml:space="preserve">v konaniach pred Úradom jadrového dozoru SR </w:t>
      </w:r>
      <w:r w:rsidR="007869C3" w:rsidRPr="003862A1">
        <w:rPr>
          <w:rFonts w:cs="Times New Roman"/>
          <w:bCs/>
        </w:rPr>
        <w:t>vyplýva z osobitného predpisu (§ 24 a 25 zákona č. 24/2006 Z.z.)</w:t>
      </w:r>
      <w:r w:rsidR="00B070A3" w:rsidRPr="003862A1">
        <w:rPr>
          <w:rFonts w:cs="Times New Roman"/>
          <w:bCs/>
        </w:rPr>
        <w:t xml:space="preserve"> a Aarhuského dohovoru. Za týmto účelom sa primerane dopĺňa aj poznámka pod čiarou č. 11b. </w:t>
      </w:r>
      <w:r w:rsidR="00446E5B" w:rsidRPr="003862A1">
        <w:rPr>
          <w:rFonts w:cs="Times New Roman"/>
          <w:bCs/>
        </w:rPr>
        <w:t>Vzhľadom na to, že môže ísť o veľký počet os</w:t>
      </w:r>
      <w:r w:rsidR="003862A1">
        <w:rPr>
          <w:rFonts w:cs="Times New Roman"/>
          <w:bCs/>
        </w:rPr>
        <w:t>ôb, a</w:t>
      </w:r>
      <w:r w:rsidR="00446E5B" w:rsidRPr="003862A1">
        <w:rPr>
          <w:rFonts w:cs="Times New Roman"/>
          <w:bCs/>
        </w:rPr>
        <w:t xml:space="preserve">tómový zákon už v súčasnosti upravuje doručovanie rozhodnutí dotknutej verejnosti prostredníctvom verejnej vyhlášky. S cieľom zabezpečiť </w:t>
      </w:r>
      <w:r w:rsidR="00B070A3" w:rsidRPr="003862A1">
        <w:rPr>
          <w:rFonts w:cs="Times New Roman"/>
          <w:bCs/>
        </w:rPr>
        <w:t xml:space="preserve">efektívne </w:t>
      </w:r>
      <w:r w:rsidR="00446E5B" w:rsidRPr="003862A1">
        <w:rPr>
          <w:rFonts w:cs="Times New Roman"/>
          <w:bCs/>
        </w:rPr>
        <w:t xml:space="preserve">informovanie </w:t>
      </w:r>
      <w:r w:rsidR="00B070A3" w:rsidRPr="003862A1">
        <w:rPr>
          <w:rFonts w:cs="Times New Roman"/>
          <w:bCs/>
        </w:rPr>
        <w:t xml:space="preserve">dotknutej verejnosti </w:t>
      </w:r>
      <w:r w:rsidR="004E7439" w:rsidRPr="003862A1">
        <w:rPr>
          <w:rFonts w:cs="Times New Roman"/>
          <w:bCs/>
        </w:rPr>
        <w:t>sa navrhuje</w:t>
      </w:r>
      <w:r w:rsidR="00151435" w:rsidRPr="003862A1">
        <w:rPr>
          <w:rFonts w:cs="Times New Roman"/>
          <w:bCs/>
        </w:rPr>
        <w:t>,</w:t>
      </w:r>
      <w:r w:rsidR="004E7439" w:rsidRPr="003862A1">
        <w:rPr>
          <w:rFonts w:cs="Times New Roman"/>
          <w:bCs/>
        </w:rPr>
        <w:t xml:space="preserve"> </w:t>
      </w:r>
      <w:r w:rsidR="00446E5B" w:rsidRPr="003862A1">
        <w:rPr>
          <w:rFonts w:cs="Times New Roman"/>
          <w:bCs/>
        </w:rPr>
        <w:t>a</w:t>
      </w:r>
      <w:r w:rsidR="004E7439" w:rsidRPr="003862A1">
        <w:rPr>
          <w:rFonts w:cs="Times New Roman"/>
          <w:bCs/>
        </w:rPr>
        <w:t>by</w:t>
      </w:r>
      <w:r w:rsidR="00446E5B" w:rsidRPr="003862A1">
        <w:rPr>
          <w:rFonts w:cs="Times New Roman"/>
          <w:bCs/>
        </w:rPr>
        <w:t xml:space="preserve"> sa </w:t>
      </w:r>
      <w:r w:rsidR="00B070A3" w:rsidRPr="003862A1">
        <w:rPr>
          <w:rFonts w:cs="Times New Roman"/>
          <w:bCs/>
        </w:rPr>
        <w:t xml:space="preserve">v týchto prípadoch doručovali v priebehu konania </w:t>
      </w:r>
      <w:r w:rsidR="00446E5B" w:rsidRPr="003862A1">
        <w:rPr>
          <w:rFonts w:cs="Times New Roman"/>
          <w:bCs/>
        </w:rPr>
        <w:t>prostredníctvom verejnej vyhlášk</w:t>
      </w:r>
      <w:r w:rsidR="00B070A3" w:rsidRPr="003862A1">
        <w:rPr>
          <w:rFonts w:cs="Times New Roman"/>
          <w:bCs/>
        </w:rPr>
        <w:t>y</w:t>
      </w:r>
      <w:r w:rsidR="00446E5B" w:rsidRPr="003862A1">
        <w:rPr>
          <w:rFonts w:cs="Times New Roman"/>
          <w:bCs/>
        </w:rPr>
        <w:t xml:space="preserve"> aj výzvy, upovedomenia, predvolania alebo iné písomnosti. </w:t>
      </w:r>
      <w:r w:rsidR="00002DD9" w:rsidRPr="003862A1">
        <w:rPr>
          <w:rFonts w:cs="Times New Roman"/>
          <w:bCs/>
        </w:rPr>
        <w:t xml:space="preserve">Takýto postup je zároveň v súde s princípom transparentnosti verejnej správy, ktorý podporuje Aarhuský dohovor práve s cieľom posilnenia zapojenia verejnosti do rozhodovacích procesov, ako i Odporúčanie Výboru ministrov Rady Európy </w:t>
      </w:r>
      <w:r w:rsidR="007F3EB6" w:rsidRPr="003862A1">
        <w:rPr>
          <w:rFonts w:cs="Times New Roman"/>
          <w:bCs/>
        </w:rPr>
        <w:t>č. </w:t>
      </w:r>
      <w:r w:rsidR="00002DD9" w:rsidRPr="003862A1">
        <w:rPr>
          <w:rFonts w:cs="Times New Roman"/>
          <w:bCs/>
        </w:rPr>
        <w:t xml:space="preserve">CM/Rec(2007)7 o dobrej verejnej správe. </w:t>
      </w:r>
    </w:p>
    <w:p w:rsidR="00892D67" w:rsidRPr="003862A1" w:rsidRDefault="00446E5B" w:rsidP="00C76BA5">
      <w:pPr>
        <w:spacing w:before="120" w:line="276" w:lineRule="auto"/>
        <w:ind w:firstLine="708"/>
        <w:jc w:val="both"/>
        <w:rPr>
          <w:rFonts w:cs="Times New Roman"/>
          <w:bCs/>
        </w:rPr>
      </w:pPr>
      <w:r w:rsidRPr="003862A1">
        <w:rPr>
          <w:rFonts w:cs="Times New Roman"/>
          <w:bCs/>
        </w:rPr>
        <w:lastRenderedPageBreak/>
        <w:t>Takáto úprava zároveň prispeje k </w:t>
      </w:r>
      <w:r w:rsidR="00C50A03" w:rsidRPr="003862A1">
        <w:rPr>
          <w:rFonts w:cs="Times New Roman"/>
          <w:bCs/>
        </w:rPr>
        <w:t>zefektívneniu</w:t>
      </w:r>
      <w:r w:rsidRPr="003862A1">
        <w:rPr>
          <w:rFonts w:cs="Times New Roman"/>
          <w:bCs/>
        </w:rPr>
        <w:t xml:space="preserve"> konania (nie je potrebné preukazovať doručenie každému členovi dotknutej verejnosti jednotlivo) a súčasne i k jeho väčšej hospodárnosti.</w:t>
      </w:r>
      <w:r w:rsidR="00002DD9" w:rsidRPr="003862A1">
        <w:rPr>
          <w:rFonts w:cs="Times New Roman"/>
          <w:bCs/>
        </w:rPr>
        <w:t xml:space="preserve"> Zároveň, m</w:t>
      </w:r>
      <w:r w:rsidR="00892D67" w:rsidRPr="003862A1">
        <w:rPr>
          <w:rFonts w:cs="Times New Roman"/>
          <w:bCs/>
        </w:rPr>
        <w:t>ožnosť komunikovať s verejnosťou prostredníctvom verejnej vyhlášky pripúšťa i Aarhuský dohovor a Odporúčanie Výboru ministrov Rady Európy č.</w:t>
      </w:r>
      <w:r w:rsidR="007F3EB6" w:rsidRPr="003862A1">
        <w:rPr>
          <w:rFonts w:cs="Times New Roman"/>
          <w:bCs/>
        </w:rPr>
        <w:t> </w:t>
      </w:r>
      <w:r w:rsidR="00892D67" w:rsidRPr="003862A1">
        <w:rPr>
          <w:rFonts w:cs="Times New Roman"/>
          <w:bCs/>
        </w:rPr>
        <w:t>R</w:t>
      </w:r>
      <w:r w:rsidR="007F3EB6" w:rsidRPr="003862A1">
        <w:rPr>
          <w:rFonts w:cs="Times New Roman"/>
          <w:bCs/>
        </w:rPr>
        <w:t> </w:t>
      </w:r>
      <w:r w:rsidR="00892D67" w:rsidRPr="003862A1">
        <w:rPr>
          <w:rFonts w:cs="Times New Roman"/>
          <w:bCs/>
        </w:rPr>
        <w:t xml:space="preserve">(87) 16 o správnych konaniach týkajúcich sa veľkého počtu osôb. Predmetné Odporúčanie </w:t>
      </w:r>
      <w:r w:rsidR="00064088" w:rsidRPr="003862A1">
        <w:rPr>
          <w:rFonts w:cs="Times New Roman"/>
          <w:bCs/>
        </w:rPr>
        <w:t xml:space="preserve">pritom zohľadňuje a vychádza z potreby </w:t>
      </w:r>
      <w:r w:rsidR="00892D67" w:rsidRPr="003862A1">
        <w:rPr>
          <w:rFonts w:cs="Times New Roman"/>
          <w:bCs/>
        </w:rPr>
        <w:t>vyvaž</w:t>
      </w:r>
      <w:r w:rsidR="00162FEE" w:rsidRPr="003862A1">
        <w:rPr>
          <w:rFonts w:cs="Times New Roman"/>
          <w:bCs/>
        </w:rPr>
        <w:t>ovani</w:t>
      </w:r>
      <w:r w:rsidR="00064088" w:rsidRPr="003862A1">
        <w:rPr>
          <w:rFonts w:cs="Times New Roman"/>
          <w:bCs/>
        </w:rPr>
        <w:t>a</w:t>
      </w:r>
      <w:r w:rsidR="00162FEE" w:rsidRPr="003862A1">
        <w:rPr>
          <w:rFonts w:cs="Times New Roman"/>
          <w:bCs/>
        </w:rPr>
        <w:t xml:space="preserve"> </w:t>
      </w:r>
      <w:r w:rsidR="00892D67" w:rsidRPr="003862A1">
        <w:rPr>
          <w:rFonts w:cs="Times New Roman"/>
          <w:bCs/>
        </w:rPr>
        <w:t>požiadav</w:t>
      </w:r>
      <w:r w:rsidR="00162FEE" w:rsidRPr="003862A1">
        <w:rPr>
          <w:rFonts w:cs="Times New Roman"/>
          <w:bCs/>
        </w:rPr>
        <w:t xml:space="preserve">iek na </w:t>
      </w:r>
      <w:r w:rsidR="00892D67" w:rsidRPr="003862A1">
        <w:rPr>
          <w:rFonts w:cs="Times New Roman"/>
          <w:bCs/>
        </w:rPr>
        <w:t>dobr</w:t>
      </w:r>
      <w:r w:rsidR="00162FEE" w:rsidRPr="003862A1">
        <w:rPr>
          <w:rFonts w:cs="Times New Roman"/>
          <w:bCs/>
        </w:rPr>
        <w:t xml:space="preserve">ú </w:t>
      </w:r>
      <w:r w:rsidR="00892D67" w:rsidRPr="003862A1">
        <w:rPr>
          <w:rFonts w:cs="Times New Roman"/>
          <w:bCs/>
        </w:rPr>
        <w:t>a efektívn</w:t>
      </w:r>
      <w:r w:rsidR="00162FEE" w:rsidRPr="003862A1">
        <w:rPr>
          <w:rFonts w:cs="Times New Roman"/>
          <w:bCs/>
        </w:rPr>
        <w:t>u</w:t>
      </w:r>
      <w:r w:rsidR="00892D67" w:rsidRPr="003862A1">
        <w:rPr>
          <w:rFonts w:cs="Times New Roman"/>
          <w:bCs/>
        </w:rPr>
        <w:t xml:space="preserve"> správ</w:t>
      </w:r>
      <w:r w:rsidR="00162FEE" w:rsidRPr="003862A1">
        <w:rPr>
          <w:rFonts w:cs="Times New Roman"/>
          <w:bCs/>
        </w:rPr>
        <w:t>u</w:t>
      </w:r>
      <w:r w:rsidR="00892D67" w:rsidRPr="003862A1">
        <w:rPr>
          <w:rFonts w:cs="Times New Roman"/>
          <w:bCs/>
        </w:rPr>
        <w:t xml:space="preserve"> na jednej strane s</w:t>
      </w:r>
      <w:r w:rsidR="00162FEE" w:rsidRPr="003862A1">
        <w:rPr>
          <w:rFonts w:cs="Times New Roman"/>
          <w:bCs/>
        </w:rPr>
        <w:t>o</w:t>
      </w:r>
      <w:r w:rsidR="00892D67" w:rsidRPr="003862A1">
        <w:rPr>
          <w:rFonts w:cs="Times New Roman"/>
          <w:bCs/>
        </w:rPr>
        <w:t xml:space="preserve"> spravodlivou a účinnou ochranou</w:t>
      </w:r>
      <w:r w:rsidR="00162FEE" w:rsidRPr="003862A1">
        <w:rPr>
          <w:rFonts w:cs="Times New Roman"/>
          <w:bCs/>
        </w:rPr>
        <w:t xml:space="preserve"> v prípadoch administratívnych konaní s </w:t>
      </w:r>
      <w:r w:rsidR="00892D67" w:rsidRPr="003862A1">
        <w:rPr>
          <w:rFonts w:cs="Times New Roman"/>
          <w:bCs/>
        </w:rPr>
        <w:t>veľk</w:t>
      </w:r>
      <w:r w:rsidR="00162FEE" w:rsidRPr="003862A1">
        <w:rPr>
          <w:rFonts w:cs="Times New Roman"/>
          <w:bCs/>
        </w:rPr>
        <w:t>ým</w:t>
      </w:r>
      <w:r w:rsidR="00892D67" w:rsidRPr="003862A1">
        <w:rPr>
          <w:rFonts w:cs="Times New Roman"/>
          <w:bCs/>
        </w:rPr>
        <w:t xml:space="preserve"> počt</w:t>
      </w:r>
      <w:r w:rsidR="00162FEE" w:rsidRPr="003862A1">
        <w:rPr>
          <w:rFonts w:cs="Times New Roman"/>
          <w:bCs/>
        </w:rPr>
        <w:t>om</w:t>
      </w:r>
      <w:r w:rsidR="00892D67" w:rsidRPr="003862A1">
        <w:rPr>
          <w:rFonts w:cs="Times New Roman"/>
          <w:bCs/>
        </w:rPr>
        <w:t xml:space="preserve"> osôb.</w:t>
      </w:r>
    </w:p>
    <w:p w:rsidR="003862A1" w:rsidRDefault="003862A1" w:rsidP="004E7439">
      <w:pPr>
        <w:spacing w:before="120" w:line="276" w:lineRule="auto"/>
        <w:jc w:val="both"/>
        <w:rPr>
          <w:rFonts w:cs="Times New Roman"/>
          <w:bCs/>
          <w:u w:val="single"/>
        </w:rPr>
      </w:pPr>
    </w:p>
    <w:p w:rsidR="004E7439" w:rsidRPr="003862A1" w:rsidRDefault="004E7439" w:rsidP="004E7439">
      <w:pPr>
        <w:spacing w:before="120" w:line="276" w:lineRule="auto"/>
        <w:jc w:val="both"/>
        <w:rPr>
          <w:rFonts w:cs="Times New Roman"/>
          <w:b/>
          <w:u w:val="single"/>
        </w:rPr>
      </w:pPr>
      <w:r w:rsidRPr="003862A1">
        <w:rPr>
          <w:rFonts w:cs="Times New Roman"/>
          <w:bCs/>
          <w:u w:val="single"/>
        </w:rPr>
        <w:t>K</w:t>
      </w:r>
      <w:r w:rsidR="00563B10" w:rsidRPr="003862A1">
        <w:rPr>
          <w:rFonts w:cs="Times New Roman"/>
          <w:bCs/>
          <w:u w:val="single"/>
        </w:rPr>
        <w:t> </w:t>
      </w:r>
      <w:r w:rsidRPr="003862A1">
        <w:rPr>
          <w:rFonts w:cs="Times New Roman"/>
          <w:bCs/>
          <w:u w:val="single"/>
        </w:rPr>
        <w:t>bod</w:t>
      </w:r>
      <w:r w:rsidR="00563B10" w:rsidRPr="003862A1">
        <w:rPr>
          <w:rFonts w:cs="Times New Roman"/>
          <w:bCs/>
          <w:u w:val="single"/>
        </w:rPr>
        <w:t xml:space="preserve">u </w:t>
      </w:r>
      <w:r w:rsidR="000F2F36" w:rsidRPr="003862A1">
        <w:rPr>
          <w:rFonts w:cs="Times New Roman"/>
          <w:bCs/>
          <w:u w:val="single"/>
        </w:rPr>
        <w:t>4</w:t>
      </w:r>
      <w:r w:rsidR="00563B10" w:rsidRPr="003862A1">
        <w:rPr>
          <w:rFonts w:cs="Times New Roman"/>
          <w:bCs/>
          <w:u w:val="single"/>
        </w:rPr>
        <w:t xml:space="preserve"> </w:t>
      </w:r>
    </w:p>
    <w:p w:rsidR="003C1688" w:rsidRPr="003862A1" w:rsidRDefault="004E7439" w:rsidP="007F3EB6">
      <w:pPr>
        <w:spacing w:before="120" w:line="276" w:lineRule="auto"/>
        <w:ind w:firstLine="709"/>
        <w:jc w:val="both"/>
        <w:rPr>
          <w:rFonts w:cs="Times New Roman"/>
        </w:rPr>
      </w:pPr>
      <w:r w:rsidRPr="003862A1">
        <w:rPr>
          <w:rFonts w:cs="Times New Roman"/>
        </w:rPr>
        <w:t>Navrhovaná úpr</w:t>
      </w:r>
      <w:r w:rsidR="003C1688" w:rsidRPr="003862A1">
        <w:rPr>
          <w:rFonts w:cs="Times New Roman"/>
        </w:rPr>
        <w:t>a</w:t>
      </w:r>
      <w:r w:rsidR="003862A1">
        <w:rPr>
          <w:rFonts w:cs="Times New Roman"/>
        </w:rPr>
        <w:t>va dopĺňa znenie a</w:t>
      </w:r>
      <w:r w:rsidRPr="003862A1">
        <w:rPr>
          <w:rFonts w:cs="Times New Roman"/>
        </w:rPr>
        <w:t>tómového zákona o osobitnú úpravu týkajúcu sa</w:t>
      </w:r>
      <w:r w:rsidR="003C1688" w:rsidRPr="003862A1">
        <w:rPr>
          <w:rFonts w:cs="Times New Roman"/>
        </w:rPr>
        <w:t xml:space="preserve"> nakladania Úradu</w:t>
      </w:r>
      <w:r w:rsidR="00151435" w:rsidRPr="003862A1">
        <w:rPr>
          <w:rFonts w:cs="Times New Roman"/>
        </w:rPr>
        <w:t xml:space="preserve"> jadrového dozoru SR</w:t>
      </w:r>
      <w:r w:rsidR="003C1688" w:rsidRPr="003862A1">
        <w:rPr>
          <w:rFonts w:cs="Times New Roman"/>
        </w:rPr>
        <w:t xml:space="preserve"> s informáciami, </w:t>
      </w:r>
      <w:r w:rsidR="00B070A3" w:rsidRPr="003862A1">
        <w:rPr>
          <w:rFonts w:cs="Times New Roman"/>
        </w:rPr>
        <w:t xml:space="preserve">ktoré spadajú do jednej z nasledovných kategórií: </w:t>
      </w:r>
      <w:r w:rsidR="003C1688" w:rsidRPr="003862A1">
        <w:rPr>
          <w:rFonts w:cs="Times New Roman"/>
        </w:rPr>
        <w:t>citlivá informácia, utajovaná skutočnosť, bankové tajomstvo, daňové tajomstvo, obchodné tajomstvo, telekomunikačné tajomstvo, poštové tajomstvo alebo iná zákonom ustanovená alebo uznaná povinnosť mlčanlivosti.</w:t>
      </w:r>
      <w:r w:rsidRPr="003862A1">
        <w:rPr>
          <w:rFonts w:cs="Times New Roman"/>
        </w:rPr>
        <w:t xml:space="preserve"> </w:t>
      </w:r>
    </w:p>
    <w:p w:rsidR="004E7439" w:rsidRPr="003862A1" w:rsidRDefault="003C1688" w:rsidP="00FF08C4">
      <w:pPr>
        <w:spacing w:before="120" w:line="276" w:lineRule="auto"/>
        <w:ind w:firstLine="708"/>
        <w:jc w:val="both"/>
        <w:rPr>
          <w:rFonts w:cs="Times New Roman"/>
        </w:rPr>
      </w:pPr>
      <w:r w:rsidRPr="003862A1">
        <w:rPr>
          <w:rFonts w:cs="Times New Roman"/>
        </w:rPr>
        <w:t>V súlade s povinnosťou chrániť takéto informácie a povinnosť</w:t>
      </w:r>
      <w:r w:rsidR="00B070A3" w:rsidRPr="003862A1">
        <w:rPr>
          <w:rFonts w:cs="Times New Roman"/>
        </w:rPr>
        <w:t>ou</w:t>
      </w:r>
      <w:r w:rsidRPr="003862A1">
        <w:rPr>
          <w:rFonts w:cs="Times New Roman"/>
        </w:rPr>
        <w:t xml:space="preserve"> mlčanlivosti</w:t>
      </w:r>
      <w:r w:rsidR="004E7439" w:rsidRPr="003862A1">
        <w:rPr>
          <w:rFonts w:cs="Times New Roman"/>
        </w:rPr>
        <w:t xml:space="preserve"> </w:t>
      </w:r>
      <w:r w:rsidRPr="003862A1">
        <w:rPr>
          <w:rFonts w:cs="Times New Roman"/>
        </w:rPr>
        <w:t>je</w:t>
      </w:r>
      <w:r w:rsidR="00F9282D" w:rsidRPr="003862A1">
        <w:rPr>
          <w:rFonts w:cs="Times New Roman"/>
        </w:rPr>
        <w:t xml:space="preserve"> podľa navrhovaného znenia odseku 11</w:t>
      </w:r>
      <w:r w:rsidRPr="003862A1">
        <w:rPr>
          <w:rFonts w:cs="Times New Roman"/>
        </w:rPr>
        <w:t xml:space="preserve"> </w:t>
      </w:r>
      <w:r w:rsidR="004E7439" w:rsidRPr="003862A1">
        <w:rPr>
          <w:rFonts w:cs="Times New Roman"/>
        </w:rPr>
        <w:t>Úrad</w:t>
      </w:r>
      <w:r w:rsidRPr="003862A1">
        <w:rPr>
          <w:rFonts w:cs="Times New Roman"/>
        </w:rPr>
        <w:t xml:space="preserve"> </w:t>
      </w:r>
      <w:r w:rsidR="00F124A9" w:rsidRPr="003862A1">
        <w:rPr>
          <w:rFonts w:cs="Times New Roman"/>
        </w:rPr>
        <w:t xml:space="preserve"> jadrového dozoru SR </w:t>
      </w:r>
      <w:r w:rsidR="004E7439" w:rsidRPr="003862A1">
        <w:rPr>
          <w:rFonts w:cs="Times New Roman"/>
        </w:rPr>
        <w:t xml:space="preserve">povinný </w:t>
      </w:r>
      <w:r w:rsidRPr="003862A1">
        <w:rPr>
          <w:rFonts w:cs="Times New Roman"/>
        </w:rPr>
        <w:t xml:space="preserve">urobiť všetky potrebné opatrenia, aby k nedošlo k sprístupneniu chránených informácií pri nahliadaní do spisu, resp. pri doručovaní písomností. Ide o precizovanie úpravy postupu Úradu jadrového dozoru </w:t>
      </w:r>
      <w:r w:rsidR="00663147" w:rsidRPr="003862A1">
        <w:rPr>
          <w:rFonts w:cs="Times New Roman"/>
        </w:rPr>
        <w:t xml:space="preserve">SR </w:t>
      </w:r>
      <w:r w:rsidR="003862A1">
        <w:rPr>
          <w:rFonts w:cs="Times New Roman"/>
        </w:rPr>
        <w:t>v konaniach podľa a</w:t>
      </w:r>
      <w:r w:rsidRPr="003862A1">
        <w:rPr>
          <w:rFonts w:cs="Times New Roman"/>
        </w:rPr>
        <w:t xml:space="preserve">tómového zákona, keďže povinnosť ochrany takýchto informácii </w:t>
      </w:r>
      <w:r w:rsidR="00B070A3" w:rsidRPr="003862A1">
        <w:rPr>
          <w:rFonts w:cs="Times New Roman"/>
        </w:rPr>
        <w:t>podľa súčasnej úpravy</w:t>
      </w:r>
      <w:r w:rsidRPr="003862A1">
        <w:rPr>
          <w:rFonts w:cs="Times New Roman"/>
        </w:rPr>
        <w:t xml:space="preserve"> vyplýva </w:t>
      </w:r>
      <w:r w:rsidR="00663147" w:rsidRPr="003862A1">
        <w:rPr>
          <w:rFonts w:cs="Times New Roman"/>
        </w:rPr>
        <w:t xml:space="preserve">aj </w:t>
      </w:r>
      <w:r w:rsidRPr="003862A1">
        <w:rPr>
          <w:rFonts w:cs="Times New Roman"/>
        </w:rPr>
        <w:t>z osobitných predpisov</w:t>
      </w:r>
      <w:r w:rsidR="008D21D3" w:rsidRPr="003862A1">
        <w:rPr>
          <w:rFonts w:cs="Times New Roman"/>
        </w:rPr>
        <w:t>, napr. zákon č. 215/2004 Z. z. o ochrane utajovaných skutočností v znení neskorších predpisov, zákon č. 483/2001 Z. z. o bankách v znení neskorších predpisov, zákon č. 563/2009 Z.</w:t>
      </w:r>
      <w:r w:rsidR="00151435" w:rsidRPr="003862A1">
        <w:rPr>
          <w:rFonts w:cs="Times New Roman"/>
        </w:rPr>
        <w:t xml:space="preserve"> </w:t>
      </w:r>
      <w:r w:rsidR="008D21D3" w:rsidRPr="003862A1">
        <w:rPr>
          <w:rFonts w:cs="Times New Roman"/>
        </w:rPr>
        <w:t>z. o správe daní</w:t>
      </w:r>
      <w:r w:rsidR="00151435" w:rsidRPr="003862A1">
        <w:rPr>
          <w:rFonts w:cs="Times New Roman"/>
        </w:rPr>
        <w:t xml:space="preserve"> v znení neskorších predpisov,</w:t>
      </w:r>
      <w:r w:rsidR="008D21D3" w:rsidRPr="003862A1">
        <w:rPr>
          <w:rFonts w:cs="Times New Roman"/>
        </w:rPr>
        <w:t xml:space="preserve"> zákon č. 513/1991 Z.</w:t>
      </w:r>
      <w:r w:rsidR="00151435" w:rsidRPr="003862A1">
        <w:rPr>
          <w:rFonts w:cs="Times New Roman"/>
        </w:rPr>
        <w:t xml:space="preserve"> </w:t>
      </w:r>
      <w:r w:rsidR="008D21D3" w:rsidRPr="003862A1">
        <w:rPr>
          <w:rFonts w:cs="Times New Roman"/>
        </w:rPr>
        <w:t>z. Obchodný zákonník</w:t>
      </w:r>
      <w:r w:rsidR="00151435" w:rsidRPr="003862A1">
        <w:rPr>
          <w:rFonts w:cs="Times New Roman"/>
        </w:rPr>
        <w:t xml:space="preserve"> v znení neskorších predpisov,</w:t>
      </w:r>
      <w:r w:rsidR="008D21D3" w:rsidRPr="003862A1">
        <w:rPr>
          <w:rFonts w:cs="Times New Roman"/>
        </w:rPr>
        <w:t xml:space="preserve"> zákon č. 351/2011 Z.</w:t>
      </w:r>
      <w:r w:rsidR="00151435" w:rsidRPr="003862A1">
        <w:rPr>
          <w:rFonts w:cs="Times New Roman"/>
        </w:rPr>
        <w:t xml:space="preserve"> </w:t>
      </w:r>
      <w:r w:rsidR="008D21D3" w:rsidRPr="003862A1">
        <w:rPr>
          <w:rFonts w:cs="Times New Roman"/>
        </w:rPr>
        <w:t>z. o elektronických komunikáciách</w:t>
      </w:r>
      <w:r w:rsidR="00151435" w:rsidRPr="003862A1">
        <w:rPr>
          <w:rFonts w:cs="Times New Roman"/>
        </w:rPr>
        <w:t xml:space="preserve"> v znení neskorších predpisov, </w:t>
      </w:r>
      <w:r w:rsidR="008D21D3" w:rsidRPr="003862A1">
        <w:rPr>
          <w:rFonts w:cs="Times New Roman"/>
        </w:rPr>
        <w:t xml:space="preserve">zákon </w:t>
      </w:r>
      <w:r w:rsidR="007F3EB6" w:rsidRPr="003862A1">
        <w:rPr>
          <w:rFonts w:cs="Times New Roman"/>
        </w:rPr>
        <w:t>č. </w:t>
      </w:r>
      <w:r w:rsidR="008D21D3" w:rsidRPr="003862A1">
        <w:rPr>
          <w:rFonts w:cs="Times New Roman"/>
        </w:rPr>
        <w:t>324/2011 Z.</w:t>
      </w:r>
      <w:r w:rsidR="00151435" w:rsidRPr="003862A1">
        <w:rPr>
          <w:rFonts w:cs="Times New Roman"/>
        </w:rPr>
        <w:t xml:space="preserve"> </w:t>
      </w:r>
      <w:r w:rsidR="008D21D3" w:rsidRPr="003862A1">
        <w:rPr>
          <w:rFonts w:cs="Times New Roman"/>
        </w:rPr>
        <w:t>z. o poštových službách</w:t>
      </w:r>
      <w:r w:rsidR="00151435" w:rsidRPr="003862A1">
        <w:rPr>
          <w:rFonts w:cs="Times New Roman"/>
        </w:rPr>
        <w:t xml:space="preserve"> v znení neskorších predpisov</w:t>
      </w:r>
      <w:r w:rsidR="008D21D3" w:rsidRPr="003862A1">
        <w:rPr>
          <w:rFonts w:cs="Times New Roman"/>
        </w:rPr>
        <w:t>.</w:t>
      </w:r>
      <w:r w:rsidR="000F2F36" w:rsidRPr="003862A1">
        <w:rPr>
          <w:rFonts w:cs="Times New Roman"/>
        </w:rPr>
        <w:t xml:space="preserve"> </w:t>
      </w:r>
      <w:r w:rsidR="004E7439" w:rsidRPr="003862A1">
        <w:rPr>
          <w:rFonts w:cs="Times New Roman"/>
        </w:rPr>
        <w:t xml:space="preserve">Takýto postup je potrebný </w:t>
      </w:r>
      <w:r w:rsidR="00663147" w:rsidRPr="003862A1">
        <w:rPr>
          <w:rFonts w:cs="Times New Roman"/>
        </w:rPr>
        <w:t xml:space="preserve">a vhodný najmä </w:t>
      </w:r>
      <w:r w:rsidR="004E7439" w:rsidRPr="003862A1">
        <w:rPr>
          <w:rFonts w:cs="Times New Roman"/>
        </w:rPr>
        <w:t xml:space="preserve">vzhľadom na </w:t>
      </w:r>
      <w:r w:rsidR="00F9282D" w:rsidRPr="003862A1">
        <w:rPr>
          <w:rFonts w:cs="Times New Roman"/>
        </w:rPr>
        <w:t>špecifický charakter daných informácií, keďže ich sprístupnením by mohlo dôjsť k</w:t>
      </w:r>
      <w:r w:rsidR="00663147" w:rsidRPr="003862A1">
        <w:rPr>
          <w:rFonts w:cs="Times New Roman"/>
        </w:rPr>
        <w:t> vážnej ujme na právach</w:t>
      </w:r>
      <w:r w:rsidR="00F9282D" w:rsidRPr="003862A1">
        <w:rPr>
          <w:rFonts w:cs="Times New Roman"/>
        </w:rPr>
        <w:t xml:space="preserve"> a chránených záujmo</w:t>
      </w:r>
      <w:r w:rsidR="00663147" w:rsidRPr="003862A1">
        <w:rPr>
          <w:rFonts w:cs="Times New Roman"/>
        </w:rPr>
        <w:t>ch</w:t>
      </w:r>
      <w:r w:rsidR="00F9282D" w:rsidRPr="003862A1">
        <w:rPr>
          <w:rFonts w:cs="Times New Roman"/>
        </w:rPr>
        <w:t xml:space="preserve">, ktorým zákonodarca priznal prednosť pred právom na slobodný prístup k informáciám. </w:t>
      </w:r>
    </w:p>
    <w:p w:rsidR="00033533" w:rsidRPr="003862A1" w:rsidRDefault="00F9282D" w:rsidP="007F3EB6">
      <w:pPr>
        <w:spacing w:before="120" w:line="276" w:lineRule="auto"/>
        <w:ind w:firstLine="709"/>
        <w:jc w:val="both"/>
        <w:rPr>
          <w:rFonts w:cs="Times New Roman"/>
        </w:rPr>
      </w:pPr>
      <w:r w:rsidRPr="003862A1">
        <w:rPr>
          <w:rFonts w:cs="Times New Roman"/>
        </w:rPr>
        <w:t xml:space="preserve">V rámci predchádzania situácii, že Úrad </w:t>
      </w:r>
      <w:r w:rsidR="00F124A9" w:rsidRPr="003862A1">
        <w:rPr>
          <w:rFonts w:cs="Times New Roman"/>
        </w:rPr>
        <w:t xml:space="preserve">jadrového dozoru SR </w:t>
      </w:r>
      <w:r w:rsidRPr="003862A1">
        <w:rPr>
          <w:rFonts w:cs="Times New Roman"/>
        </w:rPr>
        <w:t>by svojím konaním sprístupnil informácie predstavujúce obchodné tajomstvo alebo citlivú informáciu sa v odseku 12 zavádza povinnosť Úradu</w:t>
      </w:r>
      <w:r w:rsidR="00033533" w:rsidRPr="003862A1">
        <w:rPr>
          <w:rFonts w:cs="Times New Roman"/>
        </w:rPr>
        <w:t xml:space="preserve"> </w:t>
      </w:r>
      <w:r w:rsidR="00F124A9" w:rsidRPr="003862A1">
        <w:rPr>
          <w:rFonts w:cs="Times New Roman"/>
        </w:rPr>
        <w:t xml:space="preserve">jadrového dozoru SR </w:t>
      </w:r>
      <w:r w:rsidR="00033533" w:rsidRPr="003862A1">
        <w:rPr>
          <w:rFonts w:cs="Times New Roman"/>
        </w:rPr>
        <w:t>upozorniť žiadateľa na možnosť označiť informácie, ktoré považuje za citlivé alebo za predmet obchodného tajomstva.</w:t>
      </w:r>
      <w:r w:rsidRPr="003862A1">
        <w:rPr>
          <w:rFonts w:cs="Times New Roman"/>
        </w:rPr>
        <w:t xml:space="preserve"> </w:t>
      </w:r>
      <w:r w:rsidR="00033533" w:rsidRPr="003862A1">
        <w:rPr>
          <w:rFonts w:cs="Times New Roman"/>
        </w:rPr>
        <w:t xml:space="preserve">Takýto postup nie je výnimočný a predpokladá ho napr. i zákon č. 136/2001 Z. z. o ochrane hospodárskej súťaže v znení neskorších predpisov. </w:t>
      </w:r>
    </w:p>
    <w:p w:rsidR="004E7439" w:rsidRPr="003862A1" w:rsidRDefault="00033533" w:rsidP="008E2498">
      <w:pPr>
        <w:spacing w:before="120" w:line="276" w:lineRule="auto"/>
        <w:ind w:firstLine="708"/>
        <w:jc w:val="both"/>
        <w:rPr>
          <w:rFonts w:cs="Times New Roman"/>
        </w:rPr>
      </w:pPr>
      <w:r w:rsidRPr="003862A1">
        <w:rPr>
          <w:rFonts w:cs="Times New Roman"/>
        </w:rPr>
        <w:t>Samotné posúdenie toho, či sa s označenými informáci</w:t>
      </w:r>
      <w:r w:rsidR="00151435" w:rsidRPr="003862A1">
        <w:rPr>
          <w:rFonts w:cs="Times New Roman"/>
        </w:rPr>
        <w:t>am</w:t>
      </w:r>
      <w:r w:rsidRPr="003862A1">
        <w:rPr>
          <w:rFonts w:cs="Times New Roman"/>
        </w:rPr>
        <w:t xml:space="preserve">i bude nakladať v osobitnom režime, t.j. </w:t>
      </w:r>
      <w:r w:rsidR="00151435" w:rsidRPr="003862A1">
        <w:rPr>
          <w:rFonts w:cs="Times New Roman"/>
        </w:rPr>
        <w:t>či</w:t>
      </w:r>
      <w:r w:rsidR="00110B9C" w:rsidRPr="003862A1">
        <w:rPr>
          <w:rFonts w:cs="Times New Roman"/>
        </w:rPr>
        <w:t xml:space="preserve"> sa</w:t>
      </w:r>
      <w:r w:rsidR="00151435" w:rsidRPr="003862A1">
        <w:rPr>
          <w:rFonts w:cs="Times New Roman"/>
        </w:rPr>
        <w:t xml:space="preserve"> </w:t>
      </w:r>
      <w:r w:rsidRPr="003862A1">
        <w:rPr>
          <w:rFonts w:cs="Times New Roman"/>
        </w:rPr>
        <w:t>dané informácie nesprístupnia iným účastníkom konania je na Úrade</w:t>
      </w:r>
      <w:r w:rsidR="00151435" w:rsidRPr="003862A1">
        <w:rPr>
          <w:rFonts w:cs="Times New Roman"/>
        </w:rPr>
        <w:t xml:space="preserve"> jadrového dozoru SR</w:t>
      </w:r>
      <w:r w:rsidRPr="003862A1">
        <w:rPr>
          <w:rFonts w:cs="Times New Roman"/>
        </w:rPr>
        <w:t>.</w:t>
      </w:r>
      <w:r w:rsidR="00151435" w:rsidRPr="003862A1">
        <w:rPr>
          <w:rFonts w:cs="Times New Roman"/>
        </w:rPr>
        <w:t xml:space="preserve"> </w:t>
      </w:r>
      <w:r w:rsidR="004E7439" w:rsidRPr="003862A1">
        <w:rPr>
          <w:rFonts w:cs="Times New Roman"/>
        </w:rPr>
        <w:t>Úrad</w:t>
      </w:r>
      <w:r w:rsidRPr="003862A1">
        <w:rPr>
          <w:rFonts w:cs="Times New Roman"/>
        </w:rPr>
        <w:t xml:space="preserve"> </w:t>
      </w:r>
      <w:r w:rsidR="00151435" w:rsidRPr="003862A1">
        <w:rPr>
          <w:rFonts w:cs="Times New Roman"/>
        </w:rPr>
        <w:t xml:space="preserve">jadrového dozoru SR </w:t>
      </w:r>
      <w:r w:rsidRPr="003862A1">
        <w:rPr>
          <w:rFonts w:cs="Times New Roman"/>
        </w:rPr>
        <w:t>pritom</w:t>
      </w:r>
      <w:r w:rsidR="004E7439" w:rsidRPr="003862A1">
        <w:rPr>
          <w:rFonts w:cs="Times New Roman"/>
        </w:rPr>
        <w:t xml:space="preserve"> môže </w:t>
      </w:r>
      <w:r w:rsidRPr="003862A1">
        <w:rPr>
          <w:rFonts w:cs="Times New Roman"/>
        </w:rPr>
        <w:t xml:space="preserve">podľa navrhovaného odseku 13 </w:t>
      </w:r>
      <w:r w:rsidR="004E7439" w:rsidRPr="003862A1">
        <w:rPr>
          <w:rFonts w:cs="Times New Roman"/>
        </w:rPr>
        <w:t>od</w:t>
      </w:r>
      <w:r w:rsidRPr="003862A1">
        <w:rPr>
          <w:rFonts w:cs="Times New Roman"/>
        </w:rPr>
        <w:t xml:space="preserve"> žiadateľa</w:t>
      </w:r>
      <w:r w:rsidR="004E7439" w:rsidRPr="003862A1">
        <w:rPr>
          <w:rFonts w:cs="Times New Roman"/>
        </w:rPr>
        <w:t>, ktor</w:t>
      </w:r>
      <w:r w:rsidRPr="003862A1">
        <w:rPr>
          <w:rFonts w:cs="Times New Roman"/>
        </w:rPr>
        <w:t>ý</w:t>
      </w:r>
      <w:r w:rsidR="004E7439" w:rsidRPr="003862A1">
        <w:rPr>
          <w:rFonts w:cs="Times New Roman"/>
        </w:rPr>
        <w:t xml:space="preserve"> </w:t>
      </w:r>
      <w:r w:rsidRPr="003862A1">
        <w:rPr>
          <w:rFonts w:cs="Times New Roman"/>
        </w:rPr>
        <w:t>označil</w:t>
      </w:r>
      <w:r w:rsidR="004E7439" w:rsidRPr="003862A1">
        <w:rPr>
          <w:rFonts w:cs="Times New Roman"/>
        </w:rPr>
        <w:t xml:space="preserve"> určité informácie </w:t>
      </w:r>
      <w:r w:rsidRPr="003862A1">
        <w:rPr>
          <w:rFonts w:cs="Times New Roman"/>
        </w:rPr>
        <w:t>ako citlivé alebo predstavujúce predmet obchodného tajomstva žiadať, aby písomne odôvodnil</w:t>
      </w:r>
      <w:r w:rsidR="004E7439" w:rsidRPr="003862A1">
        <w:rPr>
          <w:rFonts w:cs="Times New Roman"/>
        </w:rPr>
        <w:t xml:space="preserve"> ich označenie ako obchodné tajomstvo alebo ako </w:t>
      </w:r>
      <w:r w:rsidRPr="003862A1">
        <w:rPr>
          <w:rFonts w:cs="Times New Roman"/>
        </w:rPr>
        <w:t>citlivú informáciu. Z navrhovaného znenie zákona vyplýva, že Ú</w:t>
      </w:r>
      <w:r w:rsidR="004E7439" w:rsidRPr="003862A1">
        <w:rPr>
          <w:rFonts w:cs="Times New Roman"/>
        </w:rPr>
        <w:t>rad</w:t>
      </w:r>
      <w:r w:rsidR="00F124A9" w:rsidRPr="003862A1">
        <w:rPr>
          <w:rFonts w:cs="Times New Roman"/>
        </w:rPr>
        <w:t xml:space="preserve"> jadrového </w:t>
      </w:r>
      <w:r w:rsidR="00F124A9" w:rsidRPr="003862A1">
        <w:rPr>
          <w:rFonts w:cs="Times New Roman"/>
        </w:rPr>
        <w:lastRenderedPageBreak/>
        <w:t>dozoru SR</w:t>
      </w:r>
      <w:r w:rsidR="004E7439" w:rsidRPr="003862A1">
        <w:rPr>
          <w:rFonts w:cs="Times New Roman"/>
        </w:rPr>
        <w:t xml:space="preserve"> zváži, kedy je potrebné takéto písomné zdôvodnenie </w:t>
      </w:r>
      <w:r w:rsidR="00ED168D" w:rsidRPr="003862A1">
        <w:rPr>
          <w:rFonts w:cs="Times New Roman"/>
        </w:rPr>
        <w:t>označenia</w:t>
      </w:r>
      <w:r w:rsidR="004E7439" w:rsidRPr="003862A1">
        <w:rPr>
          <w:rFonts w:cs="Times New Roman"/>
        </w:rPr>
        <w:t xml:space="preserve"> od </w:t>
      </w:r>
      <w:r w:rsidRPr="003862A1">
        <w:rPr>
          <w:rFonts w:cs="Times New Roman"/>
        </w:rPr>
        <w:t>žiadateľa</w:t>
      </w:r>
      <w:r w:rsidR="004E7439" w:rsidRPr="003862A1">
        <w:rPr>
          <w:rFonts w:cs="Times New Roman"/>
        </w:rPr>
        <w:t xml:space="preserve"> požadovať. Pôjde najmä o prípady, kedy nejde o zrejmé prípady obchodného tajomstva, resp. </w:t>
      </w:r>
      <w:r w:rsidRPr="003862A1">
        <w:rPr>
          <w:rFonts w:cs="Times New Roman"/>
        </w:rPr>
        <w:t>citlivej</w:t>
      </w:r>
      <w:r w:rsidR="004E7439" w:rsidRPr="003862A1">
        <w:rPr>
          <w:rFonts w:cs="Times New Roman"/>
        </w:rPr>
        <w:t xml:space="preserve"> informácie</w:t>
      </w:r>
      <w:r w:rsidR="00ED168D" w:rsidRPr="003862A1">
        <w:rPr>
          <w:rFonts w:cs="Times New Roman"/>
        </w:rPr>
        <w:t>. V prípade, ak Ú</w:t>
      </w:r>
      <w:r w:rsidR="004E7439" w:rsidRPr="003862A1">
        <w:rPr>
          <w:rFonts w:cs="Times New Roman"/>
        </w:rPr>
        <w:t>rad</w:t>
      </w:r>
      <w:r w:rsidR="00F124A9" w:rsidRPr="003862A1">
        <w:rPr>
          <w:rFonts w:cs="Times New Roman"/>
        </w:rPr>
        <w:t xml:space="preserve"> jadrového dozoru SR</w:t>
      </w:r>
      <w:r w:rsidR="004E7439" w:rsidRPr="003862A1">
        <w:rPr>
          <w:rFonts w:cs="Times New Roman"/>
        </w:rPr>
        <w:t xml:space="preserve"> nebude akceptovať zdôvodnenie </w:t>
      </w:r>
      <w:r w:rsidR="00ED168D" w:rsidRPr="003862A1">
        <w:rPr>
          <w:rFonts w:cs="Times New Roman"/>
        </w:rPr>
        <w:t>označenia</w:t>
      </w:r>
      <w:r w:rsidR="004E7439" w:rsidRPr="003862A1">
        <w:rPr>
          <w:rFonts w:cs="Times New Roman"/>
        </w:rPr>
        <w:t xml:space="preserve"> určitej informácie</w:t>
      </w:r>
      <w:r w:rsidR="00ED168D" w:rsidRPr="003862A1">
        <w:rPr>
          <w:rFonts w:cs="Times New Roman"/>
        </w:rPr>
        <w:t xml:space="preserve"> ako citlivej alebo predstavujúcej </w:t>
      </w:r>
      <w:r w:rsidR="008E2498" w:rsidRPr="003862A1">
        <w:rPr>
          <w:rFonts w:cs="Times New Roman"/>
        </w:rPr>
        <w:t>predmet</w:t>
      </w:r>
      <w:r w:rsidR="00ED168D" w:rsidRPr="003862A1">
        <w:rPr>
          <w:rFonts w:cs="Times New Roman"/>
        </w:rPr>
        <w:t xml:space="preserve"> ochrany obchodného tajomstva</w:t>
      </w:r>
      <w:r w:rsidR="004E7439" w:rsidRPr="003862A1">
        <w:rPr>
          <w:rFonts w:cs="Times New Roman"/>
        </w:rPr>
        <w:t xml:space="preserve"> je povinný </w:t>
      </w:r>
      <w:r w:rsidR="00ED168D" w:rsidRPr="003862A1">
        <w:rPr>
          <w:rFonts w:cs="Times New Roman"/>
        </w:rPr>
        <w:t xml:space="preserve">o tom </w:t>
      </w:r>
      <w:r w:rsidR="004E7439" w:rsidRPr="003862A1">
        <w:rPr>
          <w:rFonts w:cs="Times New Roman"/>
        </w:rPr>
        <w:t xml:space="preserve">informovať žiadateľa. </w:t>
      </w:r>
    </w:p>
    <w:p w:rsidR="003862A1" w:rsidRDefault="003862A1" w:rsidP="003862A1">
      <w:pPr>
        <w:widowControl/>
        <w:suppressAutoHyphens w:val="0"/>
        <w:spacing w:after="160" w:line="259" w:lineRule="auto"/>
        <w:rPr>
          <w:rFonts w:cs="Times New Roman"/>
          <w:u w:val="single"/>
        </w:rPr>
      </w:pPr>
    </w:p>
    <w:p w:rsidR="004E7439" w:rsidRPr="003862A1" w:rsidRDefault="00C76BA5" w:rsidP="003862A1">
      <w:pPr>
        <w:widowControl/>
        <w:suppressAutoHyphens w:val="0"/>
        <w:spacing w:after="160" w:line="259" w:lineRule="auto"/>
        <w:rPr>
          <w:rFonts w:cs="Times New Roman"/>
          <w:u w:val="single"/>
        </w:rPr>
      </w:pPr>
      <w:r w:rsidRPr="003862A1">
        <w:rPr>
          <w:rFonts w:cs="Times New Roman"/>
          <w:u w:val="single"/>
        </w:rPr>
        <w:t xml:space="preserve">K bodu </w:t>
      </w:r>
      <w:r w:rsidR="000F2F36" w:rsidRPr="003862A1">
        <w:rPr>
          <w:rFonts w:cs="Times New Roman"/>
          <w:u w:val="single"/>
        </w:rPr>
        <w:t>5</w:t>
      </w:r>
    </w:p>
    <w:p w:rsidR="004E7439" w:rsidRPr="003862A1" w:rsidRDefault="00A8640E" w:rsidP="007F3EB6">
      <w:pPr>
        <w:spacing w:before="120" w:line="276" w:lineRule="auto"/>
        <w:ind w:firstLine="709"/>
        <w:jc w:val="both"/>
        <w:rPr>
          <w:rFonts w:cs="Times New Roman"/>
          <w:bCs/>
        </w:rPr>
      </w:pPr>
      <w:r w:rsidRPr="003862A1">
        <w:rPr>
          <w:rFonts w:cs="Times New Roman"/>
          <w:bCs/>
        </w:rPr>
        <w:t xml:space="preserve">Navrhovaná úprava reflektuje špecifické postavenie </w:t>
      </w:r>
      <w:r w:rsidR="002C291C" w:rsidRPr="003862A1">
        <w:rPr>
          <w:rFonts w:cs="Times New Roman"/>
          <w:bCs/>
        </w:rPr>
        <w:t xml:space="preserve">vydávania </w:t>
      </w:r>
      <w:r w:rsidRPr="003862A1">
        <w:rPr>
          <w:rFonts w:cs="Times New Roman"/>
          <w:bCs/>
        </w:rPr>
        <w:t>súhlasu</w:t>
      </w:r>
      <w:r w:rsidR="00151435" w:rsidRPr="003862A1">
        <w:rPr>
          <w:rFonts w:cs="Times New Roman"/>
          <w:bCs/>
        </w:rPr>
        <w:t xml:space="preserve"> na </w:t>
      </w:r>
      <w:r w:rsidR="00064088" w:rsidRPr="003862A1">
        <w:rPr>
          <w:rFonts w:cs="Times New Roman"/>
          <w:bCs/>
        </w:rPr>
        <w:t xml:space="preserve">ďalšiu </w:t>
      </w:r>
      <w:r w:rsidR="00151435" w:rsidRPr="003862A1">
        <w:rPr>
          <w:rFonts w:cs="Times New Roman"/>
          <w:bCs/>
        </w:rPr>
        <w:t>etapu uvádzania do prevádzky</w:t>
      </w:r>
      <w:r w:rsidRPr="003862A1">
        <w:rPr>
          <w:rFonts w:cs="Times New Roman"/>
          <w:bCs/>
        </w:rPr>
        <w:t>. Uvádzanie jadrového zariadenia do prevádzky je podmienené z</w:t>
      </w:r>
      <w:r w:rsidR="00110B9C" w:rsidRPr="003862A1">
        <w:rPr>
          <w:rFonts w:cs="Times New Roman"/>
          <w:bCs/>
        </w:rPr>
        <w:t xml:space="preserve">ískaním povolenia na uvádzanie </w:t>
      </w:r>
      <w:r w:rsidRPr="003862A1">
        <w:rPr>
          <w:rFonts w:cs="Times New Roman"/>
          <w:bCs/>
        </w:rPr>
        <w:t xml:space="preserve">jadrového zariadenia do prevádzky, avšak samotný proces uvádzania je členený na etapy, pričom </w:t>
      </w:r>
      <w:r w:rsidR="00C510D9" w:rsidRPr="003862A1">
        <w:rPr>
          <w:rFonts w:cs="Times New Roman"/>
          <w:bCs/>
        </w:rPr>
        <w:t xml:space="preserve">pokračovanie v ďalšej etape je podmienené súhlasom Úradu </w:t>
      </w:r>
      <w:r w:rsidR="00F124A9" w:rsidRPr="003862A1">
        <w:rPr>
          <w:rFonts w:cs="Times New Roman"/>
        </w:rPr>
        <w:t xml:space="preserve">jadrového dozoru SR </w:t>
      </w:r>
      <w:r w:rsidR="00C510D9" w:rsidRPr="003862A1">
        <w:rPr>
          <w:rFonts w:cs="Times New Roman"/>
          <w:bCs/>
        </w:rPr>
        <w:t>na základe vyhodnotenia predchádzajúcej etapy. Nejde teda o typické správne konanie, ale o</w:t>
      </w:r>
      <w:r w:rsidR="00C131D8" w:rsidRPr="003862A1">
        <w:rPr>
          <w:rFonts w:cs="Times New Roman"/>
          <w:bCs/>
        </w:rPr>
        <w:t> </w:t>
      </w:r>
      <w:r w:rsidR="00C510D9" w:rsidRPr="003862A1">
        <w:rPr>
          <w:rFonts w:cs="Times New Roman"/>
          <w:bCs/>
        </w:rPr>
        <w:t>regulovanú</w:t>
      </w:r>
      <w:r w:rsidR="00C131D8" w:rsidRPr="003862A1">
        <w:rPr>
          <w:rFonts w:cs="Times New Roman"/>
          <w:bCs/>
        </w:rPr>
        <w:t xml:space="preserve"> technickú</w:t>
      </w:r>
      <w:r w:rsidR="00C510D9" w:rsidRPr="003862A1">
        <w:rPr>
          <w:rFonts w:cs="Times New Roman"/>
          <w:bCs/>
        </w:rPr>
        <w:t xml:space="preserve"> činnosť, na ktorú už bolo povolenie udelené. Túto skutočnosť je preto potrebné zohľadniť aj vzhľadom k procesnej úprave daného postupu a vylúčiť pôsobnosť všeobecného správneho predpisu.</w:t>
      </w:r>
    </w:p>
    <w:p w:rsidR="007923FE" w:rsidRDefault="007923FE" w:rsidP="00C510D9">
      <w:pPr>
        <w:spacing w:before="120" w:line="276" w:lineRule="auto"/>
        <w:jc w:val="both"/>
        <w:rPr>
          <w:rFonts w:cs="Times New Roman"/>
          <w:bCs/>
          <w:u w:val="single"/>
        </w:rPr>
      </w:pPr>
    </w:p>
    <w:p w:rsidR="00C510D9" w:rsidRPr="003862A1" w:rsidRDefault="00C510D9" w:rsidP="00C510D9">
      <w:pPr>
        <w:spacing w:before="120" w:line="276" w:lineRule="auto"/>
        <w:jc w:val="both"/>
        <w:rPr>
          <w:rFonts w:cs="Times New Roman"/>
          <w:bCs/>
          <w:u w:val="single"/>
        </w:rPr>
      </w:pPr>
      <w:r w:rsidRPr="003862A1">
        <w:rPr>
          <w:rFonts w:cs="Times New Roman"/>
          <w:bCs/>
          <w:u w:val="single"/>
        </w:rPr>
        <w:t xml:space="preserve">K bodu </w:t>
      </w:r>
      <w:r w:rsidR="000F2F36" w:rsidRPr="003862A1">
        <w:rPr>
          <w:rFonts w:cs="Times New Roman"/>
          <w:bCs/>
          <w:u w:val="single"/>
        </w:rPr>
        <w:t>6</w:t>
      </w:r>
    </w:p>
    <w:p w:rsidR="00801C25" w:rsidRPr="003862A1" w:rsidRDefault="00801C25" w:rsidP="007F3EB6">
      <w:pPr>
        <w:spacing w:before="120" w:line="276" w:lineRule="auto"/>
        <w:ind w:firstLine="709"/>
        <w:jc w:val="both"/>
        <w:rPr>
          <w:rFonts w:cs="Times New Roman"/>
          <w:bCs/>
        </w:rPr>
      </w:pPr>
      <w:r w:rsidRPr="003862A1">
        <w:rPr>
          <w:rFonts w:cs="Times New Roman"/>
          <w:bCs/>
        </w:rPr>
        <w:t xml:space="preserve">Zmena príslušného ustanovenia reflektuje zavedenie osobitnej právnej úpravy v bodoch </w:t>
      </w:r>
      <w:r w:rsidR="000F2F36" w:rsidRPr="003862A1">
        <w:rPr>
          <w:rFonts w:cs="Times New Roman"/>
          <w:bCs/>
        </w:rPr>
        <w:t>3</w:t>
      </w:r>
      <w:r w:rsidRPr="003862A1">
        <w:rPr>
          <w:rFonts w:cs="Times New Roman"/>
          <w:bCs/>
        </w:rPr>
        <w:t xml:space="preserve"> (do</w:t>
      </w:r>
      <w:r w:rsidR="007923FE">
        <w:rPr>
          <w:rFonts w:cs="Times New Roman"/>
          <w:bCs/>
        </w:rPr>
        <w:t>ručovanie). Vzhľadom na to, že a</w:t>
      </w:r>
      <w:r w:rsidRPr="003862A1">
        <w:rPr>
          <w:rFonts w:cs="Times New Roman"/>
          <w:bCs/>
        </w:rPr>
        <w:t xml:space="preserve">tómový zákon ako </w:t>
      </w:r>
      <w:r w:rsidRPr="003862A1">
        <w:rPr>
          <w:rFonts w:cs="Times New Roman"/>
          <w:bCs/>
          <w:i/>
        </w:rPr>
        <w:t>lex specialis</w:t>
      </w:r>
      <w:r w:rsidRPr="003862A1">
        <w:rPr>
          <w:rFonts w:cs="Times New Roman"/>
          <w:bCs/>
        </w:rPr>
        <w:t xml:space="preserve"> má v súvislosti s inštitútom doručovania a rozkladu úpravu odlišnú od úpravy Správneho poriadku ako </w:t>
      </w:r>
      <w:r w:rsidRPr="003862A1">
        <w:rPr>
          <w:rFonts w:cs="Times New Roman"/>
          <w:bCs/>
          <w:i/>
        </w:rPr>
        <w:t>lex generalis</w:t>
      </w:r>
      <w:r w:rsidR="00151435" w:rsidRPr="003862A1">
        <w:rPr>
          <w:rFonts w:cs="Times New Roman"/>
          <w:bCs/>
          <w:i/>
        </w:rPr>
        <w:t>,</w:t>
      </w:r>
      <w:r w:rsidRPr="003862A1">
        <w:rPr>
          <w:rFonts w:cs="Times New Roman"/>
          <w:bCs/>
          <w:i/>
        </w:rPr>
        <w:t xml:space="preserve"> </w:t>
      </w:r>
      <w:r w:rsidRPr="003862A1">
        <w:rPr>
          <w:rFonts w:cs="Times New Roman"/>
          <w:bCs/>
        </w:rPr>
        <w:t>je potrebné túto skutočnosť zohľadniť a</w:t>
      </w:r>
      <w:r w:rsidR="002C65C6" w:rsidRPr="003862A1">
        <w:rPr>
          <w:rFonts w:cs="Times New Roman"/>
          <w:bCs/>
        </w:rPr>
        <w:t xml:space="preserve"> v tomto rozsahu </w:t>
      </w:r>
      <w:r w:rsidRPr="003862A1">
        <w:rPr>
          <w:rFonts w:cs="Times New Roman"/>
          <w:bCs/>
        </w:rPr>
        <w:t>vylúčiť pôsobnosť Správneho poriadku.</w:t>
      </w:r>
    </w:p>
    <w:p w:rsidR="0080628B" w:rsidRPr="003862A1" w:rsidRDefault="003A7763" w:rsidP="009200D2">
      <w:pPr>
        <w:spacing w:before="120" w:line="276" w:lineRule="auto"/>
        <w:ind w:firstLine="708"/>
        <w:jc w:val="both"/>
        <w:rPr>
          <w:rFonts w:cs="Times New Roman"/>
          <w:bCs/>
        </w:rPr>
      </w:pPr>
      <w:r w:rsidRPr="003862A1">
        <w:rPr>
          <w:rFonts w:cs="Times New Roman"/>
          <w:bCs/>
        </w:rPr>
        <w:t xml:space="preserve">Z dôvodu zvýšenia efektivity a hospodárnosti konaní sa spája </w:t>
      </w:r>
      <w:r w:rsidR="0080628B" w:rsidRPr="003862A1">
        <w:rPr>
          <w:rFonts w:cs="Times New Roman"/>
          <w:bCs/>
        </w:rPr>
        <w:t>režim týkajúci sa upovedomenia účastníkov konania o podanom rozklade</w:t>
      </w:r>
      <w:r w:rsidRPr="003862A1">
        <w:rPr>
          <w:rFonts w:cs="Times New Roman"/>
          <w:bCs/>
        </w:rPr>
        <w:t xml:space="preserve"> s </w:t>
      </w:r>
      <w:r w:rsidR="0080628B" w:rsidRPr="003862A1">
        <w:rPr>
          <w:rFonts w:cs="Times New Roman"/>
          <w:bCs/>
        </w:rPr>
        <w:t>výzv</w:t>
      </w:r>
      <w:r w:rsidRPr="003862A1">
        <w:rPr>
          <w:rFonts w:cs="Times New Roman"/>
          <w:bCs/>
        </w:rPr>
        <w:t>ou</w:t>
      </w:r>
      <w:r w:rsidR="0080628B" w:rsidRPr="003862A1">
        <w:rPr>
          <w:rFonts w:cs="Times New Roman"/>
          <w:bCs/>
        </w:rPr>
        <w:t xml:space="preserve"> na vyjadrenie sa pred vydaním rozhodnutia v zmysle § 33 ods. 2 Správneho poriadku. </w:t>
      </w:r>
    </w:p>
    <w:p w:rsidR="00D0199A" w:rsidRPr="003862A1" w:rsidRDefault="00801C25" w:rsidP="00D0199A">
      <w:pPr>
        <w:spacing w:before="120" w:line="276" w:lineRule="auto"/>
        <w:ind w:firstLine="708"/>
        <w:jc w:val="both"/>
        <w:rPr>
          <w:rFonts w:cs="Times New Roman"/>
        </w:rPr>
      </w:pPr>
      <w:r w:rsidRPr="003862A1">
        <w:rPr>
          <w:rFonts w:cs="Times New Roman"/>
          <w:bCs/>
        </w:rPr>
        <w:t xml:space="preserve">Zároveň sa </w:t>
      </w:r>
      <w:r w:rsidR="00E33E09" w:rsidRPr="003862A1">
        <w:rPr>
          <w:rFonts w:cs="Times New Roman"/>
          <w:bCs/>
        </w:rPr>
        <w:t>v súvislosti s</w:t>
      </w:r>
      <w:r w:rsidR="00B10244" w:rsidRPr="003862A1">
        <w:rPr>
          <w:rFonts w:cs="Times New Roman"/>
          <w:bCs/>
        </w:rPr>
        <w:t xml:space="preserve"> konkrétnymi </w:t>
      </w:r>
      <w:r w:rsidR="007923FE">
        <w:rPr>
          <w:rFonts w:cs="Times New Roman"/>
          <w:bCs/>
        </w:rPr>
        <w:t>konaniami podľa a</w:t>
      </w:r>
      <w:r w:rsidR="00E33E09" w:rsidRPr="003862A1">
        <w:rPr>
          <w:rFonts w:cs="Times New Roman"/>
          <w:bCs/>
        </w:rPr>
        <w:t xml:space="preserve">tómového zákona </w:t>
      </w:r>
      <w:r w:rsidRPr="003862A1">
        <w:rPr>
          <w:rFonts w:cs="Times New Roman"/>
          <w:bCs/>
        </w:rPr>
        <w:t xml:space="preserve">navrhuje vylúčenie aplikácie inštitútu obnovy konania </w:t>
      </w:r>
      <w:r w:rsidR="00E33E09" w:rsidRPr="003862A1">
        <w:rPr>
          <w:rFonts w:cs="Times New Roman"/>
          <w:bCs/>
        </w:rPr>
        <w:t xml:space="preserve">a inštitútu preskúmania rozhodnutia mimo odvolacieho konania </w:t>
      </w:r>
      <w:r w:rsidRPr="003862A1">
        <w:rPr>
          <w:rFonts w:cs="Times New Roman"/>
          <w:bCs/>
        </w:rPr>
        <w:t>ako mimoriadn</w:t>
      </w:r>
      <w:r w:rsidR="00E33E09" w:rsidRPr="003862A1">
        <w:rPr>
          <w:rFonts w:cs="Times New Roman"/>
          <w:bCs/>
        </w:rPr>
        <w:t>ych</w:t>
      </w:r>
      <w:r w:rsidRPr="003862A1">
        <w:rPr>
          <w:rFonts w:cs="Times New Roman"/>
          <w:bCs/>
        </w:rPr>
        <w:t xml:space="preserve"> opravn</w:t>
      </w:r>
      <w:r w:rsidR="00E33E09" w:rsidRPr="003862A1">
        <w:rPr>
          <w:rFonts w:cs="Times New Roman"/>
          <w:bCs/>
        </w:rPr>
        <w:t>ých</w:t>
      </w:r>
      <w:r w:rsidRPr="003862A1">
        <w:rPr>
          <w:rFonts w:cs="Times New Roman"/>
          <w:bCs/>
        </w:rPr>
        <w:t xml:space="preserve"> prostriedk</w:t>
      </w:r>
      <w:r w:rsidR="00E33E09" w:rsidRPr="003862A1">
        <w:rPr>
          <w:rFonts w:cs="Times New Roman"/>
          <w:bCs/>
        </w:rPr>
        <w:t>ov</w:t>
      </w:r>
      <w:r w:rsidR="00481BB1" w:rsidRPr="003862A1">
        <w:rPr>
          <w:rFonts w:cs="Times New Roman"/>
          <w:bCs/>
        </w:rPr>
        <w:t xml:space="preserve">. Keďže </w:t>
      </w:r>
      <w:r w:rsidR="00B10244" w:rsidRPr="003862A1">
        <w:rPr>
          <w:rFonts w:cs="Times New Roman"/>
          <w:bCs/>
        </w:rPr>
        <w:t xml:space="preserve">v daných prípadoch </w:t>
      </w:r>
      <w:r w:rsidR="00481BB1" w:rsidRPr="003862A1">
        <w:rPr>
          <w:rFonts w:cs="Times New Roman"/>
          <w:bCs/>
        </w:rPr>
        <w:t xml:space="preserve">nejde o rozhodnutia, ktoré by mali statusový charakter ale naopak o rozhodnutia, ktorých </w:t>
      </w:r>
      <w:r w:rsidR="00E33E09" w:rsidRPr="003862A1">
        <w:rPr>
          <w:rFonts w:cs="Times New Roman"/>
          <w:bCs/>
        </w:rPr>
        <w:t xml:space="preserve">predmetom je povolenie určitých procesov, ktoré majú spravidla dočasný charakter a ich realizáciou </w:t>
      </w:r>
      <w:r w:rsidR="00B10244" w:rsidRPr="003862A1">
        <w:rPr>
          <w:rFonts w:cs="Times New Roman"/>
          <w:bCs/>
        </w:rPr>
        <w:t xml:space="preserve">ich </w:t>
      </w:r>
      <w:r w:rsidR="00E33E09" w:rsidRPr="003862A1">
        <w:rPr>
          <w:rFonts w:cs="Times New Roman"/>
          <w:bCs/>
        </w:rPr>
        <w:t>je možné považovať za konzumované</w:t>
      </w:r>
      <w:r w:rsidR="00481BB1" w:rsidRPr="003862A1">
        <w:rPr>
          <w:rFonts w:cs="Times New Roman"/>
          <w:bCs/>
        </w:rPr>
        <w:t xml:space="preserve">, aj s ohľadom na princíp právnej istoty </w:t>
      </w:r>
      <w:r w:rsidR="00B10244" w:rsidRPr="003862A1">
        <w:rPr>
          <w:rFonts w:cs="Times New Roman"/>
          <w:bCs/>
        </w:rPr>
        <w:t xml:space="preserve">je </w:t>
      </w:r>
      <w:r w:rsidR="00481BB1" w:rsidRPr="003862A1">
        <w:rPr>
          <w:rFonts w:cs="Times New Roman"/>
          <w:bCs/>
        </w:rPr>
        <w:t xml:space="preserve">vhodné vylúčiť </w:t>
      </w:r>
      <w:r w:rsidR="00E33E09" w:rsidRPr="003862A1">
        <w:rPr>
          <w:rFonts w:cs="Times New Roman"/>
          <w:bCs/>
        </w:rPr>
        <w:t>využitie uvedených</w:t>
      </w:r>
      <w:r w:rsidR="00481BB1" w:rsidRPr="003862A1">
        <w:rPr>
          <w:rFonts w:cs="Times New Roman"/>
          <w:bCs/>
        </w:rPr>
        <w:t xml:space="preserve"> mimoriadnych opravných prostriedkov</w:t>
      </w:r>
      <w:r w:rsidR="00481BB1" w:rsidRPr="003862A1">
        <w:rPr>
          <w:rFonts w:cs="Times New Roman"/>
        </w:rPr>
        <w:t xml:space="preserve">. </w:t>
      </w:r>
      <w:r w:rsidR="00676B72" w:rsidRPr="003862A1">
        <w:rPr>
          <w:rFonts w:cs="Times New Roman"/>
        </w:rPr>
        <w:t xml:space="preserve">Vzhľadom na uvedené je možné konštatovať, že praktická </w:t>
      </w:r>
      <w:r w:rsidR="000C0CF9" w:rsidRPr="003862A1">
        <w:rPr>
          <w:rFonts w:cs="Times New Roman"/>
        </w:rPr>
        <w:t>využiteľnos</w:t>
      </w:r>
      <w:r w:rsidR="00676B72" w:rsidRPr="003862A1">
        <w:rPr>
          <w:rFonts w:cs="Times New Roman"/>
        </w:rPr>
        <w:t>ť</w:t>
      </w:r>
      <w:r w:rsidR="000C0CF9" w:rsidRPr="003862A1">
        <w:rPr>
          <w:rFonts w:cs="Times New Roman"/>
        </w:rPr>
        <w:t xml:space="preserve"> </w:t>
      </w:r>
      <w:r w:rsidR="00E33E09" w:rsidRPr="003862A1">
        <w:rPr>
          <w:rFonts w:cs="Times New Roman"/>
        </w:rPr>
        <w:t xml:space="preserve">uvedených typov mimoriadnych opravných prostriedkov </w:t>
      </w:r>
      <w:r w:rsidR="000C0CF9" w:rsidRPr="003862A1">
        <w:rPr>
          <w:rFonts w:cs="Times New Roman"/>
        </w:rPr>
        <w:t>(ktoré zo svojej povahy zasahujú do platného právneho stavu a právnej istoty</w:t>
      </w:r>
      <w:r w:rsidR="00B10244" w:rsidRPr="003862A1">
        <w:rPr>
          <w:rFonts w:cs="Times New Roman"/>
        </w:rPr>
        <w:t>, resp. v tomto prípade už realizovaných procesov</w:t>
      </w:r>
      <w:r w:rsidR="000C0CF9" w:rsidRPr="003862A1">
        <w:rPr>
          <w:rFonts w:cs="Times New Roman"/>
        </w:rPr>
        <w:t>)</w:t>
      </w:r>
      <w:r w:rsidR="00676B72" w:rsidRPr="003862A1">
        <w:rPr>
          <w:rFonts w:cs="Times New Roman"/>
        </w:rPr>
        <w:t xml:space="preserve"> je v súvislosti</w:t>
      </w:r>
      <w:r w:rsidR="007923FE">
        <w:rPr>
          <w:rFonts w:cs="Times New Roman"/>
        </w:rPr>
        <w:t xml:space="preserve"> s predmetnými konaniami podľa a</w:t>
      </w:r>
      <w:r w:rsidR="00676B72" w:rsidRPr="003862A1">
        <w:rPr>
          <w:rFonts w:cs="Times New Roman"/>
        </w:rPr>
        <w:t>tómového zákona ťažko realizovateľná</w:t>
      </w:r>
      <w:r w:rsidR="005B61D0" w:rsidRPr="003862A1">
        <w:rPr>
          <w:rFonts w:cs="Times New Roman"/>
        </w:rPr>
        <w:t xml:space="preserve">. </w:t>
      </w:r>
      <w:r w:rsidR="001B18EB" w:rsidRPr="003862A1">
        <w:rPr>
          <w:rFonts w:cs="Times New Roman"/>
        </w:rPr>
        <w:t xml:space="preserve">Navyše, Úrad jadrového dozoru SR vykonáva </w:t>
      </w:r>
      <w:r w:rsidR="003D2D53" w:rsidRPr="003862A1">
        <w:rPr>
          <w:rFonts w:cs="Times New Roman"/>
        </w:rPr>
        <w:t xml:space="preserve">pravidelnú </w:t>
      </w:r>
      <w:r w:rsidR="001B18EB" w:rsidRPr="003862A1">
        <w:rPr>
          <w:rFonts w:cs="Times New Roman"/>
        </w:rPr>
        <w:t xml:space="preserve">revíziu ním vydaných rozhodnutí  a v prípade potreby </w:t>
      </w:r>
      <w:r w:rsidR="003D2D53" w:rsidRPr="003862A1">
        <w:rPr>
          <w:rFonts w:cs="Times New Roman"/>
        </w:rPr>
        <w:t xml:space="preserve">prostredníctvom zmien rozhodnutí reviduje podmienky príslušných  rozhodnutí. Tento inštitút tak predstavuje existujúci právny nástroj Úradu jadrového dozoru SR na zohľadnenie akýchkoľvek potrieb revízie svojich skôr vydaných právoplatných rozhodnutí. </w:t>
      </w:r>
      <w:r w:rsidR="00481BB1" w:rsidRPr="003862A1">
        <w:rPr>
          <w:rFonts w:cs="Times New Roman"/>
        </w:rPr>
        <w:t>Možnosť podania riadnych opravných prostriedkov zostáva zachovaná</w:t>
      </w:r>
      <w:r w:rsidR="002C65C6" w:rsidRPr="003862A1">
        <w:rPr>
          <w:rFonts w:cs="Times New Roman"/>
        </w:rPr>
        <w:t xml:space="preserve">, rovnako aj možnosť </w:t>
      </w:r>
      <w:r w:rsidR="002C65C6" w:rsidRPr="003862A1">
        <w:rPr>
          <w:rFonts w:cs="Times New Roman"/>
        </w:rPr>
        <w:lastRenderedPageBreak/>
        <w:t xml:space="preserve">súdneho prieskumu v rámci správneho súdnictva, a to vrátane možnosti súdu priznať správnej žalobe odkladný účinok. </w:t>
      </w:r>
      <w:r w:rsidR="00D0199A" w:rsidRPr="003862A1">
        <w:rPr>
          <w:rFonts w:cs="Times New Roman"/>
        </w:rPr>
        <w:t>Právna úprava tak plne rešpektuje právo účastníkov konania na súdny prieskum požadované Aarhuským dohovorom, Odporúčaniami Výboru ministrov Rady Európy</w:t>
      </w:r>
      <w:r w:rsidR="00B10244" w:rsidRPr="003862A1">
        <w:rPr>
          <w:rFonts w:cs="Times New Roman"/>
        </w:rPr>
        <w:t>,</w:t>
      </w:r>
      <w:r w:rsidR="00D0199A" w:rsidRPr="003862A1">
        <w:rPr>
          <w:rFonts w:cs="Times New Roman"/>
        </w:rPr>
        <w:t xml:space="preserve"> či inými medzinárodnými dokumentmi. </w:t>
      </w:r>
      <w:r w:rsidR="00B10244" w:rsidRPr="003862A1">
        <w:rPr>
          <w:rFonts w:cs="Times New Roman"/>
        </w:rPr>
        <w:t xml:space="preserve"> S prihlia</w:t>
      </w:r>
      <w:r w:rsidR="007923FE">
        <w:rPr>
          <w:rFonts w:cs="Times New Roman"/>
        </w:rPr>
        <w:t>dnutím na právnu úpravu vzťahu a</w:t>
      </w:r>
      <w:r w:rsidR="00B10244" w:rsidRPr="003862A1">
        <w:rPr>
          <w:rFonts w:cs="Times New Roman"/>
        </w:rPr>
        <w:t>tómového zákona, Stavebného zákona a Správneho poriadku (podľa ktorej je Atómový zákon vo vzťahu špeciality k ostatným uvedeným zákonom) sa bude navrhovaná výluka uvedených mimoriadnych opravných prostriedkov aplikovať aj na konania o vydanie povolení podľa Stavebného zákona, tak ako ich</w:t>
      </w:r>
      <w:r w:rsidR="007923FE">
        <w:rPr>
          <w:rFonts w:cs="Times New Roman"/>
        </w:rPr>
        <w:t xml:space="preserve"> predpokladá najmä § 19 a</w:t>
      </w:r>
      <w:r w:rsidR="00B10244" w:rsidRPr="003862A1">
        <w:rPr>
          <w:rFonts w:cs="Times New Roman"/>
        </w:rPr>
        <w:t xml:space="preserve">tómového zákona (t.j. konania o vydaní povolenia na predčasné užívanie stavby, súhlasu na dočasné užívanie stavby na skúšobnú prevádzku, </w:t>
      </w:r>
      <w:r w:rsidR="00A6052C" w:rsidRPr="003862A1">
        <w:rPr>
          <w:rFonts w:cs="Times New Roman"/>
        </w:rPr>
        <w:t>kolaudačného rozhodnutia</w:t>
      </w:r>
      <w:r w:rsidR="00B10244" w:rsidRPr="003862A1">
        <w:rPr>
          <w:rFonts w:cs="Times New Roman"/>
        </w:rPr>
        <w:t>)</w:t>
      </w:r>
      <w:r w:rsidR="00A6052C" w:rsidRPr="003862A1">
        <w:rPr>
          <w:rFonts w:cs="Times New Roman"/>
        </w:rPr>
        <w:t>.</w:t>
      </w:r>
      <w:r w:rsidR="00B10244" w:rsidRPr="003862A1">
        <w:rPr>
          <w:rFonts w:cs="Times New Roman"/>
        </w:rPr>
        <w:t xml:space="preserve">  </w:t>
      </w:r>
    </w:p>
    <w:p w:rsidR="007923FE" w:rsidRDefault="007923FE" w:rsidP="00801C25">
      <w:pPr>
        <w:spacing w:before="120" w:line="276" w:lineRule="auto"/>
        <w:jc w:val="both"/>
        <w:rPr>
          <w:rFonts w:cs="Times New Roman"/>
          <w:u w:val="single"/>
        </w:rPr>
      </w:pPr>
    </w:p>
    <w:p w:rsidR="00481BB1" w:rsidRPr="003862A1" w:rsidRDefault="00481BB1" w:rsidP="00801C25">
      <w:pPr>
        <w:spacing w:before="120" w:line="276" w:lineRule="auto"/>
        <w:jc w:val="both"/>
        <w:rPr>
          <w:rFonts w:cs="Times New Roman"/>
          <w:u w:val="single"/>
        </w:rPr>
      </w:pPr>
      <w:r w:rsidRPr="003862A1">
        <w:rPr>
          <w:rFonts w:cs="Times New Roman"/>
          <w:u w:val="single"/>
        </w:rPr>
        <w:t xml:space="preserve">K bodu </w:t>
      </w:r>
      <w:r w:rsidR="0026483E" w:rsidRPr="003862A1">
        <w:rPr>
          <w:rFonts w:cs="Times New Roman"/>
          <w:u w:val="single"/>
        </w:rPr>
        <w:t>7</w:t>
      </w:r>
    </w:p>
    <w:p w:rsidR="001A6191" w:rsidRPr="003862A1" w:rsidRDefault="00151435" w:rsidP="0026483E">
      <w:pPr>
        <w:spacing w:before="120" w:line="276" w:lineRule="auto"/>
        <w:ind w:firstLine="709"/>
        <w:jc w:val="both"/>
        <w:rPr>
          <w:rFonts w:cs="Times New Roman"/>
        </w:rPr>
      </w:pPr>
      <w:r w:rsidRPr="003862A1">
        <w:rPr>
          <w:rFonts w:cs="Times New Roman"/>
        </w:rPr>
        <w:t>Navrhované ustanovenie</w:t>
      </w:r>
      <w:r w:rsidR="001A6191" w:rsidRPr="003862A1">
        <w:rPr>
          <w:rFonts w:cs="Times New Roman"/>
        </w:rPr>
        <w:t xml:space="preserve"> precizuje existujúci </w:t>
      </w:r>
      <w:r w:rsidR="005B61D0" w:rsidRPr="003862A1">
        <w:rPr>
          <w:rFonts w:cs="Times New Roman"/>
        </w:rPr>
        <w:t xml:space="preserve">právny </w:t>
      </w:r>
      <w:r w:rsidR="001A6191" w:rsidRPr="003862A1">
        <w:rPr>
          <w:rFonts w:cs="Times New Roman"/>
        </w:rPr>
        <w:t xml:space="preserve">stav, kedy Úrad </w:t>
      </w:r>
      <w:r w:rsidR="00F124A9" w:rsidRPr="003862A1">
        <w:rPr>
          <w:rFonts w:cs="Times New Roman"/>
        </w:rPr>
        <w:t xml:space="preserve">jadrového dozoru SR </w:t>
      </w:r>
      <w:r w:rsidR="001A6191" w:rsidRPr="003862A1">
        <w:rPr>
          <w:rFonts w:cs="Times New Roman"/>
        </w:rPr>
        <w:t xml:space="preserve">ako osobitný stavebný úrad vydáva pre jadrové zariadenia povolenia </w:t>
      </w:r>
      <w:r w:rsidR="005B61D0" w:rsidRPr="003862A1">
        <w:rPr>
          <w:rFonts w:cs="Times New Roman"/>
        </w:rPr>
        <w:t xml:space="preserve">a súhlasy </w:t>
      </w:r>
      <w:r w:rsidR="001A6191" w:rsidRPr="003862A1">
        <w:rPr>
          <w:rFonts w:cs="Times New Roman"/>
        </w:rPr>
        <w:t>podľa Stavebného zákona, pričom však vydávanie takýchto povole</w:t>
      </w:r>
      <w:r w:rsidR="007923FE">
        <w:rPr>
          <w:rFonts w:cs="Times New Roman"/>
        </w:rPr>
        <w:t>ní bolo čiastočne upravené i v a</w:t>
      </w:r>
      <w:r w:rsidR="001A6191" w:rsidRPr="003862A1">
        <w:rPr>
          <w:rFonts w:cs="Times New Roman"/>
        </w:rPr>
        <w:t>tómovom zákone. Navrhovaným znením dôjde k explicitném</w:t>
      </w:r>
      <w:r w:rsidR="007923FE">
        <w:rPr>
          <w:rFonts w:cs="Times New Roman"/>
        </w:rPr>
        <w:t>u vyjadreniu, že a</w:t>
      </w:r>
      <w:r w:rsidR="001A6191" w:rsidRPr="003862A1">
        <w:rPr>
          <w:rFonts w:cs="Times New Roman"/>
        </w:rPr>
        <w:t xml:space="preserve">tómový zákon je vo vzťahu ku konaniam o vydanie povolenia na predčasné užívanie stavby, súhlasu na dočasné užívanie stavby na skúšobnú prevádzku, kolaudačného rozhodnutia a ich zmien </w:t>
      </w:r>
      <w:r w:rsidR="001A6191" w:rsidRPr="003862A1">
        <w:rPr>
          <w:rFonts w:cs="Times New Roman"/>
          <w:i/>
        </w:rPr>
        <w:t>lex specialis</w:t>
      </w:r>
      <w:r w:rsidR="001A6191" w:rsidRPr="003862A1">
        <w:rPr>
          <w:rFonts w:cs="Times New Roman"/>
        </w:rPr>
        <w:t xml:space="preserve"> voči Stavebnému zákonu.</w:t>
      </w:r>
    </w:p>
    <w:p w:rsidR="007923FE" w:rsidRDefault="007923FE" w:rsidP="00563B10">
      <w:pPr>
        <w:spacing w:before="120" w:line="276" w:lineRule="auto"/>
        <w:jc w:val="both"/>
        <w:rPr>
          <w:rFonts w:cs="Times New Roman"/>
          <w:u w:val="single"/>
        </w:rPr>
      </w:pPr>
    </w:p>
    <w:p w:rsidR="00563B10" w:rsidRPr="003862A1" w:rsidRDefault="00563B10" w:rsidP="00563B10">
      <w:pPr>
        <w:spacing w:before="120" w:line="276" w:lineRule="auto"/>
        <w:jc w:val="both"/>
        <w:rPr>
          <w:rFonts w:cs="Times New Roman"/>
          <w:u w:val="single"/>
        </w:rPr>
      </w:pPr>
      <w:r w:rsidRPr="003862A1">
        <w:rPr>
          <w:rFonts w:cs="Times New Roman"/>
          <w:u w:val="single"/>
        </w:rPr>
        <w:t xml:space="preserve">K bodu </w:t>
      </w:r>
      <w:r w:rsidR="0026483E" w:rsidRPr="003862A1">
        <w:rPr>
          <w:rFonts w:cs="Times New Roman"/>
          <w:u w:val="single"/>
        </w:rPr>
        <w:t>8</w:t>
      </w:r>
    </w:p>
    <w:p w:rsidR="00563B10" w:rsidRPr="003862A1" w:rsidRDefault="00563B10" w:rsidP="00563B10">
      <w:pPr>
        <w:spacing w:before="120" w:line="276" w:lineRule="auto"/>
        <w:jc w:val="both"/>
        <w:rPr>
          <w:rFonts w:cs="Times New Roman"/>
        </w:rPr>
      </w:pPr>
      <w:r w:rsidRPr="003862A1">
        <w:rPr>
          <w:rFonts w:cs="Times New Roman"/>
        </w:rPr>
        <w:tab/>
        <w:t>Ide o prechodné ustanovenie upravujúce aplikáciu zmien prijatých navrhovanou nove</w:t>
      </w:r>
      <w:r w:rsidR="007923FE">
        <w:rPr>
          <w:rFonts w:cs="Times New Roman"/>
        </w:rPr>
        <w:t>lou na už začaté konania podľa a</w:t>
      </w:r>
      <w:r w:rsidRPr="003862A1">
        <w:rPr>
          <w:rFonts w:cs="Times New Roman"/>
        </w:rPr>
        <w:t>tómového zákona.</w:t>
      </w:r>
    </w:p>
    <w:p w:rsidR="007923FE" w:rsidRDefault="007923FE" w:rsidP="00E40317">
      <w:pPr>
        <w:spacing w:before="120" w:line="276" w:lineRule="auto"/>
        <w:rPr>
          <w:rFonts w:cs="Times New Roman"/>
          <w:b/>
        </w:rPr>
      </w:pPr>
    </w:p>
    <w:p w:rsidR="00E40317" w:rsidRPr="003862A1" w:rsidRDefault="00E40317" w:rsidP="00E40317">
      <w:pPr>
        <w:spacing w:before="120" w:line="276" w:lineRule="auto"/>
        <w:rPr>
          <w:rFonts w:cs="Times New Roman"/>
          <w:b/>
        </w:rPr>
      </w:pPr>
      <w:r w:rsidRPr="003862A1">
        <w:rPr>
          <w:rFonts w:cs="Times New Roman"/>
          <w:b/>
        </w:rPr>
        <w:t>K Čl. II</w:t>
      </w:r>
    </w:p>
    <w:p w:rsidR="007923FE" w:rsidRDefault="007923FE" w:rsidP="00801C25">
      <w:pPr>
        <w:spacing w:before="120" w:line="276" w:lineRule="auto"/>
        <w:jc w:val="both"/>
        <w:rPr>
          <w:rFonts w:cs="Times New Roman"/>
          <w:u w:val="single"/>
        </w:rPr>
      </w:pPr>
    </w:p>
    <w:p w:rsidR="00BB5185" w:rsidRPr="003862A1" w:rsidRDefault="00FA5CFE" w:rsidP="00801C25">
      <w:pPr>
        <w:spacing w:before="120" w:line="276" w:lineRule="auto"/>
        <w:jc w:val="both"/>
        <w:rPr>
          <w:rFonts w:cs="Times New Roman"/>
          <w:u w:val="single"/>
        </w:rPr>
      </w:pPr>
      <w:r w:rsidRPr="003862A1">
        <w:rPr>
          <w:rFonts w:cs="Times New Roman"/>
          <w:u w:val="single"/>
        </w:rPr>
        <w:t>K bodu 1</w:t>
      </w:r>
    </w:p>
    <w:p w:rsidR="00FA5CFE" w:rsidRPr="003862A1" w:rsidRDefault="00FA5CFE" w:rsidP="00FA5CFE">
      <w:pPr>
        <w:pStyle w:val="Normlnywebov"/>
        <w:spacing w:before="120" w:beforeAutospacing="0" w:after="0" w:afterAutospacing="0" w:line="276" w:lineRule="auto"/>
        <w:ind w:firstLine="708"/>
        <w:jc w:val="both"/>
      </w:pPr>
      <w:r w:rsidRPr="003862A1">
        <w:t xml:space="preserve">Za účelom precizovania právnej úpravy sa navrhuje pridať vnútorný odkaz na príslušné zákonné ustanovenie.  </w:t>
      </w:r>
    </w:p>
    <w:p w:rsidR="007923FE" w:rsidRDefault="007923FE" w:rsidP="00801C25">
      <w:pPr>
        <w:spacing w:before="120" w:line="276" w:lineRule="auto"/>
        <w:jc w:val="both"/>
        <w:rPr>
          <w:rFonts w:cs="Times New Roman"/>
          <w:u w:val="single"/>
        </w:rPr>
      </w:pPr>
    </w:p>
    <w:p w:rsidR="00FA5CFE" w:rsidRPr="003862A1" w:rsidRDefault="00FA5CFE" w:rsidP="00801C25">
      <w:pPr>
        <w:spacing w:before="120" w:line="276" w:lineRule="auto"/>
        <w:jc w:val="both"/>
        <w:rPr>
          <w:rFonts w:cs="Times New Roman"/>
          <w:u w:val="single"/>
        </w:rPr>
      </w:pPr>
      <w:r w:rsidRPr="003862A1">
        <w:rPr>
          <w:rFonts w:cs="Times New Roman"/>
          <w:u w:val="single"/>
        </w:rPr>
        <w:t>K bo</w:t>
      </w:r>
      <w:r w:rsidR="007923FE">
        <w:rPr>
          <w:rFonts w:cs="Times New Roman"/>
          <w:u w:val="single"/>
        </w:rPr>
        <w:t>dom</w:t>
      </w:r>
      <w:r w:rsidRPr="003862A1">
        <w:rPr>
          <w:rFonts w:cs="Times New Roman"/>
          <w:u w:val="single"/>
        </w:rPr>
        <w:t xml:space="preserve"> 2 a 3</w:t>
      </w:r>
    </w:p>
    <w:p w:rsidR="003E012F" w:rsidRPr="003862A1" w:rsidRDefault="00892D67" w:rsidP="00FA5CFE">
      <w:pPr>
        <w:pStyle w:val="Normlnywebov"/>
        <w:spacing w:before="120" w:beforeAutospacing="0" w:after="0" w:afterAutospacing="0" w:line="276" w:lineRule="auto"/>
        <w:ind w:firstLine="708"/>
        <w:jc w:val="both"/>
      </w:pPr>
      <w:r w:rsidRPr="003862A1">
        <w:t>Navrhovaná úprava reaguje na špecif</w:t>
      </w:r>
      <w:r w:rsidR="007923FE">
        <w:t>ický povoľovací režim upravený a</w:t>
      </w:r>
      <w:r w:rsidRPr="003862A1">
        <w:t xml:space="preserve">tómovým zákonom, v rámci ktorého dochádza ku konaniu o vydanie povolenia na predčasné užívanie stavby a následne aj ku konaniu o vydaní súhlasu na dočasné užívanie stavby. Nakoľko k získaniu </w:t>
      </w:r>
      <w:r w:rsidR="00110B9C" w:rsidRPr="003862A1">
        <w:t xml:space="preserve">relevantných </w:t>
      </w:r>
      <w:r w:rsidRPr="003862A1">
        <w:t>záväzných stanovísk dotknutých orgánov dochádza v rámci konania o povolení predčasného užívania st</w:t>
      </w:r>
      <w:r w:rsidR="00110B9C" w:rsidRPr="003862A1">
        <w:t>avby,</w:t>
      </w:r>
      <w:r w:rsidRPr="003862A1">
        <w:t xml:space="preserve"> v záujme procesnej efektivity a hospodárnost</w:t>
      </w:r>
      <w:r w:rsidR="00110B9C" w:rsidRPr="003862A1">
        <w:t>i konania sa navrhuje zamedziť</w:t>
      </w:r>
      <w:r w:rsidRPr="003862A1">
        <w:t> duplicite predkladania týchto stanovísk a</w:t>
      </w:r>
      <w:r w:rsidR="0023122C" w:rsidRPr="003862A1">
        <w:t xml:space="preserve"> vypustiť </w:t>
      </w:r>
      <w:r w:rsidRPr="003862A1">
        <w:t>nutnos</w:t>
      </w:r>
      <w:r w:rsidR="0023122C" w:rsidRPr="003862A1">
        <w:t xml:space="preserve">ť </w:t>
      </w:r>
      <w:r w:rsidRPr="003862A1">
        <w:t xml:space="preserve">dosiahnutia dohody s dotknutými orgánmi aj vo fáze konania o súhlase na  dočasné užívanie </w:t>
      </w:r>
      <w:r w:rsidRPr="003862A1">
        <w:lastRenderedPageBreak/>
        <w:t xml:space="preserve">stavby.  </w:t>
      </w:r>
      <w:r w:rsidR="0023122C" w:rsidRPr="003862A1">
        <w:t xml:space="preserve">Zároveň sa v tejto súvislosti navrhuje, aby záväzné stanoviská vydané v konaní o povolení na predčasné užívanie stavby boli využiteľné aj v rámci kolaudačného konania, a to v rozsahu, v akom boli vydané pre účely konania o povolení predčasného užívania stavby. </w:t>
      </w:r>
      <w:r w:rsidR="001D4A64" w:rsidRPr="003862A1">
        <w:t xml:space="preserve">Vo zvyšnom rozsahu zostáva povinnosť zabezpečiť záväzné stanoviská pre účely konania o vydanie kolaudačného rozhodnutia zachovaná. </w:t>
      </w:r>
    </w:p>
    <w:p w:rsidR="007923FE" w:rsidRDefault="007923FE" w:rsidP="00FA5CFE">
      <w:pPr>
        <w:spacing w:before="120" w:line="276" w:lineRule="auto"/>
        <w:jc w:val="both"/>
        <w:rPr>
          <w:rFonts w:cs="Times New Roman"/>
          <w:u w:val="single"/>
        </w:rPr>
      </w:pPr>
    </w:p>
    <w:p w:rsidR="00FA5CFE" w:rsidRPr="003862A1" w:rsidRDefault="00FA5CFE" w:rsidP="00FA5CFE">
      <w:pPr>
        <w:spacing w:before="120" w:line="276" w:lineRule="auto"/>
        <w:jc w:val="both"/>
        <w:rPr>
          <w:rFonts w:cs="Times New Roman"/>
          <w:u w:val="single"/>
        </w:rPr>
      </w:pPr>
      <w:r w:rsidRPr="003862A1">
        <w:rPr>
          <w:rFonts w:cs="Times New Roman"/>
          <w:u w:val="single"/>
        </w:rPr>
        <w:t>K bodu 4</w:t>
      </w:r>
    </w:p>
    <w:p w:rsidR="00FA5CFE" w:rsidRPr="003862A1" w:rsidRDefault="00FA5CFE" w:rsidP="00FA5CFE">
      <w:pPr>
        <w:pStyle w:val="Normlnywebov"/>
        <w:spacing w:before="120" w:beforeAutospacing="0" w:after="0" w:afterAutospacing="0" w:line="276" w:lineRule="auto"/>
        <w:ind w:firstLine="708"/>
        <w:jc w:val="both"/>
      </w:pPr>
      <w:r w:rsidRPr="003862A1">
        <w:t>Navrhovaným znením sa precizuje vzťah procesnej úpravy voči osobitnému zák</w:t>
      </w:r>
      <w:r w:rsidR="007923FE">
        <w:t>onu, ktorým je v danom prípade a</w:t>
      </w:r>
      <w:r w:rsidRPr="003862A1">
        <w:t>tómový zákon. Zosúlaďuje sa tak znenie režimu</w:t>
      </w:r>
      <w:r w:rsidR="007923FE">
        <w:t xml:space="preserve"> procesnej úpravy konaní podľa s</w:t>
      </w:r>
      <w:r w:rsidRPr="003862A1">
        <w:t>tavebného zákona, čím sa posilňuje jeho kompatibilita s právnou úpravou podľ</w:t>
      </w:r>
      <w:r w:rsidR="007923FE">
        <w:t>a a</w:t>
      </w:r>
      <w:r w:rsidRPr="003862A1">
        <w:t xml:space="preserve">tómového zákona. </w:t>
      </w:r>
    </w:p>
    <w:p w:rsidR="007923FE" w:rsidRDefault="007923FE" w:rsidP="00515AE7">
      <w:pPr>
        <w:spacing w:before="120" w:line="276" w:lineRule="auto"/>
        <w:rPr>
          <w:rFonts w:cs="Times New Roman"/>
          <w:b/>
        </w:rPr>
      </w:pPr>
    </w:p>
    <w:p w:rsidR="00515AE7" w:rsidRPr="003862A1" w:rsidRDefault="00515AE7" w:rsidP="00515AE7">
      <w:pPr>
        <w:spacing w:before="120" w:line="276" w:lineRule="auto"/>
        <w:rPr>
          <w:rFonts w:cs="Times New Roman"/>
          <w:b/>
        </w:rPr>
      </w:pPr>
      <w:r w:rsidRPr="003862A1">
        <w:rPr>
          <w:rFonts w:cs="Times New Roman"/>
          <w:b/>
        </w:rPr>
        <w:t>K Čl. II</w:t>
      </w:r>
      <w:r w:rsidR="009F568F" w:rsidRPr="003862A1">
        <w:rPr>
          <w:rFonts w:cs="Times New Roman"/>
          <w:b/>
        </w:rPr>
        <w:t>I</w:t>
      </w:r>
    </w:p>
    <w:p w:rsidR="00A35057" w:rsidRPr="003862A1" w:rsidRDefault="00515AE7" w:rsidP="00A35057">
      <w:pPr>
        <w:pStyle w:val="Normlnywebov"/>
        <w:spacing w:before="120" w:beforeAutospacing="0" w:after="0" w:afterAutospacing="0" w:line="276" w:lineRule="auto"/>
        <w:ind w:firstLine="708"/>
        <w:jc w:val="both"/>
      </w:pPr>
      <w:r w:rsidRPr="003862A1">
        <w:t>Navrhuje sa účinnosť predkladaného zákona so zohľadnením legisvak</w:t>
      </w:r>
      <w:r w:rsidR="00D20043" w:rsidRPr="003862A1">
        <w:t>ančnej lehoty, a</w:t>
      </w:r>
      <w:r w:rsidR="0026483E" w:rsidRPr="003862A1">
        <w:t> </w:t>
      </w:r>
      <w:r w:rsidR="00D20043" w:rsidRPr="003862A1">
        <w:t>to</w:t>
      </w:r>
      <w:r w:rsidR="0026483E" w:rsidRPr="003862A1">
        <w:t xml:space="preserve"> </w:t>
      </w:r>
      <w:r w:rsidR="00D20043" w:rsidRPr="003862A1">
        <w:t xml:space="preserve">od 1. </w:t>
      </w:r>
      <w:r w:rsidR="000F2F36" w:rsidRPr="003862A1">
        <w:t>augusta</w:t>
      </w:r>
      <w:r w:rsidR="00D20043" w:rsidRPr="003862A1">
        <w:t xml:space="preserve"> 2019</w:t>
      </w:r>
      <w:r w:rsidRPr="003862A1">
        <w:t>.</w:t>
      </w:r>
    </w:p>
    <w:p w:rsidR="00A35057" w:rsidRPr="003862A1" w:rsidRDefault="00A35057" w:rsidP="00A35057">
      <w:pPr>
        <w:pStyle w:val="Normlnywebov"/>
        <w:spacing w:before="120" w:beforeAutospacing="0" w:after="0" w:afterAutospacing="0" w:line="276" w:lineRule="auto"/>
        <w:jc w:val="both"/>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Default="00A35057" w:rsidP="00A35057">
      <w:pPr>
        <w:pStyle w:val="Normlnywebov"/>
        <w:spacing w:before="120" w:beforeAutospacing="0" w:after="0" w:afterAutospacing="0" w:line="276" w:lineRule="auto"/>
        <w:jc w:val="both"/>
        <w:rPr>
          <w:sz w:val="22"/>
          <w:szCs w:val="22"/>
        </w:rPr>
      </w:pPr>
    </w:p>
    <w:p w:rsidR="001B01D6" w:rsidRDefault="001B01D6" w:rsidP="00A35057">
      <w:pPr>
        <w:pStyle w:val="Normlnywebov"/>
        <w:spacing w:before="120" w:beforeAutospacing="0" w:after="0" w:afterAutospacing="0" w:line="276" w:lineRule="auto"/>
        <w:jc w:val="both"/>
        <w:rPr>
          <w:sz w:val="22"/>
          <w:szCs w:val="22"/>
        </w:rPr>
      </w:pPr>
    </w:p>
    <w:p w:rsidR="001B01D6" w:rsidRPr="003862A1" w:rsidRDefault="001B01D6"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Default="00A35057" w:rsidP="00A35057">
      <w:pPr>
        <w:pStyle w:val="Normlnywebov"/>
        <w:spacing w:before="120" w:beforeAutospacing="0" w:after="0" w:afterAutospacing="0" w:line="276" w:lineRule="auto"/>
        <w:jc w:val="both"/>
        <w:rPr>
          <w:sz w:val="22"/>
          <w:szCs w:val="22"/>
        </w:rPr>
      </w:pPr>
    </w:p>
    <w:p w:rsidR="007923FE" w:rsidRPr="003862A1" w:rsidRDefault="007923FE" w:rsidP="00A35057">
      <w:pPr>
        <w:pStyle w:val="Normlnywebov"/>
        <w:spacing w:before="120" w:beforeAutospacing="0" w:after="0" w:afterAutospacing="0" w:line="276" w:lineRule="auto"/>
        <w:jc w:val="both"/>
        <w:rPr>
          <w:sz w:val="22"/>
          <w:szCs w:val="22"/>
        </w:rPr>
      </w:pPr>
    </w:p>
    <w:p w:rsidR="001B01D6" w:rsidRPr="002E175F" w:rsidRDefault="001B01D6" w:rsidP="001B01D6">
      <w:pPr>
        <w:pStyle w:val="Default"/>
        <w:jc w:val="center"/>
      </w:pPr>
      <w:r w:rsidRPr="002E175F">
        <w:rPr>
          <w:b/>
          <w:bCs/>
        </w:rPr>
        <w:t>DOLOŽKA ZLUČITEĽNOSTI</w:t>
      </w:r>
    </w:p>
    <w:p w:rsidR="001B01D6" w:rsidRPr="002E175F" w:rsidRDefault="001B01D6" w:rsidP="001B01D6">
      <w:pPr>
        <w:pStyle w:val="Default"/>
        <w:jc w:val="center"/>
      </w:pPr>
      <w:r w:rsidRPr="002E175F">
        <w:rPr>
          <w:b/>
          <w:bCs/>
        </w:rPr>
        <w:t>návrhu zákona s právom Európskej únie</w:t>
      </w:r>
    </w:p>
    <w:p w:rsidR="001B01D6" w:rsidRDefault="001B01D6" w:rsidP="001B01D6">
      <w:pPr>
        <w:pStyle w:val="Default"/>
      </w:pPr>
    </w:p>
    <w:p w:rsidR="001B01D6" w:rsidRPr="002E175F" w:rsidRDefault="001B01D6" w:rsidP="001B01D6">
      <w:pPr>
        <w:pStyle w:val="Default"/>
        <w:jc w:val="both"/>
      </w:pPr>
      <w:r w:rsidRPr="002E175F">
        <w:t xml:space="preserve">1. </w:t>
      </w:r>
      <w:r w:rsidRPr="002E175F">
        <w:rPr>
          <w:b/>
          <w:bCs/>
        </w:rPr>
        <w:t>Navrhovateľ zákona</w:t>
      </w:r>
      <w:r w:rsidRPr="002E175F">
        <w:t xml:space="preserve">: </w:t>
      </w:r>
      <w:r>
        <w:t>poslanci Národnej rady Slovenskej republiky Róbert Puci a Maroš Kondrót</w:t>
      </w:r>
    </w:p>
    <w:p w:rsidR="001B01D6" w:rsidRPr="002E175F" w:rsidRDefault="001B01D6" w:rsidP="001B01D6">
      <w:pPr>
        <w:pStyle w:val="Default"/>
      </w:pPr>
    </w:p>
    <w:p w:rsidR="001B01D6" w:rsidRPr="002E175F" w:rsidRDefault="001B01D6" w:rsidP="001B01D6">
      <w:pPr>
        <w:pStyle w:val="Default"/>
        <w:jc w:val="both"/>
      </w:pPr>
      <w:r w:rsidRPr="002E175F">
        <w:t xml:space="preserve">2. </w:t>
      </w:r>
      <w:r w:rsidRPr="002E175F">
        <w:rPr>
          <w:b/>
        </w:rPr>
        <w:t>Názov návrhu zákona</w:t>
      </w:r>
      <w:r w:rsidRPr="002E175F">
        <w:t>: Návrh poslancov Národnej rady Slovenskej republiky Róberta Puciho a Maroša Kondróta na vydanie zákona, ktorým sa mení a dopĺňa zákon č. 541/2004 Z. z. o mierovom využívaní jadrovej energie (atómový zákon) a o zmene a doplnení niektorých zákonov v znení neskorších predpisov a o zmene a doplnení zákona č. 50/1976 Zb. o územnom plánovaní a stavebnom poriadku (stavebný zákon) v znení neskorších predpisov</w:t>
      </w:r>
    </w:p>
    <w:p w:rsidR="001B01D6" w:rsidRPr="002E175F" w:rsidRDefault="001B01D6" w:rsidP="001B01D6">
      <w:pPr>
        <w:pStyle w:val="Default"/>
      </w:pPr>
    </w:p>
    <w:p w:rsidR="001B01D6" w:rsidRPr="002E175F" w:rsidRDefault="001B01D6" w:rsidP="001B01D6">
      <w:pPr>
        <w:pStyle w:val="Default"/>
      </w:pPr>
      <w:r w:rsidRPr="002E175F">
        <w:t xml:space="preserve">3. </w:t>
      </w:r>
      <w:r w:rsidRPr="002E175F">
        <w:rPr>
          <w:b/>
          <w:bCs/>
        </w:rPr>
        <w:t>Predmet návrhu zákona nie je upravený v práve Európskej únie</w:t>
      </w:r>
      <w:r w:rsidRPr="002E175F">
        <w:t xml:space="preserve">: </w:t>
      </w:r>
    </w:p>
    <w:p w:rsidR="001B01D6" w:rsidRPr="002E175F" w:rsidRDefault="001B01D6" w:rsidP="001B01D6">
      <w:pPr>
        <w:pStyle w:val="Default"/>
      </w:pPr>
    </w:p>
    <w:p w:rsidR="001B01D6" w:rsidRPr="002E175F" w:rsidRDefault="001B01D6" w:rsidP="001B01D6">
      <w:pPr>
        <w:pStyle w:val="Default"/>
      </w:pPr>
      <w:r w:rsidRPr="002E175F">
        <w:t xml:space="preserve">a) v primárnom práve </w:t>
      </w:r>
    </w:p>
    <w:p w:rsidR="001B01D6" w:rsidRPr="002E175F" w:rsidRDefault="001B01D6" w:rsidP="001B01D6">
      <w:pPr>
        <w:pStyle w:val="Default"/>
      </w:pPr>
      <w:r w:rsidRPr="002E175F">
        <w:t xml:space="preserve">b) v sekundárnom práve </w:t>
      </w:r>
    </w:p>
    <w:p w:rsidR="001B01D6" w:rsidRPr="002E175F" w:rsidRDefault="001B01D6" w:rsidP="001B01D6">
      <w:pPr>
        <w:pStyle w:val="Default"/>
      </w:pPr>
      <w:r w:rsidRPr="002E175F">
        <w:t>c) v judikatúre Súdneho dvora Európskej únie</w:t>
      </w:r>
      <w:r>
        <w:t>.</w:t>
      </w:r>
      <w:r w:rsidRPr="002E175F">
        <w:t xml:space="preserve"> </w:t>
      </w:r>
    </w:p>
    <w:p w:rsidR="001B01D6" w:rsidRDefault="001B01D6" w:rsidP="001B01D6">
      <w:pPr>
        <w:pStyle w:val="Default"/>
      </w:pPr>
    </w:p>
    <w:p w:rsidR="001B01D6" w:rsidRPr="002E175F" w:rsidRDefault="001B01D6" w:rsidP="001B01D6">
      <w:pPr>
        <w:pStyle w:val="Default"/>
      </w:pPr>
      <w:r w:rsidRPr="002E175F">
        <w:t xml:space="preserve">4. </w:t>
      </w:r>
      <w:r w:rsidRPr="002E175F">
        <w:rPr>
          <w:b/>
          <w:bCs/>
        </w:rPr>
        <w:t>Záväzky Slovenskej republiky vo vzťahu k Európskej únii</w:t>
      </w:r>
      <w:r w:rsidRPr="002E175F">
        <w:t xml:space="preserve">: </w:t>
      </w:r>
    </w:p>
    <w:p w:rsidR="001B01D6" w:rsidRDefault="001B01D6" w:rsidP="001B01D6">
      <w:pPr>
        <w:pStyle w:val="Default"/>
      </w:pPr>
    </w:p>
    <w:p w:rsidR="001B01D6" w:rsidRPr="002E175F" w:rsidRDefault="001B01D6" w:rsidP="001B01D6">
      <w:pPr>
        <w:pStyle w:val="Default"/>
      </w:pPr>
      <w:r w:rsidRPr="002E175F">
        <w:t xml:space="preserve">5. </w:t>
      </w:r>
      <w:r w:rsidRPr="002E175F">
        <w:rPr>
          <w:b/>
          <w:bCs/>
        </w:rPr>
        <w:t>Návrh zákona je zlučiteľný s právom Európskej únie</w:t>
      </w:r>
      <w:r w:rsidRPr="002E175F">
        <w:t xml:space="preserve">: </w:t>
      </w:r>
    </w:p>
    <w:p w:rsidR="001B01D6" w:rsidRDefault="001B01D6" w:rsidP="001B01D6">
      <w:pPr>
        <w:rPr>
          <w:rFonts w:cs="Times New Roman"/>
        </w:rPr>
      </w:pPr>
    </w:p>
    <w:p w:rsidR="00A35057" w:rsidRPr="003862A1" w:rsidRDefault="001B01D6" w:rsidP="001B01D6">
      <w:pPr>
        <w:rPr>
          <w:rFonts w:cs="Times New Roman"/>
        </w:rPr>
      </w:pPr>
      <w:r w:rsidRPr="002E175F">
        <w:rPr>
          <w:rFonts w:cs="Times New Roman"/>
        </w:rPr>
        <w:t>Ak predmet návrhu zákona nie je v práve Európskej únie upravený, body 4 a 5 sa nevypĺňajú.</w:t>
      </w: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120" w:beforeAutospacing="0" w:after="0" w:afterAutospacing="0" w:line="276" w:lineRule="auto"/>
        <w:jc w:val="both"/>
        <w:rPr>
          <w:sz w:val="22"/>
          <w:szCs w:val="22"/>
        </w:rPr>
      </w:pPr>
    </w:p>
    <w:p w:rsidR="00A35057" w:rsidRDefault="00A35057" w:rsidP="00A35057">
      <w:pPr>
        <w:pStyle w:val="Normlnywebov"/>
        <w:spacing w:before="120" w:beforeAutospacing="0" w:after="0" w:afterAutospacing="0" w:line="276" w:lineRule="auto"/>
        <w:jc w:val="both"/>
        <w:rPr>
          <w:sz w:val="22"/>
          <w:szCs w:val="22"/>
        </w:rPr>
      </w:pPr>
    </w:p>
    <w:p w:rsidR="007923FE" w:rsidRPr="003862A1" w:rsidRDefault="007923FE" w:rsidP="00A35057">
      <w:pPr>
        <w:pStyle w:val="Normlnywebov"/>
        <w:spacing w:before="120" w:beforeAutospacing="0" w:after="0" w:afterAutospacing="0" w:line="276" w:lineRule="auto"/>
        <w:jc w:val="both"/>
        <w:rPr>
          <w:sz w:val="22"/>
          <w:szCs w:val="22"/>
        </w:rPr>
      </w:pPr>
    </w:p>
    <w:p w:rsidR="00A35057" w:rsidRPr="003862A1" w:rsidRDefault="00A35057" w:rsidP="00A35057">
      <w:pPr>
        <w:pStyle w:val="Normlnywebov"/>
        <w:spacing w:before="0" w:beforeAutospacing="0" w:after="0" w:afterAutospacing="0"/>
        <w:jc w:val="center"/>
        <w:rPr>
          <w:b/>
          <w:bCs/>
          <w:sz w:val="28"/>
          <w:szCs w:val="28"/>
        </w:rPr>
      </w:pPr>
      <w:r w:rsidRPr="003862A1">
        <w:rPr>
          <w:b/>
          <w:bCs/>
          <w:sz w:val="28"/>
          <w:szCs w:val="28"/>
        </w:rPr>
        <w:lastRenderedPageBreak/>
        <w:t>Doložka vybraných vplyvov</w:t>
      </w:r>
    </w:p>
    <w:p w:rsidR="00A35057" w:rsidRPr="003862A1" w:rsidRDefault="00A35057" w:rsidP="00A35057">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A35057" w:rsidRPr="003862A1" w:rsidTr="00F338CF">
        <w:trPr>
          <w:jc w:val="center"/>
        </w:trPr>
        <w:tc>
          <w:tcPr>
            <w:tcW w:w="250" w:type="pct"/>
            <w:gridSpan w:val="2"/>
            <w:tcBorders>
              <w:top w:val="outset" w:sz="6" w:space="0" w:color="000000"/>
              <w:bottom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1.  Základné údaje</w:t>
            </w:r>
          </w:p>
        </w:tc>
      </w:tr>
      <w:tr w:rsidR="00A35057" w:rsidRPr="003862A1" w:rsidTr="00F338CF">
        <w:trPr>
          <w:trHeight w:val="450"/>
          <w:jc w:val="center"/>
        </w:trPr>
        <w:tc>
          <w:tcPr>
            <w:tcW w:w="250" w:type="pct"/>
            <w:gridSpan w:val="2"/>
            <w:tcBorders>
              <w:top w:val="outset" w:sz="6" w:space="0" w:color="000000"/>
              <w:bottom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Názov materiálu</w:t>
            </w:r>
          </w:p>
        </w:tc>
      </w:tr>
      <w:tr w:rsidR="00A35057" w:rsidRPr="003862A1" w:rsidTr="00F338CF">
        <w:trPr>
          <w:trHeight w:val="450"/>
          <w:jc w:val="center"/>
        </w:trPr>
        <w:tc>
          <w:tcPr>
            <w:tcW w:w="250" w:type="pct"/>
            <w:gridSpan w:val="2"/>
            <w:tcBorders>
              <w:top w:val="outset" w:sz="6" w:space="0" w:color="000000"/>
              <w:bottom w:val="outset" w:sz="6" w:space="0" w:color="000000"/>
            </w:tcBorders>
            <w:hideMark/>
          </w:tcPr>
          <w:p w:rsidR="00A35057" w:rsidRPr="003862A1" w:rsidRDefault="006E006C" w:rsidP="00033982">
            <w:pPr>
              <w:jc w:val="both"/>
              <w:rPr>
                <w:rFonts w:cs="Times New Roman"/>
                <w:sz w:val="20"/>
                <w:szCs w:val="20"/>
              </w:rPr>
            </w:pPr>
            <w:r>
              <w:rPr>
                <w:rFonts w:cs="Times New Roman"/>
                <w:sz w:val="20"/>
                <w:szCs w:val="20"/>
              </w:rPr>
              <w:t>Návrh poslancov</w:t>
            </w:r>
            <w:r w:rsidR="00A35057" w:rsidRPr="003862A1">
              <w:rPr>
                <w:rFonts w:cs="Times New Roman"/>
                <w:sz w:val="20"/>
                <w:szCs w:val="20"/>
              </w:rPr>
              <w:t xml:space="preserve"> Národnej rady Slovenskej republiky </w:t>
            </w:r>
            <w:r w:rsidR="007923FE">
              <w:rPr>
                <w:rFonts w:cs="Times New Roman"/>
                <w:sz w:val="20"/>
                <w:szCs w:val="20"/>
              </w:rPr>
              <w:t>Róberta Puciho</w:t>
            </w:r>
            <w:r>
              <w:rPr>
                <w:rFonts w:cs="Times New Roman"/>
                <w:sz w:val="20"/>
                <w:szCs w:val="20"/>
              </w:rPr>
              <w:t xml:space="preserve"> a</w:t>
            </w:r>
            <w:r w:rsidR="00033982">
              <w:rPr>
                <w:rFonts w:cs="Times New Roman"/>
                <w:sz w:val="20"/>
                <w:szCs w:val="20"/>
              </w:rPr>
              <w:t> Maroša Kondróta</w:t>
            </w:r>
            <w:r>
              <w:rPr>
                <w:rFonts w:cs="Times New Roman"/>
                <w:sz w:val="20"/>
                <w:szCs w:val="20"/>
              </w:rPr>
              <w:t xml:space="preserve"> </w:t>
            </w:r>
            <w:r w:rsidR="007923FE">
              <w:rPr>
                <w:rFonts w:cs="Times New Roman"/>
                <w:sz w:val="20"/>
                <w:szCs w:val="20"/>
              </w:rPr>
              <w:t xml:space="preserve"> </w:t>
            </w:r>
            <w:r w:rsidR="00A35057" w:rsidRPr="003862A1">
              <w:rPr>
                <w:rFonts w:cs="Times New Roman"/>
                <w:sz w:val="20"/>
                <w:szCs w:val="20"/>
              </w:rPr>
              <w:t>na vydanie zákona, ktorým sa mení a dopĺňa zákon č. 541/2004 Z. z. o mierovom využívaní jadrovej energie (atómový zákon) a o zmene a doplnení niektorých zákonov v znení neskorších predpisov a o zmene a doplnení zákona č. 50/1976 Zb. o územnom plánovaní a stavebnom poriadku (stavebný zákon) v znení neskorších predpisov</w:t>
            </w:r>
          </w:p>
        </w:tc>
      </w:tr>
      <w:tr w:rsidR="00A35057" w:rsidRPr="003862A1" w:rsidTr="00F338CF">
        <w:trPr>
          <w:trHeight w:val="450"/>
          <w:jc w:val="center"/>
        </w:trPr>
        <w:tc>
          <w:tcPr>
            <w:tcW w:w="250" w:type="pct"/>
            <w:gridSpan w:val="2"/>
            <w:tcBorders>
              <w:top w:val="outset" w:sz="6" w:space="0" w:color="000000"/>
              <w:bottom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Predkladateľ (a spolupredkladateľ)</w:t>
            </w:r>
          </w:p>
        </w:tc>
      </w:tr>
      <w:tr w:rsidR="00A35057" w:rsidRPr="003862A1" w:rsidTr="00F338CF">
        <w:trPr>
          <w:trHeight w:val="450"/>
          <w:jc w:val="center"/>
        </w:trPr>
        <w:tc>
          <w:tcPr>
            <w:tcW w:w="250" w:type="pct"/>
            <w:gridSpan w:val="2"/>
            <w:tcBorders>
              <w:top w:val="outset" w:sz="6" w:space="0" w:color="000000"/>
              <w:bottom w:val="outset" w:sz="6" w:space="0" w:color="000000"/>
            </w:tcBorders>
            <w:hideMark/>
          </w:tcPr>
          <w:p w:rsidR="00A35057" w:rsidRPr="003862A1" w:rsidRDefault="006E006C" w:rsidP="00033982">
            <w:pPr>
              <w:rPr>
                <w:rFonts w:cs="Times New Roman"/>
                <w:sz w:val="20"/>
                <w:szCs w:val="20"/>
                <w:lang w:val="en-GB"/>
              </w:rPr>
            </w:pPr>
            <w:r>
              <w:rPr>
                <w:rFonts w:cs="Times New Roman"/>
                <w:sz w:val="20"/>
                <w:szCs w:val="20"/>
              </w:rPr>
              <w:t>Poslanci</w:t>
            </w:r>
            <w:r w:rsidR="00A35057" w:rsidRPr="003862A1">
              <w:rPr>
                <w:rFonts w:cs="Times New Roman"/>
                <w:sz w:val="20"/>
                <w:szCs w:val="20"/>
              </w:rPr>
              <w:t xml:space="preserve"> Národnej rady Slovenskej republiky </w:t>
            </w:r>
            <w:r w:rsidR="007923FE">
              <w:rPr>
                <w:rFonts w:cs="Times New Roman"/>
                <w:sz w:val="20"/>
                <w:szCs w:val="20"/>
                <w:lang w:val="en-GB"/>
              </w:rPr>
              <w:t>Róbert Puci</w:t>
            </w:r>
            <w:r>
              <w:rPr>
                <w:rFonts w:cs="Times New Roman"/>
                <w:sz w:val="20"/>
                <w:szCs w:val="20"/>
                <w:lang w:val="en-GB"/>
              </w:rPr>
              <w:t xml:space="preserve"> a </w:t>
            </w:r>
            <w:r w:rsidR="00033982">
              <w:rPr>
                <w:rFonts w:cs="Times New Roman"/>
                <w:sz w:val="20"/>
                <w:szCs w:val="20"/>
                <w:lang w:val="en-GB"/>
              </w:rPr>
              <w:t>Maroš Kondrót</w:t>
            </w:r>
          </w:p>
        </w:tc>
      </w:tr>
      <w:tr w:rsidR="00A35057" w:rsidRPr="003862A1" w:rsidTr="00F338CF">
        <w:trPr>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A35057" w:rsidRPr="003862A1" w:rsidRDefault="00A35057" w:rsidP="00F338CF">
            <w:pPr>
              <w:jc w:val="center"/>
              <w:rPr>
                <w:rFonts w:cs="Times New Roman"/>
                <w:b/>
                <w:bCs/>
                <w:sz w:val="22"/>
                <w:szCs w:val="22"/>
              </w:rPr>
            </w:pPr>
            <w:r w:rsidRPr="003862A1">
              <w:rPr>
                <w:rFonts w:cs="Times New Roman"/>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w:t>
            </w:r>
            <w:r w:rsidRPr="003862A1">
              <w:rPr>
                <w:rFonts w:cs="Times New Roman"/>
                <w:sz w:val="28"/>
                <w:szCs w:val="28"/>
              </w:rPr>
              <w:t></w:t>
            </w:r>
            <w:r w:rsidRPr="003862A1">
              <w:rPr>
                <w:rFonts w:cs="Times New Roman"/>
                <w:sz w:val="20"/>
                <w:szCs w:val="20"/>
              </w:rPr>
              <w:t>  Materiál nelegislatívnej povahy</w:t>
            </w:r>
          </w:p>
        </w:tc>
      </w:tr>
      <w:tr w:rsidR="00A35057" w:rsidRPr="003862A1" w:rsidTr="00F338CF">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b/>
                <w:bCs/>
                <w:sz w:val="22"/>
                <w:szCs w:val="22"/>
              </w:rPr>
            </w:pPr>
          </w:p>
        </w:tc>
        <w:tc>
          <w:tcPr>
            <w:tcW w:w="2500" w:type="pct"/>
            <w:tcBorders>
              <w:top w:val="outset" w:sz="6" w:space="0" w:color="000000"/>
              <w:left w:val="outset" w:sz="6" w:space="0" w:color="000000"/>
              <w:bottom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w:t>
            </w:r>
            <w:r w:rsidRPr="003862A1">
              <w:rPr>
                <w:rFonts w:ascii="Segoe UI Symbol" w:eastAsia="MS Mincho" w:hAnsi="Segoe UI Symbol" w:cs="Segoe UI Symbol"/>
                <w:sz w:val="20"/>
                <w:szCs w:val="20"/>
              </w:rPr>
              <w:t>☒</w:t>
            </w:r>
            <w:r w:rsidRPr="003862A1">
              <w:rPr>
                <w:rFonts w:cs="Times New Roman"/>
                <w:sz w:val="20"/>
                <w:szCs w:val="20"/>
              </w:rPr>
              <w:t xml:space="preserve">  Materiál legislatívnej povahy </w:t>
            </w:r>
          </w:p>
        </w:tc>
      </w:tr>
      <w:tr w:rsidR="00A35057" w:rsidRPr="003862A1" w:rsidTr="00F338CF">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b/>
                <w:bCs/>
                <w:sz w:val="22"/>
                <w:szCs w:val="22"/>
              </w:rPr>
            </w:pPr>
          </w:p>
        </w:tc>
        <w:tc>
          <w:tcPr>
            <w:tcW w:w="2500" w:type="pct"/>
            <w:tcBorders>
              <w:top w:val="outset" w:sz="6" w:space="0" w:color="000000"/>
              <w:left w:val="outset" w:sz="6" w:space="0" w:color="000000"/>
              <w:bottom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w:t>
            </w:r>
            <w:r w:rsidRPr="003862A1">
              <w:rPr>
                <w:rFonts w:cs="Times New Roman"/>
                <w:sz w:val="28"/>
                <w:szCs w:val="28"/>
              </w:rPr>
              <w:t></w:t>
            </w:r>
            <w:r w:rsidRPr="003862A1">
              <w:rPr>
                <w:rFonts w:cs="Times New Roman"/>
                <w:sz w:val="20"/>
                <w:szCs w:val="20"/>
              </w:rPr>
              <w:t xml:space="preserve">  Transpozícia práva EÚ </w:t>
            </w:r>
          </w:p>
        </w:tc>
      </w:tr>
      <w:tr w:rsidR="00A35057" w:rsidRPr="003862A1" w:rsidTr="00F338CF">
        <w:trPr>
          <w:trHeight w:val="675"/>
          <w:jc w:val="center"/>
        </w:trPr>
        <w:tc>
          <w:tcPr>
            <w:tcW w:w="0" w:type="auto"/>
            <w:gridSpan w:val="2"/>
            <w:tcBorders>
              <w:top w:val="outset" w:sz="6" w:space="0" w:color="000000"/>
              <w:bottom w:val="outset" w:sz="6" w:space="0" w:color="000000"/>
            </w:tcBorders>
            <w:hideMark/>
          </w:tcPr>
          <w:p w:rsidR="00A35057" w:rsidRPr="003862A1" w:rsidRDefault="00A35057" w:rsidP="00F338CF">
            <w:pPr>
              <w:rPr>
                <w:rFonts w:cs="Times New Roman"/>
                <w:sz w:val="20"/>
                <w:szCs w:val="20"/>
              </w:rPr>
            </w:pPr>
          </w:p>
        </w:tc>
      </w:tr>
      <w:tr w:rsidR="00A35057" w:rsidRPr="003862A1" w:rsidTr="00F338CF">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A35057" w:rsidRPr="003862A1" w:rsidRDefault="00A35057" w:rsidP="00F338CF">
            <w:pPr>
              <w:rPr>
                <w:rFonts w:cs="Times New Roman"/>
                <w:sz w:val="20"/>
                <w:szCs w:val="20"/>
              </w:rPr>
            </w:pPr>
            <w:r w:rsidRPr="003862A1">
              <w:rPr>
                <w:rFonts w:cs="Times New Roman"/>
                <w:sz w:val="20"/>
                <w:szCs w:val="20"/>
              </w:rPr>
              <w:t>Materiál nebol predmetom PPK</w:t>
            </w:r>
          </w:p>
        </w:tc>
      </w:tr>
      <w:tr w:rsidR="00A35057" w:rsidRPr="003862A1" w:rsidTr="00F338CF">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A35057" w:rsidRPr="003862A1" w:rsidRDefault="00A35057" w:rsidP="00F338CF">
            <w:pPr>
              <w:rPr>
                <w:rFonts w:cs="Times New Roman"/>
                <w:b/>
                <w:bCs/>
                <w:sz w:val="22"/>
                <w:szCs w:val="22"/>
              </w:rPr>
            </w:pPr>
            <w:r w:rsidRPr="003862A1">
              <w:rPr>
                <w:rFonts w:cs="Times New Roman"/>
                <w:bCs/>
                <w:sz w:val="20"/>
                <w:szCs w:val="20"/>
              </w:rPr>
              <w:t>Materiál nebol predmetom MPK</w:t>
            </w:r>
          </w:p>
        </w:tc>
      </w:tr>
      <w:tr w:rsidR="00A35057" w:rsidRPr="003862A1" w:rsidTr="00F338CF">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Predpokladaný termín predloženia na Rokovanie vlády</w:t>
            </w:r>
            <w:r w:rsidRPr="003862A1">
              <w:rPr>
                <w:rFonts w:cs="Times New Roman"/>
                <w:b/>
                <w:bCs/>
                <w:sz w:val="22"/>
                <w:szCs w:val="22"/>
              </w:rPr>
              <w:br/>
              <w:t>  SR*</w:t>
            </w:r>
          </w:p>
        </w:tc>
        <w:tc>
          <w:tcPr>
            <w:tcW w:w="2000" w:type="pct"/>
            <w:tcBorders>
              <w:top w:val="outset" w:sz="6" w:space="0" w:color="000000"/>
              <w:left w:val="outset" w:sz="6" w:space="0" w:color="000000"/>
              <w:bottom w:val="outset" w:sz="6" w:space="0" w:color="000000"/>
            </w:tcBorders>
            <w:hideMark/>
          </w:tcPr>
          <w:p w:rsidR="00A35057" w:rsidRPr="003862A1" w:rsidRDefault="00A35057" w:rsidP="00F338CF">
            <w:pPr>
              <w:rPr>
                <w:rFonts w:cs="Times New Roman"/>
                <w:bCs/>
                <w:sz w:val="22"/>
                <w:szCs w:val="22"/>
              </w:rPr>
            </w:pPr>
          </w:p>
        </w:tc>
      </w:tr>
    </w:tbl>
    <w:p w:rsidR="00A35057" w:rsidRPr="003862A1" w:rsidRDefault="00A35057" w:rsidP="00A35057">
      <w:pPr>
        <w:pStyle w:val="Normlnywebov"/>
        <w:spacing w:before="0" w:beforeAutospacing="0" w:after="0" w:afterAutospacing="0"/>
        <w:rPr>
          <w:bCs/>
          <w:sz w:val="22"/>
          <w:szCs w:val="22"/>
        </w:rPr>
      </w:pPr>
    </w:p>
    <w:p w:rsidR="00A35057" w:rsidRPr="003862A1" w:rsidRDefault="00A35057" w:rsidP="00A35057">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A35057" w:rsidRPr="003862A1" w:rsidTr="00F338CF">
        <w:trPr>
          <w:jc w:val="center"/>
        </w:trPr>
        <w:tc>
          <w:tcPr>
            <w:tcW w:w="250" w:type="pct"/>
            <w:tcBorders>
              <w:top w:val="outset" w:sz="6" w:space="0" w:color="000000"/>
              <w:bottom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2.  Definícia problému</w:t>
            </w:r>
          </w:p>
        </w:tc>
      </w:tr>
      <w:tr w:rsidR="00A35057" w:rsidRPr="003862A1" w:rsidTr="00F338CF">
        <w:trPr>
          <w:trHeight w:val="600"/>
          <w:jc w:val="center"/>
        </w:trPr>
        <w:tc>
          <w:tcPr>
            <w:tcW w:w="250" w:type="pct"/>
            <w:tcBorders>
              <w:top w:val="outset" w:sz="6" w:space="0" w:color="000000"/>
              <w:bottom w:val="outset" w:sz="6" w:space="0" w:color="000000"/>
            </w:tcBorders>
            <w:hideMark/>
          </w:tcPr>
          <w:p w:rsidR="00A35057" w:rsidRPr="007923FE" w:rsidRDefault="00A35057" w:rsidP="00F338CF">
            <w:pPr>
              <w:rPr>
                <w:rFonts w:cs="Times New Roman"/>
                <w:bCs/>
                <w:sz w:val="22"/>
                <w:szCs w:val="22"/>
              </w:rPr>
            </w:pPr>
            <w:r w:rsidRPr="007923FE">
              <w:rPr>
                <w:rFonts w:cs="Times New Roman"/>
                <w:bCs/>
                <w:sz w:val="22"/>
                <w:szCs w:val="22"/>
              </w:rPr>
              <w:t xml:space="preserve">Precizovanie legislatívnej úpravy najmä vo vzťahu k procesným ustanoveniam </w:t>
            </w:r>
            <w:r w:rsidRPr="007923FE">
              <w:rPr>
                <w:rFonts w:cs="Times New Roman"/>
                <w:sz w:val="22"/>
                <w:szCs w:val="22"/>
              </w:rPr>
              <w:t>zákona č. 541/2004 Z. z. o mierovom využívaní jadrovej energie (atómový zákon) a o zmene a doplnení niektorých zákonov v znení neskorších predpisov a o zmene a doplnení zákona č. 50/1976 Zb. o územnom plánovaní a stavebnom poriadku (stavebný zákon) v znení neskorších predpisov.</w:t>
            </w:r>
          </w:p>
        </w:tc>
      </w:tr>
      <w:tr w:rsidR="00A35057" w:rsidRPr="003862A1" w:rsidTr="00F338CF">
        <w:trPr>
          <w:jc w:val="center"/>
        </w:trPr>
        <w:tc>
          <w:tcPr>
            <w:tcW w:w="250" w:type="pct"/>
            <w:tcBorders>
              <w:top w:val="outset" w:sz="6" w:space="0" w:color="000000"/>
              <w:bottom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3.  Ciele a výsledný stav</w:t>
            </w:r>
          </w:p>
        </w:tc>
      </w:tr>
      <w:tr w:rsidR="00A35057" w:rsidRPr="003862A1" w:rsidTr="00F338CF">
        <w:trPr>
          <w:trHeight w:val="600"/>
          <w:jc w:val="center"/>
        </w:trPr>
        <w:tc>
          <w:tcPr>
            <w:tcW w:w="250" w:type="pct"/>
            <w:tcBorders>
              <w:top w:val="outset" w:sz="6" w:space="0" w:color="000000"/>
              <w:bottom w:val="outset" w:sz="6" w:space="0" w:color="000000"/>
            </w:tcBorders>
            <w:hideMark/>
          </w:tcPr>
          <w:p w:rsidR="00A35057" w:rsidRPr="003862A1" w:rsidRDefault="00A35057" w:rsidP="00F338CF">
            <w:pPr>
              <w:rPr>
                <w:rFonts w:cs="Times New Roman"/>
                <w:bCs/>
                <w:sz w:val="22"/>
                <w:szCs w:val="22"/>
              </w:rPr>
            </w:pPr>
            <w:r w:rsidRPr="003862A1">
              <w:rPr>
                <w:rFonts w:cs="Times New Roman"/>
                <w:bCs/>
                <w:sz w:val="22"/>
                <w:szCs w:val="22"/>
              </w:rPr>
              <w:t>Dosiahnutie vyššej úrovne efektivity a hospodárnosti konania vo veciach rozhodovania podľa zákona č. 541/2004 Z. z. o mierovom využívaní jadrovej energie (atómový zákon) a o zmene a doplnení niektorých zákonov v znení neskorších predpisov a o zmene a doplnení zákona č. 50/1976 Zb. o územnom plánovaní a stavebnom poriadku (stavebný zákon) v znení neskorších predpisov ako aj odstránenie niektorých nefunkčných a nepraktických procesných ustanovení.</w:t>
            </w:r>
          </w:p>
        </w:tc>
      </w:tr>
      <w:tr w:rsidR="00A35057" w:rsidRPr="003862A1" w:rsidTr="00F338CF">
        <w:trPr>
          <w:jc w:val="center"/>
        </w:trPr>
        <w:tc>
          <w:tcPr>
            <w:tcW w:w="250" w:type="pct"/>
            <w:tcBorders>
              <w:top w:val="outset" w:sz="6" w:space="0" w:color="000000"/>
              <w:bottom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4.  Dotknuté subjekty</w:t>
            </w:r>
          </w:p>
        </w:tc>
      </w:tr>
      <w:tr w:rsidR="00A35057" w:rsidRPr="003862A1" w:rsidTr="00F338CF">
        <w:trPr>
          <w:trHeight w:val="600"/>
          <w:jc w:val="center"/>
        </w:trPr>
        <w:tc>
          <w:tcPr>
            <w:tcW w:w="250" w:type="pct"/>
            <w:tcBorders>
              <w:top w:val="outset" w:sz="6" w:space="0" w:color="000000"/>
              <w:bottom w:val="outset" w:sz="6" w:space="0" w:color="000000"/>
            </w:tcBorders>
            <w:hideMark/>
          </w:tcPr>
          <w:p w:rsidR="00A35057" w:rsidRPr="007923FE" w:rsidRDefault="00A35057" w:rsidP="00F338CF">
            <w:pPr>
              <w:rPr>
                <w:rFonts w:cs="Times New Roman"/>
                <w:bCs/>
                <w:sz w:val="22"/>
                <w:szCs w:val="22"/>
              </w:rPr>
            </w:pPr>
            <w:r w:rsidRPr="007923FE">
              <w:rPr>
                <w:rFonts w:cs="Times New Roman"/>
                <w:bCs/>
                <w:sz w:val="22"/>
                <w:szCs w:val="22"/>
              </w:rPr>
              <w:t xml:space="preserve">Účastníci predmetných konaní podľa </w:t>
            </w:r>
            <w:r w:rsidRPr="007923FE">
              <w:rPr>
                <w:rFonts w:cs="Times New Roman"/>
                <w:sz w:val="22"/>
                <w:szCs w:val="22"/>
              </w:rPr>
              <w:t>zákona č. 541/2004 Z. z. o mierovom využívaní jadrovej energie (atómový zákon) a o zmene a doplnení niektorých zákonov v znení neskorších predpisov a o zmene a doplnení zákona č. 50/1976 Zb. o územnom plánovaní a stavebnom poriadku (stavebný zákon) v znení neskorších predpisov.</w:t>
            </w:r>
            <w:r w:rsidRPr="007923FE">
              <w:rPr>
                <w:rFonts w:cs="Times New Roman"/>
                <w:bCs/>
                <w:sz w:val="22"/>
                <w:szCs w:val="22"/>
              </w:rPr>
              <w:t xml:space="preserve"> </w:t>
            </w:r>
          </w:p>
        </w:tc>
      </w:tr>
      <w:tr w:rsidR="00A35057" w:rsidRPr="003862A1" w:rsidTr="00F338CF">
        <w:trPr>
          <w:jc w:val="center"/>
        </w:trPr>
        <w:tc>
          <w:tcPr>
            <w:tcW w:w="250" w:type="pct"/>
            <w:tcBorders>
              <w:top w:val="outset" w:sz="6" w:space="0" w:color="000000"/>
              <w:bottom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5.  Alternatívne riešenia</w:t>
            </w:r>
          </w:p>
        </w:tc>
      </w:tr>
      <w:tr w:rsidR="00A35057" w:rsidRPr="003862A1" w:rsidTr="00F338CF">
        <w:trPr>
          <w:trHeight w:val="600"/>
          <w:jc w:val="center"/>
        </w:trPr>
        <w:tc>
          <w:tcPr>
            <w:tcW w:w="250" w:type="pct"/>
            <w:tcBorders>
              <w:top w:val="outset" w:sz="6" w:space="0" w:color="000000"/>
              <w:bottom w:val="outset" w:sz="6" w:space="0" w:color="000000"/>
            </w:tcBorders>
            <w:hideMark/>
          </w:tcPr>
          <w:p w:rsidR="00A35057" w:rsidRPr="003862A1" w:rsidRDefault="00A35057" w:rsidP="00F338CF">
            <w:pPr>
              <w:rPr>
                <w:rFonts w:cs="Times New Roman"/>
                <w:bCs/>
                <w:sz w:val="22"/>
                <w:szCs w:val="22"/>
              </w:rPr>
            </w:pPr>
            <w:r w:rsidRPr="003862A1">
              <w:rPr>
                <w:rFonts w:cs="Times New Roman"/>
                <w:bCs/>
                <w:sz w:val="22"/>
                <w:szCs w:val="22"/>
              </w:rPr>
              <w:t>Nepredkladajú sa.</w:t>
            </w:r>
          </w:p>
        </w:tc>
      </w:tr>
      <w:tr w:rsidR="00A35057" w:rsidRPr="003862A1" w:rsidTr="00F338CF">
        <w:trPr>
          <w:jc w:val="center"/>
        </w:trPr>
        <w:tc>
          <w:tcPr>
            <w:tcW w:w="250" w:type="pct"/>
            <w:tcBorders>
              <w:top w:val="outset" w:sz="6" w:space="0" w:color="000000"/>
              <w:bottom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6.  Vykonávacie predpisy</w:t>
            </w:r>
          </w:p>
        </w:tc>
      </w:tr>
      <w:tr w:rsidR="00A35057" w:rsidRPr="003862A1" w:rsidTr="00F338CF">
        <w:trPr>
          <w:trHeight w:val="600"/>
          <w:jc w:val="center"/>
        </w:trPr>
        <w:tc>
          <w:tcPr>
            <w:tcW w:w="250" w:type="pct"/>
            <w:tcBorders>
              <w:top w:val="outset" w:sz="6" w:space="0" w:color="000000"/>
              <w:bottom w:val="outset" w:sz="6" w:space="0" w:color="000000"/>
            </w:tcBorders>
            <w:hideMark/>
          </w:tcPr>
          <w:p w:rsidR="00A35057" w:rsidRPr="003862A1" w:rsidRDefault="00A35057" w:rsidP="007923FE">
            <w:pPr>
              <w:rPr>
                <w:rFonts w:cs="Times New Roman"/>
                <w:sz w:val="20"/>
                <w:szCs w:val="20"/>
              </w:rPr>
            </w:pPr>
            <w:r w:rsidRPr="003862A1">
              <w:rPr>
                <w:rFonts w:cs="Times New Roman"/>
                <w:sz w:val="20"/>
                <w:szCs w:val="20"/>
              </w:rPr>
              <w:t>Predpokladá sa prijatie/zmena vykonávacích predpisov?                          </w:t>
            </w:r>
            <w:r w:rsidR="007923FE" w:rsidRPr="003862A1">
              <w:rPr>
                <w:rFonts w:cs="Times New Roman"/>
                <w:sz w:val="20"/>
                <w:szCs w:val="20"/>
              </w:rPr>
              <w:t xml:space="preserve"> </w:t>
            </w:r>
            <w:r w:rsidRPr="003862A1">
              <w:rPr>
                <w:rFonts w:cs="Times New Roman"/>
                <w:sz w:val="20"/>
                <w:szCs w:val="20"/>
              </w:rPr>
              <w:t>  Nie</w:t>
            </w:r>
          </w:p>
        </w:tc>
      </w:tr>
      <w:tr w:rsidR="00A35057" w:rsidRPr="003862A1" w:rsidTr="00F338CF">
        <w:trPr>
          <w:jc w:val="center"/>
        </w:trPr>
        <w:tc>
          <w:tcPr>
            <w:tcW w:w="250" w:type="pct"/>
            <w:tcBorders>
              <w:top w:val="outset" w:sz="6" w:space="0" w:color="000000"/>
              <w:bottom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xml:space="preserve">  7.  Transpozícia práva EÚ </w:t>
            </w:r>
          </w:p>
        </w:tc>
      </w:tr>
      <w:tr w:rsidR="00A35057" w:rsidRPr="003862A1" w:rsidTr="00F338CF">
        <w:trPr>
          <w:trHeight w:val="600"/>
          <w:jc w:val="center"/>
        </w:trPr>
        <w:tc>
          <w:tcPr>
            <w:tcW w:w="250" w:type="pct"/>
            <w:tcBorders>
              <w:top w:val="outset" w:sz="6" w:space="0" w:color="000000"/>
              <w:bottom w:val="outset" w:sz="6" w:space="0" w:color="000000"/>
            </w:tcBorders>
            <w:hideMark/>
          </w:tcPr>
          <w:p w:rsidR="00A35057" w:rsidRPr="003862A1" w:rsidRDefault="00A35057" w:rsidP="00F338CF">
            <w:pPr>
              <w:rPr>
                <w:rFonts w:cs="Times New Roman"/>
                <w:bCs/>
                <w:sz w:val="22"/>
                <w:szCs w:val="22"/>
              </w:rPr>
            </w:pPr>
            <w:r w:rsidRPr="003862A1">
              <w:rPr>
                <w:rFonts w:cs="Times New Roman"/>
                <w:bCs/>
                <w:sz w:val="22"/>
                <w:szCs w:val="22"/>
              </w:rPr>
              <w:t>Nepredstavuje transpozíciu práva EÚ.</w:t>
            </w:r>
          </w:p>
        </w:tc>
      </w:tr>
      <w:tr w:rsidR="00A35057" w:rsidRPr="003862A1" w:rsidTr="00F338CF">
        <w:trPr>
          <w:jc w:val="center"/>
        </w:trPr>
        <w:tc>
          <w:tcPr>
            <w:tcW w:w="250" w:type="pct"/>
            <w:tcBorders>
              <w:top w:val="outset" w:sz="6" w:space="0" w:color="000000"/>
              <w:bottom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8.  Preskúmanie účelnosti**</w:t>
            </w:r>
          </w:p>
        </w:tc>
      </w:tr>
      <w:tr w:rsidR="00A35057" w:rsidRPr="003862A1" w:rsidTr="00F338CF">
        <w:trPr>
          <w:trHeight w:val="600"/>
          <w:jc w:val="center"/>
        </w:trPr>
        <w:tc>
          <w:tcPr>
            <w:tcW w:w="250" w:type="pct"/>
            <w:tcBorders>
              <w:top w:val="outset" w:sz="6" w:space="0" w:color="000000"/>
              <w:bottom w:val="outset" w:sz="6" w:space="0" w:color="000000"/>
            </w:tcBorders>
            <w:hideMark/>
          </w:tcPr>
          <w:p w:rsidR="00A35057" w:rsidRPr="003862A1" w:rsidRDefault="00A35057" w:rsidP="00F338CF">
            <w:pPr>
              <w:rPr>
                <w:rFonts w:cs="Times New Roman"/>
                <w:b/>
                <w:bCs/>
                <w:sz w:val="22"/>
                <w:szCs w:val="22"/>
              </w:rPr>
            </w:pPr>
          </w:p>
        </w:tc>
      </w:tr>
    </w:tbl>
    <w:p w:rsidR="00A35057" w:rsidRPr="003862A1" w:rsidRDefault="00A35057" w:rsidP="00A35057">
      <w:pPr>
        <w:pStyle w:val="Normlnywebov"/>
        <w:spacing w:before="0" w:beforeAutospacing="0" w:after="0" w:afterAutospacing="0"/>
        <w:rPr>
          <w:bCs/>
          <w:sz w:val="22"/>
          <w:szCs w:val="22"/>
        </w:rPr>
      </w:pPr>
    </w:p>
    <w:p w:rsidR="00A35057" w:rsidRPr="003862A1" w:rsidRDefault="00A35057" w:rsidP="00A35057">
      <w:pPr>
        <w:ind w:left="142" w:hanging="142"/>
        <w:rPr>
          <w:rFonts w:cs="Times New Roman"/>
          <w:sz w:val="20"/>
          <w:szCs w:val="20"/>
        </w:rPr>
      </w:pPr>
      <w:r w:rsidRPr="003862A1">
        <w:rPr>
          <w:rFonts w:cs="Times New Roman"/>
          <w:sz w:val="20"/>
          <w:szCs w:val="20"/>
        </w:rPr>
        <w:t xml:space="preserve">* vyplniť iba v prípade, ak materiál nie je zahrnutý do Plánu práce vlády Slovenskej republiky alebo Plánu        legislatívnych úloh vlády Slovenskej republiky. </w:t>
      </w:r>
    </w:p>
    <w:p w:rsidR="00A35057" w:rsidRPr="003862A1" w:rsidRDefault="00A35057" w:rsidP="00A35057">
      <w:pPr>
        <w:pStyle w:val="Normlnywebov"/>
        <w:spacing w:before="0" w:beforeAutospacing="0" w:after="0" w:afterAutospacing="0"/>
        <w:rPr>
          <w:sz w:val="20"/>
          <w:szCs w:val="20"/>
        </w:rPr>
      </w:pPr>
      <w:r w:rsidRPr="003862A1">
        <w:rPr>
          <w:sz w:val="20"/>
          <w:szCs w:val="20"/>
        </w:rPr>
        <w:t>** nepovinné</w:t>
      </w:r>
    </w:p>
    <w:p w:rsidR="00A35057" w:rsidRPr="003862A1" w:rsidRDefault="00A35057" w:rsidP="00A35057">
      <w:pPr>
        <w:pStyle w:val="Normlnywebov"/>
        <w:spacing w:before="0" w:beforeAutospacing="0" w:after="0" w:afterAutospacing="0"/>
        <w:rPr>
          <w:sz w:val="20"/>
          <w:szCs w:val="20"/>
        </w:rPr>
      </w:pPr>
    </w:p>
    <w:p w:rsidR="00A35057" w:rsidRPr="003862A1" w:rsidRDefault="00A35057" w:rsidP="00A35057">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A35057" w:rsidRPr="003862A1" w:rsidTr="00F338CF">
        <w:trPr>
          <w:trHeight w:val="450"/>
          <w:jc w:val="center"/>
        </w:trPr>
        <w:tc>
          <w:tcPr>
            <w:tcW w:w="250" w:type="pct"/>
            <w:gridSpan w:val="4"/>
            <w:tcBorders>
              <w:top w:val="outset" w:sz="6" w:space="0" w:color="000000"/>
              <w:bottom w:val="outset" w:sz="6" w:space="0" w:color="000000"/>
            </w:tcBorders>
            <w:shd w:val="clear" w:color="auto" w:fill="E6E6E6"/>
            <w:hideMark/>
          </w:tcPr>
          <w:p w:rsidR="00A35057" w:rsidRPr="003862A1" w:rsidRDefault="00A35057" w:rsidP="00F338CF">
            <w:pPr>
              <w:rPr>
                <w:rFonts w:cs="Times New Roman"/>
                <w:b/>
                <w:bCs/>
                <w:sz w:val="20"/>
                <w:szCs w:val="20"/>
              </w:rPr>
            </w:pPr>
            <w:r w:rsidRPr="003862A1">
              <w:rPr>
                <w:rFonts w:cs="Times New Roman"/>
                <w:b/>
                <w:bCs/>
                <w:sz w:val="20"/>
                <w:szCs w:val="20"/>
              </w:rPr>
              <w:t>  9.   Vplyvy navrhovaného materiálu</w:t>
            </w:r>
          </w:p>
        </w:tc>
      </w:tr>
      <w:tr w:rsidR="00A35057" w:rsidRPr="003862A1" w:rsidTr="00F338CF">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A35057" w:rsidRPr="003862A1" w:rsidRDefault="00A35057" w:rsidP="00F338CF">
            <w:pPr>
              <w:rPr>
                <w:rFonts w:cs="Times New Roman"/>
                <w:sz w:val="20"/>
                <w:szCs w:val="20"/>
              </w:rPr>
            </w:pPr>
            <w:r w:rsidRPr="003862A1">
              <w:rPr>
                <w:rFonts w:cs="Times New Roman"/>
                <w:b/>
                <w:bCs/>
                <w:sz w:val="20"/>
                <w:szCs w:val="20"/>
              </w:rPr>
              <w:t>  Vplyvy na rozpočet verejnej správy</w:t>
            </w:r>
            <w:r w:rsidRPr="003862A1">
              <w:rPr>
                <w:rFonts w:cs="Times New Roman"/>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ascii="Segoe UI Symbol" w:eastAsia="MS Mincho" w:hAnsi="Segoe UI Symbol" w:cs="Segoe UI Symbol"/>
                <w:sz w:val="20"/>
                <w:szCs w:val="20"/>
              </w:rPr>
              <w:t>☒</w:t>
            </w:r>
            <w:r w:rsidRPr="003862A1">
              <w:rPr>
                <w:rFonts w:cs="Times New Roman"/>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Negatívne</w:t>
            </w:r>
          </w:p>
        </w:tc>
      </w:tr>
      <w:tr w:rsidR="00A35057" w:rsidRPr="003862A1" w:rsidTr="00F338CF">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ascii="Segoe UI Symbol" w:eastAsia="MS Mincho" w:hAnsi="Segoe UI Symbol" w:cs="Segoe UI Symbol"/>
                <w:sz w:val="20"/>
                <w:szCs w:val="20"/>
              </w:rPr>
              <w:t>☒</w:t>
            </w:r>
            <w:r w:rsidRPr="003862A1">
              <w:rPr>
                <w:rFonts w:cs="Times New Roman"/>
                <w:sz w:val="20"/>
                <w:szCs w:val="20"/>
              </w:rPr>
              <w:t>    Nie</w:t>
            </w:r>
          </w:p>
        </w:tc>
        <w:tc>
          <w:tcPr>
            <w:tcW w:w="1000" w:type="pct"/>
            <w:tcBorders>
              <w:top w:val="outset" w:sz="6" w:space="0" w:color="000000"/>
              <w:left w:val="outset" w:sz="6" w:space="0" w:color="000000"/>
              <w:bottom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Čiastočne</w:t>
            </w:r>
          </w:p>
        </w:tc>
      </w:tr>
      <w:tr w:rsidR="00A35057" w:rsidRPr="003862A1" w:rsidTr="00F338CF">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A35057" w:rsidRPr="003862A1" w:rsidRDefault="00A35057" w:rsidP="00F338CF">
            <w:pPr>
              <w:rPr>
                <w:rFonts w:cs="Times New Roman"/>
                <w:sz w:val="20"/>
                <w:szCs w:val="20"/>
              </w:rPr>
            </w:pPr>
            <w:r w:rsidRPr="003862A1">
              <w:rPr>
                <w:rFonts w:cs="Times New Roman"/>
                <w:b/>
                <w:bCs/>
                <w:sz w:val="20"/>
                <w:szCs w:val="20"/>
              </w:rPr>
              <w:t>  Vplyvy na podnikateľské prostredie</w:t>
            </w:r>
            <w:r w:rsidRPr="003862A1">
              <w:rPr>
                <w:rFonts w:cs="Times New Roman"/>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ascii="Segoe UI Symbol" w:eastAsia="MS Mincho" w:hAnsi="Segoe UI Symbol" w:cs="Segoe UI Symbol"/>
                <w:sz w:val="20"/>
                <w:szCs w:val="20"/>
              </w:rPr>
              <w:t>☒</w:t>
            </w:r>
            <w:r w:rsidRPr="003862A1">
              <w:rPr>
                <w:rFonts w:cs="Times New Roman"/>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Negatívne</w:t>
            </w:r>
          </w:p>
        </w:tc>
      </w:tr>
      <w:tr w:rsidR="00A35057" w:rsidRPr="003862A1" w:rsidTr="00F338CF">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ascii="Segoe UI Symbol" w:eastAsia="MS Mincho" w:hAnsi="Segoe UI Symbol" w:cs="Segoe UI Symbol"/>
                <w:sz w:val="20"/>
                <w:szCs w:val="20"/>
              </w:rPr>
              <w:t>☒</w:t>
            </w:r>
            <w:r w:rsidRPr="003862A1">
              <w:rPr>
                <w:rFonts w:cs="Times New Roman"/>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Negatívne</w:t>
            </w:r>
          </w:p>
        </w:tc>
      </w:tr>
      <w:tr w:rsidR="00A35057" w:rsidRPr="003862A1" w:rsidTr="00F338CF">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A35057" w:rsidRPr="003862A1" w:rsidRDefault="00A35057" w:rsidP="00F338CF">
            <w:pPr>
              <w:rPr>
                <w:rFonts w:cs="Times New Roman"/>
                <w:sz w:val="20"/>
                <w:szCs w:val="20"/>
              </w:rPr>
            </w:pPr>
            <w:r w:rsidRPr="003862A1">
              <w:rPr>
                <w:rFonts w:cs="Times New Roman"/>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ascii="Segoe UI Symbol" w:eastAsia="MS Mincho" w:hAnsi="Segoe UI Symbol" w:cs="Segoe UI Symbol"/>
                <w:sz w:val="20"/>
                <w:szCs w:val="20"/>
              </w:rPr>
              <w:t>☒</w:t>
            </w:r>
            <w:r w:rsidRPr="003862A1">
              <w:rPr>
                <w:rFonts w:cs="Times New Roman"/>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Negatívne</w:t>
            </w:r>
          </w:p>
        </w:tc>
      </w:tr>
      <w:tr w:rsidR="00A35057" w:rsidRPr="003862A1" w:rsidTr="00F338CF">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A35057" w:rsidRPr="003862A1" w:rsidRDefault="00A35057" w:rsidP="00F338CF">
            <w:pPr>
              <w:rPr>
                <w:rFonts w:cs="Times New Roman"/>
                <w:sz w:val="20"/>
                <w:szCs w:val="20"/>
              </w:rPr>
            </w:pPr>
            <w:r w:rsidRPr="003862A1">
              <w:rPr>
                <w:rFonts w:cs="Times New Roman"/>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ascii="Segoe UI Symbol" w:eastAsia="MS Mincho" w:hAnsi="Segoe UI Symbol" w:cs="Segoe UI Symbol"/>
                <w:sz w:val="20"/>
                <w:szCs w:val="20"/>
              </w:rPr>
              <w:t>☒</w:t>
            </w:r>
            <w:r w:rsidRPr="003862A1">
              <w:rPr>
                <w:rFonts w:cs="Times New Roman"/>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Negatívne</w:t>
            </w:r>
          </w:p>
        </w:tc>
      </w:tr>
      <w:tr w:rsidR="00A35057" w:rsidRPr="003862A1" w:rsidTr="00F338CF">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A35057" w:rsidRPr="003862A1" w:rsidRDefault="00A35057" w:rsidP="00F338CF">
            <w:pPr>
              <w:rPr>
                <w:rFonts w:cs="Times New Roman"/>
                <w:sz w:val="20"/>
                <w:szCs w:val="20"/>
              </w:rPr>
            </w:pPr>
            <w:r w:rsidRPr="003862A1">
              <w:rPr>
                <w:rFonts w:cs="Times New Roman"/>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ascii="Segoe UI Symbol" w:eastAsia="MS Mincho" w:hAnsi="Segoe UI Symbol" w:cs="Segoe UI Symbol"/>
                <w:sz w:val="20"/>
                <w:szCs w:val="20"/>
              </w:rPr>
              <w:t>☒</w:t>
            </w:r>
            <w:r w:rsidRPr="003862A1">
              <w:rPr>
                <w:rFonts w:cs="Times New Roman"/>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Negatívne</w:t>
            </w:r>
          </w:p>
        </w:tc>
      </w:tr>
      <w:tr w:rsidR="00A35057" w:rsidRPr="003862A1" w:rsidTr="00F338CF">
        <w:trPr>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A35057" w:rsidRPr="003862A1" w:rsidRDefault="00A35057" w:rsidP="00F338CF">
            <w:pPr>
              <w:rPr>
                <w:rFonts w:cs="Times New Roman"/>
                <w:sz w:val="20"/>
                <w:szCs w:val="20"/>
              </w:rPr>
            </w:pPr>
            <w:r w:rsidRPr="003862A1">
              <w:rPr>
                <w:rFonts w:cs="Times New Roman"/>
                <w:b/>
                <w:bCs/>
                <w:sz w:val="20"/>
                <w:szCs w:val="20"/>
              </w:rPr>
              <w:t>  Vplyvy na služby pre občana z toho</w:t>
            </w:r>
            <w:r w:rsidRPr="003862A1">
              <w:rPr>
                <w:rFonts w:cs="Times New Roman"/>
                <w:sz w:val="20"/>
                <w:szCs w:val="20"/>
              </w:rPr>
              <w:br/>
              <w:t>    vplyvy služieb verejnej správy na občana</w:t>
            </w:r>
            <w:r w:rsidRPr="003862A1">
              <w:rPr>
                <w:rFonts w:cs="Times New Roman"/>
                <w:sz w:val="20"/>
                <w:szCs w:val="20"/>
              </w:rPr>
              <w:br/>
              <w:t>    vplyvy na procesy služieb vo verejnej</w:t>
            </w:r>
            <w:r w:rsidRPr="003862A1">
              <w:rPr>
                <w:rFonts w:cs="Times New Roman"/>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ascii="Segoe UI Symbol" w:eastAsia="MS Mincho" w:hAnsi="Segoe UI Symbol" w:cs="Segoe UI Symbol"/>
                <w:sz w:val="20"/>
                <w:szCs w:val="20"/>
              </w:rPr>
              <w:t>☒</w:t>
            </w:r>
            <w:r w:rsidRPr="003862A1">
              <w:rPr>
                <w:rFonts w:cs="Times New Roman"/>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Negatívne</w:t>
            </w:r>
          </w:p>
        </w:tc>
      </w:tr>
      <w:tr w:rsidR="00A35057" w:rsidRPr="003862A1" w:rsidTr="00F338CF">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ascii="Segoe UI Symbol" w:eastAsia="MS Mincho" w:hAnsi="Segoe UI Symbol" w:cs="Segoe UI Symbol"/>
                <w:sz w:val="20"/>
                <w:szCs w:val="20"/>
              </w:rPr>
              <w:t>☒</w:t>
            </w:r>
            <w:r w:rsidRPr="003862A1">
              <w:rPr>
                <w:rFonts w:cs="Times New Roman"/>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Negatívne</w:t>
            </w:r>
          </w:p>
        </w:tc>
      </w:tr>
      <w:tr w:rsidR="00A35057" w:rsidRPr="003862A1" w:rsidTr="00F338CF">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A35057" w:rsidRPr="003862A1" w:rsidRDefault="00A35057" w:rsidP="00F338CF">
            <w:pPr>
              <w:rPr>
                <w:rFonts w:cs="Times New Roman"/>
                <w:sz w:val="20"/>
                <w:szCs w:val="20"/>
              </w:rPr>
            </w:pPr>
            <w:r w:rsidRPr="003862A1">
              <w:rPr>
                <w:rFonts w:cs="Times New Roman"/>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ascii="Segoe UI Symbol" w:eastAsia="MS Mincho" w:hAnsi="Segoe UI Symbol" w:cs="Segoe UI Symbol"/>
                <w:sz w:val="20"/>
                <w:szCs w:val="20"/>
              </w:rPr>
              <w:t>☒</w:t>
            </w:r>
            <w:r w:rsidRPr="003862A1">
              <w:rPr>
                <w:rFonts w:cs="Times New Roman"/>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A35057" w:rsidRPr="003862A1" w:rsidRDefault="00A35057" w:rsidP="00F338CF">
            <w:pPr>
              <w:rPr>
                <w:rFonts w:cs="Times New Roman"/>
                <w:sz w:val="20"/>
                <w:szCs w:val="20"/>
              </w:rPr>
            </w:pPr>
            <w:r w:rsidRPr="003862A1">
              <w:rPr>
                <w:rFonts w:cs="Times New Roman"/>
                <w:sz w:val="20"/>
                <w:szCs w:val="20"/>
              </w:rPr>
              <w:t xml:space="preserve">  </w:t>
            </w:r>
            <w:r w:rsidRPr="003862A1">
              <w:rPr>
                <w:rFonts w:cs="Times New Roman"/>
                <w:sz w:val="28"/>
                <w:szCs w:val="28"/>
              </w:rPr>
              <w:t></w:t>
            </w:r>
            <w:r w:rsidRPr="003862A1">
              <w:rPr>
                <w:rFonts w:cs="Times New Roman"/>
                <w:sz w:val="20"/>
                <w:szCs w:val="20"/>
              </w:rPr>
              <w:t xml:space="preserve">   Negatívne</w:t>
            </w:r>
          </w:p>
        </w:tc>
      </w:tr>
    </w:tbl>
    <w:p w:rsidR="00A35057" w:rsidRPr="003862A1" w:rsidRDefault="00A35057" w:rsidP="00A35057">
      <w:pPr>
        <w:pStyle w:val="Normlnywebov"/>
        <w:spacing w:before="0" w:beforeAutospacing="0" w:after="0" w:afterAutospacing="0"/>
        <w:rPr>
          <w:sz w:val="20"/>
          <w:szCs w:val="20"/>
        </w:rPr>
      </w:pPr>
    </w:p>
    <w:p w:rsidR="00A35057" w:rsidRPr="003862A1" w:rsidRDefault="00A35057" w:rsidP="00A35057">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A35057" w:rsidRPr="003862A1" w:rsidTr="00F338CF">
        <w:trPr>
          <w:jc w:val="center"/>
        </w:trPr>
        <w:tc>
          <w:tcPr>
            <w:tcW w:w="250" w:type="pct"/>
            <w:tcBorders>
              <w:top w:val="outset" w:sz="6" w:space="0" w:color="000000"/>
              <w:bottom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10.  Poznámky</w:t>
            </w:r>
          </w:p>
        </w:tc>
      </w:tr>
      <w:tr w:rsidR="00A35057" w:rsidRPr="003862A1" w:rsidTr="00F338CF">
        <w:trPr>
          <w:trHeight w:val="600"/>
          <w:jc w:val="center"/>
        </w:trPr>
        <w:tc>
          <w:tcPr>
            <w:tcW w:w="250" w:type="pct"/>
            <w:tcBorders>
              <w:top w:val="outset" w:sz="6" w:space="0" w:color="000000"/>
              <w:bottom w:val="outset" w:sz="6" w:space="0" w:color="000000"/>
            </w:tcBorders>
            <w:hideMark/>
          </w:tcPr>
          <w:p w:rsidR="00A35057" w:rsidRPr="003862A1" w:rsidRDefault="00A35057" w:rsidP="00F338CF">
            <w:pPr>
              <w:rPr>
                <w:rFonts w:cs="Times New Roman"/>
                <w:b/>
                <w:bCs/>
                <w:sz w:val="22"/>
                <w:szCs w:val="22"/>
              </w:rPr>
            </w:pPr>
          </w:p>
        </w:tc>
      </w:tr>
      <w:tr w:rsidR="00A35057" w:rsidRPr="003862A1" w:rsidTr="00F338CF">
        <w:trPr>
          <w:jc w:val="center"/>
        </w:trPr>
        <w:tc>
          <w:tcPr>
            <w:tcW w:w="250" w:type="pct"/>
            <w:tcBorders>
              <w:top w:val="outset" w:sz="6" w:space="0" w:color="000000"/>
              <w:bottom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11.  Kontakt na spracovateľa</w:t>
            </w:r>
          </w:p>
        </w:tc>
      </w:tr>
      <w:tr w:rsidR="00A35057" w:rsidRPr="003862A1" w:rsidTr="00F338CF">
        <w:trPr>
          <w:trHeight w:val="600"/>
          <w:jc w:val="center"/>
        </w:trPr>
        <w:tc>
          <w:tcPr>
            <w:tcW w:w="250" w:type="pct"/>
            <w:tcBorders>
              <w:top w:val="outset" w:sz="6" w:space="0" w:color="000000"/>
              <w:bottom w:val="outset" w:sz="6" w:space="0" w:color="000000"/>
            </w:tcBorders>
            <w:hideMark/>
          </w:tcPr>
          <w:p w:rsidR="00A35057" w:rsidRPr="003862A1" w:rsidRDefault="00A35057" w:rsidP="00F338CF">
            <w:pPr>
              <w:rPr>
                <w:rFonts w:cs="Times New Roman"/>
                <w:b/>
                <w:bCs/>
                <w:sz w:val="22"/>
                <w:szCs w:val="22"/>
              </w:rPr>
            </w:pPr>
          </w:p>
        </w:tc>
      </w:tr>
      <w:tr w:rsidR="00A35057" w:rsidRPr="003862A1" w:rsidTr="00F338CF">
        <w:trPr>
          <w:jc w:val="center"/>
        </w:trPr>
        <w:tc>
          <w:tcPr>
            <w:tcW w:w="250" w:type="pct"/>
            <w:tcBorders>
              <w:top w:val="outset" w:sz="6" w:space="0" w:color="000000"/>
              <w:bottom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12.  Zdroje</w:t>
            </w:r>
          </w:p>
        </w:tc>
      </w:tr>
      <w:tr w:rsidR="00A35057" w:rsidRPr="003862A1" w:rsidTr="00F338CF">
        <w:trPr>
          <w:trHeight w:val="600"/>
          <w:jc w:val="center"/>
        </w:trPr>
        <w:tc>
          <w:tcPr>
            <w:tcW w:w="250" w:type="pct"/>
            <w:tcBorders>
              <w:top w:val="outset" w:sz="6" w:space="0" w:color="000000"/>
              <w:bottom w:val="outset" w:sz="6" w:space="0" w:color="000000"/>
            </w:tcBorders>
            <w:hideMark/>
          </w:tcPr>
          <w:p w:rsidR="00A35057" w:rsidRPr="003862A1" w:rsidRDefault="00A35057" w:rsidP="00F338CF">
            <w:pPr>
              <w:rPr>
                <w:rFonts w:cs="Times New Roman"/>
                <w:b/>
                <w:bCs/>
                <w:sz w:val="22"/>
                <w:szCs w:val="22"/>
              </w:rPr>
            </w:pPr>
          </w:p>
        </w:tc>
      </w:tr>
      <w:tr w:rsidR="00A35057" w:rsidRPr="003862A1" w:rsidTr="00F338CF">
        <w:trPr>
          <w:jc w:val="center"/>
        </w:trPr>
        <w:tc>
          <w:tcPr>
            <w:tcW w:w="250" w:type="pct"/>
            <w:tcBorders>
              <w:top w:val="outset" w:sz="6" w:space="0" w:color="000000"/>
              <w:bottom w:val="outset" w:sz="6" w:space="0" w:color="000000"/>
            </w:tcBorders>
            <w:shd w:val="clear" w:color="auto" w:fill="E6E6E6"/>
            <w:hideMark/>
          </w:tcPr>
          <w:p w:rsidR="00A35057" w:rsidRPr="003862A1" w:rsidRDefault="00A35057" w:rsidP="00F338CF">
            <w:pPr>
              <w:rPr>
                <w:rFonts w:cs="Times New Roman"/>
                <w:b/>
                <w:bCs/>
                <w:sz w:val="22"/>
                <w:szCs w:val="22"/>
              </w:rPr>
            </w:pPr>
            <w:r w:rsidRPr="003862A1">
              <w:rPr>
                <w:rFonts w:cs="Times New Roman"/>
                <w:b/>
                <w:bCs/>
                <w:sz w:val="22"/>
                <w:szCs w:val="22"/>
              </w:rPr>
              <w:t>  13.  Stanovisko Komisie pre posudzovanie vybraných vplyvov z PPK</w:t>
            </w:r>
          </w:p>
        </w:tc>
      </w:tr>
      <w:tr w:rsidR="00A35057" w:rsidRPr="003862A1" w:rsidTr="00F338CF">
        <w:trPr>
          <w:trHeight w:val="1200"/>
          <w:jc w:val="center"/>
        </w:trPr>
        <w:tc>
          <w:tcPr>
            <w:tcW w:w="250" w:type="pct"/>
            <w:tcBorders>
              <w:top w:val="outset" w:sz="6" w:space="0" w:color="000000"/>
              <w:bottom w:val="outset" w:sz="6" w:space="0" w:color="000000"/>
            </w:tcBorders>
            <w:hideMark/>
          </w:tcPr>
          <w:p w:rsidR="00A35057" w:rsidRPr="007923FE" w:rsidRDefault="00A35057" w:rsidP="00F338CF">
            <w:pPr>
              <w:rPr>
                <w:rFonts w:cs="Times New Roman"/>
                <w:b/>
                <w:bCs/>
                <w:sz w:val="22"/>
                <w:szCs w:val="22"/>
              </w:rPr>
            </w:pPr>
            <w:r w:rsidRPr="007923FE">
              <w:rPr>
                <w:rFonts w:cs="Times New Roman"/>
                <w:bCs/>
                <w:sz w:val="22"/>
                <w:szCs w:val="22"/>
              </w:rPr>
              <w:t>Materiál nebol predmetom PPK.</w:t>
            </w:r>
          </w:p>
        </w:tc>
      </w:tr>
    </w:tbl>
    <w:p w:rsidR="00A35057" w:rsidRPr="003862A1" w:rsidRDefault="00A35057" w:rsidP="00A35057">
      <w:pPr>
        <w:pStyle w:val="Normlnywebov"/>
        <w:spacing w:before="0" w:beforeAutospacing="0" w:after="0" w:afterAutospacing="0"/>
        <w:rPr>
          <w:bCs/>
          <w:sz w:val="20"/>
          <w:szCs w:val="20"/>
        </w:rPr>
      </w:pPr>
    </w:p>
    <w:p w:rsidR="00A35057" w:rsidRPr="003862A1" w:rsidRDefault="00A35057" w:rsidP="00A35057">
      <w:pPr>
        <w:pStyle w:val="Normlnywebov"/>
        <w:spacing w:before="120" w:beforeAutospacing="0" w:after="0" w:afterAutospacing="0" w:line="276" w:lineRule="auto"/>
        <w:jc w:val="both"/>
        <w:rPr>
          <w:sz w:val="22"/>
          <w:szCs w:val="22"/>
        </w:rPr>
      </w:pPr>
    </w:p>
    <w:sectPr w:rsidR="00A35057" w:rsidRPr="003862A1" w:rsidSect="001A799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F5" w:rsidRDefault="00C854F5" w:rsidP="000A2D7E">
      <w:r>
        <w:separator/>
      </w:r>
    </w:p>
  </w:endnote>
  <w:endnote w:type="continuationSeparator" w:id="0">
    <w:p w:rsidR="00C854F5" w:rsidRDefault="00C854F5" w:rsidP="000A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ËÎĚĺ"/>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479" w:rsidRPr="00B9132A" w:rsidRDefault="005B61D0" w:rsidP="005B61D0">
    <w:pPr>
      <w:widowControl/>
      <w:tabs>
        <w:tab w:val="center" w:pos="4536"/>
        <w:tab w:val="right" w:pos="9072"/>
      </w:tabs>
      <w:suppressAutoHyphens w:val="0"/>
      <w:jc w:val="right"/>
    </w:pPr>
    <w:r w:rsidRPr="005B61D0">
      <w:rPr>
        <w:rFonts w:eastAsia="Times New Roman" w:cs="Times New Roman"/>
        <w:kern w:val="0"/>
        <w:szCs w:val="22"/>
        <w:lang w:eastAsia="en-US" w:bidi="ar-SA"/>
      </w:rPr>
      <w:fldChar w:fldCharType="begin"/>
    </w:r>
    <w:r w:rsidRPr="005B61D0">
      <w:rPr>
        <w:rFonts w:eastAsia="Times New Roman" w:cs="Times New Roman"/>
        <w:kern w:val="0"/>
        <w:szCs w:val="22"/>
        <w:lang w:eastAsia="en-US" w:bidi="ar-SA"/>
      </w:rPr>
      <w:instrText>PAGE   \* MERGEFORMAT</w:instrText>
    </w:r>
    <w:r w:rsidRPr="005B61D0">
      <w:rPr>
        <w:rFonts w:eastAsia="Times New Roman" w:cs="Times New Roman"/>
        <w:kern w:val="0"/>
        <w:szCs w:val="22"/>
        <w:lang w:eastAsia="en-US" w:bidi="ar-SA"/>
      </w:rPr>
      <w:fldChar w:fldCharType="separate"/>
    </w:r>
    <w:r w:rsidR="00647BFB">
      <w:rPr>
        <w:rFonts w:eastAsia="Times New Roman" w:cs="Times New Roman"/>
        <w:noProof/>
        <w:kern w:val="0"/>
        <w:szCs w:val="22"/>
        <w:lang w:eastAsia="en-US" w:bidi="ar-SA"/>
      </w:rPr>
      <w:t>1</w:t>
    </w:r>
    <w:r w:rsidRPr="005B61D0">
      <w:rPr>
        <w:rFonts w:eastAsia="Times New Roman" w:cs="Times New Roman"/>
        <w:kern w:val="0"/>
        <w:szCs w:val="22"/>
        <w:lang w:eastAsia="en-US" w:bidi="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F5" w:rsidRDefault="00C854F5" w:rsidP="000A2D7E">
      <w:r>
        <w:separator/>
      </w:r>
    </w:p>
  </w:footnote>
  <w:footnote w:type="continuationSeparator" w:id="0">
    <w:p w:rsidR="00C854F5" w:rsidRDefault="00C854F5" w:rsidP="000A2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F780E"/>
    <w:multiLevelType w:val="hybridMultilevel"/>
    <w:tmpl w:val="277AD4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61412A5"/>
    <w:multiLevelType w:val="hybridMultilevel"/>
    <w:tmpl w:val="F34C752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60060C7F"/>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2D7E"/>
    <w:rsid w:val="00002DD9"/>
    <w:rsid w:val="00003A51"/>
    <w:rsid w:val="00025BCE"/>
    <w:rsid w:val="00033533"/>
    <w:rsid w:val="00033982"/>
    <w:rsid w:val="000506B9"/>
    <w:rsid w:val="000631B3"/>
    <w:rsid w:val="00064088"/>
    <w:rsid w:val="000652E7"/>
    <w:rsid w:val="00066CCD"/>
    <w:rsid w:val="00070DE6"/>
    <w:rsid w:val="00072634"/>
    <w:rsid w:val="00074E1D"/>
    <w:rsid w:val="00081AE8"/>
    <w:rsid w:val="000A2D7E"/>
    <w:rsid w:val="000C0CF9"/>
    <w:rsid w:val="000D5990"/>
    <w:rsid w:val="000F2F36"/>
    <w:rsid w:val="000F7E76"/>
    <w:rsid w:val="00110B9C"/>
    <w:rsid w:val="00126891"/>
    <w:rsid w:val="00126D0A"/>
    <w:rsid w:val="0013664B"/>
    <w:rsid w:val="00151435"/>
    <w:rsid w:val="00162FEE"/>
    <w:rsid w:val="001644C5"/>
    <w:rsid w:val="00172BF2"/>
    <w:rsid w:val="00174A3A"/>
    <w:rsid w:val="0017622F"/>
    <w:rsid w:val="00194AF2"/>
    <w:rsid w:val="001A510B"/>
    <w:rsid w:val="001A6191"/>
    <w:rsid w:val="001A7996"/>
    <w:rsid w:val="001A7EA2"/>
    <w:rsid w:val="001B01D6"/>
    <w:rsid w:val="001B18EB"/>
    <w:rsid w:val="001B4D07"/>
    <w:rsid w:val="001B59B8"/>
    <w:rsid w:val="001C5320"/>
    <w:rsid w:val="001D4A64"/>
    <w:rsid w:val="0020442D"/>
    <w:rsid w:val="0023122C"/>
    <w:rsid w:val="0026483E"/>
    <w:rsid w:val="00270640"/>
    <w:rsid w:val="002713D6"/>
    <w:rsid w:val="002B1A89"/>
    <w:rsid w:val="002C291C"/>
    <w:rsid w:val="002C65C6"/>
    <w:rsid w:val="002C73CB"/>
    <w:rsid w:val="002D1B30"/>
    <w:rsid w:val="002E175F"/>
    <w:rsid w:val="002F3D0E"/>
    <w:rsid w:val="003014F8"/>
    <w:rsid w:val="00344745"/>
    <w:rsid w:val="003468A9"/>
    <w:rsid w:val="0036441B"/>
    <w:rsid w:val="003862A1"/>
    <w:rsid w:val="003A3D66"/>
    <w:rsid w:val="003A59F4"/>
    <w:rsid w:val="003A7763"/>
    <w:rsid w:val="003B08E8"/>
    <w:rsid w:val="003C1688"/>
    <w:rsid w:val="003C5F3F"/>
    <w:rsid w:val="003D2D53"/>
    <w:rsid w:val="003D6019"/>
    <w:rsid w:val="003E012F"/>
    <w:rsid w:val="003E0CA1"/>
    <w:rsid w:val="003E528F"/>
    <w:rsid w:val="00446E5B"/>
    <w:rsid w:val="0045514F"/>
    <w:rsid w:val="00481BB1"/>
    <w:rsid w:val="004929C2"/>
    <w:rsid w:val="00494E6C"/>
    <w:rsid w:val="00496ED6"/>
    <w:rsid w:val="004A491C"/>
    <w:rsid w:val="004D55D1"/>
    <w:rsid w:val="004E7377"/>
    <w:rsid w:val="004E7439"/>
    <w:rsid w:val="004F1CE3"/>
    <w:rsid w:val="004F2022"/>
    <w:rsid w:val="00515AE7"/>
    <w:rsid w:val="00520E89"/>
    <w:rsid w:val="00552C81"/>
    <w:rsid w:val="00555336"/>
    <w:rsid w:val="00563B10"/>
    <w:rsid w:val="00594D20"/>
    <w:rsid w:val="005B61D0"/>
    <w:rsid w:val="005C59E4"/>
    <w:rsid w:val="00611711"/>
    <w:rsid w:val="0062650A"/>
    <w:rsid w:val="00647BFB"/>
    <w:rsid w:val="00653355"/>
    <w:rsid w:val="006558C0"/>
    <w:rsid w:val="00663147"/>
    <w:rsid w:val="00663986"/>
    <w:rsid w:val="006673A2"/>
    <w:rsid w:val="00673449"/>
    <w:rsid w:val="00676B72"/>
    <w:rsid w:val="006770CC"/>
    <w:rsid w:val="006901DE"/>
    <w:rsid w:val="006E006C"/>
    <w:rsid w:val="006E4C9A"/>
    <w:rsid w:val="006F72C5"/>
    <w:rsid w:val="007254D2"/>
    <w:rsid w:val="00725DEA"/>
    <w:rsid w:val="007346BA"/>
    <w:rsid w:val="00741A32"/>
    <w:rsid w:val="00746149"/>
    <w:rsid w:val="00764085"/>
    <w:rsid w:val="007869C3"/>
    <w:rsid w:val="007911E6"/>
    <w:rsid w:val="007923FE"/>
    <w:rsid w:val="007A626C"/>
    <w:rsid w:val="007B3ABD"/>
    <w:rsid w:val="007B5A7D"/>
    <w:rsid w:val="007F3EB6"/>
    <w:rsid w:val="00801C25"/>
    <w:rsid w:val="00804A22"/>
    <w:rsid w:val="0080628B"/>
    <w:rsid w:val="00814A4D"/>
    <w:rsid w:val="00834736"/>
    <w:rsid w:val="0084406D"/>
    <w:rsid w:val="00845A27"/>
    <w:rsid w:val="00892D67"/>
    <w:rsid w:val="00897A4C"/>
    <w:rsid w:val="008D21D3"/>
    <w:rsid w:val="008E2498"/>
    <w:rsid w:val="009200D2"/>
    <w:rsid w:val="0092350A"/>
    <w:rsid w:val="0092663C"/>
    <w:rsid w:val="0094349F"/>
    <w:rsid w:val="00944551"/>
    <w:rsid w:val="00951DF4"/>
    <w:rsid w:val="00974B1B"/>
    <w:rsid w:val="0097562D"/>
    <w:rsid w:val="009D71DC"/>
    <w:rsid w:val="009F568F"/>
    <w:rsid w:val="00A35057"/>
    <w:rsid w:val="00A6052C"/>
    <w:rsid w:val="00A8640E"/>
    <w:rsid w:val="00AA320B"/>
    <w:rsid w:val="00AB04BA"/>
    <w:rsid w:val="00AB14D7"/>
    <w:rsid w:val="00AC6C6D"/>
    <w:rsid w:val="00B070A3"/>
    <w:rsid w:val="00B10244"/>
    <w:rsid w:val="00B155FE"/>
    <w:rsid w:val="00B27A96"/>
    <w:rsid w:val="00B37BEE"/>
    <w:rsid w:val="00B54479"/>
    <w:rsid w:val="00B73B1F"/>
    <w:rsid w:val="00B83AE8"/>
    <w:rsid w:val="00B87011"/>
    <w:rsid w:val="00B9132A"/>
    <w:rsid w:val="00B91BF6"/>
    <w:rsid w:val="00BB3E13"/>
    <w:rsid w:val="00BB5185"/>
    <w:rsid w:val="00BC4AB8"/>
    <w:rsid w:val="00BD4E39"/>
    <w:rsid w:val="00BD666F"/>
    <w:rsid w:val="00C0458C"/>
    <w:rsid w:val="00C131D8"/>
    <w:rsid w:val="00C50A03"/>
    <w:rsid w:val="00C510D9"/>
    <w:rsid w:val="00C64A7C"/>
    <w:rsid w:val="00C71AFA"/>
    <w:rsid w:val="00C76BA5"/>
    <w:rsid w:val="00C854F5"/>
    <w:rsid w:val="00C93230"/>
    <w:rsid w:val="00D0199A"/>
    <w:rsid w:val="00D20043"/>
    <w:rsid w:val="00D27D12"/>
    <w:rsid w:val="00D466FA"/>
    <w:rsid w:val="00D6169D"/>
    <w:rsid w:val="00D629AE"/>
    <w:rsid w:val="00D77FA4"/>
    <w:rsid w:val="00DA4D1B"/>
    <w:rsid w:val="00DA53B1"/>
    <w:rsid w:val="00DC6F7C"/>
    <w:rsid w:val="00DE2DC7"/>
    <w:rsid w:val="00E30330"/>
    <w:rsid w:val="00E33E09"/>
    <w:rsid w:val="00E40317"/>
    <w:rsid w:val="00E570F8"/>
    <w:rsid w:val="00E70913"/>
    <w:rsid w:val="00EA20DE"/>
    <w:rsid w:val="00EA6144"/>
    <w:rsid w:val="00EA744C"/>
    <w:rsid w:val="00EB63B2"/>
    <w:rsid w:val="00EC0F41"/>
    <w:rsid w:val="00EC4D73"/>
    <w:rsid w:val="00ED168D"/>
    <w:rsid w:val="00ED2485"/>
    <w:rsid w:val="00ED37F7"/>
    <w:rsid w:val="00F015E7"/>
    <w:rsid w:val="00F124A9"/>
    <w:rsid w:val="00F338CF"/>
    <w:rsid w:val="00F67534"/>
    <w:rsid w:val="00F754B5"/>
    <w:rsid w:val="00F9282D"/>
    <w:rsid w:val="00F92918"/>
    <w:rsid w:val="00FA1E7B"/>
    <w:rsid w:val="00FA5CFE"/>
    <w:rsid w:val="00FB316C"/>
    <w:rsid w:val="00FF08C4"/>
    <w:rsid w:val="00FF1CFC"/>
    <w:rsid w:val="00FF48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2D7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0A2D7E"/>
    <w:rPr>
      <w:rFonts w:cs="Times New Roman"/>
      <w:color w:val="0000FF"/>
      <w:u w:val="single"/>
    </w:rPr>
  </w:style>
  <w:style w:type="paragraph" w:styleId="Pta">
    <w:name w:val="footer"/>
    <w:basedOn w:val="Normlny"/>
    <w:link w:val="PtaChar"/>
    <w:uiPriority w:val="99"/>
    <w:rsid w:val="000A2D7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0A2D7E"/>
    <w:rPr>
      <w:rFonts w:ascii="Arial" w:hAnsi="Arial" w:cs="Arial"/>
      <w:sz w:val="20"/>
      <w:szCs w:val="20"/>
      <w:lang w:val="x-none" w:eastAsia="sk-SK"/>
    </w:rPr>
  </w:style>
  <w:style w:type="paragraph" w:styleId="Hlavika">
    <w:name w:val="header"/>
    <w:basedOn w:val="Normlny"/>
    <w:link w:val="HlavikaChar"/>
    <w:uiPriority w:val="99"/>
    <w:semiHidden/>
    <w:unhideWhenUsed/>
    <w:rsid w:val="000A2D7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0A2D7E"/>
    <w:rPr>
      <w:rFonts w:ascii="Times New Roman" w:eastAsia="SimSun" w:hAnsi="Times New Roman" w:cs="Mangal"/>
      <w:kern w:val="1"/>
      <w:sz w:val="21"/>
      <w:szCs w:val="21"/>
      <w:lang w:val="x-none" w:eastAsia="hi-IN" w:bidi="hi-IN"/>
    </w:rPr>
  </w:style>
  <w:style w:type="paragraph" w:styleId="Textpoznmkypodiarou">
    <w:name w:val="footnote text"/>
    <w:basedOn w:val="Normlny"/>
    <w:link w:val="TextpoznmkypodiarouChar"/>
    <w:uiPriority w:val="99"/>
    <w:semiHidden/>
    <w:unhideWhenUsed/>
    <w:rsid w:val="000A2D7E"/>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semiHidden/>
    <w:locked/>
    <w:rsid w:val="000A2D7E"/>
    <w:rPr>
      <w:rFonts w:ascii="Times New Roman" w:hAnsi="Times New Roman" w:cs="Times New Roman"/>
      <w:sz w:val="20"/>
      <w:szCs w:val="20"/>
      <w:lang w:val="x-none" w:eastAsia="sk-SK"/>
    </w:rPr>
  </w:style>
  <w:style w:type="character" w:styleId="Odkaznapoznmkupodiarou">
    <w:name w:val="footnote reference"/>
    <w:basedOn w:val="Predvolenpsmoodseku"/>
    <w:uiPriority w:val="99"/>
    <w:semiHidden/>
    <w:unhideWhenUsed/>
    <w:rsid w:val="000A2D7E"/>
    <w:rPr>
      <w:rFonts w:cs="Times New Roman"/>
      <w:vertAlign w:val="superscript"/>
    </w:rPr>
  </w:style>
  <w:style w:type="paragraph" w:styleId="Odsekzoznamu">
    <w:name w:val="List Paragraph"/>
    <w:basedOn w:val="Normlny"/>
    <w:uiPriority w:val="34"/>
    <w:qFormat/>
    <w:rsid w:val="000A2D7E"/>
    <w:pPr>
      <w:ind w:left="720"/>
      <w:contextualSpacing/>
    </w:pPr>
    <w:rPr>
      <w:szCs w:val="21"/>
    </w:rPr>
  </w:style>
  <w:style w:type="paragraph" w:styleId="Normlnywebov">
    <w:name w:val="Normal (Web)"/>
    <w:aliases w:val="webb"/>
    <w:basedOn w:val="Normlny"/>
    <w:uiPriority w:val="99"/>
    <w:unhideWhenUsed/>
    <w:rsid w:val="00EC4D73"/>
    <w:pPr>
      <w:widowControl/>
      <w:suppressAutoHyphens w:val="0"/>
      <w:spacing w:before="100" w:beforeAutospacing="1" w:after="100" w:afterAutospacing="1"/>
    </w:pPr>
    <w:rPr>
      <w:rFonts w:eastAsia="Times New Roman" w:cs="Times New Roman"/>
      <w:kern w:val="0"/>
      <w:lang w:eastAsia="sk-SK" w:bidi="ar-SA"/>
    </w:rPr>
  </w:style>
  <w:style w:type="paragraph" w:customStyle="1" w:styleId="Vchodzie">
    <w:name w:val="Vchodzie"/>
    <w:rsid w:val="00EC4D73"/>
    <w:pPr>
      <w:widowControl w:val="0"/>
      <w:autoSpaceDN w:val="0"/>
      <w:adjustRightInd w:val="0"/>
      <w:spacing w:after="200" w:line="276" w:lineRule="auto"/>
    </w:pPr>
    <w:rPr>
      <w:rFonts w:ascii="Calibri" w:eastAsiaTheme="minorEastAsia" w:hAnsi="Calibri" w:cs="Calibri"/>
      <w:kern w:val="1"/>
      <w:lang w:val="en-US"/>
    </w:rPr>
  </w:style>
  <w:style w:type="character" w:styleId="Odkaznakomentr">
    <w:name w:val="annotation reference"/>
    <w:basedOn w:val="Predvolenpsmoodseku"/>
    <w:uiPriority w:val="99"/>
    <w:semiHidden/>
    <w:unhideWhenUsed/>
    <w:rsid w:val="003B08E8"/>
    <w:rPr>
      <w:rFonts w:cs="Times New Roman"/>
      <w:sz w:val="16"/>
      <w:szCs w:val="16"/>
    </w:rPr>
  </w:style>
  <w:style w:type="paragraph" w:styleId="Textkomentra">
    <w:name w:val="annotation text"/>
    <w:basedOn w:val="Normlny"/>
    <w:link w:val="TextkomentraChar"/>
    <w:uiPriority w:val="99"/>
    <w:semiHidden/>
    <w:unhideWhenUsed/>
    <w:rsid w:val="003B08E8"/>
    <w:rPr>
      <w:sz w:val="20"/>
      <w:szCs w:val="18"/>
    </w:rPr>
  </w:style>
  <w:style w:type="character" w:customStyle="1" w:styleId="TextkomentraChar">
    <w:name w:val="Text komentára Char"/>
    <w:basedOn w:val="Predvolenpsmoodseku"/>
    <w:link w:val="Textkomentra"/>
    <w:uiPriority w:val="99"/>
    <w:semiHidden/>
    <w:locked/>
    <w:rsid w:val="003B08E8"/>
    <w:rPr>
      <w:rFonts w:ascii="Times New Roman" w:eastAsia="SimSun" w:hAnsi="Times New Roman" w:cs="Mangal"/>
      <w:kern w:val="1"/>
      <w:sz w:val="18"/>
      <w:szCs w:val="18"/>
      <w:lang w:val="x-none" w:eastAsia="hi-IN" w:bidi="hi-IN"/>
    </w:rPr>
  </w:style>
  <w:style w:type="paragraph" w:styleId="Predmetkomentra">
    <w:name w:val="annotation subject"/>
    <w:basedOn w:val="Textkomentra"/>
    <w:next w:val="Textkomentra"/>
    <w:link w:val="PredmetkomentraChar"/>
    <w:uiPriority w:val="99"/>
    <w:semiHidden/>
    <w:unhideWhenUsed/>
    <w:rsid w:val="003B08E8"/>
    <w:rPr>
      <w:b/>
      <w:bCs/>
    </w:rPr>
  </w:style>
  <w:style w:type="character" w:customStyle="1" w:styleId="PredmetkomentraChar">
    <w:name w:val="Predmet komentára Char"/>
    <w:basedOn w:val="TextkomentraChar"/>
    <w:link w:val="Predmetkomentra"/>
    <w:uiPriority w:val="99"/>
    <w:semiHidden/>
    <w:locked/>
    <w:rsid w:val="003B08E8"/>
    <w:rPr>
      <w:rFonts w:ascii="Times New Roman" w:eastAsia="SimSun" w:hAnsi="Times New Roman" w:cs="Mangal"/>
      <w:b/>
      <w:bCs/>
      <w:kern w:val="1"/>
      <w:sz w:val="18"/>
      <w:szCs w:val="18"/>
      <w:lang w:val="x-none" w:eastAsia="hi-IN" w:bidi="hi-IN"/>
    </w:rPr>
  </w:style>
  <w:style w:type="paragraph" w:styleId="Textbubliny">
    <w:name w:val="Balloon Text"/>
    <w:basedOn w:val="Normlny"/>
    <w:link w:val="TextbublinyChar"/>
    <w:uiPriority w:val="99"/>
    <w:rsid w:val="003B08E8"/>
    <w:rPr>
      <w:rFonts w:ascii="Segoe UI" w:hAnsi="Segoe UI"/>
      <w:sz w:val="18"/>
      <w:szCs w:val="16"/>
    </w:rPr>
  </w:style>
  <w:style w:type="character" w:customStyle="1" w:styleId="TextbublinyChar">
    <w:name w:val="Text bubliny Char"/>
    <w:basedOn w:val="Predvolenpsmoodseku"/>
    <w:link w:val="Textbubliny"/>
    <w:uiPriority w:val="99"/>
    <w:locked/>
    <w:rsid w:val="003B08E8"/>
    <w:rPr>
      <w:rFonts w:ascii="Segoe UI" w:eastAsia="SimSun" w:hAnsi="Segoe UI" w:cs="Mangal"/>
      <w:kern w:val="1"/>
      <w:sz w:val="16"/>
      <w:szCs w:val="16"/>
      <w:lang w:val="x-none" w:eastAsia="hi-IN" w:bidi="hi-IN"/>
    </w:rPr>
  </w:style>
  <w:style w:type="table" w:styleId="Mriekatabuky">
    <w:name w:val="Table Grid"/>
    <w:basedOn w:val="Normlnatabuka"/>
    <w:uiPriority w:val="99"/>
    <w:rsid w:val="00A35057"/>
    <w:pPr>
      <w:spacing w:after="0" w:line="240" w:lineRule="auto"/>
    </w:pPr>
    <w:rPr>
      <w:rFonts w:ascii="Times New Roman" w:hAnsi="Times New Roman"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01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467486">
      <w:marLeft w:val="0"/>
      <w:marRight w:val="0"/>
      <w:marTop w:val="0"/>
      <w:marBottom w:val="0"/>
      <w:divBdr>
        <w:top w:val="none" w:sz="0" w:space="0" w:color="auto"/>
        <w:left w:val="none" w:sz="0" w:space="0" w:color="auto"/>
        <w:bottom w:val="none" w:sz="0" w:space="0" w:color="auto"/>
        <w:right w:val="none" w:sz="0" w:space="0" w:color="auto"/>
      </w:divBdr>
      <w:divsChild>
        <w:div w:id="982467494">
          <w:marLeft w:val="0"/>
          <w:marRight w:val="0"/>
          <w:marTop w:val="200"/>
          <w:marBottom w:val="200"/>
          <w:divBdr>
            <w:top w:val="single" w:sz="8" w:space="0" w:color="000000"/>
            <w:left w:val="single" w:sz="8" w:space="0" w:color="000000"/>
            <w:bottom w:val="single" w:sz="8" w:space="0" w:color="000000"/>
            <w:right w:val="single" w:sz="8" w:space="0" w:color="000000"/>
          </w:divBdr>
          <w:divsChild>
            <w:div w:id="982467496">
              <w:marLeft w:val="0"/>
              <w:marRight w:val="0"/>
              <w:marTop w:val="0"/>
              <w:marBottom w:val="0"/>
              <w:divBdr>
                <w:top w:val="none" w:sz="0" w:space="0" w:color="auto"/>
                <w:left w:val="none" w:sz="0" w:space="0" w:color="auto"/>
                <w:bottom w:val="none" w:sz="0" w:space="0" w:color="auto"/>
                <w:right w:val="none" w:sz="0" w:space="0" w:color="auto"/>
              </w:divBdr>
            </w:div>
            <w:div w:id="982467497">
              <w:marLeft w:val="0"/>
              <w:marRight w:val="0"/>
              <w:marTop w:val="0"/>
              <w:marBottom w:val="0"/>
              <w:divBdr>
                <w:top w:val="none" w:sz="0" w:space="0" w:color="auto"/>
                <w:left w:val="none" w:sz="0" w:space="0" w:color="auto"/>
                <w:bottom w:val="none" w:sz="0" w:space="0" w:color="auto"/>
                <w:right w:val="none" w:sz="0" w:space="0" w:color="auto"/>
              </w:divBdr>
            </w:div>
          </w:divsChild>
        </w:div>
        <w:div w:id="982467498">
          <w:marLeft w:val="0"/>
          <w:marRight w:val="0"/>
          <w:marTop w:val="200"/>
          <w:marBottom w:val="200"/>
          <w:divBdr>
            <w:top w:val="single" w:sz="8" w:space="0" w:color="000000"/>
            <w:left w:val="single" w:sz="8" w:space="0" w:color="000000"/>
            <w:bottom w:val="single" w:sz="8" w:space="0" w:color="000000"/>
            <w:right w:val="single" w:sz="8" w:space="0" w:color="000000"/>
          </w:divBdr>
          <w:divsChild>
            <w:div w:id="982467500">
              <w:marLeft w:val="0"/>
              <w:marRight w:val="0"/>
              <w:marTop w:val="0"/>
              <w:marBottom w:val="0"/>
              <w:divBdr>
                <w:top w:val="none" w:sz="0" w:space="0" w:color="auto"/>
                <w:left w:val="none" w:sz="0" w:space="0" w:color="auto"/>
                <w:bottom w:val="none" w:sz="0" w:space="0" w:color="auto"/>
                <w:right w:val="none" w:sz="0" w:space="0" w:color="auto"/>
              </w:divBdr>
              <w:divsChild>
                <w:div w:id="9824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7487">
      <w:marLeft w:val="0"/>
      <w:marRight w:val="0"/>
      <w:marTop w:val="0"/>
      <w:marBottom w:val="0"/>
      <w:divBdr>
        <w:top w:val="none" w:sz="0" w:space="0" w:color="auto"/>
        <w:left w:val="none" w:sz="0" w:space="0" w:color="auto"/>
        <w:bottom w:val="none" w:sz="0" w:space="0" w:color="auto"/>
        <w:right w:val="none" w:sz="0" w:space="0" w:color="auto"/>
      </w:divBdr>
    </w:div>
    <w:div w:id="982467489">
      <w:marLeft w:val="0"/>
      <w:marRight w:val="0"/>
      <w:marTop w:val="0"/>
      <w:marBottom w:val="0"/>
      <w:divBdr>
        <w:top w:val="none" w:sz="0" w:space="0" w:color="auto"/>
        <w:left w:val="none" w:sz="0" w:space="0" w:color="auto"/>
        <w:bottom w:val="none" w:sz="0" w:space="0" w:color="auto"/>
        <w:right w:val="none" w:sz="0" w:space="0" w:color="auto"/>
      </w:divBdr>
      <w:divsChild>
        <w:div w:id="982467492">
          <w:marLeft w:val="0"/>
          <w:marRight w:val="0"/>
          <w:marTop w:val="0"/>
          <w:marBottom w:val="0"/>
          <w:divBdr>
            <w:top w:val="none" w:sz="0" w:space="0" w:color="auto"/>
            <w:left w:val="none" w:sz="0" w:space="0" w:color="auto"/>
            <w:bottom w:val="none" w:sz="0" w:space="0" w:color="auto"/>
            <w:right w:val="none" w:sz="0" w:space="0" w:color="auto"/>
          </w:divBdr>
          <w:divsChild>
            <w:div w:id="982467501">
              <w:marLeft w:val="0"/>
              <w:marRight w:val="0"/>
              <w:marTop w:val="0"/>
              <w:marBottom w:val="0"/>
              <w:divBdr>
                <w:top w:val="none" w:sz="0" w:space="0" w:color="auto"/>
                <w:left w:val="none" w:sz="0" w:space="0" w:color="auto"/>
                <w:bottom w:val="none" w:sz="0" w:space="0" w:color="auto"/>
                <w:right w:val="none" w:sz="0" w:space="0" w:color="auto"/>
              </w:divBdr>
              <w:divsChild>
                <w:div w:id="982467490">
                  <w:marLeft w:val="0"/>
                  <w:marRight w:val="0"/>
                  <w:marTop w:val="0"/>
                  <w:marBottom w:val="0"/>
                  <w:divBdr>
                    <w:top w:val="none" w:sz="0" w:space="0" w:color="auto"/>
                    <w:left w:val="none" w:sz="0" w:space="0" w:color="auto"/>
                    <w:bottom w:val="none" w:sz="0" w:space="0" w:color="auto"/>
                    <w:right w:val="none" w:sz="0" w:space="0" w:color="auto"/>
                  </w:divBdr>
                  <w:divsChild>
                    <w:div w:id="982467502">
                      <w:marLeft w:val="0"/>
                      <w:marRight w:val="0"/>
                      <w:marTop w:val="0"/>
                      <w:marBottom w:val="0"/>
                      <w:divBdr>
                        <w:top w:val="none" w:sz="0" w:space="0" w:color="auto"/>
                        <w:left w:val="none" w:sz="0" w:space="0" w:color="auto"/>
                        <w:bottom w:val="none" w:sz="0" w:space="0" w:color="auto"/>
                        <w:right w:val="none" w:sz="0" w:space="0" w:color="auto"/>
                      </w:divBdr>
                      <w:divsChild>
                        <w:div w:id="982467484">
                          <w:marLeft w:val="0"/>
                          <w:marRight w:val="0"/>
                          <w:marTop w:val="0"/>
                          <w:marBottom w:val="0"/>
                          <w:divBdr>
                            <w:top w:val="none" w:sz="0" w:space="0" w:color="auto"/>
                            <w:left w:val="none" w:sz="0" w:space="0" w:color="auto"/>
                            <w:bottom w:val="none" w:sz="0" w:space="0" w:color="auto"/>
                            <w:right w:val="none" w:sz="0" w:space="0" w:color="auto"/>
                          </w:divBdr>
                          <w:divsChild>
                            <w:div w:id="982467505">
                              <w:marLeft w:val="0"/>
                              <w:marRight w:val="0"/>
                              <w:marTop w:val="0"/>
                              <w:marBottom w:val="0"/>
                              <w:divBdr>
                                <w:top w:val="none" w:sz="0" w:space="0" w:color="auto"/>
                                <w:left w:val="none" w:sz="0" w:space="0" w:color="auto"/>
                                <w:bottom w:val="none" w:sz="0" w:space="0" w:color="auto"/>
                                <w:right w:val="none" w:sz="0" w:space="0" w:color="auto"/>
                              </w:divBdr>
                              <w:divsChild>
                                <w:div w:id="982467488">
                                  <w:marLeft w:val="0"/>
                                  <w:marRight w:val="0"/>
                                  <w:marTop w:val="0"/>
                                  <w:marBottom w:val="0"/>
                                  <w:divBdr>
                                    <w:top w:val="none" w:sz="0" w:space="0" w:color="auto"/>
                                    <w:left w:val="none" w:sz="0" w:space="0" w:color="auto"/>
                                    <w:bottom w:val="none" w:sz="0" w:space="0" w:color="auto"/>
                                    <w:right w:val="none" w:sz="0" w:space="0" w:color="auto"/>
                                  </w:divBdr>
                                  <w:divsChild>
                                    <w:div w:id="9824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467495">
          <w:marLeft w:val="0"/>
          <w:marRight w:val="0"/>
          <w:marTop w:val="90"/>
          <w:marBottom w:val="0"/>
          <w:divBdr>
            <w:top w:val="none" w:sz="0" w:space="0" w:color="auto"/>
            <w:left w:val="none" w:sz="0" w:space="0" w:color="auto"/>
            <w:bottom w:val="none" w:sz="0" w:space="0" w:color="auto"/>
            <w:right w:val="none" w:sz="0" w:space="0" w:color="auto"/>
          </w:divBdr>
          <w:divsChild>
            <w:div w:id="982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7499">
      <w:marLeft w:val="0"/>
      <w:marRight w:val="0"/>
      <w:marTop w:val="0"/>
      <w:marBottom w:val="0"/>
      <w:divBdr>
        <w:top w:val="none" w:sz="0" w:space="0" w:color="auto"/>
        <w:left w:val="none" w:sz="0" w:space="0" w:color="auto"/>
        <w:bottom w:val="none" w:sz="0" w:space="0" w:color="auto"/>
        <w:right w:val="none" w:sz="0" w:space="0" w:color="auto"/>
      </w:divBdr>
    </w:div>
    <w:div w:id="982467503">
      <w:marLeft w:val="0"/>
      <w:marRight w:val="0"/>
      <w:marTop w:val="0"/>
      <w:marBottom w:val="0"/>
      <w:divBdr>
        <w:top w:val="none" w:sz="0" w:space="0" w:color="auto"/>
        <w:left w:val="none" w:sz="0" w:space="0" w:color="auto"/>
        <w:bottom w:val="none" w:sz="0" w:space="0" w:color="auto"/>
        <w:right w:val="none" w:sz="0" w:space="0" w:color="auto"/>
      </w:divBdr>
    </w:div>
    <w:div w:id="982467504">
      <w:marLeft w:val="0"/>
      <w:marRight w:val="0"/>
      <w:marTop w:val="0"/>
      <w:marBottom w:val="0"/>
      <w:divBdr>
        <w:top w:val="none" w:sz="0" w:space="0" w:color="auto"/>
        <w:left w:val="none" w:sz="0" w:space="0" w:color="auto"/>
        <w:bottom w:val="none" w:sz="0" w:space="0" w:color="auto"/>
        <w:right w:val="none" w:sz="0" w:space="0" w:color="auto"/>
      </w:divBdr>
    </w:div>
    <w:div w:id="982467506">
      <w:marLeft w:val="0"/>
      <w:marRight w:val="0"/>
      <w:marTop w:val="0"/>
      <w:marBottom w:val="0"/>
      <w:divBdr>
        <w:top w:val="none" w:sz="0" w:space="0" w:color="auto"/>
        <w:left w:val="none" w:sz="0" w:space="0" w:color="auto"/>
        <w:bottom w:val="none" w:sz="0" w:space="0" w:color="auto"/>
        <w:right w:val="none" w:sz="0" w:space="0" w:color="auto"/>
      </w:divBdr>
      <w:divsChild>
        <w:div w:id="982467485">
          <w:marLeft w:val="0"/>
          <w:marRight w:val="0"/>
          <w:marTop w:val="0"/>
          <w:marBottom w:val="0"/>
          <w:divBdr>
            <w:top w:val="none" w:sz="0" w:space="0" w:color="auto"/>
            <w:left w:val="none" w:sz="0" w:space="0" w:color="auto"/>
            <w:bottom w:val="none" w:sz="0" w:space="0" w:color="auto"/>
            <w:right w:val="none" w:sz="0" w:space="0" w:color="auto"/>
          </w:divBdr>
        </w:div>
        <w:div w:id="982467491">
          <w:marLeft w:val="0"/>
          <w:marRight w:val="0"/>
          <w:marTop w:val="0"/>
          <w:marBottom w:val="0"/>
          <w:divBdr>
            <w:top w:val="none" w:sz="0" w:space="0" w:color="auto"/>
            <w:left w:val="none" w:sz="0" w:space="0" w:color="auto"/>
            <w:bottom w:val="none" w:sz="0" w:space="0" w:color="auto"/>
            <w:right w:val="none" w:sz="0" w:space="0" w:color="auto"/>
          </w:divBdr>
        </w:div>
        <w:div w:id="982467493">
          <w:marLeft w:val="0"/>
          <w:marRight w:val="0"/>
          <w:marTop w:val="0"/>
          <w:marBottom w:val="0"/>
          <w:divBdr>
            <w:top w:val="none" w:sz="0" w:space="0" w:color="auto"/>
            <w:left w:val="none" w:sz="0" w:space="0" w:color="auto"/>
            <w:bottom w:val="none" w:sz="0" w:space="0" w:color="auto"/>
            <w:right w:val="none" w:sz="0" w:space="0" w:color="auto"/>
          </w:divBdr>
        </w:div>
        <w:div w:id="982467508">
          <w:marLeft w:val="0"/>
          <w:marRight w:val="0"/>
          <w:marTop w:val="0"/>
          <w:marBottom w:val="0"/>
          <w:divBdr>
            <w:top w:val="none" w:sz="0" w:space="0" w:color="auto"/>
            <w:left w:val="none" w:sz="0" w:space="0" w:color="auto"/>
            <w:bottom w:val="none" w:sz="0" w:space="0" w:color="auto"/>
            <w:right w:val="none" w:sz="0" w:space="0" w:color="auto"/>
          </w:divBdr>
        </w:div>
      </w:divsChild>
    </w:div>
    <w:div w:id="9824675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splayVersion xmlns="7b44c895-0f4e-487f-a320-c095bfbfca65" xsi:nil="true"/>
    <DisplayID xmlns="7b44c895-0f4e-487f-a320-c095bfbfca65" xsi:nil="true"/>
    <ProcessFooter xmlns="7b44c895-0f4e-487f-a320-c095bfbfca65" xsi:nil="true"/>
    <DisplayPageNumberOnFirstPage xmlns="7b44c895-0f4e-487f-a320-c095bfbfca65" xsi:nil="true"/>
    <DisplayTotalNumberOfPages xmlns="7b44c895-0f4e-487f-a320-c095bfbfca65" xsi:nil="true"/>
    <OverwriteExistingFooter xmlns="7b44c895-0f4e-487f-a320-c095bfbfca65" xsi:nil="true"/>
    <DisplayPageNumber xmlns="7b44c895-0f4e-487f-a320-c095bfbfca65" xsi:nil="true"/>
    <SlovakLanguage xmlns="7b44c895-0f4e-487f-a320-c095bfbfca65" xsi:nil="true"/>
    <CorporateID xmlns="7b44c895-0f4e-487f-a320-c095bfbfca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anaged Document" ma:contentTypeID="0x0101006A99BD6386CE40A99B9E0B2A86E5D834006D21E6B4967E3049A3A189A0B885909D" ma:contentTypeVersion="3" ma:contentTypeDescription="Managed Document" ma:contentTypeScope="" ma:versionID="3b1e9ee9c3731dacf9fd39ea33d8f1f1">
  <xsd:schema xmlns:xsd="http://www.w3.org/2001/XMLSchema" xmlns:xs="http://www.w3.org/2001/XMLSchema" xmlns:p="http://schemas.microsoft.com/office/2006/metadata/properties" xmlns:ns2="7b44c895-0f4e-487f-a320-c095bfbfca65" targetNamespace="http://schemas.microsoft.com/office/2006/metadata/properties" ma:root="true" ma:fieldsID="9665c8eb100271ff716325fba1bd2756" ns2:_="">
    <xsd:import namespace="7b44c895-0f4e-487f-a320-c095bfbfca65"/>
    <xsd:element name="properties">
      <xsd:complexType>
        <xsd:sequence>
          <xsd:element name="documentManagement">
            <xsd:complexType>
              <xsd:all>
                <xsd:element ref="ns2:ProcessFooter" minOccurs="0"/>
                <xsd:element ref="ns2:DisplayID" minOccurs="0"/>
                <xsd:element ref="ns2:DisplayVersion" minOccurs="0"/>
                <xsd:element ref="ns2:DisplayPageNumber" minOccurs="0"/>
                <xsd:element ref="ns2:DisplayPageNumberOnFirstPage" minOccurs="0"/>
                <xsd:element ref="ns2:DisplayTotalNumberOfPages" minOccurs="0"/>
                <xsd:element ref="ns2:SlovakLanguage" minOccurs="0"/>
                <xsd:element ref="ns2:OverwriteExistingFooter" minOccurs="0"/>
                <xsd:element ref="ns2:Corporat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4c895-0f4e-487f-a320-c095bfbfca65" elementFormDefault="qualified">
    <xsd:import namespace="http://schemas.microsoft.com/office/2006/documentManagement/types"/>
    <xsd:import namespace="http://schemas.microsoft.com/office/infopath/2007/PartnerControls"/>
    <xsd:element name="ProcessFooter" ma:index="8" nillable="true" ma:displayName="Process footer" ma:default="1" ma:internalName="ProcessFooter" ma:readOnly="false">
      <xsd:simpleType>
        <xsd:restriction base="dms:Boolean"/>
      </xsd:simpleType>
    </xsd:element>
    <xsd:element name="DisplayID" ma:index="9" nillable="true" ma:displayName="Display ID" ma:default="1" ma:internalName="DisplayID">
      <xsd:simpleType>
        <xsd:restriction base="dms:Boolean"/>
      </xsd:simpleType>
    </xsd:element>
    <xsd:element name="DisplayVersion" ma:index="10" nillable="true" ma:displayName="Display version" ma:default="1" ma:internalName="DisplayVersion">
      <xsd:simpleType>
        <xsd:restriction base="dms:Boolean"/>
      </xsd:simpleType>
    </xsd:element>
    <xsd:element name="DisplayPageNumber" ma:index="11" nillable="true" ma:displayName="Display page number" ma:default="1" ma:internalName="DisplayPageNumber">
      <xsd:simpleType>
        <xsd:restriction base="dms:Boolean"/>
      </xsd:simpleType>
    </xsd:element>
    <xsd:element name="DisplayPageNumberOnFirstPage" ma:index="12" nillable="true" ma:displayName="Display page number on the first page" ma:default="1" ma:internalName="DisplayPageNumberOnFirstPage">
      <xsd:simpleType>
        <xsd:restriction base="dms:Boolean"/>
      </xsd:simpleType>
    </xsd:element>
    <xsd:element name="DisplayTotalNumberOfPages" ma:index="13" nillable="true" ma:displayName="Display total number of pages" ma:default="1" ma:internalName="DisplayTotalNumberOfPages">
      <xsd:simpleType>
        <xsd:restriction base="dms:Boolean"/>
      </xsd:simpleType>
    </xsd:element>
    <xsd:element name="SlovakLanguage" ma:index="14" nillable="true" ma:displayName="Slovak language" ma:default="0" ma:internalName="SlovakLanguage">
      <xsd:simpleType>
        <xsd:restriction base="dms:Boolean"/>
      </xsd:simpleType>
    </xsd:element>
    <xsd:element name="OverwriteExistingFooter" ma:index="15" nillable="true" ma:displayName="Overwrite existing footer" ma:default="1" ma:internalName="OverwriteExistingFooter">
      <xsd:simpleType>
        <xsd:restriction base="dms:Boolean"/>
      </xsd:simpleType>
    </xsd:element>
    <xsd:element name="CorporateID" ma:index="16" nillable="true" ma:displayName="Corporate ID" ma:internalName="Corporate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95724-E8EE-417E-9343-47D1C9791E9A}">
  <ds:schemaRefs>
    <ds:schemaRef ds:uri="http://schemas.microsoft.com/sharepoint/v3/contenttype/forms"/>
  </ds:schemaRefs>
</ds:datastoreItem>
</file>

<file path=customXml/itemProps2.xml><?xml version="1.0" encoding="utf-8"?>
<ds:datastoreItem xmlns:ds="http://schemas.openxmlformats.org/officeDocument/2006/customXml" ds:itemID="{B885CC42-2AD4-4155-A8A0-086F17F6895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b44c895-0f4e-487f-a320-c095bfbfca65"/>
    <ds:schemaRef ds:uri="http://www.w3.org/XML/1998/namespace"/>
  </ds:schemaRefs>
</ds:datastoreItem>
</file>

<file path=customXml/itemProps3.xml><?xml version="1.0" encoding="utf-8"?>
<ds:datastoreItem xmlns:ds="http://schemas.openxmlformats.org/officeDocument/2006/customXml" ds:itemID="{EEFC3792-B6B8-45F3-B082-E60DA63EB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4c895-0f4e-487f-a320-c095bfbf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3091</Words>
  <Characters>17625</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2019-03-08T15:26:00Z</dcterms:created>
  <dcterms:modified xsi:type="dcterms:W3CDTF">2019-03-08T15:26:00Z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0x0101006A99BD6386CE40A99B9E0B2A86E5D834006D21E6B4967E3049A3A189A0B885909D</vt:lpwstr>
  </property>
</Properties>
</file>