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E66" w:rsidRPr="004E1E66" w:rsidRDefault="004E1E66" w:rsidP="004E1E66">
      <w:pPr>
        <w:widowControl/>
        <w:autoSpaceDE/>
        <w:autoSpaceDN/>
        <w:spacing w:after="200" w:line="276" w:lineRule="auto"/>
        <w:jc w:val="center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bookmarkStart w:id="0" w:name="_GoBack"/>
      <w:bookmarkEnd w:id="0"/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Dôvodová správa</w:t>
      </w:r>
    </w:p>
    <w:p w:rsidR="004E1E66" w:rsidRPr="004E1E66" w:rsidRDefault="004E1E66" w:rsidP="004E1E66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180"/>
        <w:jc w:val="both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t>Všeobecná časť</w:t>
      </w:r>
    </w:p>
    <w:p w:rsidR="004E1E66" w:rsidRPr="004E1E66" w:rsidRDefault="00BA7F65" w:rsidP="004E1E66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12700" b="0"/>
                <wp:wrapNone/>
                <wp:docPr id="2" name="Rovná spojovacia šíp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ECE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2" o:spid="_x0000_s1026" type="#_x0000_t32" style="position:absolute;margin-left:-.35pt;margin-top:2.75pt;width:45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"/>
            </w:pict>
          </mc:Fallback>
        </mc:AlternateContent>
      </w:r>
    </w:p>
    <w:p w:rsidR="004E1E66" w:rsidRPr="004E1E66" w:rsidRDefault="004E1E66" w:rsidP="004E1E66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Návrh </w:t>
      </w:r>
      <w:r w:rsidR="004B0ED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ústavného </w:t>
      </w: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zákona, ktorým sa mení </w:t>
      </w:r>
      <w:r w:rsidR="000E26FA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a dopĺňa </w:t>
      </w:r>
      <w:r w:rsidR="004B0ED4" w:rsidRPr="004B0ED4">
        <w:rPr>
          <w:rFonts w:ascii="Book Antiqua" w:hAnsi="Book Antiqua"/>
          <w:color w:val="000000"/>
          <w:kern w:val="0"/>
          <w:sz w:val="22"/>
          <w:szCs w:val="22"/>
          <w:lang w:bidi="ar-SA"/>
        </w:rPr>
        <w:t xml:space="preserve">Ústava Slovenskej republiky </w:t>
      </w:r>
      <w:r w:rsidR="004B0ED4">
        <w:rPr>
          <w:rFonts w:ascii="Book Antiqua" w:hAnsi="Book Antiqua"/>
          <w:color w:val="000000"/>
          <w:kern w:val="0"/>
          <w:sz w:val="22"/>
          <w:szCs w:val="22"/>
          <w:lang w:bidi="ar-SA"/>
        </w:rPr>
        <w:br/>
      </w:r>
      <w:r w:rsidR="004B0ED4" w:rsidRPr="004B0ED4">
        <w:rPr>
          <w:rFonts w:ascii="Book Antiqua" w:hAnsi="Book Antiqua"/>
          <w:color w:val="000000"/>
          <w:kern w:val="0"/>
          <w:sz w:val="22"/>
          <w:szCs w:val="22"/>
          <w:lang w:bidi="ar-SA"/>
        </w:rPr>
        <w:t>č. 460/1992 Zb. v znení neskorších predpisov</w:t>
      </w:r>
      <w:r w:rsidR="00C52E1C">
        <w:rPr>
          <w:rFonts w:ascii="Book Antiqua" w:hAnsi="Book Antiqua"/>
          <w:color w:val="000000"/>
          <w:kern w:val="0"/>
          <w:sz w:val="22"/>
          <w:szCs w:val="22"/>
          <w:lang w:bidi="ar-SA"/>
        </w:rPr>
        <w:t xml:space="preserve"> </w:t>
      </w: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predkladajú do Národnej rady Slovenskej republiky poslanci Národnej rady Slovenskej republiky za politickú stranu Kotleba – Ľudová strana Naše Slovensko Marian Kotleba, </w:t>
      </w:r>
      <w:r w:rsidR="00F06EC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Rastislav Schlosár, </w:t>
      </w:r>
      <w:r w:rsidR="004B0ED4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Martin Beluský, Milan Uhrík a</w:t>
      </w:r>
      <w:r w:rsidR="00F06ECF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 Milan Mazurek</w:t>
      </w:r>
      <w:r w:rsidRPr="004E1E66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. </w:t>
      </w:r>
    </w:p>
    <w:p w:rsidR="00CB653D" w:rsidRDefault="004E1E66" w:rsidP="005E3B7D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 w:rsidRPr="004E1E66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Cieľom legislatívneho návrhu je </w:t>
      </w:r>
      <w:r w:rsidR="005E3B7D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zakotviť do Ústavy SR</w:t>
      </w:r>
      <w:r w:rsidR="0023046A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</w:t>
      </w:r>
      <w:r w:rsidR="00C52E1C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hmotnú </w:t>
      </w:r>
      <w:r w:rsidR="0023046A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zodpovednosť fyzických osôb</w:t>
      </w:r>
      <w:r w:rsidR="0060126B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(politikov)</w:t>
      </w:r>
      <w:r w:rsidR="0023046A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, ktoré vykonávajú v</w:t>
      </w:r>
      <w:r w:rsidR="000B64D7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erejnú moc</w:t>
      </w:r>
      <w:r w:rsidR="001335D9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vo verejnej správe</w:t>
      </w:r>
      <w:r w:rsidR="000B64D7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, za škodu, ktorá </w:t>
      </w:r>
      <w:r w:rsidR="0060126B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vznikla</w:t>
      </w:r>
      <w:r w:rsidR="00C52E1C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ich</w:t>
      </w:r>
      <w:r w:rsidR="0023046A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nezákonným úradným postupom alebo nezákonným rozhodnutím.</w:t>
      </w:r>
      <w:r w:rsidR="001822AE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 xml:space="preserve"> </w:t>
      </w:r>
    </w:p>
    <w:p w:rsidR="00B61D74" w:rsidRPr="00B61D74" w:rsidRDefault="00B61D74" w:rsidP="00B61D74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Súčasný právny poriadok SR pozná </w:t>
      </w:r>
      <w:r w:rsidRPr="00B61D74">
        <w:rPr>
          <w:rFonts w:ascii="Book Antiqua" w:hAnsi="Book Antiqua"/>
          <w:sz w:val="22"/>
          <w:szCs w:val="22"/>
        </w:rPr>
        <w:t>zodpovednosť štátu za škodu spôsobenú orgánmi verejne</w:t>
      </w:r>
      <w:r>
        <w:rPr>
          <w:rFonts w:ascii="Book Antiqua" w:hAnsi="Book Antiqua"/>
          <w:sz w:val="22"/>
          <w:szCs w:val="22"/>
        </w:rPr>
        <w:t xml:space="preserve">j moci pri výkone verejnej moci a </w:t>
      </w:r>
      <w:r w:rsidRPr="00B61D74">
        <w:rPr>
          <w:rFonts w:ascii="Book Antiqua" w:hAnsi="Book Antiqua"/>
          <w:sz w:val="22"/>
          <w:szCs w:val="22"/>
        </w:rPr>
        <w:t>zodpovednosť obce a vyššieho územného celku za škodu spôsobenú orgánmi územnej sa</w:t>
      </w:r>
      <w:r>
        <w:rPr>
          <w:rFonts w:ascii="Book Antiqua" w:hAnsi="Book Antiqua"/>
          <w:sz w:val="22"/>
          <w:szCs w:val="22"/>
        </w:rPr>
        <w:t>mosprávy pri výkone samosprávy.</w:t>
      </w:r>
      <w:r w:rsidR="008C5652">
        <w:rPr>
          <w:rFonts w:ascii="Book Antiqua" w:hAnsi="Book Antiqua"/>
          <w:sz w:val="22"/>
          <w:szCs w:val="22"/>
        </w:rPr>
        <w:t xml:space="preserve"> Zodpovednosť fyzických osôb, ktoré vykonávajú verejnú moc a podpisujú rozhodnutia v mene štátu resp. inej or</w:t>
      </w:r>
      <w:r w:rsidR="00553F13">
        <w:rPr>
          <w:rFonts w:ascii="Book Antiqua" w:hAnsi="Book Antiqua"/>
          <w:sz w:val="22"/>
          <w:szCs w:val="22"/>
        </w:rPr>
        <w:t xml:space="preserve">ganizácie verejnej moci, však v </w:t>
      </w:r>
      <w:r w:rsidR="008C5652">
        <w:rPr>
          <w:rFonts w:ascii="Book Antiqua" w:hAnsi="Book Antiqua"/>
          <w:sz w:val="22"/>
          <w:szCs w:val="22"/>
        </w:rPr>
        <w:t>dnešnom právnom systéme upravená nie je.</w:t>
      </w:r>
      <w:r w:rsidR="00553F13" w:rsidRPr="00553F13">
        <w:rPr>
          <w:rFonts w:ascii="Book Antiqua" w:hAnsi="Book Antiqua"/>
          <w:b/>
          <w:sz w:val="22"/>
          <w:szCs w:val="22"/>
        </w:rPr>
        <w:t xml:space="preserve"> Za nezákonné rozhodnutia a</w:t>
      </w:r>
      <w:r w:rsidR="00553F13">
        <w:rPr>
          <w:rFonts w:ascii="Book Antiqua" w:hAnsi="Book Antiqua"/>
          <w:b/>
          <w:sz w:val="22"/>
          <w:szCs w:val="22"/>
        </w:rPr>
        <w:t xml:space="preserve"> </w:t>
      </w:r>
      <w:r w:rsidR="00553F13" w:rsidRPr="00553F13">
        <w:rPr>
          <w:rFonts w:ascii="Book Antiqua" w:hAnsi="Book Antiqua"/>
          <w:b/>
          <w:sz w:val="22"/>
          <w:szCs w:val="22"/>
        </w:rPr>
        <w:t xml:space="preserve">škody spôsobené </w:t>
      </w:r>
      <w:r w:rsidR="000D5627">
        <w:rPr>
          <w:rFonts w:ascii="Book Antiqua" w:hAnsi="Book Antiqua"/>
          <w:b/>
          <w:sz w:val="22"/>
          <w:szCs w:val="22"/>
        </w:rPr>
        <w:t>verejnými funkcionármi</w:t>
      </w:r>
      <w:r w:rsidR="00553F13">
        <w:rPr>
          <w:rFonts w:ascii="Book Antiqua" w:hAnsi="Book Antiqua"/>
          <w:b/>
          <w:sz w:val="22"/>
          <w:szCs w:val="22"/>
        </w:rPr>
        <w:t xml:space="preserve"> (politikmi)</w:t>
      </w:r>
      <w:r w:rsidR="00553F13" w:rsidRPr="00553F13">
        <w:rPr>
          <w:rFonts w:ascii="Book Antiqua" w:hAnsi="Book Antiqua"/>
          <w:b/>
          <w:sz w:val="22"/>
          <w:szCs w:val="22"/>
        </w:rPr>
        <w:t xml:space="preserve"> teda preberajú hmotnú zodpovednosť orgány </w:t>
      </w:r>
      <w:r w:rsidR="000D5627">
        <w:rPr>
          <w:rFonts w:ascii="Book Antiqua" w:hAnsi="Book Antiqua"/>
          <w:b/>
          <w:sz w:val="22"/>
          <w:szCs w:val="22"/>
        </w:rPr>
        <w:t xml:space="preserve">štátnej a </w:t>
      </w:r>
      <w:r w:rsidR="00553F13" w:rsidRPr="00553F13">
        <w:rPr>
          <w:rFonts w:ascii="Book Antiqua" w:hAnsi="Book Antiqua"/>
          <w:b/>
          <w:sz w:val="22"/>
          <w:szCs w:val="22"/>
        </w:rPr>
        <w:t xml:space="preserve">verejnej </w:t>
      </w:r>
      <w:r w:rsidR="00553F13">
        <w:rPr>
          <w:rFonts w:ascii="Book Antiqua" w:hAnsi="Book Antiqua"/>
          <w:b/>
          <w:sz w:val="22"/>
          <w:szCs w:val="22"/>
        </w:rPr>
        <w:t xml:space="preserve">správy, </w:t>
      </w:r>
      <w:r w:rsidR="000D5627">
        <w:rPr>
          <w:rFonts w:ascii="Book Antiqua" w:hAnsi="Book Antiqua"/>
          <w:b/>
          <w:sz w:val="22"/>
          <w:szCs w:val="22"/>
        </w:rPr>
        <w:br/>
      </w:r>
      <w:r w:rsidR="00553F13">
        <w:rPr>
          <w:rFonts w:ascii="Book Antiqua" w:hAnsi="Book Antiqua"/>
          <w:b/>
          <w:sz w:val="22"/>
          <w:szCs w:val="22"/>
        </w:rPr>
        <w:t>čiže v konečnom dôsledku občania platiaci dane.</w:t>
      </w:r>
    </w:p>
    <w:p w:rsidR="00344BC9" w:rsidRDefault="00344BC9" w:rsidP="000D5627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 súkromnom sektore je</w:t>
      </w:r>
      <w:r w:rsidR="000D5627">
        <w:rPr>
          <w:rFonts w:ascii="Book Antiqua" w:hAnsi="Book Antiqua"/>
          <w:sz w:val="22"/>
          <w:szCs w:val="22"/>
        </w:rPr>
        <w:t xml:space="preserve"> pritom</w:t>
      </w:r>
      <w:r>
        <w:rPr>
          <w:rFonts w:ascii="Book Antiqua" w:hAnsi="Book Antiqua"/>
          <w:sz w:val="22"/>
          <w:szCs w:val="22"/>
        </w:rPr>
        <w:t xml:space="preserve"> zodpovednosť </w:t>
      </w:r>
      <w:r w:rsidR="00F46D77">
        <w:rPr>
          <w:rFonts w:ascii="Book Antiqua" w:hAnsi="Book Antiqua"/>
          <w:sz w:val="22"/>
          <w:szCs w:val="22"/>
        </w:rPr>
        <w:t xml:space="preserve">fyzických osôb </w:t>
      </w:r>
      <w:r>
        <w:rPr>
          <w:rFonts w:ascii="Book Antiqua" w:hAnsi="Book Antiqua"/>
          <w:sz w:val="22"/>
          <w:szCs w:val="22"/>
        </w:rPr>
        <w:t>za</w:t>
      </w:r>
      <w:r w:rsidR="00F46D77">
        <w:rPr>
          <w:rFonts w:ascii="Book Antiqua" w:hAnsi="Book Antiqua"/>
          <w:sz w:val="22"/>
          <w:szCs w:val="22"/>
        </w:rPr>
        <w:t xml:space="preserve"> nimi</w:t>
      </w:r>
      <w:r w:rsidR="000D5627">
        <w:rPr>
          <w:rFonts w:ascii="Book Antiqua" w:hAnsi="Book Antiqua"/>
          <w:sz w:val="22"/>
          <w:szCs w:val="22"/>
        </w:rPr>
        <w:t xml:space="preserve"> spôsobenú</w:t>
      </w:r>
      <w:r>
        <w:rPr>
          <w:rFonts w:ascii="Book Antiqua" w:hAnsi="Book Antiqua"/>
          <w:sz w:val="22"/>
          <w:szCs w:val="22"/>
        </w:rPr>
        <w:t xml:space="preserve"> škodu absolútnou samozrejmosťou. Každý, kto sa stará o</w:t>
      </w:r>
      <w:r w:rsidR="000D5627">
        <w:rPr>
          <w:rFonts w:ascii="Book Antiqua" w:hAnsi="Book Antiqua"/>
          <w:sz w:val="22"/>
          <w:szCs w:val="22"/>
        </w:rPr>
        <w:t xml:space="preserve"> vlastný</w:t>
      </w:r>
      <w:r>
        <w:rPr>
          <w:rFonts w:ascii="Book Antiqua" w:hAnsi="Book Antiqua"/>
          <w:sz w:val="22"/>
          <w:szCs w:val="22"/>
        </w:rPr>
        <w:t xml:space="preserve"> majetok nesie</w:t>
      </w:r>
      <w:r w:rsidR="000D5627">
        <w:rPr>
          <w:rFonts w:ascii="Book Antiqua" w:hAnsi="Book Antiqua"/>
          <w:sz w:val="22"/>
          <w:szCs w:val="22"/>
        </w:rPr>
        <w:t xml:space="preserve"> prirodzene zodpovednosť</w:t>
      </w:r>
      <w:r>
        <w:rPr>
          <w:rFonts w:ascii="Book Antiqua" w:hAnsi="Book Antiqua"/>
          <w:sz w:val="22"/>
          <w:szCs w:val="22"/>
        </w:rPr>
        <w:t xml:space="preserve"> </w:t>
      </w:r>
      <w:r w:rsidR="000D5627">
        <w:rPr>
          <w:rFonts w:ascii="Book Antiqua" w:hAnsi="Book Antiqua"/>
          <w:sz w:val="22"/>
          <w:szCs w:val="22"/>
        </w:rPr>
        <w:t xml:space="preserve">aj </w:t>
      </w:r>
      <w:r>
        <w:rPr>
          <w:rFonts w:ascii="Book Antiqua" w:hAnsi="Book Antiqua"/>
          <w:sz w:val="22"/>
          <w:szCs w:val="22"/>
        </w:rPr>
        <w:t>za nesprávne rozhodnutia, ktoré by viedli k</w:t>
      </w:r>
      <w:r w:rsidR="000D5627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jeho poškodeniu</w:t>
      </w:r>
      <w:r w:rsidR="008B5D3A">
        <w:rPr>
          <w:rFonts w:ascii="Book Antiqua" w:hAnsi="Book Antiqua"/>
          <w:sz w:val="22"/>
          <w:szCs w:val="22"/>
        </w:rPr>
        <w:t>, zničeniu alebo strate hodnoty.</w:t>
      </w:r>
      <w:r>
        <w:rPr>
          <w:rFonts w:ascii="Book Antiqua" w:hAnsi="Book Antiqua"/>
          <w:sz w:val="22"/>
          <w:szCs w:val="22"/>
        </w:rPr>
        <w:t xml:space="preserve"> V súkromných spoločnostiach musia fyzické osoby v</w:t>
      </w:r>
      <w:r w:rsidR="000D5627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zmysle obchodného zákonníka vykonávať svoju pôsobnosť s odbornou starostlivosťou a v s</w:t>
      </w:r>
      <w:r w:rsidR="00F46D77">
        <w:rPr>
          <w:rFonts w:ascii="Book Antiqua" w:hAnsi="Book Antiqua"/>
          <w:sz w:val="22"/>
          <w:szCs w:val="22"/>
        </w:rPr>
        <w:t xml:space="preserve">úlade </w:t>
      </w:r>
      <w:r w:rsidR="00F46D77">
        <w:rPr>
          <w:rFonts w:ascii="Book Antiqua" w:hAnsi="Book Antiqua"/>
          <w:sz w:val="22"/>
          <w:szCs w:val="22"/>
        </w:rPr>
        <w:br/>
        <w:t xml:space="preserve">so záujmami spoločnosti a </w:t>
      </w:r>
      <w:r>
        <w:rPr>
          <w:rFonts w:ascii="Book Antiqua" w:hAnsi="Book Antiqua"/>
          <w:sz w:val="22"/>
          <w:szCs w:val="22"/>
        </w:rPr>
        <w:t xml:space="preserve">všetkých jej spoločníkov. Konatelia </w:t>
      </w:r>
      <w:r w:rsidR="00D6526D">
        <w:rPr>
          <w:rFonts w:ascii="Book Antiqua" w:hAnsi="Book Antiqua"/>
          <w:sz w:val="22"/>
          <w:szCs w:val="22"/>
        </w:rPr>
        <w:t xml:space="preserve">a členovia predstavenstva </w:t>
      </w:r>
      <w:r>
        <w:rPr>
          <w:rFonts w:ascii="Book Antiqua" w:hAnsi="Book Antiqua"/>
          <w:sz w:val="22"/>
          <w:szCs w:val="22"/>
        </w:rPr>
        <w:t>spoločností,</w:t>
      </w:r>
      <w:r w:rsidRPr="00344BC9">
        <w:rPr>
          <w:rFonts w:ascii="Book Antiqua" w:hAnsi="Book Antiqua"/>
          <w:sz w:val="22"/>
          <w:szCs w:val="22"/>
        </w:rPr>
        <w:t xml:space="preserve"> ktorí porušili svoje povinnosti pri výkone svojej pôsobnosti, sú povinní spoločne a nerozdielne nahradiť škodu, k</w:t>
      </w:r>
      <w:r w:rsidR="000D5627">
        <w:rPr>
          <w:rFonts w:ascii="Book Antiqua" w:hAnsi="Book Antiqua"/>
          <w:sz w:val="22"/>
          <w:szCs w:val="22"/>
        </w:rPr>
        <w:t>torú tým spoločnosti spôsobili.</w:t>
      </w:r>
    </w:p>
    <w:p w:rsidR="008B5D3A" w:rsidRDefault="008B5D3A" w:rsidP="008B5D3A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Vo verejnom sektore, kde verejní funkcionári zodpovedaj</w:t>
      </w:r>
      <w:r w:rsidR="000D5627">
        <w:rPr>
          <w:rFonts w:ascii="Book Antiqua" w:hAnsi="Book Antiqua"/>
          <w:sz w:val="22"/>
          <w:szCs w:val="22"/>
        </w:rPr>
        <w:t>ú za majetok štátu a organizácií</w:t>
      </w:r>
      <w:r>
        <w:rPr>
          <w:rFonts w:ascii="Book Antiqua" w:hAnsi="Book Antiqua"/>
          <w:sz w:val="22"/>
          <w:szCs w:val="22"/>
        </w:rPr>
        <w:t xml:space="preserve"> verejnej správy, takýto princíp </w:t>
      </w:r>
      <w:r w:rsidR="000D5627">
        <w:rPr>
          <w:rFonts w:ascii="Book Antiqua" w:hAnsi="Book Antiqua"/>
          <w:sz w:val="22"/>
          <w:szCs w:val="22"/>
        </w:rPr>
        <w:t>v súčasnosti</w:t>
      </w:r>
      <w:r>
        <w:rPr>
          <w:rFonts w:ascii="Book Antiqua" w:hAnsi="Book Antiqua"/>
          <w:sz w:val="22"/>
          <w:szCs w:val="22"/>
        </w:rPr>
        <w:t xml:space="preserve"> nefunguje.</w:t>
      </w:r>
      <w:r w:rsidR="00EB65B5">
        <w:rPr>
          <w:rFonts w:ascii="Book Antiqua" w:hAnsi="Book Antiqua"/>
          <w:sz w:val="22"/>
          <w:szCs w:val="22"/>
        </w:rPr>
        <w:t xml:space="preserve"> Verejní funkcionári</w:t>
      </w:r>
      <w:r w:rsidR="00330D58">
        <w:rPr>
          <w:rFonts w:ascii="Book Antiqua" w:hAnsi="Book Antiqua"/>
          <w:sz w:val="22"/>
          <w:szCs w:val="22"/>
        </w:rPr>
        <w:t xml:space="preserve"> často</w:t>
      </w:r>
      <w:r w:rsidR="00F07B76">
        <w:rPr>
          <w:rFonts w:ascii="Book Antiqua" w:hAnsi="Book Antiqua"/>
          <w:sz w:val="22"/>
          <w:szCs w:val="22"/>
        </w:rPr>
        <w:t xml:space="preserve"> rozhodujú v rozpore so zákonom alebo v rozpore so zásadami dobrého hospodárenia. </w:t>
      </w:r>
      <w:r w:rsidR="00F07B76" w:rsidRPr="00330D58">
        <w:rPr>
          <w:rFonts w:ascii="Book Antiqua" w:hAnsi="Book Antiqua"/>
          <w:b/>
          <w:sz w:val="22"/>
          <w:szCs w:val="22"/>
        </w:rPr>
        <w:t>Poškodení občania alebo právnické osoby sa v súdnych sporoch a žalobách obraca</w:t>
      </w:r>
      <w:r w:rsidR="00330D58" w:rsidRPr="00330D58">
        <w:rPr>
          <w:rFonts w:ascii="Book Antiqua" w:hAnsi="Book Antiqua"/>
          <w:b/>
          <w:sz w:val="22"/>
          <w:szCs w:val="22"/>
        </w:rPr>
        <w:t>jú proti štátu alebo organizácii</w:t>
      </w:r>
      <w:r w:rsidR="002B5AFC" w:rsidRPr="00330D58">
        <w:rPr>
          <w:rFonts w:ascii="Book Antiqua" w:hAnsi="Book Antiqua"/>
          <w:b/>
          <w:sz w:val="22"/>
          <w:szCs w:val="22"/>
        </w:rPr>
        <w:t xml:space="preserve"> verejnej správy</w:t>
      </w:r>
      <w:r w:rsidR="00F07B76" w:rsidRPr="00330D58">
        <w:rPr>
          <w:rFonts w:ascii="Book Antiqua" w:hAnsi="Book Antiqua"/>
          <w:b/>
          <w:sz w:val="22"/>
          <w:szCs w:val="22"/>
        </w:rPr>
        <w:t xml:space="preserve">, ktorá </w:t>
      </w:r>
      <w:r w:rsidR="00780213">
        <w:rPr>
          <w:rFonts w:ascii="Book Antiqua" w:hAnsi="Book Antiqua"/>
          <w:b/>
          <w:sz w:val="22"/>
          <w:szCs w:val="22"/>
        </w:rPr>
        <w:t>protizákonné</w:t>
      </w:r>
      <w:r w:rsidR="00F07B76" w:rsidRPr="00330D58">
        <w:rPr>
          <w:rFonts w:ascii="Book Antiqua" w:hAnsi="Book Antiqua"/>
          <w:b/>
          <w:sz w:val="22"/>
          <w:szCs w:val="22"/>
        </w:rPr>
        <w:t xml:space="preserve"> rozhodnutie vydala, nie však proti danému verejnému funkcionárovi.</w:t>
      </w:r>
      <w:r w:rsidR="002B5AFC" w:rsidRPr="00330D58">
        <w:rPr>
          <w:rFonts w:ascii="Book Antiqua" w:hAnsi="Book Antiqua"/>
          <w:b/>
          <w:sz w:val="22"/>
          <w:szCs w:val="22"/>
        </w:rPr>
        <w:t xml:space="preserve"> </w:t>
      </w:r>
      <w:r w:rsidR="002B5AFC">
        <w:rPr>
          <w:rFonts w:ascii="Book Antiqua" w:hAnsi="Book Antiqua"/>
          <w:sz w:val="22"/>
          <w:szCs w:val="22"/>
        </w:rPr>
        <w:t>Štát ani organizácia verejnej správy nemá zákonné m</w:t>
      </w:r>
      <w:r w:rsidR="00330D58">
        <w:rPr>
          <w:rFonts w:ascii="Book Antiqua" w:hAnsi="Book Antiqua"/>
          <w:sz w:val="22"/>
          <w:szCs w:val="22"/>
        </w:rPr>
        <w:t xml:space="preserve">ožnosti si takúto škodu ďalej </w:t>
      </w:r>
      <w:r w:rsidR="002B5AFC">
        <w:rPr>
          <w:rFonts w:ascii="Book Antiqua" w:hAnsi="Book Antiqua"/>
          <w:sz w:val="22"/>
          <w:szCs w:val="22"/>
        </w:rPr>
        <w:t xml:space="preserve">vymáhať u verejného funkcionára, resp. funkcionárov, </w:t>
      </w:r>
      <w:r w:rsidR="00330D58">
        <w:rPr>
          <w:rFonts w:ascii="Book Antiqua" w:hAnsi="Book Antiqua"/>
          <w:sz w:val="22"/>
          <w:szCs w:val="22"/>
        </w:rPr>
        <w:br/>
      </w:r>
      <w:r w:rsidR="002B5AFC">
        <w:rPr>
          <w:rFonts w:ascii="Book Antiqua" w:hAnsi="Book Antiqua"/>
          <w:sz w:val="22"/>
          <w:szCs w:val="22"/>
        </w:rPr>
        <w:t>ktorí takéto protizákonné rozhodnutie vydali.</w:t>
      </w:r>
    </w:p>
    <w:p w:rsidR="00845BB2" w:rsidRPr="00F46D77" w:rsidRDefault="008524C2" w:rsidP="008B5D3A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F46D77">
        <w:rPr>
          <w:rFonts w:ascii="Book Antiqua" w:hAnsi="Book Antiqua"/>
          <w:b/>
          <w:sz w:val="22"/>
          <w:szCs w:val="22"/>
        </w:rPr>
        <w:t xml:space="preserve">V </w:t>
      </w:r>
      <w:r w:rsidR="00A40EDF" w:rsidRPr="00F46D77">
        <w:rPr>
          <w:rFonts w:ascii="Book Antiqua" w:hAnsi="Book Antiqua"/>
          <w:b/>
          <w:sz w:val="22"/>
          <w:szCs w:val="22"/>
        </w:rPr>
        <w:t>praxi sa tak často stretávame s tým, že verejní funkcionári</w:t>
      </w:r>
      <w:r w:rsidRPr="00F46D77">
        <w:rPr>
          <w:rFonts w:ascii="Book Antiqua" w:hAnsi="Book Antiqua"/>
          <w:b/>
          <w:sz w:val="22"/>
          <w:szCs w:val="22"/>
        </w:rPr>
        <w:t>, resp. politici</w:t>
      </w:r>
      <w:r w:rsidR="00A40EDF" w:rsidRPr="00F46D77">
        <w:rPr>
          <w:rFonts w:ascii="Book Antiqua" w:hAnsi="Book Antiqua"/>
          <w:b/>
          <w:sz w:val="22"/>
          <w:szCs w:val="22"/>
        </w:rPr>
        <w:t xml:space="preserve"> podliehajú tlakom rôznych lobistických skupín alebo korupcii</w:t>
      </w:r>
      <w:r w:rsidRPr="00F46D77">
        <w:rPr>
          <w:rFonts w:ascii="Book Antiqua" w:hAnsi="Book Antiqua"/>
          <w:b/>
          <w:sz w:val="22"/>
          <w:szCs w:val="22"/>
        </w:rPr>
        <w:t xml:space="preserve"> a</w:t>
      </w:r>
      <w:r w:rsidR="00F46D77">
        <w:rPr>
          <w:rFonts w:ascii="Book Antiqua" w:hAnsi="Book Antiqua"/>
          <w:b/>
          <w:sz w:val="22"/>
          <w:szCs w:val="22"/>
        </w:rPr>
        <w:t xml:space="preserve"> </w:t>
      </w:r>
      <w:r w:rsidR="00845BB2" w:rsidRPr="00F46D77">
        <w:rPr>
          <w:rFonts w:ascii="Book Antiqua" w:hAnsi="Book Antiqua"/>
          <w:b/>
          <w:sz w:val="22"/>
          <w:szCs w:val="22"/>
        </w:rPr>
        <w:t xml:space="preserve">benevolentne, </w:t>
      </w:r>
      <w:r w:rsidR="00F46D77">
        <w:rPr>
          <w:rFonts w:ascii="Book Antiqua" w:hAnsi="Book Antiqua"/>
          <w:b/>
          <w:sz w:val="22"/>
          <w:szCs w:val="22"/>
        </w:rPr>
        <w:br/>
      </w:r>
      <w:r w:rsidR="00845BB2" w:rsidRPr="00F46D77">
        <w:rPr>
          <w:rFonts w:ascii="Book Antiqua" w:hAnsi="Book Antiqua"/>
          <w:b/>
          <w:sz w:val="22"/>
          <w:szCs w:val="22"/>
        </w:rPr>
        <w:t>či dokonca účelovo, vydávajú protizákonné rozhodnutia, ktorými spôsobujú škodu verejnej správe a občanom</w:t>
      </w:r>
      <w:r w:rsidR="00A40EDF" w:rsidRPr="00F46D77">
        <w:rPr>
          <w:rFonts w:ascii="Book Antiqua" w:hAnsi="Book Antiqua"/>
          <w:b/>
          <w:sz w:val="22"/>
          <w:szCs w:val="22"/>
        </w:rPr>
        <w:t>.</w:t>
      </w:r>
      <w:r w:rsidR="00450855" w:rsidRPr="00F46D77">
        <w:rPr>
          <w:rFonts w:ascii="Book Antiqua" w:hAnsi="Book Antiqua"/>
          <w:b/>
          <w:sz w:val="22"/>
          <w:szCs w:val="22"/>
        </w:rPr>
        <w:t xml:space="preserve"> </w:t>
      </w:r>
    </w:p>
    <w:p w:rsidR="00E8243E" w:rsidRDefault="00E8243E" w:rsidP="008B5D3A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</w:p>
    <w:p w:rsidR="00845BB2" w:rsidRPr="00E8243E" w:rsidRDefault="00450855" w:rsidP="008B5D3A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b/>
          <w:sz w:val="22"/>
          <w:szCs w:val="22"/>
        </w:rPr>
      </w:pPr>
      <w:r w:rsidRPr="00E8243E">
        <w:rPr>
          <w:rFonts w:ascii="Book Antiqua" w:hAnsi="Book Antiqua"/>
          <w:b/>
          <w:sz w:val="22"/>
          <w:szCs w:val="22"/>
        </w:rPr>
        <w:lastRenderedPageBreak/>
        <w:t xml:space="preserve">Preto navrhujeme, aby sa priamo do Ústavy SR zakotvili </w:t>
      </w:r>
      <w:r w:rsidR="00845BB2" w:rsidRPr="00E8243E">
        <w:rPr>
          <w:rFonts w:ascii="Book Antiqua" w:hAnsi="Book Antiqua"/>
          <w:b/>
          <w:sz w:val="22"/>
          <w:szCs w:val="22"/>
        </w:rPr>
        <w:t xml:space="preserve">nové </w:t>
      </w:r>
      <w:r w:rsidRPr="00E8243E">
        <w:rPr>
          <w:rFonts w:ascii="Book Antiqua" w:hAnsi="Book Antiqua"/>
          <w:b/>
          <w:sz w:val="22"/>
          <w:szCs w:val="22"/>
        </w:rPr>
        <w:t xml:space="preserve">odseky, </w:t>
      </w:r>
      <w:r w:rsidR="00845BB2" w:rsidRPr="00E8243E">
        <w:rPr>
          <w:rFonts w:ascii="Book Antiqua" w:hAnsi="Book Antiqua"/>
          <w:b/>
          <w:sz w:val="22"/>
          <w:szCs w:val="22"/>
        </w:rPr>
        <w:br/>
      </w:r>
      <w:r w:rsidRPr="00E8243E">
        <w:rPr>
          <w:rFonts w:ascii="Book Antiqua" w:hAnsi="Book Antiqua"/>
          <w:b/>
          <w:sz w:val="22"/>
          <w:szCs w:val="22"/>
        </w:rPr>
        <w:t xml:space="preserve">ktoré </w:t>
      </w:r>
      <w:r w:rsidR="00845BB2" w:rsidRPr="00E8243E">
        <w:rPr>
          <w:rFonts w:ascii="Book Antiqua" w:hAnsi="Book Antiqua"/>
          <w:b/>
          <w:sz w:val="22"/>
          <w:szCs w:val="22"/>
        </w:rPr>
        <w:t>výrazne zlepšia vymožiteľnosť práva a zavedú hmotnú zodpovednosť fyzických osôb vykonávajúcich verejnú moc individuálne alebo v</w:t>
      </w:r>
      <w:r w:rsidR="00F46D77">
        <w:rPr>
          <w:rFonts w:ascii="Book Antiqua" w:hAnsi="Book Antiqua"/>
          <w:b/>
          <w:sz w:val="22"/>
          <w:szCs w:val="22"/>
        </w:rPr>
        <w:t xml:space="preserve"> </w:t>
      </w:r>
      <w:r w:rsidR="00845BB2" w:rsidRPr="00E8243E">
        <w:rPr>
          <w:rFonts w:ascii="Book Antiqua" w:hAnsi="Book Antiqua"/>
          <w:b/>
          <w:sz w:val="22"/>
          <w:szCs w:val="22"/>
        </w:rPr>
        <w:t xml:space="preserve">rámci kolektívneho orgánu. </w:t>
      </w:r>
      <w:r w:rsidR="00F46D77">
        <w:rPr>
          <w:rFonts w:ascii="Book Antiqua" w:hAnsi="Book Antiqua"/>
          <w:b/>
          <w:sz w:val="22"/>
          <w:szCs w:val="22"/>
        </w:rPr>
        <w:t>Všetci verejní funkcionári</w:t>
      </w:r>
      <w:r w:rsidR="00845BB2" w:rsidRPr="00E8243E">
        <w:rPr>
          <w:rFonts w:ascii="Book Antiqua" w:hAnsi="Book Antiqua"/>
          <w:b/>
          <w:sz w:val="22"/>
          <w:szCs w:val="22"/>
        </w:rPr>
        <w:t xml:space="preserve"> budú</w:t>
      </w:r>
      <w:r w:rsidR="00F46D77">
        <w:rPr>
          <w:rFonts w:ascii="Book Antiqua" w:hAnsi="Book Antiqua"/>
          <w:b/>
          <w:sz w:val="22"/>
          <w:szCs w:val="22"/>
        </w:rPr>
        <w:t xml:space="preserve"> povinní</w:t>
      </w:r>
      <w:r w:rsidR="00845BB2" w:rsidRPr="00E8243E">
        <w:rPr>
          <w:rFonts w:ascii="Book Antiqua" w:hAnsi="Book Antiqua"/>
          <w:b/>
          <w:sz w:val="22"/>
          <w:szCs w:val="22"/>
        </w:rPr>
        <w:t xml:space="preserve"> nahradiť vzniknutú škodu každému, koho práva boli porušené v dôsledku nezákonného výkonu verejnej moci. V prípade nezákonných úradných postupov alebo nezákonných rozhodnutí vydaných kolektívnym orgánom budú niesť zodpovednosť za škodu tí verejní </w:t>
      </w:r>
      <w:r w:rsidR="00F46D77">
        <w:rPr>
          <w:rFonts w:ascii="Book Antiqua" w:hAnsi="Book Antiqua"/>
          <w:b/>
          <w:sz w:val="22"/>
          <w:szCs w:val="22"/>
        </w:rPr>
        <w:t>funkcionári</w:t>
      </w:r>
      <w:r w:rsidR="00845BB2" w:rsidRPr="00E8243E">
        <w:rPr>
          <w:rFonts w:ascii="Book Antiqua" w:hAnsi="Book Antiqua"/>
          <w:b/>
          <w:sz w:val="22"/>
          <w:szCs w:val="22"/>
        </w:rPr>
        <w:t xml:space="preserve">, ktorí ako členovia kolektívneho orgánu vyjadrili súhlas s týmto nezákonným </w:t>
      </w:r>
      <w:r w:rsidR="00FD0620" w:rsidRPr="00E8243E">
        <w:rPr>
          <w:rFonts w:ascii="Book Antiqua" w:hAnsi="Book Antiqua"/>
          <w:b/>
          <w:sz w:val="22"/>
          <w:szCs w:val="22"/>
        </w:rPr>
        <w:t>úkonom</w:t>
      </w:r>
      <w:r w:rsidR="00845BB2" w:rsidRPr="00E8243E">
        <w:rPr>
          <w:rFonts w:ascii="Book Antiqua" w:hAnsi="Book Antiqua"/>
          <w:b/>
          <w:sz w:val="22"/>
          <w:szCs w:val="22"/>
        </w:rPr>
        <w:t>.</w:t>
      </w:r>
    </w:p>
    <w:p w:rsidR="00FD0620" w:rsidRPr="00BA7F65" w:rsidRDefault="00D31E36" w:rsidP="00845BB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Ďalšie podrobnosti </w:t>
      </w:r>
      <w:r w:rsidR="00FD0620">
        <w:rPr>
          <w:rFonts w:ascii="Book Antiqua" w:hAnsi="Book Antiqua"/>
          <w:sz w:val="22"/>
          <w:szCs w:val="22"/>
        </w:rPr>
        <w:t>o spôsobe ručenia verejných funkcionárov za nimi spôsobenú škodu a o možnostiach vymáhania škody zo strany poškodených</w:t>
      </w:r>
      <w:r>
        <w:rPr>
          <w:rFonts w:ascii="Book Antiqua" w:hAnsi="Book Antiqua"/>
          <w:sz w:val="22"/>
          <w:szCs w:val="22"/>
        </w:rPr>
        <w:t xml:space="preserve"> ustanoví osobitný zákon, napr. zákon č. 514/2003 o</w:t>
      </w:r>
      <w:r w:rsidR="00845BB2">
        <w:rPr>
          <w:rFonts w:ascii="Book Antiqua" w:hAnsi="Book Antiqua"/>
          <w:sz w:val="22"/>
          <w:szCs w:val="22"/>
        </w:rPr>
        <w:t xml:space="preserve"> </w:t>
      </w:r>
      <w:r w:rsidRPr="00D31E36">
        <w:rPr>
          <w:rFonts w:ascii="Book Antiqua" w:hAnsi="Book Antiqua"/>
          <w:sz w:val="22"/>
          <w:szCs w:val="22"/>
        </w:rPr>
        <w:t xml:space="preserve">zodpovednosti za škodu spôsobenú pri výkone verejnej moci </w:t>
      </w:r>
      <w:r w:rsidR="00FD0620">
        <w:rPr>
          <w:rFonts w:ascii="Book Antiqua" w:hAnsi="Book Antiqua"/>
          <w:sz w:val="22"/>
          <w:szCs w:val="22"/>
        </w:rPr>
        <w:br/>
      </w:r>
      <w:r w:rsidRPr="00D31E36">
        <w:rPr>
          <w:rFonts w:ascii="Book Antiqua" w:hAnsi="Book Antiqua"/>
          <w:sz w:val="22"/>
          <w:szCs w:val="22"/>
        </w:rPr>
        <w:t>a o zmene niektorých zákonov</w:t>
      </w:r>
      <w:r>
        <w:rPr>
          <w:rFonts w:ascii="Book Antiqua" w:hAnsi="Book Antiqua"/>
          <w:sz w:val="22"/>
          <w:szCs w:val="22"/>
        </w:rPr>
        <w:t>.</w:t>
      </w:r>
      <w:r w:rsidR="00DD5AC4">
        <w:rPr>
          <w:rFonts w:ascii="Book Antiqua" w:hAnsi="Book Antiqua"/>
          <w:sz w:val="22"/>
          <w:szCs w:val="22"/>
        </w:rPr>
        <w:t xml:space="preserve"> </w:t>
      </w:r>
    </w:p>
    <w:p w:rsidR="00606EB3" w:rsidRDefault="00DD5AC4" w:rsidP="00845BB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Zakotvenie </w:t>
      </w:r>
      <w:r w:rsidR="00606EB3">
        <w:rPr>
          <w:rFonts w:ascii="Book Antiqua" w:hAnsi="Book Antiqua"/>
          <w:sz w:val="22"/>
          <w:szCs w:val="22"/>
        </w:rPr>
        <w:t xml:space="preserve">hmotnej </w:t>
      </w:r>
      <w:r>
        <w:rPr>
          <w:rFonts w:ascii="Book Antiqua" w:hAnsi="Book Antiqua"/>
          <w:sz w:val="22"/>
          <w:szCs w:val="22"/>
        </w:rPr>
        <w:t>zodpovednosti</w:t>
      </w:r>
      <w:r w:rsidR="00606EB3">
        <w:rPr>
          <w:rFonts w:ascii="Book Antiqua" w:hAnsi="Book Antiqua"/>
          <w:sz w:val="22"/>
          <w:szCs w:val="22"/>
        </w:rPr>
        <w:t xml:space="preserve"> verejných funkcionárov</w:t>
      </w:r>
      <w:r>
        <w:rPr>
          <w:rFonts w:ascii="Book Antiqua" w:hAnsi="Book Antiqua"/>
          <w:sz w:val="22"/>
          <w:szCs w:val="22"/>
        </w:rPr>
        <w:t xml:space="preserve"> za </w:t>
      </w:r>
      <w:r w:rsidR="00606EB3">
        <w:rPr>
          <w:rFonts w:ascii="Book Antiqua" w:hAnsi="Book Antiqua"/>
          <w:sz w:val="22"/>
          <w:szCs w:val="22"/>
        </w:rPr>
        <w:t xml:space="preserve">nimi spôsobenú </w:t>
      </w:r>
      <w:r>
        <w:rPr>
          <w:rFonts w:ascii="Book Antiqua" w:hAnsi="Book Antiqua"/>
          <w:sz w:val="22"/>
          <w:szCs w:val="22"/>
        </w:rPr>
        <w:t xml:space="preserve">škodu </w:t>
      </w:r>
      <w:r w:rsidR="00606EB3">
        <w:rPr>
          <w:rFonts w:ascii="Book Antiqua" w:hAnsi="Book Antiqua"/>
          <w:sz w:val="22"/>
          <w:szCs w:val="22"/>
        </w:rPr>
        <w:t xml:space="preserve">priamo </w:t>
      </w:r>
      <w:r>
        <w:rPr>
          <w:rFonts w:ascii="Book Antiqua" w:hAnsi="Book Antiqua"/>
          <w:sz w:val="22"/>
          <w:szCs w:val="22"/>
        </w:rPr>
        <w:t xml:space="preserve">do Ústavy SR </w:t>
      </w:r>
      <w:r w:rsidR="00606EB3">
        <w:rPr>
          <w:rFonts w:ascii="Book Antiqua" w:hAnsi="Book Antiqua"/>
          <w:sz w:val="22"/>
          <w:szCs w:val="22"/>
        </w:rPr>
        <w:t xml:space="preserve">považujeme za dôležité nielen preto, že sa jedná o fundamentálny pilier práva a spravodlivosti, ktorým by sa mala riadiť celá </w:t>
      </w:r>
      <w:r w:rsidR="00F46D77">
        <w:rPr>
          <w:rFonts w:ascii="Book Antiqua" w:hAnsi="Book Antiqua"/>
          <w:sz w:val="22"/>
          <w:szCs w:val="22"/>
        </w:rPr>
        <w:t>Slovenská republika</w:t>
      </w:r>
      <w:r w:rsidR="00606EB3">
        <w:rPr>
          <w:rFonts w:ascii="Book Antiqua" w:hAnsi="Book Antiqua"/>
          <w:sz w:val="22"/>
          <w:szCs w:val="22"/>
        </w:rPr>
        <w:t>, ale aj preto, že v budúcnosti nebude môcť žiadna vládna garnitúra zrušiť toto ústavné nariadenie len jednoduchou parlamentnou väčšinou.</w:t>
      </w:r>
    </w:p>
    <w:p w:rsidR="00F03BE2" w:rsidRPr="00F03BE2" w:rsidRDefault="00F03BE2" w:rsidP="00B77D9C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F03BE2">
        <w:rPr>
          <w:rFonts w:ascii="Book Antiqua" w:hAnsi="Book Antiqua"/>
          <w:sz w:val="22"/>
          <w:szCs w:val="22"/>
        </w:rPr>
        <w:t>Predkladaný návrh zákona bude mať pozitívny vplyv na rozpočet verejnej správy</w:t>
      </w:r>
      <w:r w:rsidR="00330D58">
        <w:rPr>
          <w:rFonts w:ascii="Book Antiqua" w:hAnsi="Book Antiqua"/>
          <w:sz w:val="22"/>
          <w:szCs w:val="22"/>
        </w:rPr>
        <w:t xml:space="preserve"> a neutrálny vplyv na ďalšie posudzované oblasti. </w:t>
      </w:r>
    </w:p>
    <w:p w:rsidR="00F03BE2" w:rsidRDefault="00F03BE2" w:rsidP="00F03BE2">
      <w:pPr>
        <w:pStyle w:val="Standard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77D9C" w:rsidRDefault="00B77D9C" w:rsidP="00F03BE2">
      <w:pPr>
        <w:pStyle w:val="Standard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77D9C" w:rsidRDefault="00B77D9C" w:rsidP="00F03BE2">
      <w:pPr>
        <w:pStyle w:val="Standard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77D9C" w:rsidRDefault="00B77D9C" w:rsidP="00F03BE2">
      <w:pPr>
        <w:pStyle w:val="Standard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77D9C" w:rsidRDefault="00B77D9C" w:rsidP="00F03BE2">
      <w:pPr>
        <w:pStyle w:val="Standard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77D9C" w:rsidRDefault="00B77D9C" w:rsidP="00F03BE2">
      <w:pPr>
        <w:pStyle w:val="Standard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77D9C" w:rsidRDefault="00B77D9C" w:rsidP="00F03BE2">
      <w:pPr>
        <w:pStyle w:val="Standard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77D9C" w:rsidRDefault="00B77D9C" w:rsidP="00F03BE2">
      <w:pPr>
        <w:pStyle w:val="Standard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77D9C" w:rsidRDefault="00B77D9C" w:rsidP="00F03BE2">
      <w:pPr>
        <w:pStyle w:val="Standard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77D9C" w:rsidRDefault="00B77D9C" w:rsidP="00F03BE2">
      <w:pPr>
        <w:pStyle w:val="Standard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77D9C" w:rsidRDefault="00B77D9C" w:rsidP="00F03BE2">
      <w:pPr>
        <w:pStyle w:val="Standard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77D9C" w:rsidRDefault="00B77D9C" w:rsidP="00F03BE2">
      <w:pPr>
        <w:pStyle w:val="Standard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77D9C" w:rsidRDefault="00B77D9C" w:rsidP="00F03BE2">
      <w:pPr>
        <w:pStyle w:val="Standard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77D9C" w:rsidRDefault="00B77D9C" w:rsidP="00F03BE2">
      <w:pPr>
        <w:pStyle w:val="Standard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B77D9C" w:rsidRDefault="00B77D9C" w:rsidP="00F03BE2">
      <w:pPr>
        <w:pStyle w:val="Standard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9F6924" w:rsidRDefault="00F03BE2" w:rsidP="00544EC5">
      <w:pPr>
        <w:pStyle w:val="Standard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F03BE2">
        <w:rPr>
          <w:rFonts w:ascii="Book Antiqua" w:hAnsi="Book Antiqua"/>
          <w:sz w:val="22"/>
          <w:szCs w:val="22"/>
        </w:rPr>
        <w:tab/>
      </w:r>
    </w:p>
    <w:p w:rsidR="00544EC5" w:rsidRDefault="00544EC5">
      <w:pPr>
        <w:widowControl/>
        <w:suppressAutoHyphens w:val="0"/>
        <w:autoSpaceDE/>
        <w:autoSpaceDN/>
        <w:spacing w:after="200" w:line="276" w:lineRule="auto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br w:type="page"/>
      </w:r>
    </w:p>
    <w:p w:rsidR="009F6924" w:rsidRPr="009F6924" w:rsidRDefault="009F6924" w:rsidP="009F6924">
      <w:pPr>
        <w:widowControl/>
        <w:numPr>
          <w:ilvl w:val="0"/>
          <w:numId w:val="1"/>
        </w:numPr>
        <w:autoSpaceDE/>
        <w:autoSpaceDN/>
        <w:spacing w:after="200" w:line="276" w:lineRule="auto"/>
        <w:ind w:left="270" w:hanging="270"/>
        <w:textAlignment w:val="auto"/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i/>
          <w:color w:val="000000"/>
          <w:kern w:val="0"/>
          <w:sz w:val="22"/>
          <w:szCs w:val="22"/>
          <w:lang w:bidi="ar-SA"/>
        </w:rPr>
        <w:lastRenderedPageBreak/>
        <w:t>Osobitná časť</w:t>
      </w:r>
    </w:p>
    <w:p w:rsidR="009F6924" w:rsidRPr="009F6924" w:rsidRDefault="00BA7F65" w:rsidP="009F6924">
      <w:pPr>
        <w:widowControl/>
        <w:autoSpaceDE/>
        <w:autoSpaceDN/>
        <w:spacing w:after="200" w:line="276" w:lineRule="auto"/>
        <w:ind w:left="360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noProof/>
          <w:lang w:eastAsia="sk-SK" w:bidi="ar-SA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34924</wp:posOffset>
                </wp:positionV>
                <wp:extent cx="5778500" cy="0"/>
                <wp:effectExtent l="0" t="0" r="12700" b="0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0C952" id="Rovná spojovacia šípka 1" o:spid="_x0000_s1026" type="#_x0000_t32" style="position:absolute;margin-left:-.35pt;margin-top:2.75pt;width:45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"/>
            </w:pict>
          </mc:Fallback>
        </mc:AlternateConten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</w:t>
      </w: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</w:pPr>
      <w:r w:rsidRPr="009F6924">
        <w:rPr>
          <w:rFonts w:ascii="Book Antiqua" w:hAnsi="Book Antiqua" w:cs="Arial"/>
          <w:color w:val="000000"/>
          <w:kern w:val="0"/>
          <w:sz w:val="22"/>
          <w:szCs w:val="22"/>
          <w:u w:val="single"/>
          <w:lang w:bidi="ar-SA"/>
        </w:rPr>
        <w:t>K bodu 1</w:t>
      </w:r>
    </w:p>
    <w:p w:rsidR="009F6924" w:rsidRDefault="00B77D9C" w:rsidP="00B77D9C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Stanovuje sa povinnosť nahradiť škodu spôsobenú </w:t>
      </w:r>
      <w:r w:rsidRPr="00B77D9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nezákonným úradným postupom alebo nezákonným rozhodnutím</w:t>
      </w:r>
      <w:r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 fyzickým osobám</w:t>
      </w:r>
      <w:r w:rsidR="00544EC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 xml:space="preserve">, ktoré vykonávajú verejnú moc </w:t>
      </w:r>
      <w:r w:rsidR="00C52E1C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br/>
      </w:r>
      <w:r w:rsidR="00544EC5"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  <w:t>vo verejnej správe individuálne alebo v rámci kolektívneho orgánu.</w:t>
      </w:r>
    </w:p>
    <w:p w:rsidR="00544EC5" w:rsidRPr="00B77D9C" w:rsidRDefault="00544EC5" w:rsidP="00B77D9C">
      <w:pPr>
        <w:widowControl/>
        <w:autoSpaceDE/>
        <w:autoSpaceDN/>
        <w:spacing w:after="200" w:line="276" w:lineRule="auto"/>
        <w:ind w:firstLine="708"/>
        <w:jc w:val="both"/>
        <w:textAlignment w:val="auto"/>
        <w:rPr>
          <w:rFonts w:ascii="Book Antiqua" w:hAnsi="Book Antiqua" w:cs="Arial"/>
          <w:color w:val="000000"/>
          <w:kern w:val="0"/>
          <w:sz w:val="22"/>
          <w:szCs w:val="22"/>
          <w:lang w:bidi="ar-SA"/>
        </w:rPr>
      </w:pPr>
    </w:p>
    <w:p w:rsidR="009F6924" w:rsidRPr="009F6924" w:rsidRDefault="009F6924" w:rsidP="009F6924">
      <w:pPr>
        <w:widowControl/>
        <w:autoSpaceDE/>
        <w:autoSpaceDN/>
        <w:spacing w:after="200" w:line="276" w:lineRule="auto"/>
        <w:jc w:val="both"/>
        <w:textAlignment w:val="auto"/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</w:pPr>
      <w:r w:rsidRPr="009F6924">
        <w:rPr>
          <w:rFonts w:ascii="Book Antiqua" w:hAnsi="Book Antiqua" w:cs="Arial"/>
          <w:b/>
          <w:color w:val="000000"/>
          <w:kern w:val="0"/>
          <w:sz w:val="22"/>
          <w:szCs w:val="22"/>
          <w:lang w:bidi="ar-SA"/>
        </w:rPr>
        <w:t>Čl. II</w:t>
      </w:r>
    </w:p>
    <w:p w:rsidR="009F6924" w:rsidRPr="00656048" w:rsidRDefault="00656048" w:rsidP="00656048">
      <w:pPr>
        <w:autoSpaceDN/>
        <w:ind w:firstLine="708"/>
        <w:jc w:val="both"/>
        <w:textAlignment w:val="auto"/>
        <w:rPr>
          <w:rFonts w:ascii="Book Antiqua" w:hAnsi="Book Antiqua" w:cs="Arial"/>
          <w:color w:val="000000"/>
          <w:kern w:val="1"/>
          <w:sz w:val="22"/>
          <w:szCs w:val="22"/>
        </w:rPr>
      </w:pPr>
      <w:r w:rsidRPr="00656048">
        <w:rPr>
          <w:rFonts w:ascii="Book Antiqua" w:hAnsi="Book Antiqua" w:cs="Arial"/>
          <w:color w:val="000000"/>
          <w:kern w:val="1"/>
          <w:sz w:val="22"/>
          <w:szCs w:val="22"/>
        </w:rPr>
        <w:t>Navrhuje sa účinnosť zákona pätnástym dňom po jeho vyhlásení v Zbierke zákonov.</w:t>
      </w:r>
    </w:p>
    <w:p w:rsidR="009F6924" w:rsidRPr="009F6924" w:rsidRDefault="009F6924" w:rsidP="009F6924">
      <w:pPr>
        <w:autoSpaceDN/>
        <w:jc w:val="both"/>
        <w:textAlignment w:val="auto"/>
        <w:rPr>
          <w:rFonts w:ascii="Book Antiqua" w:hAnsi="Book Antiqua" w:cs="Liberation Serif"/>
          <w:color w:val="000000"/>
          <w:kern w:val="1"/>
          <w:sz w:val="22"/>
        </w:rPr>
      </w:pPr>
    </w:p>
    <w:p w:rsidR="009F6924" w:rsidRPr="009F6924" w:rsidRDefault="009F6924" w:rsidP="009F6924">
      <w:pPr>
        <w:autoSpaceDN/>
        <w:jc w:val="both"/>
        <w:textAlignment w:val="auto"/>
        <w:rPr>
          <w:rFonts w:ascii="Book Antiqua" w:hAnsi="Book Antiqua" w:cs="Liberation Serif"/>
          <w:color w:val="000000"/>
          <w:kern w:val="1"/>
          <w:sz w:val="22"/>
        </w:rPr>
      </w:pPr>
    </w:p>
    <w:p w:rsidR="009F6924" w:rsidRDefault="009F6924" w:rsidP="009F6924">
      <w:pPr>
        <w:pStyle w:val="Default"/>
        <w:jc w:val="both"/>
        <w:rPr>
          <w:rFonts w:ascii="Book Antiqua" w:hAnsi="Book Antiqua"/>
          <w:sz w:val="22"/>
        </w:rPr>
      </w:pPr>
    </w:p>
    <w:p w:rsidR="009F6924" w:rsidRDefault="009F6924" w:rsidP="009F6924">
      <w:pPr>
        <w:pStyle w:val="Default"/>
        <w:jc w:val="both"/>
        <w:rPr>
          <w:rFonts w:ascii="Book Antiqua" w:hAnsi="Book Antiqua"/>
          <w:sz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9F6924" w:rsidRPr="00CF1C12" w:rsidRDefault="009F6924" w:rsidP="00CF1C12">
      <w:pPr>
        <w:pStyle w:val="Standard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sectPr w:rsidR="009F6924" w:rsidRPr="00CF1C12" w:rsidSect="00F3064E">
      <w:type w:val="continuous"/>
      <w:pgSz w:w="11906" w:h="16838"/>
      <w:pgMar w:top="1417" w:right="1417" w:bottom="1417" w:left="1417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5A9" w:rsidRDefault="00BC35A9">
      <w:r>
        <w:separator/>
      </w:r>
    </w:p>
  </w:endnote>
  <w:endnote w:type="continuationSeparator" w:id="0">
    <w:p w:rsidR="00BC35A9" w:rsidRDefault="00BC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, Symbol">
    <w:panose1 w:val="00000000000000000000"/>
    <w:charset w:val="02"/>
    <w:family w:val="auto"/>
    <w:notTrueType/>
    <w:pitch w:val="variable"/>
  </w:font>
  <w:font w:name="Symbol, 'Times New Roman'">
    <w:panose1 w:val="00000000000000000000"/>
    <w:charset w:val="02"/>
    <w:family w:val="roman"/>
    <w:notTrueType/>
    <w:pitch w:val="variable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5A9" w:rsidRDefault="00BC35A9">
      <w:r>
        <w:rPr>
          <w:color w:val="000000"/>
        </w:rPr>
        <w:separator/>
      </w:r>
    </w:p>
  </w:footnote>
  <w:footnote w:type="continuationSeparator" w:id="0">
    <w:p w:rsidR="00BC35A9" w:rsidRDefault="00BC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4A8D"/>
    <w:multiLevelType w:val="hybridMultilevel"/>
    <w:tmpl w:val="7F3809D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3D"/>
    <w:rsid w:val="00017B63"/>
    <w:rsid w:val="00075798"/>
    <w:rsid w:val="000B64D7"/>
    <w:rsid w:val="000D5627"/>
    <w:rsid w:val="000E26FA"/>
    <w:rsid w:val="000F02FE"/>
    <w:rsid w:val="001335D9"/>
    <w:rsid w:val="001822AE"/>
    <w:rsid w:val="001F56E5"/>
    <w:rsid w:val="002163D3"/>
    <w:rsid w:val="0023046A"/>
    <w:rsid w:val="00285A91"/>
    <w:rsid w:val="00287545"/>
    <w:rsid w:val="00297050"/>
    <w:rsid w:val="002B5AFC"/>
    <w:rsid w:val="002E3CB8"/>
    <w:rsid w:val="00330D58"/>
    <w:rsid w:val="00344BC9"/>
    <w:rsid w:val="00386200"/>
    <w:rsid w:val="003C2C20"/>
    <w:rsid w:val="003F2C29"/>
    <w:rsid w:val="00401CEF"/>
    <w:rsid w:val="00445805"/>
    <w:rsid w:val="00450855"/>
    <w:rsid w:val="00470E08"/>
    <w:rsid w:val="004B0ED4"/>
    <w:rsid w:val="004C7C57"/>
    <w:rsid w:val="004E1E66"/>
    <w:rsid w:val="00544EC5"/>
    <w:rsid w:val="005469A9"/>
    <w:rsid w:val="00553F13"/>
    <w:rsid w:val="005D03CE"/>
    <w:rsid w:val="005E3B7D"/>
    <w:rsid w:val="0060126B"/>
    <w:rsid w:val="00606EB3"/>
    <w:rsid w:val="00610CAC"/>
    <w:rsid w:val="006329D9"/>
    <w:rsid w:val="00656048"/>
    <w:rsid w:val="006C15F7"/>
    <w:rsid w:val="007161FF"/>
    <w:rsid w:val="007374A8"/>
    <w:rsid w:val="00780213"/>
    <w:rsid w:val="00784B25"/>
    <w:rsid w:val="007B25B8"/>
    <w:rsid w:val="007E1102"/>
    <w:rsid w:val="007E1A7C"/>
    <w:rsid w:val="00845BB2"/>
    <w:rsid w:val="008524C2"/>
    <w:rsid w:val="00880065"/>
    <w:rsid w:val="008B5D3A"/>
    <w:rsid w:val="008C5652"/>
    <w:rsid w:val="008D50B9"/>
    <w:rsid w:val="009A6337"/>
    <w:rsid w:val="009F2433"/>
    <w:rsid w:val="009F6924"/>
    <w:rsid w:val="00A40EDF"/>
    <w:rsid w:val="00AC0B5A"/>
    <w:rsid w:val="00AC4D1E"/>
    <w:rsid w:val="00AE6078"/>
    <w:rsid w:val="00AE6541"/>
    <w:rsid w:val="00B52ABA"/>
    <w:rsid w:val="00B553D2"/>
    <w:rsid w:val="00B61D74"/>
    <w:rsid w:val="00B77D9C"/>
    <w:rsid w:val="00B936C8"/>
    <w:rsid w:val="00BA7F65"/>
    <w:rsid w:val="00BC35A9"/>
    <w:rsid w:val="00C07276"/>
    <w:rsid w:val="00C176E4"/>
    <w:rsid w:val="00C52E1C"/>
    <w:rsid w:val="00C63173"/>
    <w:rsid w:val="00C63361"/>
    <w:rsid w:val="00C63DA0"/>
    <w:rsid w:val="00CA3BF2"/>
    <w:rsid w:val="00CB653D"/>
    <w:rsid w:val="00CD49BD"/>
    <w:rsid w:val="00CE242E"/>
    <w:rsid w:val="00CF1C12"/>
    <w:rsid w:val="00CF3A95"/>
    <w:rsid w:val="00D31E36"/>
    <w:rsid w:val="00D458E1"/>
    <w:rsid w:val="00D46245"/>
    <w:rsid w:val="00D6526D"/>
    <w:rsid w:val="00DB39CF"/>
    <w:rsid w:val="00DD5AC4"/>
    <w:rsid w:val="00E13DF0"/>
    <w:rsid w:val="00E8243E"/>
    <w:rsid w:val="00EB65B5"/>
    <w:rsid w:val="00ED6347"/>
    <w:rsid w:val="00F03BE2"/>
    <w:rsid w:val="00F06ECF"/>
    <w:rsid w:val="00F07B76"/>
    <w:rsid w:val="00F3064E"/>
    <w:rsid w:val="00F46D77"/>
    <w:rsid w:val="00F70A0C"/>
    <w:rsid w:val="00FD0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AE298A5-7622-4175-8E22-069BB2EF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064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uiPriority w:val="99"/>
    <w:rsid w:val="00F3064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kern w:val="3"/>
      <w:sz w:val="24"/>
      <w:szCs w:val="24"/>
      <w:lang w:bidi="hi-IN"/>
    </w:rPr>
  </w:style>
  <w:style w:type="paragraph" w:styleId="Nzov">
    <w:name w:val="Title"/>
    <w:basedOn w:val="Standard"/>
    <w:next w:val="Textbody"/>
    <w:link w:val="NzovChar"/>
    <w:uiPriority w:val="99"/>
    <w:qFormat/>
    <w:rsid w:val="00F3064E"/>
    <w:pPr>
      <w:keepNext/>
      <w:spacing w:before="240" w:after="120"/>
    </w:pPr>
    <w:rPr>
      <w:rFonts w:ascii="Arial" w:hAnsi="Arial" w:cs="Microsoft YaHei"/>
      <w:sz w:val="28"/>
      <w:lang w:eastAsia="zh-CN"/>
    </w:rPr>
  </w:style>
  <w:style w:type="character" w:customStyle="1" w:styleId="NzovChar">
    <w:name w:val="Názov Char"/>
    <w:basedOn w:val="Predvolenpsmoodseku"/>
    <w:link w:val="Nzov"/>
    <w:uiPriority w:val="10"/>
    <w:locked/>
    <w:rsid w:val="00F3064E"/>
    <w:rPr>
      <w:rFonts w:asciiTheme="majorHAnsi" w:eastAsiaTheme="majorEastAsia" w:hAnsiTheme="majorHAnsi" w:cs="Mangal"/>
      <w:b/>
      <w:bCs/>
      <w:kern w:val="28"/>
      <w:sz w:val="29"/>
      <w:szCs w:val="29"/>
      <w:lang w:eastAsia="zh-CN" w:bidi="hi-IN"/>
    </w:rPr>
  </w:style>
  <w:style w:type="paragraph" w:customStyle="1" w:styleId="Textbody">
    <w:name w:val="Text body"/>
    <w:basedOn w:val="Standard"/>
    <w:uiPriority w:val="99"/>
    <w:rsid w:val="00F3064E"/>
    <w:pPr>
      <w:spacing w:after="120"/>
    </w:pPr>
    <w:rPr>
      <w:lang w:eastAsia="zh-CN"/>
    </w:rPr>
  </w:style>
  <w:style w:type="paragraph" w:styleId="Zoznam">
    <w:name w:val="List"/>
    <w:basedOn w:val="Textbody"/>
    <w:uiPriority w:val="99"/>
    <w:rsid w:val="00F3064E"/>
  </w:style>
  <w:style w:type="paragraph" w:styleId="Popis">
    <w:name w:val="caption"/>
    <w:basedOn w:val="Standard"/>
    <w:uiPriority w:val="99"/>
    <w:qFormat/>
    <w:rsid w:val="00F3064E"/>
    <w:pPr>
      <w:spacing w:before="120" w:after="120"/>
    </w:pPr>
    <w:rPr>
      <w:i/>
      <w:iCs/>
      <w:lang w:eastAsia="zh-CN"/>
    </w:rPr>
  </w:style>
  <w:style w:type="paragraph" w:customStyle="1" w:styleId="Index">
    <w:name w:val="Index"/>
    <w:basedOn w:val="Standard"/>
    <w:uiPriority w:val="99"/>
    <w:rsid w:val="00F3064E"/>
    <w:rPr>
      <w:lang w:eastAsia="zh-CN"/>
    </w:rPr>
  </w:style>
  <w:style w:type="character" w:customStyle="1" w:styleId="RTFNum21">
    <w:name w:val="RTF_Num 2 1"/>
    <w:uiPriority w:val="99"/>
    <w:rsid w:val="00F3064E"/>
    <w:rPr>
      <w:rFonts w:eastAsia="Times New Roman"/>
    </w:rPr>
  </w:style>
  <w:style w:type="character" w:customStyle="1" w:styleId="RTFNum22">
    <w:name w:val="RTF_Num 2 2"/>
    <w:uiPriority w:val="99"/>
    <w:rsid w:val="00F3064E"/>
    <w:rPr>
      <w:rFonts w:eastAsia="Times New Roman"/>
    </w:rPr>
  </w:style>
  <w:style w:type="character" w:customStyle="1" w:styleId="RTFNum23">
    <w:name w:val="RTF_Num 2 3"/>
    <w:uiPriority w:val="99"/>
    <w:rsid w:val="00F3064E"/>
    <w:rPr>
      <w:rFonts w:eastAsia="Times New Roman"/>
    </w:rPr>
  </w:style>
  <w:style w:type="character" w:customStyle="1" w:styleId="RTFNum24">
    <w:name w:val="RTF_Num 2 4"/>
    <w:uiPriority w:val="99"/>
    <w:rsid w:val="00F3064E"/>
    <w:rPr>
      <w:rFonts w:eastAsia="Times New Roman"/>
    </w:rPr>
  </w:style>
  <w:style w:type="character" w:customStyle="1" w:styleId="RTFNum25">
    <w:name w:val="RTF_Num 2 5"/>
    <w:uiPriority w:val="99"/>
    <w:rsid w:val="00F3064E"/>
    <w:rPr>
      <w:rFonts w:eastAsia="Times New Roman"/>
    </w:rPr>
  </w:style>
  <w:style w:type="character" w:customStyle="1" w:styleId="RTFNum26">
    <w:name w:val="RTF_Num 2 6"/>
    <w:uiPriority w:val="99"/>
    <w:rsid w:val="00F3064E"/>
    <w:rPr>
      <w:rFonts w:eastAsia="Times New Roman"/>
    </w:rPr>
  </w:style>
  <w:style w:type="character" w:customStyle="1" w:styleId="RTFNum27">
    <w:name w:val="RTF_Num 2 7"/>
    <w:uiPriority w:val="99"/>
    <w:rsid w:val="00F3064E"/>
    <w:rPr>
      <w:rFonts w:eastAsia="Times New Roman"/>
    </w:rPr>
  </w:style>
  <w:style w:type="character" w:customStyle="1" w:styleId="RTFNum28">
    <w:name w:val="RTF_Num 2 8"/>
    <w:uiPriority w:val="99"/>
    <w:rsid w:val="00F3064E"/>
    <w:rPr>
      <w:rFonts w:eastAsia="Times New Roman"/>
    </w:rPr>
  </w:style>
  <w:style w:type="character" w:customStyle="1" w:styleId="RTFNum29">
    <w:name w:val="RTF_Num 2 9"/>
    <w:uiPriority w:val="99"/>
    <w:rsid w:val="00F3064E"/>
    <w:rPr>
      <w:rFonts w:eastAsia="Times New Roman"/>
    </w:rPr>
  </w:style>
  <w:style w:type="character" w:customStyle="1" w:styleId="RTFNum31">
    <w:name w:val="RTF_Num 3 1"/>
    <w:uiPriority w:val="99"/>
    <w:rsid w:val="00F3064E"/>
    <w:rPr>
      <w:rFonts w:eastAsia="Times New Roman"/>
    </w:rPr>
  </w:style>
  <w:style w:type="character" w:customStyle="1" w:styleId="RTFNum32">
    <w:name w:val="RTF_Num 3 2"/>
    <w:uiPriority w:val="99"/>
    <w:rsid w:val="00F3064E"/>
    <w:rPr>
      <w:rFonts w:eastAsia="Times New Roman"/>
    </w:rPr>
  </w:style>
  <w:style w:type="character" w:customStyle="1" w:styleId="RTFNum33">
    <w:name w:val="RTF_Num 3 3"/>
    <w:uiPriority w:val="99"/>
    <w:rsid w:val="00F3064E"/>
    <w:rPr>
      <w:rFonts w:eastAsia="Times New Roman"/>
    </w:rPr>
  </w:style>
  <w:style w:type="character" w:customStyle="1" w:styleId="RTFNum34">
    <w:name w:val="RTF_Num 3 4"/>
    <w:uiPriority w:val="99"/>
    <w:rsid w:val="00F3064E"/>
    <w:rPr>
      <w:rFonts w:eastAsia="Times New Roman"/>
    </w:rPr>
  </w:style>
  <w:style w:type="character" w:customStyle="1" w:styleId="RTFNum35">
    <w:name w:val="RTF_Num 3 5"/>
    <w:uiPriority w:val="99"/>
    <w:rsid w:val="00F3064E"/>
    <w:rPr>
      <w:rFonts w:eastAsia="Times New Roman"/>
    </w:rPr>
  </w:style>
  <w:style w:type="character" w:customStyle="1" w:styleId="RTFNum36">
    <w:name w:val="RTF_Num 3 6"/>
    <w:uiPriority w:val="99"/>
    <w:rsid w:val="00F3064E"/>
    <w:rPr>
      <w:rFonts w:eastAsia="Times New Roman"/>
    </w:rPr>
  </w:style>
  <w:style w:type="character" w:customStyle="1" w:styleId="RTFNum37">
    <w:name w:val="RTF_Num 3 7"/>
    <w:uiPriority w:val="99"/>
    <w:rsid w:val="00F3064E"/>
    <w:rPr>
      <w:rFonts w:eastAsia="Times New Roman"/>
    </w:rPr>
  </w:style>
  <w:style w:type="character" w:customStyle="1" w:styleId="RTFNum38">
    <w:name w:val="RTF_Num 3 8"/>
    <w:uiPriority w:val="99"/>
    <w:rsid w:val="00F3064E"/>
    <w:rPr>
      <w:rFonts w:eastAsia="Times New Roman"/>
    </w:rPr>
  </w:style>
  <w:style w:type="character" w:customStyle="1" w:styleId="RTFNum39">
    <w:name w:val="RTF_Num 3 9"/>
    <w:uiPriority w:val="99"/>
    <w:rsid w:val="00F3064E"/>
    <w:rPr>
      <w:rFonts w:eastAsia="Times New Roman"/>
    </w:rPr>
  </w:style>
  <w:style w:type="character" w:customStyle="1" w:styleId="RTFNum41">
    <w:name w:val="RTF_Num 4 1"/>
    <w:uiPriority w:val="99"/>
    <w:rsid w:val="00F3064E"/>
    <w:rPr>
      <w:rFonts w:eastAsia="Times New Roman"/>
    </w:rPr>
  </w:style>
  <w:style w:type="character" w:customStyle="1" w:styleId="RTFNum42">
    <w:name w:val="RTF_Num 4 2"/>
    <w:uiPriority w:val="99"/>
    <w:rsid w:val="00F3064E"/>
    <w:rPr>
      <w:rFonts w:eastAsia="Times New Roman"/>
    </w:rPr>
  </w:style>
  <w:style w:type="character" w:customStyle="1" w:styleId="RTFNum43">
    <w:name w:val="RTF_Num 4 3"/>
    <w:uiPriority w:val="99"/>
    <w:rsid w:val="00F3064E"/>
    <w:rPr>
      <w:rFonts w:eastAsia="Times New Roman"/>
    </w:rPr>
  </w:style>
  <w:style w:type="character" w:customStyle="1" w:styleId="RTFNum44">
    <w:name w:val="RTF_Num 4 4"/>
    <w:uiPriority w:val="99"/>
    <w:rsid w:val="00F3064E"/>
    <w:rPr>
      <w:rFonts w:eastAsia="Times New Roman"/>
    </w:rPr>
  </w:style>
  <w:style w:type="character" w:customStyle="1" w:styleId="RTFNum45">
    <w:name w:val="RTF_Num 4 5"/>
    <w:uiPriority w:val="99"/>
    <w:rsid w:val="00F3064E"/>
    <w:rPr>
      <w:rFonts w:eastAsia="Times New Roman"/>
    </w:rPr>
  </w:style>
  <w:style w:type="character" w:customStyle="1" w:styleId="RTFNum46">
    <w:name w:val="RTF_Num 4 6"/>
    <w:uiPriority w:val="99"/>
    <w:rsid w:val="00F3064E"/>
    <w:rPr>
      <w:rFonts w:eastAsia="Times New Roman"/>
    </w:rPr>
  </w:style>
  <w:style w:type="character" w:customStyle="1" w:styleId="RTFNum47">
    <w:name w:val="RTF_Num 4 7"/>
    <w:uiPriority w:val="99"/>
    <w:rsid w:val="00F3064E"/>
    <w:rPr>
      <w:rFonts w:eastAsia="Times New Roman"/>
    </w:rPr>
  </w:style>
  <w:style w:type="character" w:customStyle="1" w:styleId="RTFNum48">
    <w:name w:val="RTF_Num 4 8"/>
    <w:uiPriority w:val="99"/>
    <w:rsid w:val="00F3064E"/>
    <w:rPr>
      <w:rFonts w:eastAsia="Times New Roman"/>
    </w:rPr>
  </w:style>
  <w:style w:type="character" w:customStyle="1" w:styleId="RTFNum49">
    <w:name w:val="RTF_Num 4 9"/>
    <w:uiPriority w:val="99"/>
    <w:rsid w:val="00F3064E"/>
    <w:rPr>
      <w:rFonts w:eastAsia="Times New Roman"/>
    </w:rPr>
  </w:style>
  <w:style w:type="character" w:customStyle="1" w:styleId="RTFNum51">
    <w:name w:val="RTF_Num 5 1"/>
    <w:uiPriority w:val="99"/>
    <w:rsid w:val="00F3064E"/>
    <w:rPr>
      <w:rFonts w:ascii="Times New Roman" w:hAnsi="Times New Roman"/>
    </w:rPr>
  </w:style>
  <w:style w:type="character" w:customStyle="1" w:styleId="RTFNum52">
    <w:name w:val="RTF_Num 5 2"/>
    <w:uiPriority w:val="99"/>
    <w:rsid w:val="00F3064E"/>
    <w:rPr>
      <w:rFonts w:ascii="Courier New" w:hAnsi="Courier New"/>
    </w:rPr>
  </w:style>
  <w:style w:type="character" w:customStyle="1" w:styleId="RTFNum53">
    <w:name w:val="RTF_Num 5 3"/>
    <w:uiPriority w:val="99"/>
    <w:rsid w:val="00F3064E"/>
    <w:rPr>
      <w:rFonts w:ascii="Wingdings, Symbol" w:hAnsi="Wingdings, Symbol"/>
    </w:rPr>
  </w:style>
  <w:style w:type="character" w:customStyle="1" w:styleId="RTFNum54">
    <w:name w:val="RTF_Num 5 4"/>
    <w:uiPriority w:val="99"/>
    <w:rsid w:val="00F3064E"/>
    <w:rPr>
      <w:rFonts w:ascii="Symbol, 'Times New Roman'" w:hAnsi="Symbol, 'Times New Roman'"/>
    </w:rPr>
  </w:style>
  <w:style w:type="character" w:customStyle="1" w:styleId="RTFNum55">
    <w:name w:val="RTF_Num 5 5"/>
    <w:uiPriority w:val="99"/>
    <w:rsid w:val="00F3064E"/>
    <w:rPr>
      <w:rFonts w:ascii="Courier New" w:hAnsi="Courier New"/>
    </w:rPr>
  </w:style>
  <w:style w:type="character" w:customStyle="1" w:styleId="RTFNum56">
    <w:name w:val="RTF_Num 5 6"/>
    <w:uiPriority w:val="99"/>
    <w:rsid w:val="00F3064E"/>
    <w:rPr>
      <w:rFonts w:ascii="Wingdings, Symbol" w:hAnsi="Wingdings, Symbol"/>
    </w:rPr>
  </w:style>
  <w:style w:type="character" w:customStyle="1" w:styleId="RTFNum57">
    <w:name w:val="RTF_Num 5 7"/>
    <w:uiPriority w:val="99"/>
    <w:rsid w:val="00F3064E"/>
    <w:rPr>
      <w:rFonts w:ascii="Symbol, 'Times New Roman'" w:hAnsi="Symbol, 'Times New Roman'"/>
    </w:rPr>
  </w:style>
  <w:style w:type="character" w:customStyle="1" w:styleId="RTFNum58">
    <w:name w:val="RTF_Num 5 8"/>
    <w:uiPriority w:val="99"/>
    <w:rsid w:val="00F3064E"/>
    <w:rPr>
      <w:rFonts w:ascii="Courier New" w:hAnsi="Courier New"/>
    </w:rPr>
  </w:style>
  <w:style w:type="character" w:customStyle="1" w:styleId="RTFNum59">
    <w:name w:val="RTF_Num 5 9"/>
    <w:uiPriority w:val="99"/>
    <w:rsid w:val="00F3064E"/>
    <w:rPr>
      <w:rFonts w:ascii="Wingdings, Symbol" w:hAnsi="Wingdings, Symbol"/>
    </w:rPr>
  </w:style>
  <w:style w:type="paragraph" w:customStyle="1" w:styleId="Default">
    <w:name w:val="Default"/>
    <w:rsid w:val="009F6924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FE51D-5556-4745-94E0-132D7ED6E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DÔVODOVÁ SPRÁVA</vt:lpstr>
      <vt:lpstr>DÔVODOVÁ SPRÁVA</vt:lpstr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DÔVODOVÁ SPRÁVA</dc:title>
  <dc:subject/>
  <dc:creator>cibula</dc:creator>
  <cp:keywords/>
  <dc:description/>
  <cp:lastModifiedBy>Martin Beluský</cp:lastModifiedBy>
  <cp:revision>2</cp:revision>
  <cp:lastPrinted>2017-04-03T09:34:00Z</cp:lastPrinted>
  <dcterms:created xsi:type="dcterms:W3CDTF">2019-03-06T13:54:00Z</dcterms:created>
  <dcterms:modified xsi:type="dcterms:W3CDTF">2019-03-06T13:54:00Z</dcterms:modified>
</cp:coreProperties>
</file>