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DF" w:rsidRPr="00D23727" w:rsidRDefault="00B21737" w:rsidP="00B21737">
      <w:pPr>
        <w:spacing w:after="0" w:line="240" w:lineRule="auto"/>
        <w:jc w:val="center"/>
        <w:rPr>
          <w:rFonts w:ascii="Times New Roman" w:hAnsi="Times New Roman"/>
          <w:b/>
          <w:sz w:val="24"/>
          <w:szCs w:val="24"/>
        </w:rPr>
      </w:pPr>
      <w:bookmarkStart w:id="0" w:name="_GoBack"/>
      <w:bookmarkEnd w:id="0"/>
      <w:r w:rsidRPr="00D23727">
        <w:rPr>
          <w:rFonts w:ascii="Times New Roman" w:hAnsi="Times New Roman"/>
          <w:b/>
          <w:sz w:val="24"/>
          <w:szCs w:val="24"/>
        </w:rPr>
        <w:t>DÔVODOVÁ SPRÁVA</w:t>
      </w:r>
    </w:p>
    <w:p w:rsidR="00B21737" w:rsidRPr="00D23727" w:rsidRDefault="00B21737" w:rsidP="00B21737">
      <w:pPr>
        <w:spacing w:after="0" w:line="240" w:lineRule="auto"/>
        <w:jc w:val="center"/>
        <w:rPr>
          <w:rFonts w:ascii="Times New Roman" w:hAnsi="Times New Roman"/>
          <w:b/>
          <w:sz w:val="24"/>
          <w:szCs w:val="24"/>
        </w:rPr>
      </w:pPr>
    </w:p>
    <w:p w:rsidR="00C10429" w:rsidRPr="00840B75" w:rsidRDefault="00B21737" w:rsidP="00840B75">
      <w:pPr>
        <w:pStyle w:val="Odsekzoznamu"/>
        <w:numPr>
          <w:ilvl w:val="0"/>
          <w:numId w:val="2"/>
        </w:numPr>
        <w:spacing w:after="0" w:line="240" w:lineRule="auto"/>
        <w:jc w:val="both"/>
        <w:rPr>
          <w:rFonts w:ascii="Times New Roman" w:hAnsi="Times New Roman"/>
          <w:b/>
          <w:sz w:val="24"/>
          <w:szCs w:val="24"/>
        </w:rPr>
      </w:pPr>
      <w:r w:rsidRPr="00840B75">
        <w:rPr>
          <w:rFonts w:ascii="Times New Roman" w:hAnsi="Times New Roman"/>
          <w:b/>
          <w:sz w:val="24"/>
          <w:szCs w:val="24"/>
        </w:rPr>
        <w:t>Všeobecná časť</w:t>
      </w:r>
    </w:p>
    <w:p w:rsidR="00840B75" w:rsidRPr="00840B75" w:rsidRDefault="00840B75" w:rsidP="00AA20C6">
      <w:pPr>
        <w:pStyle w:val="Odsekzoznamu"/>
        <w:spacing w:after="0" w:line="240" w:lineRule="auto"/>
        <w:jc w:val="both"/>
        <w:rPr>
          <w:rFonts w:ascii="Times New Roman" w:hAnsi="Times New Roman"/>
          <w:b/>
          <w:sz w:val="24"/>
          <w:szCs w:val="24"/>
        </w:rPr>
      </w:pPr>
    </w:p>
    <w:p w:rsidR="00C10429" w:rsidRPr="00C10429" w:rsidRDefault="00C10429" w:rsidP="00C10429">
      <w:pPr>
        <w:spacing w:after="0" w:line="240" w:lineRule="auto"/>
        <w:ind w:firstLine="708"/>
        <w:jc w:val="both"/>
        <w:rPr>
          <w:rFonts w:ascii="Times New Roman" w:hAnsi="Times New Roman"/>
          <w:sz w:val="24"/>
          <w:szCs w:val="24"/>
        </w:rPr>
      </w:pPr>
      <w:r w:rsidRPr="00C10429">
        <w:rPr>
          <w:rFonts w:ascii="Times New Roman" w:hAnsi="Times New Roman"/>
          <w:sz w:val="24"/>
          <w:szCs w:val="24"/>
        </w:rPr>
        <w:t xml:space="preserve">Ministerstvo dopravy a výstavby Slovenskej republiky (ďalej len ,,ministerstvo“) predkladá návrh zákona o poskytovaní dotácií na podporu rozvoja cyklistickej dopravy </w:t>
      </w:r>
      <w:r w:rsidR="00AA20C6">
        <w:rPr>
          <w:rFonts w:ascii="Times New Roman" w:hAnsi="Times New Roman"/>
          <w:sz w:val="24"/>
          <w:szCs w:val="24"/>
        </w:rPr>
        <w:t xml:space="preserve">a cykloturistiky </w:t>
      </w:r>
      <w:r w:rsidRPr="00C10429">
        <w:rPr>
          <w:rFonts w:ascii="Times New Roman" w:hAnsi="Times New Roman"/>
          <w:sz w:val="24"/>
          <w:szCs w:val="24"/>
        </w:rPr>
        <w:t>(ďalej len ,,návrh zákona“) ako iniciatívny materiál.</w:t>
      </w:r>
    </w:p>
    <w:p w:rsidR="00C10429" w:rsidRPr="00C10429" w:rsidRDefault="00C10429" w:rsidP="00C10429">
      <w:pPr>
        <w:spacing w:after="0" w:line="240" w:lineRule="auto"/>
        <w:jc w:val="both"/>
        <w:rPr>
          <w:rFonts w:ascii="Times New Roman" w:hAnsi="Times New Roman"/>
          <w:sz w:val="24"/>
          <w:szCs w:val="24"/>
        </w:rPr>
      </w:pPr>
    </w:p>
    <w:p w:rsidR="00C10429" w:rsidRPr="00C10429" w:rsidRDefault="00C10429" w:rsidP="00C10429">
      <w:pPr>
        <w:spacing w:after="0" w:line="240" w:lineRule="auto"/>
        <w:ind w:firstLine="708"/>
        <w:jc w:val="both"/>
        <w:rPr>
          <w:rFonts w:ascii="Times New Roman" w:hAnsi="Times New Roman"/>
          <w:sz w:val="24"/>
          <w:szCs w:val="24"/>
        </w:rPr>
      </w:pPr>
      <w:r w:rsidRPr="00C10429">
        <w:rPr>
          <w:rFonts w:ascii="Times New Roman" w:hAnsi="Times New Roman"/>
          <w:sz w:val="24"/>
          <w:szCs w:val="24"/>
        </w:rPr>
        <w:t>Návrh zákona vychádza z dokumentu Národná stratégia rozvoja cyklistickej dopravy a cykloturistiky v Slovenskej republike, schváleného na základe uznesenia vlády Slovenskej republiky č. 223 zo 7. mája 2013, ktorý popisuje súčasný, východiskový stav cyklodopravy a cykloturistiky.</w:t>
      </w:r>
    </w:p>
    <w:p w:rsidR="00C10429" w:rsidRPr="00C10429" w:rsidRDefault="00C10429" w:rsidP="00C10429">
      <w:pPr>
        <w:spacing w:after="0" w:line="240" w:lineRule="auto"/>
        <w:ind w:firstLine="708"/>
        <w:jc w:val="both"/>
        <w:rPr>
          <w:rFonts w:ascii="Times New Roman" w:hAnsi="Times New Roman"/>
          <w:sz w:val="24"/>
          <w:szCs w:val="24"/>
        </w:rPr>
      </w:pPr>
    </w:p>
    <w:p w:rsidR="00C10429" w:rsidRDefault="00C10429" w:rsidP="00C10429">
      <w:pPr>
        <w:spacing w:after="0" w:line="240" w:lineRule="auto"/>
        <w:ind w:firstLine="708"/>
        <w:jc w:val="both"/>
        <w:rPr>
          <w:rFonts w:ascii="Times New Roman" w:hAnsi="Times New Roman"/>
          <w:sz w:val="24"/>
          <w:szCs w:val="24"/>
        </w:rPr>
      </w:pPr>
      <w:r w:rsidRPr="00C10429">
        <w:rPr>
          <w:rFonts w:ascii="Times New Roman" w:hAnsi="Times New Roman"/>
          <w:sz w:val="24"/>
          <w:szCs w:val="24"/>
        </w:rPr>
        <w:t xml:space="preserve">V súčasnosti vzniká čoraz väčšia spoločenská potreba rozvoja ekologickejších druhov dopravy, predovšetkým cyklistickej dopravy. Chýba základná sieť cyklistických trás, pričom samotná výstavba cyklistickej infraštruktúry je väčšinou vecou lokálnej iniciatívy. Počet cyklistov neustále rastie, a to najmä v centrách miest, ktorých infraštruktúra nie je prispôsobená pre ich bezpečný pohyb. Chýbajú nielen segregované trasy, ale tiež prvky upokojujúce motorovú dopravu. Rastúce nároky na mobilitu bývajú uspokojované individuálnou automobilovou dopravou, čo vedie k zhoršovaniu fyzickej a psychickej kondície a zdravotného stavu obyvateľstva a k nepriaznivému vplyvu na životné prostredie. </w:t>
      </w:r>
    </w:p>
    <w:p w:rsidR="00C10429" w:rsidRDefault="00C10429" w:rsidP="00C10429">
      <w:pPr>
        <w:spacing w:after="0" w:line="240" w:lineRule="auto"/>
        <w:ind w:firstLine="708"/>
        <w:jc w:val="both"/>
        <w:rPr>
          <w:rFonts w:ascii="Times New Roman" w:hAnsi="Times New Roman"/>
          <w:sz w:val="24"/>
          <w:szCs w:val="24"/>
        </w:rPr>
      </w:pPr>
    </w:p>
    <w:p w:rsidR="00C10429" w:rsidRPr="00C10429" w:rsidRDefault="00C10429" w:rsidP="00C10429">
      <w:pPr>
        <w:spacing w:after="0" w:line="240" w:lineRule="auto"/>
        <w:ind w:firstLine="709"/>
        <w:jc w:val="both"/>
        <w:rPr>
          <w:rFonts w:ascii="Times New Roman" w:hAnsi="Times New Roman"/>
          <w:sz w:val="24"/>
          <w:szCs w:val="24"/>
        </w:rPr>
      </w:pPr>
      <w:r w:rsidRPr="00D23727">
        <w:rPr>
          <w:rFonts w:ascii="Times New Roman" w:hAnsi="Times New Roman"/>
          <w:sz w:val="24"/>
          <w:szCs w:val="24"/>
        </w:rPr>
        <w:t>Podľa § 8a zákona č. 523/2004 Z. z. o rozpočtových pravidlách verejnej správy a o zmene a doplnení niektorých zákonov v znení neskorších predpisov sa dotácie poskytujú len na základe osobitného zákona v rozsahu, spôsobom a za podmienok ním ustanovených alebo ustanovených podrobnejšie iným všeobecne záväzným právnym predpisom vydaným na jeho vykonanie; tým nie sú dotknuté ustanovenia tohto zákona. Poskytovateľ dotácie môže ustanovené podmienky podrobnejšie určiť, prípadne môže určiť ďalšie podmienky, ktorými sa zabezpečí maximálna hospodárnosť a efektívnosť použitia dotácie.</w:t>
      </w:r>
    </w:p>
    <w:p w:rsidR="00C10429" w:rsidRPr="00C10429" w:rsidRDefault="00C10429" w:rsidP="00C10429">
      <w:pPr>
        <w:spacing w:after="0" w:line="240" w:lineRule="auto"/>
        <w:ind w:firstLine="708"/>
        <w:jc w:val="both"/>
        <w:rPr>
          <w:rFonts w:ascii="Times New Roman" w:hAnsi="Times New Roman"/>
          <w:sz w:val="24"/>
          <w:szCs w:val="24"/>
        </w:rPr>
      </w:pPr>
    </w:p>
    <w:p w:rsidR="00EC79B0" w:rsidRDefault="00EC79B0" w:rsidP="00EC79B0">
      <w:pPr>
        <w:spacing w:after="0" w:line="240" w:lineRule="auto"/>
        <w:ind w:firstLine="708"/>
        <w:jc w:val="both"/>
        <w:rPr>
          <w:rFonts w:ascii="Times New Roman" w:hAnsi="Times New Roman"/>
          <w:color w:val="000000"/>
          <w:sz w:val="24"/>
          <w:szCs w:val="24"/>
          <w:lang w:eastAsia="sk-SK"/>
        </w:rPr>
      </w:pPr>
      <w:r w:rsidRPr="00EC79B0">
        <w:rPr>
          <w:rFonts w:ascii="Times New Roman" w:hAnsi="Times New Roman"/>
          <w:color w:val="000000"/>
          <w:sz w:val="24"/>
          <w:szCs w:val="24"/>
          <w:lang w:eastAsia="sk-SK"/>
        </w:rPr>
        <w:t>Cieľom návrhu zákona je podpora rozvoja cyklistickej dopravy a cykloturistiky, a to formou poskytnutia dotácie z rozpočtovej kapitoly ministerstva na vypracovani</w:t>
      </w:r>
      <w:r w:rsidR="000B68F9">
        <w:rPr>
          <w:rFonts w:ascii="Times New Roman" w:hAnsi="Times New Roman"/>
          <w:color w:val="000000"/>
          <w:sz w:val="24"/>
          <w:szCs w:val="24"/>
          <w:lang w:eastAsia="sk-SK"/>
        </w:rPr>
        <w:t>e projektovej dokumentácie na výstavbu alebo</w:t>
      </w:r>
      <w:r w:rsidRPr="00EC79B0">
        <w:rPr>
          <w:rFonts w:ascii="Times New Roman" w:hAnsi="Times New Roman"/>
          <w:color w:val="000000"/>
          <w:sz w:val="24"/>
          <w:szCs w:val="24"/>
          <w:lang w:eastAsia="sk-SK"/>
        </w:rPr>
        <w:t xml:space="preserve"> rekonštrukci</w:t>
      </w:r>
      <w:r w:rsidR="000B68F9">
        <w:rPr>
          <w:rFonts w:ascii="Times New Roman" w:hAnsi="Times New Roman"/>
          <w:color w:val="000000"/>
          <w:sz w:val="24"/>
          <w:szCs w:val="24"/>
          <w:lang w:eastAsia="sk-SK"/>
        </w:rPr>
        <w:t xml:space="preserve">u </w:t>
      </w:r>
      <w:r w:rsidRPr="00EC79B0">
        <w:rPr>
          <w:rFonts w:ascii="Times New Roman" w:hAnsi="Times New Roman"/>
          <w:color w:val="000000"/>
          <w:sz w:val="24"/>
          <w:szCs w:val="24"/>
          <w:lang w:eastAsia="sk-SK"/>
        </w:rPr>
        <w:t xml:space="preserve">cyklistickej komunikácie, vypracovanie projektovej dokumentácie </w:t>
      </w:r>
      <w:r w:rsidR="000B68F9">
        <w:rPr>
          <w:rFonts w:ascii="Times New Roman" w:hAnsi="Times New Roman"/>
          <w:color w:val="000000"/>
          <w:sz w:val="24"/>
          <w:szCs w:val="24"/>
          <w:lang w:eastAsia="sk-SK"/>
        </w:rPr>
        <w:t xml:space="preserve">na </w:t>
      </w:r>
      <w:r w:rsidRPr="00EC79B0">
        <w:rPr>
          <w:rFonts w:ascii="Times New Roman" w:hAnsi="Times New Roman"/>
          <w:color w:val="000000"/>
          <w:sz w:val="24"/>
          <w:szCs w:val="24"/>
          <w:lang w:eastAsia="sk-SK"/>
        </w:rPr>
        <w:t>dopravné značeni</w:t>
      </w:r>
      <w:r w:rsidR="000B68F9">
        <w:rPr>
          <w:rFonts w:ascii="Times New Roman" w:hAnsi="Times New Roman"/>
          <w:color w:val="000000"/>
          <w:sz w:val="24"/>
          <w:szCs w:val="24"/>
          <w:lang w:eastAsia="sk-SK"/>
        </w:rPr>
        <w:t>e</w:t>
      </w:r>
      <w:r w:rsidRPr="00EC79B0">
        <w:rPr>
          <w:rFonts w:ascii="Times New Roman" w:hAnsi="Times New Roman"/>
          <w:color w:val="000000"/>
          <w:sz w:val="24"/>
          <w:szCs w:val="24"/>
          <w:lang w:eastAsia="sk-SK"/>
        </w:rPr>
        <w:t xml:space="preserve"> cyk</w:t>
      </w:r>
      <w:r w:rsidR="000B68F9">
        <w:rPr>
          <w:rFonts w:ascii="Times New Roman" w:hAnsi="Times New Roman"/>
          <w:color w:val="000000"/>
          <w:sz w:val="24"/>
          <w:szCs w:val="24"/>
          <w:lang w:eastAsia="sk-SK"/>
        </w:rPr>
        <w:t>listickej komunikácie, výstavbu</w:t>
      </w:r>
      <w:r w:rsidRPr="00EC79B0">
        <w:rPr>
          <w:rFonts w:ascii="Times New Roman" w:hAnsi="Times New Roman"/>
          <w:color w:val="000000"/>
          <w:sz w:val="24"/>
          <w:szCs w:val="24"/>
          <w:lang w:eastAsia="sk-SK"/>
        </w:rPr>
        <w:t xml:space="preserve"> alebo </w:t>
      </w:r>
      <w:r w:rsidR="000B68F9">
        <w:rPr>
          <w:rFonts w:ascii="Times New Roman" w:hAnsi="Times New Roman"/>
          <w:color w:val="000000"/>
          <w:sz w:val="24"/>
          <w:szCs w:val="24"/>
          <w:lang w:eastAsia="sk-SK"/>
        </w:rPr>
        <w:t>rekonštrukciu</w:t>
      </w:r>
      <w:r w:rsidRPr="00EC79B0">
        <w:rPr>
          <w:rFonts w:ascii="Times New Roman" w:hAnsi="Times New Roman"/>
          <w:color w:val="000000"/>
          <w:sz w:val="24"/>
          <w:szCs w:val="24"/>
          <w:lang w:eastAsia="sk-SK"/>
        </w:rPr>
        <w:t xml:space="preserve"> cyklistickej infraštruktúry, osvetové kampane a propagačné kampane.</w:t>
      </w:r>
    </w:p>
    <w:p w:rsidR="00EC79B0" w:rsidRPr="00EC79B0" w:rsidRDefault="00EC79B0" w:rsidP="00EC79B0">
      <w:pPr>
        <w:spacing w:after="0" w:line="240" w:lineRule="auto"/>
        <w:ind w:firstLine="708"/>
        <w:jc w:val="both"/>
        <w:rPr>
          <w:rFonts w:ascii="Times New Roman" w:hAnsi="Times New Roman"/>
          <w:color w:val="000000"/>
          <w:sz w:val="24"/>
          <w:szCs w:val="24"/>
          <w:lang w:eastAsia="sk-SK"/>
        </w:rPr>
      </w:pPr>
    </w:p>
    <w:p w:rsidR="00C10429" w:rsidRDefault="00EC79B0" w:rsidP="00EC79B0">
      <w:pPr>
        <w:spacing w:after="0" w:line="240" w:lineRule="auto"/>
        <w:ind w:firstLine="708"/>
        <w:jc w:val="both"/>
        <w:rPr>
          <w:rFonts w:ascii="Times New Roman" w:hAnsi="Times New Roman"/>
          <w:color w:val="000000"/>
          <w:sz w:val="24"/>
          <w:szCs w:val="24"/>
          <w:lang w:eastAsia="sk-SK"/>
        </w:rPr>
      </w:pPr>
      <w:r w:rsidRPr="00EC79B0">
        <w:rPr>
          <w:rFonts w:ascii="Times New Roman" w:hAnsi="Times New Roman"/>
          <w:color w:val="000000"/>
          <w:sz w:val="24"/>
          <w:szCs w:val="24"/>
          <w:lang w:eastAsia="sk-SK"/>
        </w:rPr>
        <w:t>Predkladaný návrh zákona predpokladá negatívny vplyv na rozpočet verejnej správy a pozitívny vplyv na životné prostredie, nemá vplyv na podnikateľské prostredie, sociálne vplyvy, vplyvy na informatizáciu spoločnosti a ani vplyvy verejnej správy pre občana.</w:t>
      </w:r>
    </w:p>
    <w:p w:rsidR="00EC79B0" w:rsidRPr="00C10429" w:rsidRDefault="00EC79B0" w:rsidP="00EC79B0">
      <w:pPr>
        <w:spacing w:after="0" w:line="240" w:lineRule="auto"/>
        <w:ind w:firstLine="708"/>
        <w:jc w:val="both"/>
        <w:rPr>
          <w:rFonts w:ascii="Times New Roman" w:hAnsi="Times New Roman"/>
          <w:color w:val="000000"/>
          <w:sz w:val="24"/>
          <w:szCs w:val="24"/>
          <w:lang w:eastAsia="sk-SK"/>
        </w:rPr>
      </w:pPr>
    </w:p>
    <w:p w:rsidR="00C10429" w:rsidRPr="00C10429" w:rsidRDefault="00C10429" w:rsidP="00C10429">
      <w:pPr>
        <w:spacing w:after="0" w:line="240" w:lineRule="auto"/>
        <w:ind w:firstLine="708"/>
        <w:jc w:val="both"/>
        <w:rPr>
          <w:rFonts w:ascii="Times New Roman" w:hAnsi="Times New Roman"/>
          <w:color w:val="000000"/>
          <w:sz w:val="24"/>
          <w:szCs w:val="24"/>
          <w:lang w:eastAsia="sk-SK"/>
        </w:rPr>
      </w:pPr>
      <w:r w:rsidRPr="00C10429">
        <w:rPr>
          <w:rFonts w:ascii="Times New Roman" w:hAnsi="Times New Roman"/>
          <w:color w:val="000000"/>
          <w:sz w:val="24"/>
          <w:szCs w:val="24"/>
          <w:lang w:eastAsia="sk-SK"/>
        </w:rPr>
        <w:t xml:space="preserve">Návrh zákona je v súlade s Ústavou Slovenskej republiky, ústavnými zákonmi, </w:t>
      </w:r>
      <w:r w:rsidR="00E8211B">
        <w:rPr>
          <w:rFonts w:ascii="Times New Roman" w:hAnsi="Times New Roman"/>
          <w:color w:val="000000"/>
          <w:sz w:val="24"/>
          <w:szCs w:val="24"/>
          <w:lang w:eastAsia="sk-SK"/>
        </w:rPr>
        <w:t>nálezmi</w:t>
      </w:r>
      <w:r w:rsidRPr="00C10429">
        <w:rPr>
          <w:rFonts w:ascii="Times New Roman" w:hAnsi="Times New Roman"/>
          <w:color w:val="000000"/>
          <w:sz w:val="24"/>
          <w:szCs w:val="24"/>
          <w:lang w:eastAsia="sk-SK"/>
        </w:rPr>
        <w:t xml:space="preserve"> Ústavného súdu Slovenskej republiky, zákonmi a ostatnými všeobecne záväznými právnymi prepismi, medzinárodnými zmluvami a inými medzinárodnými dokumentmi, ktorými je Slovenská republika viazaná ako aj s právne záväznými aktmi Európskej únie.</w:t>
      </w:r>
    </w:p>
    <w:p w:rsidR="0043604D" w:rsidRPr="00D23727" w:rsidRDefault="0043604D" w:rsidP="00C10429">
      <w:pPr>
        <w:spacing w:after="0" w:line="240" w:lineRule="auto"/>
        <w:jc w:val="both"/>
        <w:rPr>
          <w:rFonts w:ascii="Times New Roman" w:hAnsi="Times New Roman"/>
          <w:b/>
          <w:sz w:val="24"/>
          <w:szCs w:val="24"/>
        </w:rPr>
      </w:pPr>
    </w:p>
    <w:p w:rsidR="00D52761" w:rsidRDefault="00D52761" w:rsidP="00027BAA">
      <w:pPr>
        <w:spacing w:after="0" w:line="240" w:lineRule="auto"/>
        <w:jc w:val="both"/>
        <w:rPr>
          <w:rFonts w:ascii="Times New Roman" w:hAnsi="Times New Roman"/>
          <w:b/>
          <w:sz w:val="24"/>
          <w:szCs w:val="24"/>
        </w:rPr>
      </w:pPr>
    </w:p>
    <w:p w:rsidR="00D52761" w:rsidRDefault="00D52761" w:rsidP="00027BAA">
      <w:pPr>
        <w:spacing w:after="0" w:line="240" w:lineRule="auto"/>
        <w:jc w:val="both"/>
        <w:rPr>
          <w:rFonts w:ascii="Times New Roman" w:hAnsi="Times New Roman"/>
          <w:b/>
          <w:sz w:val="24"/>
          <w:szCs w:val="24"/>
        </w:rPr>
      </w:pPr>
    </w:p>
    <w:p w:rsidR="00EB1172" w:rsidRDefault="00EB1172" w:rsidP="00027BAA">
      <w:pPr>
        <w:spacing w:after="0" w:line="240" w:lineRule="auto"/>
        <w:jc w:val="both"/>
        <w:rPr>
          <w:rFonts w:ascii="Times New Roman" w:hAnsi="Times New Roman"/>
          <w:b/>
          <w:sz w:val="24"/>
          <w:szCs w:val="24"/>
        </w:rPr>
      </w:pPr>
    </w:p>
    <w:p w:rsidR="00EB1172" w:rsidRDefault="00EB1172" w:rsidP="00027BAA">
      <w:pPr>
        <w:spacing w:after="0" w:line="240" w:lineRule="auto"/>
        <w:jc w:val="both"/>
        <w:rPr>
          <w:rFonts w:ascii="Times New Roman" w:hAnsi="Times New Roman"/>
          <w:b/>
          <w:sz w:val="24"/>
          <w:szCs w:val="24"/>
        </w:rPr>
      </w:pPr>
    </w:p>
    <w:p w:rsidR="00C512C0" w:rsidRDefault="00C512C0" w:rsidP="00027BAA">
      <w:pPr>
        <w:spacing w:after="0" w:line="240" w:lineRule="auto"/>
        <w:jc w:val="both"/>
        <w:rPr>
          <w:rFonts w:ascii="Times New Roman" w:hAnsi="Times New Roman"/>
          <w:b/>
          <w:sz w:val="24"/>
          <w:szCs w:val="24"/>
        </w:rPr>
      </w:pPr>
    </w:p>
    <w:p w:rsidR="000716F3" w:rsidRDefault="000716F3" w:rsidP="000716F3">
      <w:pPr>
        <w:spacing w:after="0" w:line="240" w:lineRule="auto"/>
        <w:jc w:val="center"/>
        <w:rPr>
          <w:rFonts w:ascii="Times New Roman" w:hAnsi="Times New Roman"/>
          <w:b/>
          <w:sz w:val="24"/>
          <w:szCs w:val="24"/>
        </w:rPr>
      </w:pPr>
    </w:p>
    <w:p w:rsidR="000716F3" w:rsidRPr="000716F3" w:rsidRDefault="000716F3" w:rsidP="000716F3">
      <w:pPr>
        <w:spacing w:after="0" w:line="240" w:lineRule="auto"/>
        <w:jc w:val="center"/>
        <w:rPr>
          <w:rFonts w:ascii="Times New Roman" w:hAnsi="Times New Roman"/>
          <w:b/>
          <w:bCs/>
          <w:sz w:val="28"/>
          <w:szCs w:val="28"/>
          <w:lang w:eastAsia="sk-SK"/>
        </w:rPr>
      </w:pPr>
      <w:r w:rsidRPr="000716F3">
        <w:rPr>
          <w:rFonts w:ascii="Times New Roman" w:hAnsi="Times New Roman"/>
          <w:b/>
          <w:bCs/>
          <w:sz w:val="28"/>
          <w:szCs w:val="28"/>
          <w:lang w:eastAsia="sk-SK"/>
        </w:rPr>
        <w:lastRenderedPageBreak/>
        <w:t>Doložka vybraných vplyvov</w:t>
      </w:r>
    </w:p>
    <w:p w:rsidR="000716F3" w:rsidRPr="000716F3" w:rsidRDefault="000716F3" w:rsidP="000716F3">
      <w:pPr>
        <w:spacing w:after="200" w:line="276" w:lineRule="auto"/>
        <w:ind w:left="426"/>
        <w:contextualSpacing/>
        <w:rPr>
          <w:rFonts w:ascii="Calibri" w:hAnsi="Calibri"/>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Základné údaje</w:t>
            </w:r>
          </w:p>
        </w:tc>
      </w:tr>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spacing w:after="200" w:line="276" w:lineRule="auto"/>
              <w:ind w:left="142"/>
              <w:rPr>
                <w:rFonts w:ascii="Times New Roman" w:hAnsi="Times New Roman"/>
                <w:b/>
              </w:rPr>
            </w:pPr>
            <w:r w:rsidRPr="000716F3">
              <w:rPr>
                <w:rFonts w:ascii="Times New Roman" w:hAnsi="Times New Roman"/>
                <w:b/>
              </w:rPr>
              <w:t>Názov materiálu</w:t>
            </w:r>
          </w:p>
        </w:tc>
      </w:tr>
      <w:tr w:rsidR="000716F3" w:rsidRPr="000716F3" w:rsidTr="000716F3">
        <w:tc>
          <w:tcPr>
            <w:tcW w:w="9180" w:type="dxa"/>
            <w:gridSpan w:val="10"/>
            <w:tcBorders>
              <w:top w:val="single" w:sz="4" w:space="0" w:color="FFFFFF"/>
            </w:tcBorders>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Návrh zákona o poskytovaní dotácií na podporu rozvoja cyklistickej dopravy a cykloturistiky</w:t>
            </w:r>
          </w:p>
        </w:tc>
      </w:tr>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spacing w:after="200" w:line="276" w:lineRule="auto"/>
              <w:ind w:left="142"/>
              <w:rPr>
                <w:rFonts w:ascii="Times New Roman" w:hAnsi="Times New Roman"/>
                <w:b/>
              </w:rPr>
            </w:pPr>
            <w:r w:rsidRPr="000716F3">
              <w:rPr>
                <w:rFonts w:ascii="Times New Roman" w:hAnsi="Times New Roman"/>
                <w:b/>
              </w:rPr>
              <w:t>Predkladateľ (a spolupredkladateľ)</w:t>
            </w:r>
          </w:p>
        </w:tc>
      </w:tr>
      <w:tr w:rsidR="000716F3" w:rsidRPr="000716F3" w:rsidTr="000716F3">
        <w:tc>
          <w:tcPr>
            <w:tcW w:w="9180" w:type="dxa"/>
            <w:gridSpan w:val="10"/>
            <w:tcBorders>
              <w:top w:val="single" w:sz="4" w:space="0" w:color="FFFFFF"/>
            </w:tcBorders>
            <w:shd w:val="clear" w:color="auto" w:fill="FFFFFF"/>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Ministerstvo dopravy a výstavby Slovenskej republiky</w:t>
            </w:r>
          </w:p>
          <w:p w:rsidR="000716F3" w:rsidRPr="000716F3" w:rsidRDefault="000716F3" w:rsidP="000716F3">
            <w:pPr>
              <w:rPr>
                <w:rFonts w:ascii="Times New Roman" w:hAnsi="Times New Roman"/>
                <w:sz w:val="20"/>
                <w:szCs w:val="20"/>
                <w:lang w:eastAsia="sk-SK"/>
              </w:rPr>
            </w:pPr>
          </w:p>
        </w:tc>
      </w:tr>
      <w:tr w:rsidR="000716F3" w:rsidRPr="000716F3" w:rsidTr="000716F3">
        <w:tc>
          <w:tcPr>
            <w:tcW w:w="4212" w:type="dxa"/>
            <w:gridSpan w:val="2"/>
            <w:vMerge w:val="restart"/>
            <w:tcBorders>
              <w:bottom w:val="single" w:sz="4" w:space="0" w:color="FFFFFF"/>
            </w:tcBorders>
            <w:shd w:val="clear" w:color="auto" w:fill="E2E2E2"/>
            <w:vAlign w:val="center"/>
          </w:tcPr>
          <w:p w:rsidR="000716F3" w:rsidRPr="000716F3" w:rsidRDefault="000716F3" w:rsidP="000716F3">
            <w:pPr>
              <w:spacing w:after="200" w:line="276" w:lineRule="auto"/>
              <w:ind w:left="142"/>
              <w:rPr>
                <w:rFonts w:ascii="Times New Roman" w:hAnsi="Times New Roman"/>
                <w:b/>
              </w:rPr>
            </w:pPr>
            <w:r w:rsidRPr="000716F3">
              <w:rPr>
                <w:rFonts w:ascii="Times New Roman" w:hAnsi="Times New Roman"/>
                <w:b/>
              </w:rPr>
              <w:t>Charakter predkladaného materiálu</w:t>
            </w:r>
          </w:p>
        </w:tc>
        <w:tc>
          <w:tcPr>
            <w:tcW w:w="705" w:type="dxa"/>
            <w:gridSpan w:val="2"/>
            <w:tcBorders>
              <w:right w:val="nil"/>
            </w:tcBorders>
            <w:shd w:val="clear" w:color="auto" w:fill="FFFFFF"/>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4263" w:type="dxa"/>
            <w:gridSpan w:val="6"/>
            <w:tcBorders>
              <w:left w:val="nil"/>
            </w:tcBorders>
            <w:shd w:val="clear" w:color="auto" w:fill="FFFFFF"/>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Materiál nelegislatívnej povahy</w:t>
            </w:r>
          </w:p>
        </w:tc>
      </w:tr>
      <w:tr w:rsidR="000716F3" w:rsidRPr="000716F3" w:rsidTr="000716F3">
        <w:tc>
          <w:tcPr>
            <w:tcW w:w="4212" w:type="dxa"/>
            <w:gridSpan w:val="2"/>
            <w:vMerge/>
            <w:tcBorders>
              <w:top w:val="nil"/>
              <w:bottom w:val="single" w:sz="4" w:space="0" w:color="FFFFFF"/>
            </w:tcBorders>
            <w:shd w:val="clear" w:color="auto" w:fill="E2E2E2"/>
          </w:tcPr>
          <w:p w:rsidR="000716F3" w:rsidRPr="000716F3" w:rsidRDefault="000716F3" w:rsidP="000716F3">
            <w:pPr>
              <w:rPr>
                <w:rFonts w:ascii="Times New Roman" w:hAnsi="Times New Roman"/>
                <w:sz w:val="20"/>
                <w:szCs w:val="20"/>
                <w:lang w:eastAsia="sk-SK"/>
              </w:rPr>
            </w:pPr>
          </w:p>
        </w:tc>
        <w:tc>
          <w:tcPr>
            <w:tcW w:w="705" w:type="dxa"/>
            <w:gridSpan w:val="2"/>
            <w:tcBorders>
              <w:right w:val="nil"/>
            </w:tcBorders>
            <w:shd w:val="clear" w:color="auto" w:fill="FFFFFF"/>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4263" w:type="dxa"/>
            <w:gridSpan w:val="6"/>
            <w:tcBorders>
              <w:left w:val="nil"/>
            </w:tcBorders>
            <w:shd w:val="clear" w:color="auto" w:fill="FFFFFF"/>
          </w:tcPr>
          <w:p w:rsidR="000716F3" w:rsidRPr="000716F3" w:rsidRDefault="000716F3" w:rsidP="000716F3">
            <w:pPr>
              <w:ind w:left="175" w:hanging="175"/>
              <w:rPr>
                <w:rFonts w:ascii="Times New Roman" w:hAnsi="Times New Roman"/>
                <w:sz w:val="20"/>
                <w:szCs w:val="20"/>
                <w:lang w:eastAsia="sk-SK"/>
              </w:rPr>
            </w:pPr>
            <w:r w:rsidRPr="000716F3">
              <w:rPr>
                <w:rFonts w:ascii="Times New Roman" w:hAnsi="Times New Roman"/>
                <w:sz w:val="20"/>
                <w:szCs w:val="20"/>
                <w:lang w:eastAsia="sk-SK"/>
              </w:rPr>
              <w:t>Materiál legislatívnej povahy</w:t>
            </w:r>
          </w:p>
        </w:tc>
      </w:tr>
      <w:tr w:rsidR="000716F3" w:rsidRPr="000716F3" w:rsidTr="000716F3">
        <w:tc>
          <w:tcPr>
            <w:tcW w:w="4212" w:type="dxa"/>
            <w:gridSpan w:val="2"/>
            <w:vMerge/>
            <w:tcBorders>
              <w:top w:val="nil"/>
            </w:tcBorders>
            <w:shd w:val="clear" w:color="auto" w:fill="E2E2E2"/>
          </w:tcPr>
          <w:p w:rsidR="000716F3" w:rsidRPr="000716F3" w:rsidRDefault="000716F3" w:rsidP="000716F3">
            <w:pPr>
              <w:rPr>
                <w:rFonts w:ascii="Times New Roman" w:hAnsi="Times New Roman"/>
                <w:sz w:val="20"/>
                <w:szCs w:val="20"/>
                <w:lang w:eastAsia="sk-SK"/>
              </w:rPr>
            </w:pPr>
          </w:p>
        </w:tc>
        <w:tc>
          <w:tcPr>
            <w:tcW w:w="705" w:type="dxa"/>
            <w:gridSpan w:val="2"/>
            <w:tcBorders>
              <w:right w:val="nil"/>
            </w:tcBorders>
            <w:shd w:val="clear" w:color="auto" w:fill="FFFFFF"/>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4263" w:type="dxa"/>
            <w:gridSpan w:val="6"/>
            <w:tcBorders>
              <w:left w:val="nil"/>
            </w:tcBorders>
            <w:shd w:val="clear" w:color="auto" w:fill="FFFFFF"/>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Transpozícia práva EÚ</w:t>
            </w:r>
          </w:p>
        </w:tc>
      </w:tr>
      <w:tr w:rsidR="000716F3" w:rsidRPr="000716F3" w:rsidTr="000716F3">
        <w:tc>
          <w:tcPr>
            <w:tcW w:w="9180" w:type="dxa"/>
            <w:gridSpan w:val="10"/>
            <w:tcBorders>
              <w:bottom w:val="single" w:sz="4" w:space="0" w:color="FFFFFF"/>
            </w:tcBorders>
            <w:shd w:val="clear" w:color="auto" w:fill="FFFFFF"/>
          </w:tcPr>
          <w:p w:rsidR="000716F3" w:rsidRPr="000716F3" w:rsidRDefault="000716F3" w:rsidP="000716F3">
            <w:pPr>
              <w:rPr>
                <w:rFonts w:ascii="Times New Roman" w:hAnsi="Times New Roman"/>
                <w:i/>
                <w:sz w:val="20"/>
                <w:szCs w:val="20"/>
                <w:lang w:eastAsia="sk-SK"/>
              </w:rPr>
            </w:pPr>
            <w:r w:rsidRPr="000716F3">
              <w:rPr>
                <w:rFonts w:ascii="Times New Roman" w:hAnsi="Times New Roman"/>
                <w:i/>
                <w:sz w:val="20"/>
                <w:szCs w:val="20"/>
                <w:lang w:eastAsia="sk-SK"/>
              </w:rPr>
              <w:t>V prípade transpozície uveďte zoznam transponovaných predpisov:</w:t>
            </w:r>
          </w:p>
          <w:p w:rsidR="000716F3" w:rsidRPr="000716F3" w:rsidRDefault="000716F3" w:rsidP="000716F3">
            <w:pPr>
              <w:rPr>
                <w:rFonts w:ascii="Times New Roman" w:hAnsi="Times New Roman"/>
                <w:sz w:val="20"/>
                <w:szCs w:val="20"/>
                <w:lang w:eastAsia="sk-SK"/>
              </w:rPr>
            </w:pPr>
          </w:p>
          <w:p w:rsidR="000716F3" w:rsidRPr="000716F3" w:rsidRDefault="000716F3" w:rsidP="000716F3">
            <w:pPr>
              <w:rPr>
                <w:rFonts w:ascii="Times New Roman" w:hAnsi="Times New Roman"/>
                <w:sz w:val="20"/>
                <w:szCs w:val="20"/>
                <w:lang w:eastAsia="sk-SK"/>
              </w:rPr>
            </w:pPr>
          </w:p>
        </w:tc>
      </w:tr>
      <w:tr w:rsidR="000716F3" w:rsidRPr="000716F3" w:rsidTr="000716F3">
        <w:tc>
          <w:tcPr>
            <w:tcW w:w="5634" w:type="dxa"/>
            <w:gridSpan w:val="5"/>
            <w:tcBorders>
              <w:top w:val="single" w:sz="4" w:space="0" w:color="000000"/>
              <w:bottom w:val="single" w:sz="4" w:space="0" w:color="FFFFFF"/>
            </w:tcBorders>
            <w:shd w:val="clear" w:color="auto" w:fill="E2E2E2"/>
          </w:tcPr>
          <w:p w:rsidR="000716F3" w:rsidRPr="000716F3" w:rsidRDefault="000716F3" w:rsidP="000716F3">
            <w:pPr>
              <w:spacing w:after="200" w:line="276" w:lineRule="auto"/>
              <w:ind w:left="142"/>
              <w:rPr>
                <w:rFonts w:ascii="Times New Roman" w:hAnsi="Times New Roman"/>
                <w:b/>
              </w:rPr>
            </w:pPr>
            <w:r w:rsidRPr="000716F3">
              <w:rPr>
                <w:rFonts w:ascii="Times New Roman" w:hAnsi="Times New Roman"/>
                <w:b/>
              </w:rPr>
              <w:t>Termín začiatku a ukončenia PPK</w:t>
            </w:r>
          </w:p>
        </w:tc>
        <w:tc>
          <w:tcPr>
            <w:tcW w:w="3546" w:type="dxa"/>
            <w:gridSpan w:val="5"/>
            <w:tcBorders>
              <w:top w:val="single" w:sz="4" w:space="0" w:color="000000"/>
            </w:tcBorders>
          </w:tcPr>
          <w:p w:rsidR="000716F3" w:rsidRPr="000716F3" w:rsidRDefault="000716F3" w:rsidP="000716F3">
            <w:pPr>
              <w:rPr>
                <w:rFonts w:ascii="Times" w:hAnsi="Times" w:cs="Times"/>
                <w:sz w:val="20"/>
                <w:szCs w:val="20"/>
                <w:lang w:eastAsia="sk-SK"/>
              </w:rPr>
            </w:pPr>
            <w:r w:rsidRPr="000716F3">
              <w:rPr>
                <w:rFonts w:ascii="Times" w:hAnsi="Times" w:cs="Times"/>
                <w:sz w:val="20"/>
                <w:szCs w:val="20"/>
                <w:lang w:eastAsia="sk-SK"/>
              </w:rPr>
              <w:t>Začiatok:     január 2019</w:t>
            </w:r>
          </w:p>
          <w:p w:rsidR="000716F3" w:rsidRPr="000716F3" w:rsidRDefault="000716F3" w:rsidP="000716F3">
            <w:pPr>
              <w:rPr>
                <w:rFonts w:ascii="Times New Roman" w:hAnsi="Times New Roman"/>
                <w:i/>
                <w:sz w:val="20"/>
                <w:szCs w:val="20"/>
                <w:lang w:eastAsia="sk-SK"/>
              </w:rPr>
            </w:pPr>
            <w:r w:rsidRPr="000716F3">
              <w:rPr>
                <w:rFonts w:ascii="Times" w:hAnsi="Times" w:cs="Times"/>
                <w:sz w:val="20"/>
                <w:szCs w:val="20"/>
                <w:lang w:eastAsia="sk-SK"/>
              </w:rPr>
              <w:t>Ukončenie:  január 2019</w:t>
            </w:r>
          </w:p>
        </w:tc>
      </w:tr>
      <w:tr w:rsidR="000716F3" w:rsidRPr="000716F3" w:rsidTr="000716F3">
        <w:tc>
          <w:tcPr>
            <w:tcW w:w="5634" w:type="dxa"/>
            <w:gridSpan w:val="5"/>
            <w:tcBorders>
              <w:bottom w:val="single" w:sz="4" w:space="0" w:color="FFFFFF"/>
            </w:tcBorders>
            <w:shd w:val="clear" w:color="auto" w:fill="E2E2E2"/>
          </w:tcPr>
          <w:p w:rsidR="000716F3" w:rsidRPr="000716F3" w:rsidRDefault="000716F3" w:rsidP="000716F3">
            <w:pPr>
              <w:spacing w:after="200" w:line="276" w:lineRule="auto"/>
              <w:ind w:left="142"/>
              <w:rPr>
                <w:rFonts w:ascii="Times New Roman" w:hAnsi="Times New Roman"/>
                <w:b/>
              </w:rPr>
            </w:pPr>
            <w:r w:rsidRPr="000716F3">
              <w:rPr>
                <w:rFonts w:ascii="Times New Roman" w:hAnsi="Times New Roman"/>
                <w:b/>
              </w:rPr>
              <w:t>Predpokladaný termín predloženia na MPK*</w:t>
            </w:r>
          </w:p>
        </w:tc>
        <w:tc>
          <w:tcPr>
            <w:tcW w:w="3546" w:type="dxa"/>
            <w:gridSpan w:val="5"/>
          </w:tcPr>
          <w:p w:rsidR="000716F3" w:rsidRPr="000716F3" w:rsidRDefault="000716F3" w:rsidP="000716F3">
            <w:pPr>
              <w:rPr>
                <w:rFonts w:ascii="Times New Roman" w:hAnsi="Times New Roman"/>
                <w:i/>
                <w:sz w:val="20"/>
                <w:szCs w:val="20"/>
                <w:lang w:eastAsia="sk-SK"/>
              </w:rPr>
            </w:pPr>
            <w:r w:rsidRPr="000716F3">
              <w:rPr>
                <w:rFonts w:ascii="Times New Roman" w:hAnsi="Times New Roman"/>
                <w:i/>
                <w:sz w:val="20"/>
                <w:szCs w:val="20"/>
                <w:lang w:eastAsia="sk-SK"/>
              </w:rPr>
              <w:t>február 2019</w:t>
            </w:r>
          </w:p>
        </w:tc>
      </w:tr>
      <w:tr w:rsidR="000716F3" w:rsidRPr="000716F3" w:rsidTr="000716F3">
        <w:tc>
          <w:tcPr>
            <w:tcW w:w="5634" w:type="dxa"/>
            <w:gridSpan w:val="5"/>
            <w:tcBorders>
              <w:bottom w:val="single" w:sz="4" w:space="0" w:color="FFFFFF"/>
            </w:tcBorders>
            <w:shd w:val="clear" w:color="auto" w:fill="E2E2E2"/>
          </w:tcPr>
          <w:p w:rsidR="000716F3" w:rsidRPr="000716F3" w:rsidRDefault="000716F3" w:rsidP="000716F3">
            <w:pPr>
              <w:spacing w:after="200" w:line="276" w:lineRule="auto"/>
              <w:ind w:left="142"/>
              <w:rPr>
                <w:rFonts w:ascii="Times New Roman" w:hAnsi="Times New Roman"/>
                <w:b/>
              </w:rPr>
            </w:pPr>
            <w:r w:rsidRPr="000716F3">
              <w:rPr>
                <w:rFonts w:ascii="Times New Roman" w:hAnsi="Times New Roman"/>
                <w:b/>
              </w:rPr>
              <w:t>Predpokladaný termín predloženia na Rokovanie vlády SR*</w:t>
            </w:r>
          </w:p>
        </w:tc>
        <w:tc>
          <w:tcPr>
            <w:tcW w:w="3546" w:type="dxa"/>
            <w:gridSpan w:val="5"/>
          </w:tcPr>
          <w:p w:rsidR="000716F3" w:rsidRPr="000716F3" w:rsidRDefault="000716F3" w:rsidP="000716F3">
            <w:pPr>
              <w:rPr>
                <w:rFonts w:ascii="Times New Roman" w:hAnsi="Times New Roman"/>
                <w:i/>
                <w:sz w:val="20"/>
                <w:szCs w:val="20"/>
                <w:lang w:eastAsia="sk-SK"/>
              </w:rPr>
            </w:pPr>
            <w:r w:rsidRPr="000716F3">
              <w:rPr>
                <w:rFonts w:ascii="Times New Roman" w:hAnsi="Times New Roman"/>
                <w:i/>
                <w:sz w:val="20"/>
                <w:szCs w:val="20"/>
                <w:lang w:eastAsia="sk-SK"/>
              </w:rPr>
              <w:t>marec 2019</w:t>
            </w:r>
          </w:p>
        </w:tc>
      </w:tr>
      <w:tr w:rsidR="000716F3" w:rsidRPr="000716F3" w:rsidTr="000716F3">
        <w:tc>
          <w:tcPr>
            <w:tcW w:w="9180" w:type="dxa"/>
            <w:gridSpan w:val="10"/>
            <w:tcBorders>
              <w:left w:val="nil"/>
              <w:right w:val="nil"/>
            </w:tcBorders>
            <w:shd w:val="clear" w:color="auto" w:fill="FFFFFF"/>
          </w:tcPr>
          <w:p w:rsidR="000716F3" w:rsidRPr="000716F3" w:rsidRDefault="000716F3" w:rsidP="000716F3">
            <w:pPr>
              <w:rPr>
                <w:rFonts w:ascii="Times New Roman" w:hAnsi="Times New Roman"/>
                <w:sz w:val="20"/>
                <w:szCs w:val="20"/>
                <w:lang w:eastAsia="sk-SK"/>
              </w:rPr>
            </w:pPr>
          </w:p>
        </w:tc>
      </w:tr>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Definovanie problému</w:t>
            </w:r>
          </w:p>
        </w:tc>
      </w:tr>
      <w:tr w:rsidR="000716F3" w:rsidRPr="000716F3" w:rsidTr="000716F3">
        <w:trPr>
          <w:trHeight w:val="718"/>
        </w:trPr>
        <w:tc>
          <w:tcPr>
            <w:tcW w:w="9180" w:type="dxa"/>
            <w:gridSpan w:val="10"/>
            <w:tcBorders>
              <w:top w:val="single" w:sz="4" w:space="0" w:color="FFFFFF"/>
            </w:tcBorders>
            <w:shd w:val="clear" w:color="auto" w:fill="FFFFFF"/>
          </w:tcPr>
          <w:p w:rsidR="000716F3" w:rsidRPr="000716F3" w:rsidRDefault="000716F3" w:rsidP="000716F3">
            <w:pPr>
              <w:jc w:val="both"/>
              <w:rPr>
                <w:rFonts w:ascii="Times New Roman" w:hAnsi="Times New Roman"/>
                <w:sz w:val="20"/>
                <w:szCs w:val="20"/>
                <w:lang w:eastAsia="sk-SK"/>
              </w:rPr>
            </w:pPr>
            <w:r w:rsidRPr="000716F3">
              <w:rPr>
                <w:rFonts w:ascii="Times New Roman" w:hAnsi="Times New Roman"/>
                <w:sz w:val="20"/>
                <w:szCs w:val="20"/>
                <w:lang w:eastAsia="sk-SK"/>
              </w:rPr>
              <w:t>V súčasnosti vzniká čoraz väčšia spoločenská potreba rozvoja ekologickejších druhov dopravy. Potenciál rozvoja cyklistickej dopravy výrazne prevyšuje aktuálne možnosti miestnych a regionálnych samospráv. Aj napriek čerpaniu prostriedkov z európskych štrukturálnych a investičných fondov nevzniká predmetná infraštruktúra v dopravne exponovaných líniách, najmä v centrách väčších miest, či turisticky atraktívnych mikroregiónoch.</w:t>
            </w:r>
          </w:p>
          <w:p w:rsidR="000716F3" w:rsidRPr="000716F3" w:rsidRDefault="000716F3" w:rsidP="000716F3">
            <w:pPr>
              <w:ind w:firstLine="708"/>
              <w:jc w:val="both"/>
              <w:rPr>
                <w:rFonts w:ascii="Times New Roman" w:hAnsi="Times New Roman"/>
                <w:b/>
                <w:sz w:val="20"/>
                <w:szCs w:val="20"/>
                <w:highlight w:val="yellow"/>
                <w:lang w:eastAsia="sk-SK"/>
              </w:rPr>
            </w:pPr>
          </w:p>
        </w:tc>
      </w:tr>
      <w:tr w:rsidR="000716F3" w:rsidRPr="000716F3" w:rsidTr="0037783C">
        <w:tc>
          <w:tcPr>
            <w:tcW w:w="9180" w:type="dxa"/>
            <w:gridSpan w:val="10"/>
            <w:tcBorders>
              <w:bottom w:val="nil"/>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Ciele a výsledný stav</w:t>
            </w:r>
          </w:p>
        </w:tc>
      </w:tr>
      <w:tr w:rsidR="000716F3" w:rsidRPr="000716F3" w:rsidTr="000716F3">
        <w:trPr>
          <w:trHeight w:val="741"/>
        </w:trPr>
        <w:tc>
          <w:tcPr>
            <w:tcW w:w="9180" w:type="dxa"/>
            <w:gridSpan w:val="10"/>
            <w:tcBorders>
              <w:top w:val="nil"/>
            </w:tcBorders>
            <w:shd w:val="clear" w:color="auto" w:fill="FFFFFF"/>
          </w:tcPr>
          <w:p w:rsidR="000716F3" w:rsidRPr="000716F3" w:rsidRDefault="000716F3" w:rsidP="000716F3">
            <w:pPr>
              <w:jc w:val="both"/>
              <w:rPr>
                <w:rFonts w:ascii="Times New Roman" w:hAnsi="Times New Roman"/>
                <w:sz w:val="20"/>
                <w:szCs w:val="20"/>
                <w:lang w:eastAsia="sk-SK"/>
              </w:rPr>
            </w:pPr>
            <w:r w:rsidRPr="000716F3">
              <w:rPr>
                <w:rFonts w:ascii="Times New Roman" w:hAnsi="Times New Roman"/>
                <w:sz w:val="20"/>
                <w:szCs w:val="20"/>
                <w:lang w:eastAsia="sk-SK"/>
              </w:rPr>
              <w:t>Poskytnutie dotácie z rozpočtovej kapitoly Ministerstva dopravy a výstavby Slovenskej republiky má prispieť k podpore tvorby projektových dokumentácií pre cyklistickú dopravu ako aj k budovaniu cyklistickej infraštruktúry. Uvedené aktivity majú prispieť k širšiemu využívaniu cyklistickej dopravy a zvýšeniu podielu cyklodopravy na mobilite obyvateľstva.</w:t>
            </w:r>
          </w:p>
          <w:p w:rsidR="000716F3" w:rsidRPr="000716F3" w:rsidRDefault="000716F3" w:rsidP="000716F3">
            <w:pPr>
              <w:rPr>
                <w:rFonts w:ascii="Times New Roman" w:hAnsi="Times New Roman"/>
                <w:sz w:val="20"/>
                <w:szCs w:val="20"/>
                <w:lang w:eastAsia="sk-SK"/>
              </w:rPr>
            </w:pPr>
          </w:p>
        </w:tc>
      </w:tr>
      <w:tr w:rsidR="000716F3" w:rsidRPr="000716F3" w:rsidTr="0037783C">
        <w:tc>
          <w:tcPr>
            <w:tcW w:w="9180" w:type="dxa"/>
            <w:gridSpan w:val="10"/>
            <w:tcBorders>
              <w:bottom w:val="nil"/>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Dotknuté subjekty</w:t>
            </w:r>
          </w:p>
        </w:tc>
      </w:tr>
      <w:tr w:rsidR="000716F3" w:rsidRPr="000716F3" w:rsidTr="000716F3">
        <w:tc>
          <w:tcPr>
            <w:tcW w:w="9180" w:type="dxa"/>
            <w:gridSpan w:val="10"/>
            <w:tcBorders>
              <w:top w:val="nil"/>
            </w:tcBorders>
            <w:shd w:val="clear" w:color="auto" w:fill="FFFFFF"/>
          </w:tcPr>
          <w:p w:rsidR="000716F3" w:rsidRPr="000716F3" w:rsidRDefault="000716F3" w:rsidP="000716F3">
            <w:pPr>
              <w:jc w:val="both"/>
              <w:rPr>
                <w:rFonts w:ascii="Times New Roman" w:hAnsi="Times New Roman"/>
                <w:sz w:val="20"/>
                <w:szCs w:val="20"/>
                <w:lang w:eastAsia="sk-SK"/>
              </w:rPr>
            </w:pPr>
            <w:r w:rsidRPr="000716F3">
              <w:rPr>
                <w:rFonts w:ascii="Times New Roman" w:hAnsi="Times New Roman"/>
                <w:sz w:val="20"/>
                <w:szCs w:val="20"/>
                <w:lang w:eastAsia="sk-SK"/>
              </w:rPr>
              <w:t>Obce, združenia obcí, vyššie územné celky, rozpočtové organizácie a príspevkové organizácie zriadené obcou alebo vyšším územným celkom, občianske združenia.</w:t>
            </w:r>
          </w:p>
          <w:p w:rsidR="000716F3" w:rsidRPr="000716F3" w:rsidRDefault="000716F3" w:rsidP="000716F3">
            <w:pPr>
              <w:rPr>
                <w:rFonts w:ascii="Times New Roman" w:hAnsi="Times New Roman"/>
                <w:i/>
                <w:sz w:val="20"/>
                <w:szCs w:val="20"/>
                <w:lang w:eastAsia="sk-SK"/>
              </w:rPr>
            </w:pPr>
          </w:p>
        </w:tc>
      </w:tr>
      <w:tr w:rsidR="000716F3" w:rsidRPr="000716F3" w:rsidTr="0037783C">
        <w:tc>
          <w:tcPr>
            <w:tcW w:w="9180" w:type="dxa"/>
            <w:gridSpan w:val="10"/>
            <w:tcBorders>
              <w:bottom w:val="nil"/>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Alternatívne riešenia</w:t>
            </w:r>
          </w:p>
        </w:tc>
      </w:tr>
      <w:tr w:rsidR="000716F3" w:rsidRPr="000716F3" w:rsidTr="000716F3">
        <w:trPr>
          <w:trHeight w:val="709"/>
        </w:trPr>
        <w:tc>
          <w:tcPr>
            <w:tcW w:w="9180" w:type="dxa"/>
            <w:gridSpan w:val="10"/>
            <w:tcBorders>
              <w:top w:val="nil"/>
            </w:tcBorders>
            <w:shd w:val="clear" w:color="auto" w:fill="FFFFFF"/>
          </w:tcPr>
          <w:p w:rsidR="000716F3" w:rsidRPr="000716F3" w:rsidRDefault="000716F3" w:rsidP="000716F3">
            <w:pPr>
              <w:rPr>
                <w:rFonts w:ascii="Times New Roman" w:hAnsi="Times New Roman"/>
                <w:i/>
                <w:sz w:val="20"/>
                <w:szCs w:val="20"/>
                <w:lang w:eastAsia="sk-SK"/>
              </w:rPr>
            </w:pPr>
            <w:r w:rsidRPr="000716F3">
              <w:rPr>
                <w:rFonts w:ascii="Times" w:hAnsi="Times" w:cs="Times"/>
                <w:sz w:val="20"/>
                <w:szCs w:val="20"/>
                <w:lang w:eastAsia="sk-SK"/>
              </w:rPr>
              <w:t>Nie sú žiadne alternatívne riešenia.</w:t>
            </w:r>
          </w:p>
        </w:tc>
      </w:tr>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Vykonávacie predpisy</w:t>
            </w:r>
          </w:p>
        </w:tc>
      </w:tr>
      <w:tr w:rsidR="000716F3" w:rsidRPr="000716F3" w:rsidTr="000716F3">
        <w:tc>
          <w:tcPr>
            <w:tcW w:w="6203" w:type="dxa"/>
            <w:gridSpan w:val="6"/>
            <w:tcBorders>
              <w:top w:val="single" w:sz="4" w:space="0" w:color="FFFFFF"/>
              <w:bottom w:val="nil"/>
              <w:right w:val="nil"/>
            </w:tcBorders>
            <w:shd w:val="clear" w:color="auto" w:fill="FFFFFF"/>
          </w:tcPr>
          <w:p w:rsidR="000716F3" w:rsidRPr="000716F3" w:rsidRDefault="000716F3" w:rsidP="000716F3">
            <w:pPr>
              <w:rPr>
                <w:rFonts w:ascii="Times New Roman" w:hAnsi="Times New Roman"/>
                <w:i/>
                <w:sz w:val="20"/>
                <w:szCs w:val="20"/>
                <w:lang w:eastAsia="sk-SK"/>
              </w:rPr>
            </w:pPr>
            <w:r w:rsidRPr="000716F3">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r w:rsidRPr="000716F3">
              <w:rPr>
                <w:rFonts w:ascii="Times New Roman" w:hAnsi="Times New Roman"/>
                <w:sz w:val="20"/>
                <w:szCs w:val="20"/>
                <w:lang w:eastAsia="sk-SK"/>
              </w:rPr>
              <w:t xml:space="preserve">  Áno</w:t>
            </w:r>
          </w:p>
        </w:tc>
        <w:tc>
          <w:tcPr>
            <w:tcW w:w="1560" w:type="dxa"/>
            <w:gridSpan w:val="2"/>
            <w:tcBorders>
              <w:top w:val="single" w:sz="4" w:space="0" w:color="FFFFFF"/>
              <w:left w:val="nil"/>
              <w:bottom w:val="nil"/>
            </w:tcBorders>
            <w:shd w:val="clear" w:color="auto" w:fill="FFFFFF"/>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r w:rsidRPr="000716F3">
              <w:rPr>
                <w:rFonts w:ascii="Times New Roman" w:hAnsi="Times New Roman"/>
                <w:sz w:val="20"/>
                <w:szCs w:val="20"/>
                <w:lang w:eastAsia="sk-SK"/>
              </w:rPr>
              <w:t xml:space="preserve">  Nie</w:t>
            </w:r>
          </w:p>
        </w:tc>
      </w:tr>
      <w:tr w:rsidR="000716F3" w:rsidRPr="000716F3" w:rsidTr="000716F3">
        <w:tc>
          <w:tcPr>
            <w:tcW w:w="9180" w:type="dxa"/>
            <w:gridSpan w:val="10"/>
            <w:tcBorders>
              <w:top w:val="nil"/>
            </w:tcBorders>
            <w:shd w:val="clear" w:color="auto" w:fill="FFFFFF"/>
          </w:tcPr>
          <w:p w:rsidR="000716F3" w:rsidRPr="000716F3" w:rsidRDefault="000716F3" w:rsidP="000716F3">
            <w:pPr>
              <w:jc w:val="both"/>
              <w:rPr>
                <w:rFonts w:ascii="Times New Roman" w:hAnsi="Times New Roman"/>
                <w:sz w:val="20"/>
                <w:szCs w:val="20"/>
                <w:lang w:eastAsia="sk-SK"/>
              </w:rPr>
            </w:pPr>
          </w:p>
        </w:tc>
      </w:tr>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 xml:space="preserve">Transpozícia práva EÚ </w:t>
            </w:r>
          </w:p>
        </w:tc>
      </w:tr>
      <w:tr w:rsidR="000716F3" w:rsidRPr="000716F3" w:rsidTr="000716F3">
        <w:trPr>
          <w:trHeight w:val="157"/>
        </w:trPr>
        <w:tc>
          <w:tcPr>
            <w:tcW w:w="9180" w:type="dxa"/>
            <w:gridSpan w:val="10"/>
            <w:tcBorders>
              <w:top w:val="nil"/>
              <w:left w:val="single" w:sz="4" w:space="0" w:color="000000"/>
              <w:bottom w:val="nil"/>
            </w:tcBorders>
            <w:shd w:val="clear" w:color="auto" w:fill="FFFFFF"/>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Nie</w:t>
            </w:r>
          </w:p>
        </w:tc>
      </w:tr>
      <w:tr w:rsidR="000716F3" w:rsidRPr="000716F3" w:rsidTr="000716F3">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0716F3" w:rsidRPr="000716F3" w:rsidRDefault="000716F3" w:rsidP="000716F3">
            <w:pPr>
              <w:jc w:val="center"/>
              <w:rPr>
                <w:rFonts w:ascii="Times New Roman" w:hAnsi="Times New Roman"/>
                <w:sz w:val="20"/>
                <w:szCs w:val="20"/>
                <w:lang w:eastAsia="sk-SK"/>
              </w:rPr>
            </w:pPr>
          </w:p>
        </w:tc>
      </w:tr>
      <w:tr w:rsidR="000716F3" w:rsidRPr="000716F3" w:rsidTr="000716F3">
        <w:tc>
          <w:tcPr>
            <w:tcW w:w="9180" w:type="dxa"/>
            <w:gridSpan w:val="10"/>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Preskúmanie účelnosti**</w:t>
            </w:r>
          </w:p>
        </w:tc>
      </w:tr>
      <w:tr w:rsidR="000716F3" w:rsidRPr="000716F3" w:rsidTr="000716F3">
        <w:tc>
          <w:tcPr>
            <w:tcW w:w="9180" w:type="dxa"/>
            <w:gridSpan w:val="10"/>
            <w:tcBorders>
              <w:top w:val="single" w:sz="4" w:space="0" w:color="FFFFFF"/>
            </w:tcBorders>
            <w:shd w:val="clear" w:color="auto" w:fill="FFFFFF"/>
          </w:tcPr>
          <w:p w:rsidR="000716F3" w:rsidRPr="000716F3" w:rsidRDefault="000716F3" w:rsidP="000716F3">
            <w:pPr>
              <w:rPr>
                <w:rFonts w:ascii="Times New Roman" w:hAnsi="Times New Roman"/>
                <w:i/>
                <w:sz w:val="20"/>
                <w:szCs w:val="20"/>
                <w:lang w:eastAsia="sk-SK"/>
              </w:rPr>
            </w:pPr>
          </w:p>
        </w:tc>
      </w:tr>
      <w:tr w:rsidR="000716F3" w:rsidRPr="000716F3" w:rsidTr="000716F3">
        <w:trPr>
          <w:trHeight w:val="715"/>
        </w:trPr>
        <w:tc>
          <w:tcPr>
            <w:tcW w:w="9180" w:type="dxa"/>
            <w:gridSpan w:val="10"/>
            <w:tcBorders>
              <w:left w:val="nil"/>
              <w:bottom w:val="nil"/>
              <w:right w:val="nil"/>
            </w:tcBorders>
            <w:shd w:val="clear" w:color="auto" w:fill="FFFFFF"/>
          </w:tcPr>
          <w:p w:rsidR="000716F3" w:rsidRPr="000716F3" w:rsidRDefault="000716F3" w:rsidP="000716F3">
            <w:pPr>
              <w:rPr>
                <w:rFonts w:ascii="Times New Roman" w:hAnsi="Times New Roman"/>
                <w:sz w:val="20"/>
                <w:szCs w:val="20"/>
                <w:lang w:eastAsia="sk-SK"/>
              </w:rPr>
            </w:pPr>
          </w:p>
          <w:p w:rsidR="000716F3" w:rsidRPr="000716F3" w:rsidRDefault="000716F3" w:rsidP="000716F3">
            <w:pPr>
              <w:ind w:left="142" w:hanging="142"/>
              <w:rPr>
                <w:rFonts w:ascii="Times New Roman" w:hAnsi="Times New Roman"/>
                <w:sz w:val="20"/>
                <w:szCs w:val="20"/>
                <w:lang w:eastAsia="sk-SK"/>
              </w:rPr>
            </w:pPr>
            <w:r w:rsidRPr="000716F3">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 nepovinné</w:t>
            </w:r>
          </w:p>
        </w:tc>
      </w:tr>
      <w:tr w:rsidR="000716F3" w:rsidRPr="000716F3" w:rsidTr="000716F3">
        <w:tc>
          <w:tcPr>
            <w:tcW w:w="9180" w:type="dxa"/>
            <w:gridSpan w:val="10"/>
            <w:tcBorders>
              <w:top w:val="nil"/>
              <w:left w:val="nil"/>
              <w:right w:val="nil"/>
            </w:tcBorders>
            <w:shd w:val="clear" w:color="auto" w:fill="FFFFFF"/>
          </w:tcPr>
          <w:p w:rsidR="000716F3" w:rsidRPr="000716F3" w:rsidRDefault="000716F3" w:rsidP="000716F3">
            <w:pPr>
              <w:rPr>
                <w:rFonts w:ascii="Times New Roman" w:hAnsi="Times New Roman"/>
                <w:b/>
                <w:sz w:val="20"/>
                <w:szCs w:val="20"/>
                <w:lang w:eastAsia="sk-SK"/>
              </w:rPr>
            </w:pPr>
          </w:p>
        </w:tc>
      </w:tr>
      <w:tr w:rsidR="000716F3" w:rsidRPr="000716F3" w:rsidTr="000716F3">
        <w:trPr>
          <w:trHeight w:val="577"/>
        </w:trPr>
        <w:tc>
          <w:tcPr>
            <w:tcW w:w="9180" w:type="dxa"/>
            <w:gridSpan w:val="10"/>
            <w:tcBorders>
              <w:bottom w:val="single" w:sz="4" w:space="0" w:color="FFFFFF"/>
            </w:tcBorders>
            <w:shd w:val="clear" w:color="auto" w:fill="E2E2E2"/>
            <w:vAlign w:val="center"/>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lastRenderedPageBreak/>
              <w:t>Vplyvy navrhovaného materiálu</w:t>
            </w:r>
          </w:p>
        </w:tc>
      </w:tr>
      <w:tr w:rsidR="000716F3" w:rsidRPr="000716F3" w:rsidTr="0037783C">
        <w:tc>
          <w:tcPr>
            <w:tcW w:w="3812" w:type="dxa"/>
            <w:tcBorders>
              <w:bottom w:val="nil"/>
            </w:tcBorders>
            <w:shd w:val="clear" w:color="auto" w:fill="E2E2E2"/>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Vplyvy na rozpočet verejnej správy</w:t>
            </w:r>
          </w:p>
        </w:tc>
        <w:tc>
          <w:tcPr>
            <w:tcW w:w="541" w:type="dxa"/>
            <w:gridSpan w:val="2"/>
            <w:tcBorders>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gridSpan w:val="2"/>
            <w:tcBorders>
              <w:left w:val="nil"/>
              <w:right w:val="nil"/>
            </w:tcBorders>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gridSpan w:val="2"/>
            <w:tcBorders>
              <w:left w:val="nil"/>
              <w:right w:val="nil"/>
            </w:tcBorders>
          </w:tcPr>
          <w:p w:rsidR="000716F3" w:rsidRPr="000716F3" w:rsidRDefault="000716F3" w:rsidP="000716F3">
            <w:pPr>
              <w:ind w:left="-107" w:right="-108"/>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left w:val="nil"/>
            </w:tcBorders>
          </w:tcPr>
          <w:p w:rsidR="000716F3" w:rsidRPr="000716F3" w:rsidRDefault="000716F3" w:rsidP="000716F3">
            <w:pPr>
              <w:ind w:left="34"/>
              <w:rPr>
                <w:rFonts w:ascii="Times New Roman" w:hAnsi="Times New Roman"/>
                <w:b/>
                <w:sz w:val="20"/>
                <w:szCs w:val="20"/>
                <w:lang w:eastAsia="sk-SK"/>
              </w:rPr>
            </w:pPr>
            <w:r w:rsidRPr="000716F3">
              <w:rPr>
                <w:rFonts w:ascii="Times New Roman" w:hAnsi="Times New Roman"/>
                <w:b/>
                <w:sz w:val="20"/>
                <w:szCs w:val="20"/>
                <w:lang w:eastAsia="sk-SK"/>
              </w:rPr>
              <w:t>Negatívne</w:t>
            </w:r>
          </w:p>
        </w:tc>
      </w:tr>
      <w:tr w:rsidR="000716F3" w:rsidRPr="000716F3" w:rsidTr="000716F3">
        <w:tc>
          <w:tcPr>
            <w:tcW w:w="3812" w:type="dxa"/>
            <w:tcBorders>
              <w:top w:val="nil"/>
              <w:bottom w:val="single" w:sz="4" w:space="0" w:color="000000"/>
            </w:tcBorders>
            <w:shd w:val="clear" w:color="auto" w:fill="E2E2E2"/>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 xml:space="preserve">    z toho rozpočtovo zabezpečené vplyvy</w:t>
            </w:r>
          </w:p>
        </w:tc>
        <w:tc>
          <w:tcPr>
            <w:tcW w:w="541" w:type="dxa"/>
            <w:gridSpan w:val="2"/>
            <w:tcBorders>
              <w:right w:val="nil"/>
            </w:tcBorders>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1281" w:type="dxa"/>
            <w:gridSpan w:val="2"/>
            <w:tcBorders>
              <w:left w:val="nil"/>
              <w:right w:val="nil"/>
            </w:tcBorders>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Áno</w:t>
            </w:r>
          </w:p>
        </w:tc>
        <w:tc>
          <w:tcPr>
            <w:tcW w:w="569" w:type="dxa"/>
            <w:tcBorders>
              <w:left w:val="nil"/>
              <w:right w:val="nil"/>
            </w:tcBorders>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Nie</w:t>
            </w:r>
          </w:p>
        </w:tc>
        <w:tc>
          <w:tcPr>
            <w:tcW w:w="547" w:type="dxa"/>
            <w:gridSpan w:val="2"/>
            <w:tcBorders>
              <w:left w:val="nil"/>
              <w:right w:val="nil"/>
            </w:tcBorders>
          </w:tcPr>
          <w:p w:rsidR="000716F3" w:rsidRPr="000716F3" w:rsidRDefault="000716F3" w:rsidP="000716F3">
            <w:pPr>
              <w:ind w:left="-107" w:right="-108"/>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1297" w:type="dxa"/>
            <w:tcBorders>
              <w:left w:val="nil"/>
            </w:tcBorders>
          </w:tcPr>
          <w:p w:rsidR="000716F3" w:rsidRPr="000716F3" w:rsidRDefault="000716F3" w:rsidP="000716F3">
            <w:pPr>
              <w:ind w:left="34"/>
              <w:rPr>
                <w:rFonts w:ascii="Times New Roman" w:hAnsi="Times New Roman"/>
                <w:sz w:val="20"/>
                <w:szCs w:val="20"/>
                <w:lang w:eastAsia="sk-SK"/>
              </w:rPr>
            </w:pPr>
            <w:r w:rsidRPr="000716F3">
              <w:rPr>
                <w:rFonts w:ascii="Times New Roman" w:hAnsi="Times New Roman"/>
                <w:sz w:val="20"/>
                <w:szCs w:val="20"/>
                <w:lang w:eastAsia="sk-SK"/>
              </w:rPr>
              <w:t>Čiastočne</w:t>
            </w:r>
          </w:p>
        </w:tc>
      </w:tr>
      <w:tr w:rsidR="000716F3" w:rsidRPr="000716F3" w:rsidTr="000716F3">
        <w:tc>
          <w:tcPr>
            <w:tcW w:w="3812" w:type="dxa"/>
            <w:tcBorders>
              <w:top w:val="single" w:sz="4" w:space="0" w:color="000000"/>
              <w:bottom w:val="nil"/>
            </w:tcBorders>
            <w:shd w:val="clear" w:color="auto" w:fill="E2E2E2"/>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Vplyvy na podnikateľské prostredie</w:t>
            </w:r>
          </w:p>
        </w:tc>
        <w:tc>
          <w:tcPr>
            <w:tcW w:w="541" w:type="dxa"/>
            <w:gridSpan w:val="2"/>
            <w:tcBorders>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gridSpan w:val="2"/>
            <w:tcBorders>
              <w:left w:val="nil"/>
              <w:right w:val="nil"/>
            </w:tcBorders>
          </w:tcPr>
          <w:p w:rsidR="000716F3" w:rsidRPr="000716F3" w:rsidRDefault="000716F3" w:rsidP="000716F3">
            <w:pPr>
              <w:ind w:right="-108"/>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gridSpan w:val="2"/>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left w:val="nil"/>
            </w:tcBorders>
          </w:tcPr>
          <w:p w:rsidR="000716F3" w:rsidRPr="000716F3" w:rsidRDefault="000716F3" w:rsidP="000716F3">
            <w:pPr>
              <w:ind w:left="54"/>
              <w:rPr>
                <w:rFonts w:ascii="Times New Roman" w:hAnsi="Times New Roman"/>
                <w:b/>
                <w:sz w:val="20"/>
                <w:szCs w:val="20"/>
                <w:lang w:eastAsia="sk-SK"/>
              </w:rPr>
            </w:pPr>
            <w:r w:rsidRPr="000716F3">
              <w:rPr>
                <w:rFonts w:ascii="Times New Roman" w:hAnsi="Times New Roman"/>
                <w:b/>
                <w:sz w:val="20"/>
                <w:szCs w:val="20"/>
                <w:lang w:eastAsia="sk-SK"/>
              </w:rPr>
              <w:t>Negatívne</w:t>
            </w:r>
          </w:p>
        </w:tc>
      </w:tr>
      <w:tr w:rsidR="000716F3" w:rsidRPr="000716F3" w:rsidTr="000716F3">
        <w:tc>
          <w:tcPr>
            <w:tcW w:w="3812" w:type="dxa"/>
            <w:tcBorders>
              <w:top w:val="nil"/>
              <w:left w:val="single" w:sz="4" w:space="0" w:color="000000"/>
              <w:bottom w:val="single" w:sz="4" w:space="0" w:color="000000"/>
              <w:right w:val="single" w:sz="4" w:space="0" w:color="000000"/>
            </w:tcBorders>
            <w:shd w:val="clear" w:color="auto" w:fill="E2E2E2"/>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 xml:space="preserve">    z toho vplyvy na MSP</w:t>
            </w:r>
          </w:p>
        </w:tc>
        <w:tc>
          <w:tcPr>
            <w:tcW w:w="541" w:type="dxa"/>
            <w:gridSpan w:val="2"/>
            <w:tcBorders>
              <w:left w:val="single" w:sz="4" w:space="0" w:color="000000"/>
              <w:right w:val="nil"/>
            </w:tcBorders>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1281" w:type="dxa"/>
            <w:gridSpan w:val="2"/>
            <w:tcBorders>
              <w:left w:val="nil"/>
              <w:right w:val="nil"/>
            </w:tcBorders>
          </w:tcPr>
          <w:p w:rsidR="000716F3" w:rsidRPr="000716F3" w:rsidRDefault="000716F3" w:rsidP="000716F3">
            <w:pPr>
              <w:ind w:right="-108"/>
              <w:rPr>
                <w:rFonts w:ascii="Times New Roman" w:hAnsi="Times New Roman"/>
                <w:sz w:val="20"/>
                <w:szCs w:val="20"/>
                <w:lang w:eastAsia="sk-SK"/>
              </w:rPr>
            </w:pPr>
            <w:r w:rsidRPr="000716F3">
              <w:rPr>
                <w:rFonts w:ascii="Times New Roman" w:hAnsi="Times New Roman"/>
                <w:sz w:val="20"/>
                <w:szCs w:val="20"/>
                <w:lang w:eastAsia="sk-SK"/>
              </w:rPr>
              <w:t>Pozitívne</w:t>
            </w:r>
          </w:p>
        </w:tc>
        <w:tc>
          <w:tcPr>
            <w:tcW w:w="569" w:type="dxa"/>
            <w:tcBorders>
              <w:left w:val="nil"/>
              <w:right w:val="nil"/>
            </w:tcBorders>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Žiadne</w:t>
            </w:r>
          </w:p>
        </w:tc>
        <w:tc>
          <w:tcPr>
            <w:tcW w:w="547" w:type="dxa"/>
            <w:gridSpan w:val="2"/>
            <w:tcBorders>
              <w:left w:val="nil"/>
              <w:right w:val="nil"/>
            </w:tcBorders>
          </w:tcPr>
          <w:p w:rsidR="000716F3" w:rsidRPr="000716F3" w:rsidRDefault="000716F3" w:rsidP="000716F3">
            <w:pPr>
              <w:jc w:val="center"/>
              <w:rPr>
                <w:rFonts w:ascii="Times New Roman" w:hAnsi="Times New Roman"/>
                <w:sz w:val="20"/>
                <w:szCs w:val="20"/>
                <w:lang w:eastAsia="sk-SK"/>
              </w:rPr>
            </w:pPr>
            <w:r w:rsidRPr="000716F3">
              <w:rPr>
                <w:rFonts w:ascii="Segoe UI Symbol" w:hAnsi="Segoe UI Symbol" w:cs="Segoe UI Symbol"/>
                <w:sz w:val="20"/>
                <w:szCs w:val="20"/>
                <w:lang w:eastAsia="sk-SK"/>
              </w:rPr>
              <w:t>☐</w:t>
            </w:r>
          </w:p>
        </w:tc>
        <w:tc>
          <w:tcPr>
            <w:tcW w:w="1297" w:type="dxa"/>
            <w:tcBorders>
              <w:left w:val="nil"/>
            </w:tcBorders>
          </w:tcPr>
          <w:p w:rsidR="000716F3" w:rsidRPr="000716F3" w:rsidRDefault="000716F3" w:rsidP="000716F3">
            <w:pPr>
              <w:ind w:left="54"/>
              <w:rPr>
                <w:rFonts w:ascii="Times New Roman" w:hAnsi="Times New Roman"/>
                <w:sz w:val="20"/>
                <w:szCs w:val="20"/>
                <w:lang w:eastAsia="sk-SK"/>
              </w:rPr>
            </w:pPr>
            <w:r w:rsidRPr="000716F3">
              <w:rPr>
                <w:rFonts w:ascii="Times New Roman" w:hAnsi="Times New Roman"/>
                <w:sz w:val="20"/>
                <w:szCs w:val="20"/>
                <w:lang w:eastAsia="sk-SK"/>
              </w:rPr>
              <w:t>Negatívne</w:t>
            </w:r>
          </w:p>
        </w:tc>
      </w:tr>
      <w:tr w:rsidR="000716F3" w:rsidRPr="000716F3" w:rsidTr="000716F3">
        <w:tc>
          <w:tcPr>
            <w:tcW w:w="3812" w:type="dxa"/>
            <w:tcBorders>
              <w:top w:val="single" w:sz="4" w:space="0" w:color="000000"/>
            </w:tcBorders>
            <w:shd w:val="clear" w:color="auto" w:fill="E2E2E2"/>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Sociálne vplyvy</w:t>
            </w:r>
          </w:p>
        </w:tc>
        <w:tc>
          <w:tcPr>
            <w:tcW w:w="541" w:type="dxa"/>
            <w:gridSpan w:val="2"/>
            <w:tcBorders>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gridSpan w:val="2"/>
            <w:tcBorders>
              <w:left w:val="nil"/>
              <w:right w:val="nil"/>
            </w:tcBorders>
          </w:tcPr>
          <w:p w:rsidR="000716F3" w:rsidRPr="000716F3" w:rsidRDefault="000716F3" w:rsidP="000716F3">
            <w:pPr>
              <w:ind w:right="-108"/>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gridSpan w:val="2"/>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left w:val="nil"/>
            </w:tcBorders>
          </w:tcPr>
          <w:p w:rsidR="000716F3" w:rsidRPr="000716F3" w:rsidRDefault="000716F3" w:rsidP="000716F3">
            <w:pPr>
              <w:ind w:left="54"/>
              <w:rPr>
                <w:rFonts w:ascii="Times New Roman" w:hAnsi="Times New Roman"/>
                <w:b/>
                <w:sz w:val="20"/>
                <w:szCs w:val="20"/>
                <w:lang w:eastAsia="sk-SK"/>
              </w:rPr>
            </w:pPr>
            <w:r w:rsidRPr="000716F3">
              <w:rPr>
                <w:rFonts w:ascii="Times New Roman" w:hAnsi="Times New Roman"/>
                <w:b/>
                <w:sz w:val="20"/>
                <w:szCs w:val="20"/>
                <w:lang w:eastAsia="sk-SK"/>
              </w:rPr>
              <w:t>Negatívne</w:t>
            </w:r>
          </w:p>
        </w:tc>
      </w:tr>
      <w:tr w:rsidR="000716F3" w:rsidRPr="000716F3" w:rsidTr="0037783C">
        <w:tc>
          <w:tcPr>
            <w:tcW w:w="3812" w:type="dxa"/>
            <w:shd w:val="clear" w:color="auto" w:fill="E2E2E2"/>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Vplyvy na životné prostredie</w:t>
            </w:r>
          </w:p>
        </w:tc>
        <w:tc>
          <w:tcPr>
            <w:tcW w:w="541" w:type="dxa"/>
            <w:gridSpan w:val="2"/>
            <w:tcBorders>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gridSpan w:val="2"/>
            <w:tcBorders>
              <w:left w:val="nil"/>
              <w:right w:val="nil"/>
            </w:tcBorders>
          </w:tcPr>
          <w:p w:rsidR="000716F3" w:rsidRPr="000716F3" w:rsidRDefault="000716F3" w:rsidP="000716F3">
            <w:pPr>
              <w:ind w:right="-108"/>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gridSpan w:val="2"/>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left w:val="nil"/>
            </w:tcBorders>
          </w:tcPr>
          <w:p w:rsidR="000716F3" w:rsidRPr="000716F3" w:rsidRDefault="000716F3" w:rsidP="000716F3">
            <w:pPr>
              <w:ind w:left="54"/>
              <w:rPr>
                <w:rFonts w:ascii="Times New Roman" w:hAnsi="Times New Roman"/>
                <w:b/>
                <w:sz w:val="20"/>
                <w:szCs w:val="20"/>
                <w:lang w:eastAsia="sk-SK"/>
              </w:rPr>
            </w:pPr>
            <w:r w:rsidRPr="000716F3">
              <w:rPr>
                <w:rFonts w:ascii="Times New Roman" w:hAnsi="Times New Roman"/>
                <w:b/>
                <w:sz w:val="20"/>
                <w:szCs w:val="20"/>
                <w:lang w:eastAsia="sk-SK"/>
              </w:rPr>
              <w:t>Negatívne</w:t>
            </w:r>
          </w:p>
        </w:tc>
      </w:tr>
      <w:tr w:rsidR="000716F3" w:rsidRPr="000716F3" w:rsidTr="0037783C">
        <w:tc>
          <w:tcPr>
            <w:tcW w:w="3812" w:type="dxa"/>
            <w:shd w:val="clear" w:color="auto" w:fill="E2E2E2"/>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Vplyvy na informatizáciu</w:t>
            </w:r>
          </w:p>
        </w:tc>
        <w:tc>
          <w:tcPr>
            <w:tcW w:w="541" w:type="dxa"/>
            <w:gridSpan w:val="2"/>
            <w:tcBorders>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gridSpan w:val="2"/>
            <w:tcBorders>
              <w:left w:val="nil"/>
              <w:right w:val="nil"/>
            </w:tcBorders>
          </w:tcPr>
          <w:p w:rsidR="000716F3" w:rsidRPr="000716F3" w:rsidRDefault="000716F3" w:rsidP="000716F3">
            <w:pPr>
              <w:ind w:right="-108"/>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left w:val="nil"/>
              <w:right w:val="nil"/>
            </w:tcBorders>
          </w:tcPr>
          <w:p w:rsidR="000716F3" w:rsidRPr="000716F3" w:rsidRDefault="000716F3" w:rsidP="000716F3">
            <w:pPr>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gridSpan w:val="2"/>
            <w:tcBorders>
              <w:left w:val="nil"/>
              <w:right w:val="nil"/>
            </w:tcBorders>
          </w:tcPr>
          <w:p w:rsidR="000716F3" w:rsidRPr="000716F3" w:rsidRDefault="000716F3" w:rsidP="000716F3">
            <w:pPr>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left w:val="nil"/>
            </w:tcBorders>
          </w:tcPr>
          <w:p w:rsidR="000716F3" w:rsidRPr="000716F3" w:rsidRDefault="000716F3" w:rsidP="000716F3">
            <w:pPr>
              <w:ind w:left="54"/>
              <w:rPr>
                <w:rFonts w:ascii="Times New Roman" w:hAnsi="Times New Roman"/>
                <w:b/>
                <w:sz w:val="20"/>
                <w:szCs w:val="20"/>
                <w:lang w:eastAsia="sk-SK"/>
              </w:rPr>
            </w:pPr>
            <w:r w:rsidRPr="000716F3">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0716F3" w:rsidRPr="000716F3" w:rsidTr="0037783C">
        <w:tc>
          <w:tcPr>
            <w:tcW w:w="3812" w:type="dxa"/>
            <w:tcBorders>
              <w:bottom w:val="nil"/>
            </w:tcBorders>
            <w:shd w:val="clear" w:color="auto" w:fill="E2E2E2"/>
          </w:tcPr>
          <w:p w:rsidR="000716F3" w:rsidRPr="000716F3" w:rsidRDefault="000716F3" w:rsidP="000716F3">
            <w:pPr>
              <w:spacing w:after="0" w:line="240" w:lineRule="auto"/>
              <w:rPr>
                <w:rFonts w:ascii="Times New Roman" w:hAnsi="Times New Roman"/>
                <w:b/>
                <w:sz w:val="20"/>
                <w:szCs w:val="20"/>
                <w:lang w:eastAsia="sk-SK"/>
              </w:rPr>
            </w:pPr>
            <w:r w:rsidRPr="000716F3">
              <w:rPr>
                <w:rFonts w:ascii="Times New Roman" w:hAnsi="Times New Roman"/>
                <w:b/>
                <w:sz w:val="20"/>
                <w:szCs w:val="20"/>
              </w:rPr>
              <w:t>Vplyvy na služby verejnej správy pre občana, z toho</w:t>
            </w:r>
          </w:p>
        </w:tc>
        <w:tc>
          <w:tcPr>
            <w:tcW w:w="541" w:type="dxa"/>
            <w:tcBorders>
              <w:bottom w:val="nil"/>
              <w:right w:val="nil"/>
            </w:tcBorders>
          </w:tcPr>
          <w:p w:rsidR="000716F3" w:rsidRPr="000716F3" w:rsidRDefault="000716F3" w:rsidP="000716F3">
            <w:pPr>
              <w:spacing w:after="0" w:line="240" w:lineRule="auto"/>
              <w:jc w:val="center"/>
              <w:rPr>
                <w:rFonts w:ascii="Times New Roman" w:eastAsia="MS Mincho" w:hAnsi="Times New Roman"/>
                <w:b/>
                <w:sz w:val="20"/>
                <w:szCs w:val="20"/>
                <w:lang w:eastAsia="sk-SK"/>
              </w:rPr>
            </w:pPr>
          </w:p>
        </w:tc>
        <w:tc>
          <w:tcPr>
            <w:tcW w:w="1281" w:type="dxa"/>
            <w:tcBorders>
              <w:left w:val="nil"/>
              <w:bottom w:val="nil"/>
              <w:right w:val="nil"/>
            </w:tcBorders>
          </w:tcPr>
          <w:p w:rsidR="000716F3" w:rsidRPr="000716F3" w:rsidRDefault="000716F3" w:rsidP="000716F3">
            <w:pPr>
              <w:spacing w:after="0" w:line="240" w:lineRule="auto"/>
              <w:ind w:right="-108"/>
              <w:rPr>
                <w:rFonts w:ascii="Times New Roman" w:hAnsi="Times New Roman"/>
                <w:b/>
                <w:sz w:val="20"/>
                <w:szCs w:val="20"/>
                <w:lang w:eastAsia="sk-SK"/>
              </w:rPr>
            </w:pPr>
          </w:p>
        </w:tc>
        <w:tc>
          <w:tcPr>
            <w:tcW w:w="569" w:type="dxa"/>
            <w:tcBorders>
              <w:left w:val="nil"/>
              <w:bottom w:val="nil"/>
              <w:right w:val="nil"/>
            </w:tcBorders>
          </w:tcPr>
          <w:p w:rsidR="000716F3" w:rsidRPr="000716F3" w:rsidRDefault="000716F3" w:rsidP="000716F3">
            <w:pPr>
              <w:spacing w:after="0" w:line="240" w:lineRule="auto"/>
              <w:jc w:val="center"/>
              <w:rPr>
                <w:rFonts w:ascii="Times New Roman" w:eastAsia="MS Mincho" w:hAnsi="Times New Roman"/>
                <w:b/>
                <w:sz w:val="20"/>
                <w:szCs w:val="20"/>
                <w:lang w:eastAsia="sk-SK"/>
              </w:rPr>
            </w:pPr>
          </w:p>
        </w:tc>
        <w:tc>
          <w:tcPr>
            <w:tcW w:w="1133" w:type="dxa"/>
            <w:tcBorders>
              <w:left w:val="nil"/>
              <w:bottom w:val="nil"/>
              <w:right w:val="nil"/>
            </w:tcBorders>
          </w:tcPr>
          <w:p w:rsidR="000716F3" w:rsidRPr="000716F3" w:rsidRDefault="000716F3" w:rsidP="000716F3">
            <w:pPr>
              <w:spacing w:after="0" w:line="240" w:lineRule="auto"/>
              <w:rPr>
                <w:rFonts w:ascii="Times New Roman" w:hAnsi="Times New Roman"/>
                <w:b/>
                <w:sz w:val="20"/>
                <w:szCs w:val="20"/>
                <w:lang w:eastAsia="sk-SK"/>
              </w:rPr>
            </w:pPr>
          </w:p>
        </w:tc>
        <w:tc>
          <w:tcPr>
            <w:tcW w:w="547" w:type="dxa"/>
            <w:tcBorders>
              <w:left w:val="nil"/>
              <w:bottom w:val="nil"/>
              <w:right w:val="nil"/>
            </w:tcBorders>
          </w:tcPr>
          <w:p w:rsidR="000716F3" w:rsidRPr="000716F3" w:rsidRDefault="000716F3" w:rsidP="000716F3">
            <w:pPr>
              <w:spacing w:after="0" w:line="240" w:lineRule="auto"/>
              <w:jc w:val="center"/>
              <w:rPr>
                <w:rFonts w:ascii="Times New Roman" w:eastAsia="MS Mincho" w:hAnsi="Times New Roman"/>
                <w:b/>
                <w:sz w:val="20"/>
                <w:szCs w:val="20"/>
                <w:lang w:eastAsia="sk-SK"/>
              </w:rPr>
            </w:pPr>
          </w:p>
        </w:tc>
        <w:tc>
          <w:tcPr>
            <w:tcW w:w="1297" w:type="dxa"/>
            <w:tcBorders>
              <w:left w:val="nil"/>
              <w:bottom w:val="nil"/>
            </w:tcBorders>
          </w:tcPr>
          <w:p w:rsidR="000716F3" w:rsidRPr="000716F3" w:rsidRDefault="000716F3" w:rsidP="000716F3">
            <w:pPr>
              <w:spacing w:after="0" w:line="240" w:lineRule="auto"/>
              <w:ind w:left="54"/>
              <w:rPr>
                <w:rFonts w:ascii="Times New Roman" w:hAnsi="Times New Roman"/>
                <w:b/>
                <w:sz w:val="20"/>
                <w:szCs w:val="20"/>
                <w:lang w:eastAsia="sk-SK"/>
              </w:rPr>
            </w:pPr>
          </w:p>
        </w:tc>
      </w:tr>
      <w:tr w:rsidR="000716F3" w:rsidRPr="000716F3" w:rsidTr="0037783C">
        <w:tc>
          <w:tcPr>
            <w:tcW w:w="3812" w:type="dxa"/>
            <w:tcBorders>
              <w:top w:val="nil"/>
              <w:bottom w:val="nil"/>
            </w:tcBorders>
            <w:shd w:val="clear" w:color="auto" w:fill="E2E2E2"/>
          </w:tcPr>
          <w:p w:rsidR="000716F3" w:rsidRPr="000716F3" w:rsidRDefault="000716F3" w:rsidP="000716F3">
            <w:pPr>
              <w:spacing w:after="0" w:line="240" w:lineRule="auto"/>
              <w:ind w:left="196" w:hanging="196"/>
              <w:rPr>
                <w:rFonts w:ascii="Times New Roman" w:hAnsi="Times New Roman"/>
                <w:b/>
                <w:sz w:val="20"/>
                <w:szCs w:val="20"/>
              </w:rPr>
            </w:pPr>
            <w:r w:rsidRPr="000716F3">
              <w:rPr>
                <w:rFonts w:ascii="Times New Roman" w:hAnsi="Times New Roman"/>
                <w:b/>
                <w:sz w:val="20"/>
                <w:szCs w:val="20"/>
              </w:rPr>
              <w:t xml:space="preserve">    vplyvy služieb verejnej správy na občana</w:t>
            </w:r>
          </w:p>
        </w:tc>
        <w:tc>
          <w:tcPr>
            <w:tcW w:w="541" w:type="dxa"/>
            <w:tcBorders>
              <w:top w:val="nil"/>
              <w:bottom w:val="nil"/>
              <w:right w:val="nil"/>
            </w:tcBorders>
          </w:tcPr>
          <w:p w:rsidR="000716F3" w:rsidRPr="000716F3" w:rsidRDefault="000716F3" w:rsidP="000716F3">
            <w:pPr>
              <w:spacing w:after="0" w:line="240" w:lineRule="auto"/>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tcBorders>
              <w:top w:val="nil"/>
              <w:left w:val="nil"/>
              <w:bottom w:val="nil"/>
              <w:right w:val="nil"/>
            </w:tcBorders>
          </w:tcPr>
          <w:p w:rsidR="000716F3" w:rsidRPr="000716F3" w:rsidRDefault="000716F3" w:rsidP="000716F3">
            <w:pPr>
              <w:spacing w:after="0" w:line="240" w:lineRule="auto"/>
              <w:ind w:right="-108"/>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top w:val="nil"/>
              <w:left w:val="nil"/>
              <w:bottom w:val="nil"/>
              <w:right w:val="nil"/>
            </w:tcBorders>
          </w:tcPr>
          <w:p w:rsidR="000716F3" w:rsidRPr="000716F3" w:rsidRDefault="000716F3" w:rsidP="000716F3">
            <w:pPr>
              <w:spacing w:after="0" w:line="240" w:lineRule="auto"/>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top w:val="nil"/>
              <w:left w:val="nil"/>
              <w:bottom w:val="nil"/>
              <w:right w:val="nil"/>
            </w:tcBorders>
          </w:tcPr>
          <w:p w:rsidR="000716F3" w:rsidRPr="000716F3" w:rsidRDefault="000716F3" w:rsidP="000716F3">
            <w:pPr>
              <w:spacing w:after="0" w:line="240" w:lineRule="auto"/>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tcBorders>
              <w:top w:val="nil"/>
              <w:left w:val="nil"/>
              <w:bottom w:val="nil"/>
              <w:right w:val="nil"/>
            </w:tcBorders>
          </w:tcPr>
          <w:p w:rsidR="000716F3" w:rsidRPr="000716F3" w:rsidRDefault="000716F3" w:rsidP="000716F3">
            <w:pPr>
              <w:spacing w:after="0" w:line="240" w:lineRule="auto"/>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top w:val="nil"/>
              <w:left w:val="nil"/>
              <w:bottom w:val="nil"/>
            </w:tcBorders>
          </w:tcPr>
          <w:p w:rsidR="000716F3" w:rsidRPr="000716F3" w:rsidRDefault="000716F3" w:rsidP="000716F3">
            <w:pPr>
              <w:spacing w:after="0" w:line="240" w:lineRule="auto"/>
              <w:ind w:left="54"/>
              <w:rPr>
                <w:rFonts w:ascii="Times New Roman" w:hAnsi="Times New Roman"/>
                <w:b/>
                <w:sz w:val="20"/>
                <w:szCs w:val="20"/>
                <w:lang w:eastAsia="sk-SK"/>
              </w:rPr>
            </w:pPr>
            <w:r w:rsidRPr="000716F3">
              <w:rPr>
                <w:rFonts w:ascii="Times New Roman" w:hAnsi="Times New Roman"/>
                <w:b/>
                <w:sz w:val="20"/>
                <w:szCs w:val="20"/>
                <w:lang w:eastAsia="sk-SK"/>
              </w:rPr>
              <w:t>Negatívne</w:t>
            </w:r>
          </w:p>
        </w:tc>
      </w:tr>
      <w:tr w:rsidR="000716F3" w:rsidRPr="000716F3" w:rsidTr="0037783C">
        <w:tc>
          <w:tcPr>
            <w:tcW w:w="3812" w:type="dxa"/>
            <w:tcBorders>
              <w:top w:val="nil"/>
            </w:tcBorders>
            <w:shd w:val="clear" w:color="auto" w:fill="E2E2E2"/>
          </w:tcPr>
          <w:p w:rsidR="000716F3" w:rsidRPr="000716F3" w:rsidRDefault="000716F3" w:rsidP="000716F3">
            <w:pPr>
              <w:spacing w:after="0" w:line="240" w:lineRule="auto"/>
              <w:ind w:left="168" w:hanging="168"/>
              <w:rPr>
                <w:rFonts w:ascii="Times New Roman" w:hAnsi="Times New Roman"/>
                <w:b/>
                <w:sz w:val="20"/>
                <w:szCs w:val="20"/>
              </w:rPr>
            </w:pPr>
            <w:r w:rsidRPr="000716F3">
              <w:rPr>
                <w:rFonts w:ascii="Times New Roman" w:hAnsi="Times New Roman"/>
                <w:b/>
                <w:sz w:val="20"/>
                <w:szCs w:val="20"/>
              </w:rPr>
              <w:t xml:space="preserve">    vplyvy na procesy služieb vo verejnej správe</w:t>
            </w:r>
          </w:p>
        </w:tc>
        <w:tc>
          <w:tcPr>
            <w:tcW w:w="541" w:type="dxa"/>
            <w:tcBorders>
              <w:top w:val="nil"/>
              <w:right w:val="nil"/>
            </w:tcBorders>
          </w:tcPr>
          <w:p w:rsidR="000716F3" w:rsidRPr="000716F3" w:rsidRDefault="000716F3" w:rsidP="000716F3">
            <w:pPr>
              <w:spacing w:after="0" w:line="240" w:lineRule="auto"/>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81" w:type="dxa"/>
            <w:tcBorders>
              <w:top w:val="nil"/>
              <w:left w:val="nil"/>
              <w:right w:val="nil"/>
            </w:tcBorders>
          </w:tcPr>
          <w:p w:rsidR="000716F3" w:rsidRPr="000716F3" w:rsidRDefault="000716F3" w:rsidP="000716F3">
            <w:pPr>
              <w:spacing w:after="0" w:line="240" w:lineRule="auto"/>
              <w:ind w:right="-108"/>
              <w:rPr>
                <w:rFonts w:ascii="Times New Roman" w:hAnsi="Times New Roman"/>
                <w:b/>
                <w:sz w:val="20"/>
                <w:szCs w:val="20"/>
                <w:lang w:eastAsia="sk-SK"/>
              </w:rPr>
            </w:pPr>
            <w:r w:rsidRPr="000716F3">
              <w:rPr>
                <w:rFonts w:ascii="Times New Roman" w:hAnsi="Times New Roman"/>
                <w:b/>
                <w:sz w:val="20"/>
                <w:szCs w:val="20"/>
                <w:lang w:eastAsia="sk-SK"/>
              </w:rPr>
              <w:t>Pozitívne</w:t>
            </w:r>
          </w:p>
        </w:tc>
        <w:tc>
          <w:tcPr>
            <w:tcW w:w="569" w:type="dxa"/>
            <w:tcBorders>
              <w:top w:val="nil"/>
              <w:left w:val="nil"/>
              <w:right w:val="nil"/>
            </w:tcBorders>
          </w:tcPr>
          <w:p w:rsidR="000716F3" w:rsidRPr="000716F3" w:rsidRDefault="000716F3" w:rsidP="000716F3">
            <w:pPr>
              <w:spacing w:after="0" w:line="240" w:lineRule="auto"/>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133" w:type="dxa"/>
            <w:tcBorders>
              <w:top w:val="nil"/>
              <w:left w:val="nil"/>
              <w:right w:val="nil"/>
            </w:tcBorders>
          </w:tcPr>
          <w:p w:rsidR="000716F3" w:rsidRPr="000716F3" w:rsidRDefault="000716F3" w:rsidP="000716F3">
            <w:pPr>
              <w:spacing w:after="0" w:line="240" w:lineRule="auto"/>
              <w:rPr>
                <w:rFonts w:ascii="Times New Roman" w:hAnsi="Times New Roman"/>
                <w:b/>
                <w:sz w:val="20"/>
                <w:szCs w:val="20"/>
                <w:lang w:eastAsia="sk-SK"/>
              </w:rPr>
            </w:pPr>
            <w:r w:rsidRPr="000716F3">
              <w:rPr>
                <w:rFonts w:ascii="Times New Roman" w:hAnsi="Times New Roman"/>
                <w:b/>
                <w:sz w:val="20"/>
                <w:szCs w:val="20"/>
                <w:lang w:eastAsia="sk-SK"/>
              </w:rPr>
              <w:t>Žiadne</w:t>
            </w:r>
          </w:p>
        </w:tc>
        <w:tc>
          <w:tcPr>
            <w:tcW w:w="547" w:type="dxa"/>
            <w:tcBorders>
              <w:top w:val="nil"/>
              <w:left w:val="nil"/>
              <w:right w:val="nil"/>
            </w:tcBorders>
          </w:tcPr>
          <w:p w:rsidR="000716F3" w:rsidRPr="000716F3" w:rsidRDefault="000716F3" w:rsidP="000716F3">
            <w:pPr>
              <w:spacing w:after="0" w:line="240" w:lineRule="auto"/>
              <w:jc w:val="center"/>
              <w:rPr>
                <w:rFonts w:ascii="Times New Roman" w:hAnsi="Times New Roman"/>
                <w:b/>
                <w:sz w:val="20"/>
                <w:szCs w:val="20"/>
                <w:lang w:eastAsia="sk-SK"/>
              </w:rPr>
            </w:pPr>
            <w:r w:rsidRPr="000716F3">
              <w:rPr>
                <w:rFonts w:ascii="Segoe UI Symbol" w:hAnsi="Segoe UI Symbol" w:cs="Segoe UI Symbol"/>
                <w:b/>
                <w:sz w:val="20"/>
                <w:szCs w:val="20"/>
                <w:lang w:eastAsia="sk-SK"/>
              </w:rPr>
              <w:t>☐</w:t>
            </w:r>
          </w:p>
        </w:tc>
        <w:tc>
          <w:tcPr>
            <w:tcW w:w="1297" w:type="dxa"/>
            <w:tcBorders>
              <w:top w:val="nil"/>
              <w:left w:val="nil"/>
            </w:tcBorders>
          </w:tcPr>
          <w:p w:rsidR="000716F3" w:rsidRPr="000716F3" w:rsidRDefault="000716F3" w:rsidP="000716F3">
            <w:pPr>
              <w:spacing w:after="0" w:line="240" w:lineRule="auto"/>
              <w:ind w:left="54"/>
              <w:rPr>
                <w:rFonts w:ascii="Times New Roman" w:hAnsi="Times New Roman"/>
                <w:b/>
                <w:sz w:val="20"/>
                <w:szCs w:val="20"/>
                <w:lang w:eastAsia="sk-SK"/>
              </w:rPr>
            </w:pPr>
            <w:r w:rsidRPr="000716F3">
              <w:rPr>
                <w:rFonts w:ascii="Times New Roman" w:hAnsi="Times New Roman"/>
                <w:b/>
                <w:sz w:val="20"/>
                <w:szCs w:val="20"/>
                <w:lang w:eastAsia="sk-SK"/>
              </w:rPr>
              <w:t>Negatívne</w:t>
            </w:r>
          </w:p>
        </w:tc>
      </w:tr>
    </w:tbl>
    <w:p w:rsidR="000716F3" w:rsidRPr="000716F3" w:rsidRDefault="000716F3" w:rsidP="000716F3">
      <w:pPr>
        <w:spacing w:after="0" w:line="240" w:lineRule="auto"/>
        <w:ind w:right="141"/>
        <w:rPr>
          <w:rFonts w:ascii="Times New Roman" w:hAnsi="Times New Roman"/>
          <w:b/>
          <w:sz w:val="20"/>
          <w:szCs w:val="20"/>
          <w:lang w:eastAsia="sk-SK"/>
        </w:rPr>
      </w:pPr>
    </w:p>
    <w:tbl>
      <w:tblPr>
        <w:tblStyle w:val="Mriekatabuky"/>
        <w:tblW w:w="9176" w:type="dxa"/>
        <w:tblLayout w:type="fixed"/>
        <w:tblLook w:val="04A0" w:firstRow="1" w:lastRow="0" w:firstColumn="1" w:lastColumn="0" w:noHBand="0" w:noVBand="1"/>
      </w:tblPr>
      <w:tblGrid>
        <w:gridCol w:w="9176"/>
      </w:tblGrid>
      <w:tr w:rsidR="000716F3" w:rsidRPr="000716F3" w:rsidTr="0037783C">
        <w:tc>
          <w:tcPr>
            <w:tcW w:w="9176" w:type="dxa"/>
            <w:tcBorders>
              <w:bottom w:val="nil"/>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Poznámky</w:t>
            </w:r>
          </w:p>
        </w:tc>
      </w:tr>
      <w:tr w:rsidR="000716F3" w:rsidRPr="000716F3" w:rsidTr="000716F3">
        <w:trPr>
          <w:trHeight w:val="713"/>
        </w:trPr>
        <w:tc>
          <w:tcPr>
            <w:tcW w:w="9176" w:type="dxa"/>
            <w:tcBorders>
              <w:top w:val="nil"/>
              <w:bottom w:val="single" w:sz="4" w:space="0" w:color="FFFFFF"/>
            </w:tcBorders>
          </w:tcPr>
          <w:p w:rsidR="000716F3" w:rsidRPr="000716F3" w:rsidRDefault="000716F3" w:rsidP="000716F3">
            <w:pPr>
              <w:rPr>
                <w:rFonts w:ascii="Times New Roman" w:hAnsi="Times New Roman"/>
                <w:i/>
                <w:sz w:val="20"/>
                <w:szCs w:val="20"/>
                <w:lang w:eastAsia="sk-SK"/>
              </w:rPr>
            </w:pPr>
          </w:p>
          <w:p w:rsidR="000716F3" w:rsidRPr="000716F3" w:rsidRDefault="000716F3" w:rsidP="000716F3">
            <w:pPr>
              <w:ind w:left="426"/>
              <w:rPr>
                <w:rFonts w:ascii="Times New Roman" w:hAnsi="Times New Roman"/>
                <w:b/>
              </w:rPr>
            </w:pPr>
          </w:p>
        </w:tc>
      </w:tr>
      <w:tr w:rsidR="000716F3" w:rsidRPr="000716F3" w:rsidTr="000716F3">
        <w:tc>
          <w:tcPr>
            <w:tcW w:w="9176" w:type="dxa"/>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Kontakt na spracovateľa</w:t>
            </w:r>
          </w:p>
        </w:tc>
      </w:tr>
      <w:tr w:rsidR="000716F3" w:rsidRPr="000716F3" w:rsidTr="000716F3">
        <w:trPr>
          <w:trHeight w:val="586"/>
        </w:trPr>
        <w:tc>
          <w:tcPr>
            <w:tcW w:w="9176" w:type="dxa"/>
            <w:tcBorders>
              <w:top w:val="single" w:sz="4" w:space="0" w:color="FFFFFF"/>
            </w:tcBorders>
            <w:shd w:val="clear" w:color="auto" w:fill="FFFFFF"/>
          </w:tcPr>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 xml:space="preserve">Ministerstvo dopravy a výstavby Slovenskej republiky, </w:t>
            </w:r>
          </w:p>
          <w:p w:rsidR="000716F3" w:rsidRPr="000716F3" w:rsidRDefault="000716F3" w:rsidP="000716F3">
            <w:pPr>
              <w:rPr>
                <w:rFonts w:ascii="Times New Roman" w:hAnsi="Times New Roman"/>
                <w:sz w:val="20"/>
                <w:szCs w:val="20"/>
                <w:lang w:eastAsia="sk-SK"/>
              </w:rPr>
            </w:pPr>
            <w:r w:rsidRPr="000716F3">
              <w:rPr>
                <w:rFonts w:ascii="Times New Roman" w:hAnsi="Times New Roman"/>
                <w:sz w:val="20"/>
                <w:szCs w:val="20"/>
                <w:lang w:eastAsia="sk-SK"/>
              </w:rPr>
              <w:t>peter.klucka@mindop.sk, tel.: +421 2 59494634</w:t>
            </w:r>
          </w:p>
          <w:p w:rsidR="000716F3" w:rsidRPr="000716F3" w:rsidRDefault="000716F3" w:rsidP="000716F3">
            <w:pPr>
              <w:rPr>
                <w:rFonts w:ascii="Times New Roman" w:hAnsi="Times New Roman"/>
                <w:sz w:val="20"/>
                <w:szCs w:val="20"/>
                <w:lang w:eastAsia="sk-SK"/>
              </w:rPr>
            </w:pPr>
          </w:p>
        </w:tc>
      </w:tr>
      <w:tr w:rsidR="000716F3" w:rsidRPr="000716F3" w:rsidTr="000716F3">
        <w:tc>
          <w:tcPr>
            <w:tcW w:w="9176" w:type="dxa"/>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Zdroje</w:t>
            </w:r>
          </w:p>
        </w:tc>
      </w:tr>
      <w:tr w:rsidR="000716F3" w:rsidRPr="000716F3" w:rsidTr="000716F3">
        <w:trPr>
          <w:trHeight w:val="401"/>
        </w:trPr>
        <w:tc>
          <w:tcPr>
            <w:tcW w:w="9176" w:type="dxa"/>
            <w:tcBorders>
              <w:top w:val="single" w:sz="4" w:space="0" w:color="FFFFFF"/>
            </w:tcBorders>
            <w:shd w:val="clear" w:color="auto" w:fill="FFFFFF"/>
          </w:tcPr>
          <w:p w:rsidR="000716F3" w:rsidRPr="000716F3" w:rsidRDefault="000716F3" w:rsidP="000716F3">
            <w:pPr>
              <w:rPr>
                <w:rFonts w:ascii="Times New Roman" w:hAnsi="Times New Roman"/>
                <w:i/>
                <w:sz w:val="20"/>
                <w:szCs w:val="20"/>
                <w:lang w:eastAsia="sk-SK"/>
              </w:rPr>
            </w:pPr>
            <w:r w:rsidRPr="000716F3">
              <w:rPr>
                <w:rFonts w:ascii="Times New Roman" w:hAnsi="Times New Roman"/>
                <w:i/>
                <w:sz w:val="20"/>
                <w:szCs w:val="20"/>
                <w:lang w:eastAsia="sk-SK"/>
              </w:rPr>
              <w:t>Národná stratégia rozvoja cyklistickej dopravy a cykloturistiky, Integrovaný regionálny operačný program (IROP), Programové vyhlásenie vlády 2018-2020, Strategický plán rozvoja dopravnej infraštruktúry SR do roku 2020</w:t>
            </w:r>
          </w:p>
          <w:p w:rsidR="000716F3" w:rsidRPr="000716F3" w:rsidRDefault="000716F3" w:rsidP="000716F3">
            <w:pPr>
              <w:rPr>
                <w:rFonts w:ascii="Times New Roman" w:hAnsi="Times New Roman"/>
                <w:i/>
                <w:sz w:val="20"/>
                <w:szCs w:val="20"/>
                <w:lang w:eastAsia="sk-SK"/>
              </w:rPr>
            </w:pPr>
          </w:p>
          <w:p w:rsidR="000716F3" w:rsidRPr="000716F3" w:rsidRDefault="000716F3" w:rsidP="000716F3">
            <w:pPr>
              <w:rPr>
                <w:rFonts w:ascii="Times New Roman" w:hAnsi="Times New Roman"/>
                <w:b/>
                <w:sz w:val="20"/>
                <w:szCs w:val="20"/>
                <w:lang w:eastAsia="sk-SK"/>
              </w:rPr>
            </w:pPr>
          </w:p>
        </w:tc>
      </w:tr>
      <w:tr w:rsidR="000716F3" w:rsidRPr="000716F3" w:rsidTr="000716F3">
        <w:tc>
          <w:tcPr>
            <w:tcW w:w="9176" w:type="dxa"/>
            <w:tcBorders>
              <w:bottom w:val="single" w:sz="4" w:space="0" w:color="FFFFFF"/>
            </w:tcBorders>
            <w:shd w:val="clear" w:color="auto" w:fill="E2E2E2"/>
          </w:tcPr>
          <w:p w:rsidR="000716F3" w:rsidRPr="000716F3" w:rsidRDefault="000716F3" w:rsidP="000716F3">
            <w:pPr>
              <w:numPr>
                <w:ilvl w:val="0"/>
                <w:numId w:val="3"/>
              </w:numPr>
              <w:ind w:left="426"/>
              <w:rPr>
                <w:rFonts w:ascii="Times New Roman" w:hAnsi="Times New Roman"/>
                <w:b/>
              </w:rPr>
            </w:pPr>
            <w:r w:rsidRPr="000716F3">
              <w:rPr>
                <w:rFonts w:ascii="Times New Roman" w:hAnsi="Times New Roman"/>
                <w:b/>
              </w:rPr>
              <w:t>Stanovisko Komisie pre posudzovanie vybraných vplyvov z PPK</w:t>
            </w:r>
          </w:p>
        </w:tc>
      </w:tr>
      <w:tr w:rsidR="000716F3" w:rsidRPr="000716F3" w:rsidTr="000716F3">
        <w:tc>
          <w:tcPr>
            <w:tcW w:w="9176" w:type="dxa"/>
            <w:tcBorders>
              <w:top w:val="single" w:sz="4" w:space="0" w:color="FFFFFF"/>
            </w:tcBorders>
            <w:shd w:val="clear" w:color="auto" w:fill="FFFFFF"/>
          </w:tcPr>
          <w:p w:rsidR="000716F3" w:rsidRPr="000716F3" w:rsidRDefault="000716F3" w:rsidP="000716F3">
            <w:pPr>
              <w:rPr>
                <w:rFonts w:ascii="Times New Roman" w:hAnsi="Times New Roman"/>
                <w:i/>
                <w:sz w:val="20"/>
                <w:szCs w:val="20"/>
                <w:lang w:eastAsia="sk-SK"/>
              </w:rPr>
            </w:pPr>
            <w:r w:rsidRPr="000716F3">
              <w:rPr>
                <w:rFonts w:ascii="Times New Roman" w:hAnsi="Times New Roman"/>
                <w:i/>
                <w:sz w:val="20"/>
                <w:szCs w:val="20"/>
                <w:lang w:eastAsia="sk-SK"/>
              </w:rPr>
              <w:t>Komisia neuplatnila k materiálu žiadne pripomienky a odporúčania.</w:t>
            </w:r>
          </w:p>
          <w:p w:rsidR="000716F3" w:rsidRPr="000716F3" w:rsidRDefault="000716F3" w:rsidP="000716F3">
            <w:pPr>
              <w:rPr>
                <w:rFonts w:ascii="Times New Roman" w:hAnsi="Times New Roman"/>
                <w:b/>
                <w:sz w:val="20"/>
                <w:szCs w:val="20"/>
                <w:lang w:eastAsia="sk-SK"/>
              </w:rPr>
            </w:pPr>
          </w:p>
          <w:p w:rsidR="000716F3" w:rsidRPr="000716F3" w:rsidRDefault="000716F3" w:rsidP="000716F3">
            <w:pPr>
              <w:rPr>
                <w:rFonts w:ascii="Times New Roman" w:hAnsi="Times New Roman"/>
                <w:b/>
                <w:sz w:val="20"/>
                <w:szCs w:val="20"/>
                <w:lang w:eastAsia="sk-SK"/>
              </w:rPr>
            </w:pPr>
          </w:p>
          <w:p w:rsidR="000716F3" w:rsidRPr="000716F3" w:rsidRDefault="000716F3" w:rsidP="000716F3">
            <w:pPr>
              <w:rPr>
                <w:rFonts w:ascii="Times New Roman" w:hAnsi="Times New Roman"/>
                <w:b/>
                <w:sz w:val="20"/>
                <w:szCs w:val="20"/>
                <w:lang w:eastAsia="sk-SK"/>
              </w:rPr>
            </w:pPr>
          </w:p>
          <w:p w:rsidR="000716F3" w:rsidRPr="000716F3" w:rsidRDefault="000716F3" w:rsidP="000716F3">
            <w:pPr>
              <w:rPr>
                <w:rFonts w:ascii="Times New Roman" w:hAnsi="Times New Roman"/>
                <w:b/>
                <w:sz w:val="20"/>
                <w:szCs w:val="20"/>
                <w:lang w:eastAsia="sk-SK"/>
              </w:rPr>
            </w:pPr>
          </w:p>
          <w:p w:rsidR="000716F3" w:rsidRPr="000716F3" w:rsidRDefault="000716F3" w:rsidP="000716F3">
            <w:pPr>
              <w:rPr>
                <w:rFonts w:ascii="Times New Roman" w:hAnsi="Times New Roman"/>
                <w:b/>
                <w:sz w:val="20"/>
                <w:szCs w:val="20"/>
                <w:lang w:eastAsia="sk-SK"/>
              </w:rPr>
            </w:pPr>
          </w:p>
        </w:tc>
      </w:tr>
    </w:tbl>
    <w:p w:rsidR="000716F3" w:rsidRPr="000716F3" w:rsidRDefault="000716F3" w:rsidP="000716F3">
      <w:pPr>
        <w:spacing w:after="0" w:line="240" w:lineRule="auto"/>
        <w:rPr>
          <w:rFonts w:ascii="Times New Roman" w:hAnsi="Times New Roman"/>
          <w:b/>
          <w:sz w:val="20"/>
          <w:szCs w:val="20"/>
          <w:lang w:eastAsia="sk-SK"/>
        </w:rPr>
      </w:pPr>
    </w:p>
    <w:p w:rsidR="000716F3" w:rsidRPr="000716F3" w:rsidRDefault="000716F3" w:rsidP="000716F3">
      <w:pPr>
        <w:spacing w:after="0" w:line="240" w:lineRule="auto"/>
        <w:rPr>
          <w:rFonts w:ascii="Times New Roman" w:hAnsi="Times New Roman"/>
          <w:b/>
          <w:sz w:val="20"/>
          <w:szCs w:val="20"/>
          <w:lang w:eastAsia="sk-SK"/>
        </w:rPr>
      </w:pPr>
    </w:p>
    <w:p w:rsidR="000716F3" w:rsidRPr="000716F3" w:rsidRDefault="000716F3" w:rsidP="000716F3">
      <w:pPr>
        <w:spacing w:after="0" w:line="240" w:lineRule="auto"/>
        <w:rPr>
          <w:rFonts w:ascii="Times New Roman" w:hAnsi="Times New Roman"/>
          <w:sz w:val="20"/>
          <w:szCs w:val="20"/>
          <w:lang w:eastAsia="sk-SK"/>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DE63B2" w:rsidRDefault="00DE63B2" w:rsidP="000716F3">
      <w:pPr>
        <w:spacing w:after="0" w:line="240" w:lineRule="auto"/>
        <w:jc w:val="center"/>
        <w:rPr>
          <w:rFonts w:ascii="Times New Roman" w:hAnsi="Times New Roman"/>
          <w:b/>
          <w:bCs/>
          <w:sz w:val="28"/>
          <w:szCs w:val="28"/>
          <w:lang w:eastAsia="sk-SK"/>
        </w:rPr>
      </w:pPr>
    </w:p>
    <w:p w:rsidR="000716F3" w:rsidRPr="000716F3" w:rsidRDefault="000716F3" w:rsidP="000716F3">
      <w:pPr>
        <w:spacing w:after="0" w:line="240" w:lineRule="auto"/>
        <w:jc w:val="center"/>
        <w:rPr>
          <w:rFonts w:ascii="Times New Roman" w:hAnsi="Times New Roman"/>
          <w:b/>
          <w:bCs/>
          <w:sz w:val="28"/>
          <w:szCs w:val="28"/>
          <w:lang w:eastAsia="sk-SK"/>
        </w:rPr>
      </w:pPr>
      <w:r w:rsidRPr="000716F3">
        <w:rPr>
          <w:rFonts w:ascii="Times New Roman" w:hAnsi="Times New Roman"/>
          <w:b/>
          <w:bCs/>
          <w:sz w:val="28"/>
          <w:szCs w:val="28"/>
          <w:lang w:eastAsia="sk-SK"/>
        </w:rPr>
        <w:lastRenderedPageBreak/>
        <w:t>Analýza vplyvov na rozpočet verejnej správy,</w:t>
      </w:r>
    </w:p>
    <w:p w:rsidR="000716F3" w:rsidRPr="000716F3" w:rsidRDefault="000716F3" w:rsidP="000716F3">
      <w:pPr>
        <w:spacing w:after="0" w:line="240" w:lineRule="auto"/>
        <w:jc w:val="center"/>
        <w:rPr>
          <w:rFonts w:ascii="Times New Roman" w:hAnsi="Times New Roman"/>
          <w:b/>
          <w:bCs/>
          <w:sz w:val="28"/>
          <w:szCs w:val="28"/>
          <w:lang w:eastAsia="sk-SK"/>
        </w:rPr>
      </w:pPr>
      <w:r w:rsidRPr="000716F3">
        <w:rPr>
          <w:rFonts w:ascii="Times New Roman" w:hAnsi="Times New Roman"/>
          <w:b/>
          <w:bCs/>
          <w:sz w:val="28"/>
          <w:szCs w:val="28"/>
          <w:lang w:eastAsia="sk-SK"/>
        </w:rPr>
        <w:t>na zamestnanosť vo verejnej správe a financovanie návrhu</w:t>
      </w:r>
    </w:p>
    <w:p w:rsidR="000716F3" w:rsidRPr="000716F3" w:rsidRDefault="000716F3" w:rsidP="000716F3">
      <w:pPr>
        <w:spacing w:after="0" w:line="240" w:lineRule="auto"/>
        <w:jc w:val="right"/>
        <w:rPr>
          <w:rFonts w:ascii="Times New Roman" w:hAnsi="Times New Roman"/>
          <w:b/>
          <w:bCs/>
          <w:sz w:val="24"/>
          <w:szCs w:val="24"/>
          <w:lang w:eastAsia="sk-SK"/>
        </w:rPr>
      </w:pPr>
    </w:p>
    <w:p w:rsidR="000716F3" w:rsidRPr="000716F3" w:rsidRDefault="000716F3" w:rsidP="000716F3">
      <w:pPr>
        <w:spacing w:after="0" w:line="240" w:lineRule="auto"/>
        <w:rPr>
          <w:rFonts w:ascii="Times New Roman" w:hAnsi="Times New Roman"/>
          <w:b/>
          <w:bCs/>
          <w:sz w:val="24"/>
          <w:szCs w:val="24"/>
          <w:lang w:eastAsia="sk-SK"/>
        </w:rPr>
      </w:pPr>
    </w:p>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2.1 Zhrnutie vplyvov na rozpočet verejnej správy v návrhu</w:t>
      </w:r>
    </w:p>
    <w:p w:rsidR="000716F3" w:rsidRPr="000716F3" w:rsidRDefault="000716F3" w:rsidP="000716F3">
      <w:pPr>
        <w:spacing w:after="0" w:line="240" w:lineRule="auto"/>
        <w:jc w:val="right"/>
        <w:rPr>
          <w:rFonts w:ascii="Times New Roman" w:hAnsi="Times New Roman"/>
          <w:sz w:val="20"/>
          <w:szCs w:val="20"/>
          <w:lang w:eastAsia="sk-SK"/>
        </w:rPr>
      </w:pPr>
    </w:p>
    <w:p w:rsidR="000716F3" w:rsidRPr="000716F3" w:rsidRDefault="000716F3" w:rsidP="000716F3">
      <w:pPr>
        <w:spacing w:after="0" w:line="240" w:lineRule="auto"/>
        <w:jc w:val="right"/>
        <w:rPr>
          <w:rFonts w:ascii="Times New Roman" w:hAnsi="Times New Roman"/>
          <w:sz w:val="20"/>
          <w:szCs w:val="20"/>
          <w:lang w:eastAsia="sk-SK"/>
        </w:rPr>
      </w:pPr>
      <w:r w:rsidRPr="000716F3">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0716F3" w:rsidRPr="000716F3" w:rsidTr="000716F3">
        <w:trPr>
          <w:cantSplit/>
          <w:trHeight w:val="194"/>
          <w:jc w:val="center"/>
        </w:trPr>
        <w:tc>
          <w:tcPr>
            <w:tcW w:w="4661" w:type="dxa"/>
            <w:vMerge w:val="restart"/>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bookmarkStart w:id="1" w:name="OLE_LINK1"/>
            <w:r w:rsidRPr="000716F3">
              <w:rPr>
                <w:rFonts w:ascii="Times New Roman" w:hAnsi="Times New Roman"/>
                <w:b/>
                <w:bCs/>
                <w:sz w:val="24"/>
                <w:szCs w:val="24"/>
                <w:lang w:eastAsia="sk-SK"/>
              </w:rPr>
              <w:t>Vplyvy na rozpočet verejnej správy</w:t>
            </w:r>
          </w:p>
        </w:tc>
        <w:tc>
          <w:tcPr>
            <w:tcW w:w="5068" w:type="dxa"/>
            <w:gridSpan w:val="4"/>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Vplyv na rozpočet verejnej správy (v eurách)</w:t>
            </w:r>
          </w:p>
        </w:tc>
      </w:tr>
      <w:tr w:rsidR="000716F3" w:rsidRPr="000716F3" w:rsidTr="000716F3">
        <w:trPr>
          <w:cantSplit/>
          <w:trHeight w:val="70"/>
          <w:jc w:val="center"/>
        </w:trPr>
        <w:tc>
          <w:tcPr>
            <w:tcW w:w="4661" w:type="dxa"/>
            <w:vMerge/>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267" w:type="dxa"/>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2019</w:t>
            </w:r>
          </w:p>
        </w:tc>
        <w:tc>
          <w:tcPr>
            <w:tcW w:w="1267" w:type="dxa"/>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2020</w:t>
            </w:r>
          </w:p>
        </w:tc>
        <w:tc>
          <w:tcPr>
            <w:tcW w:w="1267" w:type="dxa"/>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2021</w:t>
            </w:r>
          </w:p>
        </w:tc>
        <w:tc>
          <w:tcPr>
            <w:tcW w:w="1267" w:type="dxa"/>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2022</w:t>
            </w:r>
          </w:p>
        </w:tc>
      </w:tr>
      <w:tr w:rsidR="000716F3" w:rsidRPr="000716F3" w:rsidTr="0037783C">
        <w:trPr>
          <w:trHeight w:val="70"/>
          <w:jc w:val="center"/>
        </w:trPr>
        <w:tc>
          <w:tcPr>
            <w:tcW w:w="4661" w:type="dxa"/>
            <w:shd w:val="clear" w:color="auto" w:fill="C0C0C0"/>
            <w:noWrap/>
            <w:vAlign w:val="center"/>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b/>
                <w:bCs/>
                <w:sz w:val="24"/>
                <w:szCs w:val="24"/>
                <w:lang w:eastAsia="sk-SK"/>
              </w:rPr>
              <w:t>Príjmy verejnej správy celkom</w:t>
            </w:r>
          </w:p>
        </w:tc>
        <w:tc>
          <w:tcPr>
            <w:tcW w:w="1267" w:type="dxa"/>
            <w:shd w:val="clear" w:color="auto" w:fill="C0C0C0"/>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C0C0C0"/>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C0C0C0"/>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C0C0C0"/>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r>
      <w:tr w:rsidR="000716F3" w:rsidRPr="000716F3" w:rsidTr="0037783C">
        <w:trPr>
          <w:trHeight w:val="132"/>
          <w:jc w:val="center"/>
        </w:trPr>
        <w:tc>
          <w:tcPr>
            <w:tcW w:w="4661" w:type="dxa"/>
            <w:noWrap/>
            <w:vAlign w:val="center"/>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v tom: za každý subjekt verejnej správy zvlášť</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xml:space="preserve">z toho:  </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ŠR</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highlight w:val="yellow"/>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highlight w:val="yellow"/>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ind w:left="259"/>
              <w:rPr>
                <w:rFonts w:ascii="Times New Roman" w:hAnsi="Times New Roman"/>
                <w:b/>
                <w:bCs/>
                <w:i/>
                <w:iCs/>
                <w:sz w:val="24"/>
                <w:szCs w:val="24"/>
                <w:lang w:eastAsia="sk-SK"/>
              </w:rPr>
            </w:pPr>
            <w:r w:rsidRPr="000716F3">
              <w:rPr>
                <w:rFonts w:ascii="Times New Roman" w:hAnsi="Times New Roman"/>
                <w:bCs/>
                <w:i/>
                <w:iCs/>
                <w:sz w:val="24"/>
                <w:szCs w:val="24"/>
                <w:lang w:eastAsia="sk-SK"/>
              </w:rPr>
              <w:t>Rozpočtové prostriedky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ind w:left="259"/>
              <w:rPr>
                <w:rFonts w:ascii="Times New Roman" w:hAnsi="Times New Roman"/>
                <w:bCs/>
                <w:i/>
                <w:iCs/>
                <w:sz w:val="24"/>
                <w:szCs w:val="24"/>
                <w:lang w:eastAsia="sk-SK"/>
              </w:rPr>
            </w:pPr>
            <w:r w:rsidRPr="000716F3">
              <w:rPr>
                <w:rFonts w:ascii="Times New Roman" w:hAnsi="Times New Roman"/>
                <w:bCs/>
                <w:i/>
                <w:iCs/>
                <w:sz w:val="24"/>
                <w:szCs w:val="24"/>
                <w:lang w:eastAsia="sk-SK"/>
              </w:rPr>
              <w:t>EÚ zdroje</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obce</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vyššie územné celky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ostatné subjekty verejnej správy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125"/>
          <w:jc w:val="center"/>
        </w:trPr>
        <w:tc>
          <w:tcPr>
            <w:tcW w:w="4661" w:type="dxa"/>
            <w:shd w:val="clear" w:color="auto" w:fill="C0C0C0"/>
            <w:noWrap/>
            <w:vAlign w:val="center"/>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Výdavky verejnej správy celkom</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1 700 000</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2 800 000</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12 800 000</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15 200 000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v tom: MDV SR / 07T0A</w:t>
            </w:r>
          </w:p>
        </w:tc>
        <w:tc>
          <w:tcPr>
            <w:tcW w:w="1267" w:type="dxa"/>
            <w:noWrap/>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bCs/>
                <w:sz w:val="24"/>
                <w:szCs w:val="24"/>
                <w:lang w:eastAsia="sk-SK"/>
              </w:rPr>
              <w:t>1 700 000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bCs/>
                <w:sz w:val="24"/>
                <w:szCs w:val="24"/>
                <w:lang w:eastAsia="sk-SK"/>
              </w:rPr>
              <w:t>2 800 000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bCs/>
                <w:sz w:val="24"/>
                <w:szCs w:val="24"/>
                <w:lang w:eastAsia="sk-SK"/>
              </w:rPr>
              <w:t>12 800 000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bCs/>
                <w:sz w:val="24"/>
                <w:szCs w:val="24"/>
                <w:lang w:eastAsia="sk-SK"/>
              </w:rPr>
              <w:t>15 200 000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xml:space="preserve">z toho: </w:t>
            </w:r>
          </w:p>
        </w:tc>
        <w:tc>
          <w:tcPr>
            <w:tcW w:w="1267" w:type="dxa"/>
            <w:noWrap/>
          </w:tcPr>
          <w:p w:rsidR="000716F3" w:rsidRPr="000716F3" w:rsidRDefault="000716F3" w:rsidP="000716F3">
            <w:pPr>
              <w:spacing w:after="0" w:line="240" w:lineRule="auto"/>
              <w:jc w:val="right"/>
              <w:rPr>
                <w:rFonts w:ascii="Times New Roman" w:hAnsi="Times New Roman"/>
                <w:b/>
                <w:bCs/>
                <w:iCs/>
                <w:sz w:val="24"/>
                <w:szCs w:val="24"/>
                <w:lang w:eastAsia="sk-SK"/>
              </w:rPr>
            </w:pP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ŠR</w:t>
            </w:r>
          </w:p>
        </w:tc>
        <w:tc>
          <w:tcPr>
            <w:tcW w:w="1267" w:type="dxa"/>
            <w:noWrap/>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1 700 000</w:t>
            </w:r>
          </w:p>
        </w:tc>
        <w:tc>
          <w:tcPr>
            <w:tcW w:w="1267" w:type="dxa"/>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2 800 000</w:t>
            </w:r>
          </w:p>
        </w:tc>
        <w:tc>
          <w:tcPr>
            <w:tcW w:w="1267" w:type="dxa"/>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12 800 000</w:t>
            </w:r>
          </w:p>
        </w:tc>
        <w:tc>
          <w:tcPr>
            <w:tcW w:w="1267" w:type="dxa"/>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15 200 000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ind w:left="259"/>
              <w:rPr>
                <w:rFonts w:ascii="Times New Roman" w:hAnsi="Times New Roman"/>
                <w:b/>
                <w:bCs/>
                <w:i/>
                <w:iCs/>
                <w:sz w:val="24"/>
                <w:szCs w:val="24"/>
                <w:lang w:eastAsia="sk-SK"/>
              </w:rPr>
            </w:pPr>
            <w:r w:rsidRPr="000716F3">
              <w:rPr>
                <w:rFonts w:ascii="Times New Roman" w:hAnsi="Times New Roman"/>
                <w:bCs/>
                <w:i/>
                <w:iCs/>
                <w:sz w:val="24"/>
                <w:szCs w:val="24"/>
                <w:lang w:eastAsia="sk-SK"/>
              </w:rPr>
              <w:t>Rozpočtové prostriedky</w:t>
            </w:r>
          </w:p>
        </w:tc>
        <w:tc>
          <w:tcPr>
            <w:tcW w:w="1267" w:type="dxa"/>
            <w:noWrap/>
          </w:tcPr>
          <w:p w:rsidR="000716F3" w:rsidRPr="000716F3" w:rsidRDefault="000716F3" w:rsidP="000716F3">
            <w:pPr>
              <w:spacing w:after="0" w:line="240" w:lineRule="auto"/>
              <w:jc w:val="right"/>
              <w:rPr>
                <w:rFonts w:ascii="Times New Roman" w:hAnsi="Times New Roman"/>
                <w:bCs/>
                <w:iCs/>
                <w:sz w:val="24"/>
                <w:szCs w:val="24"/>
                <w:lang w:eastAsia="sk-SK"/>
              </w:rPr>
            </w:pPr>
            <w:r w:rsidRPr="000716F3">
              <w:rPr>
                <w:rFonts w:ascii="Times New Roman" w:hAnsi="Times New Roman"/>
                <w:bCs/>
                <w:sz w:val="24"/>
                <w:szCs w:val="24"/>
                <w:lang w:eastAsia="sk-SK"/>
              </w:rPr>
              <w:t>1 700 000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Cs/>
                <w:sz w:val="24"/>
                <w:szCs w:val="24"/>
                <w:lang w:eastAsia="sk-SK"/>
              </w:rPr>
              <w:t>2 800 000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Cs/>
                <w:sz w:val="24"/>
                <w:szCs w:val="24"/>
                <w:lang w:eastAsia="sk-SK"/>
              </w:rPr>
              <w:t>12 800 000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Cs/>
                <w:sz w:val="24"/>
                <w:szCs w:val="24"/>
                <w:lang w:eastAsia="sk-SK"/>
              </w:rPr>
              <w:t>15 200 000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Cs/>
                <w:i/>
                <w:iCs/>
                <w:sz w:val="24"/>
                <w:szCs w:val="24"/>
                <w:lang w:eastAsia="sk-SK"/>
              </w:rPr>
            </w:pPr>
            <w:r w:rsidRPr="000716F3">
              <w:rPr>
                <w:rFonts w:ascii="Times New Roman" w:hAnsi="Times New Roman"/>
                <w:bCs/>
                <w:i/>
                <w:iCs/>
                <w:sz w:val="24"/>
                <w:szCs w:val="24"/>
                <w:lang w:eastAsia="sk-SK"/>
              </w:rPr>
              <w:t xml:space="preserve">    EÚ zdroje</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Cs/>
                <w:i/>
                <w:iCs/>
                <w:sz w:val="24"/>
                <w:szCs w:val="24"/>
                <w:lang w:eastAsia="sk-SK"/>
              </w:rPr>
            </w:pPr>
            <w:r w:rsidRPr="000716F3">
              <w:rPr>
                <w:rFonts w:ascii="Times New Roman" w:hAnsi="Times New Roman"/>
                <w:bCs/>
                <w:i/>
                <w:iCs/>
                <w:sz w:val="24"/>
                <w:szCs w:val="24"/>
                <w:lang w:eastAsia="sk-SK"/>
              </w:rPr>
              <w:t xml:space="preserve">    spolufinancovanie</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obce</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125"/>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vyššie územné celky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i/>
                <w:iCs/>
                <w:sz w:val="24"/>
                <w:szCs w:val="24"/>
                <w:lang w:eastAsia="sk-SK"/>
              </w:rPr>
              <w:t>- vplyv na ostatné subjekty verejnej správy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0716F3">
        <w:trPr>
          <w:trHeight w:val="70"/>
          <w:jc w:val="center"/>
        </w:trPr>
        <w:tc>
          <w:tcPr>
            <w:tcW w:w="4661" w:type="dxa"/>
            <w:shd w:val="clear" w:color="auto" w:fill="BFBFBF"/>
            <w:noWrap/>
            <w:vAlign w:val="center"/>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 xml:space="preserve">Vplyv na počet zamestnancov </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iCs/>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ŠR</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1</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2</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obce</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vyššie územné celky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ostatné subjekty verejnej správy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0716F3">
        <w:trPr>
          <w:trHeight w:val="70"/>
          <w:jc w:val="center"/>
        </w:trPr>
        <w:tc>
          <w:tcPr>
            <w:tcW w:w="4661" w:type="dxa"/>
            <w:shd w:val="clear" w:color="auto" w:fill="BFBFBF"/>
            <w:noWrap/>
            <w:vAlign w:val="center"/>
          </w:tcPr>
          <w:p w:rsidR="000716F3" w:rsidRPr="000716F3" w:rsidRDefault="000716F3" w:rsidP="000716F3">
            <w:pPr>
              <w:spacing w:after="0" w:line="240" w:lineRule="auto"/>
              <w:rPr>
                <w:rFonts w:ascii="Times New Roman" w:hAnsi="Times New Roman"/>
                <w:b/>
                <w:sz w:val="24"/>
                <w:szCs w:val="24"/>
                <w:lang w:eastAsia="sk-SK"/>
              </w:rPr>
            </w:pPr>
            <w:r w:rsidRPr="000716F3">
              <w:rPr>
                <w:rFonts w:ascii="Times New Roman" w:hAnsi="Times New Roman"/>
                <w:b/>
                <w:sz w:val="24"/>
                <w:szCs w:val="24"/>
                <w:lang w:eastAsia="sk-SK"/>
              </w:rPr>
              <w:t>Vplyv na mzdové výdavky</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sz w:val="24"/>
                <w:szCs w:val="24"/>
                <w:lang w:eastAsia="sk-SK"/>
              </w:rPr>
            </w:pPr>
            <w:r w:rsidRPr="000716F3">
              <w:rPr>
                <w:rFonts w:ascii="Times New Roman" w:hAnsi="Times New Roman"/>
                <w:b/>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sz w:val="24"/>
                <w:szCs w:val="24"/>
                <w:lang w:eastAsia="sk-SK"/>
              </w:rPr>
            </w:pPr>
            <w:r w:rsidRPr="000716F3">
              <w:rPr>
                <w:rFonts w:ascii="Times New Roman" w:hAnsi="Times New Roman"/>
                <w:b/>
                <w:bCs/>
                <w:iCs/>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sz w:val="24"/>
                <w:szCs w:val="24"/>
                <w:lang w:eastAsia="sk-SK"/>
              </w:rPr>
            </w:pPr>
            <w:r w:rsidRPr="000716F3">
              <w:rPr>
                <w:rFonts w:ascii="Times New Roman" w:hAnsi="Times New Roman"/>
                <w:b/>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sz w:val="24"/>
                <w:szCs w:val="24"/>
                <w:lang w:eastAsia="sk-SK"/>
              </w:rPr>
            </w:pPr>
            <w:r w:rsidRPr="000716F3">
              <w:rPr>
                <w:rFonts w:ascii="Times New Roman" w:hAnsi="Times New Roman"/>
                <w:b/>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ŠR</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obce</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i/>
                <w:iCs/>
                <w:sz w:val="24"/>
                <w:szCs w:val="24"/>
                <w:lang w:eastAsia="sk-SK"/>
              </w:rPr>
            </w:pPr>
            <w:r w:rsidRPr="000716F3">
              <w:rPr>
                <w:rFonts w:ascii="Times New Roman" w:hAnsi="Times New Roman"/>
                <w:b/>
                <w:bCs/>
                <w:i/>
                <w:iCs/>
                <w:sz w:val="24"/>
                <w:szCs w:val="24"/>
                <w:lang w:eastAsia="sk-SK"/>
              </w:rPr>
              <w:t>- vplyv na vyššie územné celky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i/>
                <w:iCs/>
                <w:sz w:val="24"/>
                <w:szCs w:val="24"/>
                <w:lang w:eastAsia="sk-SK"/>
              </w:rPr>
              <w:t>- vplyv na ostatné subjekty verejnej správy</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c>
          <w:tcPr>
            <w:tcW w:w="1267" w:type="dxa"/>
            <w:noWrap/>
            <w:vAlign w:val="center"/>
          </w:tcPr>
          <w:p w:rsidR="000716F3" w:rsidRPr="000716F3" w:rsidRDefault="000716F3" w:rsidP="000716F3">
            <w:pPr>
              <w:spacing w:after="0" w:line="240" w:lineRule="auto"/>
              <w:jc w:val="right"/>
              <w:rPr>
                <w:rFonts w:ascii="Times New Roman" w:hAnsi="Times New Roman"/>
                <w:b/>
                <w:bCs/>
                <w:iCs/>
                <w:sz w:val="24"/>
                <w:szCs w:val="24"/>
                <w:lang w:eastAsia="sk-SK"/>
              </w:rPr>
            </w:pPr>
            <w:r w:rsidRPr="000716F3">
              <w:rPr>
                <w:rFonts w:ascii="Times New Roman" w:hAnsi="Times New Roman"/>
                <w:b/>
                <w:bCs/>
                <w:iCs/>
                <w:sz w:val="24"/>
                <w:szCs w:val="24"/>
                <w:lang w:eastAsia="sk-SK"/>
              </w:rPr>
              <w:t>0</w:t>
            </w:r>
          </w:p>
        </w:tc>
      </w:tr>
      <w:tr w:rsidR="000716F3" w:rsidRPr="000716F3" w:rsidTr="0037783C">
        <w:trPr>
          <w:trHeight w:val="70"/>
          <w:jc w:val="center"/>
        </w:trPr>
        <w:tc>
          <w:tcPr>
            <w:tcW w:w="4661" w:type="dxa"/>
            <w:shd w:val="clear" w:color="auto" w:fill="C0C0C0"/>
            <w:noWrap/>
            <w:vAlign w:val="center"/>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1 700 000</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2 800 000</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12 800 000</w:t>
            </w:r>
          </w:p>
        </w:tc>
        <w:tc>
          <w:tcPr>
            <w:tcW w:w="1267" w:type="dxa"/>
            <w:shd w:val="clear" w:color="auto" w:fill="C0C0C0"/>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15 200 000</w:t>
            </w:r>
          </w:p>
        </w:tc>
      </w:tr>
      <w:tr w:rsidR="000716F3" w:rsidRPr="000716F3" w:rsidTr="0037783C">
        <w:trPr>
          <w:trHeight w:val="70"/>
          <w:jc w:val="center"/>
        </w:trPr>
        <w:tc>
          <w:tcPr>
            <w:tcW w:w="4661" w:type="dxa"/>
            <w:noWrap/>
            <w:vAlign w:val="center"/>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v tom: MDV SR / 07T0A</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1 700 000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2 800 000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12 800 000</w:t>
            </w:r>
          </w:p>
        </w:tc>
        <w:tc>
          <w:tcPr>
            <w:tcW w:w="1267" w:type="dxa"/>
            <w:noWrap/>
            <w:vAlign w:val="center"/>
          </w:tcPr>
          <w:p w:rsidR="000716F3" w:rsidRPr="000716F3" w:rsidRDefault="000716F3" w:rsidP="000716F3">
            <w:pPr>
              <w:spacing w:after="0" w:line="240" w:lineRule="auto"/>
              <w:jc w:val="right"/>
              <w:rPr>
                <w:rFonts w:ascii="Times New Roman" w:hAnsi="Times New Roman"/>
                <w:sz w:val="24"/>
                <w:szCs w:val="24"/>
                <w:lang w:eastAsia="sk-SK"/>
              </w:rPr>
            </w:pPr>
            <w:r w:rsidRPr="000716F3">
              <w:rPr>
                <w:rFonts w:ascii="Times New Roman" w:hAnsi="Times New Roman"/>
                <w:sz w:val="24"/>
                <w:szCs w:val="24"/>
                <w:lang w:eastAsia="sk-SK"/>
              </w:rPr>
              <w:t>15 200 000</w:t>
            </w:r>
          </w:p>
        </w:tc>
      </w:tr>
      <w:tr w:rsidR="000716F3" w:rsidRPr="000716F3" w:rsidTr="000716F3">
        <w:trPr>
          <w:trHeight w:val="70"/>
          <w:jc w:val="center"/>
        </w:trPr>
        <w:tc>
          <w:tcPr>
            <w:tcW w:w="4661" w:type="dxa"/>
            <w:shd w:val="clear" w:color="auto" w:fill="BFBFBF"/>
            <w:noWrap/>
            <w:vAlign w:val="center"/>
          </w:tcPr>
          <w:p w:rsidR="000716F3" w:rsidRPr="000716F3" w:rsidRDefault="000716F3" w:rsidP="000716F3">
            <w:pPr>
              <w:spacing w:after="0" w:line="240" w:lineRule="auto"/>
              <w:rPr>
                <w:rFonts w:ascii="Times New Roman" w:hAnsi="Times New Roman"/>
                <w:b/>
                <w:sz w:val="24"/>
                <w:szCs w:val="24"/>
                <w:lang w:eastAsia="sk-SK"/>
              </w:rPr>
            </w:pPr>
            <w:r w:rsidRPr="000716F3">
              <w:rPr>
                <w:rFonts w:ascii="Times New Roman" w:hAnsi="Times New Roman"/>
                <w:b/>
                <w:sz w:val="24"/>
                <w:szCs w:val="24"/>
                <w:lang w:eastAsia="sk-SK"/>
              </w:rPr>
              <w:t>Iné ako rozpočtové zdroje</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BFBFBF"/>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r>
      <w:tr w:rsidR="000716F3" w:rsidRPr="000716F3" w:rsidTr="000716F3">
        <w:trPr>
          <w:trHeight w:val="70"/>
          <w:jc w:val="center"/>
        </w:trPr>
        <w:tc>
          <w:tcPr>
            <w:tcW w:w="4661" w:type="dxa"/>
            <w:shd w:val="clear" w:color="auto" w:fill="A6A6A6"/>
            <w:noWrap/>
            <w:vAlign w:val="center"/>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Rozpočtovo nekrytý vplyv / úspora</w:t>
            </w:r>
          </w:p>
        </w:tc>
        <w:tc>
          <w:tcPr>
            <w:tcW w:w="1267" w:type="dxa"/>
            <w:shd w:val="clear" w:color="auto" w:fill="A6A6A6"/>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A6A6A6"/>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A6A6A6"/>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267" w:type="dxa"/>
            <w:shd w:val="clear" w:color="auto" w:fill="A6A6A6"/>
            <w:noWrap/>
            <w:vAlign w:val="center"/>
          </w:tcPr>
          <w:p w:rsidR="000716F3" w:rsidRPr="000716F3" w:rsidRDefault="000716F3" w:rsidP="000716F3">
            <w:pPr>
              <w:spacing w:after="0" w:line="240" w:lineRule="auto"/>
              <w:jc w:val="right"/>
              <w:rPr>
                <w:rFonts w:ascii="Times New Roman" w:hAnsi="Times New Roman"/>
                <w:b/>
                <w:bCs/>
                <w:sz w:val="24"/>
                <w:szCs w:val="24"/>
                <w:lang w:eastAsia="sk-SK"/>
              </w:rPr>
            </w:pPr>
            <w:r w:rsidRPr="000716F3">
              <w:rPr>
                <w:rFonts w:ascii="Times New Roman" w:hAnsi="Times New Roman"/>
                <w:b/>
                <w:bCs/>
                <w:sz w:val="24"/>
                <w:szCs w:val="24"/>
                <w:lang w:eastAsia="sk-SK"/>
              </w:rPr>
              <w:t>0</w:t>
            </w:r>
          </w:p>
        </w:tc>
      </w:tr>
      <w:bookmarkEnd w:id="1"/>
    </w:tbl>
    <w:p w:rsidR="000716F3" w:rsidRPr="000716F3" w:rsidRDefault="000716F3" w:rsidP="000716F3">
      <w:pPr>
        <w:spacing w:after="0" w:line="240" w:lineRule="auto"/>
        <w:rPr>
          <w:rFonts w:ascii="Times New Roman" w:hAnsi="Times New Roman"/>
          <w:b/>
          <w:bCs/>
          <w:sz w:val="24"/>
          <w:szCs w:val="24"/>
          <w:lang w:eastAsia="sk-SK"/>
        </w:rPr>
      </w:pPr>
    </w:p>
    <w:p w:rsidR="000716F3" w:rsidRPr="000716F3" w:rsidRDefault="000716F3" w:rsidP="000716F3">
      <w:pPr>
        <w:spacing w:after="200" w:line="276" w:lineRule="auto"/>
        <w:rPr>
          <w:rFonts w:ascii="Times New Roman" w:hAnsi="Times New Roman"/>
          <w:b/>
          <w:bCs/>
          <w:sz w:val="24"/>
          <w:szCs w:val="24"/>
          <w:lang w:eastAsia="sk-SK"/>
        </w:rPr>
      </w:pPr>
      <w:r w:rsidRPr="000716F3">
        <w:rPr>
          <w:rFonts w:ascii="Times New Roman" w:hAnsi="Times New Roman"/>
          <w:b/>
          <w:bCs/>
          <w:sz w:val="24"/>
          <w:szCs w:val="24"/>
          <w:lang w:eastAsia="sk-SK"/>
        </w:rPr>
        <w:br w:type="page"/>
      </w:r>
    </w:p>
    <w:p w:rsidR="000716F3" w:rsidRPr="000716F3" w:rsidRDefault="000716F3" w:rsidP="000716F3">
      <w:pPr>
        <w:spacing w:after="0" w:line="240" w:lineRule="auto"/>
        <w:jc w:val="both"/>
        <w:rPr>
          <w:rFonts w:ascii="Times New Roman" w:hAnsi="Times New Roman"/>
          <w:b/>
          <w:bCs/>
          <w:sz w:val="24"/>
          <w:szCs w:val="24"/>
          <w:lang w:eastAsia="sk-SK"/>
        </w:rPr>
      </w:pPr>
      <w:r w:rsidRPr="000716F3">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0716F3" w:rsidRPr="000716F3" w:rsidRDefault="000716F3" w:rsidP="000716F3">
      <w:pPr>
        <w:spacing w:after="0" w:line="240" w:lineRule="auto"/>
        <w:jc w:val="both"/>
        <w:rPr>
          <w:rFonts w:ascii="Times New Roman" w:hAnsi="Times New Roman"/>
          <w:b/>
          <w:bCs/>
          <w:sz w:val="12"/>
          <w:szCs w:val="24"/>
          <w:lang w:eastAsia="sk-SK"/>
        </w:rPr>
      </w:pPr>
    </w:p>
    <w:p w:rsidR="000716F3" w:rsidRPr="000716F3" w:rsidRDefault="000716F3" w:rsidP="000716F3">
      <w:pPr>
        <w:pBdr>
          <w:top w:val="single" w:sz="4" w:space="1" w:color="auto"/>
          <w:left w:val="single" w:sz="4" w:space="4" w:color="auto"/>
          <w:bottom w:val="single" w:sz="4" w:space="1" w:color="auto"/>
          <w:right w:val="single" w:sz="4" w:space="4" w:color="auto"/>
        </w:pBdr>
        <w:tabs>
          <w:tab w:val="left" w:pos="708"/>
        </w:tabs>
        <w:spacing w:after="0" w:line="240" w:lineRule="auto"/>
        <w:ind w:firstLine="709"/>
        <w:jc w:val="both"/>
        <w:outlineLvl w:val="1"/>
        <w:rPr>
          <w:rFonts w:ascii="Times New Roman" w:hAnsi="Times New Roman"/>
          <w:color w:val="FF0000"/>
          <w:sz w:val="24"/>
          <w:szCs w:val="24"/>
        </w:rPr>
      </w:pPr>
      <w:r w:rsidRPr="000716F3">
        <w:rPr>
          <w:rFonts w:ascii="Times New Roman" w:hAnsi="Times New Roman"/>
          <w:bCs/>
          <w:sz w:val="24"/>
          <w:szCs w:val="24"/>
          <w:lang w:eastAsia="sk-SK"/>
        </w:rPr>
        <w:t xml:space="preserve">Predložený návrh zákona predpokladá v roku 2019 výdavky vo výške 1 700 000,- eur, ktoré sú zabezpečené v rámci limitov výdavkov MDV SR na rok 2019. V rokoch 2020 – 2022 bude MDV SR všetky výdavky súvisiace s prijatím návrhu zabezpečovať v rámci limitov rozpočtu kapitoly MDV SR na príslušný rozpočtový rok. </w:t>
      </w:r>
    </w:p>
    <w:p w:rsidR="000716F3" w:rsidRPr="000716F3" w:rsidRDefault="000716F3" w:rsidP="000716F3">
      <w:pPr>
        <w:spacing w:after="0" w:line="240" w:lineRule="auto"/>
        <w:rPr>
          <w:rFonts w:ascii="Times New Roman" w:hAnsi="Times New Roman"/>
          <w:b/>
          <w:bCs/>
          <w:sz w:val="24"/>
          <w:szCs w:val="24"/>
          <w:lang w:eastAsia="sk-SK"/>
        </w:rPr>
      </w:pPr>
    </w:p>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2.2. Popis a charakteristika návrhu</w:t>
      </w:r>
    </w:p>
    <w:p w:rsidR="000716F3" w:rsidRPr="000716F3" w:rsidRDefault="000716F3" w:rsidP="000716F3">
      <w:pPr>
        <w:spacing w:after="0" w:line="240" w:lineRule="auto"/>
        <w:jc w:val="both"/>
        <w:rPr>
          <w:rFonts w:ascii="Times New Roman" w:hAnsi="Times New Roman"/>
          <w:sz w:val="24"/>
          <w:szCs w:val="24"/>
          <w:lang w:eastAsia="sk-SK"/>
        </w:rPr>
      </w:pP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jc w:val="both"/>
        <w:rPr>
          <w:rFonts w:ascii="Times New Roman" w:hAnsi="Times New Roman"/>
          <w:b/>
          <w:bCs/>
          <w:sz w:val="24"/>
          <w:szCs w:val="24"/>
          <w:lang w:eastAsia="sk-SK"/>
        </w:rPr>
      </w:pPr>
      <w:r w:rsidRPr="000716F3">
        <w:rPr>
          <w:rFonts w:ascii="Times New Roman" w:hAnsi="Times New Roman"/>
          <w:b/>
          <w:bCs/>
          <w:sz w:val="24"/>
          <w:szCs w:val="24"/>
          <w:lang w:eastAsia="sk-SK"/>
        </w:rPr>
        <w:t>2.2.1. Popis návrhu:</w:t>
      </w:r>
    </w:p>
    <w:p w:rsidR="000716F3" w:rsidRPr="000716F3" w:rsidRDefault="000716F3" w:rsidP="000716F3">
      <w:pPr>
        <w:spacing w:after="0" w:line="240" w:lineRule="auto"/>
        <w:jc w:val="both"/>
        <w:rPr>
          <w:rFonts w:ascii="Times New Roman" w:hAnsi="Times New Roman"/>
          <w:b/>
          <w:bCs/>
          <w:sz w:val="24"/>
          <w:szCs w:val="24"/>
          <w:lang w:eastAsia="sk-SK"/>
        </w:rPr>
      </w:pPr>
    </w:p>
    <w:p w:rsidR="000716F3" w:rsidRPr="000716F3" w:rsidRDefault="000716F3" w:rsidP="000716F3">
      <w:pPr>
        <w:spacing w:after="0" w:line="240" w:lineRule="auto"/>
        <w:ind w:firstLine="708"/>
        <w:jc w:val="both"/>
        <w:rPr>
          <w:rFonts w:ascii="Times New Roman" w:hAnsi="Times New Roman"/>
          <w:sz w:val="24"/>
          <w:szCs w:val="24"/>
          <w:lang w:eastAsia="sk-SK"/>
        </w:rPr>
      </w:pPr>
      <w:r w:rsidRPr="000716F3">
        <w:rPr>
          <w:rFonts w:ascii="Times New Roman" w:hAnsi="Times New Roman"/>
          <w:sz w:val="24"/>
          <w:szCs w:val="24"/>
          <w:lang w:eastAsia="sk-SK"/>
        </w:rPr>
        <w:t>Akú problematiku návrh rieši? Kto bude návrh implementovať? Kde sa budú služby poskytovať?</w:t>
      </w: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ind w:firstLine="709"/>
        <w:jc w:val="both"/>
        <w:rPr>
          <w:rFonts w:ascii="Times New Roman" w:hAnsi="Times New Roman"/>
          <w:sz w:val="24"/>
          <w:szCs w:val="24"/>
        </w:rPr>
      </w:pPr>
      <w:r w:rsidRPr="000716F3">
        <w:rPr>
          <w:rFonts w:ascii="Times New Roman" w:hAnsi="Times New Roman"/>
          <w:sz w:val="24"/>
          <w:szCs w:val="24"/>
        </w:rPr>
        <w:t>Návrh zákona vychádza z dokumentu Národná stratégia rozvoja cyklistickej dopravy a cykloturistiky v Slovenskej republike, schváleného na základe uznesenia vlády Slovenskej republiky č. 223 zo 7. mája 2013, ktorý popisuje súčasný, východiskový stav cyklodopravy a cykloturistiky.</w:t>
      </w:r>
    </w:p>
    <w:p w:rsidR="000716F3" w:rsidRPr="000716F3" w:rsidRDefault="000716F3" w:rsidP="000716F3">
      <w:pPr>
        <w:spacing w:after="0" w:line="240" w:lineRule="auto"/>
        <w:ind w:firstLine="709"/>
        <w:jc w:val="both"/>
        <w:rPr>
          <w:rFonts w:ascii="Times New Roman" w:hAnsi="Times New Roman"/>
          <w:sz w:val="24"/>
          <w:szCs w:val="24"/>
          <w:lang w:eastAsia="sk-SK"/>
        </w:rPr>
      </w:pPr>
      <w:r w:rsidRPr="000716F3">
        <w:rPr>
          <w:rFonts w:ascii="Times New Roman" w:hAnsi="Times New Roman"/>
          <w:sz w:val="24"/>
          <w:szCs w:val="24"/>
        </w:rPr>
        <w:t xml:space="preserve">Cieľom návrhu zákona je podpora rozvoja cyklistickej dopravy a cykloturistiky, a to formou poskytnutia dotácie z rozpočtovej kapitoly ministerstva na vypracovanie projektovej dokumentácie na výstavbu alebo rekonštrukciu cyklistickej komunikácie, vypracovanie projektovej dokumentácie na dopravné značenie cyklistickej komunikácie, výstavbu alebo rekonštrukciu cyklistickej infraštruktúry, osvetové kampane a propagačné kampane. Následne bude </w:t>
      </w:r>
      <w:r w:rsidRPr="000716F3">
        <w:rPr>
          <w:rFonts w:ascii="Times New Roman" w:hAnsi="Times New Roman"/>
          <w:sz w:val="24"/>
          <w:szCs w:val="24"/>
          <w:lang w:eastAsia="sk-SK"/>
        </w:rPr>
        <w:t>zabezpečený otvorený prístup k využívaniu vybudovanej alebo zrekonštruovanej cyklistickej komunikácie pre verejnosť v súlade s účelom, na ktorý je určená.</w:t>
      </w:r>
    </w:p>
    <w:p w:rsidR="000716F3" w:rsidRPr="000716F3" w:rsidRDefault="000716F3" w:rsidP="000716F3">
      <w:pPr>
        <w:spacing w:after="0" w:line="240" w:lineRule="auto"/>
        <w:ind w:firstLine="709"/>
        <w:jc w:val="both"/>
        <w:rPr>
          <w:rFonts w:ascii="Times New Roman" w:hAnsi="Times New Roman"/>
          <w:color w:val="000000"/>
          <w:sz w:val="24"/>
          <w:szCs w:val="24"/>
          <w:lang w:eastAsia="sk-SK"/>
        </w:rPr>
      </w:pPr>
      <w:r w:rsidRPr="000716F3">
        <w:rPr>
          <w:rFonts w:ascii="Times New Roman" w:hAnsi="Times New Roman"/>
          <w:sz w:val="24"/>
          <w:szCs w:val="24"/>
        </w:rPr>
        <w:t xml:space="preserve">Návrh zákona definuje oprávnených prijímateľov dotácií a zároveň podmienky poskytnutia dotácií. </w:t>
      </w:r>
    </w:p>
    <w:p w:rsidR="000716F3" w:rsidRPr="000716F3" w:rsidRDefault="000716F3" w:rsidP="000716F3">
      <w:pPr>
        <w:spacing w:after="0" w:line="240" w:lineRule="auto"/>
        <w:ind w:firstLine="708"/>
        <w:jc w:val="both"/>
        <w:rPr>
          <w:rFonts w:ascii="Times New Roman" w:hAnsi="Times New Roman"/>
          <w:sz w:val="24"/>
          <w:szCs w:val="24"/>
          <w:lang w:eastAsia="sk-SK"/>
        </w:rPr>
      </w:pPr>
      <w:r w:rsidRPr="000716F3">
        <w:rPr>
          <w:rFonts w:ascii="Times New Roman" w:hAnsi="Times New Roman"/>
          <w:sz w:val="24"/>
          <w:szCs w:val="24"/>
        </w:rPr>
        <w:t xml:space="preserve"> </w:t>
      </w:r>
    </w:p>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2.2.2. Charakteristika návrhu:</w:t>
      </w: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b/>
          <w:sz w:val="24"/>
          <w:szCs w:val="24"/>
          <w:bdr w:val="single" w:sz="4" w:space="0" w:color="auto"/>
          <w:lang w:eastAsia="sk-SK"/>
        </w:rPr>
        <w:t xml:space="preserve">     </w:t>
      </w:r>
      <w:r w:rsidRPr="000716F3">
        <w:rPr>
          <w:rFonts w:ascii="Times New Roman" w:hAnsi="Times New Roman"/>
          <w:b/>
          <w:sz w:val="24"/>
          <w:szCs w:val="24"/>
          <w:lang w:eastAsia="sk-SK"/>
        </w:rPr>
        <w:t xml:space="preserve">  </w:t>
      </w:r>
      <w:r w:rsidRPr="000716F3">
        <w:rPr>
          <w:rFonts w:ascii="Times New Roman" w:hAnsi="Times New Roman"/>
          <w:sz w:val="24"/>
          <w:szCs w:val="24"/>
          <w:lang w:eastAsia="sk-SK"/>
        </w:rPr>
        <w:t>zmena sadzby</w:t>
      </w:r>
    </w:p>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bdr w:val="single" w:sz="4" w:space="0" w:color="auto"/>
          <w:lang w:eastAsia="sk-SK"/>
        </w:rPr>
        <w:t xml:space="preserve">     </w:t>
      </w:r>
      <w:r w:rsidRPr="000716F3">
        <w:rPr>
          <w:rFonts w:ascii="Times New Roman" w:hAnsi="Times New Roman"/>
          <w:sz w:val="24"/>
          <w:szCs w:val="24"/>
          <w:lang w:eastAsia="sk-SK"/>
        </w:rPr>
        <w:t xml:space="preserve">  zmena v nároku</w:t>
      </w:r>
    </w:p>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bdr w:val="single" w:sz="4" w:space="0" w:color="auto"/>
          <w:lang w:eastAsia="sk-SK"/>
        </w:rPr>
        <w:t xml:space="preserve">     </w:t>
      </w:r>
      <w:r w:rsidRPr="000716F3">
        <w:rPr>
          <w:rFonts w:ascii="Times New Roman" w:hAnsi="Times New Roman"/>
          <w:sz w:val="24"/>
          <w:szCs w:val="24"/>
          <w:lang w:eastAsia="sk-SK"/>
        </w:rPr>
        <w:t xml:space="preserve">  nová služba alebo nariadenie (alebo ich zrušenie)</w:t>
      </w:r>
    </w:p>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bdr w:val="single" w:sz="4" w:space="0" w:color="auto"/>
          <w:lang w:eastAsia="sk-SK"/>
        </w:rPr>
        <w:t xml:space="preserve">     </w:t>
      </w:r>
      <w:r w:rsidRPr="000716F3">
        <w:rPr>
          <w:rFonts w:ascii="Times New Roman" w:hAnsi="Times New Roman"/>
          <w:sz w:val="24"/>
          <w:szCs w:val="24"/>
          <w:lang w:eastAsia="sk-SK"/>
        </w:rPr>
        <w:t xml:space="preserve">  kombinovaný návrh</w:t>
      </w:r>
    </w:p>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bdr w:val="single" w:sz="4" w:space="0" w:color="auto"/>
          <w:lang w:eastAsia="sk-SK"/>
        </w:rPr>
        <w:t xml:space="preserve">     </w:t>
      </w:r>
      <w:r w:rsidRPr="000716F3">
        <w:rPr>
          <w:rFonts w:ascii="Times New Roman" w:hAnsi="Times New Roman"/>
          <w:sz w:val="24"/>
          <w:szCs w:val="24"/>
          <w:lang w:eastAsia="sk-SK"/>
        </w:rPr>
        <w:t xml:space="preserve">  iné </w:t>
      </w: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2.2.3. Predpoklady vývoja objemu aktivít:</w:t>
      </w: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ind w:firstLine="708"/>
        <w:jc w:val="both"/>
        <w:rPr>
          <w:rFonts w:ascii="Times New Roman" w:hAnsi="Times New Roman"/>
          <w:sz w:val="24"/>
          <w:szCs w:val="24"/>
          <w:lang w:eastAsia="sk-SK"/>
        </w:rPr>
      </w:pPr>
      <w:r w:rsidRPr="000716F3">
        <w:rPr>
          <w:rFonts w:ascii="Times New Roman" w:hAnsi="Times New Roman"/>
          <w:sz w:val="24"/>
          <w:szCs w:val="24"/>
          <w:lang w:eastAsia="sk-SK"/>
        </w:rPr>
        <w:t>Jasne popíšte, v prípade potreby použite nižšie uvedenú tabuľku. Uveďte aj odhady základov daní a/alebo poplatkov, ak sa ich táto zmena týka.</w:t>
      </w:r>
    </w:p>
    <w:p w:rsidR="000716F3" w:rsidRPr="000716F3" w:rsidRDefault="000716F3" w:rsidP="000716F3">
      <w:pPr>
        <w:spacing w:after="0" w:line="240" w:lineRule="auto"/>
        <w:ind w:firstLine="708"/>
        <w:jc w:val="both"/>
        <w:rPr>
          <w:rFonts w:ascii="Times New Roman" w:hAnsi="Times New Roman"/>
          <w:sz w:val="24"/>
          <w:szCs w:val="24"/>
          <w:lang w:eastAsia="sk-SK"/>
        </w:rPr>
      </w:pPr>
    </w:p>
    <w:p w:rsidR="000716F3" w:rsidRPr="000716F3" w:rsidRDefault="000716F3" w:rsidP="000716F3">
      <w:pPr>
        <w:spacing w:after="0" w:line="240" w:lineRule="auto"/>
        <w:ind w:firstLine="708"/>
        <w:jc w:val="both"/>
        <w:rPr>
          <w:rFonts w:ascii="Times New Roman" w:hAnsi="Times New Roman"/>
          <w:sz w:val="24"/>
          <w:szCs w:val="24"/>
          <w:lang w:eastAsia="sk-SK"/>
        </w:rPr>
      </w:pPr>
    </w:p>
    <w:p w:rsidR="000716F3" w:rsidRPr="000716F3" w:rsidRDefault="000716F3" w:rsidP="000716F3">
      <w:pPr>
        <w:spacing w:after="0" w:line="240" w:lineRule="auto"/>
        <w:ind w:firstLine="708"/>
        <w:jc w:val="both"/>
        <w:rPr>
          <w:rFonts w:ascii="Times New Roman" w:hAnsi="Times New Roman"/>
          <w:sz w:val="24"/>
          <w:szCs w:val="24"/>
          <w:lang w:eastAsia="sk-SK"/>
        </w:rPr>
      </w:pPr>
    </w:p>
    <w:p w:rsidR="000716F3" w:rsidRPr="000716F3" w:rsidRDefault="000716F3" w:rsidP="000716F3">
      <w:pPr>
        <w:spacing w:after="0" w:line="240" w:lineRule="auto"/>
        <w:ind w:firstLine="708"/>
        <w:jc w:val="both"/>
        <w:rPr>
          <w:rFonts w:ascii="Times New Roman" w:hAnsi="Times New Roman"/>
          <w:sz w:val="24"/>
          <w:szCs w:val="24"/>
          <w:lang w:eastAsia="sk-SK"/>
        </w:rPr>
      </w:pPr>
    </w:p>
    <w:p w:rsidR="000716F3" w:rsidRDefault="000716F3" w:rsidP="000716F3">
      <w:pPr>
        <w:spacing w:after="0" w:line="240" w:lineRule="auto"/>
        <w:ind w:firstLine="708"/>
        <w:jc w:val="both"/>
        <w:rPr>
          <w:rFonts w:ascii="Times New Roman" w:hAnsi="Times New Roman"/>
          <w:sz w:val="24"/>
          <w:szCs w:val="24"/>
          <w:lang w:eastAsia="sk-SK"/>
        </w:rPr>
      </w:pPr>
    </w:p>
    <w:p w:rsidR="009D45A5" w:rsidRDefault="009D45A5" w:rsidP="000716F3">
      <w:pPr>
        <w:spacing w:after="0" w:line="240" w:lineRule="auto"/>
        <w:ind w:firstLine="708"/>
        <w:jc w:val="both"/>
        <w:rPr>
          <w:rFonts w:ascii="Times New Roman" w:hAnsi="Times New Roman"/>
          <w:sz w:val="24"/>
          <w:szCs w:val="24"/>
          <w:lang w:eastAsia="sk-SK"/>
        </w:rPr>
      </w:pPr>
    </w:p>
    <w:p w:rsidR="009D45A5" w:rsidRPr="000716F3" w:rsidRDefault="009D45A5" w:rsidP="000716F3">
      <w:pPr>
        <w:spacing w:after="0" w:line="240" w:lineRule="auto"/>
        <w:ind w:firstLine="708"/>
        <w:jc w:val="both"/>
        <w:rPr>
          <w:rFonts w:ascii="Times New Roman" w:hAnsi="Times New Roman"/>
          <w:sz w:val="24"/>
          <w:szCs w:val="24"/>
          <w:lang w:eastAsia="sk-SK"/>
        </w:rPr>
      </w:pPr>
    </w:p>
    <w:p w:rsidR="000716F3" w:rsidRPr="000716F3" w:rsidRDefault="000716F3" w:rsidP="000716F3">
      <w:pPr>
        <w:spacing w:after="0" w:line="240" w:lineRule="auto"/>
        <w:ind w:firstLine="708"/>
        <w:jc w:val="both"/>
        <w:rPr>
          <w:rFonts w:ascii="Times New Roman" w:hAnsi="Times New Roman"/>
          <w:sz w:val="24"/>
          <w:szCs w:val="24"/>
          <w:lang w:eastAsia="sk-SK"/>
        </w:rPr>
      </w:pPr>
    </w:p>
    <w:p w:rsidR="000716F3" w:rsidRPr="000716F3" w:rsidRDefault="000716F3" w:rsidP="000716F3">
      <w:pPr>
        <w:spacing w:after="0" w:line="240" w:lineRule="auto"/>
        <w:jc w:val="right"/>
        <w:rPr>
          <w:rFonts w:ascii="Times New Roman" w:hAnsi="Times New Roman"/>
          <w:sz w:val="20"/>
          <w:szCs w:val="20"/>
          <w:lang w:eastAsia="sk-SK"/>
        </w:rPr>
      </w:pPr>
      <w:r w:rsidRPr="000716F3">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716F3" w:rsidRPr="000716F3" w:rsidTr="000716F3">
        <w:trPr>
          <w:cantSplit/>
          <w:trHeight w:val="70"/>
        </w:trPr>
        <w:tc>
          <w:tcPr>
            <w:tcW w:w="4530" w:type="dxa"/>
            <w:vMerge w:val="restart"/>
            <w:shd w:val="clear" w:color="auto" w:fill="BFBFBF"/>
            <w:vAlign w:val="center"/>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Objem aktivít</w:t>
            </w:r>
          </w:p>
        </w:tc>
        <w:tc>
          <w:tcPr>
            <w:tcW w:w="1134" w:type="dxa"/>
            <w:gridSpan w:val="4"/>
            <w:shd w:val="clear" w:color="auto" w:fill="BFBFBF"/>
            <w:vAlign w:val="center"/>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Odhadované objemy</w:t>
            </w:r>
          </w:p>
        </w:tc>
      </w:tr>
      <w:tr w:rsidR="000716F3" w:rsidRPr="000716F3" w:rsidTr="000716F3">
        <w:trPr>
          <w:cantSplit/>
          <w:trHeight w:val="70"/>
        </w:trPr>
        <w:tc>
          <w:tcPr>
            <w:tcW w:w="4530" w:type="dxa"/>
            <w:vMerge/>
            <w:shd w:val="clear" w:color="auto" w:fill="BFBFBF"/>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vAlign w:val="center"/>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w:t>
            </w:r>
          </w:p>
        </w:tc>
        <w:tc>
          <w:tcPr>
            <w:tcW w:w="1134" w:type="dxa"/>
            <w:shd w:val="clear" w:color="auto" w:fill="BFBFBF"/>
            <w:vAlign w:val="center"/>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 + 1</w:t>
            </w:r>
          </w:p>
        </w:tc>
        <w:tc>
          <w:tcPr>
            <w:tcW w:w="1134" w:type="dxa"/>
            <w:shd w:val="clear" w:color="auto" w:fill="BFBFBF"/>
            <w:vAlign w:val="center"/>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 + 2</w:t>
            </w:r>
          </w:p>
        </w:tc>
        <w:tc>
          <w:tcPr>
            <w:tcW w:w="1134" w:type="dxa"/>
            <w:shd w:val="clear" w:color="auto" w:fill="BFBFBF"/>
            <w:vAlign w:val="center"/>
          </w:tcPr>
          <w:p w:rsidR="000716F3" w:rsidRPr="000716F3" w:rsidRDefault="000716F3" w:rsidP="000716F3">
            <w:pPr>
              <w:autoSpaceDE w:val="0"/>
              <w:autoSpaceDN w:val="0"/>
              <w:adjustRightInd w:val="0"/>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 + 3</w:t>
            </w:r>
          </w:p>
        </w:tc>
      </w:tr>
      <w:tr w:rsidR="000716F3" w:rsidRPr="000716F3" w:rsidTr="0037783C">
        <w:trPr>
          <w:trHeight w:val="70"/>
        </w:trPr>
        <w:tc>
          <w:tcPr>
            <w:tcW w:w="4530" w:type="dxa"/>
          </w:tcPr>
          <w:p w:rsidR="000716F3" w:rsidRPr="000716F3" w:rsidRDefault="000716F3" w:rsidP="000716F3">
            <w:pPr>
              <w:autoSpaceDE w:val="0"/>
              <w:autoSpaceDN w:val="0"/>
              <w:adjustRightInd w:val="0"/>
              <w:spacing w:after="0" w:line="240" w:lineRule="auto"/>
              <w:rPr>
                <w:rFonts w:ascii="Times New Roman" w:hAnsi="Times New Roman"/>
                <w:color w:val="000000"/>
                <w:sz w:val="24"/>
                <w:szCs w:val="24"/>
                <w:lang w:eastAsia="sk-SK"/>
              </w:rPr>
            </w:pPr>
            <w:r w:rsidRPr="000716F3">
              <w:rPr>
                <w:rFonts w:ascii="Times New Roman" w:hAnsi="Times New Roman"/>
                <w:color w:val="000000"/>
                <w:sz w:val="24"/>
                <w:szCs w:val="24"/>
                <w:lang w:eastAsia="sk-SK"/>
              </w:rPr>
              <w:t>Indikátor ABC</w:t>
            </w: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r>
      <w:tr w:rsidR="000716F3" w:rsidRPr="000716F3" w:rsidTr="0037783C">
        <w:trPr>
          <w:trHeight w:val="70"/>
        </w:trPr>
        <w:tc>
          <w:tcPr>
            <w:tcW w:w="4530" w:type="dxa"/>
          </w:tcPr>
          <w:p w:rsidR="000716F3" w:rsidRPr="000716F3" w:rsidRDefault="000716F3" w:rsidP="000716F3">
            <w:pPr>
              <w:autoSpaceDE w:val="0"/>
              <w:autoSpaceDN w:val="0"/>
              <w:adjustRightInd w:val="0"/>
              <w:spacing w:after="0" w:line="240" w:lineRule="auto"/>
              <w:rPr>
                <w:rFonts w:ascii="Times New Roman" w:hAnsi="Times New Roman"/>
                <w:color w:val="000000"/>
                <w:sz w:val="24"/>
                <w:szCs w:val="24"/>
                <w:lang w:eastAsia="sk-SK"/>
              </w:rPr>
            </w:pPr>
            <w:r w:rsidRPr="000716F3">
              <w:rPr>
                <w:rFonts w:ascii="Times New Roman" w:hAnsi="Times New Roman"/>
                <w:color w:val="000000"/>
                <w:sz w:val="24"/>
                <w:szCs w:val="24"/>
                <w:lang w:eastAsia="sk-SK"/>
              </w:rPr>
              <w:t>Indikátor KLM</w:t>
            </w: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r>
      <w:tr w:rsidR="000716F3" w:rsidRPr="000716F3" w:rsidTr="0037783C">
        <w:trPr>
          <w:trHeight w:val="70"/>
        </w:trPr>
        <w:tc>
          <w:tcPr>
            <w:tcW w:w="4530" w:type="dxa"/>
          </w:tcPr>
          <w:p w:rsidR="000716F3" w:rsidRPr="000716F3" w:rsidRDefault="000716F3" w:rsidP="000716F3">
            <w:pPr>
              <w:autoSpaceDE w:val="0"/>
              <w:autoSpaceDN w:val="0"/>
              <w:adjustRightInd w:val="0"/>
              <w:spacing w:after="0" w:line="240" w:lineRule="auto"/>
              <w:rPr>
                <w:rFonts w:ascii="Times New Roman" w:hAnsi="Times New Roman"/>
                <w:color w:val="000000"/>
                <w:sz w:val="24"/>
                <w:szCs w:val="24"/>
                <w:lang w:eastAsia="sk-SK"/>
              </w:rPr>
            </w:pPr>
            <w:r w:rsidRPr="000716F3">
              <w:rPr>
                <w:rFonts w:ascii="Times New Roman" w:hAnsi="Times New Roman"/>
                <w:color w:val="000000"/>
                <w:sz w:val="24"/>
                <w:szCs w:val="24"/>
                <w:lang w:eastAsia="sk-SK"/>
              </w:rPr>
              <w:t>Indikátor XYZ</w:t>
            </w: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0716F3" w:rsidRPr="000716F3" w:rsidRDefault="000716F3" w:rsidP="000716F3">
            <w:pPr>
              <w:autoSpaceDE w:val="0"/>
              <w:autoSpaceDN w:val="0"/>
              <w:adjustRightInd w:val="0"/>
              <w:spacing w:after="0" w:line="240" w:lineRule="auto"/>
              <w:jc w:val="right"/>
              <w:rPr>
                <w:rFonts w:ascii="Times New Roman" w:hAnsi="Times New Roman"/>
                <w:color w:val="000000"/>
                <w:sz w:val="24"/>
                <w:szCs w:val="24"/>
                <w:lang w:eastAsia="sk-SK"/>
              </w:rPr>
            </w:pPr>
          </w:p>
        </w:tc>
      </w:tr>
    </w:tbl>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2.2.4. Výpočty vplyvov na verejné financie</w:t>
      </w:r>
    </w:p>
    <w:p w:rsidR="000716F3" w:rsidRPr="000716F3" w:rsidRDefault="000716F3" w:rsidP="000716F3">
      <w:pPr>
        <w:spacing w:after="0" w:line="240" w:lineRule="auto"/>
        <w:rPr>
          <w:rFonts w:ascii="Times New Roman" w:hAnsi="Times New Roman"/>
          <w:sz w:val="24"/>
          <w:szCs w:val="24"/>
          <w:lang w:eastAsia="sk-SK"/>
        </w:rPr>
      </w:pPr>
    </w:p>
    <w:p w:rsidR="000716F3" w:rsidRPr="000716F3" w:rsidRDefault="000716F3" w:rsidP="000716F3">
      <w:pPr>
        <w:tabs>
          <w:tab w:val="left" w:pos="708"/>
        </w:tabs>
        <w:spacing w:after="0" w:line="240" w:lineRule="auto"/>
        <w:ind w:firstLine="709"/>
        <w:jc w:val="both"/>
        <w:outlineLvl w:val="1"/>
        <w:rPr>
          <w:rFonts w:ascii="Times New Roman" w:hAnsi="Times New Roman"/>
          <w:sz w:val="24"/>
          <w:szCs w:val="24"/>
        </w:rPr>
      </w:pPr>
      <w:r w:rsidRPr="000716F3">
        <w:rPr>
          <w:rFonts w:ascii="Times New Roman" w:hAnsi="Times New Roman"/>
          <w:bCs/>
          <w:sz w:val="24"/>
          <w:szCs w:val="24"/>
          <w:lang w:eastAsia="sk-SK"/>
        </w:rPr>
        <w:t xml:space="preserve">Predložený návrh zákona predpokladá v roku 2019 výdavky vo výške 1 700 000,- eur, ktoré sú zabezpečené v rámci limitov výdavkov MDV SR na rok 2019. Cieľom je minimálne podporiť projektovú dokumentáciu pre oprávnených žiadateľov (obce, mestá, vyššie územné celky) pre výstavbu cyklistickej infraštruktúry so súvisiacim dopravným značením v záujme upokojenia dopravnej situácie v centrách obcí a miest, ako aj pre podporu zriadenia verejnej požičovne bicyklov (bikesharingu) v mestách nad 50 000 obyvateľov. Následne v ďalších rokoch je cieľom podporiť už okrem vypracovania projektových dokumentácií aj samotnú </w:t>
      </w:r>
      <w:r w:rsidRPr="000716F3">
        <w:rPr>
          <w:rFonts w:ascii="Times New Roman" w:hAnsi="Times New Roman"/>
          <w:sz w:val="24"/>
          <w:szCs w:val="24"/>
        </w:rPr>
        <w:t xml:space="preserve"> výstavbu alebo rekonštrukciu cyklistickej infraštruktúry. </w:t>
      </w:r>
    </w:p>
    <w:p w:rsidR="000716F3" w:rsidRPr="000716F3" w:rsidRDefault="000716F3" w:rsidP="000716F3">
      <w:pPr>
        <w:tabs>
          <w:tab w:val="left" w:pos="708"/>
        </w:tabs>
        <w:spacing w:after="0" w:line="240" w:lineRule="auto"/>
        <w:ind w:firstLine="709"/>
        <w:jc w:val="both"/>
        <w:outlineLvl w:val="1"/>
        <w:rPr>
          <w:rFonts w:ascii="Times New Roman" w:hAnsi="Times New Roman"/>
          <w:bCs/>
          <w:sz w:val="24"/>
          <w:szCs w:val="24"/>
          <w:lang w:eastAsia="sk-SK"/>
        </w:rPr>
      </w:pPr>
      <w:r w:rsidRPr="000716F3">
        <w:rPr>
          <w:rFonts w:ascii="Times New Roman" w:hAnsi="Times New Roman"/>
          <w:bCs/>
          <w:sz w:val="24"/>
          <w:szCs w:val="24"/>
          <w:lang w:eastAsia="sk-SK"/>
        </w:rPr>
        <w:t>Výpočet očakávaného finančného dopadu vychádza  z materiálu schváleného uznesením vlády SR č. 27/2014 zo dňa 15.1.2014 – „Trvalý finančný mechanizmus na implementáciu Národnej stratégie rozvoja cyklistickej dopravy a cykloturistiky v Slovenskej republike“, kde sa uvádza, že na zabezpečenie zámeru týkajúceho sa rozvoja cyklistickej dopravy v SR by mala byť rozpočtovaná čiastka vo výške 2 až 3 € na obyvateľa.</w:t>
      </w:r>
    </w:p>
    <w:p w:rsidR="000716F3" w:rsidRPr="000716F3" w:rsidRDefault="000716F3" w:rsidP="000716F3">
      <w:pPr>
        <w:tabs>
          <w:tab w:val="left" w:pos="708"/>
        </w:tabs>
        <w:spacing w:after="0" w:line="240" w:lineRule="auto"/>
        <w:ind w:firstLine="709"/>
        <w:jc w:val="both"/>
        <w:outlineLvl w:val="1"/>
        <w:rPr>
          <w:rFonts w:ascii="Times New Roman" w:hAnsi="Times New Roman"/>
          <w:bCs/>
          <w:sz w:val="24"/>
          <w:szCs w:val="24"/>
          <w:lang w:eastAsia="sk-SK"/>
        </w:rPr>
      </w:pPr>
    </w:p>
    <w:p w:rsidR="000716F3" w:rsidRPr="000716F3" w:rsidRDefault="000716F3" w:rsidP="000716F3">
      <w:pPr>
        <w:pBdr>
          <w:top w:val="single" w:sz="4" w:space="1" w:color="auto"/>
          <w:left w:val="single" w:sz="4" w:space="4" w:color="auto"/>
          <w:bottom w:val="single" w:sz="4" w:space="1" w:color="auto"/>
          <w:right w:val="single" w:sz="4" w:space="4" w:color="auto"/>
        </w:pBdr>
        <w:tabs>
          <w:tab w:val="left" w:pos="708"/>
        </w:tabs>
        <w:spacing w:after="0" w:line="240" w:lineRule="auto"/>
        <w:ind w:firstLine="709"/>
        <w:jc w:val="both"/>
        <w:outlineLvl w:val="1"/>
        <w:rPr>
          <w:rFonts w:ascii="Times New Roman" w:hAnsi="Times New Roman"/>
          <w:color w:val="FF0000"/>
          <w:sz w:val="24"/>
          <w:szCs w:val="24"/>
        </w:rPr>
      </w:pPr>
      <w:r w:rsidRPr="000716F3">
        <w:rPr>
          <w:rFonts w:ascii="Times New Roman" w:hAnsi="Times New Roman"/>
          <w:bCs/>
          <w:sz w:val="24"/>
          <w:szCs w:val="24"/>
          <w:lang w:eastAsia="sk-SK"/>
        </w:rPr>
        <w:t xml:space="preserve">Predložený návrh zákona predpokladá v roku 2019 výdavky vo výške 1 700 000,- eur, ktoré sú zabezpečené v rámci limitov výdavkov MDV SR na rok 2019. V rokoch 2020 – 2022 bude MDV SR všetky výdavky súvisiace s prijatím návrhu zabezpečovať v rámci limitov rozpočtu kapitoly MDV SR na príslušný rozpočtový rok. </w:t>
      </w:r>
    </w:p>
    <w:p w:rsidR="000716F3" w:rsidRPr="000716F3" w:rsidRDefault="000716F3" w:rsidP="000716F3">
      <w:pPr>
        <w:tabs>
          <w:tab w:val="num" w:pos="1080"/>
        </w:tabs>
        <w:spacing w:after="0" w:line="240" w:lineRule="auto"/>
        <w:jc w:val="both"/>
        <w:rPr>
          <w:rFonts w:ascii="Times New Roman" w:hAnsi="Times New Roman"/>
          <w:bCs/>
          <w:sz w:val="24"/>
          <w:szCs w:val="24"/>
          <w:lang w:eastAsia="sk-SK"/>
        </w:rPr>
      </w:pPr>
    </w:p>
    <w:p w:rsidR="000716F3" w:rsidRPr="000716F3" w:rsidRDefault="000716F3" w:rsidP="000716F3">
      <w:pPr>
        <w:tabs>
          <w:tab w:val="num" w:pos="1080"/>
        </w:tabs>
        <w:spacing w:after="0" w:line="240" w:lineRule="auto"/>
        <w:jc w:val="both"/>
        <w:rPr>
          <w:rFonts w:ascii="Times New Roman" w:hAnsi="Times New Roman"/>
          <w:bCs/>
          <w:sz w:val="24"/>
          <w:szCs w:val="24"/>
          <w:lang w:eastAsia="sk-SK"/>
        </w:rPr>
      </w:pP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sectPr w:rsidR="000716F3" w:rsidRPr="000716F3" w:rsidSect="00AE75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0716F3" w:rsidRPr="000716F3" w:rsidRDefault="000716F3" w:rsidP="000716F3">
      <w:pPr>
        <w:tabs>
          <w:tab w:val="num" w:pos="1080"/>
        </w:tabs>
        <w:spacing w:after="0" w:line="240" w:lineRule="auto"/>
        <w:jc w:val="right"/>
        <w:rPr>
          <w:rFonts w:ascii="Times New Roman" w:hAnsi="Times New Roman"/>
          <w:bCs/>
          <w:sz w:val="24"/>
          <w:szCs w:val="24"/>
          <w:lang w:eastAsia="sk-SK"/>
        </w:rPr>
      </w:pPr>
      <w:r w:rsidRPr="000716F3">
        <w:rPr>
          <w:rFonts w:ascii="Times New Roman" w:hAnsi="Times New Roman"/>
          <w:bCs/>
          <w:sz w:val="24"/>
          <w:szCs w:val="24"/>
          <w:lang w:eastAsia="sk-SK"/>
        </w:rPr>
        <w:lastRenderedPageBreak/>
        <w:t xml:space="preserve">Tabuľka č. 3 </w:t>
      </w: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716F3" w:rsidRPr="000716F3" w:rsidTr="000716F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poznámka</w:t>
            </w:r>
          </w:p>
        </w:tc>
      </w:tr>
      <w:tr w:rsidR="000716F3" w:rsidRPr="000716F3" w:rsidTr="000716F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0716F3" w:rsidRPr="000716F3" w:rsidRDefault="000716F3" w:rsidP="000716F3">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0716F3" w:rsidRPr="000716F3" w:rsidRDefault="000716F3" w:rsidP="000716F3">
            <w:pPr>
              <w:spacing w:after="0" w:line="240" w:lineRule="auto"/>
              <w:rPr>
                <w:rFonts w:ascii="Times New Roman" w:hAnsi="Times New Roman"/>
                <w:b/>
                <w:bCs/>
                <w:color w:val="FFFFFF"/>
                <w:sz w:val="24"/>
                <w:szCs w:val="24"/>
                <w:lang w:eastAsia="sk-SK"/>
              </w:rPr>
            </w:pPr>
          </w:p>
        </w:tc>
      </w:tr>
      <w:tr w:rsidR="000716F3" w:rsidRPr="000716F3" w:rsidTr="0037783C">
        <w:trPr>
          <w:trHeight w:val="255"/>
        </w:trPr>
        <w:tc>
          <w:tcPr>
            <w:tcW w:w="495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vertAlign w:val="superscript"/>
                <w:lang w:eastAsia="sk-SK"/>
              </w:rPr>
            </w:pPr>
            <w:r w:rsidRPr="000716F3">
              <w:rPr>
                <w:rFonts w:ascii="Times New Roman" w:hAnsi="Times New Roman"/>
                <w:b/>
                <w:bCs/>
                <w:sz w:val="24"/>
                <w:szCs w:val="24"/>
                <w:lang w:eastAsia="sk-SK"/>
              </w:rPr>
              <w:t>Daňové príjmy (100)</w:t>
            </w:r>
            <w:r w:rsidRPr="000716F3">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495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Nedaňové príjmy (200)</w:t>
            </w:r>
            <w:r w:rsidRPr="000716F3">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495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Granty a transfery (300)</w:t>
            </w:r>
            <w:r w:rsidRPr="000716F3">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495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495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0716F3">
        <w:trPr>
          <w:trHeight w:val="255"/>
        </w:trPr>
        <w:tc>
          <w:tcPr>
            <w:tcW w:w="4950" w:type="dxa"/>
            <w:tcBorders>
              <w:top w:val="nil"/>
              <w:left w:val="single" w:sz="4" w:space="0" w:color="auto"/>
              <w:bottom w:val="single" w:sz="4" w:space="0" w:color="auto"/>
              <w:right w:val="single" w:sz="4" w:space="0" w:color="auto"/>
            </w:tcBorders>
            <w:shd w:val="clear" w:color="auto" w:fill="BFBFBF"/>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bl>
    <w:p w:rsidR="000716F3" w:rsidRPr="000716F3" w:rsidRDefault="000716F3" w:rsidP="000716F3">
      <w:pPr>
        <w:tabs>
          <w:tab w:val="num" w:pos="1080"/>
        </w:tabs>
        <w:spacing w:after="0" w:line="240" w:lineRule="auto"/>
        <w:jc w:val="both"/>
        <w:rPr>
          <w:rFonts w:ascii="Times New Roman" w:hAnsi="Times New Roman"/>
          <w:bCs/>
          <w:sz w:val="20"/>
          <w:szCs w:val="20"/>
          <w:lang w:eastAsia="sk-SK"/>
        </w:rPr>
      </w:pPr>
      <w:r w:rsidRPr="000716F3">
        <w:rPr>
          <w:rFonts w:ascii="Times New Roman" w:hAnsi="Times New Roman"/>
          <w:bCs/>
          <w:sz w:val="20"/>
          <w:szCs w:val="20"/>
          <w:lang w:eastAsia="sk-SK"/>
        </w:rPr>
        <w:t>1 –  príjmy rozpísať až do položiek platnej ekonomickej klasifikácie</w:t>
      </w: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p w:rsidR="000716F3" w:rsidRPr="000716F3" w:rsidRDefault="000716F3" w:rsidP="000716F3">
      <w:pPr>
        <w:tabs>
          <w:tab w:val="num" w:pos="1080"/>
        </w:tabs>
        <w:spacing w:after="0" w:line="240" w:lineRule="auto"/>
        <w:jc w:val="both"/>
        <w:rPr>
          <w:rFonts w:ascii="Times New Roman" w:hAnsi="Times New Roman"/>
          <w:b/>
          <w:bCs/>
          <w:sz w:val="24"/>
          <w:szCs w:val="20"/>
          <w:lang w:eastAsia="sk-SK"/>
        </w:rPr>
      </w:pPr>
      <w:r w:rsidRPr="000716F3">
        <w:rPr>
          <w:rFonts w:ascii="Times New Roman" w:hAnsi="Times New Roman"/>
          <w:b/>
          <w:bCs/>
          <w:sz w:val="24"/>
          <w:szCs w:val="20"/>
          <w:lang w:eastAsia="sk-SK"/>
        </w:rPr>
        <w:t>Poznámka:</w:t>
      </w: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r w:rsidRPr="000716F3">
        <w:rPr>
          <w:rFonts w:ascii="Times New Roman" w:hAnsi="Times New Roman"/>
          <w:bCs/>
          <w:sz w:val="24"/>
          <w:szCs w:val="20"/>
          <w:lang w:eastAsia="sk-SK"/>
        </w:rPr>
        <w:t>Ak sa vplyv týka viacerých subjektov verejnej správy, vypĺňa sa samostatná tabuľka za každý subjekt.</w:t>
      </w: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r w:rsidRPr="000716F3">
        <w:rPr>
          <w:rFonts w:ascii="Times New Roman" w:hAnsi="Times New Roman"/>
          <w:bCs/>
          <w:sz w:val="24"/>
          <w:szCs w:val="24"/>
          <w:lang w:eastAsia="sk-SK"/>
        </w:rPr>
        <w:t xml:space="preserve"> </w:t>
      </w: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578"/>
        <w:jc w:val="right"/>
        <w:rPr>
          <w:rFonts w:ascii="Times New Roman" w:hAnsi="Times New Roman"/>
          <w:bCs/>
          <w:sz w:val="24"/>
          <w:szCs w:val="24"/>
          <w:lang w:eastAsia="sk-SK"/>
        </w:rPr>
      </w:pPr>
    </w:p>
    <w:p w:rsidR="000716F3" w:rsidRPr="000716F3" w:rsidRDefault="000716F3" w:rsidP="000716F3">
      <w:pPr>
        <w:tabs>
          <w:tab w:val="num" w:pos="1080"/>
        </w:tabs>
        <w:spacing w:after="0" w:line="240" w:lineRule="auto"/>
        <w:ind w:right="-32"/>
        <w:jc w:val="right"/>
        <w:rPr>
          <w:rFonts w:ascii="Times New Roman" w:hAnsi="Times New Roman"/>
          <w:bCs/>
          <w:sz w:val="24"/>
          <w:szCs w:val="24"/>
          <w:lang w:eastAsia="sk-SK"/>
        </w:rPr>
      </w:pPr>
      <w:r w:rsidRPr="000716F3">
        <w:rPr>
          <w:rFonts w:ascii="Times New Roman" w:hAnsi="Times New Roman"/>
          <w:bCs/>
          <w:sz w:val="24"/>
          <w:szCs w:val="24"/>
          <w:lang w:eastAsia="sk-SK"/>
        </w:rPr>
        <w:lastRenderedPageBreak/>
        <w:t xml:space="preserve">Tabuľka č. 4 </w:t>
      </w: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r w:rsidRPr="000716F3">
        <w:rPr>
          <w:rFonts w:ascii="Times New Roman" w:hAnsi="Times New Roman"/>
          <w:bCs/>
          <w:sz w:val="24"/>
          <w:szCs w:val="20"/>
          <w:lang w:eastAsia="sk-SK"/>
        </w:rPr>
        <w:t>Ministerstvo dopravy a výstavby SR</w:t>
      </w: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0716F3" w:rsidRPr="000716F3" w:rsidTr="000716F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poznámka</w:t>
            </w:r>
          </w:p>
        </w:tc>
      </w:tr>
      <w:tr w:rsidR="000716F3" w:rsidRPr="000716F3" w:rsidTr="000716F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0716F3" w:rsidRPr="000716F3" w:rsidRDefault="000716F3" w:rsidP="000716F3">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0716F3" w:rsidRPr="000716F3" w:rsidRDefault="000716F3" w:rsidP="000716F3">
            <w:pPr>
              <w:spacing w:after="0" w:line="240" w:lineRule="auto"/>
              <w:rPr>
                <w:rFonts w:ascii="Times New Roman" w:hAnsi="Times New Roman"/>
                <w:b/>
                <w:bCs/>
                <w:color w:val="FFFFFF"/>
                <w:sz w:val="24"/>
                <w:szCs w:val="24"/>
                <w:lang w:eastAsia="sk-SK"/>
              </w:rPr>
            </w:pP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0"/>
                <w:szCs w:val="20"/>
                <w:lang w:eastAsia="sk-SK"/>
              </w:rPr>
            </w:pPr>
            <w:r w:rsidRPr="000716F3">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50 000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200 000</w:t>
            </w: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0"/>
                <w:szCs w:val="20"/>
                <w:lang w:eastAsia="sk-SK"/>
              </w:rPr>
            </w:pPr>
            <w:r w:rsidRPr="000716F3">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0"/>
                <w:szCs w:val="20"/>
                <w:vertAlign w:val="superscript"/>
                <w:lang w:eastAsia="sk-SK"/>
              </w:rPr>
            </w:pPr>
            <w:r w:rsidRPr="000716F3">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0"/>
                <w:szCs w:val="20"/>
                <w:vertAlign w:val="superscript"/>
                <w:lang w:eastAsia="sk-SK"/>
              </w:rPr>
            </w:pPr>
            <w:r w:rsidRPr="000716F3">
              <w:rPr>
                <w:rFonts w:ascii="Times New Roman" w:hAnsi="Times New Roman"/>
                <w:sz w:val="20"/>
                <w:szCs w:val="20"/>
                <w:lang w:eastAsia="sk-SK"/>
              </w:rPr>
              <w:t xml:space="preserve">  Tovary a služby (630)</w:t>
            </w:r>
            <w:r w:rsidRPr="000716F3">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0"/>
                <w:szCs w:val="20"/>
                <w:lang w:eastAsia="sk-SK"/>
              </w:rPr>
            </w:pPr>
            <w:r w:rsidRPr="000716F3">
              <w:rPr>
                <w:rFonts w:ascii="Times New Roman" w:hAnsi="Times New Roman"/>
                <w:sz w:val="20"/>
                <w:szCs w:val="20"/>
                <w:lang w:eastAsia="sk-SK"/>
              </w:rPr>
              <w:t xml:space="preserve">  Bežné transfery (640)</w:t>
            </w:r>
            <w:r w:rsidRPr="000716F3">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sz w:val="20"/>
                <w:szCs w:val="20"/>
                <w:lang w:eastAsia="sk-SK"/>
              </w:rPr>
              <w:t>50 000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bCs/>
                <w:sz w:val="20"/>
                <w:szCs w:val="20"/>
                <w:lang w:eastAsia="sk-SK"/>
              </w:rPr>
              <w:t>200 000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bCs/>
                <w:sz w:val="20"/>
                <w:szCs w:val="20"/>
                <w:lang w:eastAsia="sk-SK"/>
              </w:rPr>
              <w:t>200 000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bCs/>
                <w:sz w:val="20"/>
                <w:szCs w:val="20"/>
                <w:lang w:eastAsia="sk-SK"/>
              </w:rPr>
              <w:t>200 000</w:t>
            </w: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vAlign w:val="center"/>
          </w:tcPr>
          <w:p w:rsidR="000716F3" w:rsidRPr="000716F3" w:rsidRDefault="000716F3" w:rsidP="000716F3">
            <w:pPr>
              <w:spacing w:after="0" w:line="240" w:lineRule="auto"/>
              <w:rPr>
                <w:rFonts w:ascii="Times New Roman" w:hAnsi="Times New Roman"/>
                <w:sz w:val="20"/>
                <w:szCs w:val="20"/>
                <w:lang w:eastAsia="sk-SK"/>
              </w:rPr>
            </w:pPr>
            <w:r w:rsidRPr="000716F3">
              <w:rPr>
                <w:rFonts w:ascii="Times New Roman" w:hAnsi="Times New Roman"/>
                <w:sz w:val="20"/>
                <w:szCs w:val="20"/>
                <w:lang w:eastAsia="sk-SK"/>
              </w:rPr>
              <w:t xml:space="preserve">  Splácanie úrokov a ostatné platby súvisiace s </w:t>
            </w:r>
            <w:r w:rsidRPr="000716F3">
              <w:rPr>
                <w:rFonts w:ascii="Calibri" w:hAnsi="Calibri"/>
              </w:rPr>
              <w:t xml:space="preserve"> </w:t>
            </w:r>
            <w:r w:rsidRPr="000716F3">
              <w:rPr>
                <w:rFonts w:ascii="Times New Roman" w:hAnsi="Times New Roman"/>
                <w:sz w:val="20"/>
                <w:szCs w:val="20"/>
                <w:lang w:eastAsia="sk-SK"/>
              </w:rPr>
              <w:t>úverom, pôžičkou, návratnou finančnou výpomocou a finančným prenájmom (650)</w:t>
            </w:r>
            <w:r w:rsidRPr="000716F3">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0"/>
                <w:szCs w:val="20"/>
                <w:lang w:eastAsia="sk-SK"/>
              </w:rPr>
            </w:pPr>
            <w:r w:rsidRPr="000716F3">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1 650 000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2 600 000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12 600 000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0"/>
                <w:szCs w:val="20"/>
                <w:lang w:eastAsia="sk-SK"/>
              </w:rPr>
              <w:t>15 000 000</w:t>
            </w: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0"/>
                <w:szCs w:val="20"/>
                <w:lang w:eastAsia="sk-SK"/>
              </w:rPr>
            </w:pPr>
            <w:r w:rsidRPr="000716F3">
              <w:rPr>
                <w:rFonts w:ascii="Times New Roman" w:hAnsi="Times New Roman"/>
                <w:sz w:val="20"/>
                <w:szCs w:val="20"/>
                <w:lang w:eastAsia="sk-SK"/>
              </w:rPr>
              <w:t xml:space="preserve">  Obstarávanie kapitálových aktív (710)</w:t>
            </w:r>
            <w:r w:rsidRPr="000716F3">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0"/>
                <w:szCs w:val="20"/>
                <w:lang w:eastAsia="sk-SK"/>
              </w:rPr>
            </w:pPr>
            <w:r w:rsidRPr="000716F3">
              <w:rPr>
                <w:rFonts w:ascii="Times New Roman" w:hAnsi="Times New Roman"/>
                <w:sz w:val="20"/>
                <w:szCs w:val="20"/>
                <w:lang w:eastAsia="sk-SK"/>
              </w:rPr>
              <w:t xml:space="preserve">  Kapitálové transfery (720)</w:t>
            </w:r>
            <w:r w:rsidRPr="000716F3">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sz w:val="20"/>
                <w:szCs w:val="20"/>
                <w:lang w:eastAsia="sk-SK"/>
              </w:rPr>
              <w:t>1 650 000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sz w:val="20"/>
                <w:szCs w:val="20"/>
                <w:lang w:eastAsia="sk-SK"/>
              </w:rPr>
              <w:t>2 600 000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0"/>
                <w:szCs w:val="20"/>
                <w:lang w:eastAsia="sk-SK"/>
              </w:rPr>
            </w:pPr>
            <w:r w:rsidRPr="000716F3">
              <w:rPr>
                <w:rFonts w:ascii="Times New Roman" w:hAnsi="Times New Roman"/>
                <w:sz w:val="20"/>
                <w:szCs w:val="20"/>
                <w:lang w:eastAsia="sk-SK"/>
              </w:rPr>
              <w:t>12 600 000</w:t>
            </w:r>
          </w:p>
        </w:tc>
        <w:tc>
          <w:tcPr>
            <w:tcW w:w="1540"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r w:rsidRPr="000716F3">
              <w:rPr>
                <w:rFonts w:ascii="Times New Roman" w:hAnsi="Times New Roman"/>
                <w:sz w:val="20"/>
                <w:szCs w:val="20"/>
                <w:lang w:eastAsia="sk-SK"/>
              </w:rPr>
              <w:t>15 000 000</w:t>
            </w: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7070"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0"/>
                <w:szCs w:val="20"/>
                <w:lang w:eastAsia="sk-SK"/>
              </w:rPr>
            </w:pPr>
            <w:r w:rsidRPr="000716F3">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0716F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0716F3" w:rsidRPr="000716F3" w:rsidRDefault="000716F3" w:rsidP="000716F3">
            <w:pPr>
              <w:spacing w:after="0" w:line="240" w:lineRule="auto"/>
              <w:rPr>
                <w:rFonts w:ascii="Times New Roman" w:hAnsi="Times New Roman"/>
                <w:b/>
                <w:bCs/>
                <w:sz w:val="20"/>
                <w:szCs w:val="20"/>
                <w:lang w:eastAsia="sk-SK"/>
              </w:rPr>
            </w:pPr>
            <w:r w:rsidRPr="000716F3">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1 700 000</w:t>
            </w:r>
          </w:p>
        </w:tc>
        <w:tc>
          <w:tcPr>
            <w:tcW w:w="1540" w:type="dxa"/>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2 800 000</w:t>
            </w:r>
          </w:p>
        </w:tc>
        <w:tc>
          <w:tcPr>
            <w:tcW w:w="1540" w:type="dxa"/>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12 800 000</w:t>
            </w:r>
          </w:p>
        </w:tc>
        <w:tc>
          <w:tcPr>
            <w:tcW w:w="1540" w:type="dxa"/>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0"/>
                <w:szCs w:val="20"/>
                <w:lang w:eastAsia="sk-SK"/>
              </w:rPr>
            </w:pPr>
            <w:r w:rsidRPr="000716F3">
              <w:rPr>
                <w:rFonts w:ascii="Times New Roman" w:hAnsi="Times New Roman"/>
                <w:b/>
                <w:bCs/>
                <w:sz w:val="20"/>
                <w:szCs w:val="20"/>
                <w:lang w:eastAsia="sk-SK"/>
              </w:rPr>
              <w:t>15 200 000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bl>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r w:rsidRPr="000716F3">
        <w:rPr>
          <w:rFonts w:ascii="Times New Roman" w:hAnsi="Times New Roman"/>
          <w:bCs/>
          <w:sz w:val="20"/>
          <w:szCs w:val="20"/>
          <w:lang w:eastAsia="sk-SK"/>
        </w:rPr>
        <w:t>2 –  výdavky rozpísať až do položiek platnej ekonomickej klasifikácie</w:t>
      </w:r>
    </w:p>
    <w:p w:rsidR="000716F3" w:rsidRPr="000716F3" w:rsidRDefault="000716F3" w:rsidP="000716F3">
      <w:pPr>
        <w:tabs>
          <w:tab w:val="num" w:pos="1080"/>
        </w:tabs>
        <w:spacing w:after="0" w:line="240" w:lineRule="auto"/>
        <w:ind w:left="-900"/>
        <w:jc w:val="both"/>
        <w:rPr>
          <w:rFonts w:ascii="Times New Roman" w:hAnsi="Times New Roman"/>
          <w:bCs/>
          <w:sz w:val="24"/>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
          <w:bCs/>
          <w:sz w:val="20"/>
          <w:szCs w:val="20"/>
          <w:lang w:eastAsia="sk-SK"/>
        </w:rPr>
      </w:pPr>
      <w:r w:rsidRPr="000716F3">
        <w:rPr>
          <w:rFonts w:ascii="Times New Roman" w:hAnsi="Times New Roman"/>
          <w:b/>
          <w:bCs/>
          <w:sz w:val="24"/>
          <w:szCs w:val="20"/>
          <w:lang w:eastAsia="sk-SK"/>
        </w:rPr>
        <w:t>Poznámka:</w:t>
      </w: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r w:rsidRPr="000716F3">
        <w:rPr>
          <w:rFonts w:ascii="Times New Roman" w:hAnsi="Times New Roman"/>
          <w:bCs/>
          <w:sz w:val="24"/>
          <w:szCs w:val="20"/>
          <w:lang w:eastAsia="sk-SK"/>
        </w:rPr>
        <w:t>Ak sa vplyv týka viacerých subjektov verejnej správy, vypĺňa sa samostatná tabuľka za každý subjekt.</w:t>
      </w: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ind w:left="-900"/>
        <w:jc w:val="both"/>
        <w:rPr>
          <w:rFonts w:ascii="Times New Roman" w:hAnsi="Times New Roman"/>
          <w:bCs/>
          <w:sz w:val="20"/>
          <w:szCs w:val="20"/>
          <w:lang w:eastAsia="sk-SK"/>
        </w:rPr>
      </w:pPr>
    </w:p>
    <w:p w:rsidR="000716F3" w:rsidRPr="000716F3" w:rsidRDefault="000716F3" w:rsidP="000716F3">
      <w:pPr>
        <w:tabs>
          <w:tab w:val="num" w:pos="1080"/>
        </w:tabs>
        <w:spacing w:after="0" w:line="240" w:lineRule="auto"/>
        <w:jc w:val="right"/>
        <w:rPr>
          <w:rFonts w:ascii="Times New Roman" w:hAnsi="Times New Roman"/>
          <w:bCs/>
          <w:sz w:val="24"/>
          <w:szCs w:val="24"/>
          <w:lang w:eastAsia="sk-SK"/>
        </w:rPr>
      </w:pPr>
      <w:r w:rsidRPr="000716F3">
        <w:rPr>
          <w:rFonts w:ascii="Times New Roman" w:hAnsi="Times New Roman"/>
          <w:bCs/>
          <w:sz w:val="24"/>
          <w:szCs w:val="24"/>
          <w:lang w:eastAsia="sk-SK"/>
        </w:rPr>
        <w:t xml:space="preserve">                 Tabuľka č. 5 </w:t>
      </w:r>
    </w:p>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0716F3" w:rsidRPr="000716F3" w:rsidTr="000716F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poznámka</w:t>
            </w:r>
          </w:p>
        </w:tc>
      </w:tr>
      <w:tr w:rsidR="000716F3" w:rsidRPr="000716F3" w:rsidTr="000716F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0716F3" w:rsidRPr="000716F3" w:rsidRDefault="000716F3" w:rsidP="000716F3">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2019</w:t>
            </w:r>
          </w:p>
        </w:tc>
        <w:tc>
          <w:tcPr>
            <w:tcW w:w="2418" w:type="dxa"/>
            <w:gridSpan w:val="2"/>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2020</w:t>
            </w:r>
          </w:p>
        </w:tc>
        <w:tc>
          <w:tcPr>
            <w:tcW w:w="1722"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r w:rsidRPr="000716F3">
              <w:rPr>
                <w:rFonts w:ascii="Times New Roman" w:hAnsi="Times New Roman"/>
                <w:b/>
                <w:bCs/>
                <w:sz w:val="24"/>
                <w:szCs w:val="24"/>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0716F3" w:rsidRPr="000716F3" w:rsidRDefault="000716F3" w:rsidP="000716F3">
            <w:pPr>
              <w:spacing w:after="0" w:line="240" w:lineRule="auto"/>
              <w:rPr>
                <w:rFonts w:ascii="Times New Roman" w:hAnsi="Times New Roman"/>
                <w:b/>
                <w:bCs/>
                <w:color w:val="FFFFFF"/>
                <w:sz w:val="24"/>
                <w:szCs w:val="24"/>
                <w:lang w:eastAsia="sk-SK"/>
              </w:rPr>
            </w:pP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r w:rsidRPr="000716F3">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722" w:type="dxa"/>
            <w:tcBorders>
              <w:top w:val="single" w:sz="4" w:space="0" w:color="auto"/>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0716F3">
        <w:trPr>
          <w:trHeight w:val="255"/>
        </w:trPr>
        <w:tc>
          <w:tcPr>
            <w:tcW w:w="6188" w:type="dxa"/>
            <w:tcBorders>
              <w:top w:val="nil"/>
              <w:left w:val="single" w:sz="4" w:space="0" w:color="auto"/>
              <w:bottom w:val="single" w:sz="4" w:space="0" w:color="auto"/>
              <w:right w:val="single" w:sz="4" w:space="0" w:color="auto"/>
            </w:tcBorders>
            <w:shd w:val="clear" w:color="auto" w:fill="BFBFBF"/>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shd w:val="clear" w:color="auto" w:fill="BFBFBF"/>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shd w:val="clear" w:color="auto" w:fill="BFBFBF"/>
            <w:noWrap/>
            <w:vAlign w:val="bottom"/>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 </w:t>
            </w: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 </w:t>
            </w: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 </w:t>
            </w:r>
          </w:p>
        </w:tc>
      </w:tr>
      <w:tr w:rsidR="000716F3" w:rsidRPr="000716F3" w:rsidTr="0037783C">
        <w:trPr>
          <w:trHeight w:val="255"/>
        </w:trPr>
        <w:tc>
          <w:tcPr>
            <w:tcW w:w="6188" w:type="dxa"/>
            <w:tcBorders>
              <w:top w:val="nil"/>
              <w:left w:val="single" w:sz="4" w:space="0" w:color="auto"/>
              <w:bottom w:val="single" w:sz="4" w:space="0" w:color="auto"/>
              <w:right w:val="single" w:sz="4" w:space="0" w:color="auto"/>
            </w:tcBorders>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0716F3" w:rsidRPr="000716F3" w:rsidRDefault="000716F3" w:rsidP="000716F3">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 </w:t>
            </w:r>
          </w:p>
        </w:tc>
      </w:tr>
      <w:tr w:rsidR="000716F3" w:rsidRPr="000716F3" w:rsidTr="0037783C">
        <w:trPr>
          <w:trHeight w:val="255"/>
        </w:trPr>
        <w:tc>
          <w:tcPr>
            <w:tcW w:w="6188"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6188" w:type="dxa"/>
            <w:tcBorders>
              <w:top w:val="nil"/>
              <w:left w:val="nil"/>
              <w:bottom w:val="nil"/>
              <w:right w:val="nil"/>
            </w:tcBorders>
          </w:tcPr>
          <w:p w:rsidR="000716F3" w:rsidRPr="000716F3" w:rsidRDefault="000716F3" w:rsidP="000716F3">
            <w:pPr>
              <w:spacing w:after="0" w:line="240" w:lineRule="auto"/>
              <w:rPr>
                <w:rFonts w:ascii="Times New Roman" w:hAnsi="Times New Roman"/>
                <w:b/>
                <w:bCs/>
                <w:sz w:val="24"/>
                <w:szCs w:val="24"/>
                <w:lang w:eastAsia="sk-SK"/>
              </w:rPr>
            </w:pPr>
            <w:r w:rsidRPr="000716F3">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13814" w:type="dxa"/>
            <w:gridSpan w:val="6"/>
            <w:tcBorders>
              <w:top w:val="nil"/>
              <w:left w:val="nil"/>
              <w:bottom w:val="nil"/>
              <w:right w:val="nil"/>
            </w:tcBorders>
            <w:noWrap/>
          </w:tcPr>
          <w:p w:rsidR="000716F3" w:rsidRPr="000716F3" w:rsidRDefault="000716F3" w:rsidP="000716F3">
            <w:pPr>
              <w:tabs>
                <w:tab w:val="num" w:pos="1080"/>
              </w:tabs>
              <w:spacing w:after="0" w:line="240" w:lineRule="auto"/>
              <w:jc w:val="both"/>
              <w:rPr>
                <w:rFonts w:ascii="Times New Roman" w:hAnsi="Times New Roman"/>
                <w:bCs/>
                <w:sz w:val="24"/>
                <w:szCs w:val="20"/>
                <w:lang w:eastAsia="sk-SK"/>
              </w:rPr>
            </w:pPr>
            <w:r w:rsidRPr="000716F3">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r w:rsidR="000716F3" w:rsidRPr="000716F3" w:rsidTr="0037783C">
        <w:trPr>
          <w:trHeight w:val="255"/>
        </w:trPr>
        <w:tc>
          <w:tcPr>
            <w:tcW w:w="10394" w:type="dxa"/>
            <w:gridSpan w:val="4"/>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0716F3" w:rsidRPr="000716F3" w:rsidRDefault="000716F3" w:rsidP="000716F3">
            <w:pPr>
              <w:spacing w:after="0" w:line="240" w:lineRule="auto"/>
              <w:rPr>
                <w:rFonts w:ascii="Times New Roman" w:hAnsi="Times New Roman"/>
                <w:sz w:val="24"/>
                <w:szCs w:val="24"/>
                <w:lang w:eastAsia="sk-SK"/>
              </w:rPr>
            </w:pPr>
          </w:p>
        </w:tc>
      </w:tr>
    </w:tbl>
    <w:p w:rsidR="000716F3" w:rsidRPr="000716F3" w:rsidRDefault="000716F3" w:rsidP="000716F3">
      <w:pPr>
        <w:tabs>
          <w:tab w:val="left" w:pos="6342"/>
        </w:tabs>
        <w:spacing w:after="200" w:line="276" w:lineRule="auto"/>
        <w:rPr>
          <w:rFonts w:ascii="Times New Roman" w:hAnsi="Times New Roman"/>
          <w:sz w:val="24"/>
          <w:szCs w:val="24"/>
          <w:lang w:eastAsia="sk-SK"/>
        </w:rPr>
        <w:sectPr w:rsidR="000716F3" w:rsidRPr="000716F3">
          <w:pgSz w:w="16838" w:h="11906" w:orient="landscape"/>
          <w:pgMar w:top="1418" w:right="1418" w:bottom="1418" w:left="1418" w:header="709" w:footer="709" w:gutter="0"/>
          <w:cols w:space="708"/>
          <w:docGrid w:linePitch="360"/>
        </w:sectPr>
      </w:pPr>
    </w:p>
    <w:p w:rsidR="000716F3" w:rsidRPr="000716F3" w:rsidRDefault="000716F3" w:rsidP="000716F3">
      <w:pPr>
        <w:spacing w:after="0"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716F3" w:rsidRPr="000716F3" w:rsidTr="0037783C">
        <w:trPr>
          <w:trHeight w:val="566"/>
        </w:trPr>
        <w:tc>
          <w:tcPr>
            <w:tcW w:w="9212" w:type="dxa"/>
            <w:shd w:val="clear" w:color="auto" w:fill="D9D9D9"/>
            <w:vAlign w:val="center"/>
            <w:hideMark/>
          </w:tcPr>
          <w:p w:rsidR="000716F3" w:rsidRPr="000716F3" w:rsidRDefault="000716F3" w:rsidP="000716F3">
            <w:pPr>
              <w:spacing w:after="0" w:line="240" w:lineRule="auto"/>
              <w:jc w:val="center"/>
              <w:rPr>
                <w:rFonts w:ascii="Times New Roman" w:hAnsi="Times New Roman"/>
                <w:sz w:val="24"/>
                <w:szCs w:val="24"/>
                <w:lang w:eastAsia="sk-SK"/>
              </w:rPr>
            </w:pPr>
            <w:r w:rsidRPr="000716F3">
              <w:rPr>
                <w:rFonts w:ascii="Times New Roman" w:hAnsi="Times New Roman"/>
                <w:b/>
                <w:sz w:val="28"/>
                <w:szCs w:val="24"/>
                <w:lang w:eastAsia="sk-SK"/>
              </w:rPr>
              <w:t>Analýza vplyvov na životné prostredie</w:t>
            </w:r>
          </w:p>
        </w:tc>
      </w:tr>
      <w:tr w:rsidR="000716F3" w:rsidRPr="000716F3" w:rsidTr="0037783C">
        <w:trPr>
          <w:trHeight w:val="688"/>
        </w:trPr>
        <w:tc>
          <w:tcPr>
            <w:tcW w:w="9212" w:type="dxa"/>
            <w:shd w:val="clear" w:color="auto" w:fill="D9D9D9"/>
            <w:vAlign w:val="center"/>
            <w:hideMark/>
          </w:tcPr>
          <w:p w:rsidR="000716F3" w:rsidRPr="000716F3" w:rsidRDefault="000716F3" w:rsidP="000716F3">
            <w:pPr>
              <w:spacing w:after="0" w:line="240" w:lineRule="auto"/>
              <w:rPr>
                <w:rFonts w:ascii="Times New Roman" w:hAnsi="Times New Roman"/>
                <w:i/>
                <w:sz w:val="24"/>
                <w:szCs w:val="24"/>
                <w:lang w:eastAsia="sk-SK"/>
              </w:rPr>
            </w:pPr>
            <w:r w:rsidRPr="000716F3">
              <w:rPr>
                <w:rFonts w:ascii="Times New Roman" w:hAnsi="Times New Roman"/>
                <w:b/>
                <w:sz w:val="24"/>
                <w:szCs w:val="24"/>
                <w:lang w:eastAsia="sk-SK"/>
              </w:rPr>
              <w:t>5.1 Ktoré zložky životného prostredia (najmä ovzdušie, voda, horniny, pôda, organizmy) budú predkladaným materiálom ovplyvnené a aký bude ich vplyv ?</w:t>
            </w:r>
          </w:p>
        </w:tc>
      </w:tr>
      <w:tr w:rsidR="000716F3" w:rsidRPr="000716F3" w:rsidTr="0037783C">
        <w:trPr>
          <w:trHeight w:val="995"/>
        </w:trPr>
        <w:tc>
          <w:tcPr>
            <w:tcW w:w="9212" w:type="dxa"/>
          </w:tcPr>
          <w:p w:rsidR="000716F3" w:rsidRPr="000716F3" w:rsidRDefault="000716F3" w:rsidP="000716F3">
            <w:pPr>
              <w:tabs>
                <w:tab w:val="left" w:pos="3945"/>
              </w:tabs>
              <w:spacing w:after="0" w:line="240" w:lineRule="auto"/>
              <w:jc w:val="both"/>
              <w:rPr>
                <w:rFonts w:ascii="Times New Roman" w:hAnsi="Times New Roman"/>
                <w:i/>
                <w:sz w:val="24"/>
                <w:szCs w:val="24"/>
                <w:lang w:eastAsia="sk-SK"/>
              </w:rPr>
            </w:pPr>
            <w:r w:rsidRPr="000716F3">
              <w:rPr>
                <w:rFonts w:ascii="Times New Roman" w:hAnsi="Times New Roman"/>
                <w:i/>
                <w:sz w:val="24"/>
                <w:szCs w:val="24"/>
                <w:lang w:eastAsia="sk-SK"/>
              </w:rPr>
              <w:t>Zvýšenie kvality infraštruktúry cyklistickej dopravy bude mať priamy pozitívny vplyv na kvalitu ovzdušia, nakoľko predpokladáme v dotknutých územiach zvýšenú mieru využívania bezemisnej formy dopravy - cyklodopravy</w:t>
            </w:r>
          </w:p>
        </w:tc>
      </w:tr>
      <w:tr w:rsidR="000716F3" w:rsidRPr="000716F3" w:rsidTr="0037783C">
        <w:trPr>
          <w:trHeight w:val="404"/>
        </w:trPr>
        <w:tc>
          <w:tcPr>
            <w:tcW w:w="9212" w:type="dxa"/>
            <w:shd w:val="clear" w:color="auto" w:fill="D9D9D9"/>
            <w:vAlign w:val="center"/>
            <w:hideMark/>
          </w:tcPr>
          <w:p w:rsidR="000716F3" w:rsidRPr="000716F3" w:rsidRDefault="000716F3" w:rsidP="000716F3">
            <w:pPr>
              <w:spacing w:after="0" w:line="240" w:lineRule="auto"/>
              <w:rPr>
                <w:rFonts w:ascii="Times New Roman" w:hAnsi="Times New Roman"/>
                <w:b/>
                <w:sz w:val="24"/>
                <w:szCs w:val="24"/>
                <w:lang w:eastAsia="sk-SK"/>
              </w:rPr>
            </w:pPr>
            <w:r w:rsidRPr="000716F3">
              <w:rPr>
                <w:rFonts w:ascii="Times New Roman" w:hAnsi="Times New Roman"/>
                <w:b/>
                <w:sz w:val="24"/>
                <w:szCs w:val="24"/>
                <w:lang w:eastAsia="sk-SK"/>
              </w:rPr>
              <w:t xml:space="preserve">5.2 Bude mať predkladaný materiál vplyv na chránené územia a ak áno, aký? </w:t>
            </w:r>
          </w:p>
        </w:tc>
      </w:tr>
      <w:tr w:rsidR="000716F3" w:rsidRPr="000716F3" w:rsidTr="0037783C">
        <w:trPr>
          <w:trHeight w:val="987"/>
        </w:trPr>
        <w:tc>
          <w:tcPr>
            <w:tcW w:w="9212" w:type="dxa"/>
          </w:tcPr>
          <w:p w:rsidR="000716F3" w:rsidRPr="000716F3" w:rsidRDefault="000716F3" w:rsidP="000716F3">
            <w:pPr>
              <w:tabs>
                <w:tab w:val="left" w:pos="3555"/>
              </w:tabs>
              <w:spacing w:after="0" w:line="240" w:lineRule="auto"/>
              <w:jc w:val="both"/>
              <w:rPr>
                <w:rFonts w:ascii="Times New Roman" w:hAnsi="Times New Roman"/>
                <w:i/>
                <w:sz w:val="24"/>
                <w:szCs w:val="24"/>
                <w:lang w:eastAsia="sk-SK"/>
              </w:rPr>
            </w:pPr>
            <w:r w:rsidRPr="000716F3">
              <w:rPr>
                <w:rFonts w:ascii="Times New Roman" w:hAnsi="Times New Roman"/>
                <w:i/>
                <w:sz w:val="24"/>
                <w:szCs w:val="24"/>
                <w:lang w:eastAsia="sk-SK"/>
              </w:rPr>
              <w:t>Neočakáva sa</w:t>
            </w:r>
          </w:p>
          <w:p w:rsidR="000716F3" w:rsidRPr="000716F3" w:rsidRDefault="000716F3" w:rsidP="000716F3">
            <w:pPr>
              <w:tabs>
                <w:tab w:val="left" w:pos="5175"/>
              </w:tabs>
              <w:spacing w:after="0" w:line="240" w:lineRule="auto"/>
              <w:rPr>
                <w:rFonts w:ascii="Times New Roman" w:hAnsi="Times New Roman"/>
                <w:sz w:val="24"/>
                <w:szCs w:val="24"/>
                <w:lang w:eastAsia="sk-SK"/>
              </w:rPr>
            </w:pPr>
            <w:r w:rsidRPr="000716F3">
              <w:rPr>
                <w:rFonts w:ascii="Times New Roman" w:hAnsi="Times New Roman"/>
                <w:sz w:val="24"/>
                <w:szCs w:val="24"/>
                <w:lang w:eastAsia="sk-SK"/>
              </w:rPr>
              <w:tab/>
            </w:r>
          </w:p>
        </w:tc>
      </w:tr>
      <w:tr w:rsidR="000716F3" w:rsidRPr="000716F3" w:rsidTr="0037783C">
        <w:trPr>
          <w:trHeight w:val="698"/>
        </w:trPr>
        <w:tc>
          <w:tcPr>
            <w:tcW w:w="9212" w:type="dxa"/>
            <w:shd w:val="clear" w:color="auto" w:fill="D9D9D9"/>
            <w:vAlign w:val="center"/>
          </w:tcPr>
          <w:p w:rsidR="000716F3" w:rsidRPr="000716F3" w:rsidRDefault="000716F3" w:rsidP="000716F3">
            <w:pPr>
              <w:spacing w:after="0" w:line="240" w:lineRule="auto"/>
              <w:rPr>
                <w:rFonts w:ascii="Times New Roman" w:hAnsi="Times New Roman"/>
                <w:b/>
                <w:sz w:val="24"/>
                <w:szCs w:val="24"/>
                <w:lang w:eastAsia="sk-SK"/>
              </w:rPr>
            </w:pPr>
            <w:r w:rsidRPr="000716F3">
              <w:rPr>
                <w:rFonts w:ascii="Times New Roman" w:hAnsi="Times New Roman"/>
                <w:b/>
                <w:sz w:val="24"/>
                <w:szCs w:val="24"/>
                <w:lang w:eastAsia="sk-SK"/>
              </w:rPr>
              <w:t>5.3 Bude mať predkladaný materiál vplyvy na životné prostredie presahujúce štátne hranice? (ktoré zložky a ako budú najviac ovplyvnené)?</w:t>
            </w:r>
          </w:p>
        </w:tc>
      </w:tr>
      <w:tr w:rsidR="000716F3" w:rsidRPr="000716F3" w:rsidTr="0037783C">
        <w:trPr>
          <w:trHeight w:val="969"/>
        </w:trPr>
        <w:tc>
          <w:tcPr>
            <w:tcW w:w="9212" w:type="dxa"/>
          </w:tcPr>
          <w:p w:rsidR="000716F3" w:rsidRPr="000716F3" w:rsidRDefault="000716F3" w:rsidP="000716F3">
            <w:pPr>
              <w:spacing w:after="0" w:line="240" w:lineRule="auto"/>
              <w:jc w:val="both"/>
              <w:rPr>
                <w:rFonts w:ascii="Times New Roman" w:hAnsi="Times New Roman"/>
                <w:b/>
                <w:sz w:val="24"/>
                <w:szCs w:val="24"/>
                <w:lang w:eastAsia="sk-SK"/>
              </w:rPr>
            </w:pPr>
            <w:r w:rsidRPr="000716F3">
              <w:rPr>
                <w:rFonts w:ascii="Times New Roman" w:hAnsi="Times New Roman"/>
                <w:i/>
                <w:sz w:val="24"/>
                <w:szCs w:val="24"/>
                <w:lang w:eastAsia="sk-SK"/>
              </w:rPr>
              <w:t>Nie</w:t>
            </w:r>
          </w:p>
        </w:tc>
      </w:tr>
      <w:tr w:rsidR="000716F3" w:rsidRPr="000716F3" w:rsidTr="0037783C">
        <w:trPr>
          <w:trHeight w:val="713"/>
        </w:trPr>
        <w:tc>
          <w:tcPr>
            <w:tcW w:w="9212" w:type="dxa"/>
            <w:shd w:val="clear" w:color="auto" w:fill="D9D9D9"/>
            <w:vAlign w:val="center"/>
          </w:tcPr>
          <w:p w:rsidR="000716F3" w:rsidRPr="000716F3" w:rsidRDefault="000716F3" w:rsidP="000716F3">
            <w:pPr>
              <w:spacing w:after="0" w:line="240" w:lineRule="auto"/>
              <w:rPr>
                <w:rFonts w:ascii="Times New Roman" w:hAnsi="Times New Roman"/>
                <w:b/>
                <w:sz w:val="24"/>
                <w:szCs w:val="24"/>
                <w:lang w:eastAsia="sk-SK"/>
              </w:rPr>
            </w:pPr>
            <w:r w:rsidRPr="000716F3">
              <w:rPr>
                <w:rFonts w:ascii="Times New Roman" w:hAnsi="Times New Roman"/>
                <w:b/>
                <w:sz w:val="24"/>
                <w:szCs w:val="24"/>
                <w:lang w:eastAsia="sk-SK"/>
              </w:rPr>
              <w:t>5.4 Aké opatrenia budú prijaté na zmiernenie negatívneho vplyvu na životné prostredie?</w:t>
            </w:r>
          </w:p>
        </w:tc>
      </w:tr>
      <w:tr w:rsidR="000716F3" w:rsidRPr="000716F3" w:rsidTr="0037783C">
        <w:trPr>
          <w:trHeight w:val="979"/>
        </w:trPr>
        <w:tc>
          <w:tcPr>
            <w:tcW w:w="9212" w:type="dxa"/>
            <w:shd w:val="clear" w:color="auto" w:fill="FFFFFF"/>
          </w:tcPr>
          <w:p w:rsidR="000716F3" w:rsidRPr="000716F3" w:rsidRDefault="000716F3" w:rsidP="000716F3">
            <w:pPr>
              <w:spacing w:after="0" w:line="240" w:lineRule="auto"/>
              <w:jc w:val="both"/>
              <w:rPr>
                <w:rFonts w:ascii="Times New Roman" w:hAnsi="Times New Roman"/>
                <w:b/>
                <w:sz w:val="24"/>
                <w:szCs w:val="24"/>
                <w:lang w:eastAsia="sk-SK"/>
              </w:rPr>
            </w:pPr>
            <w:r w:rsidRPr="000716F3">
              <w:rPr>
                <w:rFonts w:ascii="Times New Roman" w:hAnsi="Times New Roman"/>
                <w:b/>
                <w:sz w:val="24"/>
                <w:szCs w:val="24"/>
                <w:lang w:eastAsia="sk-SK"/>
              </w:rPr>
              <w:t>-</w:t>
            </w:r>
          </w:p>
        </w:tc>
      </w:tr>
    </w:tbl>
    <w:p w:rsidR="000716F3" w:rsidRPr="000716F3" w:rsidRDefault="000716F3" w:rsidP="000716F3">
      <w:pPr>
        <w:spacing w:after="0" w:line="240" w:lineRule="auto"/>
        <w:jc w:val="center"/>
        <w:rPr>
          <w:rFonts w:ascii="Times New Roman" w:hAnsi="Times New Roman"/>
          <w:b/>
          <w:bCs/>
          <w:sz w:val="28"/>
          <w:szCs w:val="28"/>
          <w:lang w:eastAsia="sk-SK"/>
        </w:rPr>
      </w:pPr>
    </w:p>
    <w:p w:rsidR="000716F3" w:rsidRPr="000716F3" w:rsidRDefault="000716F3" w:rsidP="000716F3">
      <w:pPr>
        <w:spacing w:after="0" w:line="240" w:lineRule="auto"/>
        <w:rPr>
          <w:rFonts w:ascii="Times New Roman" w:hAnsi="Times New Roman"/>
          <w:sz w:val="24"/>
          <w:szCs w:val="24"/>
          <w:lang w:eastAsia="sk-SK"/>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Pr="000716F3" w:rsidRDefault="000716F3" w:rsidP="000716F3">
      <w:pPr>
        <w:widowControl w:val="0"/>
        <w:autoSpaceDE w:val="0"/>
        <w:autoSpaceDN w:val="0"/>
        <w:adjustRightInd w:val="0"/>
        <w:spacing w:after="0" w:line="240" w:lineRule="auto"/>
        <w:jc w:val="center"/>
        <w:rPr>
          <w:rFonts w:ascii="Times New Roman" w:hAnsi="Times New Roman"/>
          <w:b/>
          <w:caps/>
          <w:spacing w:val="30"/>
          <w:sz w:val="25"/>
          <w:szCs w:val="25"/>
          <w:lang w:eastAsia="sk-SK"/>
        </w:rPr>
      </w:pPr>
      <w:r w:rsidRPr="000716F3">
        <w:rPr>
          <w:rFonts w:ascii="Times New Roman" w:hAnsi="Times New Roman"/>
          <w:b/>
          <w:caps/>
          <w:spacing w:val="30"/>
          <w:sz w:val="25"/>
          <w:szCs w:val="25"/>
          <w:lang w:eastAsia="sk-SK"/>
        </w:rPr>
        <w:t>Doložka zlučiteľnosti</w:t>
      </w:r>
    </w:p>
    <w:p w:rsidR="000716F3" w:rsidRPr="000716F3" w:rsidRDefault="000716F3" w:rsidP="000716F3">
      <w:pPr>
        <w:widowControl w:val="0"/>
        <w:autoSpaceDE w:val="0"/>
        <w:autoSpaceDN w:val="0"/>
        <w:adjustRightInd w:val="0"/>
        <w:spacing w:after="0" w:line="240" w:lineRule="auto"/>
        <w:jc w:val="center"/>
        <w:rPr>
          <w:rFonts w:ascii="Times New Roman" w:hAnsi="Times New Roman"/>
          <w:b/>
          <w:sz w:val="25"/>
          <w:szCs w:val="25"/>
          <w:lang w:eastAsia="sk-SK"/>
        </w:rPr>
      </w:pPr>
      <w:r w:rsidRPr="000716F3">
        <w:rPr>
          <w:rFonts w:ascii="Times New Roman" w:hAnsi="Times New Roman"/>
          <w:b/>
          <w:sz w:val="25"/>
          <w:szCs w:val="25"/>
          <w:lang w:eastAsia="sk-SK"/>
        </w:rPr>
        <w:t>návrhu zákona s právom Európskej únie</w:t>
      </w:r>
    </w:p>
    <w:p w:rsidR="000716F3" w:rsidRPr="000716F3" w:rsidRDefault="000716F3" w:rsidP="000716F3">
      <w:pPr>
        <w:spacing w:after="0" w:line="240" w:lineRule="auto"/>
        <w:ind w:right="72" w:firstLine="284"/>
        <w:jc w:val="both"/>
        <w:rPr>
          <w:rFonts w:ascii="Times New Roman" w:hAnsi="Times New Roman"/>
          <w:b/>
          <w:sz w:val="24"/>
        </w:rPr>
      </w:pPr>
    </w:p>
    <w:p w:rsidR="000716F3" w:rsidRPr="000716F3" w:rsidRDefault="000716F3" w:rsidP="000716F3">
      <w:pPr>
        <w:spacing w:after="0" w:line="240" w:lineRule="auto"/>
        <w:ind w:right="72" w:firstLine="284"/>
        <w:jc w:val="both"/>
        <w:rPr>
          <w:rFonts w:ascii="Times New Roman" w:hAnsi="Times New Roman"/>
          <w:b/>
          <w:sz w:val="24"/>
        </w:rPr>
      </w:pPr>
    </w:p>
    <w:p w:rsidR="000716F3" w:rsidRPr="000716F3" w:rsidRDefault="000716F3" w:rsidP="000716F3">
      <w:pPr>
        <w:numPr>
          <w:ilvl w:val="0"/>
          <w:numId w:val="4"/>
        </w:numPr>
        <w:spacing w:after="0" w:line="240" w:lineRule="auto"/>
        <w:ind w:right="72"/>
        <w:jc w:val="both"/>
        <w:rPr>
          <w:rFonts w:ascii="Times New Roman" w:hAnsi="Times New Roman"/>
          <w:b/>
          <w:sz w:val="24"/>
        </w:rPr>
      </w:pPr>
      <w:r w:rsidRPr="000716F3">
        <w:rPr>
          <w:rFonts w:ascii="Times New Roman" w:hAnsi="Times New Roman"/>
          <w:b/>
          <w:sz w:val="24"/>
        </w:rPr>
        <w:t xml:space="preserve">Navrhovateľ zákona: </w:t>
      </w:r>
      <w:r w:rsidRPr="000716F3">
        <w:rPr>
          <w:rFonts w:ascii="Times New Roman" w:hAnsi="Times New Roman"/>
          <w:sz w:val="24"/>
        </w:rPr>
        <w:t>Ministerstvo dopravy a výstavby Slovenskej republiky</w:t>
      </w:r>
    </w:p>
    <w:p w:rsidR="000716F3" w:rsidRPr="000716F3" w:rsidRDefault="000716F3" w:rsidP="000716F3">
      <w:pPr>
        <w:spacing w:after="0" w:line="240" w:lineRule="auto"/>
        <w:ind w:left="644" w:right="72"/>
        <w:jc w:val="both"/>
        <w:rPr>
          <w:rFonts w:ascii="Times New Roman" w:hAnsi="Times New Roman"/>
          <w:b/>
          <w:sz w:val="24"/>
        </w:rPr>
      </w:pPr>
    </w:p>
    <w:p w:rsidR="000716F3" w:rsidRPr="000716F3" w:rsidRDefault="000716F3" w:rsidP="000716F3">
      <w:pPr>
        <w:numPr>
          <w:ilvl w:val="0"/>
          <w:numId w:val="4"/>
        </w:numPr>
        <w:spacing w:after="0" w:line="240" w:lineRule="auto"/>
        <w:ind w:right="72"/>
        <w:jc w:val="both"/>
        <w:rPr>
          <w:rFonts w:ascii="Times New Roman" w:hAnsi="Times New Roman"/>
          <w:b/>
          <w:sz w:val="24"/>
        </w:rPr>
      </w:pPr>
      <w:r w:rsidRPr="000716F3">
        <w:rPr>
          <w:rFonts w:ascii="Times New Roman" w:hAnsi="Times New Roman"/>
          <w:b/>
          <w:sz w:val="24"/>
        </w:rPr>
        <w:t xml:space="preserve">Názov návrhu zákona: </w:t>
      </w:r>
      <w:r w:rsidRPr="000716F3">
        <w:rPr>
          <w:rFonts w:ascii="Times New Roman" w:hAnsi="Times New Roman"/>
          <w:sz w:val="24"/>
        </w:rPr>
        <w:t>Zákon o poskytovaní dotácií na podporu rozvoja cyklistickej dopravy a cykloturistiky</w:t>
      </w:r>
    </w:p>
    <w:p w:rsidR="000716F3" w:rsidRPr="000716F3" w:rsidRDefault="000716F3" w:rsidP="000716F3">
      <w:pPr>
        <w:spacing w:after="0" w:line="240" w:lineRule="auto"/>
        <w:ind w:right="72"/>
        <w:jc w:val="both"/>
        <w:rPr>
          <w:rFonts w:ascii="Times New Roman" w:hAnsi="Times New Roman"/>
          <w:b/>
          <w:sz w:val="24"/>
        </w:rPr>
      </w:pPr>
    </w:p>
    <w:p w:rsidR="000716F3" w:rsidRPr="000716F3" w:rsidRDefault="000716F3" w:rsidP="000716F3">
      <w:pPr>
        <w:numPr>
          <w:ilvl w:val="0"/>
          <w:numId w:val="4"/>
        </w:numPr>
        <w:spacing w:after="0" w:line="240" w:lineRule="auto"/>
        <w:ind w:right="72"/>
        <w:jc w:val="both"/>
        <w:rPr>
          <w:rFonts w:ascii="Times New Roman" w:hAnsi="Times New Roman"/>
          <w:b/>
          <w:sz w:val="24"/>
        </w:rPr>
      </w:pPr>
      <w:r w:rsidRPr="000716F3">
        <w:rPr>
          <w:rFonts w:ascii="Times New Roman" w:hAnsi="Times New Roman"/>
          <w:b/>
          <w:color w:val="000000"/>
          <w:sz w:val="24"/>
          <w:szCs w:val="24"/>
        </w:rPr>
        <w:t xml:space="preserve"> </w:t>
      </w:r>
      <w:r w:rsidRPr="000716F3">
        <w:rPr>
          <w:rFonts w:ascii="Times New Roman" w:hAnsi="Times New Roman"/>
          <w:b/>
          <w:sz w:val="24"/>
        </w:rPr>
        <w:t>Predmet návrhu zákona je upravený v práve Európskej únie.</w:t>
      </w:r>
    </w:p>
    <w:p w:rsidR="000716F3" w:rsidRPr="000716F3" w:rsidRDefault="000716F3" w:rsidP="000716F3">
      <w:pPr>
        <w:spacing w:after="0" w:line="240" w:lineRule="auto"/>
        <w:ind w:left="720" w:firstLine="284"/>
        <w:contextualSpacing/>
        <w:rPr>
          <w:rFonts w:ascii="Times New Roman" w:hAnsi="Times New Roman"/>
          <w:b/>
          <w:sz w:val="24"/>
        </w:rPr>
      </w:pPr>
    </w:p>
    <w:p w:rsidR="000716F3" w:rsidRPr="000716F3" w:rsidRDefault="000716F3" w:rsidP="000716F3">
      <w:pPr>
        <w:widowControl w:val="0"/>
        <w:autoSpaceDE w:val="0"/>
        <w:autoSpaceDN w:val="0"/>
        <w:adjustRightInd w:val="0"/>
        <w:spacing w:after="0" w:line="240" w:lineRule="auto"/>
        <w:ind w:firstLine="360"/>
        <w:rPr>
          <w:rFonts w:ascii="Times New Roman" w:hAnsi="Times New Roman"/>
          <w:sz w:val="24"/>
          <w:szCs w:val="24"/>
          <w:lang w:eastAsia="sk-SK"/>
        </w:rPr>
      </w:pPr>
    </w:p>
    <w:p w:rsidR="000716F3" w:rsidRPr="000716F3" w:rsidRDefault="000716F3" w:rsidP="000716F3">
      <w:pPr>
        <w:widowControl w:val="0"/>
        <w:autoSpaceDE w:val="0"/>
        <w:autoSpaceDN w:val="0"/>
        <w:adjustRightInd w:val="0"/>
        <w:spacing w:after="0" w:line="240" w:lineRule="auto"/>
        <w:ind w:left="709" w:hanging="349"/>
        <w:rPr>
          <w:rFonts w:ascii="Times New Roman" w:hAnsi="Times New Roman"/>
          <w:sz w:val="24"/>
          <w:szCs w:val="24"/>
          <w:lang w:eastAsia="sk-SK"/>
        </w:rPr>
      </w:pPr>
      <w:r w:rsidRPr="000716F3">
        <w:rPr>
          <w:rFonts w:ascii="Times New Roman" w:hAnsi="Times New Roman"/>
          <w:sz w:val="24"/>
          <w:szCs w:val="24"/>
          <w:lang w:eastAsia="sk-SK"/>
        </w:rPr>
        <w:t>a)</w:t>
      </w:r>
      <w:r w:rsidRPr="000716F3">
        <w:rPr>
          <w:rFonts w:ascii="Times New Roman" w:hAnsi="Times New Roman"/>
          <w:sz w:val="24"/>
          <w:szCs w:val="24"/>
          <w:lang w:eastAsia="sk-SK"/>
        </w:rPr>
        <w:tab/>
        <w:t>je upravená v práve Európskej únie</w:t>
      </w:r>
    </w:p>
    <w:p w:rsidR="000716F3" w:rsidRPr="000716F3" w:rsidRDefault="000716F3" w:rsidP="000716F3">
      <w:pPr>
        <w:widowControl w:val="0"/>
        <w:autoSpaceDE w:val="0"/>
        <w:autoSpaceDN w:val="0"/>
        <w:adjustRightInd w:val="0"/>
        <w:spacing w:after="0" w:line="240" w:lineRule="auto"/>
        <w:ind w:left="360"/>
        <w:rPr>
          <w:rFonts w:ascii="Times New Roman" w:hAnsi="Times New Roman"/>
          <w:sz w:val="24"/>
          <w:szCs w:val="24"/>
          <w:lang w:eastAsia="sk-SK"/>
        </w:rPr>
      </w:pPr>
    </w:p>
    <w:p w:rsidR="000716F3" w:rsidRPr="000716F3" w:rsidRDefault="000716F3" w:rsidP="000716F3">
      <w:pPr>
        <w:widowControl w:val="0"/>
        <w:tabs>
          <w:tab w:val="left" w:pos="1068"/>
        </w:tabs>
        <w:autoSpaceDE w:val="0"/>
        <w:autoSpaceDN w:val="0"/>
        <w:adjustRightInd w:val="0"/>
        <w:spacing w:after="0" w:line="240" w:lineRule="auto"/>
        <w:ind w:left="879" w:hanging="171"/>
        <w:rPr>
          <w:rFonts w:ascii="Times New Roman" w:hAnsi="Times New Roman"/>
          <w:i/>
          <w:iCs/>
          <w:sz w:val="24"/>
          <w:szCs w:val="24"/>
          <w:lang w:eastAsia="sk-SK"/>
        </w:rPr>
      </w:pPr>
      <w:r w:rsidRPr="000716F3">
        <w:rPr>
          <w:rFonts w:ascii="Times New Roman" w:hAnsi="Times New Roman"/>
          <w:sz w:val="24"/>
          <w:szCs w:val="24"/>
          <w:lang w:eastAsia="sk-SK"/>
        </w:rPr>
        <w:t>-</w:t>
      </w:r>
      <w:r w:rsidRPr="000716F3">
        <w:rPr>
          <w:rFonts w:ascii="Times New Roman" w:hAnsi="Times New Roman"/>
          <w:sz w:val="24"/>
          <w:szCs w:val="24"/>
          <w:lang w:eastAsia="sk-SK"/>
        </w:rPr>
        <w:tab/>
      </w:r>
      <w:r w:rsidRPr="000716F3">
        <w:rPr>
          <w:rFonts w:ascii="Times New Roman" w:hAnsi="Times New Roman"/>
          <w:i/>
          <w:iCs/>
          <w:sz w:val="24"/>
          <w:szCs w:val="24"/>
          <w:lang w:eastAsia="sk-SK"/>
        </w:rPr>
        <w:t>primárnom</w:t>
      </w:r>
    </w:p>
    <w:p w:rsidR="000716F3" w:rsidRPr="000716F3" w:rsidRDefault="000716F3" w:rsidP="000716F3">
      <w:pPr>
        <w:widowControl w:val="0"/>
        <w:autoSpaceDE w:val="0"/>
        <w:autoSpaceDN w:val="0"/>
        <w:adjustRightInd w:val="0"/>
        <w:spacing w:after="0" w:line="240" w:lineRule="auto"/>
        <w:ind w:left="851"/>
        <w:rPr>
          <w:rFonts w:ascii="Times New Roman" w:hAnsi="Times New Roman"/>
          <w:sz w:val="24"/>
          <w:szCs w:val="24"/>
          <w:lang w:eastAsia="sk-SK"/>
        </w:rPr>
      </w:pPr>
    </w:p>
    <w:p w:rsidR="000716F3" w:rsidRPr="000716F3" w:rsidRDefault="000716F3" w:rsidP="000716F3">
      <w:pPr>
        <w:widowControl w:val="0"/>
        <w:autoSpaceDE w:val="0"/>
        <w:autoSpaceDN w:val="0"/>
        <w:adjustRightInd w:val="0"/>
        <w:spacing w:after="0" w:line="240" w:lineRule="auto"/>
        <w:ind w:left="851"/>
        <w:rPr>
          <w:rFonts w:ascii="Times New Roman" w:hAnsi="Times New Roman"/>
          <w:sz w:val="24"/>
          <w:szCs w:val="24"/>
          <w:lang w:eastAsia="sk-SK"/>
        </w:rPr>
      </w:pPr>
      <w:r w:rsidRPr="000716F3">
        <w:rPr>
          <w:rFonts w:ascii="Times New Roman" w:hAnsi="Times New Roman"/>
          <w:sz w:val="24"/>
          <w:szCs w:val="24"/>
          <w:lang w:eastAsia="sk-SK"/>
        </w:rPr>
        <w:t xml:space="preserve">- Zmluva o fungovaní Európskej únie (čl. 107 a 108) </w:t>
      </w:r>
    </w:p>
    <w:p w:rsidR="000716F3" w:rsidRPr="000716F3" w:rsidRDefault="000716F3" w:rsidP="000716F3">
      <w:pPr>
        <w:widowControl w:val="0"/>
        <w:autoSpaceDE w:val="0"/>
        <w:autoSpaceDN w:val="0"/>
        <w:adjustRightInd w:val="0"/>
        <w:spacing w:after="0" w:line="240" w:lineRule="auto"/>
        <w:ind w:left="851"/>
        <w:rPr>
          <w:rFonts w:ascii="Times New Roman" w:hAnsi="Times New Roman"/>
          <w:sz w:val="24"/>
          <w:szCs w:val="24"/>
          <w:lang w:eastAsia="sk-SK"/>
        </w:rPr>
      </w:pPr>
    </w:p>
    <w:p w:rsidR="000716F3" w:rsidRPr="000716F3" w:rsidRDefault="000716F3" w:rsidP="000716F3">
      <w:pPr>
        <w:widowControl w:val="0"/>
        <w:autoSpaceDE w:val="0"/>
        <w:autoSpaceDN w:val="0"/>
        <w:adjustRightInd w:val="0"/>
        <w:spacing w:after="0" w:line="240" w:lineRule="auto"/>
        <w:ind w:left="851"/>
        <w:rPr>
          <w:rFonts w:ascii="Times New Roman" w:hAnsi="Times New Roman"/>
          <w:sz w:val="24"/>
          <w:szCs w:val="24"/>
          <w:lang w:eastAsia="sk-SK"/>
        </w:rPr>
      </w:pPr>
      <w:r w:rsidRPr="000716F3">
        <w:rPr>
          <w:rFonts w:ascii="Times New Roman" w:hAnsi="Times New Roman"/>
          <w:sz w:val="24"/>
          <w:szCs w:val="24"/>
          <w:lang w:eastAsia="sk-SK"/>
        </w:rPr>
        <w:t> </w:t>
      </w:r>
    </w:p>
    <w:p w:rsidR="000716F3" w:rsidRPr="000716F3" w:rsidRDefault="000716F3" w:rsidP="000716F3">
      <w:pPr>
        <w:spacing w:after="0" w:line="240" w:lineRule="auto"/>
        <w:contextualSpacing/>
        <w:rPr>
          <w:rFonts w:ascii="Times New Roman" w:hAnsi="Times New Roman"/>
          <w:sz w:val="24"/>
        </w:rPr>
      </w:pPr>
    </w:p>
    <w:p w:rsidR="000716F3" w:rsidRPr="000716F3" w:rsidRDefault="000716F3" w:rsidP="000716F3">
      <w:pPr>
        <w:spacing w:after="0" w:line="240" w:lineRule="auto"/>
        <w:ind w:left="1004" w:right="72"/>
        <w:jc w:val="both"/>
        <w:rPr>
          <w:rFonts w:ascii="Times New Roman" w:hAnsi="Times New Roman"/>
          <w:sz w:val="24"/>
        </w:rPr>
      </w:pPr>
    </w:p>
    <w:p w:rsidR="000716F3" w:rsidRPr="000716F3" w:rsidRDefault="000716F3" w:rsidP="000716F3">
      <w:pPr>
        <w:widowControl w:val="0"/>
        <w:tabs>
          <w:tab w:val="left" w:pos="360"/>
        </w:tabs>
        <w:autoSpaceDE w:val="0"/>
        <w:autoSpaceDN w:val="0"/>
        <w:adjustRightInd w:val="0"/>
        <w:spacing w:after="0" w:line="240" w:lineRule="auto"/>
        <w:jc w:val="both"/>
        <w:rPr>
          <w:rFonts w:ascii="Times New Roman" w:hAnsi="Times New Roman"/>
          <w:sz w:val="24"/>
          <w:szCs w:val="24"/>
          <w:lang w:eastAsia="sk-SK"/>
        </w:rPr>
      </w:pPr>
      <w:r w:rsidRPr="000716F3">
        <w:rPr>
          <w:rFonts w:ascii="Times" w:hAnsi="Times" w:cs="Times"/>
          <w:b/>
          <w:bCs/>
          <w:sz w:val="25"/>
          <w:szCs w:val="25"/>
          <w:lang w:eastAsia="sk-SK"/>
        </w:rPr>
        <w:t>Vzhľadom na vnútroštátny charakter navrhovaného právneho predpisu je bezpredmetné vyjadrovať sa k bodom 4. a 5. doložky zlučiteľnosti.</w:t>
      </w:r>
    </w:p>
    <w:p w:rsidR="000716F3" w:rsidRPr="000716F3" w:rsidRDefault="000716F3" w:rsidP="000716F3">
      <w:pPr>
        <w:spacing w:after="0" w:line="240" w:lineRule="auto"/>
        <w:ind w:right="72"/>
        <w:jc w:val="both"/>
        <w:rPr>
          <w:rFonts w:ascii="Times New Roman" w:hAnsi="Times New Roman"/>
          <w:sz w:val="24"/>
        </w:rPr>
      </w:pPr>
    </w:p>
    <w:p w:rsidR="000716F3" w:rsidRPr="000716F3" w:rsidRDefault="000716F3" w:rsidP="000716F3">
      <w:pPr>
        <w:spacing w:after="0" w:line="240" w:lineRule="auto"/>
        <w:ind w:firstLine="284"/>
        <w:rPr>
          <w:rFonts w:ascii="Times New Roman" w:hAnsi="Times New Roman"/>
          <w:sz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0716F3" w:rsidRDefault="000716F3" w:rsidP="00027BAA">
      <w:pPr>
        <w:spacing w:after="0" w:line="240" w:lineRule="auto"/>
        <w:jc w:val="both"/>
        <w:rPr>
          <w:rFonts w:ascii="Times New Roman" w:hAnsi="Times New Roman"/>
          <w:b/>
          <w:sz w:val="24"/>
          <w:szCs w:val="24"/>
        </w:rPr>
      </w:pPr>
    </w:p>
    <w:p w:rsidR="00A45A21" w:rsidRDefault="00A45A21" w:rsidP="00027BAA">
      <w:pPr>
        <w:spacing w:after="0" w:line="240" w:lineRule="auto"/>
        <w:jc w:val="both"/>
        <w:rPr>
          <w:rFonts w:ascii="Times New Roman" w:hAnsi="Times New Roman"/>
          <w:b/>
          <w:sz w:val="24"/>
          <w:szCs w:val="24"/>
        </w:rPr>
      </w:pPr>
      <w:r w:rsidRPr="00D23727">
        <w:rPr>
          <w:rFonts w:ascii="Times New Roman" w:hAnsi="Times New Roman"/>
          <w:b/>
          <w:sz w:val="24"/>
          <w:szCs w:val="24"/>
        </w:rPr>
        <w:lastRenderedPageBreak/>
        <w:t>B. Osobitná časť</w:t>
      </w:r>
    </w:p>
    <w:p w:rsidR="00840B75" w:rsidRPr="00D23727" w:rsidRDefault="00840B75" w:rsidP="00027BAA">
      <w:pPr>
        <w:spacing w:after="0" w:line="240" w:lineRule="auto"/>
        <w:jc w:val="both"/>
        <w:rPr>
          <w:rFonts w:ascii="Times New Roman" w:hAnsi="Times New Roman"/>
          <w:b/>
          <w:sz w:val="24"/>
          <w:szCs w:val="24"/>
        </w:rPr>
      </w:pPr>
    </w:p>
    <w:p w:rsidR="0041502E" w:rsidRPr="00D23727" w:rsidRDefault="0041502E" w:rsidP="00027BAA">
      <w:pPr>
        <w:spacing w:after="0" w:line="240" w:lineRule="auto"/>
        <w:jc w:val="both"/>
        <w:rPr>
          <w:rFonts w:ascii="Times New Roman" w:hAnsi="Times New Roman"/>
          <w:b/>
          <w:sz w:val="24"/>
          <w:szCs w:val="24"/>
        </w:rPr>
      </w:pPr>
      <w:r w:rsidRPr="00D23727">
        <w:rPr>
          <w:rFonts w:ascii="Times New Roman" w:hAnsi="Times New Roman"/>
          <w:b/>
          <w:sz w:val="24"/>
          <w:szCs w:val="24"/>
        </w:rPr>
        <w:t>K § 1</w:t>
      </w:r>
    </w:p>
    <w:p w:rsidR="001008C4" w:rsidRPr="00D23727" w:rsidRDefault="001008C4" w:rsidP="00027BAA">
      <w:pPr>
        <w:spacing w:after="0" w:line="240" w:lineRule="auto"/>
        <w:jc w:val="both"/>
        <w:rPr>
          <w:rFonts w:ascii="Times New Roman" w:hAnsi="Times New Roman"/>
          <w:sz w:val="24"/>
          <w:szCs w:val="24"/>
        </w:rPr>
      </w:pPr>
      <w:r w:rsidRPr="00D23727">
        <w:rPr>
          <w:rFonts w:ascii="Times New Roman" w:hAnsi="Times New Roman"/>
          <w:sz w:val="24"/>
          <w:szCs w:val="24"/>
        </w:rPr>
        <w:t xml:space="preserve">Vymedzuje sa predmet úpravy zákona, na základe ktorého bude možné poskytovať </w:t>
      </w:r>
      <w:r w:rsidR="003F48F8" w:rsidRPr="00D23727">
        <w:rPr>
          <w:rFonts w:ascii="Times New Roman" w:hAnsi="Times New Roman"/>
          <w:sz w:val="24"/>
          <w:szCs w:val="24"/>
        </w:rPr>
        <w:t xml:space="preserve">finančné prostriedky </w:t>
      </w:r>
      <w:r w:rsidRPr="00D23727">
        <w:rPr>
          <w:rFonts w:ascii="Times New Roman" w:hAnsi="Times New Roman"/>
          <w:sz w:val="24"/>
          <w:szCs w:val="24"/>
        </w:rPr>
        <w:t xml:space="preserve">z rozpočtu </w:t>
      </w:r>
      <w:r w:rsidR="007D5196" w:rsidRPr="00D23727">
        <w:rPr>
          <w:rFonts w:ascii="Times New Roman" w:hAnsi="Times New Roman"/>
          <w:sz w:val="24"/>
          <w:szCs w:val="24"/>
        </w:rPr>
        <w:t>ministerstva</w:t>
      </w:r>
      <w:r w:rsidRPr="00D23727">
        <w:rPr>
          <w:rFonts w:ascii="Times New Roman" w:hAnsi="Times New Roman"/>
          <w:sz w:val="24"/>
          <w:szCs w:val="24"/>
        </w:rPr>
        <w:t>.</w:t>
      </w:r>
    </w:p>
    <w:p w:rsidR="00F92225" w:rsidRPr="00D23727" w:rsidRDefault="00F92225" w:rsidP="00027BAA">
      <w:pPr>
        <w:spacing w:after="0" w:line="240" w:lineRule="auto"/>
        <w:jc w:val="both"/>
        <w:rPr>
          <w:rFonts w:ascii="Times New Roman" w:hAnsi="Times New Roman"/>
          <w:sz w:val="24"/>
          <w:szCs w:val="24"/>
        </w:rPr>
      </w:pPr>
    </w:p>
    <w:p w:rsidR="001008C4" w:rsidRPr="00D23727" w:rsidRDefault="0041502E" w:rsidP="00027BAA">
      <w:pPr>
        <w:spacing w:after="0" w:line="240" w:lineRule="auto"/>
        <w:jc w:val="both"/>
        <w:rPr>
          <w:rFonts w:ascii="Times New Roman" w:hAnsi="Times New Roman"/>
          <w:b/>
          <w:sz w:val="24"/>
          <w:szCs w:val="24"/>
        </w:rPr>
      </w:pPr>
      <w:r w:rsidRPr="00D23727">
        <w:rPr>
          <w:rFonts w:ascii="Times New Roman" w:hAnsi="Times New Roman"/>
          <w:b/>
          <w:sz w:val="24"/>
          <w:szCs w:val="24"/>
        </w:rPr>
        <w:t>K § 2</w:t>
      </w:r>
    </w:p>
    <w:p w:rsidR="00BD53F1" w:rsidRDefault="00E0015A" w:rsidP="00E0015A">
      <w:pPr>
        <w:spacing w:after="0" w:line="240" w:lineRule="auto"/>
        <w:jc w:val="both"/>
        <w:rPr>
          <w:rFonts w:ascii="Times New Roman" w:hAnsi="Times New Roman"/>
          <w:sz w:val="24"/>
          <w:szCs w:val="24"/>
        </w:rPr>
      </w:pPr>
      <w:r w:rsidRPr="00E0015A">
        <w:rPr>
          <w:rFonts w:ascii="Times New Roman" w:hAnsi="Times New Roman"/>
          <w:sz w:val="24"/>
          <w:szCs w:val="24"/>
        </w:rPr>
        <w:t>Na účely navrhovaného zákona sa vymedzujú základné pojmy, ktoré sa používajú v nasledujúcich ustanoveniach zákona.</w:t>
      </w:r>
    </w:p>
    <w:p w:rsidR="00E0015A" w:rsidRDefault="00E0015A" w:rsidP="00E0015A">
      <w:pPr>
        <w:spacing w:after="0" w:line="240" w:lineRule="auto"/>
        <w:jc w:val="both"/>
        <w:rPr>
          <w:rFonts w:ascii="Times New Roman" w:hAnsi="Times New Roman"/>
          <w:sz w:val="24"/>
          <w:szCs w:val="24"/>
        </w:rPr>
      </w:pPr>
    </w:p>
    <w:p w:rsidR="00E0015A" w:rsidRPr="00E0015A" w:rsidRDefault="00E0015A" w:rsidP="00E0015A">
      <w:pPr>
        <w:spacing w:after="0" w:line="240" w:lineRule="auto"/>
        <w:jc w:val="both"/>
        <w:rPr>
          <w:rFonts w:ascii="Times New Roman" w:hAnsi="Times New Roman"/>
          <w:b/>
          <w:sz w:val="24"/>
          <w:szCs w:val="24"/>
        </w:rPr>
      </w:pPr>
      <w:r w:rsidRPr="00E0015A">
        <w:rPr>
          <w:rFonts w:ascii="Times New Roman" w:hAnsi="Times New Roman"/>
          <w:b/>
          <w:sz w:val="24"/>
          <w:szCs w:val="24"/>
        </w:rPr>
        <w:t>K § 3</w:t>
      </w:r>
    </w:p>
    <w:p w:rsidR="00F92225" w:rsidRPr="00D23727" w:rsidRDefault="004B582F" w:rsidP="00A16253">
      <w:pPr>
        <w:spacing w:after="0" w:line="240" w:lineRule="auto"/>
        <w:jc w:val="both"/>
        <w:rPr>
          <w:rFonts w:ascii="Times New Roman" w:hAnsi="Times New Roman"/>
          <w:sz w:val="24"/>
          <w:szCs w:val="24"/>
        </w:rPr>
      </w:pPr>
      <w:r w:rsidRPr="00D23727">
        <w:rPr>
          <w:rFonts w:ascii="Times New Roman" w:hAnsi="Times New Roman"/>
          <w:sz w:val="24"/>
          <w:szCs w:val="24"/>
        </w:rPr>
        <w:t>Ustanovenie vymedzuje účel</w:t>
      </w:r>
      <w:r w:rsidR="003F48F8" w:rsidRPr="00D23727">
        <w:rPr>
          <w:rFonts w:ascii="Times New Roman" w:hAnsi="Times New Roman"/>
          <w:sz w:val="24"/>
          <w:szCs w:val="24"/>
        </w:rPr>
        <w:t xml:space="preserve"> poskytovania dotácií, ktorým je podpora rozvoja cyklistickej dopravy</w:t>
      </w:r>
      <w:r w:rsidR="00E70FAA">
        <w:rPr>
          <w:rFonts w:ascii="Times New Roman" w:hAnsi="Times New Roman"/>
          <w:sz w:val="24"/>
          <w:szCs w:val="24"/>
        </w:rPr>
        <w:t xml:space="preserve"> a cykloturistiky</w:t>
      </w:r>
      <w:r w:rsidR="003F48F8" w:rsidRPr="00D23727">
        <w:rPr>
          <w:rFonts w:ascii="Times New Roman" w:hAnsi="Times New Roman"/>
          <w:sz w:val="24"/>
          <w:szCs w:val="24"/>
        </w:rPr>
        <w:t xml:space="preserve">. </w:t>
      </w:r>
      <w:r w:rsidR="00A16253" w:rsidRPr="00D23727">
        <w:rPr>
          <w:rFonts w:ascii="Times New Roman" w:hAnsi="Times New Roman"/>
          <w:sz w:val="24"/>
          <w:szCs w:val="24"/>
        </w:rPr>
        <w:t>Dotáciu bude možné poskytnúť</w:t>
      </w:r>
      <w:r w:rsidR="003F48F8" w:rsidRPr="00D23727">
        <w:rPr>
          <w:rFonts w:ascii="Times New Roman" w:hAnsi="Times New Roman"/>
          <w:sz w:val="24"/>
          <w:szCs w:val="24"/>
        </w:rPr>
        <w:t xml:space="preserve"> </w:t>
      </w:r>
      <w:r w:rsidR="009A10CE" w:rsidRPr="00D23727">
        <w:rPr>
          <w:rFonts w:ascii="Times New Roman" w:hAnsi="Times New Roman"/>
          <w:sz w:val="24"/>
          <w:szCs w:val="24"/>
        </w:rPr>
        <w:t xml:space="preserve">na </w:t>
      </w:r>
      <w:r w:rsidR="00E0015A" w:rsidRPr="00E0015A">
        <w:rPr>
          <w:rFonts w:ascii="Times New Roman" w:hAnsi="Times New Roman"/>
          <w:sz w:val="24"/>
          <w:szCs w:val="24"/>
        </w:rPr>
        <w:t>vypracovanie projektovej dokumentácie na výstavb</w:t>
      </w:r>
      <w:r w:rsidR="000C61C0">
        <w:rPr>
          <w:rFonts w:ascii="Times New Roman" w:hAnsi="Times New Roman"/>
          <w:sz w:val="24"/>
          <w:szCs w:val="24"/>
        </w:rPr>
        <w:t>u alebo rekonštrukciu</w:t>
      </w:r>
      <w:r w:rsidR="00E0015A" w:rsidRPr="00E0015A">
        <w:rPr>
          <w:rFonts w:ascii="Times New Roman" w:hAnsi="Times New Roman"/>
          <w:sz w:val="24"/>
          <w:szCs w:val="24"/>
        </w:rPr>
        <w:t xml:space="preserve"> cyklistickej komunikácie, vypracovanie projektovej dokumentácie na dopravné značeni</w:t>
      </w:r>
      <w:r w:rsidR="000C61C0">
        <w:rPr>
          <w:rFonts w:ascii="Times New Roman" w:hAnsi="Times New Roman"/>
          <w:sz w:val="24"/>
          <w:szCs w:val="24"/>
        </w:rPr>
        <w:t>e</w:t>
      </w:r>
      <w:r w:rsidR="00E0015A" w:rsidRPr="00E0015A">
        <w:rPr>
          <w:rFonts w:ascii="Times New Roman" w:hAnsi="Times New Roman"/>
          <w:sz w:val="24"/>
          <w:szCs w:val="24"/>
        </w:rPr>
        <w:t xml:space="preserve"> cyk</w:t>
      </w:r>
      <w:r w:rsidR="000C61C0">
        <w:rPr>
          <w:rFonts w:ascii="Times New Roman" w:hAnsi="Times New Roman"/>
          <w:sz w:val="24"/>
          <w:szCs w:val="24"/>
        </w:rPr>
        <w:t>listickej komunikácie, výstavbu</w:t>
      </w:r>
      <w:r w:rsidR="00E0015A" w:rsidRPr="00E0015A">
        <w:rPr>
          <w:rFonts w:ascii="Times New Roman" w:hAnsi="Times New Roman"/>
          <w:sz w:val="24"/>
          <w:szCs w:val="24"/>
        </w:rPr>
        <w:t xml:space="preserve"> </w:t>
      </w:r>
      <w:r w:rsidR="000C61C0" w:rsidRPr="00E0015A">
        <w:rPr>
          <w:rFonts w:ascii="Times New Roman" w:hAnsi="Times New Roman"/>
          <w:sz w:val="24"/>
          <w:szCs w:val="24"/>
        </w:rPr>
        <w:t xml:space="preserve">alebo </w:t>
      </w:r>
      <w:r w:rsidR="00E0015A" w:rsidRPr="00E0015A">
        <w:rPr>
          <w:rFonts w:ascii="Times New Roman" w:hAnsi="Times New Roman"/>
          <w:sz w:val="24"/>
          <w:szCs w:val="24"/>
        </w:rPr>
        <w:t>rekonštrukciu cyklistickej infraštruktúry, osveto</w:t>
      </w:r>
      <w:r w:rsidR="00E0015A">
        <w:rPr>
          <w:rFonts w:ascii="Times New Roman" w:hAnsi="Times New Roman"/>
          <w:sz w:val="24"/>
          <w:szCs w:val="24"/>
        </w:rPr>
        <w:t>vé kampane a propagačné kampane, ktorých cieľom je podpora cyklistickej dopravy a cykloturistiky</w:t>
      </w:r>
      <w:r w:rsidR="009A10CE" w:rsidRPr="00D23727">
        <w:rPr>
          <w:rFonts w:ascii="Times New Roman" w:hAnsi="Times New Roman"/>
          <w:sz w:val="24"/>
          <w:szCs w:val="24"/>
        </w:rPr>
        <w:t>.</w:t>
      </w:r>
    </w:p>
    <w:p w:rsidR="003F48F8" w:rsidRPr="00D23727" w:rsidRDefault="003F48F8" w:rsidP="001008C4">
      <w:pPr>
        <w:spacing w:after="0" w:line="240" w:lineRule="auto"/>
        <w:jc w:val="both"/>
        <w:rPr>
          <w:rFonts w:ascii="Times New Roman" w:hAnsi="Times New Roman"/>
          <w:sz w:val="24"/>
          <w:szCs w:val="24"/>
        </w:rPr>
      </w:pPr>
    </w:p>
    <w:p w:rsidR="00B14599" w:rsidRPr="00D23727" w:rsidRDefault="003B7262" w:rsidP="00027BAA">
      <w:pPr>
        <w:spacing w:after="0" w:line="240" w:lineRule="auto"/>
        <w:jc w:val="both"/>
        <w:rPr>
          <w:rFonts w:ascii="Times New Roman" w:hAnsi="Times New Roman"/>
          <w:b/>
          <w:sz w:val="24"/>
          <w:szCs w:val="24"/>
        </w:rPr>
      </w:pPr>
      <w:r>
        <w:rPr>
          <w:rFonts w:ascii="Times New Roman" w:hAnsi="Times New Roman"/>
          <w:b/>
          <w:sz w:val="24"/>
          <w:szCs w:val="24"/>
        </w:rPr>
        <w:t>K § 4</w:t>
      </w:r>
    </w:p>
    <w:p w:rsidR="00B14599" w:rsidRPr="00D23727" w:rsidRDefault="00185BAC" w:rsidP="00B14599">
      <w:pPr>
        <w:spacing w:after="0" w:line="240" w:lineRule="auto"/>
        <w:jc w:val="both"/>
        <w:rPr>
          <w:rFonts w:ascii="Times New Roman" w:hAnsi="Times New Roman"/>
          <w:sz w:val="24"/>
          <w:szCs w:val="24"/>
        </w:rPr>
      </w:pPr>
      <w:r w:rsidRPr="00D23727">
        <w:rPr>
          <w:rFonts w:ascii="Times New Roman" w:hAnsi="Times New Roman"/>
          <w:sz w:val="24"/>
          <w:szCs w:val="24"/>
        </w:rPr>
        <w:t>V odseku 1 sa určuje okruh subjektov</w:t>
      </w:r>
      <w:r w:rsidR="00B14599" w:rsidRPr="00D23727">
        <w:rPr>
          <w:rFonts w:ascii="Times New Roman" w:hAnsi="Times New Roman"/>
          <w:sz w:val="24"/>
          <w:szCs w:val="24"/>
        </w:rPr>
        <w:t>, ktoré môžu byť žiadateľom o poskytnutie dotácie.</w:t>
      </w:r>
    </w:p>
    <w:p w:rsidR="00B14599" w:rsidRPr="00D23727" w:rsidRDefault="00B14599" w:rsidP="00B14599">
      <w:pPr>
        <w:spacing w:after="0" w:line="240" w:lineRule="auto"/>
        <w:jc w:val="both"/>
        <w:rPr>
          <w:rFonts w:ascii="Times New Roman" w:hAnsi="Times New Roman"/>
          <w:sz w:val="24"/>
          <w:szCs w:val="24"/>
        </w:rPr>
      </w:pPr>
      <w:r w:rsidRPr="00D23727">
        <w:rPr>
          <w:rFonts w:ascii="Times New Roman" w:hAnsi="Times New Roman"/>
          <w:sz w:val="24"/>
          <w:szCs w:val="24"/>
        </w:rPr>
        <w:t xml:space="preserve">V odseku 2 sa upravujú podmienky, za ktorých možno poskytnúť dotáciu podľa tohto zákona pri splnení podmienok ustanovených zákonom č. 523/2004 Z. z. o rozpočtových pravidlách verejnej správy a o zmene a doplnení niektorých zákonov v znení neskorších predpisov. </w:t>
      </w:r>
    </w:p>
    <w:p w:rsidR="004E3C36" w:rsidRDefault="004E3C36" w:rsidP="004E3C36">
      <w:pPr>
        <w:spacing w:after="0" w:line="240" w:lineRule="auto"/>
        <w:jc w:val="both"/>
        <w:rPr>
          <w:rFonts w:ascii="Times New Roman" w:hAnsi="Times New Roman"/>
          <w:sz w:val="24"/>
          <w:szCs w:val="24"/>
        </w:rPr>
      </w:pPr>
      <w:r>
        <w:rPr>
          <w:rFonts w:ascii="Times New Roman" w:hAnsi="Times New Roman"/>
          <w:sz w:val="24"/>
          <w:szCs w:val="24"/>
        </w:rPr>
        <w:t>Odsek 3</w:t>
      </w:r>
      <w:r w:rsidR="00D66DB3" w:rsidRPr="00D23727">
        <w:rPr>
          <w:rFonts w:ascii="Times New Roman" w:hAnsi="Times New Roman"/>
          <w:sz w:val="24"/>
          <w:szCs w:val="24"/>
        </w:rPr>
        <w:t xml:space="preserve"> upravuje</w:t>
      </w:r>
      <w:r w:rsidR="00B14599" w:rsidRPr="00D23727">
        <w:rPr>
          <w:rFonts w:ascii="Times New Roman" w:hAnsi="Times New Roman"/>
          <w:sz w:val="24"/>
          <w:szCs w:val="24"/>
        </w:rPr>
        <w:t xml:space="preserve"> ďalšie podmienky poskytovania dotácií podľa tohto zákona.</w:t>
      </w:r>
      <w:r w:rsidRPr="004E3C36">
        <w:rPr>
          <w:rFonts w:ascii="Times New Roman" w:hAnsi="Times New Roman"/>
          <w:sz w:val="24"/>
          <w:szCs w:val="24"/>
        </w:rPr>
        <w:t xml:space="preserve"> </w:t>
      </w:r>
    </w:p>
    <w:p w:rsidR="004E3C36" w:rsidRPr="00D23727" w:rsidRDefault="004E3C36" w:rsidP="004E3C36">
      <w:pPr>
        <w:spacing w:after="0" w:line="240" w:lineRule="auto"/>
        <w:jc w:val="both"/>
        <w:rPr>
          <w:rFonts w:ascii="Times New Roman" w:hAnsi="Times New Roman"/>
          <w:sz w:val="24"/>
          <w:szCs w:val="24"/>
        </w:rPr>
      </w:pPr>
      <w:r>
        <w:rPr>
          <w:rFonts w:ascii="Times New Roman" w:hAnsi="Times New Roman"/>
          <w:sz w:val="24"/>
          <w:szCs w:val="24"/>
        </w:rPr>
        <w:t>V odseku 4</w:t>
      </w:r>
      <w:r w:rsidRPr="00D23727">
        <w:rPr>
          <w:rFonts w:ascii="Times New Roman" w:hAnsi="Times New Roman"/>
          <w:sz w:val="24"/>
          <w:szCs w:val="24"/>
        </w:rPr>
        <w:t xml:space="preserve"> sa ustanovujú oblasti, na ktoré nemožno poskytnúť ani použiť dotáciu.</w:t>
      </w:r>
    </w:p>
    <w:p w:rsidR="00F92225" w:rsidRPr="00D23727" w:rsidRDefault="00F92225" w:rsidP="00B14599">
      <w:pPr>
        <w:spacing w:after="0" w:line="240" w:lineRule="auto"/>
        <w:jc w:val="both"/>
        <w:rPr>
          <w:rFonts w:ascii="Times New Roman" w:hAnsi="Times New Roman"/>
          <w:sz w:val="24"/>
          <w:szCs w:val="24"/>
        </w:rPr>
      </w:pPr>
    </w:p>
    <w:p w:rsidR="0041502E" w:rsidRPr="00D23727" w:rsidRDefault="003B7262" w:rsidP="00027BAA">
      <w:pPr>
        <w:spacing w:after="0" w:line="240" w:lineRule="auto"/>
        <w:jc w:val="both"/>
        <w:rPr>
          <w:rFonts w:ascii="Times New Roman" w:hAnsi="Times New Roman"/>
          <w:b/>
          <w:sz w:val="24"/>
          <w:szCs w:val="24"/>
        </w:rPr>
      </w:pPr>
      <w:r>
        <w:rPr>
          <w:rFonts w:ascii="Times New Roman" w:hAnsi="Times New Roman"/>
          <w:b/>
          <w:sz w:val="24"/>
          <w:szCs w:val="24"/>
        </w:rPr>
        <w:t>K § 5</w:t>
      </w:r>
    </w:p>
    <w:p w:rsidR="008978CA" w:rsidRDefault="008978CA" w:rsidP="00027BAA">
      <w:pPr>
        <w:spacing w:after="0" w:line="240" w:lineRule="auto"/>
        <w:jc w:val="both"/>
        <w:rPr>
          <w:rFonts w:ascii="Times New Roman" w:hAnsi="Times New Roman"/>
          <w:sz w:val="24"/>
          <w:szCs w:val="24"/>
        </w:rPr>
      </w:pPr>
      <w:r w:rsidRPr="00D23727">
        <w:rPr>
          <w:rFonts w:ascii="Times New Roman" w:hAnsi="Times New Roman"/>
          <w:sz w:val="24"/>
          <w:szCs w:val="24"/>
        </w:rPr>
        <w:t>Dotácia sa bude poskytovať na základe žiadosti o poskytnuti</w:t>
      </w:r>
      <w:r w:rsidR="009A4A94">
        <w:rPr>
          <w:rFonts w:ascii="Times New Roman" w:hAnsi="Times New Roman"/>
          <w:sz w:val="24"/>
          <w:szCs w:val="24"/>
        </w:rPr>
        <w:t>e dotácie</w:t>
      </w:r>
      <w:r w:rsidRPr="00D23727">
        <w:rPr>
          <w:rFonts w:ascii="Times New Roman" w:hAnsi="Times New Roman"/>
          <w:sz w:val="24"/>
          <w:szCs w:val="24"/>
        </w:rPr>
        <w:t xml:space="preserve">, ktorú žiadateľ predloží </w:t>
      </w:r>
      <w:r w:rsidR="00E55FA0" w:rsidRPr="00D23727">
        <w:rPr>
          <w:rFonts w:ascii="Times New Roman" w:hAnsi="Times New Roman"/>
          <w:sz w:val="24"/>
          <w:szCs w:val="24"/>
        </w:rPr>
        <w:t xml:space="preserve">spolu s prílohami </w:t>
      </w:r>
      <w:r w:rsidRPr="00D23727">
        <w:rPr>
          <w:rFonts w:ascii="Times New Roman" w:hAnsi="Times New Roman"/>
          <w:sz w:val="24"/>
          <w:szCs w:val="24"/>
        </w:rPr>
        <w:t xml:space="preserve">na základe výzvy zverejnenej na webovom sídle ministerstva v termíne, </w:t>
      </w:r>
      <w:r w:rsidR="00893DF7">
        <w:rPr>
          <w:rFonts w:ascii="Times New Roman" w:hAnsi="Times New Roman"/>
          <w:sz w:val="24"/>
          <w:szCs w:val="24"/>
        </w:rPr>
        <w:t>v rozsahu</w:t>
      </w:r>
      <w:r w:rsidRPr="00D23727">
        <w:rPr>
          <w:rFonts w:ascii="Times New Roman" w:hAnsi="Times New Roman"/>
          <w:sz w:val="24"/>
          <w:szCs w:val="24"/>
        </w:rPr>
        <w:t xml:space="preserve"> a spôsobom, ktoré určí ministerstvo vo výzve.</w:t>
      </w:r>
    </w:p>
    <w:p w:rsidR="009A4A94" w:rsidRDefault="009A4A94" w:rsidP="00027BAA">
      <w:pPr>
        <w:spacing w:after="0" w:line="240" w:lineRule="auto"/>
        <w:jc w:val="both"/>
        <w:rPr>
          <w:rFonts w:ascii="Times New Roman" w:hAnsi="Times New Roman"/>
          <w:sz w:val="24"/>
          <w:szCs w:val="24"/>
        </w:rPr>
      </w:pPr>
      <w:r>
        <w:rPr>
          <w:rFonts w:ascii="Times New Roman" w:hAnsi="Times New Roman"/>
          <w:sz w:val="24"/>
          <w:szCs w:val="24"/>
        </w:rPr>
        <w:t>V príslušnom rozpočtovom roku zverejňuje ministerstvo výzvy podľa ich účelu, a to v závislosti od schváleného rozpočtu ministerstva na dotácie. Poslednú výzvu môže ministerstvo zverejniť 30. septembra príslušného rozpočtového roka.</w:t>
      </w:r>
    </w:p>
    <w:p w:rsidR="007B73DC" w:rsidRPr="00D23727" w:rsidRDefault="007B73DC" w:rsidP="00027BAA">
      <w:pPr>
        <w:spacing w:after="0" w:line="240" w:lineRule="auto"/>
        <w:jc w:val="both"/>
        <w:rPr>
          <w:rFonts w:ascii="Times New Roman" w:hAnsi="Times New Roman"/>
          <w:sz w:val="24"/>
          <w:szCs w:val="24"/>
        </w:rPr>
      </w:pPr>
      <w:r>
        <w:rPr>
          <w:rFonts w:ascii="Times New Roman" w:hAnsi="Times New Roman"/>
          <w:sz w:val="24"/>
          <w:szCs w:val="24"/>
        </w:rPr>
        <w:t>V odsekoch 3</w:t>
      </w:r>
      <w:r w:rsidRPr="007B73DC">
        <w:rPr>
          <w:rFonts w:ascii="Times New Roman" w:hAnsi="Times New Roman"/>
          <w:sz w:val="24"/>
          <w:szCs w:val="24"/>
        </w:rPr>
        <w:t xml:space="preserve"> a</w:t>
      </w:r>
      <w:r>
        <w:rPr>
          <w:rFonts w:ascii="Times New Roman" w:hAnsi="Times New Roman"/>
          <w:sz w:val="24"/>
          <w:szCs w:val="24"/>
        </w:rPr>
        <w:t>ž 5</w:t>
      </w:r>
      <w:r w:rsidRPr="007B73DC">
        <w:rPr>
          <w:rFonts w:ascii="Times New Roman" w:hAnsi="Times New Roman"/>
          <w:sz w:val="24"/>
          <w:szCs w:val="24"/>
        </w:rPr>
        <w:t xml:space="preserve"> sa ustanovujú doklady, ktoré sú potrebné na posúdenie žiadosti o poskytnutie dotácie na podporu rozvoja cyklistickej dopravy a cykloturistiky a bez ktorých sa nebude môcť rozhodnúť o poskytnutí dotácie.</w:t>
      </w:r>
    </w:p>
    <w:p w:rsidR="00F54CED" w:rsidRPr="00D23727" w:rsidRDefault="005E3B01" w:rsidP="00027BAA">
      <w:pPr>
        <w:spacing w:after="0" w:line="240" w:lineRule="auto"/>
        <w:jc w:val="both"/>
        <w:rPr>
          <w:rFonts w:ascii="Times New Roman" w:hAnsi="Times New Roman"/>
          <w:sz w:val="24"/>
          <w:szCs w:val="24"/>
        </w:rPr>
      </w:pPr>
      <w:r>
        <w:rPr>
          <w:rFonts w:ascii="Times New Roman" w:hAnsi="Times New Roman"/>
          <w:sz w:val="24"/>
          <w:szCs w:val="24"/>
        </w:rPr>
        <w:t>Odsek 6</w:t>
      </w:r>
      <w:r w:rsidRPr="005E3B01">
        <w:rPr>
          <w:rFonts w:ascii="Times New Roman" w:hAnsi="Times New Roman"/>
          <w:sz w:val="24"/>
          <w:szCs w:val="24"/>
        </w:rPr>
        <w:t xml:space="preserve"> upravuje oprávnenie ministerstva neprihliadať na žiadosť, ktorá nespĺňa predpísané náležitosti, a ktorej nedostatky nebudú odstránené ani v dodatočnej lehote určenej vo výzve ministerstva.</w:t>
      </w:r>
      <w:r w:rsidR="0053318F">
        <w:rPr>
          <w:rFonts w:ascii="Times New Roman" w:hAnsi="Times New Roman"/>
          <w:sz w:val="24"/>
          <w:szCs w:val="24"/>
        </w:rPr>
        <w:t xml:space="preserve"> Rovnako sa nebude prihliadať na žiadosť, ktorá bola p</w:t>
      </w:r>
      <w:r w:rsidR="008047E9">
        <w:rPr>
          <w:rFonts w:ascii="Times New Roman" w:hAnsi="Times New Roman"/>
          <w:sz w:val="24"/>
          <w:szCs w:val="24"/>
        </w:rPr>
        <w:t>redložená po termíne určenom</w:t>
      </w:r>
      <w:r w:rsidR="0053318F">
        <w:rPr>
          <w:rFonts w:ascii="Times New Roman" w:hAnsi="Times New Roman"/>
          <w:sz w:val="24"/>
          <w:szCs w:val="24"/>
        </w:rPr>
        <w:t xml:space="preserve"> ministerstvo</w:t>
      </w:r>
      <w:r w:rsidR="008047E9">
        <w:rPr>
          <w:rFonts w:ascii="Times New Roman" w:hAnsi="Times New Roman"/>
          <w:sz w:val="24"/>
          <w:szCs w:val="24"/>
        </w:rPr>
        <w:t>m</w:t>
      </w:r>
      <w:r w:rsidR="0053318F">
        <w:rPr>
          <w:rFonts w:ascii="Times New Roman" w:hAnsi="Times New Roman"/>
          <w:sz w:val="24"/>
          <w:szCs w:val="24"/>
        </w:rPr>
        <w:t xml:space="preserve"> vo výzve.</w:t>
      </w:r>
    </w:p>
    <w:p w:rsidR="008978CA" w:rsidRPr="00D23727" w:rsidRDefault="008978CA" w:rsidP="00027BAA">
      <w:pPr>
        <w:spacing w:after="0" w:line="240" w:lineRule="auto"/>
        <w:jc w:val="both"/>
        <w:rPr>
          <w:rFonts w:ascii="Times New Roman" w:hAnsi="Times New Roman"/>
          <w:sz w:val="24"/>
          <w:szCs w:val="24"/>
        </w:rPr>
      </w:pPr>
      <w:r w:rsidRPr="00D23727">
        <w:rPr>
          <w:rFonts w:ascii="Times New Roman" w:hAnsi="Times New Roman"/>
          <w:sz w:val="24"/>
          <w:szCs w:val="24"/>
        </w:rPr>
        <w:t xml:space="preserve"> </w:t>
      </w:r>
    </w:p>
    <w:p w:rsidR="0041502E" w:rsidRPr="00D23727" w:rsidRDefault="007C630B" w:rsidP="00027BAA">
      <w:pPr>
        <w:spacing w:after="0" w:line="240" w:lineRule="auto"/>
        <w:jc w:val="both"/>
        <w:rPr>
          <w:rFonts w:ascii="Times New Roman" w:hAnsi="Times New Roman"/>
          <w:b/>
          <w:sz w:val="24"/>
          <w:szCs w:val="24"/>
        </w:rPr>
      </w:pPr>
      <w:r>
        <w:rPr>
          <w:rFonts w:ascii="Times New Roman" w:hAnsi="Times New Roman"/>
          <w:b/>
          <w:sz w:val="24"/>
          <w:szCs w:val="24"/>
        </w:rPr>
        <w:t>K § 6</w:t>
      </w:r>
    </w:p>
    <w:p w:rsidR="008978CA" w:rsidRPr="00D23727" w:rsidRDefault="008978CA" w:rsidP="00027BAA">
      <w:pPr>
        <w:spacing w:after="0" w:line="240" w:lineRule="auto"/>
        <w:jc w:val="both"/>
        <w:rPr>
          <w:rFonts w:ascii="Times New Roman" w:hAnsi="Times New Roman"/>
          <w:sz w:val="24"/>
          <w:szCs w:val="24"/>
        </w:rPr>
      </w:pPr>
      <w:r w:rsidRPr="00D23727">
        <w:rPr>
          <w:rFonts w:ascii="Times New Roman" w:hAnsi="Times New Roman"/>
          <w:sz w:val="24"/>
          <w:szCs w:val="24"/>
        </w:rPr>
        <w:t>Upravuje sa</w:t>
      </w:r>
      <w:r w:rsidR="00517422" w:rsidRPr="00D23727">
        <w:rPr>
          <w:rFonts w:ascii="Times New Roman" w:hAnsi="Times New Roman"/>
          <w:sz w:val="24"/>
          <w:szCs w:val="24"/>
        </w:rPr>
        <w:t xml:space="preserve"> spôsob vyhodnocovania žiadostí, ktoré vykonáva nezávislá komisia. </w:t>
      </w:r>
    </w:p>
    <w:p w:rsidR="008978CA" w:rsidRPr="00D23727" w:rsidRDefault="008978CA" w:rsidP="00027BAA">
      <w:pPr>
        <w:spacing w:after="0" w:line="240" w:lineRule="auto"/>
        <w:jc w:val="both"/>
        <w:rPr>
          <w:rFonts w:ascii="Times New Roman" w:hAnsi="Times New Roman"/>
          <w:sz w:val="24"/>
          <w:szCs w:val="24"/>
        </w:rPr>
      </w:pPr>
    </w:p>
    <w:p w:rsidR="0041502E" w:rsidRPr="00D23727" w:rsidRDefault="007C630B" w:rsidP="00027BAA">
      <w:pPr>
        <w:spacing w:after="0" w:line="240" w:lineRule="auto"/>
        <w:jc w:val="both"/>
        <w:rPr>
          <w:rFonts w:ascii="Times New Roman" w:hAnsi="Times New Roman"/>
          <w:b/>
          <w:sz w:val="24"/>
          <w:szCs w:val="24"/>
        </w:rPr>
      </w:pPr>
      <w:r>
        <w:rPr>
          <w:rFonts w:ascii="Times New Roman" w:hAnsi="Times New Roman"/>
          <w:b/>
          <w:sz w:val="24"/>
          <w:szCs w:val="24"/>
        </w:rPr>
        <w:t>K § 7</w:t>
      </w:r>
    </w:p>
    <w:p w:rsidR="008978CA" w:rsidRDefault="00841CAC" w:rsidP="00027BAA">
      <w:pPr>
        <w:spacing w:after="0" w:line="240" w:lineRule="auto"/>
        <w:jc w:val="both"/>
        <w:rPr>
          <w:rFonts w:ascii="Times New Roman" w:hAnsi="Times New Roman"/>
          <w:sz w:val="24"/>
          <w:szCs w:val="24"/>
        </w:rPr>
      </w:pPr>
      <w:r w:rsidRPr="00AA4C62">
        <w:rPr>
          <w:rFonts w:ascii="Times New Roman" w:hAnsi="Times New Roman"/>
          <w:sz w:val="24"/>
          <w:szCs w:val="24"/>
        </w:rPr>
        <w:t>Ustanovenie upravuje</w:t>
      </w:r>
      <w:r w:rsidR="008978CA" w:rsidRPr="00AA4C62">
        <w:rPr>
          <w:rFonts w:ascii="Times New Roman" w:hAnsi="Times New Roman"/>
          <w:sz w:val="24"/>
          <w:szCs w:val="24"/>
        </w:rPr>
        <w:t xml:space="preserve"> </w:t>
      </w:r>
      <w:r w:rsidR="005F51A7" w:rsidRPr="00AA4C62">
        <w:rPr>
          <w:rFonts w:ascii="Times New Roman" w:hAnsi="Times New Roman"/>
          <w:sz w:val="24"/>
          <w:szCs w:val="24"/>
        </w:rPr>
        <w:t>poskytnutie dotácie na základe písomnej</w:t>
      </w:r>
      <w:r w:rsidR="00517422" w:rsidRPr="00AA4C62">
        <w:rPr>
          <w:rFonts w:ascii="Times New Roman" w:hAnsi="Times New Roman"/>
          <w:sz w:val="24"/>
          <w:szCs w:val="24"/>
        </w:rPr>
        <w:t xml:space="preserve"> zmluvy o poskytnutí dotácie, ktorú uzatvorí ministerstvo so žiadateľom, ktorému je po vyhodnotení žiadosti schválená dotácia.</w:t>
      </w:r>
      <w:r w:rsidR="00517422" w:rsidRPr="00D23727">
        <w:rPr>
          <w:rFonts w:ascii="Times New Roman" w:hAnsi="Times New Roman"/>
          <w:sz w:val="24"/>
          <w:szCs w:val="24"/>
        </w:rPr>
        <w:t xml:space="preserve"> </w:t>
      </w:r>
    </w:p>
    <w:p w:rsidR="007C630B" w:rsidRPr="00D23727" w:rsidRDefault="007C630B" w:rsidP="00027BAA">
      <w:pPr>
        <w:spacing w:after="0" w:line="240" w:lineRule="auto"/>
        <w:jc w:val="both"/>
        <w:rPr>
          <w:rFonts w:ascii="Times New Roman" w:hAnsi="Times New Roman"/>
          <w:sz w:val="24"/>
          <w:szCs w:val="24"/>
        </w:rPr>
      </w:pPr>
    </w:p>
    <w:p w:rsidR="008978CA" w:rsidRPr="00D23727" w:rsidRDefault="008978CA" w:rsidP="00027BAA">
      <w:pPr>
        <w:spacing w:after="0" w:line="240" w:lineRule="auto"/>
        <w:jc w:val="both"/>
        <w:rPr>
          <w:rFonts w:ascii="Times New Roman" w:hAnsi="Times New Roman"/>
          <w:sz w:val="24"/>
          <w:szCs w:val="24"/>
        </w:rPr>
      </w:pPr>
    </w:p>
    <w:p w:rsidR="0041502E" w:rsidRPr="00D23727" w:rsidRDefault="007C630B" w:rsidP="00027BAA">
      <w:pPr>
        <w:spacing w:after="0" w:line="240" w:lineRule="auto"/>
        <w:jc w:val="both"/>
        <w:rPr>
          <w:rFonts w:ascii="Times New Roman" w:hAnsi="Times New Roman"/>
          <w:b/>
          <w:sz w:val="24"/>
          <w:szCs w:val="24"/>
        </w:rPr>
      </w:pPr>
      <w:r>
        <w:rPr>
          <w:rFonts w:ascii="Times New Roman" w:hAnsi="Times New Roman"/>
          <w:b/>
          <w:sz w:val="24"/>
          <w:szCs w:val="24"/>
        </w:rPr>
        <w:lastRenderedPageBreak/>
        <w:t>K § 8</w:t>
      </w:r>
    </w:p>
    <w:p w:rsidR="00840B75" w:rsidRPr="004204B2" w:rsidRDefault="008B0917" w:rsidP="00027BAA">
      <w:pPr>
        <w:spacing w:after="0" w:line="240" w:lineRule="auto"/>
        <w:jc w:val="both"/>
        <w:rPr>
          <w:rFonts w:ascii="Times New Roman" w:hAnsi="Times New Roman"/>
          <w:sz w:val="24"/>
          <w:szCs w:val="24"/>
        </w:rPr>
      </w:pPr>
      <w:r w:rsidRPr="00D23727">
        <w:rPr>
          <w:rFonts w:ascii="Times New Roman" w:hAnsi="Times New Roman"/>
          <w:sz w:val="24"/>
          <w:szCs w:val="24"/>
        </w:rPr>
        <w:t>Ustanovuje sa rozsah informácií, ktoré ministerstvo zverejňuje na svojom webovom sídle.</w:t>
      </w:r>
    </w:p>
    <w:p w:rsidR="007138D4" w:rsidRDefault="007138D4" w:rsidP="00027BAA">
      <w:pPr>
        <w:spacing w:after="0" w:line="240" w:lineRule="auto"/>
        <w:jc w:val="both"/>
        <w:rPr>
          <w:rFonts w:ascii="Times New Roman" w:hAnsi="Times New Roman"/>
          <w:b/>
          <w:sz w:val="24"/>
          <w:szCs w:val="24"/>
        </w:rPr>
      </w:pPr>
    </w:p>
    <w:p w:rsidR="0041502E" w:rsidRPr="00D23727" w:rsidRDefault="0041502E" w:rsidP="00027BAA">
      <w:pPr>
        <w:spacing w:after="0" w:line="240" w:lineRule="auto"/>
        <w:jc w:val="both"/>
        <w:rPr>
          <w:rFonts w:ascii="Times New Roman" w:hAnsi="Times New Roman"/>
          <w:b/>
          <w:sz w:val="24"/>
          <w:szCs w:val="24"/>
        </w:rPr>
      </w:pPr>
      <w:r w:rsidRPr="00D23727">
        <w:rPr>
          <w:rFonts w:ascii="Times New Roman" w:hAnsi="Times New Roman"/>
          <w:b/>
          <w:sz w:val="24"/>
          <w:szCs w:val="24"/>
        </w:rPr>
        <w:t xml:space="preserve">K § </w:t>
      </w:r>
      <w:r w:rsidR="007C630B">
        <w:rPr>
          <w:rFonts w:ascii="Times New Roman" w:hAnsi="Times New Roman"/>
          <w:b/>
          <w:sz w:val="24"/>
          <w:szCs w:val="24"/>
        </w:rPr>
        <w:t>9</w:t>
      </w:r>
    </w:p>
    <w:p w:rsidR="00584CAC" w:rsidRDefault="008B0917" w:rsidP="00027BAA">
      <w:pPr>
        <w:spacing w:after="0" w:line="240" w:lineRule="auto"/>
        <w:jc w:val="both"/>
        <w:rPr>
          <w:rFonts w:ascii="Times New Roman" w:hAnsi="Times New Roman"/>
          <w:sz w:val="24"/>
          <w:szCs w:val="24"/>
        </w:rPr>
      </w:pPr>
      <w:r w:rsidRPr="00D23727">
        <w:rPr>
          <w:rFonts w:ascii="Times New Roman" w:hAnsi="Times New Roman"/>
          <w:sz w:val="24"/>
          <w:szCs w:val="24"/>
        </w:rPr>
        <w:t xml:space="preserve">Ustanovuje sa povinnosť ministerstva vykonávať finančnú kontrolu </w:t>
      </w:r>
      <w:r w:rsidR="00F455D1" w:rsidRPr="00D23727">
        <w:rPr>
          <w:rFonts w:ascii="Times New Roman" w:hAnsi="Times New Roman"/>
          <w:sz w:val="24"/>
          <w:szCs w:val="24"/>
        </w:rPr>
        <w:t>dodržiavania hospodárnosti, efektívnosti, účinnosti, účelnosti a podmienok použitia dotácie</w:t>
      </w:r>
      <w:r w:rsidRPr="00D23727">
        <w:t xml:space="preserve"> </w:t>
      </w:r>
      <w:r w:rsidRPr="00D23727">
        <w:rPr>
          <w:rFonts w:ascii="Times New Roman" w:hAnsi="Times New Roman"/>
          <w:sz w:val="24"/>
          <w:szCs w:val="24"/>
        </w:rPr>
        <w:t xml:space="preserve">a kontrolu dodržiavania podmienok </w:t>
      </w:r>
      <w:r w:rsidR="007C630B">
        <w:rPr>
          <w:rFonts w:ascii="Times New Roman" w:hAnsi="Times New Roman"/>
          <w:sz w:val="24"/>
          <w:szCs w:val="24"/>
        </w:rPr>
        <w:t>určených</w:t>
      </w:r>
      <w:r w:rsidR="00EC61A0" w:rsidRPr="00D23727">
        <w:rPr>
          <w:rFonts w:ascii="Times New Roman" w:hAnsi="Times New Roman"/>
          <w:sz w:val="24"/>
          <w:szCs w:val="24"/>
        </w:rPr>
        <w:t xml:space="preserve"> v zmluve</w:t>
      </w:r>
      <w:r w:rsidR="004204B2">
        <w:rPr>
          <w:rFonts w:ascii="Times New Roman" w:hAnsi="Times New Roman"/>
          <w:sz w:val="24"/>
          <w:szCs w:val="24"/>
        </w:rPr>
        <w:t xml:space="preserve"> o poskytnutí dotácie</w:t>
      </w:r>
      <w:r w:rsidR="007138D4">
        <w:rPr>
          <w:rFonts w:ascii="Times New Roman" w:hAnsi="Times New Roman"/>
          <w:sz w:val="24"/>
          <w:szCs w:val="24"/>
        </w:rPr>
        <w:t>.</w:t>
      </w:r>
    </w:p>
    <w:p w:rsidR="00AA4C62" w:rsidRDefault="00AA4C62" w:rsidP="00027BAA">
      <w:pPr>
        <w:spacing w:after="0" w:line="240" w:lineRule="auto"/>
        <w:jc w:val="both"/>
        <w:rPr>
          <w:rFonts w:ascii="Times New Roman" w:hAnsi="Times New Roman"/>
          <w:b/>
          <w:sz w:val="24"/>
          <w:szCs w:val="24"/>
        </w:rPr>
      </w:pPr>
    </w:p>
    <w:p w:rsidR="00AA4C62" w:rsidRPr="00D23727" w:rsidRDefault="00AA4C62" w:rsidP="00027BAA">
      <w:pPr>
        <w:spacing w:after="0" w:line="240" w:lineRule="auto"/>
        <w:jc w:val="both"/>
        <w:rPr>
          <w:rFonts w:ascii="Times New Roman" w:hAnsi="Times New Roman"/>
          <w:b/>
          <w:sz w:val="24"/>
          <w:szCs w:val="24"/>
        </w:rPr>
      </w:pPr>
      <w:r>
        <w:rPr>
          <w:rFonts w:ascii="Times New Roman" w:hAnsi="Times New Roman"/>
          <w:b/>
          <w:sz w:val="24"/>
          <w:szCs w:val="24"/>
        </w:rPr>
        <w:t>K § 10</w:t>
      </w:r>
    </w:p>
    <w:p w:rsidR="008B0917" w:rsidRPr="00D23727" w:rsidRDefault="008B0917" w:rsidP="00027BAA">
      <w:pPr>
        <w:spacing w:after="0" w:line="240" w:lineRule="auto"/>
        <w:jc w:val="both"/>
        <w:rPr>
          <w:rFonts w:ascii="Times New Roman" w:hAnsi="Times New Roman"/>
          <w:sz w:val="24"/>
          <w:szCs w:val="24"/>
        </w:rPr>
      </w:pPr>
      <w:r w:rsidRPr="00D23727">
        <w:rPr>
          <w:rFonts w:ascii="Times New Roman" w:hAnsi="Times New Roman"/>
          <w:sz w:val="24"/>
          <w:szCs w:val="24"/>
        </w:rPr>
        <w:t xml:space="preserve">Ustanovenie upravuje skutočnosti, že na poskytovanie, používanie a zúčtovanie dotácií sa vzťahuje </w:t>
      </w:r>
      <w:r w:rsidR="007C630B">
        <w:rPr>
          <w:rFonts w:ascii="Times New Roman" w:hAnsi="Times New Roman"/>
          <w:sz w:val="24"/>
          <w:szCs w:val="24"/>
        </w:rPr>
        <w:t xml:space="preserve">tento zákon a </w:t>
      </w:r>
      <w:r w:rsidRPr="00D23727">
        <w:rPr>
          <w:rFonts w:ascii="Times New Roman" w:hAnsi="Times New Roman"/>
          <w:sz w:val="24"/>
          <w:szCs w:val="24"/>
        </w:rPr>
        <w:t>osobitný predpis; poskytnutie dotácie nie je právne nárokovateľné a týmto zákonom nie sú dotknuté osobitné predpisy o štátnej pomoci.</w:t>
      </w:r>
    </w:p>
    <w:p w:rsidR="008B0917" w:rsidRPr="00D23727" w:rsidRDefault="008B0917" w:rsidP="00027BAA">
      <w:pPr>
        <w:spacing w:after="0" w:line="240" w:lineRule="auto"/>
        <w:jc w:val="both"/>
        <w:rPr>
          <w:rFonts w:ascii="Times New Roman" w:hAnsi="Times New Roman"/>
          <w:b/>
          <w:sz w:val="24"/>
          <w:szCs w:val="24"/>
        </w:rPr>
      </w:pPr>
    </w:p>
    <w:p w:rsidR="0041502E" w:rsidRPr="00D23727" w:rsidRDefault="00111DDE" w:rsidP="00027BAA">
      <w:pPr>
        <w:spacing w:after="0" w:line="240" w:lineRule="auto"/>
        <w:jc w:val="both"/>
        <w:rPr>
          <w:rFonts w:ascii="Times New Roman" w:hAnsi="Times New Roman"/>
          <w:b/>
          <w:sz w:val="24"/>
          <w:szCs w:val="24"/>
        </w:rPr>
      </w:pPr>
      <w:r>
        <w:rPr>
          <w:rFonts w:ascii="Times New Roman" w:hAnsi="Times New Roman"/>
          <w:b/>
          <w:sz w:val="24"/>
          <w:szCs w:val="24"/>
        </w:rPr>
        <w:t>K § 11</w:t>
      </w:r>
    </w:p>
    <w:p w:rsidR="003A3B93" w:rsidRDefault="003A3B93" w:rsidP="00027BAA">
      <w:pPr>
        <w:spacing w:after="0" w:line="240" w:lineRule="auto"/>
        <w:jc w:val="both"/>
        <w:rPr>
          <w:rFonts w:ascii="Times New Roman" w:hAnsi="Times New Roman"/>
          <w:sz w:val="24"/>
          <w:szCs w:val="24"/>
        </w:rPr>
      </w:pPr>
      <w:r w:rsidRPr="00D23727">
        <w:rPr>
          <w:rFonts w:ascii="Times New Roman" w:hAnsi="Times New Roman"/>
          <w:sz w:val="24"/>
          <w:szCs w:val="24"/>
        </w:rPr>
        <w:t xml:space="preserve">Účinnosť zákona </w:t>
      </w:r>
      <w:r w:rsidR="003455A3">
        <w:rPr>
          <w:rFonts w:ascii="Times New Roman" w:hAnsi="Times New Roman"/>
          <w:sz w:val="24"/>
          <w:szCs w:val="24"/>
        </w:rPr>
        <w:t>sa navrhuje 1. júla</w:t>
      </w:r>
      <w:r w:rsidR="00517422" w:rsidRPr="00D23727">
        <w:rPr>
          <w:rFonts w:ascii="Times New Roman" w:hAnsi="Times New Roman"/>
          <w:sz w:val="24"/>
          <w:szCs w:val="24"/>
        </w:rPr>
        <w:t xml:space="preserve"> </w:t>
      </w:r>
      <w:r w:rsidRPr="00D23727">
        <w:rPr>
          <w:rFonts w:ascii="Times New Roman" w:hAnsi="Times New Roman"/>
          <w:sz w:val="24"/>
          <w:szCs w:val="24"/>
        </w:rPr>
        <w:t>2019.</w:t>
      </w:r>
    </w:p>
    <w:p w:rsidR="00064977" w:rsidRDefault="00064977" w:rsidP="00027BAA">
      <w:pPr>
        <w:spacing w:after="0" w:line="240" w:lineRule="auto"/>
        <w:jc w:val="both"/>
        <w:rPr>
          <w:rFonts w:ascii="Times New Roman" w:hAnsi="Times New Roman"/>
          <w:sz w:val="24"/>
          <w:szCs w:val="24"/>
        </w:rPr>
      </w:pPr>
    </w:p>
    <w:p w:rsidR="00064977" w:rsidRDefault="00064977" w:rsidP="00027BAA">
      <w:pPr>
        <w:spacing w:after="0" w:line="240" w:lineRule="auto"/>
        <w:jc w:val="both"/>
        <w:rPr>
          <w:rFonts w:ascii="Times New Roman" w:hAnsi="Times New Roman"/>
          <w:sz w:val="24"/>
          <w:szCs w:val="24"/>
        </w:rPr>
      </w:pPr>
    </w:p>
    <w:p w:rsidR="00064977" w:rsidRDefault="00064977" w:rsidP="00027BAA">
      <w:pPr>
        <w:spacing w:after="0" w:line="240" w:lineRule="auto"/>
        <w:jc w:val="both"/>
        <w:rPr>
          <w:rFonts w:ascii="Times New Roman" w:hAnsi="Times New Roman"/>
          <w:sz w:val="24"/>
          <w:szCs w:val="24"/>
        </w:rPr>
      </w:pPr>
    </w:p>
    <w:p w:rsidR="00064977" w:rsidRPr="00064977" w:rsidRDefault="00064977" w:rsidP="00064977">
      <w:pPr>
        <w:tabs>
          <w:tab w:val="left" w:pos="708"/>
        </w:tabs>
        <w:spacing w:after="0" w:line="240" w:lineRule="auto"/>
        <w:ind w:firstLine="680"/>
        <w:jc w:val="both"/>
        <w:rPr>
          <w:rFonts w:ascii="Times New Roman" w:hAnsi="Times New Roman"/>
          <w:sz w:val="24"/>
          <w:szCs w:val="24"/>
        </w:rPr>
      </w:pPr>
    </w:p>
    <w:p w:rsidR="00064977" w:rsidRPr="00064977" w:rsidRDefault="007D6F98" w:rsidP="00064977">
      <w:pPr>
        <w:tabs>
          <w:tab w:val="left" w:pos="708"/>
        </w:tabs>
        <w:spacing w:after="0" w:line="240" w:lineRule="auto"/>
        <w:jc w:val="both"/>
        <w:rPr>
          <w:rFonts w:ascii="Times New Roman" w:hAnsi="Times New Roman"/>
          <w:sz w:val="24"/>
          <w:szCs w:val="24"/>
        </w:rPr>
      </w:pPr>
      <w:r>
        <w:rPr>
          <w:rFonts w:ascii="Times New Roman" w:hAnsi="Times New Roman"/>
          <w:sz w:val="24"/>
          <w:szCs w:val="24"/>
        </w:rPr>
        <w:t>V Bratislave</w:t>
      </w:r>
      <w:r w:rsidR="00064977" w:rsidRPr="00064977">
        <w:rPr>
          <w:rFonts w:ascii="Times New Roman" w:hAnsi="Times New Roman"/>
          <w:sz w:val="24"/>
          <w:szCs w:val="24"/>
        </w:rPr>
        <w:t xml:space="preserve"> 6. marca 2019</w:t>
      </w:r>
    </w:p>
    <w:p w:rsidR="00064977" w:rsidRPr="00064977" w:rsidRDefault="00064977" w:rsidP="00064977">
      <w:pPr>
        <w:tabs>
          <w:tab w:val="left" w:pos="708"/>
        </w:tabs>
        <w:spacing w:after="0" w:line="240" w:lineRule="auto"/>
        <w:jc w:val="both"/>
        <w:rPr>
          <w:rFonts w:ascii="Times New Roman" w:hAnsi="Times New Roman"/>
          <w:sz w:val="24"/>
          <w:szCs w:val="24"/>
        </w:rPr>
      </w:pPr>
    </w:p>
    <w:p w:rsidR="00064977" w:rsidRPr="00064977" w:rsidRDefault="00064977" w:rsidP="00064977">
      <w:pPr>
        <w:tabs>
          <w:tab w:val="left" w:pos="708"/>
        </w:tabs>
        <w:spacing w:after="0" w:line="240" w:lineRule="auto"/>
        <w:jc w:val="both"/>
        <w:rPr>
          <w:rFonts w:ascii="Times New Roman" w:hAnsi="Times New Roman"/>
          <w:sz w:val="24"/>
          <w:szCs w:val="24"/>
        </w:rPr>
      </w:pPr>
    </w:p>
    <w:p w:rsidR="00064977" w:rsidRPr="00064977" w:rsidRDefault="00064977" w:rsidP="00064977">
      <w:pPr>
        <w:tabs>
          <w:tab w:val="left" w:pos="708"/>
        </w:tabs>
        <w:spacing w:after="0" w:line="240" w:lineRule="auto"/>
        <w:jc w:val="center"/>
        <w:rPr>
          <w:rFonts w:ascii="Times New Roman" w:hAnsi="Times New Roman"/>
          <w:sz w:val="24"/>
          <w:szCs w:val="24"/>
        </w:rPr>
      </w:pPr>
    </w:p>
    <w:p w:rsidR="00064977" w:rsidRPr="00064977" w:rsidRDefault="00064977" w:rsidP="00064977">
      <w:pPr>
        <w:tabs>
          <w:tab w:val="left" w:pos="708"/>
        </w:tabs>
        <w:spacing w:after="0" w:line="240" w:lineRule="auto"/>
        <w:jc w:val="center"/>
        <w:rPr>
          <w:rFonts w:ascii="Times New Roman" w:hAnsi="Times New Roman"/>
          <w:sz w:val="24"/>
          <w:szCs w:val="24"/>
        </w:rPr>
      </w:pPr>
    </w:p>
    <w:p w:rsidR="00064977" w:rsidRPr="00064977" w:rsidRDefault="00064977" w:rsidP="00064977">
      <w:pPr>
        <w:overflowPunct w:val="0"/>
        <w:autoSpaceDE w:val="0"/>
        <w:autoSpaceDN w:val="0"/>
        <w:adjustRightInd w:val="0"/>
        <w:spacing w:after="0" w:line="240" w:lineRule="auto"/>
        <w:jc w:val="center"/>
        <w:rPr>
          <w:rFonts w:ascii="Times New Roman" w:hAnsi="Times New Roman"/>
          <w:b/>
          <w:sz w:val="24"/>
          <w:szCs w:val="24"/>
          <w:lang w:eastAsia="cs-CZ"/>
        </w:rPr>
      </w:pPr>
      <w:r w:rsidRPr="00064977">
        <w:rPr>
          <w:rFonts w:ascii="Times New Roman" w:hAnsi="Times New Roman"/>
          <w:b/>
          <w:sz w:val="24"/>
          <w:szCs w:val="24"/>
          <w:lang w:eastAsia="cs-CZ"/>
        </w:rPr>
        <w:t xml:space="preserve">Peter Pellegrini, v. r. </w:t>
      </w:r>
    </w:p>
    <w:p w:rsidR="00064977" w:rsidRPr="00064977" w:rsidRDefault="00064977" w:rsidP="00064977">
      <w:pPr>
        <w:tabs>
          <w:tab w:val="left" w:pos="708"/>
        </w:tabs>
        <w:spacing w:after="0" w:line="240" w:lineRule="auto"/>
        <w:jc w:val="center"/>
        <w:rPr>
          <w:rFonts w:ascii="Times New Roman" w:hAnsi="Times New Roman"/>
          <w:sz w:val="24"/>
          <w:szCs w:val="24"/>
        </w:rPr>
      </w:pPr>
      <w:r w:rsidRPr="00064977">
        <w:rPr>
          <w:rFonts w:ascii="Times New Roman" w:hAnsi="Times New Roman"/>
          <w:sz w:val="24"/>
          <w:szCs w:val="24"/>
        </w:rPr>
        <w:t>predseda vlády Slovenskej republiky</w:t>
      </w:r>
    </w:p>
    <w:p w:rsidR="00064977" w:rsidRPr="00064977" w:rsidRDefault="00064977" w:rsidP="00064977">
      <w:pPr>
        <w:widowControl w:val="0"/>
        <w:adjustRightInd w:val="0"/>
        <w:spacing w:after="200" w:line="276" w:lineRule="auto"/>
        <w:jc w:val="center"/>
        <w:rPr>
          <w:rFonts w:ascii="Times New Roman" w:hAnsi="Times New Roman"/>
          <w:sz w:val="24"/>
          <w:szCs w:val="24"/>
        </w:rPr>
      </w:pPr>
    </w:p>
    <w:p w:rsidR="00064977" w:rsidRPr="00064977" w:rsidRDefault="00064977" w:rsidP="00064977">
      <w:pPr>
        <w:widowControl w:val="0"/>
        <w:adjustRightInd w:val="0"/>
        <w:spacing w:after="200" w:line="276" w:lineRule="auto"/>
        <w:jc w:val="center"/>
        <w:rPr>
          <w:rFonts w:ascii="Times New Roman" w:hAnsi="Times New Roman"/>
          <w:sz w:val="24"/>
          <w:szCs w:val="24"/>
        </w:rPr>
      </w:pPr>
    </w:p>
    <w:p w:rsidR="00064977" w:rsidRPr="00064977" w:rsidRDefault="00064977" w:rsidP="00064977">
      <w:pPr>
        <w:widowControl w:val="0"/>
        <w:adjustRightInd w:val="0"/>
        <w:spacing w:after="200" w:line="276" w:lineRule="auto"/>
        <w:jc w:val="center"/>
        <w:rPr>
          <w:rFonts w:ascii="Times New Roman" w:hAnsi="Times New Roman"/>
          <w:sz w:val="24"/>
          <w:szCs w:val="24"/>
        </w:rPr>
      </w:pPr>
    </w:p>
    <w:p w:rsidR="00064977" w:rsidRPr="00064977" w:rsidRDefault="00064977" w:rsidP="00064977">
      <w:pPr>
        <w:widowControl w:val="0"/>
        <w:adjustRightInd w:val="0"/>
        <w:spacing w:after="200" w:line="276" w:lineRule="auto"/>
        <w:jc w:val="center"/>
        <w:rPr>
          <w:rFonts w:ascii="Times New Roman" w:hAnsi="Times New Roman"/>
          <w:sz w:val="24"/>
          <w:szCs w:val="24"/>
        </w:rPr>
      </w:pPr>
    </w:p>
    <w:p w:rsidR="00064977" w:rsidRPr="00064977" w:rsidRDefault="00064977" w:rsidP="00604734">
      <w:pPr>
        <w:widowControl w:val="0"/>
        <w:adjustRightInd w:val="0"/>
        <w:spacing w:after="0" w:line="240" w:lineRule="auto"/>
        <w:jc w:val="center"/>
        <w:rPr>
          <w:rFonts w:ascii="Times New Roman" w:hAnsi="Times New Roman"/>
          <w:b/>
          <w:sz w:val="24"/>
          <w:szCs w:val="24"/>
        </w:rPr>
      </w:pPr>
      <w:r w:rsidRPr="00064977">
        <w:rPr>
          <w:rFonts w:ascii="Times New Roman" w:hAnsi="Times New Roman"/>
          <w:b/>
          <w:sz w:val="24"/>
          <w:szCs w:val="24"/>
        </w:rPr>
        <w:t>Arpád Érsek, v. r.</w:t>
      </w:r>
    </w:p>
    <w:p w:rsidR="00064977" w:rsidRPr="00064977" w:rsidRDefault="00064977" w:rsidP="00604734">
      <w:pPr>
        <w:widowControl w:val="0"/>
        <w:adjustRightInd w:val="0"/>
        <w:spacing w:after="0" w:line="240" w:lineRule="auto"/>
        <w:jc w:val="center"/>
        <w:rPr>
          <w:rFonts w:ascii="Times New Roman" w:hAnsi="Times New Roman"/>
          <w:sz w:val="24"/>
          <w:szCs w:val="24"/>
        </w:rPr>
      </w:pPr>
      <w:r w:rsidRPr="00064977">
        <w:rPr>
          <w:rFonts w:ascii="Times New Roman" w:hAnsi="Times New Roman"/>
          <w:sz w:val="24"/>
          <w:szCs w:val="24"/>
        </w:rPr>
        <w:t>minister dopravy a výstavby Slovenskej republiky</w:t>
      </w:r>
    </w:p>
    <w:p w:rsidR="00064977" w:rsidRPr="003A3B93" w:rsidRDefault="00064977" w:rsidP="00027BAA">
      <w:pPr>
        <w:spacing w:after="0" w:line="240" w:lineRule="auto"/>
        <w:jc w:val="both"/>
        <w:rPr>
          <w:rFonts w:ascii="Times New Roman" w:hAnsi="Times New Roman"/>
          <w:sz w:val="24"/>
          <w:szCs w:val="24"/>
        </w:rPr>
      </w:pPr>
    </w:p>
    <w:sectPr w:rsidR="00064977" w:rsidRPr="003A3B9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3B" w:rsidRDefault="00346E3B" w:rsidP="00665782">
      <w:pPr>
        <w:spacing w:after="0" w:line="240" w:lineRule="auto"/>
      </w:pPr>
      <w:r>
        <w:separator/>
      </w:r>
    </w:p>
  </w:endnote>
  <w:endnote w:type="continuationSeparator" w:id="0">
    <w:p w:rsidR="00346E3B" w:rsidRDefault="00346E3B" w:rsidP="0066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3" w:rsidRDefault="000716F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716F3" w:rsidRDefault="000716F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FA" w:rsidRPr="009321FA" w:rsidRDefault="009321FA">
    <w:pPr>
      <w:pStyle w:val="Pta"/>
      <w:jc w:val="center"/>
      <w:rPr>
        <w:rFonts w:ascii="Times New Roman" w:hAnsi="Times New Roman"/>
      </w:rPr>
    </w:pPr>
    <w:r w:rsidRPr="009321FA">
      <w:rPr>
        <w:rFonts w:ascii="Times New Roman" w:hAnsi="Times New Roman"/>
      </w:rPr>
      <w:fldChar w:fldCharType="begin"/>
    </w:r>
    <w:r w:rsidRPr="009321FA">
      <w:rPr>
        <w:rFonts w:ascii="Times New Roman" w:hAnsi="Times New Roman"/>
      </w:rPr>
      <w:instrText>PAGE   \* MERGEFORMAT</w:instrText>
    </w:r>
    <w:r w:rsidRPr="009321FA">
      <w:rPr>
        <w:rFonts w:ascii="Times New Roman" w:hAnsi="Times New Roman"/>
      </w:rPr>
      <w:fldChar w:fldCharType="separate"/>
    </w:r>
    <w:r w:rsidR="00754A57">
      <w:rPr>
        <w:rFonts w:ascii="Times New Roman" w:hAnsi="Times New Roman"/>
        <w:noProof/>
      </w:rPr>
      <w:t>2</w:t>
    </w:r>
    <w:r w:rsidRPr="009321FA">
      <w:rPr>
        <w:rFonts w:ascii="Times New Roman" w:hAnsi="Times New Roman"/>
      </w:rPr>
      <w:fldChar w:fldCharType="end"/>
    </w:r>
  </w:p>
  <w:p w:rsidR="000716F3" w:rsidRDefault="000716F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3" w:rsidRDefault="000716F3">
    <w:pPr>
      <w:pStyle w:val="Pta"/>
      <w:jc w:val="right"/>
    </w:pPr>
    <w:r>
      <w:fldChar w:fldCharType="begin"/>
    </w:r>
    <w:r>
      <w:instrText>PAGE   \* MERGEFORMAT</w:instrText>
    </w:r>
    <w:r>
      <w:fldChar w:fldCharType="separate"/>
    </w:r>
    <w:r>
      <w:rPr>
        <w:noProof/>
      </w:rPr>
      <w:t>0</w:t>
    </w:r>
    <w:r>
      <w:fldChar w:fldCharType="end"/>
    </w:r>
  </w:p>
  <w:p w:rsidR="000716F3" w:rsidRDefault="000716F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782" w:rsidRPr="00665782" w:rsidRDefault="00665782">
    <w:pPr>
      <w:pStyle w:val="Pta"/>
      <w:jc w:val="center"/>
      <w:rPr>
        <w:rFonts w:ascii="Times New Roman" w:hAnsi="Times New Roman"/>
      </w:rPr>
    </w:pPr>
    <w:r w:rsidRPr="00665782">
      <w:rPr>
        <w:rFonts w:ascii="Times New Roman" w:hAnsi="Times New Roman"/>
      </w:rPr>
      <w:fldChar w:fldCharType="begin"/>
    </w:r>
    <w:r w:rsidRPr="00665782">
      <w:rPr>
        <w:rFonts w:ascii="Times New Roman" w:hAnsi="Times New Roman"/>
      </w:rPr>
      <w:instrText>PAGE   \* MERGEFORMAT</w:instrText>
    </w:r>
    <w:r w:rsidRPr="00665782">
      <w:rPr>
        <w:rFonts w:ascii="Times New Roman" w:hAnsi="Times New Roman"/>
      </w:rPr>
      <w:fldChar w:fldCharType="separate"/>
    </w:r>
    <w:r w:rsidR="00754A57">
      <w:rPr>
        <w:rFonts w:ascii="Times New Roman" w:hAnsi="Times New Roman"/>
        <w:noProof/>
      </w:rPr>
      <w:t>13</w:t>
    </w:r>
    <w:r w:rsidRPr="00665782">
      <w:rPr>
        <w:rFonts w:ascii="Times New Roman" w:hAnsi="Times New Roman"/>
      </w:rPr>
      <w:fldChar w:fldCharType="end"/>
    </w:r>
  </w:p>
  <w:p w:rsidR="00665782" w:rsidRDefault="006657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3B" w:rsidRDefault="00346E3B" w:rsidP="00665782">
      <w:pPr>
        <w:spacing w:after="0" w:line="240" w:lineRule="auto"/>
      </w:pPr>
      <w:r>
        <w:separator/>
      </w:r>
    </w:p>
  </w:footnote>
  <w:footnote w:type="continuationSeparator" w:id="0">
    <w:p w:rsidR="00346E3B" w:rsidRDefault="00346E3B" w:rsidP="0066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3" w:rsidRDefault="000716F3" w:rsidP="00AE75D3">
    <w:pPr>
      <w:pStyle w:val="Hlavika"/>
      <w:jc w:val="right"/>
      <w:rPr>
        <w:sz w:val="24"/>
        <w:szCs w:val="24"/>
      </w:rPr>
    </w:pPr>
    <w:r>
      <w:rPr>
        <w:sz w:val="24"/>
        <w:szCs w:val="24"/>
      </w:rPr>
      <w:t>Príloha č. 2</w:t>
    </w:r>
  </w:p>
  <w:p w:rsidR="000716F3" w:rsidRPr="00EB59C8" w:rsidRDefault="000716F3" w:rsidP="00AE75D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3" w:rsidRPr="0024067A" w:rsidRDefault="000716F3">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3" w:rsidRPr="000A15AE" w:rsidRDefault="000716F3" w:rsidP="00AE75D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5E"/>
    <w:multiLevelType w:val="hybridMultilevel"/>
    <w:tmpl w:val="4C4C75EE"/>
    <w:lvl w:ilvl="0" w:tplc="EF16E28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3BBB3B99"/>
    <w:multiLevelType w:val="hybridMultilevel"/>
    <w:tmpl w:val="C534CDA8"/>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19412A3"/>
    <w:multiLevelType w:val="hybridMultilevel"/>
    <w:tmpl w:val="CA440C5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37"/>
    <w:rsid w:val="00024624"/>
    <w:rsid w:val="00027BAA"/>
    <w:rsid w:val="00064977"/>
    <w:rsid w:val="000716F3"/>
    <w:rsid w:val="000A15AE"/>
    <w:rsid w:val="000B68F9"/>
    <w:rsid w:val="000C4D0F"/>
    <w:rsid w:val="000C61C0"/>
    <w:rsid w:val="000D24AA"/>
    <w:rsid w:val="000E0CEF"/>
    <w:rsid w:val="000F7B2F"/>
    <w:rsid w:val="001008C4"/>
    <w:rsid w:val="00111DDE"/>
    <w:rsid w:val="00127AF1"/>
    <w:rsid w:val="00175E1E"/>
    <w:rsid w:val="00185BAC"/>
    <w:rsid w:val="0019061F"/>
    <w:rsid w:val="00192C59"/>
    <w:rsid w:val="001A184E"/>
    <w:rsid w:val="001A74B0"/>
    <w:rsid w:val="002129A2"/>
    <w:rsid w:val="0024067A"/>
    <w:rsid w:val="00294637"/>
    <w:rsid w:val="003455A3"/>
    <w:rsid w:val="00346E3B"/>
    <w:rsid w:val="00356613"/>
    <w:rsid w:val="0036218B"/>
    <w:rsid w:val="0037783C"/>
    <w:rsid w:val="00381933"/>
    <w:rsid w:val="003A2E78"/>
    <w:rsid w:val="003A3B93"/>
    <w:rsid w:val="003B7262"/>
    <w:rsid w:val="003E2D45"/>
    <w:rsid w:val="003E32F3"/>
    <w:rsid w:val="003F48F8"/>
    <w:rsid w:val="0041502E"/>
    <w:rsid w:val="004204B2"/>
    <w:rsid w:val="0043604D"/>
    <w:rsid w:val="004B582F"/>
    <w:rsid w:val="004C5C89"/>
    <w:rsid w:val="004E3C36"/>
    <w:rsid w:val="004E7A32"/>
    <w:rsid w:val="004F2AB1"/>
    <w:rsid w:val="00506E59"/>
    <w:rsid w:val="00511D95"/>
    <w:rsid w:val="00517422"/>
    <w:rsid w:val="00525ABB"/>
    <w:rsid w:val="00530D38"/>
    <w:rsid w:val="0053318F"/>
    <w:rsid w:val="00535FD8"/>
    <w:rsid w:val="00537D69"/>
    <w:rsid w:val="00543D1C"/>
    <w:rsid w:val="00584CAC"/>
    <w:rsid w:val="0058775B"/>
    <w:rsid w:val="005A797E"/>
    <w:rsid w:val="005E3B01"/>
    <w:rsid w:val="005F51A7"/>
    <w:rsid w:val="00604734"/>
    <w:rsid w:val="006106D1"/>
    <w:rsid w:val="00657AC0"/>
    <w:rsid w:val="00665782"/>
    <w:rsid w:val="006B2B16"/>
    <w:rsid w:val="006C5EA0"/>
    <w:rsid w:val="006D785D"/>
    <w:rsid w:val="006F299C"/>
    <w:rsid w:val="007138D4"/>
    <w:rsid w:val="00754A57"/>
    <w:rsid w:val="00780022"/>
    <w:rsid w:val="00785FDB"/>
    <w:rsid w:val="007B73DC"/>
    <w:rsid w:val="007C630B"/>
    <w:rsid w:val="007D5196"/>
    <w:rsid w:val="007D6F98"/>
    <w:rsid w:val="008047E9"/>
    <w:rsid w:val="0082534F"/>
    <w:rsid w:val="008302AF"/>
    <w:rsid w:val="008315D3"/>
    <w:rsid w:val="00840B75"/>
    <w:rsid w:val="00841411"/>
    <w:rsid w:val="00841CAC"/>
    <w:rsid w:val="008731DA"/>
    <w:rsid w:val="00893994"/>
    <w:rsid w:val="00893DF7"/>
    <w:rsid w:val="008978CA"/>
    <w:rsid w:val="008B0917"/>
    <w:rsid w:val="008B7D45"/>
    <w:rsid w:val="008C5F78"/>
    <w:rsid w:val="008C6463"/>
    <w:rsid w:val="008D2E3D"/>
    <w:rsid w:val="008E0F87"/>
    <w:rsid w:val="008E4495"/>
    <w:rsid w:val="00910D4C"/>
    <w:rsid w:val="009321FA"/>
    <w:rsid w:val="0094113D"/>
    <w:rsid w:val="00957280"/>
    <w:rsid w:val="009A10CE"/>
    <w:rsid w:val="009A2EA1"/>
    <w:rsid w:val="009A4A94"/>
    <w:rsid w:val="009D45A5"/>
    <w:rsid w:val="00A025AE"/>
    <w:rsid w:val="00A12189"/>
    <w:rsid w:val="00A16253"/>
    <w:rsid w:val="00A45A21"/>
    <w:rsid w:val="00A64C67"/>
    <w:rsid w:val="00AA20C6"/>
    <w:rsid w:val="00AA2FD3"/>
    <w:rsid w:val="00AA4C62"/>
    <w:rsid w:val="00AB1BF8"/>
    <w:rsid w:val="00AC6C58"/>
    <w:rsid w:val="00AE1105"/>
    <w:rsid w:val="00AE75D3"/>
    <w:rsid w:val="00B035E0"/>
    <w:rsid w:val="00B03C54"/>
    <w:rsid w:val="00B14599"/>
    <w:rsid w:val="00B21737"/>
    <w:rsid w:val="00B2414E"/>
    <w:rsid w:val="00B3356A"/>
    <w:rsid w:val="00B7012B"/>
    <w:rsid w:val="00BB193D"/>
    <w:rsid w:val="00BB1F7B"/>
    <w:rsid w:val="00BD53F1"/>
    <w:rsid w:val="00C10429"/>
    <w:rsid w:val="00C421DF"/>
    <w:rsid w:val="00C47AFB"/>
    <w:rsid w:val="00C512C0"/>
    <w:rsid w:val="00C53A67"/>
    <w:rsid w:val="00C547F6"/>
    <w:rsid w:val="00C768C6"/>
    <w:rsid w:val="00C867B5"/>
    <w:rsid w:val="00C87CC9"/>
    <w:rsid w:val="00C939F6"/>
    <w:rsid w:val="00C96B5F"/>
    <w:rsid w:val="00CC1160"/>
    <w:rsid w:val="00CC5AF9"/>
    <w:rsid w:val="00CD709C"/>
    <w:rsid w:val="00CF37C3"/>
    <w:rsid w:val="00D23727"/>
    <w:rsid w:val="00D52761"/>
    <w:rsid w:val="00D66DB3"/>
    <w:rsid w:val="00D8201B"/>
    <w:rsid w:val="00D90A2A"/>
    <w:rsid w:val="00DD2385"/>
    <w:rsid w:val="00DE63B2"/>
    <w:rsid w:val="00E0015A"/>
    <w:rsid w:val="00E3413D"/>
    <w:rsid w:val="00E55FA0"/>
    <w:rsid w:val="00E70FAA"/>
    <w:rsid w:val="00E7579D"/>
    <w:rsid w:val="00E8211B"/>
    <w:rsid w:val="00EA7A1B"/>
    <w:rsid w:val="00EB1172"/>
    <w:rsid w:val="00EB59C8"/>
    <w:rsid w:val="00EC61A0"/>
    <w:rsid w:val="00EC79B0"/>
    <w:rsid w:val="00EF32BC"/>
    <w:rsid w:val="00EF6BB9"/>
    <w:rsid w:val="00EF7422"/>
    <w:rsid w:val="00F06405"/>
    <w:rsid w:val="00F17C76"/>
    <w:rsid w:val="00F34155"/>
    <w:rsid w:val="00F455D1"/>
    <w:rsid w:val="00F54CED"/>
    <w:rsid w:val="00F6704E"/>
    <w:rsid w:val="00F92225"/>
    <w:rsid w:val="00F93D06"/>
    <w:rsid w:val="00F95DAF"/>
    <w:rsid w:val="00FE7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DF7317-A996-41BA-81E6-19CE2B17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1737"/>
    <w:pPr>
      <w:ind w:left="720"/>
      <w:contextualSpacing/>
    </w:pPr>
  </w:style>
  <w:style w:type="paragraph" w:styleId="Hlavika">
    <w:name w:val="header"/>
    <w:basedOn w:val="Normlny"/>
    <w:link w:val="HlavikaChar"/>
    <w:uiPriority w:val="99"/>
    <w:unhideWhenUsed/>
    <w:rsid w:val="0066578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665782"/>
    <w:rPr>
      <w:rFonts w:cs="Times New Roman"/>
    </w:rPr>
  </w:style>
  <w:style w:type="paragraph" w:styleId="Pta">
    <w:name w:val="footer"/>
    <w:basedOn w:val="Normlny"/>
    <w:link w:val="PtaChar"/>
    <w:uiPriority w:val="99"/>
    <w:unhideWhenUsed/>
    <w:rsid w:val="00665782"/>
    <w:pPr>
      <w:tabs>
        <w:tab w:val="center" w:pos="4536"/>
        <w:tab w:val="right" w:pos="9072"/>
      </w:tabs>
      <w:spacing w:after="0" w:line="240" w:lineRule="auto"/>
    </w:pPr>
  </w:style>
  <w:style w:type="character" w:customStyle="1" w:styleId="PtaChar">
    <w:name w:val="Päta Char"/>
    <w:basedOn w:val="Predvolenpsmoodseku"/>
    <w:link w:val="Pta"/>
    <w:uiPriority w:val="99"/>
    <w:locked/>
    <w:rsid w:val="00665782"/>
    <w:rPr>
      <w:rFonts w:cs="Times New Roman"/>
    </w:rPr>
  </w:style>
  <w:style w:type="paragraph" w:styleId="Textbubliny">
    <w:name w:val="Balloon Text"/>
    <w:basedOn w:val="Normlny"/>
    <w:link w:val="TextbublinyChar"/>
    <w:uiPriority w:val="99"/>
    <w:semiHidden/>
    <w:unhideWhenUsed/>
    <w:rsid w:val="000D24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D24AA"/>
    <w:rPr>
      <w:rFonts w:ascii="Segoe UI" w:hAnsi="Segoe UI" w:cs="Segoe UI"/>
      <w:sz w:val="18"/>
      <w:szCs w:val="18"/>
    </w:rPr>
  </w:style>
  <w:style w:type="table" w:styleId="Mriekatabuky">
    <w:name w:val="Table Grid"/>
    <w:basedOn w:val="Normlnatabuka"/>
    <w:uiPriority w:val="59"/>
    <w:rsid w:val="000716F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071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51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správa"/>
    <f:field ref="objsubject" par="" edit="true" text=""/>
    <f:field ref="objcreatedby" par="" text="Rozsár, Peter"/>
    <f:field ref="objcreatedat" par="" text="4.2.2019 15:15:56"/>
    <f:field ref="objchangedby" par="" text="Administrator, System"/>
    <f:field ref="objmodifiedat" par="" text="4.2.2019 15:15: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2774</Words>
  <Characters>15816</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Csenkeyová, Andrea</dc:creator>
  <cp:keywords/>
  <dc:description/>
  <cp:lastModifiedBy>Csenkeyová, Andrea</cp:lastModifiedBy>
  <cp:revision>2</cp:revision>
  <cp:lastPrinted>2019-01-28T15:41:00Z</cp:lastPrinted>
  <dcterms:created xsi:type="dcterms:W3CDTF">2019-03-08T09:03:00Z</dcterms:created>
  <dcterms:modified xsi:type="dcterms:W3CDTF">2019-03-08T09:03:00Z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poskytovaní dotácií v pôsobnosti Ministerstva dopravy a výstavby Slovenskej republiky na podporu rozvoja cyklistickej dopravy a cykloturistiky informovaná prostredníctvom predb</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Doprava_x000d__x000d_Finančné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Peter Rozsár</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poskytovaní dotácií v pôsobnosti Ministerstva dopravy a výstavby Slovenskej republiky na podporu rozvoja cyklistickej dopravy a cykloturistiky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poskytovaní dotácií v pôsobnosti Ministerstva dopravy a výstavby Slovenskej republiky na podporu rozvoja cyklistickej dopravy a cykloturistiky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08140/2019/OSR/04533-M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LP/2019/91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Érsek_x000d__x000d_minister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a&amp;nbsp;výstavby Slovenskej republiky (ďalej len ,,ministerstvo“) predkladá návrh zákona o poskytovaní dotácií v pôsobnosti Ministerstva dopravy a výstavby Slovenskej republiky na podporu rozvoja cyklist</vt:lpwstr>
  </property>
  <property fmtid="{D5CDD505-2E9C-101B-9397-08002B2CF9AE}" pid="150" name="FSC#SKEDITIONSLOVLEX@103.510:vytvorenedna">
    <vt:lpwstr>4. 2. 2019</vt:lpwstr>
  </property>
  <property fmtid="{D5CDD505-2E9C-101B-9397-08002B2CF9AE}" pid="151" name="FSC#COOSYSTEM@1.1:Container">
    <vt:lpwstr>COO.2145.1000.3.3189351</vt:lpwstr>
  </property>
  <property fmtid="{D5CDD505-2E9C-101B-9397-08002B2CF9AE}" pid="152" name="FSC#FSCFOLIO@1.1001:docpropproject">
    <vt:lpwstr/>
  </property>
</Properties>
</file>