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rsidTr="001B400E">
        <w:trPr>
          <w:trHeight w:val="567"/>
        </w:trPr>
        <w:tc>
          <w:tcPr>
            <w:tcW w:w="9212" w:type="dxa"/>
            <w:shd w:val="clear" w:color="auto" w:fill="D9D9D9" w:themeFill="background1" w:themeFillShade="D9"/>
          </w:tcPr>
          <w:p w:rsidR="009F2DFA" w:rsidRPr="00042C66" w:rsidRDefault="008A1252" w:rsidP="001B400E">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1B400E">
        <w:trPr>
          <w:trHeight w:val="567"/>
        </w:trPr>
        <w:tc>
          <w:tcPr>
            <w:tcW w:w="9212" w:type="dxa"/>
            <w:shd w:val="clear" w:color="auto" w:fill="D9D9D9" w:themeFill="background1" w:themeFillShade="D9"/>
          </w:tcPr>
          <w:p w:rsidR="009F2DFA" w:rsidRPr="00042C66" w:rsidRDefault="009F2DFA" w:rsidP="001B400E">
            <w:pPr>
              <w:rPr>
                <w:b/>
                <w:sz w:val="24"/>
              </w:rPr>
            </w:pPr>
            <w:r w:rsidRPr="00042C66">
              <w:rPr>
                <w:b/>
                <w:sz w:val="24"/>
              </w:rPr>
              <w:t>Materiál bude mať vplyv s ohľadom na veľkostnú kategóriu podnikov:</w:t>
            </w:r>
          </w:p>
        </w:tc>
      </w:tr>
      <w:tr w:rsidR="009F2DFA" w:rsidRPr="00F04CCD" w:rsidTr="001B400E">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1B400E">
              <w:tc>
                <w:tcPr>
                  <w:tcW w:w="436" w:type="dxa"/>
                  <w:tcBorders>
                    <w:top w:val="nil"/>
                    <w:left w:val="nil"/>
                    <w:bottom w:val="nil"/>
                    <w:right w:val="nil"/>
                  </w:tcBorders>
                </w:tcPr>
                <w:p w:rsidR="009F2DFA" w:rsidRPr="00F04CCD" w:rsidRDefault="009F2DFA" w:rsidP="001B400E">
                  <w:pPr>
                    <w:jc w:val="center"/>
                  </w:pPr>
                  <w:r w:rsidRPr="00F04CCD">
                    <w:rPr>
                      <w:rFonts w:ascii="MS Mincho" w:eastAsia="MS Mincho" w:hAnsi="MS Mincho" w:cs="MS Mincho" w:hint="eastAsia"/>
                    </w:rPr>
                    <w:t>☐</w:t>
                  </w:r>
                </w:p>
              </w:tc>
              <w:tc>
                <w:tcPr>
                  <w:tcW w:w="8545" w:type="dxa"/>
                  <w:tcBorders>
                    <w:top w:val="nil"/>
                    <w:left w:val="nil"/>
                    <w:bottom w:val="nil"/>
                    <w:right w:val="nil"/>
                  </w:tcBorders>
                </w:tcPr>
                <w:p w:rsidR="009F2DFA" w:rsidRPr="00F04CCD" w:rsidRDefault="009F2DFA" w:rsidP="001B400E">
                  <w:pPr>
                    <w:rPr>
                      <w:b/>
                    </w:rPr>
                  </w:pPr>
                  <w:r w:rsidRPr="00F04CCD">
                    <w:rPr>
                      <w:b/>
                    </w:rPr>
                    <w:t xml:space="preserve">iba na MSP (0 - 249 zamestnancov) </w:t>
                  </w:r>
                </w:p>
              </w:tc>
            </w:tr>
            <w:tr w:rsidR="009F2DFA" w:rsidRPr="00F04CCD" w:rsidTr="001B400E">
              <w:tc>
                <w:tcPr>
                  <w:tcW w:w="436" w:type="dxa"/>
                  <w:tcBorders>
                    <w:top w:val="nil"/>
                    <w:left w:val="nil"/>
                    <w:bottom w:val="nil"/>
                    <w:right w:val="nil"/>
                  </w:tcBorders>
                </w:tcPr>
                <w:p w:rsidR="009F2DFA" w:rsidRPr="00F04CCD" w:rsidRDefault="00B54427" w:rsidP="001B400E">
                  <w:pPr>
                    <w:jc w:val="center"/>
                  </w:pPr>
                  <w:r>
                    <w:rPr>
                      <w:rFonts w:ascii="MS Gothic" w:eastAsia="MS Gothic" w:hAnsi="MS Gothic" w:hint="eastAsia"/>
                    </w:rPr>
                    <w:t>☒</w:t>
                  </w:r>
                </w:p>
              </w:tc>
              <w:tc>
                <w:tcPr>
                  <w:tcW w:w="8545" w:type="dxa"/>
                  <w:tcBorders>
                    <w:top w:val="nil"/>
                    <w:left w:val="nil"/>
                    <w:bottom w:val="nil"/>
                    <w:right w:val="nil"/>
                  </w:tcBorders>
                </w:tcPr>
                <w:p w:rsidR="009F2DFA" w:rsidRPr="00F04CCD" w:rsidRDefault="009F2DFA" w:rsidP="001B400E">
                  <w:pPr>
                    <w:rPr>
                      <w:b/>
                    </w:rPr>
                  </w:pPr>
                  <w:r w:rsidRPr="00F04CCD">
                    <w:rPr>
                      <w:b/>
                    </w:rPr>
                    <w:t>iba na veľké podniky (250 a viac zamestnancov)</w:t>
                  </w:r>
                </w:p>
              </w:tc>
            </w:tr>
            <w:tr w:rsidR="009F2DFA" w:rsidRPr="00F04CCD" w:rsidTr="001B400E">
              <w:tc>
                <w:tcPr>
                  <w:tcW w:w="436" w:type="dxa"/>
                  <w:tcBorders>
                    <w:top w:val="nil"/>
                    <w:left w:val="nil"/>
                    <w:bottom w:val="nil"/>
                    <w:right w:val="nil"/>
                  </w:tcBorders>
                </w:tcPr>
                <w:p w:rsidR="009F2DFA" w:rsidRPr="00F04CCD" w:rsidRDefault="009F2DFA" w:rsidP="001B400E">
                  <w:pPr>
                    <w:jc w:val="center"/>
                  </w:pPr>
                  <w:r w:rsidRPr="00F04CCD">
                    <w:rPr>
                      <w:rFonts w:ascii="MS Mincho" w:eastAsia="MS Mincho" w:hAnsi="MS Mincho" w:cs="MS Mincho" w:hint="eastAsia"/>
                    </w:rPr>
                    <w:t>☐</w:t>
                  </w:r>
                </w:p>
              </w:tc>
              <w:tc>
                <w:tcPr>
                  <w:tcW w:w="8545" w:type="dxa"/>
                  <w:tcBorders>
                    <w:top w:val="nil"/>
                    <w:left w:val="nil"/>
                    <w:bottom w:val="nil"/>
                    <w:right w:val="nil"/>
                  </w:tcBorders>
                </w:tcPr>
                <w:p w:rsidR="009F2DFA" w:rsidRPr="00F04CCD" w:rsidRDefault="009F2DFA" w:rsidP="001B400E">
                  <w:r w:rsidRPr="00F04CCD">
                    <w:rPr>
                      <w:b/>
                    </w:rPr>
                    <w:t xml:space="preserve">na všetky </w:t>
                  </w:r>
                  <w:r>
                    <w:rPr>
                      <w:b/>
                    </w:rPr>
                    <w:t>kategórie</w:t>
                  </w:r>
                  <w:r w:rsidRPr="00F04CCD">
                    <w:rPr>
                      <w:b/>
                    </w:rPr>
                    <w:t xml:space="preserve"> podnikov</w:t>
                  </w:r>
                </w:p>
              </w:tc>
            </w:tr>
          </w:tbl>
          <w:p w:rsidR="009F2DFA" w:rsidRPr="00F04CCD" w:rsidRDefault="009F2DFA" w:rsidP="001B400E">
            <w:pPr>
              <w:rPr>
                <w:b/>
              </w:rPr>
            </w:pPr>
          </w:p>
        </w:tc>
      </w:tr>
      <w:tr w:rsidR="009F2DFA" w:rsidRPr="00F04CCD" w:rsidTr="001B400E">
        <w:tc>
          <w:tcPr>
            <w:tcW w:w="9212" w:type="dxa"/>
            <w:shd w:val="clear" w:color="auto" w:fill="D9D9D9" w:themeFill="background1" w:themeFillShade="D9"/>
          </w:tcPr>
          <w:p w:rsidR="009F2DFA" w:rsidRPr="00042C66" w:rsidRDefault="002B1108" w:rsidP="001B400E">
            <w:pPr>
              <w:rPr>
                <w:b/>
                <w:sz w:val="24"/>
              </w:rPr>
            </w:pPr>
            <w:r>
              <w:rPr>
                <w:b/>
                <w:sz w:val="24"/>
              </w:rPr>
              <w:t>3</w:t>
            </w:r>
            <w:r w:rsidR="009F2DFA" w:rsidRPr="00042C66">
              <w:rPr>
                <w:b/>
                <w:sz w:val="24"/>
              </w:rPr>
              <w:t>.1 Dotknuté podnikateľské subjekty</w:t>
            </w:r>
          </w:p>
          <w:p w:rsidR="009F2DFA" w:rsidRPr="00F04CCD" w:rsidRDefault="009F2DFA" w:rsidP="001B400E">
            <w:pPr>
              <w:ind w:left="284"/>
              <w:rPr>
                <w:b/>
              </w:rPr>
            </w:pPr>
            <w:r w:rsidRPr="00042C66">
              <w:rPr>
                <w:sz w:val="24"/>
              </w:rPr>
              <w:t xml:space="preserve"> - </w:t>
            </w:r>
            <w:r w:rsidRPr="00042C66">
              <w:rPr>
                <w:b/>
                <w:sz w:val="24"/>
              </w:rPr>
              <w:t>z toho MSP</w:t>
            </w:r>
          </w:p>
        </w:tc>
      </w:tr>
      <w:tr w:rsidR="009F2DFA" w:rsidRPr="00F04CCD" w:rsidTr="001B400E">
        <w:tc>
          <w:tcPr>
            <w:tcW w:w="9212" w:type="dxa"/>
          </w:tcPr>
          <w:p w:rsidR="009F2DFA" w:rsidRPr="00F04CCD" w:rsidRDefault="009F2DFA" w:rsidP="001B400E">
            <w:pPr>
              <w:rPr>
                <w:i/>
              </w:rPr>
            </w:pPr>
            <w:r w:rsidRPr="00F04CCD">
              <w:rPr>
                <w:i/>
              </w:rPr>
              <w:t>Uveďte, aké podnikateľské subjekty budú predkladaným návrhom ovplyvnené.</w:t>
            </w:r>
          </w:p>
          <w:p w:rsidR="009F2DFA" w:rsidRPr="00F04CCD" w:rsidRDefault="009F2DFA" w:rsidP="001B400E">
            <w:pPr>
              <w:rPr>
                <w:i/>
              </w:rPr>
            </w:pPr>
            <w:r w:rsidRPr="00F04CCD">
              <w:rPr>
                <w:i/>
              </w:rPr>
              <w:t>Aký je ich počet?</w:t>
            </w:r>
          </w:p>
        </w:tc>
      </w:tr>
      <w:tr w:rsidR="009F2DFA" w:rsidRPr="00F04CCD" w:rsidTr="001B400E">
        <w:trPr>
          <w:trHeight w:val="1440"/>
        </w:trPr>
        <w:tc>
          <w:tcPr>
            <w:tcW w:w="9212" w:type="dxa"/>
          </w:tcPr>
          <w:p w:rsidR="00B54427" w:rsidRPr="00B54427" w:rsidRDefault="00B54427" w:rsidP="00B54427">
            <w:pPr>
              <w:jc w:val="both"/>
            </w:pPr>
            <w:r w:rsidRPr="00B54427">
              <w:t>Osobná pôsobnosť navrhovanej právnej úpravy je obmedzená na verejné akciové spoločnosti, t.j. na akciové spoločnosti, ktorých akcie sú prijaté na obchodovanie na regulovanom trhu nachádzajúcom sa alebo fungujúcom v rámci členského štátu EU</w:t>
            </w:r>
            <w:r w:rsidR="00C02906">
              <w:t xml:space="preserve"> (§ 154 ods. 3 druhá veta OBZ)</w:t>
            </w:r>
            <w:r w:rsidRPr="00B54427">
              <w:t xml:space="preserve">. </w:t>
            </w:r>
          </w:p>
          <w:p w:rsidR="00B54427" w:rsidRPr="00B54427" w:rsidRDefault="00B54427" w:rsidP="00B54427">
            <w:pPr>
              <w:jc w:val="both"/>
            </w:pPr>
            <w:r w:rsidRPr="00B54427">
              <w:t>Toto obmedzenie vyplýva zo samotnej smernice 2007/36/ES, viď jej názov a článok 1 ods. 1 a definície regulovaného trhu v zmysle § 25 ods. 1 zákona č. 429/2002 Z. z. o burze cenných papierov v znení neskorších predpisov.</w:t>
            </w:r>
          </w:p>
          <w:p w:rsidR="009F2DFA" w:rsidRPr="00F04CCD" w:rsidRDefault="00B54427" w:rsidP="00B54427">
            <w:pPr>
              <w:jc w:val="both"/>
              <w:rPr>
                <w:i/>
              </w:rPr>
            </w:pPr>
            <w:r w:rsidRPr="00B54427">
              <w:t>V súčasnosti sa podľa informácii z webového sídla Burzy cenných papierov v Bratislave, a.s. jedná o 42 subjektov.</w:t>
            </w:r>
          </w:p>
        </w:tc>
      </w:tr>
      <w:tr w:rsidR="009F2DFA" w:rsidRPr="00F04CCD" w:rsidTr="001B400E">
        <w:trPr>
          <w:trHeight w:val="339"/>
        </w:trPr>
        <w:tc>
          <w:tcPr>
            <w:tcW w:w="9212" w:type="dxa"/>
            <w:shd w:val="clear" w:color="auto" w:fill="D9D9D9" w:themeFill="background1" w:themeFillShade="D9"/>
          </w:tcPr>
          <w:p w:rsidR="009F2DFA" w:rsidRPr="00042C66" w:rsidRDefault="002B1108" w:rsidP="001B400E">
            <w:pPr>
              <w:rPr>
                <w:b/>
                <w:sz w:val="24"/>
              </w:rPr>
            </w:pPr>
            <w:r>
              <w:rPr>
                <w:b/>
                <w:sz w:val="24"/>
              </w:rPr>
              <w:t>3</w:t>
            </w:r>
            <w:r w:rsidR="009F2DFA" w:rsidRPr="00042C66">
              <w:rPr>
                <w:b/>
                <w:sz w:val="24"/>
              </w:rPr>
              <w:t>.2 Vyhodnotenie konzultácií</w:t>
            </w:r>
          </w:p>
          <w:p w:rsidR="009F2DFA" w:rsidRPr="00F04CCD" w:rsidRDefault="009F2DFA" w:rsidP="001B400E">
            <w:pPr>
              <w:rPr>
                <w:b/>
              </w:rPr>
            </w:pPr>
            <w:r w:rsidRPr="00042C66">
              <w:rPr>
                <w:sz w:val="24"/>
              </w:rPr>
              <w:t xml:space="preserve">       - </w:t>
            </w:r>
            <w:r w:rsidRPr="00042C66">
              <w:rPr>
                <w:b/>
                <w:sz w:val="24"/>
              </w:rPr>
              <w:t>z toho MSP</w:t>
            </w:r>
          </w:p>
        </w:tc>
      </w:tr>
      <w:tr w:rsidR="009F2DFA" w:rsidRPr="00F04CCD" w:rsidTr="001B400E">
        <w:trPr>
          <w:trHeight w:val="557"/>
        </w:trPr>
        <w:tc>
          <w:tcPr>
            <w:tcW w:w="9212" w:type="dxa"/>
          </w:tcPr>
          <w:p w:rsidR="009F2DFA" w:rsidRPr="00F04CCD" w:rsidRDefault="009F2DFA" w:rsidP="001B400E">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1B400E">
            <w:pPr>
              <w:rPr>
                <w:i/>
              </w:rPr>
            </w:pPr>
            <w:r w:rsidRPr="00F04CCD">
              <w:rPr>
                <w:i/>
              </w:rPr>
              <w:t>Ako dlho trvali konzultácie?</w:t>
            </w:r>
          </w:p>
          <w:p w:rsidR="009F2DFA" w:rsidRPr="000D2622" w:rsidRDefault="009F2DFA" w:rsidP="001B400E">
            <w:pPr>
              <w:rPr>
                <w:i/>
              </w:rPr>
            </w:pPr>
            <w:r w:rsidRPr="00F04CCD">
              <w:rPr>
                <w:i/>
              </w:rPr>
              <w:t xml:space="preserve">Uveďte hlavné body konzultácií a výsledky konzultácií. </w:t>
            </w:r>
          </w:p>
        </w:tc>
      </w:tr>
      <w:tr w:rsidR="009F2DFA" w:rsidRPr="00F04CCD" w:rsidTr="001B400E">
        <w:trPr>
          <w:trHeight w:val="1440"/>
        </w:trPr>
        <w:tc>
          <w:tcPr>
            <w:tcW w:w="9212" w:type="dxa"/>
          </w:tcPr>
          <w:p w:rsidR="009F2DFA" w:rsidRDefault="00B54427" w:rsidP="00114BFC">
            <w:pPr>
              <w:jc w:val="both"/>
            </w:pPr>
            <w:r>
              <w:t>K materiálu bola zverejnená predbežná informácia v zmysle Legislatívnych pravidiel vlády Slovenskej republiky</w:t>
            </w:r>
            <w:r w:rsidR="002B684F">
              <w:t xml:space="preserve">; </w:t>
            </w:r>
            <w:hyperlink r:id="rId8" w:history="1">
              <w:r w:rsidR="002B684F" w:rsidRPr="005A14C7">
                <w:rPr>
                  <w:rStyle w:val="Hypertextovprepojenie"/>
                </w:rPr>
                <w:t>https://www.slov-lex.sk/legislativne-procesy/SK/PI/2018/204</w:t>
              </w:r>
            </w:hyperlink>
            <w:r w:rsidR="0043403E">
              <w:t xml:space="preserve"> (25.9. - </w:t>
            </w:r>
            <w:r>
              <w:t>8.10.2018). Ďalej boli</w:t>
            </w:r>
            <w:r w:rsidR="007158A6">
              <w:t xml:space="preserve"> z vlastnej iniciatívy predkladateľom uskutočnené</w:t>
            </w:r>
            <w:r>
              <w:t xml:space="preserve"> konzultácie s Ministerstvo</w:t>
            </w:r>
            <w:r w:rsidR="00D24FFF">
              <w:t>m</w:t>
            </w:r>
            <w:r>
              <w:t xml:space="preserve"> financií Slovenskej republiky ako spolugestorom predkladaného materiálu</w:t>
            </w:r>
            <w:r w:rsidR="00D24FFF">
              <w:t xml:space="preserve"> a</w:t>
            </w:r>
            <w:r w:rsidR="002B684F">
              <w:t> niektorými p</w:t>
            </w:r>
            <w:r w:rsidR="00D24FFF">
              <w:t>ovinnými subjektmi v zmysle novej právnej úpravy</w:t>
            </w:r>
            <w:r w:rsidR="007158A6">
              <w:t xml:space="preserve"> (</w:t>
            </w:r>
            <w:r w:rsidR="00114BFC">
              <w:t>Centrálny depozitár cenných papierov, a.s. a Národná banka Slovenska</w:t>
            </w:r>
            <w:r w:rsidR="007158A6">
              <w:t>)</w:t>
            </w:r>
            <w:r w:rsidR="00D24FFF">
              <w:t>.</w:t>
            </w:r>
            <w:r w:rsidR="0043403E">
              <w:t xml:space="preserve"> Materiál bol predmetom predbežného prip</w:t>
            </w:r>
            <w:r w:rsidR="007158A6">
              <w:t>omienkového konania (18.12. - 27</w:t>
            </w:r>
            <w:r w:rsidR="0043403E">
              <w:t>.12.2018).</w:t>
            </w:r>
          </w:p>
          <w:p w:rsidR="007A7B0F" w:rsidRPr="00B54427" w:rsidRDefault="007A7B0F" w:rsidP="00DE080B">
            <w:pPr>
              <w:jc w:val="both"/>
            </w:pPr>
            <w:r>
              <w:t xml:space="preserve">Konzultácie s podnikateľskými subjektmi neboli uskutočnené, nakoľko túto povinnosť má predkladateľ v zmysle </w:t>
            </w:r>
            <w:r w:rsidRPr="006C7B63">
              <w:t xml:space="preserve">Jednotnej metodiky na posudzovanie vybraných vplyvov (ďalej len „metodika“)  </w:t>
            </w:r>
            <w:r>
              <w:t>iba v prípade, ak bol</w:t>
            </w:r>
            <w:r w:rsidRPr="006C7B63">
              <w:t xml:space="preserve"> o tejto povinnosti informovaný </w:t>
            </w:r>
            <w:r>
              <w:t xml:space="preserve">Ministerstvom hospodárstva Slovenskej republiky </w:t>
            </w:r>
            <w:r w:rsidRPr="006C7B63">
              <w:t xml:space="preserve">v zmysle bodu 5.5 metodiky a legislatívny materiál predpokladá významné vplyvy na podnikateľské prostredie (bod 5.4 metodiky), </w:t>
            </w:r>
            <w:r>
              <w:t>čo nie je tento prípad. Podnikateľské subjekty budú oslovené v rámci medzirezortného pripomienkového konania, tak ako býva štandardnom pri novelizáciách Obchodného zákonníka. V</w:t>
            </w:r>
            <w:r w:rsidRPr="006C7B63">
              <w:t xml:space="preserve"> neposlednom rade</w:t>
            </w:r>
            <w:r>
              <w:t xml:space="preserve"> je potrebné upozorniť, že </w:t>
            </w:r>
            <w:r w:rsidRPr="006C7B63">
              <w:t xml:space="preserve">sa </w:t>
            </w:r>
            <w:r>
              <w:t xml:space="preserve">v danom prípade </w:t>
            </w:r>
            <w:r w:rsidRPr="006C7B63">
              <w:t>jedná o transpozíciu práva EU</w:t>
            </w:r>
            <w:r>
              <w:t>, predkladateľ je teda limitovaný čo sa týka predmetu úpravy.</w:t>
            </w:r>
          </w:p>
        </w:tc>
      </w:tr>
      <w:tr w:rsidR="009F2DFA" w:rsidRPr="00F04CCD" w:rsidTr="001B400E">
        <w:tc>
          <w:tcPr>
            <w:tcW w:w="9212" w:type="dxa"/>
            <w:shd w:val="clear" w:color="auto" w:fill="D9D9D9" w:themeFill="background1" w:themeFillShade="D9"/>
          </w:tcPr>
          <w:p w:rsidR="009F2DFA" w:rsidRPr="00042C66" w:rsidRDefault="002B1108" w:rsidP="001B400E">
            <w:pPr>
              <w:rPr>
                <w:b/>
                <w:sz w:val="24"/>
              </w:rPr>
            </w:pPr>
            <w:r>
              <w:rPr>
                <w:b/>
                <w:sz w:val="24"/>
              </w:rPr>
              <w:t>3</w:t>
            </w:r>
            <w:r w:rsidR="009F2DFA" w:rsidRPr="00042C66">
              <w:rPr>
                <w:b/>
                <w:sz w:val="24"/>
              </w:rPr>
              <w:t>.3 Náklady regulácie</w:t>
            </w:r>
          </w:p>
          <w:p w:rsidR="009F2DFA" w:rsidRPr="00F04CCD" w:rsidRDefault="009F2DFA" w:rsidP="001B400E">
            <w:pPr>
              <w:rPr>
                <w:b/>
              </w:rPr>
            </w:pPr>
            <w:r w:rsidRPr="00042C66">
              <w:rPr>
                <w:sz w:val="24"/>
              </w:rPr>
              <w:t xml:space="preserve">      - </w:t>
            </w:r>
            <w:r w:rsidRPr="00042C66">
              <w:rPr>
                <w:b/>
                <w:sz w:val="24"/>
              </w:rPr>
              <w:t>z toho MSP</w:t>
            </w:r>
          </w:p>
        </w:tc>
      </w:tr>
      <w:tr w:rsidR="009F2DFA" w:rsidRPr="00F04CCD" w:rsidTr="001B400E">
        <w:tc>
          <w:tcPr>
            <w:tcW w:w="9212" w:type="dxa"/>
          </w:tcPr>
          <w:p w:rsidR="009F2DFA" w:rsidRPr="00F04CCD" w:rsidRDefault="002B1108" w:rsidP="001B400E">
            <w:pPr>
              <w:rPr>
                <w:b/>
                <w:i/>
              </w:rPr>
            </w:pPr>
            <w:r>
              <w:rPr>
                <w:b/>
                <w:i/>
              </w:rPr>
              <w:t>3</w:t>
            </w:r>
            <w:r w:rsidR="009F2DFA" w:rsidRPr="00F04CCD">
              <w:rPr>
                <w:b/>
                <w:i/>
              </w:rPr>
              <w:t>.3.1 Priame finančné náklady</w:t>
            </w:r>
          </w:p>
          <w:p w:rsidR="009F2DFA" w:rsidRPr="00F04CCD" w:rsidRDefault="009F2DFA" w:rsidP="001B400E">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D24FFF" w:rsidTr="001B400E">
        <w:tc>
          <w:tcPr>
            <w:tcW w:w="9212" w:type="dxa"/>
          </w:tcPr>
          <w:p w:rsidR="009F2DFA" w:rsidRPr="00D24FFF" w:rsidRDefault="00D24FFF" w:rsidP="00194228">
            <w:pPr>
              <w:jc w:val="both"/>
              <w:rPr>
                <w:i/>
              </w:rPr>
            </w:pPr>
            <w:r w:rsidRPr="00D24FFF">
              <w:t>Nie, predkladaná právna úprava nezakladá priame finančné náklady v podobe zavedenia nových prípadne zvýšenia</w:t>
            </w:r>
            <w:r w:rsidR="00C02906" w:rsidRPr="00D24FFF">
              <w:t xml:space="preserve">(zníženia) </w:t>
            </w:r>
            <w:r w:rsidRPr="00D24FFF">
              <w:t xml:space="preserve"> </w:t>
            </w:r>
            <w:r>
              <w:t xml:space="preserve">existujúcich </w:t>
            </w:r>
            <w:r w:rsidRPr="00D24FFF">
              <w:t>poplatkov, odvodov, daní, ciel a pod.</w:t>
            </w:r>
          </w:p>
        </w:tc>
      </w:tr>
      <w:tr w:rsidR="009F2DFA" w:rsidRPr="00F04CCD" w:rsidTr="001B400E">
        <w:tc>
          <w:tcPr>
            <w:tcW w:w="9212" w:type="dxa"/>
          </w:tcPr>
          <w:p w:rsidR="009F2DFA" w:rsidRPr="00F04CCD" w:rsidRDefault="002B1108" w:rsidP="001B400E">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1B400E">
        <w:tc>
          <w:tcPr>
            <w:tcW w:w="9212" w:type="dxa"/>
          </w:tcPr>
          <w:p w:rsidR="00D24FFF" w:rsidRPr="00F04CCD" w:rsidRDefault="00D24FFF" w:rsidP="00DE080B">
            <w:pPr>
              <w:jc w:val="both"/>
              <w:rPr>
                <w:b/>
                <w:i/>
              </w:rPr>
            </w:pPr>
            <w:r w:rsidRPr="00D24FFF">
              <w:t xml:space="preserve">Nie, predkladaná právna úprava nezakladá </w:t>
            </w:r>
            <w:r>
              <w:t>ne</w:t>
            </w:r>
            <w:r w:rsidRPr="00D24FFF">
              <w:t>priame finančné náklady</w:t>
            </w:r>
            <w:r>
              <w:t xml:space="preserve"> na nákup tovarov alebo služieb.</w:t>
            </w:r>
          </w:p>
        </w:tc>
      </w:tr>
      <w:tr w:rsidR="009F2DFA" w:rsidRPr="00F04CCD" w:rsidTr="001B400E">
        <w:tc>
          <w:tcPr>
            <w:tcW w:w="9212" w:type="dxa"/>
          </w:tcPr>
          <w:p w:rsidR="009F2DFA" w:rsidRPr="00F04CCD" w:rsidRDefault="002B1108" w:rsidP="001B400E">
            <w:pPr>
              <w:rPr>
                <w:b/>
                <w:i/>
              </w:rPr>
            </w:pPr>
            <w:r>
              <w:rPr>
                <w:b/>
                <w:i/>
              </w:rPr>
              <w:t>3</w:t>
            </w:r>
            <w:r w:rsidR="009F2DFA" w:rsidRPr="00F04CCD">
              <w:rPr>
                <w:b/>
                <w:i/>
              </w:rPr>
              <w:t>.3.3 Administratívne náklady</w:t>
            </w:r>
          </w:p>
          <w:p w:rsidR="009F2DFA" w:rsidRPr="00F04CCD" w:rsidRDefault="009F2DFA" w:rsidP="001B400E">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1B400E">
        <w:tc>
          <w:tcPr>
            <w:tcW w:w="9212" w:type="dxa"/>
          </w:tcPr>
          <w:p w:rsidR="009F2DFA" w:rsidRDefault="00D24FFF" w:rsidP="00D24FFF">
            <w:pPr>
              <w:jc w:val="both"/>
            </w:pPr>
            <w:r w:rsidRPr="00D24FFF">
              <w:t>Áno, predkladaný materiál zavádza nasledovný okruh nových informačných povinností</w:t>
            </w:r>
            <w:r w:rsidR="00B90066">
              <w:t xml:space="preserve"> a osobitných druhov povinností</w:t>
            </w:r>
            <w:r w:rsidRPr="00D24FFF">
              <w:t>:</w:t>
            </w:r>
          </w:p>
          <w:p w:rsidR="00C02906" w:rsidRDefault="00D24FFF" w:rsidP="006865F9">
            <w:pPr>
              <w:pStyle w:val="Odsekzoznamu"/>
              <w:numPr>
                <w:ilvl w:val="0"/>
                <w:numId w:val="13"/>
              </w:numPr>
              <w:spacing w:after="0" w:line="240" w:lineRule="auto"/>
              <w:jc w:val="both"/>
              <w:rPr>
                <w:rFonts w:ascii="Times New Roman" w:hAnsi="Times New Roman"/>
                <w:sz w:val="20"/>
                <w:szCs w:val="20"/>
              </w:rPr>
            </w:pPr>
            <w:r w:rsidRPr="00C02906">
              <w:rPr>
                <w:rFonts w:ascii="Times New Roman" w:hAnsi="Times New Roman"/>
                <w:sz w:val="20"/>
                <w:szCs w:val="20"/>
              </w:rPr>
              <w:t>zasielanie potvrdenia podľa § 188 ods. 5 OBZ</w:t>
            </w:r>
            <w:r w:rsidR="00C02906" w:rsidRPr="00C02906">
              <w:rPr>
                <w:rFonts w:ascii="Times New Roman" w:hAnsi="Times New Roman"/>
                <w:sz w:val="20"/>
                <w:szCs w:val="20"/>
              </w:rPr>
              <w:t>, na požiadanie</w:t>
            </w:r>
            <w:r w:rsidR="00C02906">
              <w:rPr>
                <w:rFonts w:ascii="Times New Roman" w:hAnsi="Times New Roman"/>
                <w:sz w:val="20"/>
                <w:szCs w:val="20"/>
              </w:rPr>
              <w:t xml:space="preserve"> akcionára (alebo osoby ním splnomocnenej)</w:t>
            </w:r>
            <w:r w:rsidR="00C02906" w:rsidRPr="00C02906">
              <w:rPr>
                <w:rFonts w:ascii="Times New Roman" w:hAnsi="Times New Roman"/>
                <w:sz w:val="20"/>
                <w:szCs w:val="20"/>
              </w:rPr>
              <w:t>,</w:t>
            </w:r>
            <w:r w:rsidR="00C02906">
              <w:rPr>
                <w:rFonts w:ascii="Times New Roman" w:hAnsi="Times New Roman"/>
                <w:sz w:val="20"/>
                <w:szCs w:val="20"/>
              </w:rPr>
              <w:t xml:space="preserve"> to však</w:t>
            </w:r>
            <w:r w:rsidR="00C02906" w:rsidRPr="00C02906">
              <w:rPr>
                <w:rFonts w:ascii="Times New Roman" w:hAnsi="Times New Roman"/>
                <w:sz w:val="20"/>
                <w:szCs w:val="20"/>
              </w:rPr>
              <w:t xml:space="preserve"> iba v</w:t>
            </w:r>
            <w:r w:rsidR="00C02906">
              <w:rPr>
                <w:rFonts w:ascii="Times New Roman" w:hAnsi="Times New Roman"/>
                <w:sz w:val="20"/>
                <w:szCs w:val="20"/>
              </w:rPr>
              <w:t xml:space="preserve"> </w:t>
            </w:r>
            <w:r w:rsidR="00C02906" w:rsidRPr="00C02906">
              <w:rPr>
                <w:rFonts w:ascii="Times New Roman" w:hAnsi="Times New Roman"/>
                <w:sz w:val="20"/>
                <w:szCs w:val="20"/>
              </w:rPr>
              <w:t>prípade</w:t>
            </w:r>
            <w:r w:rsidR="00C02906">
              <w:rPr>
                <w:rFonts w:ascii="Times New Roman" w:hAnsi="Times New Roman"/>
                <w:sz w:val="20"/>
                <w:szCs w:val="20"/>
              </w:rPr>
              <w:t>,</w:t>
            </w:r>
            <w:r w:rsidR="00C02906" w:rsidRPr="00C02906">
              <w:rPr>
                <w:rFonts w:ascii="Times New Roman" w:hAnsi="Times New Roman"/>
                <w:sz w:val="20"/>
                <w:szCs w:val="20"/>
              </w:rPr>
              <w:t xml:space="preserve"> ak webové sídlo spoločnosti </w:t>
            </w:r>
            <w:r w:rsidR="006865F9">
              <w:rPr>
                <w:rFonts w:ascii="Times New Roman" w:hAnsi="Times New Roman"/>
                <w:sz w:val="20"/>
                <w:szCs w:val="20"/>
              </w:rPr>
              <w:t xml:space="preserve">alebo </w:t>
            </w:r>
            <w:r w:rsidR="006865F9" w:rsidRPr="006865F9">
              <w:rPr>
                <w:rFonts w:ascii="Times New Roman" w:hAnsi="Times New Roman"/>
                <w:sz w:val="20"/>
                <w:szCs w:val="20"/>
              </w:rPr>
              <w:t xml:space="preserve">vyžiadaná kópia zápisnice </w:t>
            </w:r>
            <w:r w:rsidR="006865F9" w:rsidRPr="006865F9">
              <w:rPr>
                <w:rFonts w:ascii="Times New Roman" w:hAnsi="Times New Roman"/>
                <w:sz w:val="20"/>
                <w:szCs w:val="20"/>
              </w:rPr>
              <w:lastRenderedPageBreak/>
              <w:t xml:space="preserve">alebo jej časti spolu s prílohami zápisnice </w:t>
            </w:r>
            <w:r w:rsidR="00C02906">
              <w:rPr>
                <w:rFonts w:ascii="Times New Roman" w:hAnsi="Times New Roman"/>
                <w:sz w:val="20"/>
                <w:szCs w:val="20"/>
              </w:rPr>
              <w:t>ne</w:t>
            </w:r>
            <w:r w:rsidR="00C02906" w:rsidRPr="00C02906">
              <w:rPr>
                <w:rFonts w:ascii="Times New Roman" w:hAnsi="Times New Roman"/>
                <w:sz w:val="20"/>
                <w:szCs w:val="20"/>
              </w:rPr>
              <w:t>uvádza výsledk</w:t>
            </w:r>
            <w:r w:rsidR="00C02906">
              <w:rPr>
                <w:rFonts w:ascii="Times New Roman" w:hAnsi="Times New Roman"/>
                <w:sz w:val="20"/>
                <w:szCs w:val="20"/>
              </w:rPr>
              <w:t>y</w:t>
            </w:r>
            <w:r w:rsidR="00C02906" w:rsidRPr="00C02906">
              <w:rPr>
                <w:rFonts w:ascii="Times New Roman" w:hAnsi="Times New Roman"/>
                <w:sz w:val="20"/>
                <w:szCs w:val="20"/>
              </w:rPr>
              <w:t xml:space="preserve"> hlasovania</w:t>
            </w:r>
            <w:r w:rsidR="00C02906">
              <w:rPr>
                <w:rFonts w:ascii="Times New Roman" w:hAnsi="Times New Roman"/>
                <w:sz w:val="20"/>
                <w:szCs w:val="20"/>
              </w:rPr>
              <w:t xml:space="preserve"> valného zhromaždenia</w:t>
            </w:r>
            <w:r w:rsidR="00C02906" w:rsidRPr="00C02906">
              <w:rPr>
                <w:rFonts w:ascii="Times New Roman" w:hAnsi="Times New Roman"/>
                <w:sz w:val="20"/>
                <w:szCs w:val="20"/>
              </w:rPr>
              <w:t xml:space="preserve"> pri každom bode programu valného zhromaždenia</w:t>
            </w:r>
            <w:r w:rsidR="00C02906">
              <w:rPr>
                <w:rFonts w:ascii="Times New Roman" w:hAnsi="Times New Roman"/>
                <w:sz w:val="20"/>
                <w:szCs w:val="20"/>
              </w:rPr>
              <w:t xml:space="preserve"> v požadovanej forme a štruktúre,</w:t>
            </w:r>
            <w:r w:rsidR="006865F9">
              <w:rPr>
                <w:rFonts w:ascii="Times New Roman" w:hAnsi="Times New Roman"/>
                <w:sz w:val="20"/>
                <w:szCs w:val="20"/>
              </w:rPr>
              <w:t xml:space="preserve">  </w:t>
            </w:r>
          </w:p>
          <w:p w:rsidR="00D24FFF" w:rsidRPr="00C02906" w:rsidRDefault="00D24FFF" w:rsidP="00D24FFF">
            <w:pPr>
              <w:pStyle w:val="Odsekzoznamu"/>
              <w:numPr>
                <w:ilvl w:val="0"/>
                <w:numId w:val="13"/>
              </w:numPr>
              <w:spacing w:after="0" w:line="240" w:lineRule="auto"/>
              <w:ind w:left="714" w:hanging="357"/>
              <w:jc w:val="both"/>
              <w:rPr>
                <w:rFonts w:ascii="Times New Roman" w:hAnsi="Times New Roman"/>
                <w:sz w:val="20"/>
                <w:szCs w:val="20"/>
              </w:rPr>
            </w:pPr>
            <w:r w:rsidRPr="00C02906">
              <w:rPr>
                <w:rFonts w:ascii="Times New Roman" w:hAnsi="Times New Roman"/>
                <w:sz w:val="20"/>
                <w:szCs w:val="20"/>
              </w:rPr>
              <w:t>zasielanie potvrdenia podľa § 190d ods. 7 OBZ</w:t>
            </w:r>
            <w:r w:rsidR="00B90066">
              <w:rPr>
                <w:rFonts w:ascii="Times New Roman" w:hAnsi="Times New Roman"/>
                <w:sz w:val="20"/>
                <w:szCs w:val="20"/>
              </w:rPr>
              <w:t xml:space="preserve"> použitím elektronických prostriedkov, pričom zasielanie potvrdenia môže byť činnosťou plne automatizovanou, prebiehajúcou ako výmena informácii medzi príslušnými systémami (podobné ako potvrdenie o doručení emailovej komunikácie),</w:t>
            </w:r>
          </w:p>
          <w:p w:rsidR="00D24FFF" w:rsidRDefault="00D24FFF" w:rsidP="00D24FFF">
            <w:pPr>
              <w:pStyle w:val="Odsekzoznamu"/>
              <w:numPr>
                <w:ilvl w:val="0"/>
                <w:numId w:val="13"/>
              </w:numPr>
              <w:spacing w:after="0" w:line="240" w:lineRule="auto"/>
              <w:ind w:left="714" w:hanging="357"/>
              <w:jc w:val="both"/>
              <w:rPr>
                <w:rFonts w:ascii="Times New Roman" w:hAnsi="Times New Roman"/>
                <w:sz w:val="20"/>
                <w:szCs w:val="20"/>
              </w:rPr>
            </w:pPr>
            <w:r>
              <w:rPr>
                <w:rFonts w:ascii="Times New Roman" w:hAnsi="Times New Roman"/>
                <w:sz w:val="20"/>
                <w:szCs w:val="20"/>
              </w:rPr>
              <w:t>vypracovanie</w:t>
            </w:r>
            <w:r w:rsidR="00C02906">
              <w:rPr>
                <w:rFonts w:ascii="Times New Roman" w:hAnsi="Times New Roman"/>
                <w:sz w:val="20"/>
                <w:szCs w:val="20"/>
              </w:rPr>
              <w:t xml:space="preserve"> (resp. zosúladenie</w:t>
            </w:r>
            <w:r w:rsidR="00123DA5">
              <w:rPr>
                <w:rFonts w:ascii="Times New Roman" w:hAnsi="Times New Roman"/>
                <w:sz w:val="20"/>
                <w:szCs w:val="20"/>
              </w:rPr>
              <w:t xml:space="preserve"> existujúcich</w:t>
            </w:r>
            <w:r w:rsidR="00C02906">
              <w:rPr>
                <w:rFonts w:ascii="Times New Roman" w:hAnsi="Times New Roman"/>
                <w:sz w:val="20"/>
                <w:szCs w:val="20"/>
              </w:rPr>
              <w:t>)</w:t>
            </w:r>
            <w:r>
              <w:rPr>
                <w:rFonts w:ascii="Times New Roman" w:hAnsi="Times New Roman"/>
                <w:sz w:val="20"/>
                <w:szCs w:val="20"/>
              </w:rPr>
              <w:t xml:space="preserve"> pravidiel odmeňovania podľa § 201a a nasl. OBZ, ich schválenie valným zhromaždením a uverejnenie na webovom sídle spoločnosti</w:t>
            </w:r>
            <w:r w:rsidR="00C02906">
              <w:rPr>
                <w:rFonts w:ascii="Times New Roman" w:hAnsi="Times New Roman"/>
                <w:sz w:val="20"/>
                <w:szCs w:val="20"/>
              </w:rPr>
              <w:t>,</w:t>
            </w:r>
            <w:r w:rsidR="00B90066">
              <w:rPr>
                <w:rFonts w:ascii="Times New Roman" w:hAnsi="Times New Roman"/>
                <w:sz w:val="20"/>
                <w:szCs w:val="20"/>
              </w:rPr>
              <w:t xml:space="preserve"> s povinnosťou aktualizácie každé 4 roky,</w:t>
            </w:r>
          </w:p>
          <w:p w:rsidR="00D24FFF" w:rsidRDefault="00D24FFF" w:rsidP="00D24FFF">
            <w:pPr>
              <w:pStyle w:val="Odsekzoznamu"/>
              <w:numPr>
                <w:ilvl w:val="0"/>
                <w:numId w:val="13"/>
              </w:numPr>
              <w:spacing w:after="0" w:line="240" w:lineRule="auto"/>
              <w:ind w:left="714" w:hanging="357"/>
              <w:jc w:val="both"/>
              <w:rPr>
                <w:rFonts w:ascii="Times New Roman" w:hAnsi="Times New Roman"/>
                <w:sz w:val="20"/>
                <w:szCs w:val="20"/>
              </w:rPr>
            </w:pPr>
            <w:r>
              <w:rPr>
                <w:rFonts w:ascii="Times New Roman" w:hAnsi="Times New Roman"/>
                <w:sz w:val="20"/>
                <w:szCs w:val="20"/>
              </w:rPr>
              <w:t>vypracovanie správy o odmeňovaní podľa § 201e OBZ, jej prerokovanie na valnom zhromaždení a uverejnenie na webovom sídle spoločnosti</w:t>
            </w:r>
            <w:r w:rsidR="00C02906">
              <w:rPr>
                <w:rFonts w:ascii="Times New Roman" w:hAnsi="Times New Roman"/>
                <w:sz w:val="20"/>
                <w:szCs w:val="20"/>
              </w:rPr>
              <w:t>,</w:t>
            </w:r>
            <w:r w:rsidR="00B90066">
              <w:rPr>
                <w:rFonts w:ascii="Times New Roman" w:hAnsi="Times New Roman"/>
                <w:sz w:val="20"/>
                <w:szCs w:val="20"/>
              </w:rPr>
              <w:t xml:space="preserve"> každoročne po ukončení účtovného obdobia,</w:t>
            </w:r>
          </w:p>
          <w:p w:rsidR="009F2DFA" w:rsidRPr="00F04CCD" w:rsidRDefault="00C02906" w:rsidP="003E46FC">
            <w:pPr>
              <w:pStyle w:val="Odsekzoznamu"/>
              <w:numPr>
                <w:ilvl w:val="0"/>
                <w:numId w:val="13"/>
              </w:numPr>
              <w:spacing w:after="0" w:line="240" w:lineRule="auto"/>
              <w:ind w:left="714" w:hanging="357"/>
              <w:jc w:val="both"/>
              <w:rPr>
                <w:b/>
                <w:i/>
              </w:rPr>
            </w:pPr>
            <w:r>
              <w:rPr>
                <w:rFonts w:ascii="Times New Roman" w:hAnsi="Times New Roman"/>
                <w:sz w:val="20"/>
                <w:szCs w:val="20"/>
              </w:rPr>
              <w:t xml:space="preserve">schválenie významnej obchodnej transakcie valným zhromaždením podľa § 220ga a nasl. OBZ a jej </w:t>
            </w:r>
            <w:r w:rsidR="006865F9">
              <w:rPr>
                <w:rFonts w:ascii="Times New Roman" w:hAnsi="Times New Roman"/>
                <w:sz w:val="20"/>
                <w:szCs w:val="20"/>
              </w:rPr>
              <w:t>uloženie do zbierky listín obchodného registra a/alebo zverejnenie v Obchodnom vestníku</w:t>
            </w:r>
            <w:r w:rsidR="00B90066">
              <w:rPr>
                <w:rFonts w:ascii="Times New Roman" w:hAnsi="Times New Roman"/>
                <w:sz w:val="20"/>
                <w:szCs w:val="20"/>
              </w:rPr>
              <w:t>, vždy v závislosti od toho, či konkrétne plnenie alebo poskytnutie zábezpeky naplní definičné znaky, pričom bežné obchodné transakcie sú vyňaté; uvedené nebráni tomu, aby spoločnosť interne organizovala schvaľovací proces tak, že sa nebude musieť zvolávať valné zhromaždenie jednotlivo pre každú jednu transakciu, ale na programe bude na schválenie hneď niekoľko transakcií súčasne. Efektívnym interným riadením procesov je možné minimalizovať dopady</w:t>
            </w:r>
            <w:r w:rsidR="000B20D7">
              <w:rPr>
                <w:rFonts w:ascii="Times New Roman" w:hAnsi="Times New Roman"/>
                <w:sz w:val="20"/>
                <w:szCs w:val="20"/>
              </w:rPr>
              <w:t xml:space="preserve"> uvedené v súhrnnej tabuľke nákladov regulácie (viď nižšie).</w:t>
            </w:r>
          </w:p>
        </w:tc>
      </w:tr>
      <w:tr w:rsidR="009F2DFA" w:rsidRPr="00F04CCD" w:rsidTr="001B400E">
        <w:trPr>
          <w:trHeight w:val="2318"/>
        </w:trPr>
        <w:tc>
          <w:tcPr>
            <w:tcW w:w="9212" w:type="dxa"/>
          </w:tcPr>
          <w:p w:rsidR="009F2DFA" w:rsidRPr="00F04CCD" w:rsidRDefault="002B1108" w:rsidP="001B400E">
            <w:pPr>
              <w:rPr>
                <w:i/>
              </w:rPr>
            </w:pPr>
            <w:r>
              <w:rPr>
                <w:b/>
                <w:i/>
              </w:rPr>
              <w:lastRenderedPageBreak/>
              <w:t>3</w:t>
            </w:r>
            <w:r w:rsidR="009F2DFA" w:rsidRPr="00F04CCD">
              <w:rPr>
                <w:b/>
                <w:i/>
              </w:rPr>
              <w:t>.3.4 Súhrnná tabuľka nákladov regulácie</w:t>
            </w:r>
          </w:p>
          <w:p w:rsidR="009F2DFA" w:rsidRPr="00F04CCD" w:rsidRDefault="009F2DFA" w:rsidP="001B400E">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1B400E">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1B400E">
                  <w:pPr>
                    <w:rPr>
                      <w:i/>
                    </w:rPr>
                  </w:pP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1B400E">
                  <w:pPr>
                    <w:jc w:val="center"/>
                    <w:rPr>
                      <w:i/>
                    </w:rPr>
                  </w:pPr>
                  <w:r w:rsidRPr="00F04CCD">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1B400E">
                  <w:pPr>
                    <w:jc w:val="center"/>
                    <w:rPr>
                      <w:i/>
                    </w:rPr>
                  </w:pPr>
                  <w:r w:rsidRPr="00F04CCD">
                    <w:rPr>
                      <w:i/>
                    </w:rPr>
                    <w:t>Náklady na celé podnikateľské prostredie</w:t>
                  </w:r>
                </w:p>
              </w:tc>
            </w:tr>
            <w:tr w:rsidR="009F2DFA" w:rsidRPr="00F04CCD" w:rsidTr="001B400E">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1B400E">
                  <w:pPr>
                    <w:rPr>
                      <w:i/>
                    </w:rPr>
                  </w:pPr>
                  <w:r w:rsidRPr="00F04CCD">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1B400E">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1B400E">
                  <w:pPr>
                    <w:jc w:val="center"/>
                    <w:rPr>
                      <w:i/>
                    </w:rPr>
                  </w:pPr>
                  <w:r w:rsidRPr="00F04CCD">
                    <w:rPr>
                      <w:i/>
                    </w:rPr>
                    <w:t>0</w:t>
                  </w:r>
                </w:p>
              </w:tc>
            </w:tr>
            <w:tr w:rsidR="009F2DFA" w:rsidRPr="00F04CCD" w:rsidTr="001B400E">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1B400E">
                  <w:pPr>
                    <w:rPr>
                      <w:i/>
                    </w:rPr>
                  </w:pPr>
                  <w:r w:rsidRPr="00F04CCD">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1B400E">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1B400E">
                  <w:pPr>
                    <w:jc w:val="center"/>
                    <w:rPr>
                      <w:i/>
                    </w:rPr>
                  </w:pPr>
                  <w:r w:rsidRPr="00F04CCD">
                    <w:rPr>
                      <w:i/>
                    </w:rPr>
                    <w:t>0</w:t>
                  </w:r>
                </w:p>
              </w:tc>
            </w:tr>
            <w:tr w:rsidR="009F2DFA" w:rsidRPr="00F04CCD" w:rsidTr="001B400E">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1B400E">
                  <w:pPr>
                    <w:rPr>
                      <w:i/>
                    </w:rPr>
                  </w:pPr>
                  <w:r w:rsidRPr="00F04CCD">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0A2D79" w:rsidP="00B90066">
                  <w:pPr>
                    <w:jc w:val="center"/>
                    <w:rPr>
                      <w:i/>
                    </w:rPr>
                  </w:pPr>
                  <w:r>
                    <w:rPr>
                      <w:i/>
                    </w:rPr>
                    <w:t>301 €</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0A2D79" w:rsidP="001B400E">
                  <w:pPr>
                    <w:jc w:val="center"/>
                    <w:rPr>
                      <w:i/>
                    </w:rPr>
                  </w:pPr>
                  <w:r>
                    <w:rPr>
                      <w:i/>
                    </w:rPr>
                    <w:t>12 624 €</w:t>
                  </w:r>
                </w:p>
              </w:tc>
            </w:tr>
            <w:tr w:rsidR="009F2DFA" w:rsidRPr="00F04CCD" w:rsidTr="001B400E">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1B400E">
                  <w:pPr>
                    <w:rPr>
                      <w:b/>
                      <w:i/>
                    </w:rPr>
                  </w:pPr>
                  <w:r w:rsidRPr="00F04CCD">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0A2D79" w:rsidP="001B400E">
                  <w:pPr>
                    <w:jc w:val="center"/>
                    <w:rPr>
                      <w:b/>
                      <w:i/>
                    </w:rPr>
                  </w:pPr>
                  <w:r>
                    <w:rPr>
                      <w:b/>
                      <w:i/>
                    </w:rPr>
                    <w:t>301 €</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0A2D79" w:rsidP="000A2D79">
                  <w:pPr>
                    <w:jc w:val="center"/>
                    <w:rPr>
                      <w:b/>
                      <w:i/>
                    </w:rPr>
                  </w:pPr>
                  <w:r>
                    <w:rPr>
                      <w:b/>
                      <w:i/>
                    </w:rPr>
                    <w:t>12 624 €</w:t>
                  </w:r>
                </w:p>
              </w:tc>
            </w:tr>
          </w:tbl>
          <w:p w:rsidR="009F2DFA" w:rsidRPr="007E3DEE" w:rsidRDefault="007E3DEE" w:rsidP="001B400E">
            <w:r>
              <w:t>Náklady regulácie boli vyčíslené na základe expertného odhadu a s použitím tzv. veľkej kalkulačky nákladov.</w:t>
            </w:r>
          </w:p>
        </w:tc>
      </w:tr>
      <w:tr w:rsidR="009F2DFA" w:rsidRPr="00F04CCD" w:rsidTr="001B400E">
        <w:tc>
          <w:tcPr>
            <w:tcW w:w="9212" w:type="dxa"/>
            <w:shd w:val="clear" w:color="auto" w:fill="D9D9D9" w:themeFill="background1" w:themeFillShade="D9"/>
          </w:tcPr>
          <w:p w:rsidR="009F2DFA" w:rsidRPr="00042C66" w:rsidRDefault="002B1108" w:rsidP="001B400E">
            <w:pPr>
              <w:rPr>
                <w:b/>
                <w:sz w:val="24"/>
              </w:rPr>
            </w:pPr>
            <w:r>
              <w:rPr>
                <w:b/>
                <w:sz w:val="24"/>
              </w:rPr>
              <w:t>3</w:t>
            </w:r>
            <w:r w:rsidR="009F2DFA" w:rsidRPr="00042C66">
              <w:rPr>
                <w:b/>
                <w:sz w:val="24"/>
              </w:rPr>
              <w:t>.4 Konkurencieschopnosť a správanie sa podnikov na trhu</w:t>
            </w:r>
          </w:p>
          <w:p w:rsidR="009F2DFA" w:rsidRPr="00F04CCD" w:rsidRDefault="009F2DFA" w:rsidP="001B400E">
            <w:r w:rsidRPr="00042C66">
              <w:rPr>
                <w:b/>
                <w:sz w:val="24"/>
              </w:rPr>
              <w:t xml:space="preserve">       </w:t>
            </w:r>
            <w:r w:rsidRPr="00042C66">
              <w:rPr>
                <w:sz w:val="24"/>
              </w:rPr>
              <w:t xml:space="preserve">- </w:t>
            </w:r>
            <w:r w:rsidRPr="00042C66">
              <w:rPr>
                <w:b/>
                <w:sz w:val="24"/>
              </w:rPr>
              <w:t>z toho MSP</w:t>
            </w:r>
          </w:p>
        </w:tc>
      </w:tr>
      <w:tr w:rsidR="009F2DFA" w:rsidRPr="00F04CCD" w:rsidTr="001B400E">
        <w:tc>
          <w:tcPr>
            <w:tcW w:w="9212" w:type="dxa"/>
          </w:tcPr>
          <w:p w:rsidR="009F2DFA" w:rsidRPr="00F04CCD" w:rsidRDefault="009F2DFA" w:rsidP="001B400E">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1B400E">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1B400E">
            <w:pPr>
              <w:rPr>
                <w:i/>
              </w:rPr>
            </w:pPr>
            <w:r w:rsidRPr="00F04CCD">
              <w:rPr>
                <w:i/>
              </w:rPr>
              <w:t>Ako ovplyvní cenu alebo dostupnosť základných zdrojov (suroviny, mechanizmy, pracovná sila, energie atď.)?</w:t>
            </w:r>
          </w:p>
          <w:p w:rsidR="009F2DFA" w:rsidRPr="00F04CCD" w:rsidRDefault="009F2DFA" w:rsidP="001B400E">
            <w:pPr>
              <w:rPr>
                <w:i/>
              </w:rPr>
            </w:pPr>
            <w:r w:rsidRPr="00F04CCD">
              <w:rPr>
                <w:i/>
              </w:rPr>
              <w:t>Ovplyvňuje prístup k financiám? Ak áno, ako?</w:t>
            </w:r>
          </w:p>
        </w:tc>
      </w:tr>
      <w:tr w:rsidR="009F2DFA" w:rsidRPr="00F04CCD" w:rsidTr="001B400E">
        <w:trPr>
          <w:trHeight w:val="1282"/>
        </w:trPr>
        <w:tc>
          <w:tcPr>
            <w:tcW w:w="9212" w:type="dxa"/>
          </w:tcPr>
          <w:p w:rsidR="009F2DFA" w:rsidRDefault="00123DA5" w:rsidP="00653EA8">
            <w:pPr>
              <w:jc w:val="both"/>
            </w:pPr>
            <w:r>
              <w:t xml:space="preserve">Všeobecne pôsobenie a činnosť povinných subjektov (sprostredkovatelia, inštitucionálni investori, správcovia aktív a zastupujúci poradcovia, verejné akciové spoločnosti v zmysle príslušnej právnej úpravy) je podrobne regulovaná a podlieha dohľadu. Napriek tomu, nie je možné konštatovať, že nová právna úprava zavádza bariéry pre vstup na trh. </w:t>
            </w:r>
            <w:r w:rsidR="001B400E">
              <w:t xml:space="preserve">Všetky zmeny, ktoré sa navrhujú vykonať vychádzajú z povinnosti zabezpečiť úplnú a správnu transpozíciu smernice </w:t>
            </w:r>
            <w:r w:rsidR="001B400E" w:rsidRPr="001B400E">
              <w:t>Európskeho parlamentu a Rady (EÚ) 2017/828 zo 17. mája 2017, ktorou sa mení smernica 2007/36/ES, pokiaľ ide o podnietenie dlhodobého zapojenia akcionárov</w:t>
            </w:r>
            <w:r w:rsidR="001B400E">
              <w:t xml:space="preserve">, ktorá reagovala na </w:t>
            </w:r>
            <w:r w:rsidR="001B400E" w:rsidRPr="001B400E">
              <w:t>príčin</w:t>
            </w:r>
            <w:r w:rsidR="001B400E">
              <w:t>y</w:t>
            </w:r>
            <w:r w:rsidR="001B400E" w:rsidRPr="001B400E">
              <w:t xml:space="preserve"> a dôsledk</w:t>
            </w:r>
            <w:r w:rsidR="001B400E">
              <w:t>y</w:t>
            </w:r>
            <w:r w:rsidR="001B400E" w:rsidRPr="001B400E">
              <w:t xml:space="preserve"> globálnej finančnej krízy</w:t>
            </w:r>
            <w:r w:rsidR="001B400E">
              <w:t xml:space="preserve"> a tiež mala za cieľ </w:t>
            </w:r>
            <w:r w:rsidR="00940BAE">
              <w:t>o</w:t>
            </w:r>
            <w:r w:rsidR="00940BAE" w:rsidRPr="00940BAE">
              <w:t>dstr</w:t>
            </w:r>
            <w:r w:rsidR="00940BAE">
              <w:t>ániť</w:t>
            </w:r>
            <w:r w:rsidR="00940BAE" w:rsidRPr="00940BAE">
              <w:t xml:space="preserve"> existujúce prekážky v cezhraničnom investovaní</w:t>
            </w:r>
            <w:r w:rsidR="00940BAE">
              <w:t>,</w:t>
            </w:r>
            <w:r w:rsidR="00940BAE" w:rsidRPr="00940BAE">
              <w:t xml:space="preserve"> </w:t>
            </w:r>
            <w:r w:rsidR="001B400E">
              <w:t>cezhraničn</w:t>
            </w:r>
            <w:r w:rsidR="00940BAE">
              <w:t>om</w:t>
            </w:r>
            <w:r w:rsidR="001B400E">
              <w:t xml:space="preserve"> výkon</w:t>
            </w:r>
            <w:r w:rsidR="00940BAE">
              <w:t>e akcionárskych práv, presune informácii v rámci investičnej reťaze, zvýšiť transparentnosť v danej oblasti a tým podporiť v</w:t>
            </w:r>
            <w:r w:rsidR="00653EA8">
              <w:t>ä</w:t>
            </w:r>
            <w:r w:rsidR="00940BAE">
              <w:t xml:space="preserve">čšiu angažovanosť </w:t>
            </w:r>
            <w:r w:rsidR="00653EA8">
              <w:t xml:space="preserve">akcionárov v rámci správy a riadenia spoločnosti. </w:t>
            </w:r>
            <w:r>
              <w:t xml:space="preserve"> </w:t>
            </w:r>
          </w:p>
          <w:p w:rsidR="00837648" w:rsidRDefault="00837648" w:rsidP="00837648">
            <w:pPr>
              <w:jc w:val="both"/>
            </w:pPr>
            <w:r>
              <w:t xml:space="preserve">Pozitívne vplyvy predmetnej regulácie na podnikateľské prostredie (ktoré sú bližšie popísané v osobitnej časti dôvodovej správy pri odôvodnení jednotlivých novelizačných bodov) predkladateľ identifikoval najmä v nasledujúcich oblastiach: </w:t>
            </w:r>
          </w:p>
          <w:p w:rsidR="00837648" w:rsidRPr="00837648" w:rsidRDefault="00837648" w:rsidP="00837648">
            <w:pPr>
              <w:pStyle w:val="Odsekzoznamu"/>
              <w:numPr>
                <w:ilvl w:val="1"/>
                <w:numId w:val="14"/>
              </w:numPr>
              <w:spacing w:after="0" w:line="240" w:lineRule="auto"/>
              <w:ind w:left="499" w:hanging="357"/>
              <w:jc w:val="both"/>
              <w:rPr>
                <w:rFonts w:ascii="Times New Roman" w:hAnsi="Times New Roman"/>
                <w:sz w:val="20"/>
                <w:szCs w:val="20"/>
              </w:rPr>
            </w:pPr>
            <w:r w:rsidRPr="00C901EA">
              <w:rPr>
                <w:rFonts w:ascii="Times New Roman" w:hAnsi="Times New Roman"/>
                <w:sz w:val="20"/>
                <w:szCs w:val="20"/>
              </w:rPr>
              <w:t xml:space="preserve">zlepšenie informovanosti akcionárov a tretích strán o odmeňovaní členov orgánov spoločností, naviazaní  </w:t>
            </w:r>
            <w:r w:rsidRPr="00837648">
              <w:rPr>
                <w:rFonts w:ascii="Times New Roman" w:hAnsi="Times New Roman"/>
                <w:sz w:val="20"/>
                <w:szCs w:val="20"/>
              </w:rPr>
              <w:t>pravidiel odmeňovania na záujem spoločnosti tak, aby aj politika odmeňovania prispievala k podnikateľskej stratégii, dlhodobým záujmom a udržateľnosti spoločnosti,</w:t>
            </w:r>
          </w:p>
          <w:p w:rsidR="00837648" w:rsidRPr="00123DA5" w:rsidRDefault="00837648" w:rsidP="00DE080B">
            <w:pPr>
              <w:pStyle w:val="Odsekzoznamu"/>
              <w:numPr>
                <w:ilvl w:val="1"/>
                <w:numId w:val="14"/>
              </w:numPr>
              <w:spacing w:after="0" w:line="240" w:lineRule="auto"/>
              <w:ind w:left="499" w:hanging="357"/>
              <w:jc w:val="both"/>
            </w:pPr>
            <w:r w:rsidRPr="00837648">
              <w:rPr>
                <w:rFonts w:ascii="Times New Roman" w:hAnsi="Times New Roman"/>
                <w:sz w:val="20"/>
                <w:szCs w:val="20"/>
              </w:rPr>
              <w:t xml:space="preserve">zabezpečenie šírenia informácií o významnej obchodnej transakcii </w:t>
            </w:r>
            <w:r w:rsidR="00DE080B">
              <w:rPr>
                <w:rFonts w:ascii="Times New Roman" w:hAnsi="Times New Roman"/>
                <w:sz w:val="20"/>
                <w:szCs w:val="20"/>
              </w:rPr>
              <w:t xml:space="preserve">zverejnením v Obchodnom vestníku a aj </w:t>
            </w:r>
            <w:r w:rsidRPr="00837648">
              <w:rPr>
                <w:rFonts w:ascii="Times New Roman" w:hAnsi="Times New Roman"/>
                <w:sz w:val="20"/>
                <w:szCs w:val="20"/>
              </w:rPr>
              <w:t>využitím iných ľahko dostupných prostriedkov, tak aby akcionári, veritelia, zamestnanci a iné zainteresované strany boli informovaní o možných vplyvoch takýchto transakcií na „hodnotu“ spoločnosti a mohli lepšie posúdiť riziká spojené s transakciou a napadnúť transakciu, a to aj právnou cestou.</w:t>
            </w:r>
          </w:p>
        </w:tc>
      </w:tr>
      <w:tr w:rsidR="009F2DFA" w:rsidRPr="00F04CCD" w:rsidTr="001B400E">
        <w:tc>
          <w:tcPr>
            <w:tcW w:w="9212" w:type="dxa"/>
            <w:shd w:val="clear" w:color="auto" w:fill="D9D9D9" w:themeFill="background1" w:themeFillShade="D9"/>
          </w:tcPr>
          <w:p w:rsidR="009F2DFA" w:rsidRPr="00042C66" w:rsidRDefault="002B1108" w:rsidP="001B400E">
            <w:pPr>
              <w:rPr>
                <w:b/>
                <w:sz w:val="24"/>
              </w:rPr>
            </w:pPr>
            <w:r>
              <w:rPr>
                <w:b/>
                <w:sz w:val="24"/>
              </w:rPr>
              <w:lastRenderedPageBreak/>
              <w:t>3</w:t>
            </w:r>
            <w:r w:rsidR="009F2DFA" w:rsidRPr="00042C66">
              <w:rPr>
                <w:b/>
                <w:sz w:val="24"/>
              </w:rPr>
              <w:t xml:space="preserve">.5 Inovácie </w:t>
            </w:r>
          </w:p>
          <w:p w:rsidR="009F2DFA" w:rsidRPr="00F04CCD" w:rsidRDefault="009F2DFA" w:rsidP="001B400E">
            <w:pPr>
              <w:rPr>
                <w:b/>
              </w:rPr>
            </w:pPr>
            <w:r w:rsidRPr="00042C66">
              <w:rPr>
                <w:sz w:val="24"/>
              </w:rPr>
              <w:t xml:space="preserve">       - </w:t>
            </w:r>
            <w:r w:rsidRPr="00042C66">
              <w:rPr>
                <w:b/>
                <w:sz w:val="24"/>
              </w:rPr>
              <w:t>z toho MSP</w:t>
            </w:r>
          </w:p>
        </w:tc>
      </w:tr>
      <w:tr w:rsidR="009F2DFA" w:rsidRPr="00F04CCD" w:rsidTr="001B400E">
        <w:tc>
          <w:tcPr>
            <w:tcW w:w="9212" w:type="dxa"/>
          </w:tcPr>
          <w:p w:rsidR="009F2DFA" w:rsidRPr="00F04CCD" w:rsidRDefault="009F2DFA" w:rsidP="001B400E">
            <w:pPr>
              <w:rPr>
                <w:i/>
              </w:rPr>
            </w:pPr>
            <w:r w:rsidRPr="00F04CCD">
              <w:rPr>
                <w:i/>
              </w:rPr>
              <w:t>Uveďte, ako podporuje navrhovaná zmena inovácie.</w:t>
            </w:r>
          </w:p>
          <w:p w:rsidR="009F2DFA" w:rsidRPr="00F04CCD" w:rsidRDefault="009F2DFA" w:rsidP="001B400E">
            <w:pPr>
              <w:rPr>
                <w:i/>
              </w:rPr>
            </w:pPr>
            <w:r w:rsidRPr="00F04CCD">
              <w:rPr>
                <w:i/>
              </w:rPr>
              <w:t>Zjednodušuje uvedenie alebo rozšírenie nových výrobných metód, technológií a výrobkov na trh?</w:t>
            </w:r>
          </w:p>
          <w:p w:rsidR="009F2DFA" w:rsidRPr="00F04CCD" w:rsidRDefault="009F2DFA" w:rsidP="001B400E">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1B400E">
            <w:pPr>
              <w:rPr>
                <w:i/>
              </w:rPr>
            </w:pPr>
            <w:r w:rsidRPr="00F04CCD">
              <w:rPr>
                <w:i/>
              </w:rPr>
              <w:t>Podporuje vyššiu efektivitu výroby/využívania zdrojov? Ak áno, ako?</w:t>
            </w:r>
          </w:p>
          <w:p w:rsidR="00837639" w:rsidRPr="00F04CCD" w:rsidRDefault="00837639" w:rsidP="001B400E">
            <w:r w:rsidRPr="00154881">
              <w:rPr>
                <w:i/>
              </w:rPr>
              <w:t>Vytvorí zmena nové pracovné miesta pre zamestnancov výskumu a vývoja v</w:t>
            </w:r>
            <w:r>
              <w:rPr>
                <w:i/>
              </w:rPr>
              <w:t> </w:t>
            </w:r>
            <w:r w:rsidRPr="00154881">
              <w:rPr>
                <w:i/>
              </w:rPr>
              <w:t>SR</w:t>
            </w:r>
            <w:r>
              <w:rPr>
                <w:i/>
              </w:rPr>
              <w:t>?</w:t>
            </w:r>
          </w:p>
        </w:tc>
      </w:tr>
      <w:tr w:rsidR="009F2DFA" w:rsidRPr="00F04CCD" w:rsidTr="001B400E">
        <w:trPr>
          <w:trHeight w:val="1747"/>
        </w:trPr>
        <w:tc>
          <w:tcPr>
            <w:tcW w:w="9212" w:type="dxa"/>
          </w:tcPr>
          <w:p w:rsidR="009F2DFA" w:rsidRPr="00653EA8" w:rsidRDefault="00653EA8" w:rsidP="00653EA8">
            <w:r>
              <w:t>Predkladateľ sa nedomnieva, že nová práva úprava vzhľadom na svoj charakter povedie k vytvoreniu nových pracovných miest, zvýšeniu efektivity výroby a využívania zdrojov, ovplyvneniu práv duševného vlastníctva, uvedeniu alebo rozšíreniu nových výrobných metód, technológií a výrobkov na trh a podpore inovácií.</w:t>
            </w:r>
          </w:p>
        </w:tc>
      </w:tr>
    </w:tbl>
    <w:p w:rsidR="009F2DFA" w:rsidRDefault="009F2DFA" w:rsidP="00194228">
      <w:pPr>
        <w:rPr>
          <w:b/>
          <w:sz w:val="24"/>
        </w:rPr>
      </w:pPr>
    </w:p>
    <w:sectPr w:rsidR="009F2DFA" w:rsidSect="000674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7A" w:rsidRDefault="00535C7A" w:rsidP="009F2DFA">
      <w:r>
        <w:separator/>
      </w:r>
    </w:p>
  </w:endnote>
  <w:endnote w:type="continuationSeparator" w:id="0">
    <w:p w:rsidR="00535C7A" w:rsidRDefault="00535C7A"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MS Gothic">
    <w:altName w:val="?l?r SVbN"/>
    <w:panose1 w:val="020B06090702050802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0E" w:rsidRDefault="001B400E">
    <w:pPr>
      <w:pStyle w:val="Pta"/>
      <w:jc w:val="right"/>
    </w:pPr>
    <w:r>
      <w:fldChar w:fldCharType="begin"/>
    </w:r>
    <w:r>
      <w:instrText>PAGE   \* MERGEFORMAT</w:instrText>
    </w:r>
    <w:r>
      <w:fldChar w:fldCharType="separate"/>
    </w:r>
    <w:r w:rsidR="00F97772">
      <w:rPr>
        <w:noProof/>
      </w:rPr>
      <w:t>2</w:t>
    </w:r>
    <w:r>
      <w:fldChar w:fldCharType="end"/>
    </w:r>
  </w:p>
  <w:p w:rsidR="001B400E" w:rsidRDefault="001B400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7A" w:rsidRDefault="00535C7A" w:rsidP="009F2DFA">
      <w:r>
        <w:separator/>
      </w:r>
    </w:p>
  </w:footnote>
  <w:footnote w:type="continuationSeparator" w:id="0">
    <w:p w:rsidR="00535C7A" w:rsidRDefault="00535C7A"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5FD4C94"/>
    <w:multiLevelType w:val="hybridMultilevel"/>
    <w:tmpl w:val="3552D2CA"/>
    <w:lvl w:ilvl="0" w:tplc="F4F0493E">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nsid w:val="5CCE19A5"/>
    <w:multiLevelType w:val="hybridMultilevel"/>
    <w:tmpl w:val="E66AFDB2"/>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E680BAD"/>
    <w:multiLevelType w:val="hybridMultilevel"/>
    <w:tmpl w:val="41D4CC1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33080"/>
    <w:multiLevelType w:val="hybridMultilevel"/>
    <w:tmpl w:val="E85A8616"/>
    <w:lvl w:ilvl="0" w:tplc="328A388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C1C36D4"/>
    <w:multiLevelType w:val="hybridMultilevel"/>
    <w:tmpl w:val="F73436F8"/>
    <w:lvl w:ilvl="0" w:tplc="A5D2F4C4">
      <w:start w:val="1"/>
      <w:numFmt w:val="bullet"/>
      <w:lvlText w:val=""/>
      <w:lvlJc w:val="left"/>
      <w:pPr>
        <w:ind w:left="720" w:hanging="360"/>
      </w:pPr>
      <w:rPr>
        <w:rFonts w:ascii="Wingdings" w:hAnsi="Wingdings" w:hint="default"/>
        <w:sz w:val="20"/>
      </w:rPr>
    </w:lvl>
    <w:lvl w:ilvl="1" w:tplc="A244AAB0">
      <w:start w:val="1"/>
      <w:numFmt w:val="bullet"/>
      <w:lvlText w:val=""/>
      <w:lvlJc w:val="left"/>
      <w:pPr>
        <w:ind w:left="1785" w:hanging="705"/>
      </w:pPr>
      <w:rPr>
        <w:rFonts w:ascii="Wingdings" w:hAnsi="Wingdings" w:hint="default"/>
        <w:sz w:val="2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1"/>
  </w:num>
  <w:num w:numId="6">
    <w:abstractNumId w:val="6"/>
  </w:num>
  <w:num w:numId="7">
    <w:abstractNumId w:val="11"/>
  </w:num>
  <w:num w:numId="8">
    <w:abstractNumId w:val="2"/>
  </w:num>
  <w:num w:numId="9">
    <w:abstractNumId w:val="0"/>
  </w:num>
  <w:num w:numId="10">
    <w:abstractNumId w:val="13"/>
  </w:num>
  <w:num w:numId="11">
    <w:abstractNumId w:val="7"/>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42C66"/>
    <w:rsid w:val="00062124"/>
    <w:rsid w:val="0006746B"/>
    <w:rsid w:val="000A2D79"/>
    <w:rsid w:val="000B20D7"/>
    <w:rsid w:val="000B5400"/>
    <w:rsid w:val="000D2622"/>
    <w:rsid w:val="00114BFC"/>
    <w:rsid w:val="00123DA5"/>
    <w:rsid w:val="00154881"/>
    <w:rsid w:val="00194228"/>
    <w:rsid w:val="001B400E"/>
    <w:rsid w:val="002B1108"/>
    <w:rsid w:val="002B684F"/>
    <w:rsid w:val="003E46FC"/>
    <w:rsid w:val="0043403E"/>
    <w:rsid w:val="0052297F"/>
    <w:rsid w:val="00535C7A"/>
    <w:rsid w:val="005A14C7"/>
    <w:rsid w:val="005C36B6"/>
    <w:rsid w:val="005D7218"/>
    <w:rsid w:val="00653EA8"/>
    <w:rsid w:val="006865F9"/>
    <w:rsid w:val="00695387"/>
    <w:rsid w:val="006B1E84"/>
    <w:rsid w:val="006C7B63"/>
    <w:rsid w:val="007158A6"/>
    <w:rsid w:val="0072037F"/>
    <w:rsid w:val="00780BA6"/>
    <w:rsid w:val="007A7B0F"/>
    <w:rsid w:val="007E3DEE"/>
    <w:rsid w:val="007F640E"/>
    <w:rsid w:val="00837639"/>
    <w:rsid w:val="00837648"/>
    <w:rsid w:val="00891C24"/>
    <w:rsid w:val="008A1252"/>
    <w:rsid w:val="008B7ADC"/>
    <w:rsid w:val="008F59A7"/>
    <w:rsid w:val="00904257"/>
    <w:rsid w:val="00904C9B"/>
    <w:rsid w:val="00940BAE"/>
    <w:rsid w:val="00946990"/>
    <w:rsid w:val="009F2DFA"/>
    <w:rsid w:val="00AE399C"/>
    <w:rsid w:val="00B31A8E"/>
    <w:rsid w:val="00B54427"/>
    <w:rsid w:val="00B90066"/>
    <w:rsid w:val="00BA073A"/>
    <w:rsid w:val="00C02906"/>
    <w:rsid w:val="00C469EC"/>
    <w:rsid w:val="00C901EA"/>
    <w:rsid w:val="00CB3623"/>
    <w:rsid w:val="00D24FFF"/>
    <w:rsid w:val="00DE080B"/>
    <w:rsid w:val="00E86AD1"/>
    <w:rsid w:val="00EF0F86"/>
    <w:rsid w:val="00F04CCD"/>
    <w:rsid w:val="00F41620"/>
    <w:rsid w:val="00F97772"/>
    <w:rsid w:val="00FB5C13"/>
    <w:rsid w:val="00FE4131"/>
    <w:rsid w:val="00FE6442"/>
    <w:rsid w:val="00FE72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character" w:styleId="Hypertextovprepojenie">
    <w:name w:val="Hyperlink"/>
    <w:basedOn w:val="Predvolenpsmoodseku"/>
    <w:uiPriority w:val="99"/>
    <w:unhideWhenUsed/>
    <w:rsid w:val="002B684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character" w:styleId="Hypertextovprepojenie">
    <w:name w:val="Hyperlink"/>
    <w:basedOn w:val="Predvolenpsmoodseku"/>
    <w:uiPriority w:val="99"/>
    <w:unhideWhenUsed/>
    <w:rsid w:val="002B684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legislativne-procesy/SK/PI/2018/2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7979</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KOVAĽOVÁ Anna</cp:lastModifiedBy>
  <cp:revision>2</cp:revision>
  <cp:lastPrinted>2019-03-06T10:28:00Z</cp:lastPrinted>
  <dcterms:created xsi:type="dcterms:W3CDTF">2019-03-08T08:53:00Z</dcterms:created>
  <dcterms:modified xsi:type="dcterms:W3CDTF">2019-03-08T08:53:00Z</dcterms:modified>
</cp:coreProperties>
</file>