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1A1" w:rsidRPr="00A179AE" w:rsidRDefault="003501A1" w:rsidP="0074218A">
      <w:pPr>
        <w:jc w:val="center"/>
        <w:rPr>
          <w:b/>
          <w:bCs/>
          <w:sz w:val="28"/>
          <w:szCs w:val="28"/>
        </w:rPr>
      </w:pPr>
      <w:bookmarkStart w:id="0" w:name="_GoBack"/>
      <w:bookmarkEnd w:id="0"/>
      <w:r>
        <w:rPr>
          <w:b/>
          <w:bCs/>
          <w:sz w:val="28"/>
          <w:szCs w:val="28"/>
        </w:rPr>
        <w:t>Doložka vybraných vplyvov</w:t>
      </w:r>
    </w:p>
    <w:p w:rsidR="003501A1" w:rsidRPr="00BF3078" w:rsidRDefault="003501A1" w:rsidP="0074218A">
      <w:pPr>
        <w:pStyle w:val="Odsekzoznamu"/>
        <w:spacing w:after="0" w:line="240" w:lineRule="auto"/>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spacing w:after="0" w:line="240" w:lineRule="auto"/>
              <w:ind w:left="142"/>
              <w:rPr>
                <w:rFonts w:ascii="Times New Roman" w:hAnsi="Times New Roman"/>
                <w:b/>
              </w:rPr>
            </w:pPr>
            <w:r w:rsidRPr="00A179AE">
              <w:rPr>
                <w:rFonts w:ascii="Times New Roman" w:hAnsi="Times New Roman"/>
                <w:b/>
              </w:rPr>
              <w:t>Názov materiálu</w:t>
            </w:r>
          </w:p>
        </w:tc>
      </w:tr>
      <w:tr w:rsidR="003501A1" w:rsidRPr="00A179AE" w:rsidTr="003501A1">
        <w:tc>
          <w:tcPr>
            <w:tcW w:w="9180" w:type="dxa"/>
            <w:gridSpan w:val="10"/>
            <w:tcBorders>
              <w:top w:val="single" w:sz="4" w:space="0" w:color="FFFFFF" w:themeColor="background1"/>
            </w:tcBorders>
          </w:tcPr>
          <w:p w:rsidR="003501A1" w:rsidRDefault="002764AD" w:rsidP="002B1EDD">
            <w:r w:rsidRPr="002764AD">
              <w:t xml:space="preserve">Návrh zákona, ktorým sa mení a dopĺňa zákon č. 513/1991 Zb. Obchodný zákonník v znení neskorších predpisov a </w:t>
            </w:r>
            <w:r w:rsidR="002F53B0" w:rsidRPr="002F53B0">
              <w:t>ktorým sa menia a dopĺňajú niektoré zákony</w:t>
            </w:r>
          </w:p>
          <w:p w:rsidR="002764AD" w:rsidRPr="00A179AE" w:rsidRDefault="002764AD" w:rsidP="002B1EDD"/>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spacing w:after="0" w:line="240" w:lineRule="auto"/>
              <w:ind w:left="142"/>
              <w:rPr>
                <w:rFonts w:ascii="Times New Roman" w:hAnsi="Times New Roman"/>
                <w:b/>
              </w:rPr>
            </w:pPr>
            <w:r w:rsidRPr="00A179AE">
              <w:rPr>
                <w:rFonts w:ascii="Times New Roman" w:hAnsi="Times New Roman"/>
                <w:b/>
              </w:rPr>
              <w:t>Predkladateľ (a spolupredkladateľ)</w:t>
            </w:r>
          </w:p>
        </w:tc>
      </w:tr>
      <w:tr w:rsidR="003501A1" w:rsidRPr="00A179AE" w:rsidTr="003501A1">
        <w:tc>
          <w:tcPr>
            <w:tcW w:w="9180" w:type="dxa"/>
            <w:gridSpan w:val="10"/>
            <w:tcBorders>
              <w:top w:val="single" w:sz="4" w:space="0" w:color="FFFFFF" w:themeColor="background1"/>
            </w:tcBorders>
            <w:shd w:val="clear" w:color="auto" w:fill="FFFFFF" w:themeFill="background1"/>
          </w:tcPr>
          <w:p w:rsidR="002764AD" w:rsidRDefault="002764AD" w:rsidP="002764AD">
            <w:r>
              <w:t>Ministerstvo spravodlivosti Slovenskej republiky</w:t>
            </w:r>
          </w:p>
          <w:p w:rsidR="002764AD" w:rsidRPr="00A179AE" w:rsidRDefault="002764AD" w:rsidP="002764AD">
            <w:r>
              <w:t>Ministerstvo financií Slovenskej republiky</w:t>
            </w:r>
          </w:p>
          <w:p w:rsidR="003501A1" w:rsidRPr="00A179AE" w:rsidRDefault="003501A1" w:rsidP="0074218A"/>
        </w:tc>
      </w:tr>
      <w:tr w:rsidR="003501A1" w:rsidRPr="00A179AE" w:rsidTr="004F6F1F">
        <w:tc>
          <w:tcPr>
            <w:tcW w:w="4212" w:type="dxa"/>
            <w:gridSpan w:val="2"/>
            <w:vMerge w:val="restart"/>
            <w:tcBorders>
              <w:bottom w:val="single" w:sz="4" w:space="0" w:color="FFFFFF" w:themeColor="background1"/>
            </w:tcBorders>
            <w:shd w:val="clear" w:color="auto" w:fill="E2E2E2"/>
            <w:vAlign w:val="center"/>
          </w:tcPr>
          <w:p w:rsidR="003501A1" w:rsidRPr="00A179AE" w:rsidRDefault="003501A1" w:rsidP="0074218A">
            <w:pPr>
              <w:pStyle w:val="Odsekzoznamu"/>
              <w:spacing w:after="0" w:line="240" w:lineRule="auto"/>
              <w:ind w:left="142"/>
              <w:rPr>
                <w:rFonts w:ascii="Times New Roman" w:hAnsi="Times New Roman"/>
                <w:b/>
              </w:rPr>
            </w:pPr>
            <w:r w:rsidRPr="00A179AE">
              <w:rPr>
                <w:rFonts w:ascii="Times New Roman" w:hAnsi="Times New Roman"/>
                <w:b/>
              </w:rPr>
              <w:t>Charakter predkladaného materiálu</w:t>
            </w:r>
          </w:p>
        </w:tc>
        <w:tc>
          <w:tcPr>
            <w:tcW w:w="705" w:type="dxa"/>
            <w:gridSpan w:val="2"/>
            <w:tcBorders>
              <w:right w:val="nil"/>
            </w:tcBorders>
            <w:shd w:val="clear" w:color="auto" w:fill="FFFFFF" w:themeFill="background1"/>
          </w:tcPr>
          <w:p w:rsidR="003501A1" w:rsidRPr="00A179AE" w:rsidRDefault="002764AD" w:rsidP="0074218A">
            <w:pPr>
              <w:jc w:val="center"/>
            </w:pPr>
            <w:r>
              <w:rPr>
                <w:rFonts w:ascii="MS Gothic" w:eastAsia="MS Gothic" w:hAnsi="MS Gothic" w:hint="eastAsia"/>
              </w:rPr>
              <w:t>☐</w:t>
            </w:r>
          </w:p>
        </w:tc>
        <w:tc>
          <w:tcPr>
            <w:tcW w:w="4263" w:type="dxa"/>
            <w:gridSpan w:val="6"/>
            <w:tcBorders>
              <w:left w:val="nil"/>
            </w:tcBorders>
            <w:shd w:val="clear" w:color="auto" w:fill="FFFFFF" w:themeFill="background1"/>
          </w:tcPr>
          <w:p w:rsidR="003501A1" w:rsidRPr="00A179AE" w:rsidRDefault="003501A1" w:rsidP="0074218A">
            <w:r w:rsidRPr="00A179AE">
              <w:t>Materiál nelegislatívnej povahy</w:t>
            </w:r>
          </w:p>
        </w:tc>
      </w:tr>
      <w:tr w:rsidR="003501A1" w:rsidRPr="00A179AE" w:rsidTr="004F6F1F">
        <w:tc>
          <w:tcPr>
            <w:tcW w:w="4212" w:type="dxa"/>
            <w:gridSpan w:val="2"/>
            <w:vMerge/>
            <w:tcBorders>
              <w:top w:val="nil"/>
              <w:bottom w:val="single" w:sz="4" w:space="0" w:color="FFFFFF" w:themeColor="background1"/>
            </w:tcBorders>
            <w:shd w:val="clear" w:color="auto" w:fill="E2E2E2"/>
          </w:tcPr>
          <w:p w:rsidR="003501A1" w:rsidRPr="00A179AE" w:rsidRDefault="003501A1" w:rsidP="0074218A"/>
        </w:tc>
        <w:tc>
          <w:tcPr>
            <w:tcW w:w="705" w:type="dxa"/>
            <w:gridSpan w:val="2"/>
            <w:tcBorders>
              <w:right w:val="nil"/>
            </w:tcBorders>
            <w:shd w:val="clear" w:color="auto" w:fill="FFFFFF" w:themeFill="background1"/>
          </w:tcPr>
          <w:p w:rsidR="003501A1" w:rsidRPr="00A179AE" w:rsidRDefault="002764AD" w:rsidP="0074218A">
            <w:pPr>
              <w:jc w:val="center"/>
            </w:pPr>
            <w:r>
              <w:rPr>
                <w:rFonts w:ascii="MS Gothic" w:eastAsia="MS Gothic" w:hAnsi="MS Gothic" w:hint="eastAsia"/>
              </w:rPr>
              <w:t>☒</w:t>
            </w:r>
          </w:p>
        </w:tc>
        <w:tc>
          <w:tcPr>
            <w:tcW w:w="4263" w:type="dxa"/>
            <w:gridSpan w:val="6"/>
            <w:tcBorders>
              <w:left w:val="nil"/>
            </w:tcBorders>
            <w:shd w:val="clear" w:color="auto" w:fill="FFFFFF" w:themeFill="background1"/>
          </w:tcPr>
          <w:p w:rsidR="003501A1" w:rsidRPr="00A179AE" w:rsidRDefault="003501A1" w:rsidP="0074218A">
            <w:pPr>
              <w:ind w:left="175" w:hanging="175"/>
            </w:pPr>
            <w:r w:rsidRPr="00A179AE">
              <w:t>Materiál legislatívnej povahy</w:t>
            </w:r>
          </w:p>
        </w:tc>
      </w:tr>
      <w:tr w:rsidR="003501A1" w:rsidRPr="00A179AE" w:rsidTr="004F6F1F">
        <w:tc>
          <w:tcPr>
            <w:tcW w:w="4212" w:type="dxa"/>
            <w:gridSpan w:val="2"/>
            <w:vMerge/>
            <w:tcBorders>
              <w:top w:val="nil"/>
            </w:tcBorders>
            <w:shd w:val="clear" w:color="auto" w:fill="E2E2E2"/>
          </w:tcPr>
          <w:p w:rsidR="003501A1" w:rsidRPr="00A179AE" w:rsidRDefault="003501A1" w:rsidP="0074218A"/>
        </w:tc>
        <w:tc>
          <w:tcPr>
            <w:tcW w:w="705" w:type="dxa"/>
            <w:gridSpan w:val="2"/>
            <w:tcBorders>
              <w:right w:val="nil"/>
            </w:tcBorders>
            <w:shd w:val="clear" w:color="auto" w:fill="FFFFFF" w:themeFill="background1"/>
          </w:tcPr>
          <w:p w:rsidR="003501A1" w:rsidRPr="00A179AE" w:rsidRDefault="002764AD" w:rsidP="0074218A">
            <w:pPr>
              <w:jc w:val="center"/>
            </w:pPr>
            <w:r>
              <w:rPr>
                <w:rFonts w:ascii="MS Gothic" w:eastAsia="MS Gothic" w:hAnsi="MS Gothic" w:hint="eastAsia"/>
              </w:rPr>
              <w:t>☒</w:t>
            </w:r>
          </w:p>
        </w:tc>
        <w:tc>
          <w:tcPr>
            <w:tcW w:w="4263" w:type="dxa"/>
            <w:gridSpan w:val="6"/>
            <w:tcBorders>
              <w:left w:val="nil"/>
            </w:tcBorders>
            <w:shd w:val="clear" w:color="auto" w:fill="FFFFFF" w:themeFill="background1"/>
          </w:tcPr>
          <w:p w:rsidR="003501A1" w:rsidRPr="00A179AE" w:rsidRDefault="003501A1" w:rsidP="0074218A">
            <w:r w:rsidRPr="00A179AE">
              <w:t>Transpozícia práva EÚ</w:t>
            </w:r>
          </w:p>
        </w:tc>
      </w:tr>
      <w:tr w:rsidR="003501A1" w:rsidRPr="00A179AE" w:rsidTr="003501A1">
        <w:tc>
          <w:tcPr>
            <w:tcW w:w="9180" w:type="dxa"/>
            <w:gridSpan w:val="10"/>
            <w:tcBorders>
              <w:bottom w:val="single" w:sz="4" w:space="0" w:color="FFFFFF" w:themeColor="background1"/>
            </w:tcBorders>
            <w:shd w:val="clear" w:color="auto" w:fill="FFFFFF" w:themeFill="background1"/>
          </w:tcPr>
          <w:p w:rsidR="003501A1" w:rsidRDefault="003501A1" w:rsidP="0074218A">
            <w:pPr>
              <w:rPr>
                <w:i/>
              </w:rPr>
            </w:pPr>
            <w:r w:rsidRPr="00A179AE">
              <w:rPr>
                <w:i/>
              </w:rPr>
              <w:t>V prípade transpozície uveďte zoznam transponovaných predpisov:</w:t>
            </w:r>
          </w:p>
          <w:p w:rsidR="002764AD" w:rsidRPr="00A179AE" w:rsidRDefault="002764AD" w:rsidP="002764AD">
            <w:pPr>
              <w:jc w:val="both"/>
            </w:pPr>
            <w:r>
              <w:t>S</w:t>
            </w:r>
            <w:r w:rsidRPr="00381426">
              <w:t>mernic</w:t>
            </w:r>
            <w:r>
              <w:t>a</w:t>
            </w:r>
            <w:r w:rsidRPr="00381426">
              <w:t xml:space="preserve"> Európskeho parlamentu a Rady (EÚ) 2017/828 zo 17. mája 2017, ktorou sa mení smernica 2007/36/ES, pokiaľ ide o podnietenie dlhodobého zapojenia akcionárov (Ú. v. EU L 132, 20.5.2017)</w:t>
            </w:r>
          </w:p>
          <w:p w:rsidR="003501A1" w:rsidRPr="00A179AE" w:rsidRDefault="003501A1" w:rsidP="002B1EDD"/>
        </w:tc>
      </w:tr>
      <w:tr w:rsidR="003501A1" w:rsidRPr="00A179AE" w:rsidTr="004F6F1F">
        <w:tc>
          <w:tcPr>
            <w:tcW w:w="5634" w:type="dxa"/>
            <w:gridSpan w:val="5"/>
            <w:tcBorders>
              <w:top w:val="single" w:sz="4" w:space="0" w:color="000000" w:themeColor="text1"/>
              <w:bottom w:val="single" w:sz="4" w:space="0" w:color="FFFFFF" w:themeColor="background1"/>
            </w:tcBorders>
            <w:shd w:val="clear" w:color="auto" w:fill="E2E2E2"/>
          </w:tcPr>
          <w:p w:rsidR="003501A1" w:rsidRPr="00A179AE" w:rsidRDefault="003501A1" w:rsidP="0074218A">
            <w:pPr>
              <w:pStyle w:val="Odsekzoznamu"/>
              <w:spacing w:after="0" w:line="240" w:lineRule="auto"/>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themeColor="text1"/>
            </w:tcBorders>
          </w:tcPr>
          <w:p w:rsidR="003501A1" w:rsidRPr="00A179AE" w:rsidRDefault="006C7B63" w:rsidP="005C37A6">
            <w:pPr>
              <w:rPr>
                <w:i/>
              </w:rPr>
            </w:pPr>
            <w:r>
              <w:rPr>
                <w:i/>
              </w:rPr>
              <w:t>18.12.-27</w:t>
            </w:r>
            <w:r w:rsidR="005C37A6">
              <w:rPr>
                <w:i/>
              </w:rPr>
              <w:t>.12.</w:t>
            </w:r>
            <w:r w:rsidR="002764AD">
              <w:rPr>
                <w:i/>
              </w:rPr>
              <w:t>2018</w:t>
            </w:r>
          </w:p>
        </w:tc>
      </w:tr>
      <w:tr w:rsidR="003501A1" w:rsidRPr="00A179AE" w:rsidTr="004F6F1F">
        <w:tc>
          <w:tcPr>
            <w:tcW w:w="5634" w:type="dxa"/>
            <w:gridSpan w:val="5"/>
            <w:tcBorders>
              <w:bottom w:val="single" w:sz="4" w:space="0" w:color="FFFFFF" w:themeColor="background1"/>
            </w:tcBorders>
            <w:shd w:val="clear" w:color="auto" w:fill="E2E2E2"/>
          </w:tcPr>
          <w:p w:rsidR="003501A1" w:rsidRPr="00A179AE" w:rsidRDefault="003501A1" w:rsidP="0074218A">
            <w:pPr>
              <w:pStyle w:val="Odsekzoznamu"/>
              <w:spacing w:after="0" w:line="240" w:lineRule="auto"/>
              <w:ind w:left="142"/>
              <w:rPr>
                <w:rFonts w:ascii="Times New Roman" w:hAnsi="Times New Roman"/>
                <w:b/>
              </w:rPr>
            </w:pPr>
            <w:r w:rsidRPr="00A179AE">
              <w:rPr>
                <w:rFonts w:ascii="Times New Roman" w:hAnsi="Times New Roman"/>
                <w:b/>
              </w:rPr>
              <w:t>Predpokladaný termín predloženia na MPK</w:t>
            </w:r>
            <w:r w:rsidR="00F62771">
              <w:rPr>
                <w:rFonts w:ascii="Times New Roman" w:hAnsi="Times New Roman"/>
                <w:b/>
              </w:rPr>
              <w:t>*</w:t>
            </w:r>
          </w:p>
        </w:tc>
        <w:tc>
          <w:tcPr>
            <w:tcW w:w="3546" w:type="dxa"/>
            <w:gridSpan w:val="5"/>
          </w:tcPr>
          <w:p w:rsidR="003501A1" w:rsidRPr="00A179AE" w:rsidRDefault="008B2C74" w:rsidP="008B2C74">
            <w:pPr>
              <w:rPr>
                <w:i/>
              </w:rPr>
            </w:pPr>
            <w:r>
              <w:rPr>
                <w:i/>
              </w:rPr>
              <w:t>07</w:t>
            </w:r>
            <w:r w:rsidR="006C7B63">
              <w:rPr>
                <w:i/>
              </w:rPr>
              <w:t>.</w:t>
            </w:r>
            <w:r>
              <w:rPr>
                <w:i/>
              </w:rPr>
              <w:t>01</w:t>
            </w:r>
            <w:r w:rsidR="006C7B63">
              <w:rPr>
                <w:i/>
              </w:rPr>
              <w:t>.</w:t>
            </w:r>
            <w:r w:rsidR="002764AD">
              <w:rPr>
                <w:i/>
              </w:rPr>
              <w:t xml:space="preserve"> 201</w:t>
            </w:r>
            <w:r>
              <w:rPr>
                <w:i/>
              </w:rPr>
              <w:t>9</w:t>
            </w:r>
            <w:r w:rsidR="005E390D">
              <w:rPr>
                <w:i/>
              </w:rPr>
              <w:t>-25.01.2019</w:t>
            </w:r>
          </w:p>
        </w:tc>
      </w:tr>
      <w:tr w:rsidR="003501A1" w:rsidRPr="00A179AE" w:rsidTr="004F6F1F">
        <w:tc>
          <w:tcPr>
            <w:tcW w:w="5634" w:type="dxa"/>
            <w:gridSpan w:val="5"/>
            <w:tcBorders>
              <w:bottom w:val="single" w:sz="4" w:space="0" w:color="FFFFFF" w:themeColor="background1"/>
            </w:tcBorders>
            <w:shd w:val="clear" w:color="auto" w:fill="E2E2E2"/>
          </w:tcPr>
          <w:p w:rsidR="003501A1" w:rsidRPr="00A179AE" w:rsidRDefault="003501A1" w:rsidP="0074218A">
            <w:pPr>
              <w:pStyle w:val="Odsekzoznamu"/>
              <w:spacing w:after="0" w:line="240" w:lineRule="auto"/>
              <w:ind w:left="142"/>
              <w:rPr>
                <w:rFonts w:ascii="Times New Roman" w:hAnsi="Times New Roman"/>
                <w:b/>
              </w:rPr>
            </w:pPr>
            <w:r w:rsidRPr="00A179AE">
              <w:rPr>
                <w:rFonts w:ascii="Times New Roman" w:hAnsi="Times New Roman"/>
                <w:b/>
              </w:rPr>
              <w:t>Predpokladaný termín predloženia na Rokovanie vlády SR</w:t>
            </w:r>
            <w:r w:rsidR="00F62771">
              <w:rPr>
                <w:rFonts w:ascii="Times New Roman" w:hAnsi="Times New Roman"/>
                <w:b/>
              </w:rPr>
              <w:t>*</w:t>
            </w:r>
          </w:p>
        </w:tc>
        <w:tc>
          <w:tcPr>
            <w:tcW w:w="3546" w:type="dxa"/>
            <w:gridSpan w:val="5"/>
          </w:tcPr>
          <w:p w:rsidR="003501A1" w:rsidRPr="00A179AE" w:rsidRDefault="005E390D" w:rsidP="005E390D">
            <w:pPr>
              <w:rPr>
                <w:i/>
              </w:rPr>
            </w:pPr>
            <w:r>
              <w:rPr>
                <w:i/>
              </w:rPr>
              <w:t>06.03.</w:t>
            </w:r>
            <w:r w:rsidR="005C37A6">
              <w:rPr>
                <w:i/>
              </w:rPr>
              <w:t>2019</w:t>
            </w:r>
          </w:p>
        </w:tc>
      </w:tr>
      <w:tr w:rsidR="003501A1" w:rsidRPr="00A179AE" w:rsidTr="003501A1">
        <w:tc>
          <w:tcPr>
            <w:tcW w:w="9180" w:type="dxa"/>
            <w:gridSpan w:val="10"/>
            <w:tcBorders>
              <w:left w:val="nil"/>
              <w:right w:val="nil"/>
            </w:tcBorders>
            <w:shd w:val="clear" w:color="auto" w:fill="FFFFFF" w:themeFill="background1"/>
          </w:tcPr>
          <w:p w:rsidR="003501A1" w:rsidRPr="00A179AE" w:rsidRDefault="003501A1" w:rsidP="0074218A"/>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Defin</w:t>
            </w:r>
            <w:r w:rsidR="00AC2477">
              <w:rPr>
                <w:rFonts w:ascii="Times New Roman" w:hAnsi="Times New Roman"/>
                <w:b/>
              </w:rPr>
              <w:t>ovanie</w:t>
            </w:r>
            <w:r w:rsidRPr="00A179AE">
              <w:rPr>
                <w:rFonts w:ascii="Times New Roman" w:hAnsi="Times New Roman"/>
                <w:b/>
              </w:rPr>
              <w:t xml:space="preserve"> problému</w:t>
            </w:r>
          </w:p>
        </w:tc>
      </w:tr>
      <w:tr w:rsidR="003501A1" w:rsidRPr="00A179AE" w:rsidTr="00D13B6F">
        <w:trPr>
          <w:trHeight w:val="718"/>
        </w:trPr>
        <w:tc>
          <w:tcPr>
            <w:tcW w:w="9180" w:type="dxa"/>
            <w:gridSpan w:val="10"/>
            <w:tcBorders>
              <w:top w:val="single" w:sz="4" w:space="0" w:color="FFFFFF" w:themeColor="background1"/>
            </w:tcBorders>
            <w:shd w:val="clear" w:color="auto" w:fill="FFFFFF" w:themeFill="background1"/>
          </w:tcPr>
          <w:p w:rsidR="002764AD" w:rsidRPr="00A179AE" w:rsidRDefault="002764AD" w:rsidP="002764AD">
            <w:pPr>
              <w:rPr>
                <w:i/>
              </w:rPr>
            </w:pPr>
            <w:r w:rsidRPr="00A179AE">
              <w:rPr>
                <w:i/>
              </w:rPr>
              <w:t>Uveďte základné problémy, na ktoré navrhovaná regulácia reaguje.</w:t>
            </w:r>
          </w:p>
          <w:p w:rsidR="002764AD" w:rsidRPr="002764AD" w:rsidRDefault="002764AD" w:rsidP="004372C4">
            <w:pPr>
              <w:jc w:val="both"/>
              <w:rPr>
                <w:szCs w:val="24"/>
              </w:rPr>
            </w:pPr>
            <w:r w:rsidRPr="002764AD">
              <w:rPr>
                <w:szCs w:val="24"/>
              </w:rPr>
              <w:t>Navrhovaná právna úprava reaguje na štyri základné okruhy problémov súvisiacich s dlhodobým zapojením akcionárov v otázkach správy a riadenia verejných akciových spoločností a posilnením transparentnosti vzťahov v rámci investičnej reťaze:</w:t>
            </w:r>
          </w:p>
          <w:p w:rsidR="002764AD" w:rsidRPr="002764AD" w:rsidRDefault="002764AD" w:rsidP="004372C4">
            <w:pPr>
              <w:pStyle w:val="Odsekzoznamu"/>
              <w:numPr>
                <w:ilvl w:val="0"/>
                <w:numId w:val="2"/>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postavenie akcionárov verejných akciových spoločností (ich identifikácia, prenos informácií v rámci investičnej reťaze medzi sprostredkovateľmi – akcionármi - verejnou akciovou spoločnosťou, zjednodušenie výkonu akcionárskych práv, zavedenie nediskriminačnej, proporčnej a transparentnej politiky nákladov)</w:t>
            </w:r>
            <w:r w:rsidR="00667F09">
              <w:rPr>
                <w:rFonts w:ascii="Times New Roman" w:hAnsi="Times New Roman"/>
                <w:sz w:val="20"/>
                <w:szCs w:val="20"/>
              </w:rPr>
              <w:t>,</w:t>
            </w:r>
          </w:p>
          <w:p w:rsidR="002764AD" w:rsidRPr="002764AD" w:rsidRDefault="002764AD" w:rsidP="002764AD">
            <w:pPr>
              <w:pStyle w:val="Odsekzoznamu"/>
              <w:numPr>
                <w:ilvl w:val="0"/>
                <w:numId w:val="2"/>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 xml:space="preserve">transparentnosť inštitucionálnych investorov, správcov aktív a zastupujúcich poradcov (jej posilnenie prostredníctvom politiky zapájania akcionárov do svojej investičnej stratégie, zverejnenia investičných stratégií investičných investorov a dojednaní inštitucionálnych investorov so správcami aktív, zverejnenia odkazu na kódex správania uplatňovaný zastupujúcimi poradcami s pravidelné podávanie správ o jeho uplatňovaní), </w:t>
            </w:r>
          </w:p>
          <w:p w:rsidR="002764AD" w:rsidRPr="002764AD" w:rsidRDefault="002764AD" w:rsidP="002764AD">
            <w:pPr>
              <w:pStyle w:val="Odsekzoznamu"/>
              <w:numPr>
                <w:ilvl w:val="0"/>
                <w:numId w:val="2"/>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politiku odmeňovania členov orgánov verejnej akciovej spoločnosti (s dôrazom na posilnenie postavenia akcionárov pri jej určovaní a vykonávaní),</w:t>
            </w:r>
          </w:p>
          <w:p w:rsidR="003501A1" w:rsidRPr="002764AD" w:rsidRDefault="002764AD" w:rsidP="002764AD">
            <w:pPr>
              <w:pStyle w:val="Odsekzoznamu"/>
              <w:numPr>
                <w:ilvl w:val="0"/>
                <w:numId w:val="2"/>
              </w:numPr>
              <w:spacing w:after="0" w:line="240" w:lineRule="auto"/>
              <w:ind w:left="714" w:hanging="357"/>
              <w:jc w:val="both"/>
              <w:rPr>
                <w:szCs w:val="24"/>
              </w:rPr>
            </w:pPr>
            <w:r w:rsidRPr="002764AD">
              <w:rPr>
                <w:rFonts w:ascii="Times New Roman" w:hAnsi="Times New Roman"/>
                <w:sz w:val="20"/>
                <w:szCs w:val="20"/>
              </w:rPr>
              <w:t>významné obchodné transakcie verejnej akciovej spoločnosti so spriaznenými osobami (ktorá rovnako smeruje k zlepšeniu informovanosti akcionárov o transakciách s významným vplyvom na majetok spoločnosti v širšom slova zmysle).</w:t>
            </w:r>
          </w:p>
        </w:tc>
      </w:tr>
      <w:tr w:rsidR="003501A1" w:rsidRPr="00A179AE" w:rsidTr="003501A1">
        <w:tc>
          <w:tcPr>
            <w:tcW w:w="9180" w:type="dxa"/>
            <w:gridSpan w:val="10"/>
            <w:tcBorders>
              <w:bottom w:val="nil"/>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Ciele a výsledný stav</w:t>
            </w:r>
          </w:p>
        </w:tc>
      </w:tr>
      <w:tr w:rsidR="003501A1" w:rsidRPr="00A179AE" w:rsidTr="00D13B6F">
        <w:trPr>
          <w:trHeight w:val="741"/>
        </w:trPr>
        <w:tc>
          <w:tcPr>
            <w:tcW w:w="9180" w:type="dxa"/>
            <w:gridSpan w:val="10"/>
            <w:tcBorders>
              <w:top w:val="nil"/>
            </w:tcBorders>
            <w:shd w:val="clear" w:color="auto" w:fill="FFFFFF" w:themeFill="background1"/>
          </w:tcPr>
          <w:p w:rsidR="002764AD" w:rsidRPr="002764AD" w:rsidRDefault="002764AD" w:rsidP="002764AD">
            <w:pPr>
              <w:jc w:val="both"/>
              <w:rPr>
                <w:i/>
              </w:rPr>
            </w:pPr>
            <w:r w:rsidRPr="002764AD">
              <w:rPr>
                <w:i/>
              </w:rPr>
              <w:t>Uveďte hlavné ciele navrhovaného predpisu (aký výsledný stav chcete reguláciou dosiahnuť).</w:t>
            </w:r>
          </w:p>
          <w:p w:rsidR="002764AD" w:rsidRDefault="002764AD" w:rsidP="002764AD">
            <w:pPr>
              <w:jc w:val="both"/>
            </w:pPr>
            <w:r>
              <w:t>Navrhovaná právna úprava má za cieľ:</w:t>
            </w:r>
          </w:p>
          <w:p w:rsidR="002764AD" w:rsidRPr="002764AD" w:rsidRDefault="002764AD" w:rsidP="002764AD">
            <w:pPr>
              <w:pStyle w:val="Odsekzoznamu"/>
              <w:numPr>
                <w:ilvl w:val="0"/>
                <w:numId w:val="3"/>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odstrániť existujúce prekážky v cezhraničnom investovaní alebo pri účasti a hlasovaní akcionárov na valnom zhromaždení prostredníctvom elektronických prostriedkov, a to najmä tie, ktoré sa spájajú s včasnou a dostatočne určitou identifikáciou akcionárov verejnej akciovej spoločnosti,</w:t>
            </w:r>
          </w:p>
          <w:p w:rsidR="002764AD" w:rsidRPr="002764AD" w:rsidRDefault="002764AD" w:rsidP="002764AD">
            <w:pPr>
              <w:pStyle w:val="Odsekzoznamu"/>
              <w:numPr>
                <w:ilvl w:val="0"/>
                <w:numId w:val="3"/>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 xml:space="preserve">upraviť a zjednodušiť prenos informácií o akcionároch v rámci investičnej reťaze sprostredkovateľov tak, aby sa zjednodušil výkon práv akcionárov na valnom zhromaždení verejnej akciovej spoločnosti, a zefektívniť zapojenie predovšetkým inštitucionálnych investorov a správcov aktív do rozhodovacích procesov vo verejnej akciovej spoločnosti, </w:t>
            </w:r>
          </w:p>
          <w:p w:rsidR="002764AD" w:rsidRPr="002764AD" w:rsidRDefault="002764AD" w:rsidP="002764AD">
            <w:pPr>
              <w:pStyle w:val="Odsekzoznamu"/>
              <w:numPr>
                <w:ilvl w:val="0"/>
                <w:numId w:val="3"/>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prispieť k zlepšeniu kvality rozhodovania zastupujúcich poradcov,</w:t>
            </w:r>
          </w:p>
          <w:p w:rsidR="002764AD" w:rsidRPr="002764AD" w:rsidRDefault="002764AD" w:rsidP="002764AD">
            <w:pPr>
              <w:pStyle w:val="Odsekzoznamu"/>
              <w:numPr>
                <w:ilvl w:val="0"/>
                <w:numId w:val="3"/>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regulovať odmeňovanie členov orgánov verejnej akciovej spoločnosti s dôrazom na posilnenie postavenia akcionárov pri určovaní pravidiel odmeňovania (podmienka schválenia pravidiel odmeňovania na valnom zhromaždení) a ich vykonávaní (prerokovanie správy o odmeňovaní na valnom zhromaždení),</w:t>
            </w:r>
          </w:p>
          <w:p w:rsidR="002764AD" w:rsidRPr="002764AD" w:rsidRDefault="002764AD" w:rsidP="002764AD">
            <w:pPr>
              <w:pStyle w:val="Odsekzoznamu"/>
              <w:numPr>
                <w:ilvl w:val="0"/>
                <w:numId w:val="3"/>
              </w:numPr>
              <w:spacing w:after="0" w:line="240" w:lineRule="auto"/>
              <w:ind w:left="714" w:hanging="357"/>
              <w:jc w:val="both"/>
              <w:rPr>
                <w:rFonts w:ascii="Times New Roman" w:hAnsi="Times New Roman"/>
                <w:sz w:val="20"/>
                <w:szCs w:val="20"/>
              </w:rPr>
            </w:pPr>
            <w:r w:rsidRPr="002764AD">
              <w:rPr>
                <w:rFonts w:ascii="Times New Roman" w:hAnsi="Times New Roman"/>
                <w:sz w:val="20"/>
                <w:szCs w:val="20"/>
              </w:rPr>
              <w:t>regulovať významné obchodné transakcie so spriaznenými osobami tak, aby sa zlepšila informovanosť akcionárov o transakciách s významným vplyvom na majetok spoločnosti v širšom slova zmysle,</w:t>
            </w:r>
          </w:p>
          <w:p w:rsidR="002C688F" w:rsidRPr="00A179AE" w:rsidRDefault="002764AD" w:rsidP="002764AD">
            <w:pPr>
              <w:pStyle w:val="Odsekzoznamu"/>
              <w:numPr>
                <w:ilvl w:val="0"/>
                <w:numId w:val="3"/>
              </w:numPr>
              <w:spacing w:after="0" w:line="240" w:lineRule="auto"/>
              <w:ind w:left="714" w:hanging="357"/>
              <w:jc w:val="both"/>
            </w:pPr>
            <w:r w:rsidRPr="002764AD">
              <w:rPr>
                <w:rFonts w:ascii="Times New Roman" w:hAnsi="Times New Roman"/>
                <w:sz w:val="20"/>
                <w:szCs w:val="20"/>
              </w:rPr>
              <w:lastRenderedPageBreak/>
              <w:t>upraviť niektoré aspekty súvisiace s praktickým výkonom práva účasti a hlasovania na valnom zhromaždení verejnej akciovej spoločnosti.</w:t>
            </w:r>
          </w:p>
        </w:tc>
      </w:tr>
      <w:tr w:rsidR="003501A1" w:rsidRPr="00A179AE" w:rsidTr="003501A1">
        <w:tc>
          <w:tcPr>
            <w:tcW w:w="9180" w:type="dxa"/>
            <w:gridSpan w:val="10"/>
            <w:tcBorders>
              <w:bottom w:val="nil"/>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lastRenderedPageBreak/>
              <w:t>Dotknuté subjekty</w:t>
            </w:r>
          </w:p>
        </w:tc>
      </w:tr>
      <w:tr w:rsidR="003501A1" w:rsidRPr="00A179AE" w:rsidTr="003501A1">
        <w:tc>
          <w:tcPr>
            <w:tcW w:w="9180" w:type="dxa"/>
            <w:gridSpan w:val="10"/>
            <w:tcBorders>
              <w:top w:val="nil"/>
            </w:tcBorders>
            <w:shd w:val="clear" w:color="auto" w:fill="FFFFFF" w:themeFill="background1"/>
          </w:tcPr>
          <w:p w:rsidR="002764AD" w:rsidRPr="002764AD" w:rsidRDefault="002764AD" w:rsidP="002764AD">
            <w:pPr>
              <w:rPr>
                <w:i/>
              </w:rPr>
            </w:pPr>
            <w:r w:rsidRPr="002764AD">
              <w:rPr>
                <w:i/>
              </w:rPr>
              <w:t>Uveďte subjekty, ktorých sa zmeny návrhu dotknú priamo aj nepriamo:</w:t>
            </w:r>
          </w:p>
          <w:p w:rsidR="002764AD" w:rsidRDefault="002764AD" w:rsidP="004372C4">
            <w:pPr>
              <w:jc w:val="both"/>
            </w:pPr>
            <w:r>
              <w:t xml:space="preserve">Osobná pôsobnosť navrhovanej právnej úpravy je obmedzená na verejné akciové spoločnosti, t.j. na akciové spoločnosti, ktorých akcie sú prijaté na obchodovanie na regulovanom trhu nachádzajúcom sa alebo fungujúcom v rámci členského štátu EU. </w:t>
            </w:r>
          </w:p>
          <w:p w:rsidR="002764AD" w:rsidRDefault="002764AD" w:rsidP="004372C4">
            <w:pPr>
              <w:jc w:val="both"/>
            </w:pPr>
            <w:r>
              <w:t>Toto obmedzenie vyplýva zo samotnej smernice 2007/36/ES, viď jej názov a článok 1 ods. 1 a definície regulovaného trhu v zmysle § 25 ods. 1 zákona č. 429/2002 Z. z. o burze cenných papierov v znení neskorších predpisov.</w:t>
            </w:r>
          </w:p>
          <w:p w:rsidR="003501A1" w:rsidRPr="005271EC" w:rsidRDefault="002764AD" w:rsidP="00667F09">
            <w:pPr>
              <w:jc w:val="both"/>
            </w:pPr>
            <w:r>
              <w:t>V súčasnosti sa podľa informáci</w:t>
            </w:r>
            <w:r w:rsidR="00667F09">
              <w:t>í</w:t>
            </w:r>
            <w:r>
              <w:t xml:space="preserve"> z webového sídla Burzy cenných papierov v Bratislave, a.s. jedná o 42 subjektov.</w:t>
            </w:r>
          </w:p>
        </w:tc>
      </w:tr>
      <w:tr w:rsidR="003501A1" w:rsidRPr="00A179AE" w:rsidTr="005271EC">
        <w:trPr>
          <w:trHeight w:val="427"/>
        </w:trPr>
        <w:tc>
          <w:tcPr>
            <w:tcW w:w="9180" w:type="dxa"/>
            <w:gridSpan w:val="10"/>
            <w:tcBorders>
              <w:bottom w:val="nil"/>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Alternatívne riešenia</w:t>
            </w:r>
          </w:p>
        </w:tc>
      </w:tr>
      <w:tr w:rsidR="003501A1" w:rsidRPr="00A179AE" w:rsidTr="00D13B6F">
        <w:trPr>
          <w:trHeight w:val="709"/>
        </w:trPr>
        <w:tc>
          <w:tcPr>
            <w:tcW w:w="9180" w:type="dxa"/>
            <w:gridSpan w:val="10"/>
            <w:tcBorders>
              <w:top w:val="nil"/>
            </w:tcBorders>
            <w:shd w:val="clear" w:color="auto" w:fill="FFFFFF" w:themeFill="background1"/>
          </w:tcPr>
          <w:p w:rsidR="002764AD" w:rsidRPr="002764AD" w:rsidRDefault="002764AD" w:rsidP="002764AD">
            <w:pPr>
              <w:rPr>
                <w:i/>
              </w:rPr>
            </w:pPr>
            <w:r w:rsidRPr="002764AD">
              <w:rPr>
                <w:i/>
              </w:rPr>
              <w:t>Aké alternatívne riešenia boli posudzované?</w:t>
            </w:r>
          </w:p>
          <w:p w:rsidR="002764AD" w:rsidRDefault="002764AD" w:rsidP="004372C4">
            <w:pPr>
              <w:jc w:val="both"/>
            </w:pPr>
            <w:r>
              <w:t>Uveďte, aké alternatívne spôsoby na odstránenie definovaného problému boli identifikované a posudzované.</w:t>
            </w:r>
          </w:p>
          <w:p w:rsidR="00031987" w:rsidRPr="005271EC" w:rsidRDefault="002764AD" w:rsidP="004372C4">
            <w:pPr>
              <w:jc w:val="both"/>
            </w:pPr>
            <w:r>
              <w:t>Iné alternatívne riešenia neboli posudzované, nakoľko právna úprava je transpozíciou práva EU.</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Vykonávacie predpisy</w:t>
            </w:r>
          </w:p>
        </w:tc>
      </w:tr>
      <w:tr w:rsidR="003501A1" w:rsidRPr="00A179AE" w:rsidTr="004F6F1F">
        <w:tc>
          <w:tcPr>
            <w:tcW w:w="6203" w:type="dxa"/>
            <w:gridSpan w:val="6"/>
            <w:tcBorders>
              <w:top w:val="single" w:sz="4" w:space="0" w:color="FFFFFF" w:themeColor="background1"/>
              <w:bottom w:val="nil"/>
              <w:right w:val="nil"/>
            </w:tcBorders>
            <w:shd w:val="clear" w:color="auto" w:fill="FFFFFF" w:themeFill="background1"/>
          </w:tcPr>
          <w:p w:rsidR="003501A1" w:rsidRPr="00A179AE" w:rsidRDefault="003501A1" w:rsidP="0074218A">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031987" w:rsidP="0074218A">
            <w:pPr>
              <w:jc w:val="center"/>
            </w:pPr>
            <w:r>
              <w:rPr>
                <w:rFonts w:ascii="MS Gothic" w:eastAsia="MS Gothic" w:hAnsi="MS Gothic" w:hint="eastAsia"/>
              </w:rPr>
              <w:t>☐</w:t>
            </w:r>
            <w:r w:rsidR="003501A1" w:rsidRPr="00A179AE">
              <w:t xml:space="preserve">  Áno</w:t>
            </w:r>
          </w:p>
        </w:tc>
        <w:tc>
          <w:tcPr>
            <w:tcW w:w="1560" w:type="dxa"/>
            <w:gridSpan w:val="2"/>
            <w:tcBorders>
              <w:top w:val="single" w:sz="4" w:space="0" w:color="FFFFFF" w:themeColor="background1"/>
              <w:left w:val="nil"/>
              <w:bottom w:val="nil"/>
            </w:tcBorders>
            <w:shd w:val="clear" w:color="auto" w:fill="FFFFFF" w:themeFill="background1"/>
          </w:tcPr>
          <w:p w:rsidR="003501A1" w:rsidRPr="00A179AE" w:rsidRDefault="003D4E36" w:rsidP="0074218A">
            <w:pPr>
              <w:jc w:val="center"/>
            </w:pPr>
            <w:r>
              <w:rPr>
                <w:rFonts w:ascii="MS Gothic" w:eastAsia="MS Gothic" w:hAnsi="MS Gothic" w:hint="eastAsia"/>
              </w:rPr>
              <w:t>☒</w:t>
            </w:r>
            <w:r w:rsidR="003501A1" w:rsidRPr="00A179AE">
              <w:t xml:space="preserve">  Nie</w:t>
            </w:r>
          </w:p>
        </w:tc>
      </w:tr>
      <w:tr w:rsidR="003501A1" w:rsidRPr="00A179AE" w:rsidTr="003501A1">
        <w:tc>
          <w:tcPr>
            <w:tcW w:w="9180" w:type="dxa"/>
            <w:gridSpan w:val="10"/>
            <w:tcBorders>
              <w:top w:val="nil"/>
            </w:tcBorders>
            <w:shd w:val="clear" w:color="auto" w:fill="FFFFFF" w:themeFill="background1"/>
          </w:tcPr>
          <w:p w:rsidR="003501A1" w:rsidRDefault="003501A1" w:rsidP="0074218A">
            <w:pPr>
              <w:rPr>
                <w:i/>
              </w:rPr>
            </w:pPr>
            <w:r w:rsidRPr="00A179AE">
              <w:rPr>
                <w:i/>
              </w:rPr>
              <w:t>Ak áno, uveďte ktoré oblasti budú nimi upravené, resp. ktorých vykonávacích predpisov sa zmena dotkne:</w:t>
            </w:r>
          </w:p>
          <w:p w:rsidR="003501A1" w:rsidRPr="00A179AE" w:rsidRDefault="003501A1" w:rsidP="003D4E36"/>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 xml:space="preserve">Transpozícia práva EÚ </w:t>
            </w:r>
          </w:p>
        </w:tc>
      </w:tr>
      <w:tr w:rsidR="002764AD" w:rsidRPr="00A179AE" w:rsidTr="003501A1">
        <w:trPr>
          <w:trHeight w:val="157"/>
        </w:trPr>
        <w:tc>
          <w:tcPr>
            <w:tcW w:w="9180" w:type="dxa"/>
            <w:gridSpan w:val="10"/>
            <w:tcBorders>
              <w:top w:val="nil"/>
              <w:left w:val="single" w:sz="4" w:space="0" w:color="000000" w:themeColor="text1"/>
              <w:bottom w:val="nil"/>
            </w:tcBorders>
            <w:shd w:val="clear" w:color="auto" w:fill="FFFFFF" w:themeFill="background1"/>
          </w:tcPr>
          <w:p w:rsidR="002764AD" w:rsidRPr="002764AD" w:rsidRDefault="002764AD" w:rsidP="004372C4">
            <w:pPr>
              <w:jc w:val="both"/>
              <w:rPr>
                <w:i/>
              </w:rPr>
            </w:pPr>
            <w:r w:rsidRPr="002764AD">
              <w:rPr>
                <w:i/>
              </w:rPr>
              <w:t>Uveďte, v ktorých ustanoveniach ide národná právna úprava nad rámec minimálnych požiadaviek EÚ spolu s odôvodnením.</w:t>
            </w:r>
          </w:p>
        </w:tc>
      </w:tr>
      <w:tr w:rsidR="002764AD"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764AD" w:rsidRPr="00A179AE" w:rsidRDefault="002764AD" w:rsidP="004372C4">
            <w:pPr>
              <w:jc w:val="both"/>
            </w:pPr>
            <w:r w:rsidRPr="00355BAE">
              <w:t>Predkladateľ  navrhovanou právnou  úpravou nešiel nad rámec požiadaviek skôr citovanej smernice; predmetná právna úprava definuje nové povinnosti v záujme zabezpečenia minimálneho súladu právneho poriadku Slovenskej republiky s právom EU.</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Preskúmanie účelnosti</w:t>
            </w:r>
            <w:r w:rsidR="00F62771">
              <w:rPr>
                <w:rFonts w:ascii="Times New Roman" w:hAnsi="Times New Roman"/>
                <w:b/>
              </w:rPr>
              <w:t>**</w:t>
            </w:r>
          </w:p>
        </w:tc>
      </w:tr>
      <w:tr w:rsidR="003501A1" w:rsidRPr="00A179AE" w:rsidTr="003501A1">
        <w:tc>
          <w:tcPr>
            <w:tcW w:w="9180" w:type="dxa"/>
            <w:gridSpan w:val="10"/>
            <w:tcBorders>
              <w:top w:val="single" w:sz="4" w:space="0" w:color="FFFFFF" w:themeColor="background1"/>
            </w:tcBorders>
            <w:shd w:val="clear" w:color="auto" w:fill="FFFFFF" w:themeFill="background1"/>
          </w:tcPr>
          <w:p w:rsidR="002764AD" w:rsidRPr="002764AD" w:rsidRDefault="002764AD" w:rsidP="004372C4">
            <w:pPr>
              <w:jc w:val="both"/>
              <w:rPr>
                <w:i/>
              </w:rPr>
            </w:pPr>
            <w:r w:rsidRPr="002764AD">
              <w:rPr>
                <w:i/>
              </w:rPr>
              <w:t>Uveďte termín, kedy by malo dôjsť k preskúmaniu účinnosti a účelnosti navrhovaného predpisu.</w:t>
            </w:r>
          </w:p>
          <w:p w:rsidR="002764AD" w:rsidRPr="002764AD" w:rsidRDefault="002764AD" w:rsidP="004372C4">
            <w:pPr>
              <w:jc w:val="both"/>
              <w:rPr>
                <w:i/>
              </w:rPr>
            </w:pPr>
            <w:r w:rsidRPr="002764AD">
              <w:rPr>
                <w:i/>
              </w:rPr>
              <w:t>Uveďte kritériá, na základe ktorých bude preskúmanie vykonané.</w:t>
            </w:r>
          </w:p>
          <w:p w:rsidR="003501A1" w:rsidRPr="00A179AE" w:rsidRDefault="002764AD" w:rsidP="004372C4">
            <w:pPr>
              <w:jc w:val="both"/>
              <w:rPr>
                <w:i/>
              </w:rPr>
            </w:pPr>
            <w:r>
              <w:t>Bezpredmetné nakoľko ide o transpozíciu práva EU.</w:t>
            </w:r>
          </w:p>
        </w:tc>
      </w:tr>
      <w:tr w:rsidR="002764AD" w:rsidRPr="00A179AE" w:rsidTr="004C60B8">
        <w:trPr>
          <w:trHeight w:val="715"/>
        </w:trPr>
        <w:tc>
          <w:tcPr>
            <w:tcW w:w="9180" w:type="dxa"/>
            <w:gridSpan w:val="10"/>
            <w:tcBorders>
              <w:left w:val="nil"/>
              <w:bottom w:val="nil"/>
              <w:right w:val="nil"/>
            </w:tcBorders>
            <w:shd w:val="clear" w:color="auto" w:fill="FFFFFF" w:themeFill="background1"/>
          </w:tcPr>
          <w:p w:rsidR="002764AD" w:rsidRDefault="002764AD" w:rsidP="004372C4">
            <w:pPr>
              <w:ind w:left="142" w:hanging="142"/>
              <w:jc w:val="both"/>
            </w:pPr>
            <w:r>
              <w:t xml:space="preserve">* vyplniť iba v prípade, </w:t>
            </w:r>
            <w:r w:rsidRPr="004C60B8">
              <w:t>ak materiál nie je zahrnutý do Plánu práce vlády Slovenskej republiky alebo Plán</w:t>
            </w:r>
            <w:r>
              <w:t>u</w:t>
            </w:r>
            <w:r w:rsidRPr="004C60B8">
              <w:t xml:space="preserve"> </w:t>
            </w:r>
            <w:r>
              <w:t xml:space="preserve">       </w:t>
            </w:r>
            <w:r w:rsidRPr="004C60B8">
              <w:t>legislatívnych úloh vlády Slovenskej republiky.</w:t>
            </w:r>
            <w:r>
              <w:t xml:space="preserve"> </w:t>
            </w:r>
          </w:p>
          <w:p w:rsidR="002764AD" w:rsidRPr="00A179AE" w:rsidRDefault="002764AD" w:rsidP="004372C4">
            <w:pPr>
              <w:jc w:val="both"/>
            </w:pPr>
            <w:r>
              <w:t>** nepovinné</w:t>
            </w:r>
          </w:p>
        </w:tc>
      </w:tr>
      <w:tr w:rsidR="002764AD" w:rsidRPr="00A179AE" w:rsidTr="004F6F1F">
        <w:tc>
          <w:tcPr>
            <w:tcW w:w="9180" w:type="dxa"/>
            <w:gridSpan w:val="10"/>
            <w:tcBorders>
              <w:top w:val="nil"/>
              <w:left w:val="nil"/>
              <w:right w:val="nil"/>
            </w:tcBorders>
            <w:shd w:val="clear" w:color="auto" w:fill="FFFFFF" w:themeFill="background1"/>
          </w:tcPr>
          <w:p w:rsidR="002764AD" w:rsidRPr="00A179AE" w:rsidRDefault="002764AD" w:rsidP="0074218A">
            <w:pPr>
              <w:rPr>
                <w:b/>
              </w:rPr>
            </w:pPr>
          </w:p>
        </w:tc>
      </w:tr>
      <w:tr w:rsidR="002764AD" w:rsidRPr="00A179AE" w:rsidTr="004F6F1F">
        <w:trPr>
          <w:trHeight w:val="577"/>
        </w:trPr>
        <w:tc>
          <w:tcPr>
            <w:tcW w:w="9180" w:type="dxa"/>
            <w:gridSpan w:val="10"/>
            <w:tcBorders>
              <w:bottom w:val="single" w:sz="4" w:space="0" w:color="FFFFFF" w:themeColor="background1"/>
            </w:tcBorders>
            <w:shd w:val="clear" w:color="auto" w:fill="E2E2E2"/>
            <w:vAlign w:val="center"/>
          </w:tcPr>
          <w:p w:rsidR="002764AD" w:rsidRPr="00A179AE" w:rsidRDefault="002764AD"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Vplyvy navrhovaného materiálu</w:t>
            </w:r>
          </w:p>
        </w:tc>
      </w:tr>
      <w:tr w:rsidR="002764AD" w:rsidRPr="00A179AE" w:rsidTr="004F6F1F">
        <w:tc>
          <w:tcPr>
            <w:tcW w:w="3812" w:type="dxa"/>
            <w:tcBorders>
              <w:bottom w:val="nil"/>
            </w:tcBorders>
            <w:shd w:val="clear" w:color="auto" w:fill="E2E2E2"/>
          </w:tcPr>
          <w:p w:rsidR="002764AD" w:rsidRPr="00A179AE" w:rsidRDefault="002764AD" w:rsidP="0074218A">
            <w:pPr>
              <w:rPr>
                <w:b/>
              </w:rPr>
            </w:pPr>
            <w:r w:rsidRPr="00A179AE">
              <w:rPr>
                <w:b/>
              </w:rPr>
              <w:t>Vplyvy na rozpočet verejnej správy</w:t>
            </w:r>
          </w:p>
        </w:tc>
        <w:tc>
          <w:tcPr>
            <w:tcW w:w="541" w:type="dxa"/>
            <w:gridSpan w:val="2"/>
            <w:tcBorders>
              <w:right w:val="nil"/>
            </w:tcBorders>
          </w:tcPr>
          <w:p w:rsidR="002764AD" w:rsidRPr="00A179AE" w:rsidRDefault="002764AD" w:rsidP="0074218A">
            <w:pPr>
              <w:jc w:val="center"/>
              <w:rPr>
                <w:b/>
              </w:rPr>
            </w:pPr>
            <w:r w:rsidRPr="00A179AE">
              <w:rPr>
                <w:rFonts w:ascii="MS Mincho" w:eastAsia="MS Mincho" w:hAnsi="MS Mincho" w:cs="MS Mincho" w:hint="eastAsia"/>
                <w:b/>
              </w:rPr>
              <w:t>☐</w:t>
            </w:r>
          </w:p>
        </w:tc>
        <w:tc>
          <w:tcPr>
            <w:tcW w:w="1281" w:type="dxa"/>
            <w:gridSpan w:val="2"/>
            <w:tcBorders>
              <w:left w:val="nil"/>
              <w:right w:val="nil"/>
            </w:tcBorders>
          </w:tcPr>
          <w:p w:rsidR="002764AD" w:rsidRPr="00A179AE" w:rsidRDefault="002764AD" w:rsidP="0074218A">
            <w:pPr>
              <w:rPr>
                <w:b/>
              </w:rPr>
            </w:pPr>
            <w:r w:rsidRPr="00A179AE">
              <w:rPr>
                <w:b/>
              </w:rPr>
              <w:t>Pozitívne</w:t>
            </w:r>
          </w:p>
        </w:tc>
        <w:tc>
          <w:tcPr>
            <w:tcW w:w="569" w:type="dxa"/>
            <w:tcBorders>
              <w:left w:val="nil"/>
              <w:right w:val="nil"/>
            </w:tcBorders>
          </w:tcPr>
          <w:p w:rsidR="002764AD" w:rsidRPr="00A179AE" w:rsidRDefault="00840470" w:rsidP="0074218A">
            <w:pPr>
              <w:jc w:val="center"/>
              <w:rPr>
                <w:b/>
              </w:rPr>
            </w:pPr>
            <w:r>
              <w:rPr>
                <w:rFonts w:ascii="MS Gothic" w:eastAsia="MS Gothic" w:hAnsi="MS Gothic" w:hint="eastAsia"/>
                <w:b/>
              </w:rPr>
              <w:t>☒</w:t>
            </w:r>
          </w:p>
        </w:tc>
        <w:tc>
          <w:tcPr>
            <w:tcW w:w="1133" w:type="dxa"/>
            <w:tcBorders>
              <w:left w:val="nil"/>
              <w:right w:val="nil"/>
            </w:tcBorders>
          </w:tcPr>
          <w:p w:rsidR="002764AD" w:rsidRPr="00A179AE" w:rsidRDefault="002764AD" w:rsidP="0074218A">
            <w:pPr>
              <w:rPr>
                <w:b/>
              </w:rPr>
            </w:pPr>
            <w:r w:rsidRPr="00A179AE">
              <w:rPr>
                <w:b/>
              </w:rPr>
              <w:t>Žiadne</w:t>
            </w:r>
          </w:p>
        </w:tc>
        <w:tc>
          <w:tcPr>
            <w:tcW w:w="547" w:type="dxa"/>
            <w:gridSpan w:val="2"/>
            <w:tcBorders>
              <w:left w:val="nil"/>
              <w:right w:val="nil"/>
            </w:tcBorders>
          </w:tcPr>
          <w:p w:rsidR="002764AD" w:rsidRPr="00A179AE" w:rsidRDefault="00840470" w:rsidP="00A161B8">
            <w:pPr>
              <w:ind w:left="-107" w:right="-108"/>
              <w:jc w:val="center"/>
              <w:rPr>
                <w:b/>
              </w:rPr>
            </w:pPr>
            <w:r w:rsidRPr="00A179AE">
              <w:rPr>
                <w:rFonts w:ascii="MS Mincho" w:eastAsia="MS Mincho" w:hAnsi="MS Mincho" w:cs="MS Mincho" w:hint="eastAsia"/>
                <w:b/>
              </w:rPr>
              <w:t>☐</w:t>
            </w:r>
            <w:r w:rsidR="00A161B8" w:rsidRPr="00A179AE">
              <w:rPr>
                <w:rFonts w:ascii="MS Mincho" w:eastAsia="MS Mincho" w:hAnsi="MS Mincho" w:cs="MS Mincho"/>
                <w:b/>
              </w:rPr>
              <w:t xml:space="preserve"> </w:t>
            </w:r>
          </w:p>
        </w:tc>
        <w:tc>
          <w:tcPr>
            <w:tcW w:w="1297" w:type="dxa"/>
            <w:tcBorders>
              <w:left w:val="nil"/>
            </w:tcBorders>
          </w:tcPr>
          <w:p w:rsidR="002764AD" w:rsidRPr="00A179AE" w:rsidRDefault="002764AD" w:rsidP="0074218A">
            <w:pPr>
              <w:ind w:left="34"/>
              <w:rPr>
                <w:b/>
              </w:rPr>
            </w:pPr>
            <w:r w:rsidRPr="00A179AE">
              <w:rPr>
                <w:b/>
              </w:rPr>
              <w:t>Negatívne</w:t>
            </w:r>
          </w:p>
        </w:tc>
      </w:tr>
      <w:tr w:rsidR="002764AD" w:rsidRPr="00A179AE" w:rsidTr="004F6F1F">
        <w:tc>
          <w:tcPr>
            <w:tcW w:w="3812" w:type="dxa"/>
            <w:tcBorders>
              <w:top w:val="nil"/>
              <w:bottom w:val="single" w:sz="4" w:space="0" w:color="000000" w:themeColor="text1"/>
            </w:tcBorders>
            <w:shd w:val="clear" w:color="auto" w:fill="E2E2E2"/>
          </w:tcPr>
          <w:p w:rsidR="002764AD" w:rsidRPr="00A179AE" w:rsidRDefault="002764AD" w:rsidP="0074218A">
            <w:r w:rsidRPr="00A179AE">
              <w:t xml:space="preserve">    z toho rozpočtovo zabezpečené vplyvy</w:t>
            </w:r>
          </w:p>
        </w:tc>
        <w:tc>
          <w:tcPr>
            <w:tcW w:w="541" w:type="dxa"/>
            <w:gridSpan w:val="2"/>
            <w:tcBorders>
              <w:right w:val="nil"/>
            </w:tcBorders>
          </w:tcPr>
          <w:p w:rsidR="002764AD" w:rsidRPr="00A179AE" w:rsidRDefault="00A41619" w:rsidP="00A161B8">
            <w:pPr>
              <w:jc w:val="center"/>
            </w:pPr>
            <w:r w:rsidRPr="00A179AE">
              <w:rPr>
                <w:rFonts w:ascii="MS Mincho" w:eastAsia="MS Mincho" w:hAnsi="MS Mincho" w:cs="MS Mincho" w:hint="eastAsia"/>
              </w:rPr>
              <w:t>☐</w:t>
            </w:r>
          </w:p>
        </w:tc>
        <w:tc>
          <w:tcPr>
            <w:tcW w:w="1281" w:type="dxa"/>
            <w:gridSpan w:val="2"/>
            <w:tcBorders>
              <w:left w:val="nil"/>
              <w:right w:val="nil"/>
            </w:tcBorders>
          </w:tcPr>
          <w:p w:rsidR="002764AD" w:rsidRPr="00A179AE" w:rsidRDefault="002764AD" w:rsidP="0074218A">
            <w:r w:rsidRPr="00A179AE">
              <w:t>Áno</w:t>
            </w:r>
          </w:p>
        </w:tc>
        <w:tc>
          <w:tcPr>
            <w:tcW w:w="569" w:type="dxa"/>
            <w:tcBorders>
              <w:left w:val="nil"/>
              <w:right w:val="nil"/>
            </w:tcBorders>
          </w:tcPr>
          <w:p w:rsidR="002764AD" w:rsidRPr="00A179AE" w:rsidRDefault="00A161B8" w:rsidP="0074218A">
            <w:pPr>
              <w:jc w:val="center"/>
            </w:pPr>
            <w:r w:rsidRPr="00A179AE">
              <w:rPr>
                <w:rFonts w:ascii="MS Mincho" w:eastAsia="MS Mincho" w:hAnsi="MS Mincho" w:cs="MS Mincho" w:hint="eastAsia"/>
              </w:rPr>
              <w:t>☐</w:t>
            </w:r>
          </w:p>
        </w:tc>
        <w:tc>
          <w:tcPr>
            <w:tcW w:w="1133" w:type="dxa"/>
            <w:tcBorders>
              <w:left w:val="nil"/>
              <w:right w:val="nil"/>
            </w:tcBorders>
          </w:tcPr>
          <w:p w:rsidR="002764AD" w:rsidRPr="00A179AE" w:rsidRDefault="002764AD" w:rsidP="0074218A">
            <w:r w:rsidRPr="00A179AE">
              <w:t>Nie</w:t>
            </w:r>
          </w:p>
        </w:tc>
        <w:tc>
          <w:tcPr>
            <w:tcW w:w="547" w:type="dxa"/>
            <w:gridSpan w:val="2"/>
            <w:tcBorders>
              <w:left w:val="nil"/>
              <w:right w:val="nil"/>
            </w:tcBorders>
          </w:tcPr>
          <w:p w:rsidR="002764AD" w:rsidRPr="00A179AE" w:rsidRDefault="002764AD" w:rsidP="0074218A">
            <w:pPr>
              <w:ind w:left="-107" w:right="-108"/>
              <w:jc w:val="center"/>
            </w:pPr>
            <w:r w:rsidRPr="00A179AE">
              <w:rPr>
                <w:rFonts w:ascii="MS Mincho" w:eastAsia="MS Mincho" w:hAnsi="MS Mincho" w:cs="MS Mincho" w:hint="eastAsia"/>
              </w:rPr>
              <w:t>☐</w:t>
            </w:r>
          </w:p>
        </w:tc>
        <w:tc>
          <w:tcPr>
            <w:tcW w:w="1297" w:type="dxa"/>
            <w:tcBorders>
              <w:left w:val="nil"/>
            </w:tcBorders>
          </w:tcPr>
          <w:p w:rsidR="002764AD" w:rsidRPr="00A179AE" w:rsidRDefault="002764AD" w:rsidP="0074218A">
            <w:pPr>
              <w:ind w:left="34"/>
            </w:pPr>
            <w:r w:rsidRPr="00A179AE">
              <w:t>Čiastočne</w:t>
            </w:r>
          </w:p>
        </w:tc>
      </w:tr>
      <w:tr w:rsidR="002764AD" w:rsidRPr="00A179AE" w:rsidTr="004F6F1F">
        <w:tc>
          <w:tcPr>
            <w:tcW w:w="3812" w:type="dxa"/>
            <w:tcBorders>
              <w:top w:val="single" w:sz="4" w:space="0" w:color="000000" w:themeColor="text1"/>
              <w:bottom w:val="nil"/>
            </w:tcBorders>
            <w:shd w:val="clear" w:color="auto" w:fill="E2E2E2"/>
          </w:tcPr>
          <w:p w:rsidR="002764AD" w:rsidRPr="00A179AE" w:rsidRDefault="002764AD" w:rsidP="0074218A">
            <w:pPr>
              <w:rPr>
                <w:b/>
              </w:rPr>
            </w:pPr>
            <w:r w:rsidRPr="00A179AE">
              <w:rPr>
                <w:b/>
              </w:rPr>
              <w:t>Vplyvy na podnikateľské prostredie</w:t>
            </w:r>
          </w:p>
        </w:tc>
        <w:tc>
          <w:tcPr>
            <w:tcW w:w="541" w:type="dxa"/>
            <w:gridSpan w:val="2"/>
            <w:tcBorders>
              <w:right w:val="nil"/>
            </w:tcBorders>
          </w:tcPr>
          <w:p w:rsidR="002764AD" w:rsidRPr="00A179AE" w:rsidRDefault="002764AD" w:rsidP="0074218A">
            <w:pPr>
              <w:jc w:val="center"/>
              <w:rPr>
                <w:b/>
              </w:rPr>
            </w:pPr>
            <w:r>
              <w:rPr>
                <w:rFonts w:ascii="MS Gothic" w:eastAsia="MS Gothic" w:hAnsi="MS Gothic" w:hint="eastAsia"/>
                <w:b/>
              </w:rPr>
              <w:t>☒</w:t>
            </w:r>
          </w:p>
        </w:tc>
        <w:tc>
          <w:tcPr>
            <w:tcW w:w="1281" w:type="dxa"/>
            <w:gridSpan w:val="2"/>
            <w:tcBorders>
              <w:left w:val="nil"/>
              <w:right w:val="nil"/>
            </w:tcBorders>
          </w:tcPr>
          <w:p w:rsidR="002764AD" w:rsidRPr="00A179AE" w:rsidRDefault="002764AD" w:rsidP="0074218A">
            <w:pPr>
              <w:ind w:right="-108"/>
              <w:rPr>
                <w:b/>
              </w:rPr>
            </w:pPr>
            <w:r w:rsidRPr="00A179AE">
              <w:rPr>
                <w:b/>
              </w:rPr>
              <w:t>Pozitívne</w:t>
            </w:r>
          </w:p>
        </w:tc>
        <w:tc>
          <w:tcPr>
            <w:tcW w:w="569" w:type="dxa"/>
            <w:tcBorders>
              <w:left w:val="nil"/>
              <w:right w:val="nil"/>
            </w:tcBorders>
          </w:tcPr>
          <w:p w:rsidR="002764AD" w:rsidRPr="00A179AE" w:rsidRDefault="002764AD" w:rsidP="0074218A">
            <w:pPr>
              <w:jc w:val="center"/>
              <w:rPr>
                <w:b/>
              </w:rPr>
            </w:pPr>
            <w:r>
              <w:rPr>
                <w:rFonts w:ascii="MS Gothic" w:eastAsia="MS Gothic" w:hAnsi="MS Gothic" w:hint="eastAsia"/>
                <w:b/>
              </w:rPr>
              <w:t>☐</w:t>
            </w:r>
          </w:p>
        </w:tc>
        <w:tc>
          <w:tcPr>
            <w:tcW w:w="1133" w:type="dxa"/>
            <w:tcBorders>
              <w:left w:val="nil"/>
              <w:right w:val="nil"/>
            </w:tcBorders>
          </w:tcPr>
          <w:p w:rsidR="002764AD" w:rsidRPr="00A179AE" w:rsidRDefault="002764AD" w:rsidP="0074218A">
            <w:pPr>
              <w:rPr>
                <w:b/>
              </w:rPr>
            </w:pPr>
            <w:r w:rsidRPr="00A179AE">
              <w:rPr>
                <w:b/>
              </w:rPr>
              <w:t>Žiadne</w:t>
            </w:r>
          </w:p>
        </w:tc>
        <w:tc>
          <w:tcPr>
            <w:tcW w:w="547" w:type="dxa"/>
            <w:gridSpan w:val="2"/>
            <w:tcBorders>
              <w:left w:val="nil"/>
              <w:right w:val="nil"/>
            </w:tcBorders>
          </w:tcPr>
          <w:p w:rsidR="002764AD" w:rsidRPr="00A179AE" w:rsidRDefault="002764AD" w:rsidP="0074218A">
            <w:pPr>
              <w:jc w:val="center"/>
              <w:rPr>
                <w:b/>
              </w:rPr>
            </w:pPr>
            <w:r>
              <w:rPr>
                <w:rFonts w:ascii="MS Gothic" w:eastAsia="MS Gothic" w:hAnsi="MS Gothic" w:hint="eastAsia"/>
                <w:b/>
              </w:rPr>
              <w:t>☒</w:t>
            </w:r>
          </w:p>
        </w:tc>
        <w:tc>
          <w:tcPr>
            <w:tcW w:w="1297" w:type="dxa"/>
            <w:tcBorders>
              <w:left w:val="nil"/>
            </w:tcBorders>
          </w:tcPr>
          <w:p w:rsidR="002764AD" w:rsidRPr="00A179AE" w:rsidRDefault="002764AD" w:rsidP="0074218A">
            <w:pPr>
              <w:ind w:left="54"/>
              <w:rPr>
                <w:b/>
              </w:rPr>
            </w:pPr>
            <w:r w:rsidRPr="00A179AE">
              <w:rPr>
                <w:b/>
              </w:rPr>
              <w:t>Negatívne</w:t>
            </w:r>
          </w:p>
        </w:tc>
      </w:tr>
      <w:tr w:rsidR="002764AD"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2764AD" w:rsidRPr="00A179AE" w:rsidRDefault="002764AD" w:rsidP="0074218A">
            <w:r w:rsidRPr="00A179AE">
              <w:t xml:space="preserve">    z toho vplyvy na MSP</w:t>
            </w:r>
          </w:p>
        </w:tc>
        <w:tc>
          <w:tcPr>
            <w:tcW w:w="541" w:type="dxa"/>
            <w:gridSpan w:val="2"/>
            <w:tcBorders>
              <w:left w:val="single" w:sz="4" w:space="0" w:color="000000" w:themeColor="text1"/>
              <w:right w:val="nil"/>
            </w:tcBorders>
          </w:tcPr>
          <w:p w:rsidR="002764AD" w:rsidRPr="00A179AE" w:rsidRDefault="002764AD" w:rsidP="0074218A">
            <w:pPr>
              <w:jc w:val="center"/>
            </w:pPr>
            <w:r w:rsidRPr="00A179AE">
              <w:rPr>
                <w:rFonts w:ascii="MS Mincho" w:eastAsia="MS Mincho" w:hAnsi="MS Mincho" w:cs="MS Mincho" w:hint="eastAsia"/>
              </w:rPr>
              <w:t>☐</w:t>
            </w:r>
          </w:p>
        </w:tc>
        <w:tc>
          <w:tcPr>
            <w:tcW w:w="1281" w:type="dxa"/>
            <w:gridSpan w:val="2"/>
            <w:tcBorders>
              <w:left w:val="nil"/>
              <w:right w:val="nil"/>
            </w:tcBorders>
          </w:tcPr>
          <w:p w:rsidR="002764AD" w:rsidRPr="00A179AE" w:rsidRDefault="002764AD" w:rsidP="0074218A">
            <w:pPr>
              <w:ind w:right="-108"/>
            </w:pPr>
            <w:r w:rsidRPr="00A179AE">
              <w:t>Pozitívne</w:t>
            </w:r>
          </w:p>
        </w:tc>
        <w:tc>
          <w:tcPr>
            <w:tcW w:w="569" w:type="dxa"/>
            <w:tcBorders>
              <w:left w:val="nil"/>
              <w:right w:val="nil"/>
            </w:tcBorders>
          </w:tcPr>
          <w:p w:rsidR="002764AD" w:rsidRPr="00A179AE" w:rsidRDefault="002764AD" w:rsidP="0074218A">
            <w:pPr>
              <w:jc w:val="center"/>
            </w:pPr>
            <w:r>
              <w:rPr>
                <w:rFonts w:ascii="MS Gothic" w:eastAsia="MS Gothic" w:hAnsi="MS Gothic" w:hint="eastAsia"/>
              </w:rPr>
              <w:t>☒</w:t>
            </w:r>
          </w:p>
        </w:tc>
        <w:tc>
          <w:tcPr>
            <w:tcW w:w="1133" w:type="dxa"/>
            <w:tcBorders>
              <w:left w:val="nil"/>
              <w:right w:val="nil"/>
            </w:tcBorders>
          </w:tcPr>
          <w:p w:rsidR="002764AD" w:rsidRPr="00A179AE" w:rsidRDefault="002764AD" w:rsidP="0074218A">
            <w:r w:rsidRPr="00A179AE">
              <w:t>Žiadne</w:t>
            </w:r>
          </w:p>
        </w:tc>
        <w:tc>
          <w:tcPr>
            <w:tcW w:w="547" w:type="dxa"/>
            <w:gridSpan w:val="2"/>
            <w:tcBorders>
              <w:left w:val="nil"/>
              <w:right w:val="nil"/>
            </w:tcBorders>
          </w:tcPr>
          <w:p w:rsidR="002764AD" w:rsidRPr="00A179AE" w:rsidRDefault="002764AD" w:rsidP="0074218A">
            <w:pPr>
              <w:jc w:val="center"/>
            </w:pPr>
            <w:r w:rsidRPr="00A179AE">
              <w:rPr>
                <w:rFonts w:ascii="MS Mincho" w:eastAsia="MS Mincho" w:hAnsi="MS Mincho" w:cs="MS Mincho" w:hint="eastAsia"/>
              </w:rPr>
              <w:t>☐</w:t>
            </w:r>
          </w:p>
        </w:tc>
        <w:tc>
          <w:tcPr>
            <w:tcW w:w="1297" w:type="dxa"/>
            <w:tcBorders>
              <w:left w:val="nil"/>
            </w:tcBorders>
          </w:tcPr>
          <w:p w:rsidR="002764AD" w:rsidRPr="00A179AE" w:rsidRDefault="002764AD" w:rsidP="0074218A">
            <w:pPr>
              <w:ind w:left="54"/>
            </w:pPr>
            <w:r w:rsidRPr="00A179AE">
              <w:t>Negatívne</w:t>
            </w:r>
          </w:p>
        </w:tc>
      </w:tr>
      <w:tr w:rsidR="002764AD" w:rsidRPr="00A179AE" w:rsidTr="004F6F1F">
        <w:tc>
          <w:tcPr>
            <w:tcW w:w="3812" w:type="dxa"/>
            <w:tcBorders>
              <w:top w:val="single" w:sz="4" w:space="0" w:color="000000" w:themeColor="text1"/>
            </w:tcBorders>
            <w:shd w:val="clear" w:color="auto" w:fill="E2E2E2"/>
          </w:tcPr>
          <w:p w:rsidR="002764AD" w:rsidRPr="00A179AE" w:rsidRDefault="002764AD" w:rsidP="0074218A">
            <w:pPr>
              <w:rPr>
                <w:b/>
              </w:rPr>
            </w:pPr>
            <w:r w:rsidRPr="00A179AE">
              <w:rPr>
                <w:b/>
              </w:rPr>
              <w:t>Sociálne vplyvy</w:t>
            </w:r>
          </w:p>
        </w:tc>
        <w:tc>
          <w:tcPr>
            <w:tcW w:w="541" w:type="dxa"/>
            <w:gridSpan w:val="2"/>
            <w:tcBorders>
              <w:right w:val="nil"/>
            </w:tcBorders>
          </w:tcPr>
          <w:p w:rsidR="002764AD" w:rsidRPr="00A179AE" w:rsidRDefault="002764AD" w:rsidP="0074218A">
            <w:pPr>
              <w:jc w:val="center"/>
              <w:rPr>
                <w:b/>
              </w:rPr>
            </w:pPr>
            <w:r>
              <w:rPr>
                <w:rFonts w:ascii="MS Gothic" w:eastAsia="MS Gothic" w:hAnsi="MS Gothic" w:hint="eastAsia"/>
                <w:b/>
              </w:rPr>
              <w:t>☐</w:t>
            </w:r>
          </w:p>
        </w:tc>
        <w:tc>
          <w:tcPr>
            <w:tcW w:w="1281" w:type="dxa"/>
            <w:gridSpan w:val="2"/>
            <w:tcBorders>
              <w:left w:val="nil"/>
              <w:right w:val="nil"/>
            </w:tcBorders>
          </w:tcPr>
          <w:p w:rsidR="002764AD" w:rsidRPr="00A179AE" w:rsidRDefault="002764AD" w:rsidP="0074218A">
            <w:pPr>
              <w:ind w:right="-108"/>
              <w:rPr>
                <w:b/>
              </w:rPr>
            </w:pPr>
            <w:r w:rsidRPr="00A179AE">
              <w:rPr>
                <w:b/>
              </w:rPr>
              <w:t>Pozitívne</w:t>
            </w:r>
          </w:p>
        </w:tc>
        <w:tc>
          <w:tcPr>
            <w:tcW w:w="569" w:type="dxa"/>
            <w:tcBorders>
              <w:left w:val="nil"/>
              <w:right w:val="nil"/>
            </w:tcBorders>
          </w:tcPr>
          <w:p w:rsidR="002764AD" w:rsidRPr="00A179AE" w:rsidRDefault="002764AD" w:rsidP="0074218A">
            <w:pPr>
              <w:jc w:val="center"/>
              <w:rPr>
                <w:b/>
              </w:rPr>
            </w:pPr>
            <w:r>
              <w:rPr>
                <w:rFonts w:ascii="MS Gothic" w:eastAsia="MS Gothic" w:hAnsi="MS Gothic" w:hint="eastAsia"/>
                <w:b/>
              </w:rPr>
              <w:t>☒</w:t>
            </w:r>
          </w:p>
        </w:tc>
        <w:tc>
          <w:tcPr>
            <w:tcW w:w="1133" w:type="dxa"/>
            <w:tcBorders>
              <w:left w:val="nil"/>
              <w:right w:val="nil"/>
            </w:tcBorders>
          </w:tcPr>
          <w:p w:rsidR="002764AD" w:rsidRPr="00A179AE" w:rsidRDefault="002764AD" w:rsidP="0074218A">
            <w:pPr>
              <w:rPr>
                <w:b/>
              </w:rPr>
            </w:pPr>
            <w:r w:rsidRPr="00A179AE">
              <w:rPr>
                <w:b/>
              </w:rPr>
              <w:t>Žiadne</w:t>
            </w:r>
          </w:p>
        </w:tc>
        <w:tc>
          <w:tcPr>
            <w:tcW w:w="547" w:type="dxa"/>
            <w:gridSpan w:val="2"/>
            <w:tcBorders>
              <w:left w:val="nil"/>
              <w:right w:val="nil"/>
            </w:tcBorders>
          </w:tcPr>
          <w:p w:rsidR="002764AD" w:rsidRPr="00A179AE" w:rsidRDefault="002764AD" w:rsidP="0074218A">
            <w:pPr>
              <w:jc w:val="center"/>
              <w:rPr>
                <w:b/>
              </w:rPr>
            </w:pPr>
            <w:r w:rsidRPr="00A179AE">
              <w:rPr>
                <w:rFonts w:ascii="MS Mincho" w:eastAsia="MS Mincho" w:hAnsi="MS Mincho" w:cs="MS Mincho" w:hint="eastAsia"/>
                <w:b/>
              </w:rPr>
              <w:t>☐</w:t>
            </w:r>
          </w:p>
        </w:tc>
        <w:tc>
          <w:tcPr>
            <w:tcW w:w="1297" w:type="dxa"/>
            <w:tcBorders>
              <w:left w:val="nil"/>
            </w:tcBorders>
          </w:tcPr>
          <w:p w:rsidR="002764AD" w:rsidRPr="00A179AE" w:rsidRDefault="002764AD" w:rsidP="0074218A">
            <w:pPr>
              <w:ind w:left="54"/>
              <w:rPr>
                <w:b/>
              </w:rPr>
            </w:pPr>
            <w:r w:rsidRPr="00A179AE">
              <w:rPr>
                <w:b/>
              </w:rPr>
              <w:t>Negatívne</w:t>
            </w:r>
          </w:p>
        </w:tc>
      </w:tr>
      <w:tr w:rsidR="002764AD" w:rsidRPr="00A179AE" w:rsidTr="004F6F1F">
        <w:tc>
          <w:tcPr>
            <w:tcW w:w="3812" w:type="dxa"/>
            <w:shd w:val="clear" w:color="auto" w:fill="E2E2E2"/>
          </w:tcPr>
          <w:p w:rsidR="002764AD" w:rsidRPr="00A179AE" w:rsidRDefault="002764AD" w:rsidP="0074218A">
            <w:pPr>
              <w:rPr>
                <w:b/>
              </w:rPr>
            </w:pPr>
            <w:r w:rsidRPr="00A179AE">
              <w:rPr>
                <w:b/>
              </w:rPr>
              <w:t>Vplyvy na životné prostredie</w:t>
            </w:r>
          </w:p>
        </w:tc>
        <w:tc>
          <w:tcPr>
            <w:tcW w:w="541" w:type="dxa"/>
            <w:gridSpan w:val="2"/>
            <w:tcBorders>
              <w:right w:val="nil"/>
            </w:tcBorders>
          </w:tcPr>
          <w:p w:rsidR="002764AD" w:rsidRPr="00A179AE" w:rsidRDefault="002764AD" w:rsidP="0074218A">
            <w:pPr>
              <w:jc w:val="center"/>
              <w:rPr>
                <w:b/>
              </w:rPr>
            </w:pPr>
            <w:r w:rsidRPr="00A179AE">
              <w:rPr>
                <w:rFonts w:ascii="MS Mincho" w:eastAsia="MS Mincho" w:hAnsi="MS Mincho" w:cs="MS Mincho" w:hint="eastAsia"/>
                <w:b/>
              </w:rPr>
              <w:t>☐</w:t>
            </w:r>
          </w:p>
        </w:tc>
        <w:tc>
          <w:tcPr>
            <w:tcW w:w="1281" w:type="dxa"/>
            <w:gridSpan w:val="2"/>
            <w:tcBorders>
              <w:left w:val="nil"/>
              <w:right w:val="nil"/>
            </w:tcBorders>
          </w:tcPr>
          <w:p w:rsidR="002764AD" w:rsidRPr="00A179AE" w:rsidRDefault="002764AD" w:rsidP="0074218A">
            <w:pPr>
              <w:ind w:right="-108"/>
              <w:rPr>
                <w:b/>
              </w:rPr>
            </w:pPr>
            <w:r w:rsidRPr="00A179AE">
              <w:rPr>
                <w:b/>
              </w:rPr>
              <w:t>Pozitívne</w:t>
            </w:r>
          </w:p>
        </w:tc>
        <w:tc>
          <w:tcPr>
            <w:tcW w:w="569" w:type="dxa"/>
            <w:tcBorders>
              <w:left w:val="nil"/>
              <w:right w:val="nil"/>
            </w:tcBorders>
          </w:tcPr>
          <w:p w:rsidR="002764AD" w:rsidRPr="00A179AE" w:rsidRDefault="002764AD" w:rsidP="0074218A">
            <w:pPr>
              <w:jc w:val="center"/>
              <w:rPr>
                <w:b/>
              </w:rPr>
            </w:pPr>
            <w:r>
              <w:rPr>
                <w:rFonts w:ascii="MS Gothic" w:eastAsia="MS Gothic" w:hAnsi="MS Gothic" w:hint="eastAsia"/>
                <w:b/>
              </w:rPr>
              <w:t>☒</w:t>
            </w:r>
          </w:p>
        </w:tc>
        <w:tc>
          <w:tcPr>
            <w:tcW w:w="1133" w:type="dxa"/>
            <w:tcBorders>
              <w:left w:val="nil"/>
              <w:right w:val="nil"/>
            </w:tcBorders>
          </w:tcPr>
          <w:p w:rsidR="002764AD" w:rsidRPr="00A179AE" w:rsidRDefault="002764AD" w:rsidP="0074218A">
            <w:pPr>
              <w:rPr>
                <w:b/>
              </w:rPr>
            </w:pPr>
            <w:r w:rsidRPr="00A179AE">
              <w:rPr>
                <w:b/>
              </w:rPr>
              <w:t>Žiadne</w:t>
            </w:r>
          </w:p>
        </w:tc>
        <w:tc>
          <w:tcPr>
            <w:tcW w:w="547" w:type="dxa"/>
            <w:gridSpan w:val="2"/>
            <w:tcBorders>
              <w:left w:val="nil"/>
              <w:right w:val="nil"/>
            </w:tcBorders>
          </w:tcPr>
          <w:p w:rsidR="002764AD" w:rsidRPr="00A179AE" w:rsidRDefault="002764AD" w:rsidP="0074218A">
            <w:pPr>
              <w:jc w:val="center"/>
              <w:rPr>
                <w:b/>
              </w:rPr>
            </w:pPr>
            <w:r w:rsidRPr="00A179AE">
              <w:rPr>
                <w:rFonts w:ascii="MS Mincho" w:eastAsia="MS Mincho" w:hAnsi="MS Mincho" w:cs="MS Mincho" w:hint="eastAsia"/>
                <w:b/>
              </w:rPr>
              <w:t>☐</w:t>
            </w:r>
          </w:p>
        </w:tc>
        <w:tc>
          <w:tcPr>
            <w:tcW w:w="1297" w:type="dxa"/>
            <w:tcBorders>
              <w:left w:val="nil"/>
            </w:tcBorders>
          </w:tcPr>
          <w:p w:rsidR="002764AD" w:rsidRPr="00A179AE" w:rsidRDefault="002764AD" w:rsidP="0074218A">
            <w:pPr>
              <w:ind w:left="54"/>
              <w:rPr>
                <w:b/>
              </w:rPr>
            </w:pPr>
            <w:r w:rsidRPr="00A179AE">
              <w:rPr>
                <w:b/>
              </w:rPr>
              <w:t>Negatívne</w:t>
            </w:r>
          </w:p>
        </w:tc>
      </w:tr>
      <w:tr w:rsidR="002764AD" w:rsidRPr="00A179AE" w:rsidTr="0045465B">
        <w:tc>
          <w:tcPr>
            <w:tcW w:w="3812" w:type="dxa"/>
            <w:shd w:val="clear" w:color="auto" w:fill="E2E2E2"/>
          </w:tcPr>
          <w:p w:rsidR="002764AD" w:rsidRPr="00A179AE" w:rsidRDefault="002764AD" w:rsidP="0074218A">
            <w:pPr>
              <w:rPr>
                <w:b/>
              </w:rPr>
            </w:pPr>
            <w:r w:rsidRPr="00A179AE">
              <w:rPr>
                <w:b/>
              </w:rPr>
              <w:t>Vplyvy na informatizáciu</w:t>
            </w:r>
          </w:p>
        </w:tc>
        <w:tc>
          <w:tcPr>
            <w:tcW w:w="541" w:type="dxa"/>
            <w:gridSpan w:val="2"/>
            <w:tcBorders>
              <w:right w:val="nil"/>
            </w:tcBorders>
          </w:tcPr>
          <w:p w:rsidR="002764AD" w:rsidRPr="00A179AE" w:rsidRDefault="005E1C84" w:rsidP="0074218A">
            <w:pPr>
              <w:jc w:val="center"/>
              <w:rPr>
                <w:b/>
              </w:rPr>
            </w:pPr>
            <w:r>
              <w:rPr>
                <w:rFonts w:ascii="MS Gothic" w:eastAsia="MS Gothic" w:hAnsi="MS Gothic" w:hint="eastAsia"/>
                <w:b/>
              </w:rPr>
              <w:t>☐</w:t>
            </w:r>
          </w:p>
        </w:tc>
        <w:tc>
          <w:tcPr>
            <w:tcW w:w="1281" w:type="dxa"/>
            <w:gridSpan w:val="2"/>
            <w:tcBorders>
              <w:left w:val="nil"/>
              <w:right w:val="nil"/>
            </w:tcBorders>
          </w:tcPr>
          <w:p w:rsidR="002764AD" w:rsidRPr="00A179AE" w:rsidRDefault="002764AD" w:rsidP="0074218A">
            <w:pPr>
              <w:ind w:right="-108"/>
              <w:rPr>
                <w:b/>
              </w:rPr>
            </w:pPr>
            <w:r w:rsidRPr="00A179AE">
              <w:rPr>
                <w:b/>
              </w:rPr>
              <w:t>Pozitívne</w:t>
            </w:r>
          </w:p>
        </w:tc>
        <w:tc>
          <w:tcPr>
            <w:tcW w:w="569" w:type="dxa"/>
            <w:tcBorders>
              <w:left w:val="nil"/>
              <w:right w:val="nil"/>
            </w:tcBorders>
          </w:tcPr>
          <w:p w:rsidR="002764AD" w:rsidRPr="00A179AE" w:rsidRDefault="005E1C84" w:rsidP="0074218A">
            <w:pPr>
              <w:jc w:val="center"/>
              <w:rPr>
                <w:b/>
              </w:rPr>
            </w:pPr>
            <w:r>
              <w:rPr>
                <w:rFonts w:ascii="MS Gothic" w:eastAsia="MS Gothic" w:hAnsi="MS Gothic" w:hint="eastAsia"/>
                <w:b/>
              </w:rPr>
              <w:t>☒</w:t>
            </w:r>
          </w:p>
        </w:tc>
        <w:tc>
          <w:tcPr>
            <w:tcW w:w="1133" w:type="dxa"/>
            <w:tcBorders>
              <w:left w:val="nil"/>
              <w:right w:val="nil"/>
            </w:tcBorders>
          </w:tcPr>
          <w:p w:rsidR="002764AD" w:rsidRPr="00A179AE" w:rsidRDefault="002764AD" w:rsidP="0074218A">
            <w:pPr>
              <w:rPr>
                <w:b/>
              </w:rPr>
            </w:pPr>
            <w:r w:rsidRPr="00A179AE">
              <w:rPr>
                <w:b/>
              </w:rPr>
              <w:t>Žiadne</w:t>
            </w:r>
          </w:p>
        </w:tc>
        <w:tc>
          <w:tcPr>
            <w:tcW w:w="547" w:type="dxa"/>
            <w:gridSpan w:val="2"/>
            <w:tcBorders>
              <w:left w:val="nil"/>
              <w:right w:val="nil"/>
            </w:tcBorders>
          </w:tcPr>
          <w:p w:rsidR="002764AD" w:rsidRPr="00A179AE" w:rsidRDefault="002764AD" w:rsidP="0074218A">
            <w:pPr>
              <w:jc w:val="center"/>
              <w:rPr>
                <w:b/>
              </w:rPr>
            </w:pPr>
            <w:r w:rsidRPr="00A179AE">
              <w:rPr>
                <w:rFonts w:ascii="MS Mincho" w:eastAsia="MS Mincho" w:hAnsi="MS Mincho" w:cs="MS Mincho" w:hint="eastAsia"/>
                <w:b/>
              </w:rPr>
              <w:t>☐</w:t>
            </w:r>
          </w:p>
        </w:tc>
        <w:tc>
          <w:tcPr>
            <w:tcW w:w="1297" w:type="dxa"/>
            <w:tcBorders>
              <w:left w:val="nil"/>
            </w:tcBorders>
          </w:tcPr>
          <w:p w:rsidR="002764AD" w:rsidRPr="00A179AE" w:rsidRDefault="002764AD" w:rsidP="0074218A">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EA4BE6">
        <w:tc>
          <w:tcPr>
            <w:tcW w:w="3812" w:type="dxa"/>
            <w:tcBorders>
              <w:bottom w:val="nil"/>
            </w:tcBorders>
            <w:shd w:val="clear" w:color="auto" w:fill="E2E2E2"/>
          </w:tcPr>
          <w:p w:rsidR="0045465B" w:rsidRPr="00653ADA" w:rsidRDefault="0045465B" w:rsidP="0074218A">
            <w:pPr>
              <w:rPr>
                <w:b/>
              </w:rPr>
            </w:pPr>
            <w:r>
              <w:rPr>
                <w:b/>
                <w:lang w:eastAsia="en-US"/>
              </w:rPr>
              <w:t>V</w:t>
            </w:r>
            <w:r w:rsidRPr="00127DAC">
              <w:rPr>
                <w:b/>
                <w:lang w:eastAsia="en-US"/>
              </w:rPr>
              <w:t>plyv</w:t>
            </w:r>
            <w:r>
              <w:rPr>
                <w:b/>
                <w:lang w:eastAsia="en-US"/>
              </w:rPr>
              <w:t>y</w:t>
            </w:r>
            <w:r w:rsidRPr="00127DAC">
              <w:rPr>
                <w:b/>
                <w:lang w:eastAsia="en-US"/>
              </w:rPr>
              <w:t xml:space="preserve"> na služby verejnej správy pre občana</w:t>
            </w:r>
            <w:r>
              <w:rPr>
                <w:b/>
                <w:lang w:eastAsia="en-US"/>
              </w:rPr>
              <w:t>, z toho</w:t>
            </w:r>
          </w:p>
        </w:tc>
        <w:tc>
          <w:tcPr>
            <w:tcW w:w="541" w:type="dxa"/>
            <w:tcBorders>
              <w:bottom w:val="nil"/>
              <w:right w:val="nil"/>
            </w:tcBorders>
          </w:tcPr>
          <w:p w:rsidR="0045465B" w:rsidRPr="00653ADA" w:rsidRDefault="0045465B" w:rsidP="0074218A">
            <w:pPr>
              <w:jc w:val="center"/>
              <w:rPr>
                <w:rFonts w:eastAsia="MS Mincho"/>
                <w:b/>
              </w:rPr>
            </w:pPr>
          </w:p>
        </w:tc>
        <w:tc>
          <w:tcPr>
            <w:tcW w:w="1281" w:type="dxa"/>
            <w:tcBorders>
              <w:left w:val="nil"/>
              <w:bottom w:val="nil"/>
              <w:right w:val="nil"/>
            </w:tcBorders>
          </w:tcPr>
          <w:p w:rsidR="0045465B" w:rsidRPr="00653ADA" w:rsidRDefault="0045465B" w:rsidP="0074218A">
            <w:pPr>
              <w:ind w:right="-108"/>
              <w:rPr>
                <w:b/>
              </w:rPr>
            </w:pPr>
          </w:p>
        </w:tc>
        <w:tc>
          <w:tcPr>
            <w:tcW w:w="569" w:type="dxa"/>
            <w:tcBorders>
              <w:left w:val="nil"/>
              <w:bottom w:val="nil"/>
              <w:right w:val="nil"/>
            </w:tcBorders>
          </w:tcPr>
          <w:p w:rsidR="0045465B" w:rsidRPr="00653ADA" w:rsidRDefault="0045465B" w:rsidP="0074218A">
            <w:pPr>
              <w:jc w:val="center"/>
              <w:rPr>
                <w:rFonts w:eastAsia="MS Mincho"/>
                <w:b/>
              </w:rPr>
            </w:pPr>
          </w:p>
        </w:tc>
        <w:tc>
          <w:tcPr>
            <w:tcW w:w="1133" w:type="dxa"/>
            <w:tcBorders>
              <w:left w:val="nil"/>
              <w:bottom w:val="nil"/>
              <w:right w:val="nil"/>
            </w:tcBorders>
          </w:tcPr>
          <w:p w:rsidR="0045465B" w:rsidRPr="00653ADA" w:rsidRDefault="0045465B" w:rsidP="0074218A">
            <w:pPr>
              <w:rPr>
                <w:b/>
              </w:rPr>
            </w:pPr>
          </w:p>
        </w:tc>
        <w:tc>
          <w:tcPr>
            <w:tcW w:w="547" w:type="dxa"/>
            <w:tcBorders>
              <w:left w:val="nil"/>
              <w:bottom w:val="nil"/>
              <w:right w:val="nil"/>
            </w:tcBorders>
          </w:tcPr>
          <w:p w:rsidR="0045465B" w:rsidRPr="00653ADA" w:rsidRDefault="0045465B" w:rsidP="0074218A">
            <w:pPr>
              <w:jc w:val="center"/>
              <w:rPr>
                <w:rFonts w:eastAsia="MS Mincho"/>
                <w:b/>
              </w:rPr>
            </w:pPr>
          </w:p>
        </w:tc>
        <w:tc>
          <w:tcPr>
            <w:tcW w:w="1297" w:type="dxa"/>
            <w:tcBorders>
              <w:left w:val="nil"/>
              <w:bottom w:val="nil"/>
            </w:tcBorders>
          </w:tcPr>
          <w:p w:rsidR="0045465B" w:rsidRPr="00653ADA" w:rsidRDefault="0045465B" w:rsidP="0074218A">
            <w:pPr>
              <w:ind w:left="54"/>
              <w:rPr>
                <w:b/>
              </w:rPr>
            </w:pPr>
          </w:p>
        </w:tc>
      </w:tr>
      <w:tr w:rsidR="001A1559" w:rsidRPr="009634B3" w:rsidTr="00EA4BE6">
        <w:tc>
          <w:tcPr>
            <w:tcW w:w="3812" w:type="dxa"/>
            <w:tcBorders>
              <w:top w:val="nil"/>
              <w:bottom w:val="nil"/>
            </w:tcBorders>
            <w:shd w:val="clear" w:color="auto" w:fill="E2E2E2"/>
          </w:tcPr>
          <w:p w:rsidR="001A1559" w:rsidRPr="009634B3" w:rsidRDefault="001A1559" w:rsidP="0074218A">
            <w:pPr>
              <w:ind w:left="196" w:hanging="196"/>
              <w:rPr>
                <w:b/>
                <w:lang w:eastAsia="en-US"/>
              </w:rPr>
            </w:pPr>
            <w:r w:rsidRPr="009634B3">
              <w:rPr>
                <w:b/>
                <w:lang w:eastAsia="en-US"/>
              </w:rPr>
              <w:t xml:space="preserve">    vplyvy služieb verejnej správy na občana</w:t>
            </w:r>
          </w:p>
        </w:tc>
        <w:tc>
          <w:tcPr>
            <w:tcW w:w="541" w:type="dxa"/>
            <w:tcBorders>
              <w:top w:val="nil"/>
              <w:bottom w:val="nil"/>
              <w:right w:val="nil"/>
            </w:tcBorders>
          </w:tcPr>
          <w:p w:rsidR="001A1559" w:rsidRPr="00A179AE" w:rsidRDefault="001A1559" w:rsidP="0074218A">
            <w:pPr>
              <w:jc w:val="center"/>
              <w:rPr>
                <w:b/>
              </w:rPr>
            </w:pPr>
            <w:r>
              <w:rPr>
                <w:rFonts w:ascii="MS Gothic" w:eastAsia="MS Gothic" w:hAnsi="MS Gothic" w:hint="eastAsia"/>
                <w:b/>
              </w:rPr>
              <w:t>☐</w:t>
            </w:r>
          </w:p>
        </w:tc>
        <w:tc>
          <w:tcPr>
            <w:tcW w:w="1281" w:type="dxa"/>
            <w:tcBorders>
              <w:top w:val="nil"/>
              <w:left w:val="nil"/>
              <w:bottom w:val="nil"/>
              <w:right w:val="nil"/>
            </w:tcBorders>
          </w:tcPr>
          <w:p w:rsidR="001A1559" w:rsidRPr="00A179AE" w:rsidRDefault="001A1559" w:rsidP="0074218A">
            <w:pPr>
              <w:ind w:right="-108"/>
              <w:rPr>
                <w:b/>
              </w:rPr>
            </w:pPr>
            <w:r w:rsidRPr="00A179AE">
              <w:rPr>
                <w:b/>
              </w:rPr>
              <w:t>Pozitívne</w:t>
            </w:r>
          </w:p>
        </w:tc>
        <w:tc>
          <w:tcPr>
            <w:tcW w:w="569" w:type="dxa"/>
            <w:tcBorders>
              <w:top w:val="nil"/>
              <w:left w:val="nil"/>
              <w:bottom w:val="nil"/>
              <w:right w:val="nil"/>
            </w:tcBorders>
          </w:tcPr>
          <w:p w:rsidR="001A1559" w:rsidRPr="00A179AE" w:rsidRDefault="00C849A2" w:rsidP="0074218A">
            <w:pPr>
              <w:jc w:val="center"/>
              <w:rPr>
                <w:b/>
              </w:rPr>
            </w:pPr>
            <w:r>
              <w:rPr>
                <w:rFonts w:ascii="MS Gothic" w:eastAsia="MS Gothic" w:hAnsi="MS Gothic" w:hint="eastAsia"/>
                <w:b/>
              </w:rPr>
              <w:t>☒</w:t>
            </w:r>
          </w:p>
        </w:tc>
        <w:tc>
          <w:tcPr>
            <w:tcW w:w="1133" w:type="dxa"/>
            <w:tcBorders>
              <w:top w:val="nil"/>
              <w:left w:val="nil"/>
              <w:bottom w:val="nil"/>
              <w:right w:val="nil"/>
            </w:tcBorders>
          </w:tcPr>
          <w:p w:rsidR="001A1559" w:rsidRPr="00A179AE" w:rsidRDefault="001A1559" w:rsidP="0074218A">
            <w:pPr>
              <w:rPr>
                <w:b/>
              </w:rPr>
            </w:pPr>
            <w:r w:rsidRPr="00A179AE">
              <w:rPr>
                <w:b/>
              </w:rPr>
              <w:t>Žiadne</w:t>
            </w:r>
          </w:p>
        </w:tc>
        <w:tc>
          <w:tcPr>
            <w:tcW w:w="547" w:type="dxa"/>
            <w:tcBorders>
              <w:top w:val="nil"/>
              <w:left w:val="nil"/>
              <w:bottom w:val="nil"/>
              <w:right w:val="nil"/>
            </w:tcBorders>
          </w:tcPr>
          <w:p w:rsidR="001A1559" w:rsidRPr="00A179AE" w:rsidRDefault="001A1559" w:rsidP="0074218A">
            <w:pPr>
              <w:jc w:val="center"/>
              <w:rPr>
                <w:b/>
              </w:rPr>
            </w:pPr>
            <w:r w:rsidRPr="00A179AE">
              <w:rPr>
                <w:rFonts w:ascii="MS Mincho" w:eastAsia="MS Mincho" w:hAnsi="MS Mincho" w:cs="MS Mincho" w:hint="eastAsia"/>
                <w:b/>
              </w:rPr>
              <w:t>☐</w:t>
            </w:r>
          </w:p>
        </w:tc>
        <w:tc>
          <w:tcPr>
            <w:tcW w:w="1297" w:type="dxa"/>
            <w:tcBorders>
              <w:top w:val="nil"/>
              <w:left w:val="nil"/>
              <w:bottom w:val="nil"/>
            </w:tcBorders>
          </w:tcPr>
          <w:p w:rsidR="001A1559" w:rsidRPr="00A179AE" w:rsidRDefault="001A1559" w:rsidP="0074218A">
            <w:pPr>
              <w:ind w:left="54"/>
              <w:rPr>
                <w:b/>
              </w:rPr>
            </w:pPr>
            <w:r w:rsidRPr="00A179AE">
              <w:rPr>
                <w:b/>
              </w:rPr>
              <w:t>Negatívne</w:t>
            </w:r>
          </w:p>
        </w:tc>
      </w:tr>
      <w:tr w:rsidR="001A1559" w:rsidRPr="009634B3" w:rsidTr="00EA4BE6">
        <w:tc>
          <w:tcPr>
            <w:tcW w:w="3812" w:type="dxa"/>
            <w:tcBorders>
              <w:top w:val="nil"/>
            </w:tcBorders>
            <w:shd w:val="clear" w:color="auto" w:fill="E2E2E2"/>
          </w:tcPr>
          <w:p w:rsidR="001A1559" w:rsidRPr="009634B3" w:rsidRDefault="001A1559" w:rsidP="0074218A">
            <w:pPr>
              <w:ind w:left="168" w:hanging="168"/>
              <w:rPr>
                <w:b/>
                <w:lang w:eastAsia="en-US"/>
              </w:rPr>
            </w:pPr>
            <w:r>
              <w:rPr>
                <w:b/>
                <w:lang w:eastAsia="en-US"/>
              </w:rPr>
              <w:t xml:space="preserve">    </w:t>
            </w:r>
            <w:r w:rsidRPr="009634B3">
              <w:rPr>
                <w:b/>
                <w:lang w:eastAsia="en-US"/>
              </w:rPr>
              <w:t>vplyvy na procesy služieb vo verejnej správe</w:t>
            </w:r>
          </w:p>
        </w:tc>
        <w:tc>
          <w:tcPr>
            <w:tcW w:w="541" w:type="dxa"/>
            <w:tcBorders>
              <w:top w:val="nil"/>
              <w:right w:val="nil"/>
            </w:tcBorders>
          </w:tcPr>
          <w:p w:rsidR="001A1559" w:rsidRPr="00A179AE" w:rsidRDefault="001A1559" w:rsidP="0074218A">
            <w:pPr>
              <w:jc w:val="center"/>
              <w:rPr>
                <w:b/>
              </w:rPr>
            </w:pPr>
            <w:r w:rsidRPr="00A179AE">
              <w:rPr>
                <w:rFonts w:ascii="MS Mincho" w:eastAsia="MS Mincho" w:hAnsi="MS Mincho" w:cs="MS Mincho" w:hint="eastAsia"/>
                <w:b/>
              </w:rPr>
              <w:t>☐</w:t>
            </w:r>
          </w:p>
        </w:tc>
        <w:tc>
          <w:tcPr>
            <w:tcW w:w="1281" w:type="dxa"/>
            <w:tcBorders>
              <w:top w:val="nil"/>
              <w:left w:val="nil"/>
              <w:right w:val="nil"/>
            </w:tcBorders>
          </w:tcPr>
          <w:p w:rsidR="001A1559" w:rsidRPr="00A179AE" w:rsidRDefault="001A1559" w:rsidP="0074218A">
            <w:pPr>
              <w:ind w:right="-108"/>
              <w:rPr>
                <w:b/>
              </w:rPr>
            </w:pPr>
            <w:r w:rsidRPr="00A179AE">
              <w:rPr>
                <w:b/>
              </w:rPr>
              <w:t>Pozitívne</w:t>
            </w:r>
          </w:p>
        </w:tc>
        <w:tc>
          <w:tcPr>
            <w:tcW w:w="569" w:type="dxa"/>
            <w:tcBorders>
              <w:top w:val="nil"/>
              <w:left w:val="nil"/>
              <w:right w:val="nil"/>
            </w:tcBorders>
          </w:tcPr>
          <w:p w:rsidR="001A1559" w:rsidRPr="00A179AE" w:rsidRDefault="00C849A2" w:rsidP="0074218A">
            <w:pPr>
              <w:jc w:val="center"/>
              <w:rPr>
                <w:b/>
              </w:rPr>
            </w:pPr>
            <w:r>
              <w:rPr>
                <w:rFonts w:ascii="MS Gothic" w:eastAsia="MS Gothic" w:hAnsi="MS Gothic" w:hint="eastAsia"/>
                <w:b/>
              </w:rPr>
              <w:t>☒</w:t>
            </w:r>
          </w:p>
        </w:tc>
        <w:tc>
          <w:tcPr>
            <w:tcW w:w="1133" w:type="dxa"/>
            <w:tcBorders>
              <w:top w:val="nil"/>
              <w:left w:val="nil"/>
              <w:right w:val="nil"/>
            </w:tcBorders>
          </w:tcPr>
          <w:p w:rsidR="001A1559" w:rsidRPr="00A179AE" w:rsidRDefault="001A1559" w:rsidP="0074218A">
            <w:pPr>
              <w:rPr>
                <w:b/>
              </w:rPr>
            </w:pPr>
            <w:r w:rsidRPr="00A179AE">
              <w:rPr>
                <w:b/>
              </w:rPr>
              <w:t>Žiadne</w:t>
            </w:r>
          </w:p>
        </w:tc>
        <w:tc>
          <w:tcPr>
            <w:tcW w:w="547" w:type="dxa"/>
            <w:tcBorders>
              <w:top w:val="nil"/>
              <w:left w:val="nil"/>
              <w:right w:val="nil"/>
            </w:tcBorders>
          </w:tcPr>
          <w:p w:rsidR="001A1559" w:rsidRPr="00A179AE" w:rsidRDefault="001A1559" w:rsidP="0074218A">
            <w:pPr>
              <w:jc w:val="center"/>
              <w:rPr>
                <w:b/>
              </w:rPr>
            </w:pPr>
            <w:r w:rsidRPr="00A179AE">
              <w:rPr>
                <w:rFonts w:ascii="MS Mincho" w:eastAsia="MS Mincho" w:hAnsi="MS Mincho" w:cs="MS Mincho" w:hint="eastAsia"/>
                <w:b/>
              </w:rPr>
              <w:t>☐</w:t>
            </w:r>
          </w:p>
        </w:tc>
        <w:tc>
          <w:tcPr>
            <w:tcW w:w="1297" w:type="dxa"/>
            <w:tcBorders>
              <w:top w:val="nil"/>
              <w:left w:val="nil"/>
            </w:tcBorders>
          </w:tcPr>
          <w:p w:rsidR="001A1559" w:rsidRPr="00A179AE" w:rsidRDefault="001A1559" w:rsidP="0074218A">
            <w:pPr>
              <w:ind w:left="54"/>
              <w:rPr>
                <w:b/>
              </w:rPr>
            </w:pPr>
            <w:r w:rsidRPr="00A179AE">
              <w:rPr>
                <w:b/>
              </w:rPr>
              <w:t>Negatívne</w:t>
            </w:r>
          </w:p>
        </w:tc>
      </w:tr>
    </w:tbl>
    <w:p w:rsidR="003501A1" w:rsidRPr="00A179AE" w:rsidRDefault="003501A1" w:rsidP="0074218A">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bottom w:val="nil"/>
            </w:tcBorders>
            <w:shd w:val="clear" w:color="auto" w:fill="E2E2E2"/>
          </w:tcPr>
          <w:p w:rsidR="004F6F1F" w:rsidRPr="00A179AE" w:rsidRDefault="004F6F1F"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Poznámky</w:t>
            </w:r>
          </w:p>
        </w:tc>
      </w:tr>
      <w:tr w:rsidR="004F6F1F" w:rsidRPr="00A179AE" w:rsidTr="004F6F1F">
        <w:trPr>
          <w:trHeight w:val="713"/>
        </w:trPr>
        <w:tc>
          <w:tcPr>
            <w:tcW w:w="9176" w:type="dxa"/>
            <w:tcBorders>
              <w:top w:val="nil"/>
              <w:bottom w:val="single" w:sz="4" w:space="0" w:color="FFFFFF" w:themeColor="background1"/>
            </w:tcBorders>
          </w:tcPr>
          <w:p w:rsidR="00796E89" w:rsidRDefault="002764AD" w:rsidP="002764AD">
            <w:pPr>
              <w:rPr>
                <w:i/>
              </w:rPr>
            </w:pPr>
            <w:r w:rsidRPr="002764AD">
              <w:rPr>
                <w:i/>
              </w:rPr>
              <w:t>V prípade potreby uveďte doplňujúce informácie k návrhu.</w:t>
            </w:r>
          </w:p>
          <w:p w:rsidR="00C901EA" w:rsidRDefault="00C901EA" w:rsidP="00C901EA">
            <w:pPr>
              <w:jc w:val="both"/>
            </w:pPr>
            <w:r>
              <w:t xml:space="preserve">Pozitívne vplyvy predmetnej regulácie na podnikateľské prostredie (ktoré sú bližšie popísané v osobitnej časti dôvodovej správy pri odôvodnení jednotlivých novelizačných bodov) predkladateľ identifikoval najmä v nasledujúcich oblastiach: </w:t>
            </w:r>
          </w:p>
          <w:p w:rsidR="00C901EA" w:rsidRPr="00C901EA" w:rsidRDefault="00C901EA" w:rsidP="00C901EA">
            <w:pPr>
              <w:pStyle w:val="Odsekzoznamu"/>
              <w:numPr>
                <w:ilvl w:val="1"/>
                <w:numId w:val="3"/>
              </w:numPr>
              <w:spacing w:after="0" w:line="240" w:lineRule="auto"/>
              <w:ind w:left="499" w:hanging="357"/>
              <w:jc w:val="both"/>
              <w:rPr>
                <w:rFonts w:ascii="Times New Roman" w:hAnsi="Times New Roman"/>
                <w:sz w:val="20"/>
                <w:szCs w:val="20"/>
              </w:rPr>
            </w:pPr>
            <w:r w:rsidRPr="00C901EA">
              <w:rPr>
                <w:rFonts w:ascii="Times New Roman" w:hAnsi="Times New Roman"/>
                <w:sz w:val="20"/>
                <w:szCs w:val="20"/>
              </w:rPr>
              <w:t xml:space="preserve">zlepšenie informovanosti akcionárov a tretích strán o odmeňovaní členov orgánov spoločností, naviazaní  </w:t>
            </w:r>
            <w:r w:rsidRPr="00C901EA">
              <w:rPr>
                <w:rFonts w:ascii="Times New Roman" w:hAnsi="Times New Roman"/>
                <w:sz w:val="20"/>
                <w:szCs w:val="20"/>
              </w:rPr>
              <w:lastRenderedPageBreak/>
              <w:t>pravidiel odmeňovania na záujem spoločnosti tak, aby aj politika odmeňovania prispievala k podnikateľskej stratégii, dlhodobým záujmom a udržateľnosti spoločnosti,</w:t>
            </w:r>
          </w:p>
          <w:p w:rsidR="00C901EA" w:rsidRPr="00C901EA" w:rsidRDefault="00C901EA" w:rsidP="00667F09">
            <w:pPr>
              <w:pStyle w:val="Odsekzoznamu"/>
              <w:numPr>
                <w:ilvl w:val="1"/>
                <w:numId w:val="3"/>
              </w:numPr>
              <w:spacing w:after="0" w:line="240" w:lineRule="auto"/>
              <w:ind w:left="499" w:hanging="357"/>
              <w:jc w:val="both"/>
              <w:rPr>
                <w:rFonts w:ascii="Times New Roman" w:hAnsi="Times New Roman"/>
                <w:sz w:val="20"/>
                <w:szCs w:val="20"/>
              </w:rPr>
            </w:pPr>
            <w:r w:rsidRPr="00C901EA">
              <w:rPr>
                <w:rFonts w:ascii="Times New Roman" w:hAnsi="Times New Roman"/>
                <w:sz w:val="20"/>
                <w:szCs w:val="20"/>
              </w:rPr>
              <w:t xml:space="preserve">zabezpečenie šírenia informácií o významnej obchodnej transakcii </w:t>
            </w:r>
            <w:r w:rsidR="004372C4">
              <w:rPr>
                <w:rFonts w:ascii="Times New Roman" w:hAnsi="Times New Roman"/>
                <w:sz w:val="20"/>
                <w:szCs w:val="20"/>
              </w:rPr>
              <w:t xml:space="preserve">zverejnením v Obchodnom vestníku ako </w:t>
            </w:r>
            <w:r w:rsidRPr="00C901EA">
              <w:rPr>
                <w:rFonts w:ascii="Times New Roman" w:hAnsi="Times New Roman"/>
                <w:sz w:val="20"/>
                <w:szCs w:val="20"/>
              </w:rPr>
              <w:t>aj využitím iných ľahko dostupných prostriedkov tak</w:t>
            </w:r>
            <w:r w:rsidR="00667F09">
              <w:rPr>
                <w:rFonts w:ascii="Times New Roman" w:hAnsi="Times New Roman"/>
                <w:sz w:val="20"/>
                <w:szCs w:val="20"/>
              </w:rPr>
              <w:t>,</w:t>
            </w:r>
            <w:r w:rsidRPr="00C901EA">
              <w:rPr>
                <w:rFonts w:ascii="Times New Roman" w:hAnsi="Times New Roman"/>
                <w:sz w:val="20"/>
                <w:szCs w:val="20"/>
              </w:rPr>
              <w:t xml:space="preserve"> aby akcionári, veritelia, zamestnanci a iné zainteresované strany boli informovaní o možných vplyvoch takýchto transakcií na „hodnotu“ spoločnosti a mohli lepšie posúdiť riziká spojené s transakciou a napadnúť transakciu, a to aj právnou cestou.</w:t>
            </w:r>
          </w:p>
        </w:tc>
      </w:tr>
      <w:tr w:rsidR="003501A1" w:rsidRPr="00A179AE" w:rsidTr="00EA4BE6">
        <w:tc>
          <w:tcPr>
            <w:tcW w:w="9176" w:type="dxa"/>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lastRenderedPageBreak/>
              <w:t>Kontakt na spracovateľa</w:t>
            </w:r>
          </w:p>
        </w:tc>
      </w:tr>
      <w:tr w:rsidR="003501A1" w:rsidRPr="00A179AE" w:rsidTr="004F6F1F">
        <w:trPr>
          <w:trHeight w:val="586"/>
        </w:trPr>
        <w:tc>
          <w:tcPr>
            <w:tcW w:w="9176" w:type="dxa"/>
            <w:tcBorders>
              <w:top w:val="single" w:sz="4" w:space="0" w:color="FFFFFF" w:themeColor="background1"/>
            </w:tcBorders>
            <w:shd w:val="clear" w:color="auto" w:fill="FFFFFF" w:themeFill="background1"/>
          </w:tcPr>
          <w:p w:rsidR="002764AD" w:rsidRDefault="002764AD" w:rsidP="004372C4">
            <w:pPr>
              <w:jc w:val="both"/>
            </w:pPr>
            <w:r>
              <w:t>Uveďte údaje na kontaktnú osobu, ktorú je možné kontaktovať v súvislosti s posúdením vybraných vplyvov</w:t>
            </w:r>
          </w:p>
          <w:p w:rsidR="002764AD" w:rsidRDefault="002764AD" w:rsidP="004372C4">
            <w:pPr>
              <w:jc w:val="both"/>
            </w:pPr>
            <w:r>
              <w:t>Ministerstvo spravodlivosti Slovenskej republiky:</w:t>
            </w:r>
          </w:p>
          <w:p w:rsidR="002764AD" w:rsidRDefault="002764AD" w:rsidP="002764AD">
            <w:r>
              <w:t>JUDr. Anna Kovaľová, sekcia legislatívy (02/88891125)</w:t>
            </w:r>
          </w:p>
          <w:p w:rsidR="002764AD" w:rsidRDefault="002764AD" w:rsidP="002764AD">
            <w:r>
              <w:t>JUDr. Soňa Beráková, sekcia legislatívy (02/88891399)</w:t>
            </w:r>
          </w:p>
          <w:p w:rsidR="002764AD" w:rsidRDefault="002764AD" w:rsidP="002764AD">
            <w:r>
              <w:t>Ministerstvo financií Slovenskej republiky:</w:t>
            </w:r>
          </w:p>
          <w:p w:rsidR="002764AD" w:rsidRDefault="002764AD" w:rsidP="002764AD">
            <w:r>
              <w:t>Ing. Karen Chačarjan, sekcia finančného trhu (02/59582539)</w:t>
            </w:r>
          </w:p>
          <w:p w:rsidR="003501A1" w:rsidRPr="00C849A2" w:rsidRDefault="002764AD" w:rsidP="002764AD">
            <w:r>
              <w:t>Ing. Ján Kaššovič PhD, sekcia finančného trhu (02/59582529)</w:t>
            </w:r>
          </w:p>
        </w:tc>
      </w:tr>
      <w:tr w:rsidR="003501A1" w:rsidRPr="00A179AE" w:rsidTr="00EA4BE6">
        <w:tc>
          <w:tcPr>
            <w:tcW w:w="9176" w:type="dxa"/>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Zdroje</w:t>
            </w:r>
          </w:p>
        </w:tc>
      </w:tr>
      <w:tr w:rsidR="003501A1" w:rsidRPr="00A179AE" w:rsidTr="00EA4BE6">
        <w:trPr>
          <w:trHeight w:val="401"/>
        </w:trPr>
        <w:tc>
          <w:tcPr>
            <w:tcW w:w="9176" w:type="dxa"/>
            <w:tcBorders>
              <w:top w:val="single" w:sz="4" w:space="0" w:color="FFFFFF" w:themeColor="background1"/>
            </w:tcBorders>
            <w:shd w:val="clear" w:color="auto" w:fill="FFFFFF" w:themeFill="background1"/>
          </w:tcPr>
          <w:p w:rsidR="002764AD" w:rsidRPr="002764AD" w:rsidRDefault="002764AD" w:rsidP="005271EC">
            <w:pPr>
              <w:jc w:val="both"/>
              <w:rPr>
                <w:i/>
              </w:rPr>
            </w:pPr>
            <w:r w:rsidRPr="002764AD">
              <w:rPr>
                <w:i/>
              </w:rPr>
              <w:t>Uveďte zdroje (štatistiky, prieskumy, spoluprácu s odborníkmi a iné), z ktorých ste pri vypracovávaní doložky, príp. analýz vplyvov vychádzali.</w:t>
            </w:r>
          </w:p>
          <w:p w:rsidR="00B67165" w:rsidRPr="00A179AE" w:rsidRDefault="002764AD" w:rsidP="002764AD">
            <w:pPr>
              <w:jc w:val="both"/>
              <w:rPr>
                <w:i/>
              </w:rPr>
            </w:pPr>
            <w:r w:rsidRPr="002764AD">
              <w:t>Webové sídlo Burzy cenných papierov v Bratislave, a.s.</w:t>
            </w:r>
            <w:r>
              <w:t xml:space="preserve"> </w:t>
            </w:r>
            <w:r w:rsidR="0025017A" w:rsidRPr="005271EC">
              <w:t>a konzultácie s odborníkmi a dotknutými subjektmi</w:t>
            </w:r>
            <w:r w:rsidR="004372C4">
              <w:t xml:space="preserve"> (centrálny depozitár cenných papierov, a.s., Národná banka Slovenska)</w:t>
            </w:r>
            <w:r w:rsidR="0025017A" w:rsidRPr="005271EC">
              <w:t>.</w:t>
            </w:r>
          </w:p>
          <w:p w:rsidR="003501A1" w:rsidRPr="00A179AE" w:rsidRDefault="003501A1" w:rsidP="0074218A">
            <w:pPr>
              <w:rPr>
                <w:b/>
              </w:rPr>
            </w:pPr>
          </w:p>
        </w:tc>
      </w:tr>
      <w:tr w:rsidR="003501A1" w:rsidRPr="00A179AE" w:rsidTr="00EA4BE6">
        <w:tc>
          <w:tcPr>
            <w:tcW w:w="9176" w:type="dxa"/>
            <w:tcBorders>
              <w:bottom w:val="single" w:sz="4" w:space="0" w:color="FFFFFF" w:themeColor="background1"/>
            </w:tcBorders>
            <w:shd w:val="clear" w:color="auto" w:fill="E2E2E2"/>
          </w:tcPr>
          <w:p w:rsidR="003501A1" w:rsidRPr="00A179AE" w:rsidRDefault="003501A1" w:rsidP="0074218A">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rsidR="003501A1" w:rsidRPr="00A179AE" w:rsidTr="00EA4BE6">
        <w:tc>
          <w:tcPr>
            <w:tcW w:w="9176" w:type="dxa"/>
            <w:tcBorders>
              <w:top w:val="single" w:sz="4" w:space="0" w:color="FFFFFF" w:themeColor="background1"/>
            </w:tcBorders>
            <w:shd w:val="clear" w:color="auto" w:fill="FFFFFF" w:themeFill="background1"/>
          </w:tcPr>
          <w:p w:rsidR="003501A1" w:rsidRPr="00A179AE" w:rsidRDefault="002764AD" w:rsidP="0074218A">
            <w:pPr>
              <w:rPr>
                <w:b/>
              </w:rPr>
            </w:pPr>
            <w:r w:rsidRPr="002764AD">
              <w:rPr>
                <w:i/>
              </w:rPr>
              <w:t>Uveďte stanovisko Komisie pre posudzovanie vybraných vplyvov, ktoré Vám bolo zaslané v rámci predbežného pripomienkového konania</w:t>
            </w:r>
            <w:r>
              <w:rPr>
                <w:i/>
              </w:rPr>
              <w:t>.</w:t>
            </w:r>
          </w:p>
          <w:p w:rsidR="003501A1" w:rsidRDefault="003501A1" w:rsidP="0074218A">
            <w:pPr>
              <w:rPr>
                <w:b/>
              </w:rPr>
            </w:pPr>
          </w:p>
          <w:p w:rsidR="006C7B63" w:rsidRDefault="006C7B63" w:rsidP="006C7B63">
            <w:pPr>
              <w:jc w:val="both"/>
            </w:pPr>
            <w:r w:rsidRPr="006C7B63">
              <w:t>Stála pracovná komisia na posudzov</w:t>
            </w:r>
            <w:r w:rsidR="00EA4BE6">
              <w:t>anie vybraných vplyvov vyjadrila</w:t>
            </w:r>
            <w:r w:rsidRPr="006C7B63">
              <w:t xml:space="preserve"> </w:t>
            </w:r>
            <w:r w:rsidRPr="00E2632D">
              <w:rPr>
                <w:u w:val="single"/>
              </w:rPr>
              <w:t>nesúhlasné stanovisko</w:t>
            </w:r>
            <w:r w:rsidRPr="006C7B63">
              <w:t xml:space="preserve"> s materiálom predloženým na predbežné pripomienkové konanie s odporúčaním na jeho dopracovanie </w:t>
            </w:r>
            <w:r w:rsidR="004372C4">
              <w:t>v zmysle</w:t>
            </w:r>
            <w:r w:rsidRPr="006C7B63">
              <w:t xml:space="preserve"> </w:t>
            </w:r>
            <w:r w:rsidR="00EA4BE6">
              <w:t>nižšie uvedených pripomienok</w:t>
            </w:r>
            <w:r w:rsidRPr="006C7B63">
              <w:t xml:space="preserve">.  </w:t>
            </w:r>
          </w:p>
          <w:p w:rsidR="006C7B63" w:rsidRDefault="006C7B63" w:rsidP="006C7B63">
            <w:pPr>
              <w:jc w:val="both"/>
            </w:pPr>
          </w:p>
          <w:p w:rsidR="006C7B63" w:rsidRPr="006C7B63" w:rsidRDefault="006C7B63" w:rsidP="006C7B63">
            <w:pPr>
              <w:jc w:val="both"/>
              <w:rPr>
                <w:b/>
              </w:rPr>
            </w:pPr>
            <w:r w:rsidRPr="006C7B63">
              <w:rPr>
                <w:b/>
              </w:rPr>
              <w:t>Vyhodnotenie pripomienok predkladateľom:</w:t>
            </w:r>
          </w:p>
          <w:p w:rsidR="006C7B63" w:rsidRDefault="006C7B63" w:rsidP="006C7B63">
            <w:pPr>
              <w:jc w:val="both"/>
            </w:pPr>
            <w:r>
              <w:t>II. Pripomienky a návrhy zmien: Komisia uplatňuje k materiálu nasledovné pripomienky a odporúčania:</w:t>
            </w:r>
          </w:p>
          <w:p w:rsidR="006C7B63" w:rsidRDefault="006C7B63" w:rsidP="006C7B63">
            <w:pPr>
              <w:jc w:val="both"/>
            </w:pPr>
          </w:p>
          <w:p w:rsidR="006C7B63" w:rsidRDefault="006C7B63" w:rsidP="00EA4BE6">
            <w:pPr>
              <w:pStyle w:val="Odsekzoznamu"/>
              <w:numPr>
                <w:ilvl w:val="0"/>
                <w:numId w:val="1"/>
              </w:numPr>
              <w:spacing w:after="0" w:line="240" w:lineRule="auto"/>
              <w:ind w:left="499" w:hanging="357"/>
              <w:jc w:val="both"/>
              <w:rPr>
                <w:rFonts w:ascii="Times New Roman" w:hAnsi="Times New Roman"/>
                <w:sz w:val="20"/>
                <w:szCs w:val="20"/>
              </w:rPr>
            </w:pPr>
            <w:r w:rsidRPr="00EA4BE6">
              <w:rPr>
                <w:rFonts w:ascii="Times New Roman" w:hAnsi="Times New Roman"/>
                <w:sz w:val="20"/>
                <w:szCs w:val="20"/>
              </w:rPr>
              <w:t>K analýze vplyvov na podnikateľské prostredie</w:t>
            </w:r>
          </w:p>
          <w:p w:rsidR="00EA4BE6" w:rsidRPr="00EA4BE6" w:rsidRDefault="00EA4BE6" w:rsidP="00EA4BE6">
            <w:pPr>
              <w:pStyle w:val="Odsekzoznamu"/>
              <w:spacing w:after="0" w:line="240" w:lineRule="auto"/>
              <w:ind w:left="499"/>
              <w:jc w:val="both"/>
              <w:rPr>
                <w:rFonts w:ascii="Times New Roman" w:hAnsi="Times New Roman"/>
                <w:sz w:val="20"/>
                <w:szCs w:val="20"/>
              </w:rPr>
            </w:pPr>
          </w:p>
          <w:p w:rsidR="006C7B63" w:rsidRDefault="006C7B63" w:rsidP="006C7B63">
            <w:pPr>
              <w:jc w:val="both"/>
            </w:pPr>
            <w:r>
              <w:t xml:space="preserve">V časti 3.2 Vyhodnotenie konzultácií Komisia žiada predkladateľa uviesť informácie týkajúce sa konzultácií – či a akou formou boli dotknuté podnikateľské subjekty o predmetnom návrhu materiálu informované, a ak sa konzultácie uskutočnili, tak doplniť ich vyhodnotenie. </w:t>
            </w:r>
          </w:p>
          <w:p w:rsidR="006C7B63" w:rsidRDefault="006C7B63" w:rsidP="006C7B63">
            <w:pPr>
              <w:jc w:val="both"/>
            </w:pPr>
            <w:r>
              <w:t>Odôvodnenie: Zabezpečenie súladu s Jednotnou metodikou na posudzovanie vybraných vplyvov. Konzultácie tvoria povinnú súčasť posudzovania vplyvov na podnikateľské prostredie.</w:t>
            </w:r>
          </w:p>
          <w:p w:rsidR="00840470" w:rsidRPr="00100DEC" w:rsidRDefault="006C7B63" w:rsidP="006C7B63">
            <w:pPr>
              <w:jc w:val="both"/>
              <w:rPr>
                <w:b/>
                <w:u w:val="single"/>
              </w:rPr>
            </w:pPr>
            <w:r w:rsidRPr="00100DEC">
              <w:rPr>
                <w:b/>
                <w:u w:val="single"/>
              </w:rPr>
              <w:t xml:space="preserve">Vyhodnotenie pripomienky </w:t>
            </w:r>
            <w:r w:rsidR="00840470" w:rsidRPr="00100DEC">
              <w:rPr>
                <w:b/>
                <w:u w:val="single"/>
              </w:rPr>
              <w:t>- pripomienka akceptovaná:</w:t>
            </w:r>
          </w:p>
          <w:p w:rsidR="006C7B63" w:rsidRDefault="006C7B63" w:rsidP="006C7B63">
            <w:pPr>
              <w:jc w:val="both"/>
            </w:pPr>
            <w:r>
              <w:t>Predkladateľ upravil analýzu vplyvov na podnikateľské prostredie a doplnil subjekty, s ktorými z vlastnej iniciatívy konzultoval návrh zákona</w:t>
            </w:r>
            <w:r w:rsidR="004372C4">
              <w:t xml:space="preserve"> (Centrálny depozitár cenných papierov, a.s. a Národná banka Slovenska)</w:t>
            </w:r>
            <w:r>
              <w:t xml:space="preserve">. Predkladateľ si však dovoľuje upozorniť, v zmysle </w:t>
            </w:r>
            <w:r w:rsidRPr="006C7B63">
              <w:t xml:space="preserve">Jednotnej metodiky na posudzovanie vybraných vplyvov (ďalej len „metodika“)  </w:t>
            </w:r>
            <w:r w:rsidR="004372C4">
              <w:t xml:space="preserve">má </w:t>
            </w:r>
            <w:r w:rsidRPr="006C7B63">
              <w:t>povinn</w:t>
            </w:r>
            <w:r>
              <w:t>osť</w:t>
            </w:r>
            <w:r w:rsidRPr="006C7B63">
              <w:t xml:space="preserve"> uskutočniť</w:t>
            </w:r>
            <w:r>
              <w:t xml:space="preserve"> konzultácie s podnikateľskými subjektmi len</w:t>
            </w:r>
            <w:r w:rsidR="004372C4">
              <w:t>,</w:t>
            </w:r>
            <w:r>
              <w:t xml:space="preserve"> ak bol</w:t>
            </w:r>
            <w:r w:rsidRPr="006C7B63">
              <w:t xml:space="preserve"> o tejto povinnosti informovaný </w:t>
            </w:r>
            <w:r>
              <w:t xml:space="preserve">Ministerstvom hospodárstva Slovenskej republiky </w:t>
            </w:r>
            <w:r w:rsidRPr="006C7B63">
              <w:t xml:space="preserve">v zmysle bodu 5.5 metodiky a legislatívny materiál predpokladá významné vplyvy na podnikateľské prostredie (bod 5.4 metodiky), </w:t>
            </w:r>
            <w:r>
              <w:t>čo nie je tento prípad. V</w:t>
            </w:r>
            <w:r w:rsidRPr="006C7B63">
              <w:t xml:space="preserve"> neposlednom rade</w:t>
            </w:r>
            <w:r>
              <w:t xml:space="preserve"> je potrebné upozorniť, že </w:t>
            </w:r>
            <w:r w:rsidRPr="006C7B63">
              <w:t xml:space="preserve">sa </w:t>
            </w:r>
            <w:r>
              <w:t xml:space="preserve">v danom prípade </w:t>
            </w:r>
            <w:r w:rsidRPr="006C7B63">
              <w:t>jedná o transpozíciu práva EU</w:t>
            </w:r>
            <w:r>
              <w:t>, predkladateľ je teda limitovaný</w:t>
            </w:r>
            <w:r w:rsidR="00E75C0C">
              <w:t xml:space="preserve"> čo sa týka </w:t>
            </w:r>
            <w:r w:rsidR="00EA4BE6">
              <w:t>predmetu úpravy</w:t>
            </w:r>
            <w:r w:rsidRPr="006C7B63">
              <w:t>.</w:t>
            </w:r>
          </w:p>
          <w:p w:rsidR="006C7B63" w:rsidRDefault="006C7B63" w:rsidP="006C7B63">
            <w:pPr>
              <w:jc w:val="both"/>
            </w:pPr>
          </w:p>
          <w:p w:rsidR="006C7B63" w:rsidRDefault="006C7B63" w:rsidP="006C7B63">
            <w:pPr>
              <w:jc w:val="both"/>
            </w:pPr>
            <w:r>
              <w:t xml:space="preserve">V časti 3.3.4 súhrnná tabuľka nákladov regulácie Komisia odporúča predkladateľovi doplniť zdroj, na základe ktorého boli vyčíslené administratívne náklady na jedného podnikateľa (bola pri výpočte využitá kalkulačka nákladov alebo expertný odhad?) a doplniť túto informáciu do časti 3.3.4. analýzy. </w:t>
            </w:r>
          </w:p>
          <w:p w:rsidR="006C7B63" w:rsidRDefault="006C7B63" w:rsidP="006C7B63">
            <w:pPr>
              <w:jc w:val="both"/>
            </w:pPr>
            <w:r>
              <w:t>Komisia súhlasí s tvrdením predkladateľa, že materiál bude mať i pozitívny vplyv na podnikateľské prostredie. Avšak v zmysle Jednotnej metodiky na posudzovanie vybraných vplyvov Komisia odporúča predkladateľovi vyšpecifikovať, resp. opísať v analýze spomenuté pozitívne vplyvy na podnikateľské prostredie, ktoré v predloženej analýze absentujú a predkladateľ ich však označil v Doložke vybraných vplyvov.</w:t>
            </w:r>
          </w:p>
          <w:p w:rsidR="00840470" w:rsidRPr="00100DEC" w:rsidRDefault="00EA4BE6" w:rsidP="006C7B63">
            <w:pPr>
              <w:jc w:val="both"/>
              <w:rPr>
                <w:b/>
              </w:rPr>
            </w:pPr>
            <w:r w:rsidRPr="00100DEC">
              <w:rPr>
                <w:b/>
                <w:u w:val="single"/>
              </w:rPr>
              <w:t>Vyhodnotenie pripomienky</w:t>
            </w:r>
            <w:r w:rsidR="00840470" w:rsidRPr="00100DEC">
              <w:rPr>
                <w:b/>
                <w:u w:val="single"/>
              </w:rPr>
              <w:t xml:space="preserve"> - pripomienka akceptovaná:</w:t>
            </w:r>
          </w:p>
          <w:p w:rsidR="00EA4BE6" w:rsidRDefault="00EA4BE6" w:rsidP="006C7B63">
            <w:pPr>
              <w:jc w:val="both"/>
            </w:pPr>
            <w:r>
              <w:t>Predkladateľ doplnil súhrnnú tabuľku nákladov regulácie o informáciu, že vplyvy boli vyčíslené na základe expertného odhadu s použitím tzv. veľkej kalkulačky nákladov. Rovnako bola doplnená aj analýza vplyvov na podnikateľské prostredie o opis pozitívnych vplyvov regulácie na podnikateľské prostredie.</w:t>
            </w:r>
          </w:p>
          <w:p w:rsidR="006C7B63" w:rsidRDefault="006C7B63" w:rsidP="006C7B63">
            <w:pPr>
              <w:jc w:val="both"/>
            </w:pPr>
            <w:r>
              <w:t> </w:t>
            </w:r>
          </w:p>
          <w:p w:rsidR="006C7B63" w:rsidRDefault="006C7B63" w:rsidP="00EA4BE6">
            <w:pPr>
              <w:pStyle w:val="Odsekzoznamu"/>
              <w:numPr>
                <w:ilvl w:val="0"/>
                <w:numId w:val="1"/>
              </w:numPr>
              <w:spacing w:after="0" w:line="240" w:lineRule="auto"/>
              <w:ind w:left="499" w:hanging="357"/>
              <w:jc w:val="both"/>
              <w:rPr>
                <w:rFonts w:ascii="Times New Roman" w:hAnsi="Times New Roman"/>
                <w:sz w:val="20"/>
                <w:szCs w:val="20"/>
              </w:rPr>
            </w:pPr>
            <w:r w:rsidRPr="00EA4BE6">
              <w:rPr>
                <w:rFonts w:ascii="Times New Roman" w:hAnsi="Times New Roman"/>
                <w:sz w:val="20"/>
                <w:szCs w:val="20"/>
              </w:rPr>
              <w:lastRenderedPageBreak/>
              <w:t>K doložke vybraných vplyvov</w:t>
            </w:r>
          </w:p>
          <w:p w:rsidR="00EA4BE6" w:rsidRPr="00EA4BE6" w:rsidRDefault="00EA4BE6" w:rsidP="00EA4BE6">
            <w:pPr>
              <w:pStyle w:val="Odsekzoznamu"/>
              <w:spacing w:after="0" w:line="240" w:lineRule="auto"/>
              <w:ind w:left="499"/>
              <w:jc w:val="both"/>
              <w:rPr>
                <w:rFonts w:ascii="Times New Roman" w:hAnsi="Times New Roman"/>
                <w:sz w:val="20"/>
                <w:szCs w:val="20"/>
              </w:rPr>
            </w:pPr>
          </w:p>
          <w:p w:rsidR="006C7B63" w:rsidRDefault="006C7B63" w:rsidP="006C7B63">
            <w:pPr>
              <w:jc w:val="both"/>
            </w:pPr>
            <w:r>
              <w:t>Komisia odporúča predkladateľovi v Doložke vybraných vplyvov doplniť termín začiatku a ukončenia PPK a predpokladaný termín predloženia na MPK.</w:t>
            </w:r>
          </w:p>
          <w:p w:rsidR="00840470" w:rsidRPr="00100DEC" w:rsidRDefault="00EA4BE6" w:rsidP="006C7B63">
            <w:pPr>
              <w:jc w:val="both"/>
              <w:rPr>
                <w:b/>
              </w:rPr>
            </w:pPr>
            <w:r w:rsidRPr="00100DEC">
              <w:rPr>
                <w:b/>
                <w:u w:val="single"/>
              </w:rPr>
              <w:t xml:space="preserve">Vyhodnotenie pripomienky </w:t>
            </w:r>
            <w:r w:rsidR="00840470" w:rsidRPr="00100DEC">
              <w:rPr>
                <w:b/>
                <w:u w:val="single"/>
              </w:rPr>
              <w:t>- pripomienka akceptovaná:</w:t>
            </w:r>
          </w:p>
          <w:p w:rsidR="00EA4BE6" w:rsidRDefault="00EA4BE6" w:rsidP="006C7B63">
            <w:pPr>
              <w:jc w:val="both"/>
            </w:pPr>
            <w:r>
              <w:t>Predkladateľ upravil doložku v duchu pripomienky. V čase predloženia materiálu do PPK nebolo zrejmé v akých termínoch bude toto prebiehať.</w:t>
            </w:r>
          </w:p>
          <w:p w:rsidR="006C7B63" w:rsidRDefault="006C7B63" w:rsidP="006C7B63">
            <w:pPr>
              <w:jc w:val="both"/>
            </w:pPr>
          </w:p>
          <w:p w:rsidR="006C7B63" w:rsidRDefault="006C7B63" w:rsidP="00EA4BE6">
            <w:pPr>
              <w:pStyle w:val="Odsekzoznamu"/>
              <w:numPr>
                <w:ilvl w:val="0"/>
                <w:numId w:val="1"/>
              </w:numPr>
              <w:spacing w:after="0" w:line="240" w:lineRule="auto"/>
              <w:ind w:left="499" w:hanging="357"/>
              <w:jc w:val="both"/>
              <w:rPr>
                <w:rFonts w:ascii="Times New Roman" w:hAnsi="Times New Roman"/>
                <w:sz w:val="20"/>
                <w:szCs w:val="20"/>
              </w:rPr>
            </w:pPr>
            <w:r w:rsidRPr="00EA4BE6">
              <w:rPr>
                <w:rFonts w:ascii="Times New Roman" w:hAnsi="Times New Roman"/>
                <w:sz w:val="20"/>
                <w:szCs w:val="20"/>
              </w:rPr>
              <w:t>K vplyvom na rozpočet verejnej správy</w:t>
            </w:r>
          </w:p>
          <w:p w:rsidR="00EA4BE6" w:rsidRPr="00EA4BE6" w:rsidRDefault="00EA4BE6" w:rsidP="00EA4BE6">
            <w:pPr>
              <w:pStyle w:val="Odsekzoznamu"/>
              <w:spacing w:after="0" w:line="240" w:lineRule="auto"/>
              <w:ind w:left="499"/>
              <w:jc w:val="both"/>
              <w:rPr>
                <w:rFonts w:ascii="Times New Roman" w:hAnsi="Times New Roman"/>
                <w:sz w:val="20"/>
                <w:szCs w:val="20"/>
              </w:rPr>
            </w:pPr>
          </w:p>
          <w:p w:rsidR="006C7B63" w:rsidRDefault="006C7B63" w:rsidP="006C7B63">
            <w:pPr>
              <w:jc w:val="both"/>
            </w:pPr>
            <w:r>
              <w:t>Komisia sa nestotožňuje s konštatovaním predkladateľa v doložke vybraných vplyvov, že návrh nemá vplyv na rozpočet verejnej správy z dôvodu, že v čl. III (novela zákona č. 566/2001 Z. z. o cenných papieroch a investičných službách) sa v navrhovanom § 107o ods. 14 uvádza: „Poplatky za služby poskytnuté podľa odsekov 1 až 12, ktoré sprostredkovateľ vyberá od akcionárov, emitentov alebo iných sprostredkovateľov...“. V nadväznosti na uvedené bude mať materiál negatívny vplyv na rozpočet verejnej správy v súvislosti s akciovými spoločnosťami so 100% majetkovou účasťou štátu. V doložke vybraných vplyvov preto Komisia žiada označiť negatívny vplyv na rozpočet verejnej správy a doplniť analýzu vplyvov na rozpočet verejnej správy, v ktorej bude kvantifikovaný predmetný vplyv, pričom predmetné výdavky Komisia žiada zabezpečiť v rámci schválených limitov dotknutých kapitol na príslušný rozpočtový rok.</w:t>
            </w:r>
          </w:p>
          <w:p w:rsidR="00840470" w:rsidRPr="00100DEC" w:rsidRDefault="00EA4BE6" w:rsidP="006C7B63">
            <w:pPr>
              <w:jc w:val="both"/>
              <w:rPr>
                <w:b/>
                <w:u w:val="single"/>
              </w:rPr>
            </w:pPr>
            <w:r w:rsidRPr="00100DEC">
              <w:rPr>
                <w:b/>
                <w:u w:val="single"/>
              </w:rPr>
              <w:t>Vyhodnotenie pripomienky</w:t>
            </w:r>
            <w:r w:rsidR="00840470" w:rsidRPr="00100DEC">
              <w:rPr>
                <w:b/>
                <w:u w:val="single"/>
              </w:rPr>
              <w:t xml:space="preserve"> - pripomienka neakceptovaná:</w:t>
            </w:r>
          </w:p>
          <w:p w:rsidR="006C7B63" w:rsidRPr="00A179AE" w:rsidRDefault="00840470" w:rsidP="00B573EF">
            <w:pPr>
              <w:jc w:val="both"/>
              <w:rPr>
                <w:b/>
              </w:rPr>
            </w:pPr>
            <w:r>
              <w:t>V zmysle vyjadrenia vecného gestora pre novelizačný článok III (novela zákona č. 566/2001 Z .z. o cenných papieroch a investičných službách v znení neskorších predpisov), ktorým je Ministerstvo financií Slovenskej republiky, je pri otázke vplyvov na rozpočet verejnej správy potrebné zdôrazniť, že rozsah novely sa týka len spoločností, ktorých akcie sú obchodované na regulovanom trhu, pričom spoločnosti so 100% majetkovou účasťou štátu nie sú predmetom obchodovania na regulovanom trhu. Z uvedeného vyplýva, že ide</w:t>
            </w:r>
            <w:r w:rsidRPr="00840470">
              <w:t xml:space="preserve"> o už existujúce služby C</w:t>
            </w:r>
            <w:r>
              <w:t>entrálneho depozitára cenných papierov, a.s.</w:t>
            </w:r>
            <w:r w:rsidRPr="00840470">
              <w:t xml:space="preserve">, ktoré sú spoplatnené na konkrétny (príslušný) rok. Podľa tejto novely nevzniknú nové </w:t>
            </w:r>
            <w:r w:rsidR="00B573EF">
              <w:t xml:space="preserve">poplatkové </w:t>
            </w:r>
            <w:r w:rsidRPr="00840470">
              <w:t>položky.</w:t>
            </w:r>
            <w:r w:rsidR="00B573EF">
              <w:t xml:space="preserve"> Materiál teda nezakladá vplyv</w:t>
            </w:r>
            <w:r>
              <w:t xml:space="preserve"> </w:t>
            </w:r>
            <w:r w:rsidR="00B573EF">
              <w:t>na rozpočet verejnej správy.</w:t>
            </w:r>
          </w:p>
        </w:tc>
      </w:tr>
    </w:tbl>
    <w:p w:rsidR="003501A1" w:rsidRDefault="003501A1" w:rsidP="0074218A">
      <w:pPr>
        <w:rPr>
          <w:b/>
        </w:rPr>
      </w:pPr>
    </w:p>
    <w:p w:rsidR="003501A1" w:rsidRDefault="003501A1" w:rsidP="0074218A">
      <w:pPr>
        <w:rPr>
          <w:b/>
        </w:rPr>
      </w:pPr>
    </w:p>
    <w:p w:rsidR="00CB3623" w:rsidRDefault="00CB3623" w:rsidP="0074218A"/>
    <w:sectPr w:rsidR="00CB3623" w:rsidSect="004C60B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D37" w:rsidRDefault="00723D37" w:rsidP="003501A1">
      <w:r>
        <w:separator/>
      </w:r>
    </w:p>
  </w:endnote>
  <w:endnote w:type="continuationSeparator" w:id="0">
    <w:p w:rsidR="00723D37" w:rsidRDefault="00723D37"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E6" w:rsidRPr="002764AD" w:rsidRDefault="00EA4BE6">
    <w:pPr>
      <w:pStyle w:val="Pta"/>
      <w:jc w:val="center"/>
      <w:rPr>
        <w:sz w:val="16"/>
        <w:szCs w:val="16"/>
      </w:rPr>
    </w:pPr>
    <w:r w:rsidRPr="002764AD">
      <w:rPr>
        <w:sz w:val="16"/>
        <w:szCs w:val="16"/>
      </w:rPr>
      <w:t xml:space="preserve">Strana </w:t>
    </w:r>
    <w:r w:rsidRPr="002764AD">
      <w:rPr>
        <w:bCs/>
        <w:sz w:val="16"/>
        <w:szCs w:val="16"/>
      </w:rPr>
      <w:fldChar w:fldCharType="begin"/>
    </w:r>
    <w:r w:rsidRPr="002764AD">
      <w:rPr>
        <w:bCs/>
        <w:sz w:val="16"/>
        <w:szCs w:val="16"/>
      </w:rPr>
      <w:instrText>PAGE</w:instrText>
    </w:r>
    <w:r w:rsidRPr="002764AD">
      <w:rPr>
        <w:bCs/>
        <w:sz w:val="16"/>
        <w:szCs w:val="16"/>
      </w:rPr>
      <w:fldChar w:fldCharType="separate"/>
    </w:r>
    <w:r w:rsidR="00C579C5">
      <w:rPr>
        <w:bCs/>
        <w:noProof/>
        <w:sz w:val="16"/>
        <w:szCs w:val="16"/>
      </w:rPr>
      <w:t>2</w:t>
    </w:r>
    <w:r w:rsidRPr="002764AD">
      <w:rPr>
        <w:bCs/>
        <w:sz w:val="16"/>
        <w:szCs w:val="16"/>
      </w:rPr>
      <w:fldChar w:fldCharType="end"/>
    </w:r>
    <w:r w:rsidRPr="002764AD">
      <w:rPr>
        <w:sz w:val="16"/>
        <w:szCs w:val="16"/>
      </w:rPr>
      <w:t xml:space="preserve"> z </w:t>
    </w:r>
    <w:r w:rsidRPr="002764AD">
      <w:rPr>
        <w:bCs/>
        <w:sz w:val="16"/>
        <w:szCs w:val="16"/>
      </w:rPr>
      <w:fldChar w:fldCharType="begin"/>
    </w:r>
    <w:r w:rsidRPr="002764AD">
      <w:rPr>
        <w:bCs/>
        <w:sz w:val="16"/>
        <w:szCs w:val="16"/>
      </w:rPr>
      <w:instrText>NUMPAGES</w:instrText>
    </w:r>
    <w:r w:rsidRPr="002764AD">
      <w:rPr>
        <w:bCs/>
        <w:sz w:val="16"/>
        <w:szCs w:val="16"/>
      </w:rPr>
      <w:fldChar w:fldCharType="separate"/>
    </w:r>
    <w:r w:rsidR="00C579C5">
      <w:rPr>
        <w:bCs/>
        <w:noProof/>
        <w:sz w:val="16"/>
        <w:szCs w:val="16"/>
      </w:rPr>
      <w:t>4</w:t>
    </w:r>
    <w:r w:rsidRPr="002764AD">
      <w:rPr>
        <w:bCs/>
        <w:sz w:val="16"/>
        <w:szCs w:val="16"/>
      </w:rPr>
      <w:fldChar w:fldCharType="end"/>
    </w:r>
  </w:p>
  <w:p w:rsidR="00EA4BE6" w:rsidRDefault="00EA4B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D37" w:rsidRDefault="00723D37" w:rsidP="003501A1">
      <w:r>
        <w:separator/>
      </w:r>
    </w:p>
  </w:footnote>
  <w:footnote w:type="continuationSeparator" w:id="0">
    <w:p w:rsidR="00723D37" w:rsidRDefault="00723D37" w:rsidP="00350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12FE"/>
    <w:multiLevelType w:val="hybridMultilevel"/>
    <w:tmpl w:val="67C801B4"/>
    <w:lvl w:ilvl="0" w:tplc="A244AAB0">
      <w:start w:val="1"/>
      <w:numFmt w:val="bullet"/>
      <w:lvlText w:val=""/>
      <w:lvlJc w:val="left"/>
      <w:pPr>
        <w:ind w:left="720" w:hanging="360"/>
      </w:pPr>
      <w:rPr>
        <w:rFonts w:ascii="Wingdings" w:hAnsi="Wingdings" w:hint="default"/>
        <w:sz w:val="2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6C1C36D4"/>
    <w:multiLevelType w:val="hybridMultilevel"/>
    <w:tmpl w:val="569AC180"/>
    <w:lvl w:ilvl="0" w:tplc="A5D2F4C4">
      <w:start w:val="1"/>
      <w:numFmt w:val="bullet"/>
      <w:lvlText w:val=""/>
      <w:lvlJc w:val="left"/>
      <w:pPr>
        <w:ind w:left="720" w:hanging="360"/>
      </w:pPr>
      <w:rPr>
        <w:rFonts w:ascii="Wingdings" w:hAnsi="Wingdings" w:hint="default"/>
        <w:sz w:val="20"/>
      </w:rPr>
    </w:lvl>
    <w:lvl w:ilvl="1" w:tplc="A244AAB0">
      <w:start w:val="1"/>
      <w:numFmt w:val="bullet"/>
      <w:lvlText w:val=""/>
      <w:lvlJc w:val="left"/>
      <w:pPr>
        <w:ind w:left="1785" w:hanging="705"/>
      </w:pPr>
      <w:rPr>
        <w:rFonts w:ascii="Wingdings" w:hAnsi="Wingdings" w:hint="default"/>
        <w:sz w:val="2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BDE54EF"/>
    <w:multiLevelType w:val="hybridMultilevel"/>
    <w:tmpl w:val="3EEC4222"/>
    <w:lvl w:ilvl="0" w:tplc="041B0001">
      <w:start w:val="1"/>
      <w:numFmt w:val="bullet"/>
      <w:lvlText w:val=""/>
      <w:lvlJc w:val="left"/>
      <w:pPr>
        <w:ind w:left="862" w:hanging="360"/>
      </w:pPr>
      <w:rPr>
        <w:rFonts w:ascii="Symbol" w:hAnsi="Symbol" w:hint="default"/>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86"/>
    <w:rsid w:val="00031987"/>
    <w:rsid w:val="00035FB4"/>
    <w:rsid w:val="00036A60"/>
    <w:rsid w:val="000E1A7C"/>
    <w:rsid w:val="000F3970"/>
    <w:rsid w:val="00100DEC"/>
    <w:rsid w:val="00105127"/>
    <w:rsid w:val="00127DAC"/>
    <w:rsid w:val="001357B8"/>
    <w:rsid w:val="00173331"/>
    <w:rsid w:val="00175FD8"/>
    <w:rsid w:val="0018172F"/>
    <w:rsid w:val="001A1559"/>
    <w:rsid w:val="001D3F6A"/>
    <w:rsid w:val="001D7589"/>
    <w:rsid w:val="00212902"/>
    <w:rsid w:val="0022559C"/>
    <w:rsid w:val="0025017A"/>
    <w:rsid w:val="002544E7"/>
    <w:rsid w:val="002764AD"/>
    <w:rsid w:val="002A6CC2"/>
    <w:rsid w:val="002B1EDD"/>
    <w:rsid w:val="002C688F"/>
    <w:rsid w:val="002F53B0"/>
    <w:rsid w:val="0031002C"/>
    <w:rsid w:val="003501A1"/>
    <w:rsid w:val="00355BAE"/>
    <w:rsid w:val="00371A11"/>
    <w:rsid w:val="00381426"/>
    <w:rsid w:val="00395098"/>
    <w:rsid w:val="003A42EB"/>
    <w:rsid w:val="003D4E36"/>
    <w:rsid w:val="003E67D4"/>
    <w:rsid w:val="004372C4"/>
    <w:rsid w:val="004504B4"/>
    <w:rsid w:val="00453E9C"/>
    <w:rsid w:val="0045465B"/>
    <w:rsid w:val="004C3577"/>
    <w:rsid w:val="004C60B8"/>
    <w:rsid w:val="004C794A"/>
    <w:rsid w:val="004F6F1F"/>
    <w:rsid w:val="004F7D6F"/>
    <w:rsid w:val="00505430"/>
    <w:rsid w:val="005271EC"/>
    <w:rsid w:val="005449FD"/>
    <w:rsid w:val="00570B48"/>
    <w:rsid w:val="00575FA0"/>
    <w:rsid w:val="0058034C"/>
    <w:rsid w:val="0059700C"/>
    <w:rsid w:val="005A7BB3"/>
    <w:rsid w:val="005B7A8D"/>
    <w:rsid w:val="005C37A6"/>
    <w:rsid w:val="005E1C84"/>
    <w:rsid w:val="005E390D"/>
    <w:rsid w:val="006107A2"/>
    <w:rsid w:val="00647B94"/>
    <w:rsid w:val="00650881"/>
    <w:rsid w:val="00653ADA"/>
    <w:rsid w:val="00667F09"/>
    <w:rsid w:val="00687197"/>
    <w:rsid w:val="00695DD5"/>
    <w:rsid w:val="006C188A"/>
    <w:rsid w:val="006C3B7D"/>
    <w:rsid w:val="006C5514"/>
    <w:rsid w:val="006C7B63"/>
    <w:rsid w:val="006D08D3"/>
    <w:rsid w:val="0071492E"/>
    <w:rsid w:val="00723D37"/>
    <w:rsid w:val="0074218A"/>
    <w:rsid w:val="007661F2"/>
    <w:rsid w:val="00796E89"/>
    <w:rsid w:val="007B0AC5"/>
    <w:rsid w:val="007D45C6"/>
    <w:rsid w:val="007E13B3"/>
    <w:rsid w:val="007F7313"/>
    <w:rsid w:val="00817CEA"/>
    <w:rsid w:val="00821D27"/>
    <w:rsid w:val="00840470"/>
    <w:rsid w:val="00872C49"/>
    <w:rsid w:val="00873621"/>
    <w:rsid w:val="00896385"/>
    <w:rsid w:val="008B2C74"/>
    <w:rsid w:val="008C3134"/>
    <w:rsid w:val="008D15D5"/>
    <w:rsid w:val="008E394F"/>
    <w:rsid w:val="00944633"/>
    <w:rsid w:val="009634B3"/>
    <w:rsid w:val="009954DB"/>
    <w:rsid w:val="009C315E"/>
    <w:rsid w:val="009F7498"/>
    <w:rsid w:val="00A161B8"/>
    <w:rsid w:val="00A179AE"/>
    <w:rsid w:val="00A2209C"/>
    <w:rsid w:val="00A41619"/>
    <w:rsid w:val="00A65CA6"/>
    <w:rsid w:val="00AC1C92"/>
    <w:rsid w:val="00AC2477"/>
    <w:rsid w:val="00AD50F4"/>
    <w:rsid w:val="00AE152D"/>
    <w:rsid w:val="00AF7C2F"/>
    <w:rsid w:val="00B179A1"/>
    <w:rsid w:val="00B20AD8"/>
    <w:rsid w:val="00B23832"/>
    <w:rsid w:val="00B52722"/>
    <w:rsid w:val="00B55F19"/>
    <w:rsid w:val="00B573EF"/>
    <w:rsid w:val="00B65A86"/>
    <w:rsid w:val="00B66B0A"/>
    <w:rsid w:val="00B67165"/>
    <w:rsid w:val="00B817CD"/>
    <w:rsid w:val="00B82D2D"/>
    <w:rsid w:val="00B94259"/>
    <w:rsid w:val="00BC574B"/>
    <w:rsid w:val="00BD5970"/>
    <w:rsid w:val="00BE030F"/>
    <w:rsid w:val="00BF3078"/>
    <w:rsid w:val="00C01261"/>
    <w:rsid w:val="00C2076A"/>
    <w:rsid w:val="00C47A8A"/>
    <w:rsid w:val="00C579C5"/>
    <w:rsid w:val="00C7495A"/>
    <w:rsid w:val="00C849A2"/>
    <w:rsid w:val="00C901EA"/>
    <w:rsid w:val="00CB3495"/>
    <w:rsid w:val="00CB3623"/>
    <w:rsid w:val="00D0600C"/>
    <w:rsid w:val="00D13B6F"/>
    <w:rsid w:val="00D52DAE"/>
    <w:rsid w:val="00D66D58"/>
    <w:rsid w:val="00D75D35"/>
    <w:rsid w:val="00D94D8D"/>
    <w:rsid w:val="00D9546C"/>
    <w:rsid w:val="00DC2C63"/>
    <w:rsid w:val="00DC49CE"/>
    <w:rsid w:val="00DE2A12"/>
    <w:rsid w:val="00E1389C"/>
    <w:rsid w:val="00E16FC6"/>
    <w:rsid w:val="00E2632D"/>
    <w:rsid w:val="00E4104C"/>
    <w:rsid w:val="00E43BA1"/>
    <w:rsid w:val="00E75C0C"/>
    <w:rsid w:val="00E94056"/>
    <w:rsid w:val="00EA4BE6"/>
    <w:rsid w:val="00EB1853"/>
    <w:rsid w:val="00EB59E3"/>
    <w:rsid w:val="00ED731C"/>
    <w:rsid w:val="00EF0591"/>
    <w:rsid w:val="00EF54B6"/>
    <w:rsid w:val="00F05DD7"/>
    <w:rsid w:val="00F22831"/>
    <w:rsid w:val="00F24EED"/>
    <w:rsid w:val="00F251DC"/>
    <w:rsid w:val="00F30B36"/>
    <w:rsid w:val="00F31FD1"/>
    <w:rsid w:val="00F61EF2"/>
    <w:rsid w:val="00F62771"/>
    <w:rsid w:val="00F80527"/>
    <w:rsid w:val="00FE01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3501A1"/>
    <w:pPr>
      <w:spacing w:after="200" w:line="276" w:lineRule="auto"/>
      <w:ind w:left="720"/>
      <w:contextualSpacing/>
    </w:pPr>
    <w:rPr>
      <w:rFonts w:asciiTheme="minorHAnsi" w:hAnsiTheme="minorHAns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501A1"/>
    <w:rPr>
      <w:rFonts w:ascii="Tahoma" w:hAnsi="Tahoma" w:cs="Tahoma"/>
      <w:sz w:val="16"/>
      <w:szCs w:val="16"/>
      <w:lang w:val="x-none"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locked/>
    <w:rsid w:val="003501A1"/>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locked/>
    <w:rsid w:val="003501A1"/>
    <w:rPr>
      <w:rFonts w:ascii="Times New Roman" w:hAnsi="Times New Roman" w:cs="Times New Roman"/>
      <w:sz w:val="20"/>
      <w:szCs w:val="20"/>
      <w:lang w:val="x-none"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locked/>
    <w:rsid w:val="00F22831"/>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F22831"/>
    <w:rPr>
      <w:rFonts w:cs="Times New Roman"/>
      <w:vertAlign w:val="superscript"/>
    </w:rPr>
  </w:style>
  <w:style w:type="character" w:styleId="Odkaznakomentr">
    <w:name w:val="annotation reference"/>
    <w:basedOn w:val="Predvolenpsmoodseku"/>
    <w:uiPriority w:val="99"/>
    <w:semiHidden/>
    <w:unhideWhenUsed/>
    <w:rsid w:val="00175FD8"/>
    <w:rPr>
      <w:rFonts w:cs="Times New Roman"/>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locked/>
    <w:rsid w:val="00175FD8"/>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locked/>
    <w:rsid w:val="00175FD8"/>
    <w:rPr>
      <w:rFonts w:ascii="Times New Roman" w:hAnsi="Times New Roman" w:cs="Times New Roman"/>
      <w:b/>
      <w:bCs/>
      <w:sz w:val="2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3501A1"/>
    <w:pPr>
      <w:spacing w:after="200" w:line="276" w:lineRule="auto"/>
      <w:ind w:left="720"/>
      <w:contextualSpacing/>
    </w:pPr>
    <w:rPr>
      <w:rFonts w:asciiTheme="minorHAnsi" w:hAnsiTheme="minorHAns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501A1"/>
    <w:rPr>
      <w:rFonts w:ascii="Tahoma" w:hAnsi="Tahoma" w:cs="Tahoma"/>
      <w:sz w:val="16"/>
      <w:szCs w:val="16"/>
      <w:lang w:val="x-none"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locked/>
    <w:rsid w:val="003501A1"/>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locked/>
    <w:rsid w:val="003501A1"/>
    <w:rPr>
      <w:rFonts w:ascii="Times New Roman" w:hAnsi="Times New Roman" w:cs="Times New Roman"/>
      <w:sz w:val="20"/>
      <w:szCs w:val="20"/>
      <w:lang w:val="x-none"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locked/>
    <w:rsid w:val="00F22831"/>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F22831"/>
    <w:rPr>
      <w:rFonts w:cs="Times New Roman"/>
      <w:vertAlign w:val="superscript"/>
    </w:rPr>
  </w:style>
  <w:style w:type="character" w:styleId="Odkaznakomentr">
    <w:name w:val="annotation reference"/>
    <w:basedOn w:val="Predvolenpsmoodseku"/>
    <w:uiPriority w:val="99"/>
    <w:semiHidden/>
    <w:unhideWhenUsed/>
    <w:rsid w:val="00175FD8"/>
    <w:rPr>
      <w:rFonts w:cs="Times New Roman"/>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locked/>
    <w:rsid w:val="00175FD8"/>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locked/>
    <w:rsid w:val="00175FD8"/>
    <w:rPr>
      <w:rFonts w:ascii="Times New Roman" w:hAnsi="Times New Roman" w:cs="Times New Roman"/>
      <w:b/>
      <w:bCs/>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CAC8E-6F79-43E6-ABE6-F8CAF26E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1979</Words>
  <Characters>11282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KOVAĽOVÁ Anna</cp:lastModifiedBy>
  <cp:revision>2</cp:revision>
  <cp:lastPrinted>2019-03-06T10:28:00Z</cp:lastPrinted>
  <dcterms:created xsi:type="dcterms:W3CDTF">2019-03-08T08:53:00Z</dcterms:created>
  <dcterms:modified xsi:type="dcterms:W3CDTF">2019-03-08T08:53:00Z</dcterms:modified>
</cp:coreProperties>
</file>